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2024年安宁镇人民政府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2024年，我单位部门预算922.9万元 ，均严格按绩效管理要求实现项目绩效目标管理，其中重点项目预算5个，现将情况说明如下：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完成了2024年本级部门预算整体绩效目标申报和5个项目预算绩效目标申报，并编报5个项目预算事前绩效评估报告。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在县委、县政府和乡党委的坚强领导下，镇人民政府坚持以习近平新时代中国特色社会主义思想为指导，认真贯彻落实中央大政方针和省委、州委、县委重大决策部署，坚持科学发展、高质量发展理念，积极应对脱贫攻坚、新冠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感染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三是坚定贯彻总体国家安全观，旗帜鲜明开展反分维稳斗争，扫黑除恶</w:t>
      </w:r>
      <w:bookmarkStart w:id="0" w:name="_GoBack"/>
      <w:bookmarkEnd w:id="0"/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专项斗争强力推进，“天网”“雪亮”工程拓展延伸，平安防线牢不可破，“两项”改革调整优化4个村。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重点项目1：安宁镇人民政府办公室日常公用经费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重点项目2：基层组织活动和公共服务运行经费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11万元/年、社区不低于6万元/年。现申请我镇4个村的公务运行维护费7万元/年/村，共计28万元；党建费2万元/年/村，共计8万元；办公费2万元/年/村，共计8万元。以上合计44万元（大写：肆拾肆万元整）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重点项目3：安宁镇党委办公室日常公用经费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重点项目4：安宁镇人大办公室日常公用经费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重点项目5：安宁镇综合服务中心日常公用经费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jY1YmViZGJjZWU4MDQ4OWJkMjM4NzY4OWYxMTczZDA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autoRedefine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</TotalTime>
  <Application>Yozo_Office27021597764231179</Application>
  <Pages>3</Pages>
  <Words>1283</Words>
  <Characters>1299</Characters>
  <Lines>63</Lines>
  <Paragraphs>26</Paragraphs>
  <CharactersWithSpaces>1301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2024-03-13T09:04:52Z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2052-12.1.0.16388</vt:lpwstr>
  </property>
  <property fmtid="{D5CDD505-2E9C-101B-9397-08002B2CF9AE}" pid="3" name="ICV">
    <vt:lpwstr>441C60976FD9440EAFE5F6831675C7E4_12</vt:lpwstr>
  </property>
</Properties>
</file>