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8441"/>
      <w:bookmarkStart w:id="3" w:name="_Toc15396475"/>
      <w:bookmarkStart w:id="4" w:name="_Toc15377193"/>
      <w:bookmarkStart w:id="5" w:name="_Toc15377425"/>
      <w:r>
        <w:rPr>
          <w:rFonts w:hint="eastAsia" w:ascii="黑体" w:eastAsia="黑体"/>
          <w:color w:val="000000"/>
          <w:sz w:val="72"/>
          <w:szCs w:val="72"/>
          <w:lang w:eastAsia="zh-CN"/>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96598"/>
      <w:bookmarkStart w:id="8" w:name="_Toc15396476"/>
      <w:bookmarkStart w:id="9" w:name="_Toc15377426"/>
      <w:bookmarkStart w:id="10" w:name="_Toc15377194"/>
      <w:r>
        <w:rPr>
          <w:rFonts w:hint="eastAsia" w:ascii="方正小标宋简体" w:eastAsia="方正小标宋简体"/>
          <w:color w:val="000000"/>
          <w:sz w:val="72"/>
          <w:szCs w:val="72"/>
          <w:lang w:val="en-US" w:eastAsia="zh-CN"/>
        </w:rPr>
        <w:t>四川省</w:t>
      </w:r>
      <w:bookmarkEnd w:id="0"/>
      <w:bookmarkStart w:id="11" w:name="_Toc15306268"/>
      <w:r>
        <w:rPr>
          <w:rFonts w:hint="eastAsia" w:ascii="方正小标宋简体" w:eastAsia="方正小标宋简体"/>
          <w:color w:val="000000"/>
          <w:sz w:val="72"/>
          <w:szCs w:val="72"/>
          <w:lang w:val="en-US" w:eastAsia="zh-CN"/>
        </w:rPr>
        <w:t>金川县安宁镇人民政府</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w:t>
      </w:r>
      <w:r>
        <w:rPr>
          <w:rFonts w:hint="eastAsia"/>
          <w:lang w:eastAsia="zh-CN"/>
        </w:rPr>
        <w:t>202</w:t>
      </w:r>
      <w:r>
        <w:rPr>
          <w:rFonts w:hint="eastAsia"/>
          <w:lang w:val="en-US" w:eastAsia="zh-CN"/>
        </w:rPr>
        <w:t>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hint="eastAsia" w:ascii="仿宋" w:eastAsia="仿宋"/>
          <w:sz w:val="28"/>
          <w:szCs w:val="28"/>
        </w:rPr>
      </w:pPr>
      <w:r>
        <w:rPr>
          <w:rStyle w:val="17"/>
          <w:rFonts w:hint="eastAsia" w:ascii="仿宋" w:eastAsia="仿宋" w:cs="Times New Roman"/>
          <w:bCs/>
          <w:kern w:val="2"/>
          <w:sz w:val="28"/>
          <w:szCs w:val="28"/>
          <w:lang w:val="en-US" w:eastAsia="zh-CN" w:bidi="ar-SA"/>
        </w:rPr>
        <w:t xml:space="preserve"> 十、预算绩效情况说明..................................15</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3</w:t>
      </w:r>
    </w:p>
    <w:p>
      <w:pPr>
        <w:pStyle w:val="11"/>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pPr>
        <w:pStyle w:val="11"/>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pStyle w:val="12"/>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9"/>
          <w:rFonts w:hint="eastAsia" w:ascii="黑体" w:eastAsia="黑体"/>
          <w:b w:val="0"/>
          <w:bCs w:val="0"/>
        </w:rPr>
      </w:pPr>
      <w:bookmarkStart w:id="14" w:name="_Toc15396600"/>
      <w:bookmarkStart w:id="15" w:name="_Toc15377197"/>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7199"/>
      <w:bookmarkStart w:id="19" w:name="_Toc15378446"/>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20</w:t>
      </w:r>
      <w:r>
        <w:rPr>
          <w:rFonts w:hint="eastAsia" w:ascii="仿宋_GB2312" w:eastAsia="仿宋_GB2312"/>
          <w:kern w:val="0"/>
          <w:sz w:val="32"/>
          <w:szCs w:val="32"/>
          <w:lang w:val="en-US" w:eastAsia="zh-CN"/>
        </w:rPr>
        <w:t>20</w:t>
      </w:r>
      <w:r>
        <w:rPr>
          <w:rFonts w:hint="eastAsia" w:ascii="仿宋_GB2312" w:eastAsia="仿宋_GB2312"/>
          <w:kern w:val="0"/>
          <w:sz w:val="32"/>
          <w:szCs w:val="32"/>
        </w:rPr>
        <w:t>年在县委、县政府的正确领导下，在县级有关部门及其他兄弟乡镇的大力支持和帮助下，在乡党委的正确带领下，安宁镇人民政府高举邓小平理论伟大旗帜，以“三个代表” 重要思想和科学发展观为指导，认真贯彻落实党的十九大精神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习</w:t>
      </w:r>
      <w:r>
        <w:rPr>
          <w:rFonts w:hint="eastAsia" w:ascii="仿宋_GB2312" w:hAnsi="仿宋_GB2312" w:eastAsia="仿宋_GB2312" w:cs="仿宋_GB2312"/>
          <w:sz w:val="32"/>
          <w:szCs w:val="32"/>
          <w:lang w:eastAsia="zh-CN"/>
        </w:rPr>
        <w:t>近平</w:t>
      </w:r>
      <w:bookmarkStart w:id="77" w:name="_GoBack"/>
      <w:bookmarkEnd w:id="77"/>
      <w:r>
        <w:rPr>
          <w:rFonts w:hint="eastAsia" w:ascii="仿宋_GB2312" w:hAnsi="仿宋_GB2312" w:eastAsia="仿宋_GB2312" w:cs="仿宋_GB2312"/>
          <w:sz w:val="32"/>
          <w:szCs w:val="32"/>
        </w:rPr>
        <w:t>总书记重要讲话精神，紧紧围绕发展战略和建设目标，坚定信心，主动作为，攻坚克难，创新实干，</w:t>
      </w:r>
      <w:r>
        <w:rPr>
          <w:rFonts w:hint="eastAsia" w:ascii="仿宋_GB2312" w:hAnsi="仿宋_GB2312" w:eastAsia="仿宋_GB2312" w:cs="仿宋_GB2312"/>
          <w:kern w:val="0"/>
          <w:sz w:val="32"/>
          <w:szCs w:val="32"/>
        </w:rPr>
        <w:t>紧紧</w:t>
      </w:r>
      <w:r>
        <w:rPr>
          <w:rFonts w:hint="eastAsia" w:ascii="仿宋_GB2312" w:eastAsia="仿宋_GB2312"/>
          <w:kern w:val="0"/>
          <w:sz w:val="32"/>
          <w:szCs w:val="32"/>
        </w:rPr>
        <w:t>围绕县委、县政府提出的建设“川西北生态经济示范县”“阿坝新江南”一二三四五发展战略和“小康金川、美丽金川”建设目标，着力抓经济、保稳定、惠民生、促发展，全乡经济和社会各项事业持续健康发展。全乡上下齐心协力，锐意进取，有力推动各项工作顺利开展并较好完成了20</w:t>
      </w:r>
      <w:r>
        <w:rPr>
          <w:rFonts w:hint="eastAsia" w:ascii="仿宋_GB2312" w:eastAsia="仿宋_GB2312"/>
          <w:kern w:val="0"/>
          <w:sz w:val="32"/>
          <w:szCs w:val="32"/>
          <w:lang w:val="en-US" w:eastAsia="zh-CN"/>
        </w:rPr>
        <w:t>20</w:t>
      </w:r>
      <w:r>
        <w:rPr>
          <w:rFonts w:hint="eastAsia" w:ascii="仿宋_GB2312" w:eastAsia="仿宋_GB2312"/>
          <w:kern w:val="0"/>
          <w:sz w:val="32"/>
          <w:szCs w:val="32"/>
        </w:rPr>
        <w:t>年定的各项目标任务。</w:t>
      </w:r>
    </w:p>
    <w:p>
      <w:pPr>
        <w:pStyle w:val="4"/>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w:t>
      </w:r>
      <w:r>
        <w:rPr>
          <w:rFonts w:hint="eastAsia" w:ascii="楷体" w:eastAsia="楷体" w:cs="楷体"/>
          <w:bCs/>
          <w:color w:val="000000"/>
          <w:sz w:val="32"/>
          <w:szCs w:val="32"/>
          <w:lang w:eastAsia="zh-CN"/>
        </w:rPr>
        <w:t>2020</w:t>
      </w:r>
      <w:r>
        <w:rPr>
          <w:rFonts w:hint="eastAsia" w:ascii="楷体" w:eastAsia="楷体" w:cs="楷体"/>
          <w:bCs/>
          <w:color w:val="000000"/>
          <w:sz w:val="32"/>
          <w:szCs w:val="32"/>
        </w:rPr>
        <w:t>年重点工作完成情况</w:t>
      </w:r>
      <w:bookmarkEnd w:id="18"/>
      <w:bookmarkEnd w:id="19"/>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cs="宋体"/>
          <w:b w:val="0"/>
          <w:kern w:val="0"/>
          <w:sz w:val="32"/>
          <w:szCs w:val="32"/>
          <w:lang w:val="en-US" w:eastAsia="zh-CN"/>
        </w:rPr>
      </w:pPr>
      <w:bookmarkStart w:id="20" w:name="_Toc15377200"/>
      <w:bookmarkStart w:id="21" w:name="_Toc15396601"/>
      <w:r>
        <w:rPr>
          <w:rFonts w:hint="eastAsia" w:ascii="仿宋_GB2312" w:hAnsi="宋体" w:eastAsia="仿宋_GB2312" w:cs="宋体"/>
          <w:b w:val="0"/>
          <w:kern w:val="0"/>
          <w:sz w:val="32"/>
          <w:szCs w:val="32"/>
          <w:lang w:val="en-US" w:eastAsia="zh-CN"/>
        </w:rPr>
        <w:t>镇党委围绕“两学一做”开展党建工作，提高乡村党员素质。</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cs="宋体"/>
          <w:b w:val="0"/>
          <w:kern w:val="0"/>
          <w:sz w:val="32"/>
          <w:szCs w:val="32"/>
          <w:lang w:val="en-US" w:eastAsia="zh-CN"/>
        </w:rPr>
      </w:pPr>
      <w:r>
        <w:rPr>
          <w:rFonts w:hint="eastAsia" w:ascii="仿宋_GB2312" w:hAnsi="宋体" w:eastAsia="仿宋_GB2312" w:cs="宋体"/>
          <w:b w:val="0"/>
          <w:kern w:val="0"/>
          <w:sz w:val="32"/>
          <w:szCs w:val="32"/>
          <w:lang w:val="en-US" w:eastAsia="zh-CN"/>
        </w:rPr>
        <w:t>本年度全镇进行精准脱贫攻坚工作，对全镇贫困户进行了精准帮扶，并作出了脱贫安排，计划摘帽村顺利摘帽，2019年计划脱贫户顺利脱贫。</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宋体" w:eastAsia="仿宋_GB2312" w:cs="宋体"/>
          <w:b w:val="0"/>
          <w:kern w:val="0"/>
          <w:sz w:val="32"/>
          <w:szCs w:val="32"/>
          <w:lang w:val="en-US" w:eastAsia="zh-CN"/>
        </w:rPr>
        <w:t>圆满完成了其他各项工作，并经验收合格。</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rPr>
      </w:pPr>
    </w:p>
    <w:p>
      <w:pPr>
        <w:spacing w:line="578" w:lineRule="exact"/>
        <w:ind w:left="0" w:firstLine="640" w:firstLineChars="200"/>
        <w:rPr>
          <w:rStyle w:val="19"/>
          <w:b w:val="0"/>
          <w:bCs w:val="0"/>
        </w:rPr>
      </w:pPr>
      <w:r>
        <w:rPr>
          <w:rStyle w:val="19"/>
          <w:rFonts w:hint="eastAsia" w:ascii="黑体" w:eastAsia="黑体"/>
          <w:b w:val="0"/>
          <w:bCs w:val="0"/>
        </w:rPr>
        <w:t>二、机构设置</w:t>
      </w:r>
      <w:bookmarkEnd w:id="20"/>
      <w:bookmarkEnd w:id="21"/>
    </w:p>
    <w:p>
      <w:pPr>
        <w:widowControl/>
        <w:ind w:firstLine="640" w:firstLineChars="200"/>
        <w:jc w:val="left"/>
        <w:rPr>
          <w:rFonts w:ascii="仿宋" w:hAnsi="仿宋" w:eastAsia="仿宋_GB2312"/>
          <w:color w:val="000000"/>
          <w:kern w:val="0"/>
          <w:sz w:val="32"/>
          <w:szCs w:val="32"/>
        </w:rPr>
      </w:pPr>
      <w:bookmarkStart w:id="22" w:name="_Toc15396602"/>
      <w:bookmarkStart w:id="23" w:name="_Toc15377204"/>
      <w:r>
        <w:rPr>
          <w:rFonts w:hint="eastAsia" w:ascii="仿宋_GB2312" w:eastAsia="仿宋_GB2312"/>
          <w:color w:val="000000"/>
          <w:sz w:val="32"/>
          <w:szCs w:val="32"/>
          <w:lang w:val="en-US" w:eastAsia="zh-CN"/>
        </w:rPr>
        <w:t>金川县安宁镇人民</w:t>
      </w:r>
      <w:r>
        <w:rPr>
          <w:rFonts w:hint="eastAsia" w:ascii="仿宋_GB2312" w:eastAsia="仿宋_GB2312"/>
          <w:color w:val="000000"/>
          <w:sz w:val="32"/>
          <w:szCs w:val="32"/>
        </w:rPr>
        <w:t>政府是</w:t>
      </w:r>
      <w:r>
        <w:rPr>
          <w:rFonts w:hint="eastAsia" w:ascii="仿宋_GB2312" w:eastAsia="仿宋_GB2312"/>
          <w:bCs/>
          <w:color w:val="000000"/>
          <w:sz w:val="32"/>
          <w:szCs w:val="32"/>
        </w:rPr>
        <w:t>由</w:t>
      </w:r>
      <w:r>
        <w:rPr>
          <w:rFonts w:hint="eastAsia" w:ascii="仿宋_GB2312" w:eastAsia="仿宋_GB2312"/>
          <w:bCs/>
          <w:color w:val="000000"/>
          <w:sz w:val="32"/>
          <w:szCs w:val="32"/>
          <w:lang w:eastAsia="zh-CN"/>
        </w:rPr>
        <w:t>乡</w:t>
      </w:r>
      <w:r>
        <w:rPr>
          <w:rFonts w:hint="eastAsia" w:ascii="仿宋_GB2312" w:eastAsia="仿宋_GB2312"/>
          <w:bCs/>
          <w:color w:val="000000"/>
          <w:sz w:val="32"/>
          <w:szCs w:val="32"/>
          <w:lang w:val="en-US" w:eastAsia="zh-CN"/>
        </w:rPr>
        <w:t>党建办公室</w:t>
      </w:r>
      <w:r>
        <w:rPr>
          <w:rFonts w:hint="eastAsia" w:ascii="仿宋_GB2312" w:eastAsia="仿宋_GB2312"/>
          <w:bCs/>
          <w:color w:val="000000"/>
          <w:sz w:val="32"/>
          <w:szCs w:val="32"/>
        </w:rPr>
        <w:t>、</w:t>
      </w:r>
      <w:r>
        <w:rPr>
          <w:rFonts w:hint="eastAsia" w:ascii="仿宋_GB2312" w:eastAsia="仿宋_GB2312"/>
          <w:bCs/>
          <w:color w:val="000000"/>
          <w:sz w:val="32"/>
          <w:szCs w:val="32"/>
          <w:lang w:val="en-US" w:eastAsia="zh-CN"/>
        </w:rPr>
        <w:t>维护稳定办公室、经济发展和乡村振兴办公室、社会事务和应急管理办公室、便民服务中心、经济发展服务中心、农业农村服务中心、社会事业服务中心组成；镇政府为行政编制，便民中心为事业编制</w:t>
      </w:r>
      <w:r>
        <w:rPr>
          <w:rFonts w:hint="eastAsia" w:ascii="仿宋_GB2312" w:eastAsia="仿宋_GB2312"/>
          <w:color w:val="000000"/>
          <w:sz w:val="32"/>
          <w:szCs w:val="32"/>
        </w:rPr>
        <w:t>。</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2"/>
      <w:bookmarkEnd w:id="23"/>
    </w:p>
    <w:p>
      <w:pPr>
        <w:pStyle w:val="24"/>
        <w:numPr>
          <w:ilvl w:val="0"/>
          <w:numId w:val="2"/>
        </w:numPr>
        <w:spacing w:line="240" w:lineRule="auto"/>
        <w:ind w:left="0" w:firstLine="0" w:firstLineChars="0"/>
        <w:outlineLvl w:val="1"/>
        <w:rPr>
          <w:rStyle w:val="19"/>
          <w:rFonts w:ascii="黑体" w:eastAsia="黑体"/>
          <w:b w:val="0"/>
        </w:rPr>
      </w:pPr>
      <w:bookmarkStart w:id="24" w:name="_Toc15377205"/>
      <w:bookmarkStart w:id="25"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snapToGrid w:val="0"/>
        <w:spacing w:line="520" w:lineRule="exact"/>
        <w:ind w:firstLine="632" w:firstLineChars="200"/>
        <w:rPr>
          <w:rFonts w:hint="eastAsia"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2020年度总收入612.02万元，较上年收入增加33万元，增加5.7%。增加的主要原因是机构改革，人员增加。</w:t>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r>
        <w:rPr>
          <w:rFonts w:hint="eastAsia" w:ascii="仿宋_GB2312" w:eastAsia="仿宋_GB2312"/>
          <w:color w:val="auto"/>
          <w:spacing w:val="-2"/>
          <w:kern w:val="2"/>
          <w:sz w:val="32"/>
          <w:szCs w:val="32"/>
          <w:lang w:val="en-US" w:eastAsia="zh-CN" w:bidi="ar-SA"/>
        </w:rPr>
        <w:t>2020年总支出664.84万元，较上年支出减少51.7万元，减少7.22%。主要原因一是当年部门预算安排项目经费较上年有所减少；二是2019年支出包含了上年结转项目。</w:t>
      </w:r>
    </w:p>
    <w:p>
      <w:pPr>
        <w:snapToGrid w:val="0"/>
        <w:spacing w:line="520" w:lineRule="exact"/>
        <w:ind w:firstLine="420" w:firstLineChars="200"/>
        <w:rPr>
          <w:rFonts w:hint="eastAsia" w:ascii="仿宋_GB2312" w:eastAsia="仿宋_GB2312"/>
          <w:color w:val="auto"/>
          <w:spacing w:val="-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357505</wp:posOffset>
            </wp:positionH>
            <wp:positionV relativeFrom="paragraph">
              <wp:posOffset>158750</wp:posOffset>
            </wp:positionV>
            <wp:extent cx="4853305" cy="2990850"/>
            <wp:effectExtent l="4445" t="4445" r="19050" b="1460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p>
    <w:p>
      <w:pPr>
        <w:spacing w:line="600" w:lineRule="exact"/>
        <w:ind w:firstLine="640" w:firstLineChars="200"/>
        <w:rPr>
          <w:rStyle w:val="19"/>
          <w:rFonts w:ascii="黑体" w:eastAsia="黑体"/>
          <w:b w:val="0"/>
        </w:rPr>
      </w:pPr>
      <w:bookmarkStart w:id="26" w:name="_Toc15377206"/>
      <w:bookmarkStart w:id="27" w:name="_Toc15396604"/>
      <w:r>
        <w:rPr>
          <w:rFonts w:hint="eastAsia" w:ascii="黑体" w:eastAsia="黑体" w:cs="Times New Roman"/>
          <w:color w:val="000000"/>
          <w:kern w:val="2"/>
          <w:sz w:val="32"/>
          <w:szCs w:val="32"/>
          <w:lang w:val="en-US" w:eastAsia="zh-CN" w:bidi="ar-SA"/>
        </w:rPr>
        <w:t>二、收入决</w:t>
      </w:r>
      <w:r>
        <w:rPr>
          <w:rStyle w:val="19"/>
          <w:rFonts w:hint="eastAsia" w:ascii="黑体" w:eastAsia="黑体"/>
          <w:b w:val="0"/>
        </w:rPr>
        <w:t>算情况说明</w:t>
      </w:r>
      <w:bookmarkEnd w:id="26"/>
      <w:bookmarkEnd w:id="27"/>
    </w:p>
    <w:p>
      <w:pPr>
        <w:snapToGrid w:val="0"/>
        <w:spacing w:line="360" w:lineRule="auto"/>
        <w:ind w:firstLine="640" w:firstLineChars="200"/>
        <w:rPr>
          <w:rFonts w:hint="eastAsia"/>
          <w:szCs w:val="32"/>
        </w:rPr>
      </w:pPr>
      <w:r>
        <w:rPr>
          <w:rFonts w:hint="eastAsia" w:ascii="仿宋" w:eastAsia="仿宋"/>
          <w:color w:val="000000"/>
          <w:sz w:val="32"/>
          <w:szCs w:val="32"/>
          <w:lang w:eastAsia="zh-CN"/>
        </w:rPr>
        <w:t>2</w:t>
      </w:r>
      <w:r>
        <w:rPr>
          <w:rFonts w:hint="eastAsia" w:ascii="仿宋_GB2312" w:hAnsi="宋体" w:eastAsia="仿宋_GB2312" w:cs="宋体"/>
          <w:color w:val="auto"/>
          <w:kern w:val="0"/>
          <w:sz w:val="32"/>
          <w:szCs w:val="32"/>
          <w:lang w:eastAsia="zh-CN"/>
        </w:rPr>
        <w:t>2020</w:t>
      </w:r>
      <w:r>
        <w:rPr>
          <w:rFonts w:hint="eastAsia" w:ascii="仿宋_GB2312" w:hAnsi="宋体" w:eastAsia="仿宋_GB2312" w:cs="宋体"/>
          <w:color w:val="auto"/>
          <w:kern w:val="0"/>
          <w:sz w:val="32"/>
          <w:szCs w:val="32"/>
        </w:rPr>
        <w:t>年总收入</w:t>
      </w:r>
      <w:r>
        <w:rPr>
          <w:rFonts w:hint="eastAsia" w:ascii="仿宋_GB2312" w:hAnsi="宋体" w:eastAsia="仿宋_GB2312" w:cs="宋体"/>
          <w:color w:val="auto"/>
          <w:kern w:val="0"/>
          <w:sz w:val="32"/>
          <w:szCs w:val="32"/>
          <w:lang w:val="en-US" w:eastAsia="zh-CN"/>
        </w:rPr>
        <w:t>612.02</w:t>
      </w:r>
      <w:r>
        <w:rPr>
          <w:rFonts w:hint="eastAsia" w:ascii="仿宋_GB2312" w:hAnsi="宋体" w:eastAsia="仿宋_GB2312" w:cs="宋体"/>
          <w:color w:val="auto"/>
          <w:kern w:val="0"/>
          <w:sz w:val="32"/>
          <w:szCs w:val="32"/>
        </w:rPr>
        <w:t>万元，总支出</w:t>
      </w:r>
      <w:r>
        <w:rPr>
          <w:rFonts w:hint="eastAsia" w:ascii="仿宋_GB2312" w:hAnsi="宋体" w:eastAsia="仿宋_GB2312" w:cs="宋体"/>
          <w:color w:val="auto"/>
          <w:kern w:val="0"/>
          <w:sz w:val="32"/>
          <w:szCs w:val="32"/>
          <w:lang w:val="en-US" w:eastAsia="zh-CN"/>
        </w:rPr>
        <w:t>664.84</w:t>
      </w:r>
      <w:r>
        <w:rPr>
          <w:rFonts w:hint="eastAsia" w:ascii="仿宋_GB2312" w:hAnsi="宋体" w:eastAsia="仿宋_GB2312" w:cs="宋体"/>
          <w:color w:val="auto"/>
          <w:kern w:val="0"/>
          <w:sz w:val="32"/>
          <w:szCs w:val="32"/>
        </w:rPr>
        <w:t>万元，与上年度对比，基本支出增加，原因是</w:t>
      </w:r>
      <w:r>
        <w:rPr>
          <w:rFonts w:hint="eastAsia" w:ascii="仿宋_GB2312" w:hAnsi="宋体" w:eastAsia="仿宋_GB2312" w:cs="宋体"/>
          <w:color w:val="auto"/>
          <w:kern w:val="0"/>
          <w:sz w:val="32"/>
          <w:szCs w:val="32"/>
          <w:lang w:eastAsia="zh-CN"/>
        </w:rPr>
        <w:t>2020</w:t>
      </w:r>
      <w:r>
        <w:rPr>
          <w:rFonts w:hint="eastAsia" w:ascii="仿宋_GB2312" w:hAnsi="宋体" w:eastAsia="仿宋_GB2312" w:cs="宋体"/>
          <w:color w:val="auto"/>
          <w:kern w:val="0"/>
          <w:sz w:val="32"/>
          <w:szCs w:val="32"/>
        </w:rPr>
        <w:t>年职工人数增加及人员调资，项目支出</w:t>
      </w:r>
      <w:r>
        <w:rPr>
          <w:rFonts w:hint="eastAsia" w:ascii="仿宋_GB2312" w:hAnsi="宋体" w:eastAsia="仿宋_GB2312" w:cs="宋体"/>
          <w:color w:val="auto"/>
          <w:kern w:val="0"/>
          <w:sz w:val="32"/>
          <w:szCs w:val="32"/>
          <w:lang w:val="en-US" w:eastAsia="zh-CN"/>
        </w:rPr>
        <w:t>增加</w:t>
      </w:r>
      <w:r>
        <w:rPr>
          <w:rFonts w:hint="eastAsia" w:ascii="仿宋_GB2312" w:hAnsi="宋体" w:eastAsia="仿宋_GB2312" w:cs="宋体"/>
          <w:color w:val="auto"/>
          <w:kern w:val="0"/>
          <w:sz w:val="32"/>
          <w:szCs w:val="32"/>
        </w:rPr>
        <w:t>，原因是</w:t>
      </w:r>
      <w:r>
        <w:rPr>
          <w:rFonts w:hint="eastAsia" w:ascii="仿宋_GB2312" w:hAnsi="宋体" w:eastAsia="仿宋_GB2312" w:cs="宋体"/>
          <w:color w:val="auto"/>
          <w:kern w:val="0"/>
          <w:sz w:val="32"/>
          <w:szCs w:val="32"/>
          <w:lang w:eastAsia="zh-CN"/>
        </w:rPr>
        <w:t>2020</w:t>
      </w:r>
      <w:r>
        <w:rPr>
          <w:rFonts w:hint="eastAsia" w:ascii="仿宋_GB2312" w:hAnsi="宋体" w:eastAsia="仿宋_GB2312" w:cs="宋体"/>
          <w:color w:val="auto"/>
          <w:kern w:val="0"/>
          <w:sz w:val="32"/>
          <w:szCs w:val="32"/>
        </w:rPr>
        <w:t>年实施项目</w:t>
      </w:r>
      <w:r>
        <w:rPr>
          <w:rFonts w:hint="eastAsia" w:ascii="仿宋_GB2312" w:hAnsi="宋体" w:eastAsia="仿宋_GB2312" w:cs="宋体"/>
          <w:color w:val="auto"/>
          <w:kern w:val="0"/>
          <w:sz w:val="32"/>
          <w:szCs w:val="32"/>
          <w:lang w:val="en-US" w:eastAsia="zh-CN"/>
        </w:rPr>
        <w:t>增加，村级运维经费列入项目支出</w:t>
      </w:r>
      <w:r>
        <w:rPr>
          <w:rFonts w:hint="eastAsia" w:ascii="仿宋_GB2312" w:hAnsi="宋体" w:eastAsia="仿宋_GB2312" w:cs="宋体"/>
          <w:color w:val="auto"/>
          <w:kern w:val="0"/>
          <w:sz w:val="32"/>
          <w:szCs w:val="32"/>
        </w:rPr>
        <w:t>。</w:t>
      </w:r>
    </w:p>
    <w:p>
      <w:pPr>
        <w:spacing w:line="600" w:lineRule="exact"/>
        <w:ind w:firstLine="640" w:firstLineChars="200"/>
        <w:outlineLvl w:val="1"/>
        <w:rPr>
          <w:rStyle w:val="19"/>
          <w:rFonts w:ascii="黑体" w:eastAsia="黑体"/>
          <w:b w:val="0"/>
        </w:rPr>
      </w:pPr>
      <w:bookmarkStart w:id="28" w:name="_Toc15377207"/>
      <w:bookmarkStart w:id="29" w:name="_Toc15396605"/>
      <w:r>
        <w:rPr>
          <w:rFonts w:hint="eastAsia" w:ascii="黑体" w:eastAsia="黑体" w:cs="Times New Roman"/>
          <w:color w:val="000000"/>
          <w:kern w:val="2"/>
          <w:sz w:val="32"/>
          <w:szCs w:val="32"/>
          <w:lang w:val="en-US" w:eastAsia="zh-CN" w:bidi="ar-SA"/>
        </w:rPr>
        <w:t>三、支出决</w:t>
      </w:r>
      <w:r>
        <w:rPr>
          <w:rStyle w:val="19"/>
          <w:rFonts w:hint="eastAsia" w:ascii="黑体" w:eastAsia="黑体"/>
          <w:b w:val="0"/>
        </w:rPr>
        <w:t>算情况说明</w:t>
      </w:r>
      <w:bookmarkEnd w:id="28"/>
      <w:bookmarkEnd w:id="29"/>
    </w:p>
    <w:p>
      <w:pPr>
        <w:spacing w:line="600" w:lineRule="exact"/>
        <w:ind w:firstLine="640"/>
        <w:rPr>
          <w:rFonts w:hint="eastAsia" w:ascii="仿宋_GB2312" w:eastAsia="仿宋_GB2312"/>
          <w:color w:val="FF0000"/>
          <w:sz w:val="32"/>
          <w:szCs w:val="32"/>
          <w:lang w:eastAsia="zh-CN"/>
        </w:rPr>
      </w:pPr>
      <w:r>
        <w:rPr>
          <w:rFonts w:hint="eastAsia" w:ascii="仿宋" w:eastAsia="仿宋"/>
          <w:color w:val="000000"/>
          <w:sz w:val="32"/>
          <w:szCs w:val="32"/>
          <w:lang w:eastAsia="zh-CN"/>
        </w:rPr>
        <w:t>2020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_GB2312" w:hAnsi="宋体" w:eastAsia="仿宋_GB2312" w:cs="宋体"/>
          <w:color w:val="auto"/>
          <w:kern w:val="0"/>
          <w:sz w:val="32"/>
          <w:szCs w:val="32"/>
          <w:lang w:val="en-US" w:eastAsia="zh-CN"/>
        </w:rPr>
        <w:t>664.84</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473.33</w:t>
      </w:r>
      <w:r>
        <w:rPr>
          <w:rFonts w:hint="eastAsia" w:ascii="仿宋" w:eastAsia="仿宋"/>
          <w:color w:val="000000"/>
          <w:sz w:val="32"/>
          <w:szCs w:val="32"/>
        </w:rPr>
        <w:t>万元，占</w:t>
      </w:r>
      <w:r>
        <w:rPr>
          <w:rFonts w:hint="eastAsia" w:ascii="仿宋" w:eastAsia="仿宋"/>
          <w:color w:val="000000"/>
          <w:sz w:val="32"/>
          <w:szCs w:val="32"/>
          <w:lang w:val="en-US" w:eastAsia="zh-CN"/>
        </w:rPr>
        <w:t>71.2</w:t>
      </w:r>
      <w:r>
        <w:rPr>
          <w:rFonts w:hint="eastAsia" w:ascii="仿宋" w:eastAsia="仿宋"/>
          <w:color w:val="000000"/>
          <w:sz w:val="32"/>
          <w:szCs w:val="32"/>
        </w:rPr>
        <w:t>%；项目支出</w:t>
      </w:r>
      <w:r>
        <w:rPr>
          <w:rFonts w:hint="eastAsia" w:ascii="仿宋" w:eastAsia="仿宋"/>
          <w:color w:val="000000"/>
          <w:sz w:val="32"/>
          <w:szCs w:val="32"/>
          <w:lang w:val="en-US" w:eastAsia="zh-CN"/>
        </w:rPr>
        <w:t>191.51</w:t>
      </w:r>
      <w:r>
        <w:rPr>
          <w:rFonts w:hint="eastAsia" w:ascii="仿宋" w:eastAsia="仿宋"/>
          <w:color w:val="000000"/>
          <w:sz w:val="32"/>
          <w:szCs w:val="32"/>
        </w:rPr>
        <w:t>万元，占</w:t>
      </w:r>
      <w:r>
        <w:rPr>
          <w:rFonts w:hint="eastAsia" w:ascii="仿宋" w:eastAsia="仿宋"/>
          <w:color w:val="000000"/>
          <w:sz w:val="32"/>
          <w:szCs w:val="32"/>
          <w:lang w:val="en-US" w:eastAsia="zh-CN"/>
        </w:rPr>
        <w:t>28.80</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Style w:val="19"/>
          <w:rFonts w:ascii="黑体" w:eastAsia="黑体"/>
          <w:b w:val="0"/>
        </w:rPr>
      </w:pPr>
      <w:bookmarkStart w:id="30" w:name="_Toc15396606"/>
      <w:bookmarkStart w:id="31"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pPr>
        <w:snapToGrid w:val="0"/>
        <w:spacing w:line="52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t>2020</w:t>
      </w:r>
      <w:r>
        <w:rPr>
          <w:rFonts w:hint="eastAsia" w:ascii="仿宋_GB2312" w:hAnsi="仿宋" w:eastAsia="仿宋_GB2312"/>
          <w:color w:val="000000"/>
          <w:sz w:val="32"/>
          <w:szCs w:val="32"/>
        </w:rPr>
        <w:t>年安宁镇财政拨款收入</w:t>
      </w:r>
      <w:r>
        <w:rPr>
          <w:rFonts w:hint="eastAsia" w:ascii="仿宋_GB2312" w:hAnsi="仿宋" w:eastAsia="仿宋_GB2312"/>
          <w:color w:val="000000"/>
          <w:sz w:val="32"/>
          <w:szCs w:val="32"/>
          <w:lang w:val="en-US" w:eastAsia="zh-CN"/>
        </w:rPr>
        <w:t>612.02</w:t>
      </w:r>
      <w:r>
        <w:rPr>
          <w:rFonts w:hint="eastAsia" w:ascii="仿宋_GB2312" w:hAnsi="仿宋" w:eastAsia="仿宋_GB2312"/>
          <w:color w:val="000000"/>
          <w:sz w:val="32"/>
          <w:szCs w:val="32"/>
        </w:rPr>
        <w:t>万元，财政拨款支出</w:t>
      </w:r>
      <w:r>
        <w:rPr>
          <w:rFonts w:hint="eastAsia" w:ascii="仿宋_GB2312" w:hAnsi="仿宋" w:eastAsia="仿宋_GB2312"/>
          <w:color w:val="000000"/>
          <w:sz w:val="32"/>
          <w:szCs w:val="32"/>
          <w:lang w:val="en-US" w:eastAsia="zh-CN"/>
        </w:rPr>
        <w:t>664.84</w:t>
      </w:r>
      <w:r>
        <w:rPr>
          <w:rFonts w:hint="eastAsia" w:ascii="仿宋_GB2312" w:hAnsi="仿宋" w:eastAsia="仿宋_GB2312"/>
          <w:color w:val="000000"/>
          <w:sz w:val="32"/>
          <w:szCs w:val="32"/>
        </w:rPr>
        <w:t>万元，财政拨款支出中具体情况如下：</w:t>
      </w:r>
    </w:p>
    <w:p>
      <w:pPr>
        <w:snapToGrid w:val="0"/>
        <w:spacing w:line="520" w:lineRule="exact"/>
        <w:ind w:firstLine="640" w:firstLineChars="200"/>
        <w:rPr>
          <w:rFonts w:hint="eastAsia" w:ascii="仿宋_GB2312" w:hAnsi="仿宋" w:eastAsia="仿宋_GB2312"/>
          <w:color w:val="FF0000"/>
          <w:sz w:val="32"/>
          <w:szCs w:val="32"/>
        </w:rPr>
      </w:pPr>
      <w:r>
        <w:rPr>
          <w:rFonts w:hint="eastAsia" w:ascii="仿宋_GB2312" w:hAnsi="仿宋" w:eastAsia="仿宋_GB2312"/>
          <w:color w:val="auto"/>
          <w:sz w:val="32"/>
          <w:szCs w:val="32"/>
          <w:lang w:eastAsia="zh-CN"/>
        </w:rPr>
        <w:t>2020</w:t>
      </w:r>
      <w:r>
        <w:rPr>
          <w:rFonts w:hint="eastAsia" w:ascii="仿宋_GB2312" w:hAnsi="仿宋" w:eastAsia="仿宋_GB2312"/>
          <w:color w:val="auto"/>
          <w:sz w:val="32"/>
          <w:szCs w:val="32"/>
        </w:rPr>
        <w:t>年安宁镇基本支出</w:t>
      </w:r>
      <w:r>
        <w:rPr>
          <w:rFonts w:hint="eastAsia" w:ascii="仿宋_GB2312" w:hAnsi="仿宋" w:eastAsia="仿宋_GB2312"/>
          <w:color w:val="auto"/>
          <w:sz w:val="32"/>
          <w:szCs w:val="32"/>
          <w:lang w:val="en-US" w:eastAsia="zh-CN"/>
        </w:rPr>
        <w:t>473.33</w:t>
      </w:r>
      <w:r>
        <w:rPr>
          <w:rFonts w:hint="eastAsia" w:ascii="仿宋_GB2312" w:hAnsi="仿宋" w:eastAsia="仿宋_GB2312"/>
          <w:color w:val="auto"/>
          <w:sz w:val="32"/>
          <w:szCs w:val="32"/>
        </w:rPr>
        <w:t>万元，占总支出的</w:t>
      </w:r>
      <w:r>
        <w:rPr>
          <w:rFonts w:hint="eastAsia" w:ascii="仿宋_GB2312" w:hAnsi="仿宋" w:eastAsia="仿宋_GB2312"/>
          <w:color w:val="auto"/>
          <w:sz w:val="32"/>
          <w:szCs w:val="32"/>
          <w:lang w:val="en-US" w:eastAsia="zh-CN"/>
        </w:rPr>
        <w:t>71.19</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2020</w:t>
      </w:r>
      <w:r>
        <w:rPr>
          <w:rFonts w:hint="eastAsia" w:ascii="仿宋_GB2312" w:hAnsi="仿宋" w:eastAsia="仿宋_GB2312"/>
          <w:color w:val="auto"/>
          <w:sz w:val="32"/>
          <w:szCs w:val="32"/>
        </w:rPr>
        <w:t>年安宁镇基本支出中人员经费支出</w:t>
      </w:r>
      <w:r>
        <w:rPr>
          <w:rFonts w:hint="eastAsia" w:ascii="仿宋_GB2312" w:hAnsi="仿宋" w:eastAsia="仿宋_GB2312"/>
          <w:color w:val="auto"/>
          <w:sz w:val="32"/>
          <w:szCs w:val="32"/>
          <w:lang w:val="en-US" w:eastAsia="zh-CN"/>
        </w:rPr>
        <w:t>458.15</w:t>
      </w:r>
      <w:r>
        <w:rPr>
          <w:rFonts w:hint="eastAsia" w:ascii="仿宋_GB2312" w:hAnsi="仿宋" w:eastAsia="仿宋_GB2312"/>
          <w:color w:val="auto"/>
          <w:sz w:val="32"/>
          <w:szCs w:val="32"/>
        </w:rPr>
        <w:t>万元，</w:t>
      </w:r>
      <w:r>
        <w:rPr>
          <w:rFonts w:hint="eastAsia" w:ascii="仿宋_GB2312" w:eastAsia="仿宋_GB2312"/>
          <w:color w:val="auto"/>
          <w:sz w:val="32"/>
          <w:szCs w:val="32"/>
        </w:rPr>
        <w:t>主要包括：基本工资</w:t>
      </w:r>
      <w:r>
        <w:rPr>
          <w:rFonts w:hint="eastAsia" w:ascii="仿宋_GB2312" w:eastAsia="仿宋_GB2312"/>
          <w:color w:val="auto"/>
          <w:sz w:val="32"/>
          <w:szCs w:val="32"/>
          <w:lang w:val="en-US" w:eastAsia="zh-CN"/>
        </w:rPr>
        <w:t>91.15</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133.78</w:t>
      </w:r>
      <w:r>
        <w:rPr>
          <w:rFonts w:hint="eastAsia" w:ascii="仿宋_GB2312" w:eastAsia="仿宋_GB2312"/>
          <w:color w:val="auto"/>
          <w:sz w:val="32"/>
          <w:szCs w:val="32"/>
        </w:rPr>
        <w:t>万元、奖金7</w:t>
      </w:r>
      <w:r>
        <w:rPr>
          <w:rFonts w:hint="eastAsia" w:ascii="仿宋_GB2312" w:eastAsia="仿宋_GB2312"/>
          <w:color w:val="auto"/>
          <w:sz w:val="32"/>
          <w:szCs w:val="32"/>
          <w:lang w:val="en-US" w:eastAsia="zh-CN"/>
        </w:rPr>
        <w:t>.30</w:t>
      </w:r>
      <w:r>
        <w:rPr>
          <w:rFonts w:hint="eastAsia" w:ascii="仿宋_GB2312" w:eastAsia="仿宋_GB2312"/>
          <w:color w:val="auto"/>
          <w:sz w:val="32"/>
          <w:szCs w:val="32"/>
        </w:rPr>
        <w:t>万元、绩效工资</w:t>
      </w:r>
      <w:r>
        <w:rPr>
          <w:rFonts w:hint="eastAsia" w:ascii="仿宋_GB2312" w:eastAsia="仿宋_GB2312"/>
          <w:color w:val="auto"/>
          <w:sz w:val="32"/>
          <w:szCs w:val="32"/>
          <w:lang w:val="en-US" w:eastAsia="zh-CN"/>
        </w:rPr>
        <w:t>17.41</w:t>
      </w:r>
      <w:r>
        <w:rPr>
          <w:rFonts w:hint="eastAsia" w:ascii="仿宋_GB2312" w:eastAsia="仿宋_GB2312"/>
          <w:color w:val="auto"/>
          <w:sz w:val="32"/>
          <w:szCs w:val="32"/>
        </w:rPr>
        <w:t>万元、机关事业单位基本养老保险缴费3</w:t>
      </w:r>
      <w:r>
        <w:rPr>
          <w:rFonts w:hint="eastAsia" w:ascii="仿宋_GB2312" w:eastAsia="仿宋_GB2312"/>
          <w:color w:val="auto"/>
          <w:sz w:val="32"/>
          <w:szCs w:val="32"/>
          <w:lang w:val="en-US" w:eastAsia="zh-CN"/>
        </w:rPr>
        <w:t>3.33</w:t>
      </w:r>
      <w:r>
        <w:rPr>
          <w:rFonts w:hint="eastAsia" w:ascii="仿宋_GB2312" w:eastAsia="仿宋_GB2312"/>
          <w:color w:val="auto"/>
          <w:sz w:val="32"/>
          <w:szCs w:val="32"/>
        </w:rPr>
        <w:t>万元、职业年金缴费16</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6</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万元、其他社会保障缴费</w:t>
      </w:r>
      <w:r>
        <w:rPr>
          <w:rFonts w:hint="eastAsia" w:ascii="仿宋_GB2312" w:eastAsia="仿宋_GB2312"/>
          <w:color w:val="auto"/>
          <w:sz w:val="32"/>
          <w:szCs w:val="32"/>
          <w:lang w:val="en-US" w:eastAsia="zh-CN"/>
        </w:rPr>
        <w:t>2.82</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36.40</w:t>
      </w:r>
      <w:r>
        <w:rPr>
          <w:rFonts w:hint="eastAsia" w:ascii="仿宋_GB2312" w:eastAsia="仿宋_GB2312"/>
          <w:color w:val="auto"/>
          <w:sz w:val="32"/>
          <w:szCs w:val="32"/>
        </w:rPr>
        <w:t>万元、职工基本医疗保险缴费</w:t>
      </w:r>
      <w:r>
        <w:rPr>
          <w:rFonts w:hint="eastAsia" w:ascii="仿宋_GB2312" w:eastAsia="仿宋_GB2312"/>
          <w:color w:val="auto"/>
          <w:sz w:val="32"/>
          <w:szCs w:val="32"/>
          <w:lang w:val="en-US" w:eastAsia="zh-CN"/>
        </w:rPr>
        <w:t>17.16</w:t>
      </w:r>
      <w:r>
        <w:rPr>
          <w:rFonts w:hint="eastAsia" w:ascii="仿宋_GB2312" w:eastAsia="仿宋_GB2312"/>
          <w:color w:val="auto"/>
          <w:sz w:val="32"/>
          <w:szCs w:val="32"/>
        </w:rPr>
        <w:t>万元、</w:t>
      </w:r>
      <w:r>
        <w:rPr>
          <w:rFonts w:hint="eastAsia" w:ascii="仿宋_GB2312" w:eastAsia="仿宋_GB2312"/>
          <w:color w:val="auto"/>
          <w:sz w:val="32"/>
          <w:szCs w:val="32"/>
          <w:lang w:eastAsia="zh-CN"/>
        </w:rPr>
        <w:t>公务员医疗补助</w:t>
      </w:r>
      <w:r>
        <w:rPr>
          <w:rFonts w:hint="eastAsia" w:ascii="仿宋_GB2312" w:eastAsia="仿宋_GB2312"/>
          <w:color w:val="auto"/>
          <w:sz w:val="32"/>
          <w:szCs w:val="32"/>
          <w:lang w:val="en-US" w:eastAsia="zh-CN"/>
        </w:rPr>
        <w:t>6.3</w:t>
      </w:r>
      <w:r>
        <w:rPr>
          <w:rFonts w:hint="eastAsia" w:ascii="仿宋_GB2312" w:eastAsia="仿宋_GB2312"/>
          <w:color w:val="auto"/>
          <w:sz w:val="32"/>
          <w:szCs w:val="32"/>
        </w:rPr>
        <w:t>万元、伙食补助费0万元</w:t>
      </w:r>
      <w:r>
        <w:rPr>
          <w:rFonts w:hint="eastAsia" w:ascii="仿宋_GB2312" w:eastAsia="仿宋_GB2312"/>
          <w:color w:val="auto"/>
          <w:sz w:val="32"/>
          <w:szCs w:val="32"/>
          <w:lang w:eastAsia="zh-CN"/>
        </w:rPr>
        <w:t>，</w:t>
      </w:r>
      <w:r>
        <w:rPr>
          <w:rFonts w:hint="eastAsia" w:ascii="仿宋_GB2312" w:eastAsia="仿宋_GB2312"/>
          <w:color w:val="auto"/>
          <w:sz w:val="32"/>
          <w:szCs w:val="32"/>
        </w:rPr>
        <w:t>其他工资福利支出0万元、离休费0万元、退休费0万元、抚恤金</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万元、生活补助</w:t>
      </w:r>
      <w:r>
        <w:rPr>
          <w:rFonts w:hint="eastAsia" w:ascii="仿宋_GB2312" w:eastAsia="仿宋_GB2312"/>
          <w:color w:val="auto"/>
          <w:sz w:val="32"/>
          <w:szCs w:val="32"/>
          <w:lang w:val="en-US" w:eastAsia="zh-CN"/>
        </w:rPr>
        <w:t>5.7</w:t>
      </w:r>
      <w:r>
        <w:rPr>
          <w:rFonts w:hint="eastAsia" w:ascii="仿宋_GB2312" w:eastAsia="仿宋_GB2312"/>
          <w:color w:val="auto"/>
          <w:sz w:val="32"/>
          <w:szCs w:val="32"/>
        </w:rPr>
        <w:t>万元、医疗费0万元、奖励金</w:t>
      </w:r>
      <w:r>
        <w:rPr>
          <w:rFonts w:hint="eastAsia" w:ascii="仿宋_GB2312" w:eastAsia="仿宋_GB2312"/>
          <w:color w:val="auto"/>
          <w:sz w:val="32"/>
          <w:szCs w:val="32"/>
          <w:lang w:val="en-US" w:eastAsia="zh-CN"/>
        </w:rPr>
        <w:t>76.33</w:t>
      </w:r>
      <w:r>
        <w:rPr>
          <w:rFonts w:hint="eastAsia" w:ascii="仿宋_GB2312" w:eastAsia="仿宋_GB2312"/>
          <w:color w:val="auto"/>
          <w:sz w:val="32"/>
          <w:szCs w:val="32"/>
        </w:rPr>
        <w:t>万元、提租补贴0万元、购房补贴0万元、其他对个人和家庭的补助支出0万元等。</w:t>
      </w:r>
    </w:p>
    <w:p>
      <w:pPr>
        <w:spacing w:line="600" w:lineRule="exact"/>
        <w:ind w:firstLine="645"/>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t>2020</w:t>
      </w:r>
      <w:r>
        <w:rPr>
          <w:rFonts w:hint="eastAsia" w:ascii="仿宋_GB2312" w:hAnsi="仿宋" w:eastAsia="仿宋_GB2312"/>
          <w:color w:val="000000"/>
          <w:sz w:val="32"/>
          <w:szCs w:val="32"/>
        </w:rPr>
        <w:t>年安宁镇基本支出中日常公用经费支出</w:t>
      </w:r>
      <w:r>
        <w:rPr>
          <w:rFonts w:hint="eastAsia" w:ascii="仿宋_GB2312" w:hAnsi="仿宋" w:eastAsia="仿宋_GB2312"/>
          <w:color w:val="000000"/>
          <w:sz w:val="32"/>
          <w:szCs w:val="32"/>
          <w:lang w:val="en-US" w:eastAsia="zh-CN"/>
        </w:rPr>
        <w:t>28.34</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主要包括：办公费</w:t>
      </w:r>
      <w:r>
        <w:rPr>
          <w:rFonts w:hint="eastAsia" w:ascii="仿宋_GB2312" w:eastAsia="仿宋_GB2312"/>
          <w:color w:val="000000"/>
          <w:sz w:val="32"/>
          <w:szCs w:val="32"/>
          <w:lang w:val="en-US" w:eastAsia="zh-CN"/>
        </w:rPr>
        <w:t>5.90</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万元、咨询费0万元、手续费0万元、水费0万元、电费</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万元、物业管理费0万元、差旅费</w:t>
      </w:r>
      <w:r>
        <w:rPr>
          <w:rFonts w:hint="eastAsia" w:ascii="仿宋_GB2312" w:eastAsia="仿宋_GB2312"/>
          <w:color w:val="000000"/>
          <w:sz w:val="32"/>
          <w:szCs w:val="32"/>
          <w:lang w:val="en-US" w:eastAsia="zh-CN"/>
        </w:rPr>
        <w:t>5.3</w:t>
      </w:r>
      <w:r>
        <w:rPr>
          <w:rFonts w:hint="eastAsia" w:ascii="仿宋_GB2312" w:eastAsia="仿宋_GB2312"/>
          <w:color w:val="000000"/>
          <w:sz w:val="32"/>
          <w:szCs w:val="32"/>
        </w:rPr>
        <w:t>万元、因公出国（境）费用0万元、维修（护）费0万元、租赁费0万元、会议费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万元、培训费0万元、公务接待费0万元、劳务费</w:t>
      </w:r>
      <w:r>
        <w:rPr>
          <w:rFonts w:hint="eastAsia" w:ascii="仿宋_GB2312" w:eastAsia="仿宋_GB2312"/>
          <w:color w:val="000000"/>
          <w:sz w:val="32"/>
          <w:szCs w:val="32"/>
          <w:lang w:val="en-US" w:eastAsia="zh-CN"/>
        </w:rPr>
        <w:t>2.76</w:t>
      </w:r>
      <w:r>
        <w:rPr>
          <w:rFonts w:hint="eastAsia" w:ascii="仿宋_GB2312" w:eastAsia="仿宋_GB2312"/>
          <w:color w:val="000000"/>
          <w:sz w:val="32"/>
          <w:szCs w:val="32"/>
        </w:rPr>
        <w:t>万元、委托业务费0万元、工会经费0万元、福利费0万元、公务用车运行维护费</w:t>
      </w:r>
      <w:r>
        <w:rPr>
          <w:rFonts w:hint="eastAsia" w:ascii="仿宋_GB2312" w:eastAsia="仿宋_GB2312"/>
          <w:color w:val="000000"/>
          <w:sz w:val="32"/>
          <w:szCs w:val="32"/>
          <w:lang w:val="en-US" w:eastAsia="zh-CN"/>
        </w:rPr>
        <w:t>4.72</w:t>
      </w:r>
      <w:r>
        <w:rPr>
          <w:rFonts w:hint="eastAsia" w:ascii="仿宋_GB2312" w:eastAsia="仿宋_GB2312"/>
          <w:color w:val="000000"/>
          <w:sz w:val="32"/>
          <w:szCs w:val="32"/>
        </w:rPr>
        <w:t>万元、其他交通费0万元、税金及附加费用0万元、其他商品和服务支出0万元、办公设备购置0万元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信息网络及软件购置更新0万元、其他资本性支出等。</w:t>
      </w:r>
    </w:p>
    <w:p>
      <w:pPr>
        <w:snapToGrid w:val="0"/>
        <w:spacing w:line="520" w:lineRule="exact"/>
        <w:ind w:firstLine="640" w:firstLineChars="200"/>
        <w:rPr>
          <w:rFonts w:hint="eastAsia" w:ascii="仿宋_GB2312" w:hAnsi="仿宋" w:eastAsia="仿宋_GB2312"/>
          <w:color w:val="FF0000"/>
          <w:sz w:val="32"/>
          <w:szCs w:val="32"/>
        </w:rPr>
      </w:pPr>
      <w:r>
        <w:rPr>
          <w:rFonts w:hint="eastAsia" w:ascii="仿宋_GB2312" w:hAnsi="仿宋" w:eastAsia="仿宋_GB2312"/>
          <w:color w:val="000000"/>
          <w:sz w:val="32"/>
          <w:szCs w:val="32"/>
          <w:lang w:eastAsia="zh-CN"/>
        </w:rPr>
        <w:t>2020</w:t>
      </w:r>
      <w:r>
        <w:rPr>
          <w:rFonts w:hint="eastAsia" w:ascii="仿宋_GB2312" w:hAnsi="仿宋" w:eastAsia="仿宋_GB2312"/>
          <w:color w:val="000000"/>
          <w:sz w:val="32"/>
          <w:szCs w:val="32"/>
        </w:rPr>
        <w:t>年安宁</w:t>
      </w:r>
      <w:r>
        <w:rPr>
          <w:rFonts w:hint="eastAsia" w:ascii="仿宋_GB2312" w:eastAsia="仿宋_GB2312"/>
          <w:color w:val="auto"/>
          <w:sz w:val="32"/>
          <w:szCs w:val="32"/>
        </w:rPr>
        <w:t>镇项目支出</w:t>
      </w:r>
      <w:r>
        <w:rPr>
          <w:rFonts w:hint="eastAsia" w:ascii="仿宋_GB2312" w:hAnsi="仿宋" w:eastAsia="仿宋_GB2312"/>
          <w:color w:val="auto"/>
          <w:sz w:val="32"/>
          <w:szCs w:val="32"/>
          <w:lang w:val="en-US" w:eastAsia="zh-CN"/>
        </w:rPr>
        <w:t>191.51</w:t>
      </w:r>
      <w:r>
        <w:rPr>
          <w:rFonts w:hint="eastAsia" w:ascii="仿宋_GB2312" w:hAnsi="仿宋" w:eastAsia="仿宋_GB2312"/>
          <w:color w:val="auto"/>
          <w:sz w:val="32"/>
          <w:szCs w:val="32"/>
        </w:rPr>
        <w:t>万元，占总支出</w:t>
      </w:r>
      <w:r>
        <w:rPr>
          <w:rFonts w:hint="eastAsia" w:ascii="仿宋_GB2312" w:hAnsi="仿宋" w:eastAsia="仿宋_GB2312"/>
          <w:color w:val="auto"/>
          <w:sz w:val="32"/>
          <w:szCs w:val="32"/>
          <w:lang w:val="en-US" w:eastAsia="zh-CN"/>
        </w:rPr>
        <w:t>32.11</w:t>
      </w:r>
      <w:r>
        <w:rPr>
          <w:rFonts w:hint="eastAsia" w:ascii="仿宋_GB2312" w:hAnsi="仿宋" w:eastAsia="仿宋_GB2312"/>
          <w:color w:val="auto"/>
          <w:sz w:val="32"/>
          <w:szCs w:val="32"/>
        </w:rPr>
        <w:t>%。</w:t>
      </w:r>
    </w:p>
    <w:p>
      <w:pPr>
        <w:ind w:left="0" w:leftChars="0" w:firstLine="0" w:firstLineChars="0"/>
        <w:rPr>
          <w:rFonts w:hint="eastAsia"/>
        </w:rPr>
      </w:pPr>
      <w:r>
        <w:rPr>
          <w:rFonts w:hint="eastAsia"/>
          <w:lang w:val="en-US" w:eastAsia="zh-CN"/>
        </w:rPr>
        <w:t>主要原因是疫情资金、村级运维经费列入项目支出。</w:t>
      </w:r>
    </w:p>
    <w:p>
      <w:pPr>
        <w:spacing w:line="600" w:lineRule="exact"/>
        <w:ind w:firstLine="640" w:firstLineChars="200"/>
        <w:rPr>
          <w:rStyle w:val="19"/>
          <w:rFonts w:ascii="黑体" w:eastAsia="黑体"/>
          <w:b w:val="0"/>
        </w:rPr>
      </w:pP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snapToGrid w:val="0"/>
        <w:spacing w:line="360" w:lineRule="auto"/>
        <w:ind w:firstLine="642" w:firstLineChars="200"/>
        <w:rPr>
          <w:rFonts w:hint="eastAsia" w:ascii="仿宋_GB2312" w:hAnsi="宋体" w:eastAsia="仿宋_GB2312" w:cs="宋体"/>
          <w:b/>
          <w:bCs/>
          <w:kern w:val="0"/>
          <w:sz w:val="32"/>
          <w:szCs w:val="32"/>
        </w:rPr>
      </w:pPr>
      <w:bookmarkStart w:id="34" w:name="_Toc15377212"/>
      <w:bookmarkStart w:id="35" w:name="_Toc15377213"/>
      <w:bookmarkStart w:id="36" w:name="_Toc15377444"/>
      <w:bookmarkStart w:id="37" w:name="_Toc15378460"/>
      <w:r>
        <w:rPr>
          <w:rFonts w:hint="eastAsia" w:ascii="仿宋_GB2312" w:hAnsi="宋体" w:eastAsia="仿宋_GB2312" w:cs="宋体"/>
          <w:b/>
          <w:bCs/>
          <w:kern w:val="0"/>
          <w:sz w:val="32"/>
          <w:szCs w:val="32"/>
        </w:rPr>
        <w:t>（一）收入支出预算安排情况。</w:t>
      </w:r>
    </w:p>
    <w:p>
      <w:pPr>
        <w:snapToGrid w:val="0"/>
        <w:spacing w:line="360" w:lineRule="auto"/>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eastAsia="zh-CN"/>
        </w:rPr>
        <w:t>2020</w:t>
      </w:r>
      <w:r>
        <w:rPr>
          <w:rFonts w:hint="eastAsia" w:ascii="仿宋_GB2312" w:hAnsi="宋体" w:eastAsia="仿宋_GB2312" w:cs="宋体"/>
          <w:color w:val="auto"/>
          <w:kern w:val="0"/>
          <w:sz w:val="32"/>
          <w:szCs w:val="32"/>
        </w:rPr>
        <w:t>年年初预算</w:t>
      </w:r>
      <w:bookmarkStart w:id="38" w:name="OLE_LINK7"/>
      <w:r>
        <w:rPr>
          <w:rFonts w:hint="eastAsia" w:ascii="仿宋_GB2312" w:hAnsi="宋体" w:eastAsia="仿宋_GB2312" w:cs="宋体"/>
          <w:color w:val="auto"/>
          <w:kern w:val="0"/>
          <w:sz w:val="32"/>
          <w:szCs w:val="32"/>
          <w:lang w:val="en-US" w:eastAsia="zh-CN"/>
        </w:rPr>
        <w:t>526.99</w:t>
      </w:r>
      <w:r>
        <w:rPr>
          <w:rFonts w:hint="eastAsia" w:ascii="仿宋_GB2312" w:hAnsi="宋体" w:eastAsia="仿宋_GB2312" w:cs="宋体"/>
          <w:color w:val="auto"/>
          <w:kern w:val="0"/>
          <w:sz w:val="32"/>
          <w:szCs w:val="32"/>
        </w:rPr>
        <w:t>万元</w:t>
      </w:r>
      <w:bookmarkEnd w:id="38"/>
      <w:r>
        <w:rPr>
          <w:rFonts w:hint="eastAsia" w:ascii="仿宋_GB2312" w:hAnsi="宋体" w:eastAsia="仿宋_GB2312" w:cs="宋体"/>
          <w:color w:val="auto"/>
          <w:kern w:val="0"/>
          <w:sz w:val="32"/>
          <w:szCs w:val="32"/>
        </w:rPr>
        <w:t>，与上年对比有所减少，原因为</w:t>
      </w:r>
      <w:r>
        <w:rPr>
          <w:rFonts w:hint="eastAsia" w:ascii="仿宋_GB2312" w:hAnsi="宋体" w:eastAsia="仿宋_GB2312" w:cs="宋体"/>
          <w:color w:val="auto"/>
          <w:kern w:val="0"/>
          <w:sz w:val="32"/>
          <w:szCs w:val="32"/>
          <w:lang w:val="en-US" w:eastAsia="zh-CN"/>
        </w:rPr>
        <w:t>三公经费减少、项目预算减少</w:t>
      </w:r>
      <w:r>
        <w:rPr>
          <w:rFonts w:hint="eastAsia" w:ascii="仿宋_GB2312" w:hAnsi="宋体" w:eastAsia="仿宋_GB2312" w:cs="宋体"/>
          <w:color w:val="auto"/>
          <w:kern w:val="0"/>
          <w:sz w:val="32"/>
          <w:szCs w:val="32"/>
        </w:rPr>
        <w:t>。</w:t>
      </w:r>
    </w:p>
    <w:p>
      <w:pPr>
        <w:snapToGrid w:val="0"/>
        <w:spacing w:line="360" w:lineRule="auto"/>
        <w:ind w:firstLine="642"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（二）收入支出预算执行情况。</w:t>
      </w:r>
    </w:p>
    <w:p>
      <w:pPr>
        <w:snapToGrid w:val="0"/>
        <w:spacing w:line="360" w:lineRule="auto"/>
        <w:ind w:firstLine="640" w:firstLineChars="200"/>
        <w:rPr>
          <w:rFonts w:hint="eastAsia"/>
          <w:szCs w:val="32"/>
        </w:rPr>
      </w:pPr>
      <w:r>
        <w:rPr>
          <w:rFonts w:hint="eastAsia" w:ascii="仿宋_GB2312" w:hAnsi="宋体" w:eastAsia="仿宋_GB2312" w:cs="宋体"/>
          <w:color w:val="auto"/>
          <w:kern w:val="0"/>
          <w:sz w:val="32"/>
          <w:szCs w:val="32"/>
          <w:lang w:eastAsia="zh-CN"/>
        </w:rPr>
        <w:t>2020</w:t>
      </w:r>
      <w:r>
        <w:rPr>
          <w:rFonts w:hint="eastAsia" w:ascii="仿宋_GB2312" w:hAnsi="宋体" w:eastAsia="仿宋_GB2312" w:cs="宋体"/>
          <w:color w:val="auto"/>
          <w:kern w:val="0"/>
          <w:sz w:val="32"/>
          <w:szCs w:val="32"/>
        </w:rPr>
        <w:t>年总收入</w:t>
      </w:r>
      <w:r>
        <w:rPr>
          <w:rFonts w:hint="eastAsia" w:ascii="仿宋_GB2312" w:hAnsi="宋体" w:eastAsia="仿宋_GB2312" w:cs="宋体"/>
          <w:color w:val="auto"/>
          <w:kern w:val="0"/>
          <w:sz w:val="32"/>
          <w:szCs w:val="32"/>
          <w:lang w:val="en-US" w:eastAsia="zh-CN"/>
        </w:rPr>
        <w:t>612.02</w:t>
      </w:r>
      <w:r>
        <w:rPr>
          <w:rFonts w:hint="eastAsia" w:ascii="仿宋_GB2312" w:hAnsi="宋体" w:eastAsia="仿宋_GB2312" w:cs="宋体"/>
          <w:color w:val="auto"/>
          <w:kern w:val="0"/>
          <w:sz w:val="32"/>
          <w:szCs w:val="32"/>
        </w:rPr>
        <w:t>万元，总支出</w:t>
      </w:r>
      <w:r>
        <w:rPr>
          <w:rFonts w:hint="eastAsia" w:ascii="仿宋_GB2312" w:hAnsi="宋体" w:eastAsia="仿宋_GB2312" w:cs="宋体"/>
          <w:color w:val="auto"/>
          <w:kern w:val="0"/>
          <w:sz w:val="32"/>
          <w:szCs w:val="32"/>
          <w:lang w:val="en-US" w:eastAsia="zh-CN"/>
        </w:rPr>
        <w:t>664.84</w:t>
      </w:r>
      <w:r>
        <w:rPr>
          <w:rFonts w:hint="eastAsia" w:ascii="仿宋_GB2312" w:hAnsi="宋体" w:eastAsia="仿宋_GB2312" w:cs="宋体"/>
          <w:color w:val="auto"/>
          <w:kern w:val="0"/>
          <w:sz w:val="32"/>
          <w:szCs w:val="32"/>
        </w:rPr>
        <w:t>万元，与上年度对比，基本支出增加，原因是</w:t>
      </w:r>
      <w:r>
        <w:rPr>
          <w:rFonts w:hint="eastAsia" w:ascii="仿宋_GB2312" w:hAnsi="宋体" w:eastAsia="仿宋_GB2312" w:cs="宋体"/>
          <w:color w:val="auto"/>
          <w:kern w:val="0"/>
          <w:sz w:val="32"/>
          <w:szCs w:val="32"/>
          <w:lang w:eastAsia="zh-CN"/>
        </w:rPr>
        <w:t>2020</w:t>
      </w:r>
      <w:r>
        <w:rPr>
          <w:rFonts w:hint="eastAsia" w:ascii="仿宋_GB2312" w:hAnsi="宋体" w:eastAsia="仿宋_GB2312" w:cs="宋体"/>
          <w:color w:val="auto"/>
          <w:kern w:val="0"/>
          <w:sz w:val="32"/>
          <w:szCs w:val="32"/>
        </w:rPr>
        <w:t>年职工人数增加及人员调资，项目支出</w:t>
      </w:r>
      <w:r>
        <w:rPr>
          <w:rFonts w:hint="eastAsia" w:ascii="仿宋_GB2312" w:hAnsi="宋体" w:eastAsia="仿宋_GB2312" w:cs="宋体"/>
          <w:color w:val="auto"/>
          <w:kern w:val="0"/>
          <w:sz w:val="32"/>
          <w:szCs w:val="32"/>
          <w:lang w:val="en-US" w:eastAsia="zh-CN"/>
        </w:rPr>
        <w:t>增加</w:t>
      </w:r>
      <w:r>
        <w:rPr>
          <w:rFonts w:hint="eastAsia" w:ascii="仿宋_GB2312" w:hAnsi="宋体" w:eastAsia="仿宋_GB2312" w:cs="宋体"/>
          <w:color w:val="auto"/>
          <w:kern w:val="0"/>
          <w:sz w:val="32"/>
          <w:szCs w:val="32"/>
        </w:rPr>
        <w:t>，原因是</w:t>
      </w:r>
      <w:r>
        <w:rPr>
          <w:rFonts w:hint="eastAsia" w:ascii="仿宋_GB2312" w:hAnsi="宋体" w:eastAsia="仿宋_GB2312" w:cs="宋体"/>
          <w:color w:val="auto"/>
          <w:kern w:val="0"/>
          <w:sz w:val="32"/>
          <w:szCs w:val="32"/>
          <w:lang w:eastAsia="zh-CN"/>
        </w:rPr>
        <w:t>2020</w:t>
      </w:r>
      <w:r>
        <w:rPr>
          <w:rFonts w:hint="eastAsia" w:ascii="仿宋_GB2312" w:hAnsi="宋体" w:eastAsia="仿宋_GB2312" w:cs="宋体"/>
          <w:color w:val="auto"/>
          <w:kern w:val="0"/>
          <w:sz w:val="32"/>
          <w:szCs w:val="32"/>
        </w:rPr>
        <w:t>年实施项目</w:t>
      </w:r>
      <w:r>
        <w:rPr>
          <w:rFonts w:hint="eastAsia" w:ascii="仿宋_GB2312" w:hAnsi="宋体" w:eastAsia="仿宋_GB2312" w:cs="宋体"/>
          <w:color w:val="auto"/>
          <w:kern w:val="0"/>
          <w:sz w:val="32"/>
          <w:szCs w:val="32"/>
          <w:lang w:val="en-US" w:eastAsia="zh-CN"/>
        </w:rPr>
        <w:t>增加，村级运维经费列入项目支出</w:t>
      </w:r>
      <w:r>
        <w:rPr>
          <w:rFonts w:hint="eastAsia" w:ascii="仿宋_GB2312" w:hAnsi="宋体" w:eastAsia="仿宋_GB2312" w:cs="宋体"/>
          <w:color w:val="auto"/>
          <w:kern w:val="0"/>
          <w:sz w:val="32"/>
          <w:szCs w:val="32"/>
        </w:rPr>
        <w:t>。</w:t>
      </w:r>
    </w:p>
    <w:p>
      <w:pPr>
        <w:rPr>
          <w:rFonts w:hint="eastAsia"/>
          <w:szCs w:val="32"/>
        </w:rPr>
      </w:pPr>
      <w:r>
        <w:drawing>
          <wp:inline distT="0" distB="0" distL="114300" distR="114300">
            <wp:extent cx="4853305" cy="3533140"/>
            <wp:effectExtent l="5080" t="4445" r="18415" b="571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rPr>
      </w:pPr>
    </w:p>
    <w:p>
      <w:pPr>
        <w:snapToGrid w:val="0"/>
        <w:spacing w:line="360" w:lineRule="auto"/>
        <w:ind w:firstLine="642"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1．收入支出与预算对比分析。</w:t>
      </w:r>
    </w:p>
    <w:p>
      <w:pPr>
        <w:snapToGrid w:val="0"/>
        <w:spacing w:line="360" w:lineRule="auto"/>
        <w:ind w:firstLine="642"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（1）预、决算差异情况。</w:t>
      </w:r>
    </w:p>
    <w:tbl>
      <w:tblPr>
        <w:tblStyle w:val="14"/>
        <w:tblW w:w="0" w:type="auto"/>
        <w:tblInd w:w="91" w:type="dxa"/>
        <w:tblLayout w:type="fixed"/>
        <w:tblCellMar>
          <w:top w:w="0" w:type="dxa"/>
          <w:left w:w="108" w:type="dxa"/>
          <w:bottom w:w="0" w:type="dxa"/>
          <w:right w:w="108" w:type="dxa"/>
        </w:tblCellMar>
      </w:tblPr>
      <w:tblGrid>
        <w:gridCol w:w="1140"/>
        <w:gridCol w:w="2670"/>
        <w:gridCol w:w="2220"/>
        <w:gridCol w:w="2280"/>
        <w:gridCol w:w="15"/>
      </w:tblGrid>
      <w:tr>
        <w:tblPrEx>
          <w:tblCellMar>
            <w:top w:w="0" w:type="dxa"/>
            <w:left w:w="108" w:type="dxa"/>
            <w:bottom w:w="0" w:type="dxa"/>
            <w:right w:w="108" w:type="dxa"/>
          </w:tblCellMar>
        </w:tblPrEx>
        <w:trPr>
          <w:trHeight w:val="397" w:hRule="atLeast"/>
        </w:trPr>
        <w:tc>
          <w:tcPr>
            <w:tcW w:w="8325" w:type="dxa"/>
            <w:gridSpan w:val="5"/>
            <w:tcBorders>
              <w:top w:val="nil"/>
              <w:left w:val="nil"/>
              <w:bottom w:val="single" w:color="auto" w:sz="4" w:space="0"/>
              <w:right w:val="nil"/>
            </w:tcBorders>
            <w:noWrap w:val="0"/>
            <w:vAlign w:val="center"/>
          </w:tcPr>
          <w:p>
            <w:pPr>
              <w:widowControl/>
              <w:jc w:val="center"/>
              <w:rPr>
                <w:rFonts w:ascii="宋体" w:hAnsi="宋体" w:cs="宋体"/>
                <w:kern w:val="0"/>
                <w:sz w:val="24"/>
              </w:rPr>
            </w:pPr>
            <w:r>
              <w:rPr>
                <w:rFonts w:hint="eastAsia" w:ascii="宋体" w:hAnsi="宋体" w:cs="宋体"/>
                <w:kern w:val="0"/>
                <w:sz w:val="28"/>
                <w:szCs w:val="28"/>
              </w:rPr>
              <w:t>收入与预算对比</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67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22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收入决算数</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预算数</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bookmarkStart w:id="39" w:name="OLE_LINK4" w:colFirst="1" w:colLast="1"/>
            <w:bookmarkStart w:id="40" w:name="OLE_LINK3" w:colFirst="1" w:colLast="1"/>
            <w:bookmarkStart w:id="41" w:name="OLE_LINK2" w:colFirst="1" w:colLast="1"/>
            <w:bookmarkStart w:id="42" w:name="OLE_LINK1" w:colFirst="1" w:colLast="1"/>
            <w:r>
              <w:rPr>
                <w:rFonts w:hint="eastAsia" w:ascii="宋体" w:hAnsi="宋体" w:cs="宋体"/>
                <w:kern w:val="0"/>
                <w:sz w:val="24"/>
                <w:lang w:val="en-US" w:eastAsia="zh-CN"/>
              </w:rPr>
              <w:t>2010101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人大运行</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0</w:t>
            </w:r>
          </w:p>
        </w:tc>
      </w:tr>
      <w:tr>
        <w:tblPrEx>
          <w:tblCellMar>
            <w:top w:w="0" w:type="dxa"/>
            <w:left w:w="108" w:type="dxa"/>
            <w:bottom w:w="0" w:type="dxa"/>
            <w:right w:w="108" w:type="dxa"/>
          </w:tblCellMar>
        </w:tblPrEx>
        <w:trPr>
          <w:trHeight w:val="90"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2010104</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人大会议</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7000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2000</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2010108</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代表工作</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19000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szCs w:val="24"/>
                <w:lang w:val="en-US" w:eastAsia="zh-CN" w:bidi="ar-SA"/>
              </w:rPr>
              <w:t>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2010301</w:t>
            </w:r>
          </w:p>
        </w:tc>
        <w:tc>
          <w:tcPr>
            <w:tcW w:w="267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政府运行</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2956596.23</w:t>
            </w:r>
          </w:p>
        </w:tc>
        <w:tc>
          <w:tcPr>
            <w:tcW w:w="228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szCs w:val="24"/>
                <w:lang w:val="en-US" w:eastAsia="zh-CN" w:bidi="ar-SA"/>
              </w:rPr>
              <w:t>2273258.14</w:t>
            </w:r>
          </w:p>
        </w:tc>
      </w:tr>
      <w:tr>
        <w:tblPrEx>
          <w:tblCellMar>
            <w:top w:w="0" w:type="dxa"/>
            <w:left w:w="108" w:type="dxa"/>
            <w:bottom w:w="0" w:type="dxa"/>
            <w:right w:w="108" w:type="dxa"/>
          </w:tblCellMar>
        </w:tblPrEx>
        <w:trPr>
          <w:gridAfter w:val="1"/>
          <w:wAfter w:w="15" w:type="dxa"/>
          <w:trHeight w:val="90"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2013101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党委运行</w:t>
            </w:r>
          </w:p>
        </w:tc>
        <w:tc>
          <w:tcPr>
            <w:tcW w:w="2220" w:type="dxa"/>
            <w:tcBorders>
              <w:top w:val="nil"/>
              <w:left w:val="nil"/>
              <w:bottom w:val="single" w:color="auto" w:sz="4" w:space="0"/>
              <w:right w:val="single" w:color="auto" w:sz="4" w:space="0"/>
            </w:tcBorders>
            <w:noWrap w:val="0"/>
            <w:vAlign w:val="center"/>
          </w:tcPr>
          <w:p>
            <w:pPr>
              <w:jc w:val="center"/>
              <w:rPr>
                <w:rFonts w:hint="default" w:eastAsia="宋体"/>
                <w:lang w:val="en-US" w:eastAsia="zh-CN"/>
              </w:rPr>
            </w:pPr>
            <w:r>
              <w:rPr>
                <w:rFonts w:hint="eastAsia" w:ascii="宋体" w:hAnsi="宋体" w:cs="宋体"/>
                <w:kern w:val="0"/>
                <w:sz w:val="24"/>
                <w:lang w:val="en-US" w:eastAsia="zh-CN"/>
              </w:rPr>
              <w:t>175527.94</w:t>
            </w:r>
          </w:p>
        </w:tc>
        <w:tc>
          <w:tcPr>
            <w:tcW w:w="228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szCs w:val="24"/>
                <w:lang w:val="en-US" w:eastAsia="zh-CN" w:bidi="ar-SA"/>
              </w:rPr>
              <w:t>180871.03</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2080505</w:t>
            </w:r>
          </w:p>
        </w:tc>
        <w:tc>
          <w:tcPr>
            <w:tcW w:w="267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养老保险缴费</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333308.32</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lang w:val="en-US" w:eastAsia="zh-CN"/>
              </w:rPr>
            </w:pPr>
            <w:r>
              <w:rPr>
                <w:rFonts w:hint="eastAsia" w:ascii="宋体" w:hAnsi="宋体" w:eastAsia="宋体" w:cs="宋体"/>
                <w:kern w:val="0"/>
                <w:sz w:val="24"/>
                <w:szCs w:val="24"/>
                <w:lang w:val="en-US" w:eastAsia="zh-CN" w:bidi="ar-SA"/>
              </w:rPr>
              <w:t>401283.36</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2080506</w:t>
            </w:r>
          </w:p>
        </w:tc>
        <w:tc>
          <w:tcPr>
            <w:tcW w:w="267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职业年金缴费</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166654.6</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lang w:val="en-US" w:eastAsia="zh-CN"/>
              </w:rPr>
            </w:pPr>
            <w:r>
              <w:rPr>
                <w:rFonts w:hint="eastAsia" w:ascii="宋体" w:hAnsi="宋体" w:eastAsia="宋体" w:cs="宋体"/>
                <w:kern w:val="0"/>
                <w:sz w:val="24"/>
                <w:szCs w:val="24"/>
                <w:lang w:val="en-US" w:eastAsia="zh-CN" w:bidi="ar-SA"/>
              </w:rPr>
              <w:t>200641.68</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2101101</w:t>
            </w:r>
          </w:p>
        </w:tc>
        <w:tc>
          <w:tcPr>
            <w:tcW w:w="267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行政单位医疗</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171612.41</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lang w:val="en-US" w:eastAsia="zh-CN"/>
              </w:rPr>
            </w:pPr>
            <w:r>
              <w:rPr>
                <w:rFonts w:hint="default" w:ascii="宋体" w:hAnsi="宋体" w:eastAsia="宋体" w:cs="宋体"/>
                <w:kern w:val="0"/>
                <w:sz w:val="24"/>
                <w:szCs w:val="24"/>
                <w:lang w:val="en-US" w:eastAsia="zh-CN" w:bidi="ar-SA"/>
              </w:rPr>
              <w:t>175561</w:t>
            </w:r>
            <w:r>
              <w:rPr>
                <w:rFonts w:hint="eastAsia" w:ascii="宋体" w:hAnsi="宋体" w:eastAsia="宋体" w:cs="宋体"/>
                <w:kern w:val="0"/>
                <w:sz w:val="24"/>
                <w:szCs w:val="24"/>
                <w:lang w:val="en-US" w:eastAsia="zh-CN" w:bidi="ar-SA"/>
              </w:rPr>
              <w:t>.</w:t>
            </w:r>
            <w:r>
              <w:rPr>
                <w:rFonts w:hint="default" w:ascii="宋体" w:hAnsi="宋体" w:eastAsia="宋体" w:cs="宋体"/>
                <w:kern w:val="0"/>
                <w:sz w:val="24"/>
                <w:szCs w:val="24"/>
                <w:lang w:val="en-US" w:eastAsia="zh-CN" w:bidi="ar-SA"/>
              </w:rPr>
              <w:t>47</w:t>
            </w:r>
          </w:p>
        </w:tc>
      </w:tr>
      <w:tr>
        <w:tblPrEx>
          <w:tblCellMar>
            <w:top w:w="0" w:type="dxa"/>
            <w:left w:w="108" w:type="dxa"/>
            <w:bottom w:w="0" w:type="dxa"/>
            <w:right w:w="108" w:type="dxa"/>
          </w:tblCellMar>
        </w:tblPrEx>
        <w:trPr>
          <w:gridAfter w:val="1"/>
          <w:wAfter w:w="15" w:type="dxa"/>
          <w:trHeight w:val="412"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2101103</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公务员医疗补助</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62771.94</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lang w:val="en-US" w:eastAsia="zh-CN"/>
              </w:rPr>
            </w:pPr>
            <w:r>
              <w:rPr>
                <w:rFonts w:hint="default" w:ascii="宋体" w:hAnsi="宋体" w:eastAsia="宋体" w:cs="宋体"/>
                <w:kern w:val="0"/>
                <w:sz w:val="24"/>
                <w:szCs w:val="24"/>
                <w:lang w:val="en-US" w:eastAsia="zh-CN" w:bidi="ar-SA"/>
              </w:rPr>
              <w:t>66608</w:t>
            </w:r>
            <w:r>
              <w:rPr>
                <w:rFonts w:hint="eastAsia" w:ascii="宋体" w:hAnsi="宋体" w:eastAsia="宋体" w:cs="宋体"/>
                <w:kern w:val="0"/>
                <w:sz w:val="24"/>
                <w:szCs w:val="24"/>
                <w:lang w:val="en-US" w:eastAsia="zh-CN" w:bidi="ar-SA"/>
              </w:rPr>
              <w:t>.</w:t>
            </w:r>
            <w:r>
              <w:rPr>
                <w:rFonts w:hint="default" w:ascii="宋体" w:hAnsi="宋体" w:eastAsia="宋体" w:cs="宋体"/>
                <w:kern w:val="0"/>
                <w:sz w:val="24"/>
                <w:szCs w:val="24"/>
                <w:lang w:val="en-US" w:eastAsia="zh-CN" w:bidi="ar-SA"/>
              </w:rPr>
              <w:t>1</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2130104</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事业运行</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397466.18</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lang w:val="en-US" w:eastAsia="zh-CN"/>
              </w:rPr>
            </w:pPr>
            <w:r>
              <w:rPr>
                <w:rFonts w:hint="default" w:ascii="宋体" w:hAnsi="宋体" w:eastAsia="宋体" w:cs="宋体"/>
                <w:kern w:val="0"/>
                <w:sz w:val="24"/>
                <w:szCs w:val="24"/>
                <w:lang w:val="en-US" w:eastAsia="zh-CN" w:bidi="ar-SA"/>
              </w:rPr>
              <w:t>318977</w:t>
            </w:r>
            <w:r>
              <w:rPr>
                <w:rFonts w:hint="eastAsia" w:ascii="宋体" w:hAnsi="宋体" w:eastAsia="宋体" w:cs="宋体"/>
                <w:kern w:val="0"/>
                <w:sz w:val="24"/>
                <w:szCs w:val="24"/>
                <w:lang w:val="en-US" w:eastAsia="zh-CN" w:bidi="ar-SA"/>
              </w:rPr>
              <w:t>.</w:t>
            </w:r>
            <w:r>
              <w:rPr>
                <w:rFonts w:hint="default" w:ascii="宋体" w:hAnsi="宋体" w:eastAsia="宋体" w:cs="宋体"/>
                <w:kern w:val="0"/>
                <w:sz w:val="24"/>
                <w:szCs w:val="24"/>
                <w:lang w:val="en-US" w:eastAsia="zh-CN" w:bidi="ar-SA"/>
              </w:rPr>
              <w:t>34</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2130204</w:t>
            </w:r>
          </w:p>
        </w:tc>
        <w:tc>
          <w:tcPr>
            <w:tcW w:w="267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事业机构</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105423.67</w:t>
            </w:r>
          </w:p>
        </w:tc>
        <w:tc>
          <w:tcPr>
            <w:tcW w:w="228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szCs w:val="24"/>
                <w:lang w:val="en-US" w:eastAsia="zh-CN" w:bidi="ar-SA"/>
              </w:rPr>
              <w:t>113616.18</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2130705</w:t>
            </w:r>
          </w:p>
        </w:tc>
        <w:tc>
          <w:tcPr>
            <w:tcW w:w="267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rPr>
              <w:t>对村民委员会和村党支部的补助</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szCs w:val="24"/>
                <w:lang w:val="en-US" w:eastAsia="zh-CN" w:bidi="ar-SA"/>
              </w:rPr>
              <w:t>1164340</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szCs w:val="24"/>
                <w:lang w:val="en-US" w:eastAsia="zh-CN" w:bidi="ar-SA"/>
              </w:rPr>
              <w:t>1187260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single" w:color="auto" w:sz="4" w:space="0"/>
              <w:left w:val="single" w:color="auto" w:sz="4" w:space="0"/>
              <w:bottom w:val="nil"/>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2210201</w:t>
            </w:r>
          </w:p>
        </w:tc>
        <w:tc>
          <w:tcPr>
            <w:tcW w:w="2670" w:type="dxa"/>
            <w:tcBorders>
              <w:top w:val="single" w:color="auto" w:sz="4" w:space="0"/>
              <w:left w:val="nil"/>
              <w:bottom w:val="nil"/>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 xml:space="preserve"> 住房公积金</w:t>
            </w:r>
          </w:p>
        </w:tc>
        <w:tc>
          <w:tcPr>
            <w:tcW w:w="2220" w:type="dxa"/>
            <w:tcBorders>
              <w:top w:val="single" w:color="auto" w:sz="4" w:space="0"/>
              <w:left w:val="nil"/>
              <w:bottom w:val="nil"/>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363967</w:t>
            </w:r>
          </w:p>
        </w:tc>
        <w:tc>
          <w:tcPr>
            <w:tcW w:w="2280" w:type="dxa"/>
            <w:tcBorders>
              <w:top w:val="single" w:color="auto" w:sz="4" w:space="0"/>
              <w:left w:val="nil"/>
              <w:bottom w:val="nil"/>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szCs w:val="24"/>
                <w:lang w:val="en-US" w:eastAsia="zh-CN" w:bidi="ar-SA"/>
              </w:rPr>
              <w:t>301015.8</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2299901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其他支出</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szCs w:val="24"/>
                <w:lang w:val="en-US" w:eastAsia="zh-CN" w:bidi="ar-SA"/>
              </w:rPr>
              <w:t>577091.8</w:t>
            </w:r>
          </w:p>
        </w:tc>
        <w:tc>
          <w:tcPr>
            <w:tcW w:w="228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48800.04</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cs="宋体"/>
                <w:kern w:val="0"/>
                <w:sz w:val="24"/>
                <w:lang w:val="en-US" w:eastAsia="zh-CN"/>
              </w:rPr>
            </w:pPr>
            <w:r>
              <w:rPr>
                <w:rFonts w:hint="eastAsia" w:ascii="宋体" w:hAnsi="宋体" w:cs="宋体"/>
                <w:kern w:val="0"/>
                <w:sz w:val="24"/>
                <w:lang w:val="en-US" w:eastAsia="zh-CN"/>
              </w:rPr>
              <w:t>合计</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c>
          <w:tcPr>
            <w:tcW w:w="22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i w:val="0"/>
                <w:color w:val="000000"/>
                <w:kern w:val="0"/>
                <w:sz w:val="24"/>
                <w:szCs w:val="24"/>
                <w:u w:val="none"/>
                <w:lang w:val="en-US" w:eastAsia="zh-CN" w:bidi="ar"/>
              </w:rPr>
              <w:t>6500760.09</w:t>
            </w:r>
          </w:p>
        </w:tc>
        <w:tc>
          <w:tcPr>
            <w:tcW w:w="22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kern w:val="0"/>
                <w:sz w:val="24"/>
                <w:lang w:val="en-US" w:eastAsia="zh-CN"/>
              </w:rPr>
            </w:pPr>
            <w:r>
              <w:rPr>
                <w:rFonts w:hint="eastAsia" w:ascii="宋体" w:hAnsi="宋体" w:eastAsia="宋体" w:cs="宋体"/>
                <w:i w:val="0"/>
                <w:color w:val="000000"/>
                <w:kern w:val="0"/>
                <w:sz w:val="24"/>
                <w:szCs w:val="24"/>
                <w:u w:val="none"/>
                <w:lang w:val="en-US" w:eastAsia="zh-CN" w:bidi="ar"/>
              </w:rPr>
              <w:t>5269893.14</w:t>
            </w:r>
          </w:p>
        </w:tc>
      </w:tr>
      <w:bookmarkEnd w:id="39"/>
      <w:bookmarkEnd w:id="40"/>
      <w:bookmarkEnd w:id="41"/>
      <w:bookmarkEnd w:id="42"/>
    </w:tbl>
    <w:p>
      <w:pPr>
        <w:snapToGrid w:val="0"/>
        <w:spacing w:line="360" w:lineRule="auto"/>
        <w:ind w:firstLine="642" w:firstLineChars="200"/>
        <w:rPr>
          <w:rFonts w:hint="eastAsia" w:ascii="仿宋_GB2312" w:hAnsi="宋体" w:eastAsia="仿宋_GB2312" w:cs="宋体"/>
          <w:b/>
          <w:bCs/>
          <w:kern w:val="0"/>
          <w:sz w:val="32"/>
          <w:szCs w:val="32"/>
        </w:rPr>
      </w:pPr>
    </w:p>
    <w:tbl>
      <w:tblPr>
        <w:tblStyle w:val="14"/>
        <w:tblW w:w="0" w:type="auto"/>
        <w:tblInd w:w="91" w:type="dxa"/>
        <w:tblLayout w:type="fixed"/>
        <w:tblCellMar>
          <w:top w:w="0" w:type="dxa"/>
          <w:left w:w="108" w:type="dxa"/>
          <w:bottom w:w="0" w:type="dxa"/>
          <w:right w:w="108" w:type="dxa"/>
        </w:tblCellMar>
      </w:tblPr>
      <w:tblGrid>
        <w:gridCol w:w="1140"/>
        <w:gridCol w:w="2670"/>
        <w:gridCol w:w="2220"/>
        <w:gridCol w:w="2280"/>
        <w:gridCol w:w="15"/>
      </w:tblGrid>
      <w:tr>
        <w:tblPrEx>
          <w:tblCellMar>
            <w:top w:w="0" w:type="dxa"/>
            <w:left w:w="108" w:type="dxa"/>
            <w:bottom w:w="0" w:type="dxa"/>
            <w:right w:w="108" w:type="dxa"/>
          </w:tblCellMar>
        </w:tblPrEx>
        <w:trPr>
          <w:trHeight w:val="397" w:hRule="atLeast"/>
        </w:trPr>
        <w:tc>
          <w:tcPr>
            <w:tcW w:w="8325" w:type="dxa"/>
            <w:gridSpan w:val="5"/>
            <w:tcBorders>
              <w:top w:val="nil"/>
              <w:left w:val="nil"/>
              <w:bottom w:val="single" w:color="auto" w:sz="4" w:space="0"/>
              <w:right w:val="nil"/>
            </w:tcBorders>
            <w:noWrap w:val="0"/>
            <w:vAlign w:val="center"/>
          </w:tcPr>
          <w:p>
            <w:pPr>
              <w:widowControl/>
              <w:jc w:val="center"/>
              <w:rPr>
                <w:rFonts w:ascii="宋体" w:hAnsi="宋体" w:cs="宋体"/>
                <w:kern w:val="0"/>
                <w:sz w:val="24"/>
              </w:rPr>
            </w:pPr>
            <w:r>
              <w:rPr>
                <w:rFonts w:hint="eastAsia" w:ascii="宋体" w:hAnsi="宋体" w:cs="宋体"/>
                <w:kern w:val="0"/>
                <w:sz w:val="28"/>
                <w:szCs w:val="28"/>
              </w:rPr>
              <w:t>支出与预算对比</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67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4"/>
              </w:rPr>
            </w:pPr>
            <w:r>
              <w:rPr>
                <w:rFonts w:hint="eastAsia" w:ascii="宋体" w:hAnsi="宋体" w:cs="宋体"/>
                <w:color w:val="auto"/>
                <w:kern w:val="0"/>
                <w:sz w:val="24"/>
              </w:rPr>
              <w:t>　</w:t>
            </w:r>
          </w:p>
        </w:tc>
        <w:tc>
          <w:tcPr>
            <w:tcW w:w="222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4"/>
              </w:rPr>
            </w:pPr>
            <w:r>
              <w:rPr>
                <w:rFonts w:hint="eastAsia" w:ascii="宋体" w:hAnsi="宋体" w:cs="宋体"/>
                <w:color w:val="auto"/>
                <w:kern w:val="0"/>
                <w:sz w:val="24"/>
              </w:rPr>
              <w:t>支出决算数</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 w:val="24"/>
              </w:rPr>
            </w:pPr>
            <w:r>
              <w:rPr>
                <w:rFonts w:hint="eastAsia" w:ascii="宋体" w:hAnsi="宋体" w:cs="宋体"/>
                <w:color w:val="auto"/>
                <w:kern w:val="0"/>
                <w:sz w:val="24"/>
              </w:rPr>
              <w:t>预算数</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2010101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lang w:val="en-US" w:eastAsia="zh-CN"/>
              </w:rPr>
              <w:t>人大运行</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lang w:val="en-US" w:eastAsia="zh-CN"/>
              </w:rPr>
              <w:t>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lang w:val="en-US" w:eastAsia="zh-CN"/>
              </w:rPr>
              <w:t>0</w:t>
            </w:r>
          </w:p>
        </w:tc>
      </w:tr>
      <w:tr>
        <w:tblPrEx>
          <w:tblCellMar>
            <w:top w:w="0" w:type="dxa"/>
            <w:left w:w="108" w:type="dxa"/>
            <w:bottom w:w="0" w:type="dxa"/>
            <w:right w:w="108" w:type="dxa"/>
          </w:tblCellMar>
        </w:tblPrEx>
        <w:trPr>
          <w:trHeight w:val="90"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2010104</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人大会议</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7000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2000</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2010108</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代表工作</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19000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0</w:t>
            </w:r>
          </w:p>
        </w:tc>
      </w:tr>
      <w:tr>
        <w:tblPrEx>
          <w:tblCellMar>
            <w:top w:w="0" w:type="dxa"/>
            <w:left w:w="108" w:type="dxa"/>
            <w:bottom w:w="0" w:type="dxa"/>
            <w:right w:w="108" w:type="dxa"/>
          </w:tblCellMar>
        </w:tblPrEx>
        <w:trPr>
          <w:gridAfter w:val="1"/>
          <w:wAfter w:w="15" w:type="dxa"/>
          <w:trHeight w:val="38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2010301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政府运行</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2956596.23</w:t>
            </w:r>
          </w:p>
        </w:tc>
        <w:tc>
          <w:tcPr>
            <w:tcW w:w="228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2273258.14</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2013101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党委运行</w:t>
            </w:r>
          </w:p>
        </w:tc>
        <w:tc>
          <w:tcPr>
            <w:tcW w:w="2220" w:type="dxa"/>
            <w:tcBorders>
              <w:top w:val="nil"/>
              <w:left w:val="nil"/>
              <w:bottom w:val="single" w:color="auto" w:sz="4" w:space="0"/>
              <w:right w:val="single" w:color="auto" w:sz="4" w:space="0"/>
            </w:tcBorders>
            <w:noWrap w:val="0"/>
            <w:vAlign w:val="center"/>
          </w:tcPr>
          <w:p>
            <w:pPr>
              <w:jc w:val="center"/>
              <w:rPr>
                <w:rFonts w:hint="eastAsia" w:eastAsia="宋体"/>
                <w:kern w:val="2"/>
                <w:sz w:val="21"/>
                <w:szCs w:val="24"/>
                <w:lang w:val="en-US" w:eastAsia="zh-CN" w:bidi="ar-SA"/>
              </w:rPr>
            </w:pPr>
            <w:r>
              <w:rPr>
                <w:rFonts w:hint="eastAsia" w:ascii="宋体" w:hAnsi="宋体" w:cs="宋体"/>
                <w:kern w:val="0"/>
                <w:sz w:val="24"/>
                <w:lang w:val="en-US" w:eastAsia="zh-CN"/>
              </w:rPr>
              <w:t>175527.94</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180871.03</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2080505</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养老保险缴费</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333308.32</w:t>
            </w:r>
          </w:p>
        </w:tc>
        <w:tc>
          <w:tcPr>
            <w:tcW w:w="2280" w:type="dxa"/>
            <w:tcBorders>
              <w:top w:val="nil"/>
              <w:left w:val="nil"/>
              <w:bottom w:val="single" w:color="auto" w:sz="4" w:space="0"/>
              <w:right w:val="single" w:color="auto" w:sz="4" w:space="0"/>
            </w:tcBorders>
            <w:noWrap w:val="0"/>
            <w:vAlign w:val="center"/>
          </w:tcPr>
          <w:p>
            <w:pPr>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401283.36</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2080506</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职业年金缴费</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166654.6</w:t>
            </w:r>
          </w:p>
        </w:tc>
        <w:tc>
          <w:tcPr>
            <w:tcW w:w="2280" w:type="dxa"/>
            <w:tcBorders>
              <w:top w:val="nil"/>
              <w:left w:val="nil"/>
              <w:bottom w:val="single" w:color="auto" w:sz="4" w:space="0"/>
              <w:right w:val="single" w:color="auto" w:sz="4" w:space="0"/>
            </w:tcBorders>
            <w:noWrap w:val="0"/>
            <w:vAlign w:val="center"/>
          </w:tcPr>
          <w:p>
            <w:pPr>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200641.68</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2101101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行政单位医疗</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171612.41</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175561</w:t>
            </w:r>
            <w:r>
              <w:rPr>
                <w:rFonts w:hint="eastAsia" w:ascii="宋体" w:hAnsi="宋体" w:eastAsia="宋体" w:cs="宋体"/>
                <w:kern w:val="0"/>
                <w:sz w:val="24"/>
                <w:szCs w:val="24"/>
                <w:lang w:val="en-US" w:eastAsia="zh-CN" w:bidi="ar-SA"/>
              </w:rPr>
              <w:t>.</w:t>
            </w:r>
            <w:r>
              <w:rPr>
                <w:rFonts w:hint="default" w:ascii="宋体" w:hAnsi="宋体" w:eastAsia="宋体" w:cs="宋体"/>
                <w:kern w:val="0"/>
                <w:sz w:val="24"/>
                <w:szCs w:val="24"/>
                <w:lang w:val="en-US" w:eastAsia="zh-CN" w:bidi="ar-SA"/>
              </w:rPr>
              <w:t>47</w:t>
            </w:r>
          </w:p>
        </w:tc>
      </w:tr>
      <w:tr>
        <w:tblPrEx>
          <w:tblCellMar>
            <w:top w:w="0" w:type="dxa"/>
            <w:left w:w="108" w:type="dxa"/>
            <w:bottom w:w="0" w:type="dxa"/>
            <w:right w:w="108" w:type="dxa"/>
          </w:tblCellMar>
        </w:tblPrEx>
        <w:trPr>
          <w:gridAfter w:val="1"/>
          <w:wAfter w:w="15" w:type="dxa"/>
          <w:trHeight w:val="412"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2101103</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公务员医疗补助</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62771.94</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66608</w:t>
            </w:r>
            <w:r>
              <w:rPr>
                <w:rFonts w:hint="eastAsia" w:ascii="宋体" w:hAnsi="宋体" w:eastAsia="宋体" w:cs="宋体"/>
                <w:kern w:val="0"/>
                <w:sz w:val="24"/>
                <w:szCs w:val="24"/>
                <w:lang w:val="en-US" w:eastAsia="zh-CN" w:bidi="ar-SA"/>
              </w:rPr>
              <w:t>.</w:t>
            </w:r>
            <w:r>
              <w:rPr>
                <w:rFonts w:hint="default" w:ascii="宋体" w:hAnsi="宋体" w:eastAsia="宋体" w:cs="宋体"/>
                <w:kern w:val="0"/>
                <w:sz w:val="24"/>
                <w:szCs w:val="24"/>
                <w:lang w:val="en-US" w:eastAsia="zh-CN" w:bidi="ar-SA"/>
              </w:rPr>
              <w:t>1</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2130104</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事业运行</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397466.18</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318977</w:t>
            </w:r>
            <w:r>
              <w:rPr>
                <w:rFonts w:hint="eastAsia" w:ascii="宋体" w:hAnsi="宋体" w:eastAsia="宋体" w:cs="宋体"/>
                <w:kern w:val="0"/>
                <w:sz w:val="24"/>
                <w:szCs w:val="24"/>
                <w:lang w:val="en-US" w:eastAsia="zh-CN" w:bidi="ar-SA"/>
              </w:rPr>
              <w:t>.</w:t>
            </w:r>
            <w:r>
              <w:rPr>
                <w:rFonts w:hint="default" w:ascii="宋体" w:hAnsi="宋体" w:eastAsia="宋体" w:cs="宋体"/>
                <w:kern w:val="0"/>
                <w:sz w:val="24"/>
                <w:szCs w:val="24"/>
                <w:lang w:val="en-US" w:eastAsia="zh-CN" w:bidi="ar-SA"/>
              </w:rPr>
              <w:t>34</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2130142</w:t>
            </w:r>
          </w:p>
        </w:tc>
        <w:tc>
          <w:tcPr>
            <w:tcW w:w="267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事业机构</w:t>
            </w:r>
          </w:p>
        </w:tc>
        <w:tc>
          <w:tcPr>
            <w:tcW w:w="222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105423.67</w:t>
            </w:r>
          </w:p>
        </w:tc>
        <w:tc>
          <w:tcPr>
            <w:tcW w:w="228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szCs w:val="24"/>
                <w:lang w:val="en-US" w:eastAsia="zh-CN" w:bidi="ar-SA"/>
              </w:rPr>
            </w:pPr>
            <w:r>
              <w:rPr>
                <w:rFonts w:hint="eastAsia" w:ascii="宋体" w:hAnsi="宋体" w:cs="宋体"/>
                <w:kern w:val="0"/>
                <w:sz w:val="24"/>
                <w:szCs w:val="24"/>
                <w:lang w:val="en-US" w:eastAsia="zh-CN" w:bidi="ar-SA"/>
              </w:rPr>
              <w:t>113616.18</w:t>
            </w:r>
          </w:p>
        </w:tc>
      </w:tr>
      <w:tr>
        <w:tblPrEx>
          <w:tblCellMar>
            <w:top w:w="0" w:type="dxa"/>
            <w:left w:w="108" w:type="dxa"/>
            <w:bottom w:w="0" w:type="dxa"/>
            <w:right w:w="108" w:type="dxa"/>
          </w:tblCellMar>
        </w:tblPrEx>
        <w:trPr>
          <w:gridAfter w:val="1"/>
          <w:wAfter w:w="15" w:type="dxa"/>
          <w:trHeight w:val="409"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2130705</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对村民委员会和村党支部的补助</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1164340</w:t>
            </w:r>
          </w:p>
        </w:tc>
        <w:tc>
          <w:tcPr>
            <w:tcW w:w="2280" w:type="dxa"/>
            <w:tcBorders>
              <w:top w:val="nil"/>
              <w:left w:val="nil"/>
              <w:bottom w:val="single" w:color="auto" w:sz="4" w:space="0"/>
              <w:right w:val="single" w:color="auto" w:sz="4" w:space="0"/>
            </w:tcBorders>
            <w:noWrap w:val="0"/>
            <w:vAlign w:val="center"/>
          </w:tcPr>
          <w:p>
            <w:pPr>
              <w:jc w:val="center"/>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1187260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nil"/>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2210201</w:t>
            </w:r>
          </w:p>
        </w:tc>
        <w:tc>
          <w:tcPr>
            <w:tcW w:w="2670" w:type="dxa"/>
            <w:tcBorders>
              <w:top w:val="nil"/>
              <w:left w:val="nil"/>
              <w:bottom w:val="nil"/>
              <w:right w:val="single" w:color="auto" w:sz="4" w:space="0"/>
            </w:tcBorders>
            <w:noWrap w:val="0"/>
            <w:vAlign w:val="center"/>
          </w:tcPr>
          <w:p>
            <w:pPr>
              <w:widowControl/>
              <w:jc w:val="center"/>
              <w:rPr>
                <w:rFonts w:hint="eastAsia" w:ascii="宋体" w:hAnsi="宋体" w:cs="宋体"/>
                <w:kern w:val="0"/>
                <w:sz w:val="24"/>
                <w:szCs w:val="24"/>
                <w:lang w:val="en-US" w:eastAsia="zh-CN" w:bidi="ar-SA"/>
              </w:rPr>
            </w:pPr>
            <w:r>
              <w:rPr>
                <w:rFonts w:hint="eastAsia" w:ascii="宋体" w:hAnsi="宋体" w:cs="宋体"/>
                <w:kern w:val="0"/>
                <w:sz w:val="24"/>
              </w:rPr>
              <w:t xml:space="preserve"> 住房公积金</w:t>
            </w:r>
          </w:p>
        </w:tc>
        <w:tc>
          <w:tcPr>
            <w:tcW w:w="2220" w:type="dxa"/>
            <w:tcBorders>
              <w:top w:val="nil"/>
              <w:left w:val="nil"/>
              <w:bottom w:val="nil"/>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363967</w:t>
            </w:r>
          </w:p>
        </w:tc>
        <w:tc>
          <w:tcPr>
            <w:tcW w:w="2280" w:type="dxa"/>
            <w:tcBorders>
              <w:top w:val="nil"/>
              <w:left w:val="nil"/>
              <w:bottom w:val="nil"/>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301015.8</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2299901</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szCs w:val="24"/>
                <w:lang w:val="en-US" w:eastAsia="zh-CN" w:bidi="ar-SA"/>
              </w:rPr>
            </w:pPr>
            <w:r>
              <w:rPr>
                <w:rFonts w:hint="eastAsia" w:ascii="宋体" w:hAnsi="宋体" w:cs="宋体"/>
                <w:kern w:val="0"/>
                <w:sz w:val="24"/>
              </w:rPr>
              <w:t>其他支出</w:t>
            </w:r>
          </w:p>
        </w:tc>
        <w:tc>
          <w:tcPr>
            <w:tcW w:w="222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577091.8</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48800.04</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合计</w:t>
            </w:r>
          </w:p>
        </w:tc>
        <w:tc>
          <w:tcPr>
            <w:tcW w:w="267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szCs w:val="24"/>
                <w:lang w:val="en-US" w:eastAsia="zh-CN" w:bidi="ar-SA"/>
              </w:rPr>
            </w:pPr>
          </w:p>
        </w:tc>
        <w:tc>
          <w:tcPr>
            <w:tcW w:w="22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color w:val="000000"/>
                <w:kern w:val="0"/>
                <w:sz w:val="24"/>
                <w:szCs w:val="24"/>
                <w:u w:val="none"/>
                <w:lang w:val="en-US" w:eastAsia="zh-CN" w:bidi="ar"/>
              </w:rPr>
              <w:t>6500760.09</w:t>
            </w:r>
          </w:p>
        </w:tc>
        <w:tc>
          <w:tcPr>
            <w:tcW w:w="22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color w:val="000000"/>
                <w:kern w:val="0"/>
                <w:sz w:val="24"/>
                <w:szCs w:val="24"/>
                <w:u w:val="none"/>
                <w:lang w:val="en-US" w:eastAsia="zh-CN" w:bidi="ar"/>
              </w:rPr>
              <w:t>5269893.14</w:t>
            </w:r>
          </w:p>
        </w:tc>
      </w:tr>
    </w:tbl>
    <w:p>
      <w:pPr>
        <w:numPr>
          <w:ilvl w:val="0"/>
          <w:numId w:val="3"/>
        </w:numPr>
        <w:snapToGrid w:val="0"/>
        <w:spacing w:line="360" w:lineRule="auto"/>
        <w:ind w:firstLine="642"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差异原因分析</w:t>
      </w:r>
    </w:p>
    <w:p>
      <w:pPr>
        <w:snapToGrid w:val="0"/>
        <w:spacing w:line="360" w:lineRule="auto"/>
        <w:ind w:firstLine="640" w:firstLineChars="200"/>
        <w:rPr>
          <w:rFonts w:hint="default" w:ascii="仿宋_GB2312" w:hAnsi="宋体" w:eastAsia="仿宋_GB2312" w:cs="宋体"/>
          <w:bCs/>
          <w:color w:val="auto"/>
          <w:kern w:val="0"/>
          <w:sz w:val="32"/>
          <w:szCs w:val="32"/>
          <w:lang w:val="en-US" w:eastAsia="zh-CN"/>
        </w:rPr>
      </w:pPr>
      <w:r>
        <w:rPr>
          <w:rFonts w:hint="eastAsia" w:ascii="仿宋_GB2312" w:eastAsia="仿宋_GB2312"/>
          <w:bCs/>
          <w:color w:val="auto"/>
          <w:sz w:val="32"/>
        </w:rPr>
        <w:t>决算收入数大于预算数，原因是</w:t>
      </w:r>
      <w:r>
        <w:rPr>
          <w:rFonts w:hint="eastAsia" w:ascii="仿宋_GB2312" w:eastAsia="仿宋_GB2312"/>
          <w:bCs/>
          <w:color w:val="auto"/>
          <w:sz w:val="32"/>
          <w:lang w:eastAsia="zh-CN"/>
        </w:rPr>
        <w:t>2020</w:t>
      </w:r>
      <w:r>
        <w:rPr>
          <w:rFonts w:hint="eastAsia" w:ascii="仿宋_GB2312" w:eastAsia="仿宋_GB2312"/>
          <w:bCs/>
          <w:color w:val="auto"/>
          <w:sz w:val="32"/>
        </w:rPr>
        <w:t>年</w:t>
      </w:r>
      <w:r>
        <w:rPr>
          <w:rFonts w:hint="eastAsia" w:ascii="仿宋_GB2312" w:hAnsi="宋体" w:eastAsia="仿宋_GB2312" w:cs="宋体"/>
          <w:color w:val="auto"/>
          <w:kern w:val="0"/>
          <w:sz w:val="32"/>
          <w:szCs w:val="32"/>
        </w:rPr>
        <w:t>职工人数增加及人员调资</w:t>
      </w:r>
      <w:r>
        <w:rPr>
          <w:rFonts w:hint="eastAsia" w:ascii="仿宋_GB2312" w:eastAsia="仿宋_GB2312"/>
          <w:bCs/>
          <w:color w:val="auto"/>
          <w:sz w:val="32"/>
        </w:rPr>
        <w:t>；决算支出数大于预算数，原因是支出</w:t>
      </w:r>
      <w:r>
        <w:rPr>
          <w:rFonts w:hint="eastAsia" w:ascii="仿宋_GB2312" w:eastAsia="仿宋_GB2312"/>
          <w:bCs/>
          <w:color w:val="auto"/>
          <w:sz w:val="32"/>
          <w:lang w:eastAsia="zh-CN"/>
        </w:rPr>
        <w:t>2020</w:t>
      </w:r>
      <w:r>
        <w:rPr>
          <w:rFonts w:hint="eastAsia" w:ascii="仿宋_GB2312" w:eastAsia="仿宋_GB2312"/>
          <w:bCs/>
          <w:color w:val="auto"/>
          <w:sz w:val="32"/>
        </w:rPr>
        <w:t>年</w:t>
      </w:r>
      <w:r>
        <w:rPr>
          <w:rFonts w:hint="eastAsia" w:ascii="仿宋_GB2312" w:hAnsi="宋体" w:eastAsia="仿宋_GB2312" w:cs="宋体"/>
          <w:color w:val="auto"/>
          <w:kern w:val="0"/>
          <w:sz w:val="32"/>
          <w:szCs w:val="32"/>
        </w:rPr>
        <w:t>职工人数增加及人员调资</w:t>
      </w:r>
      <w:r>
        <w:rPr>
          <w:rFonts w:hint="eastAsia" w:ascii="仿宋_GB2312" w:eastAsia="仿宋_GB2312"/>
          <w:bCs/>
          <w:color w:val="auto"/>
          <w:sz w:val="32"/>
        </w:rPr>
        <w:t>。</w:t>
      </w:r>
      <w:r>
        <w:rPr>
          <w:rFonts w:hint="eastAsia" w:ascii="仿宋_GB2312" w:eastAsia="仿宋_GB2312"/>
          <w:bCs/>
          <w:color w:val="auto"/>
          <w:sz w:val="32"/>
          <w:lang w:val="en-US" w:eastAsia="zh-CN"/>
        </w:rPr>
        <w:t>疫情防控资金增加。</w:t>
      </w:r>
    </w:p>
    <w:p>
      <w:pPr>
        <w:snapToGrid w:val="0"/>
        <w:spacing w:line="520" w:lineRule="exact"/>
        <w:ind w:firstLine="642" w:firstLineChars="200"/>
        <w:rPr>
          <w:rFonts w:hint="eastAsia" w:ascii="仿宋_GB2312" w:hAnsi="仿宋" w:eastAsia="仿宋_GB2312"/>
          <w:b/>
          <w:color w:val="auto"/>
          <w:sz w:val="32"/>
          <w:szCs w:val="32"/>
        </w:rPr>
      </w:pPr>
      <w:r>
        <w:rPr>
          <w:rFonts w:hint="eastAsia" w:ascii="仿宋_GB2312" w:hAnsi="仿宋" w:eastAsia="仿宋_GB2312"/>
          <w:b/>
          <w:color w:val="auto"/>
          <w:sz w:val="32"/>
          <w:szCs w:val="32"/>
        </w:rPr>
        <w:t>2．收入支出结构分析</w:t>
      </w:r>
    </w:p>
    <w:p>
      <w:pPr>
        <w:snapToGrid w:val="0"/>
        <w:spacing w:line="520" w:lineRule="exact"/>
        <w:ind w:firstLine="642" w:firstLineChars="200"/>
        <w:rPr>
          <w:rFonts w:hint="eastAsia" w:ascii="仿宋_GB2312" w:hAnsi="仿宋" w:eastAsia="仿宋_GB2312"/>
          <w:b/>
          <w:bCs/>
          <w:sz w:val="32"/>
          <w:szCs w:val="32"/>
        </w:rPr>
      </w:pPr>
      <w:r>
        <w:rPr>
          <w:rFonts w:hint="eastAsia" w:ascii="仿宋_GB2312" w:hAnsi="仿宋" w:eastAsia="仿宋_GB2312"/>
          <w:b/>
          <w:bCs/>
          <w:sz w:val="32"/>
          <w:szCs w:val="32"/>
        </w:rPr>
        <w:t>（1）各项收入占总收入的比重</w:t>
      </w:r>
    </w:p>
    <w:p>
      <w:pPr>
        <w:rPr>
          <w:rFonts w:hint="eastAsia" w:eastAsia="宋体"/>
          <w:szCs w:val="32"/>
          <w:lang w:eastAsia="zh-CN"/>
        </w:rPr>
      </w:pPr>
      <w:r>
        <w:drawing>
          <wp:inline distT="0" distB="0" distL="114300" distR="114300">
            <wp:extent cx="5661025" cy="3020695"/>
            <wp:effectExtent l="4445" t="4445" r="11430" b="2286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4"/>
        </w:numPr>
        <w:snapToGrid w:val="0"/>
        <w:spacing w:line="360" w:lineRule="auto"/>
        <w:ind w:firstLine="642" w:firstLineChars="200"/>
        <w:rPr>
          <w:rFonts w:hint="eastAsia" w:ascii="仿宋_GB2312" w:eastAsia="仿宋_GB2312"/>
          <w:b/>
          <w:bCs/>
          <w:sz w:val="32"/>
        </w:rPr>
      </w:pPr>
      <w:r>
        <w:rPr>
          <w:rFonts w:hint="eastAsia" w:ascii="仿宋_GB2312" w:eastAsia="仿宋_GB2312"/>
          <w:b/>
          <w:bCs/>
          <w:sz w:val="32"/>
        </w:rPr>
        <w:t>各项支出占总支出的比重</w:t>
      </w:r>
    </w:p>
    <w:p>
      <w:pPr>
        <w:snapToGrid w:val="0"/>
        <w:spacing w:line="360" w:lineRule="auto"/>
        <w:rPr>
          <w:rFonts w:hint="eastAsia"/>
          <w:szCs w:val="32"/>
        </w:rPr>
      </w:pPr>
      <w:r>
        <w:drawing>
          <wp:inline distT="0" distB="0" distL="114300" distR="114300">
            <wp:extent cx="5845175" cy="3653790"/>
            <wp:effectExtent l="4445" t="4445" r="17780" b="1841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napToGrid w:val="0"/>
        <w:spacing w:line="520" w:lineRule="exact"/>
        <w:ind w:firstLine="642" w:firstLineChars="200"/>
        <w:rPr>
          <w:rFonts w:hint="eastAsia" w:ascii="仿宋_GB2312" w:hAnsi="仿宋" w:eastAsia="仿宋_GB2312"/>
          <w:b/>
          <w:sz w:val="32"/>
          <w:szCs w:val="32"/>
        </w:rPr>
      </w:pPr>
      <w:r>
        <w:rPr>
          <w:rFonts w:hint="eastAsia" w:ascii="仿宋_GB2312" w:hAnsi="仿宋" w:eastAsia="仿宋_GB2312"/>
          <w:b/>
          <w:sz w:val="32"/>
          <w:szCs w:val="32"/>
        </w:rPr>
        <w:t>3．支出按经济分类科目分析。</w:t>
      </w:r>
    </w:p>
    <w:p>
      <w:pPr>
        <w:snapToGrid w:val="0"/>
        <w:spacing w:line="520" w:lineRule="exact"/>
        <w:ind w:firstLine="642" w:firstLineChars="200"/>
        <w:rPr>
          <w:rFonts w:hint="eastAsia" w:ascii="仿宋_GB2312" w:hAnsi="仿宋" w:eastAsia="仿宋_GB2312"/>
          <w:b/>
          <w:bCs/>
          <w:sz w:val="32"/>
          <w:szCs w:val="32"/>
        </w:rPr>
      </w:pPr>
      <w:r>
        <w:rPr>
          <w:rFonts w:hint="eastAsia" w:ascii="仿宋_GB2312" w:hAnsi="仿宋" w:eastAsia="仿宋_GB2312"/>
          <w:b/>
          <w:bCs/>
          <w:sz w:val="32"/>
          <w:szCs w:val="32"/>
        </w:rPr>
        <w:t>（1）“三公”经费支出情况</w:t>
      </w:r>
    </w:p>
    <w:p>
      <w:r>
        <w:drawing>
          <wp:inline distT="0" distB="0" distL="114300" distR="114300">
            <wp:extent cx="5356860" cy="2910840"/>
            <wp:effectExtent l="4445" t="4445" r="10795" b="5651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napToGrid w:val="0"/>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年度“三公”经费财政拨款支出决算中，三公</w:t>
      </w:r>
      <w:r>
        <w:rPr>
          <w:rFonts w:hint="eastAsia" w:ascii="仿宋_GB2312" w:eastAsia="仿宋_GB2312"/>
          <w:color w:val="000000"/>
          <w:sz w:val="32"/>
          <w:szCs w:val="32"/>
          <w:lang w:eastAsia="zh-CN"/>
        </w:rPr>
        <w:t>经费支出</w:t>
      </w:r>
      <w:r>
        <w:rPr>
          <w:rFonts w:hint="eastAsia" w:ascii="仿宋_GB2312" w:eastAsia="仿宋_GB2312"/>
          <w:color w:val="000000"/>
          <w:sz w:val="32"/>
          <w:szCs w:val="32"/>
          <w:lang w:val="en-US" w:eastAsia="zh-CN"/>
        </w:rPr>
        <w:t>4.71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其中因公出国（境）费支出决算0万元，占0%；公务用车运行维护费支出决算</w:t>
      </w:r>
      <w:r>
        <w:rPr>
          <w:rFonts w:hint="eastAsia" w:ascii="仿宋_GB2312" w:eastAsia="仿宋_GB2312"/>
          <w:color w:val="000000"/>
          <w:sz w:val="32"/>
          <w:szCs w:val="32"/>
          <w:lang w:val="en-US" w:eastAsia="zh-CN"/>
        </w:rPr>
        <w:t>4.71</w:t>
      </w:r>
      <w:r>
        <w:rPr>
          <w:rFonts w:hint="eastAsia" w:ascii="仿宋_GB2312" w:eastAsia="仿宋_GB2312"/>
          <w:color w:val="000000"/>
          <w:sz w:val="32"/>
          <w:szCs w:val="32"/>
        </w:rPr>
        <w:t>万元，占100%</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较上年公务用车减少0.824万元，减少16%。原因是规范公务用车，建立用车台账，使用公车进行登记；取消油卡，进行公务卡刷油报账制度，降低公务用车使用成本。</w:t>
      </w:r>
      <w:r>
        <w:rPr>
          <w:rFonts w:hint="eastAsia" w:ascii="仿宋_GB2312" w:eastAsia="仿宋_GB2312"/>
          <w:color w:val="000000"/>
          <w:sz w:val="32"/>
          <w:szCs w:val="32"/>
        </w:rPr>
        <w:t>公务接待费支出决算0万元，占0%。</w:t>
      </w:r>
    </w:p>
    <w:p>
      <w:pPr>
        <w:snapToGrid w:val="0"/>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年均未开支公务接待费，无人因公出境。</w:t>
      </w:r>
    </w:p>
    <w:p>
      <w:pPr>
        <w:snapToGrid w:val="0"/>
        <w:spacing w:line="520" w:lineRule="exact"/>
        <w:ind w:firstLine="640" w:firstLineChars="200"/>
        <w:rPr>
          <w:rFonts w:hint="eastAsia"/>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年安宁镇人民政府</w:t>
      </w:r>
      <w:r>
        <w:rPr>
          <w:rFonts w:hint="eastAsia" w:ascii="仿宋_GB2312" w:eastAsia="仿宋_GB2312"/>
          <w:color w:val="000000"/>
          <w:sz w:val="32"/>
          <w:szCs w:val="32"/>
        </w:rPr>
        <w:t>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hAnsi="仿宋" w:eastAsia="仿宋_GB2312"/>
          <w:color w:val="000000"/>
          <w:sz w:val="32"/>
          <w:szCs w:val="32"/>
        </w:rPr>
        <w:t>，</w:t>
      </w:r>
      <w:r>
        <w:rPr>
          <w:rFonts w:hint="eastAsia" w:ascii="仿宋_GB2312" w:eastAsia="仿宋_GB2312"/>
          <w:color w:val="000000"/>
          <w:sz w:val="32"/>
          <w:szCs w:val="32"/>
        </w:rPr>
        <w:t>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辆、金额0万元，越野车1辆，载客汽车0辆、金额0万元，主要用于开展各项政府工作。</w:t>
      </w:r>
    </w:p>
    <w:p>
      <w:pPr>
        <w:numPr>
          <w:ilvl w:val="0"/>
          <w:numId w:val="5"/>
        </w:numPr>
        <w:ind w:firstLine="640" w:firstLineChars="200"/>
        <w:rPr>
          <w:rFonts w:hint="eastAsia" w:ascii="仿宋_GB2312" w:hAnsi="仿宋" w:eastAsia="仿宋_GB2312"/>
          <w:sz w:val="32"/>
          <w:szCs w:val="32"/>
        </w:rPr>
      </w:pPr>
      <w:r>
        <w:rPr>
          <w:rFonts w:hint="eastAsia" w:ascii="仿宋_GB2312" w:hAnsi="仿宋" w:eastAsia="仿宋_GB2312"/>
          <w:sz w:val="32"/>
          <w:szCs w:val="32"/>
        </w:rPr>
        <w:t>会议费支出情况</w:t>
      </w:r>
    </w:p>
    <w:p>
      <w:pPr>
        <w:ind w:left="0" w:leftChars="0"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年安宁镇人民政府年初预算会议费0.</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万元，年底决算为</w:t>
      </w:r>
      <w:r>
        <w:rPr>
          <w:rFonts w:hint="eastAsia" w:ascii="仿宋_GB2312" w:hAnsi="仿宋" w:eastAsia="仿宋_GB2312"/>
          <w:color w:val="000000"/>
          <w:sz w:val="32"/>
          <w:szCs w:val="32"/>
          <w:lang w:val="en-US" w:eastAsia="zh-CN"/>
        </w:rPr>
        <w:t>2.6万元。</w:t>
      </w:r>
      <w:r>
        <w:rPr>
          <w:rFonts w:hint="eastAsia" w:ascii="仿宋_GB2312" w:hAnsi="仿宋" w:eastAsia="仿宋_GB2312"/>
          <w:color w:val="000000"/>
          <w:sz w:val="32"/>
          <w:szCs w:val="32"/>
          <w:lang w:eastAsia="zh-CN"/>
        </w:rPr>
        <w:t>2020</w:t>
      </w:r>
      <w:r>
        <w:rPr>
          <w:rFonts w:hint="eastAsia" w:ascii="仿宋_GB2312" w:hAnsi="仿宋" w:eastAsia="仿宋_GB2312"/>
          <w:color w:val="000000"/>
          <w:sz w:val="32"/>
          <w:szCs w:val="32"/>
        </w:rPr>
        <w:t>年安宁镇人民政府人大代表工作办公费及会议费</w:t>
      </w:r>
      <w:r>
        <w:rPr>
          <w:rFonts w:hint="eastAsia" w:ascii="仿宋_GB2312" w:hAnsi="仿宋" w:eastAsia="仿宋_GB2312"/>
          <w:color w:val="000000"/>
          <w:sz w:val="32"/>
          <w:szCs w:val="32"/>
          <w:lang w:val="en-US" w:eastAsia="zh-CN"/>
        </w:rPr>
        <w:t>为3.6万元。</w:t>
      </w:r>
    </w:p>
    <w:p>
      <w:pPr>
        <w:rPr>
          <w:rFonts w:hint="eastAsia"/>
          <w:lang w:val="en-US" w:eastAsia="zh-CN"/>
        </w:rPr>
      </w:pPr>
    </w:p>
    <w:p>
      <w:pPr>
        <w:ind w:left="0" w:leftChars="0" w:firstLine="420" w:firstLineChars="200"/>
        <w:jc w:val="left"/>
        <w:rPr>
          <w:rFonts w:hint="eastAsia" w:ascii="仿宋_GB2312" w:hAnsi="仿宋" w:eastAsia="仿宋_GB2312"/>
          <w:color w:val="000000"/>
          <w:sz w:val="32"/>
          <w:szCs w:val="32"/>
        </w:rPr>
      </w:pPr>
      <w:r>
        <w:drawing>
          <wp:inline distT="0" distB="0" distL="114300" distR="114300">
            <wp:extent cx="4572000" cy="2743200"/>
            <wp:effectExtent l="4445" t="4445" r="14605" b="14605"/>
            <wp:docPr id="14" name="图表 14"/>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hint="eastAsia"/>
        </w:rPr>
      </w:pPr>
    </w:p>
    <w:p>
      <w:pPr>
        <w:snapToGrid w:val="0"/>
        <w:spacing w:line="360" w:lineRule="auto"/>
        <w:rPr>
          <w:rFonts w:hint="eastAsia" w:ascii="仿宋_GB2312" w:eastAsia="仿宋_GB2312"/>
          <w:color w:val="auto"/>
          <w:sz w:val="32"/>
        </w:rPr>
      </w:pPr>
      <w:r>
        <w:rPr>
          <w:rFonts w:hint="eastAsia" w:ascii="仿宋_GB2312" w:eastAsia="仿宋_GB2312"/>
          <w:color w:val="auto"/>
          <w:sz w:val="32"/>
        </w:rPr>
        <w:t>（3）其他对部门影响较大的支出情况：无</w:t>
      </w:r>
    </w:p>
    <w:p>
      <w:pPr>
        <w:snapToGrid w:val="0"/>
        <w:spacing w:line="520" w:lineRule="exact"/>
        <w:rPr>
          <w:rFonts w:hint="eastAsia" w:ascii="仿宋_GB2312" w:hAnsi="仿宋" w:eastAsia="仿宋_GB2312"/>
          <w:color w:val="auto"/>
          <w:sz w:val="32"/>
          <w:szCs w:val="32"/>
        </w:rPr>
      </w:pPr>
      <w:r>
        <w:rPr>
          <w:rFonts w:hint="eastAsia" w:ascii="仿宋_GB2312" w:eastAsia="仿宋_GB2312"/>
          <w:color w:val="auto"/>
          <w:sz w:val="32"/>
        </w:rPr>
        <w:t>（4）重点经济分类支出中存在的问题及改进措施：</w:t>
      </w:r>
      <w:r>
        <w:rPr>
          <w:rFonts w:hint="eastAsia" w:ascii="仿宋_GB2312" w:hAnsi="仿宋" w:eastAsia="仿宋_GB2312"/>
          <w:color w:val="auto"/>
          <w:sz w:val="32"/>
          <w:szCs w:val="32"/>
        </w:rPr>
        <w:t>暂未发现相关问题</w:t>
      </w:r>
    </w:p>
    <w:p>
      <w:pPr>
        <w:spacing w:line="600" w:lineRule="exact"/>
        <w:ind w:firstLine="642" w:firstLineChars="200"/>
        <w:outlineLvl w:val="2"/>
        <w:rPr>
          <w:rFonts w:hint="eastAsia" w:ascii="仿宋" w:eastAsia="仿宋"/>
          <w:b/>
          <w:color w:val="000000"/>
          <w:sz w:val="32"/>
          <w:szCs w:val="32"/>
          <w:lang w:val="en-US" w:eastAsia="zh-CN"/>
        </w:rPr>
      </w:pPr>
      <w:r>
        <w:rPr>
          <w:rFonts w:hint="eastAsia" w:ascii="仿宋" w:eastAsia="仿宋"/>
          <w:b/>
          <w:color w:val="000000"/>
          <w:sz w:val="32"/>
          <w:szCs w:val="32"/>
        </w:rPr>
        <w:t>（三）一般公共预算财政拨款支出决算具体情况</w:t>
      </w:r>
      <w:bookmarkEnd w:id="34"/>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lang w:eastAsia="zh-CN"/>
        </w:rPr>
        <w:t>2020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w:t>
      </w:r>
      <w:r>
        <w:rPr>
          <w:rFonts w:hint="eastAsia" w:ascii="仿宋_GB2312" w:hAnsi="宋体" w:eastAsia="仿宋_GB2312" w:cs="宋体"/>
          <w:color w:val="auto"/>
          <w:kern w:val="0"/>
          <w:sz w:val="32"/>
          <w:szCs w:val="32"/>
          <w:lang w:val="en-US" w:eastAsia="zh-CN"/>
        </w:rPr>
        <w:t>526.99</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支出决算数为</w:t>
      </w:r>
      <w:r>
        <w:rPr>
          <w:rFonts w:hint="eastAsia" w:ascii="仿宋_GB2312" w:hAnsi="宋体" w:eastAsia="仿宋_GB2312" w:cs="宋体"/>
          <w:color w:val="auto"/>
          <w:kern w:val="0"/>
          <w:sz w:val="32"/>
          <w:szCs w:val="32"/>
          <w:lang w:val="en-US" w:eastAsia="zh-CN"/>
        </w:rPr>
        <w:t>664.84</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w:t>
      </w:r>
      <w:r>
        <w:rPr>
          <w:rFonts w:hint="eastAsia" w:ascii="仿宋" w:eastAsia="仿宋"/>
          <w:b w:val="0"/>
          <w:bCs/>
          <w:color w:val="000000"/>
          <w:sz w:val="32"/>
          <w:szCs w:val="32"/>
          <w:lang w:eastAsia="zh-CN"/>
        </w:rPr>
        <w:t>超额</w:t>
      </w:r>
      <w:r>
        <w:rPr>
          <w:rFonts w:hint="eastAsia" w:ascii="仿宋" w:eastAsia="仿宋"/>
          <w:b w:val="0"/>
          <w:bCs/>
          <w:color w:val="000000"/>
          <w:sz w:val="32"/>
          <w:szCs w:val="32"/>
        </w:rPr>
        <w:t>完</w:t>
      </w:r>
      <w:r>
        <w:rPr>
          <w:rStyle w:val="16"/>
          <w:rFonts w:hint="eastAsia" w:ascii="仿宋" w:eastAsia="仿宋"/>
          <w:b w:val="0"/>
          <w:bCs/>
          <w:color w:val="000000"/>
          <w:sz w:val="32"/>
          <w:szCs w:val="32"/>
        </w:rPr>
        <w:t>成预算。其中：</w:t>
      </w:r>
      <w:bookmarkEnd w:id="35"/>
      <w:bookmarkEnd w:id="36"/>
      <w:bookmarkEnd w:id="37"/>
    </w:p>
    <w:p>
      <w:pPr>
        <w:numPr>
          <w:ilvl w:val="0"/>
          <w:numId w:val="6"/>
        </w:numPr>
        <w:spacing w:line="600" w:lineRule="exact"/>
        <w:ind w:left="0" w:firstLine="642" w:firstLineChars="200"/>
        <w:rPr>
          <w:rStyle w:val="16"/>
          <w:rFonts w:hint="eastAsia" w:ascii="仿宋" w:eastAsia="仿宋"/>
          <w:b w:val="0"/>
          <w:bCs/>
          <w:color w:val="000000"/>
          <w:sz w:val="32"/>
          <w:szCs w:val="32"/>
        </w:rPr>
      </w:pP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政府办公厅（室）及相关机构事务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人大会议</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0.7</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numPr>
          <w:ilvl w:val="0"/>
          <w:numId w:val="0"/>
        </w:numPr>
        <w:spacing w:line="600" w:lineRule="exact"/>
        <w:ind w:leftChars="200"/>
        <w:rPr>
          <w:rFonts w:hint="eastAsia" w:eastAsia="仿宋"/>
          <w:lang w:eastAsia="zh-CN"/>
        </w:rPr>
      </w:pP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政府办公厅（室）及相关机构事务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代表工作（</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0.7</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numPr>
          <w:ilvl w:val="0"/>
          <w:numId w:val="6"/>
        </w:numPr>
        <w:spacing w:line="600" w:lineRule="exact"/>
        <w:ind w:left="0" w:leftChars="0" w:firstLine="642" w:firstLineChars="200"/>
        <w:rPr>
          <w:rStyle w:val="16"/>
          <w:rFonts w:ascii="仿宋" w:eastAsia="仿宋"/>
          <w:b w:val="0"/>
          <w:bCs/>
          <w:color w:val="000000"/>
          <w:sz w:val="32"/>
          <w:szCs w:val="32"/>
        </w:rPr>
      </w:pP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政府办公厅（室）及相关机构事务</w:t>
      </w:r>
      <w:r>
        <w:rPr>
          <w:rStyle w:val="16"/>
          <w:rFonts w:hint="eastAsia" w:ascii="仿宋" w:eastAsia="仿宋"/>
          <w:bCs/>
          <w:color w:val="000000"/>
          <w:sz w:val="32"/>
          <w:szCs w:val="32"/>
        </w:rPr>
        <w:t>（款）</w:t>
      </w:r>
      <w:r>
        <w:rPr>
          <w:rStyle w:val="16"/>
          <w:rFonts w:hint="eastAsia" w:ascii="仿宋"/>
          <w:bCs/>
          <w:color w:val="000000"/>
          <w:sz w:val="32"/>
          <w:szCs w:val="32"/>
          <w:lang w:eastAsia="zh-CN"/>
        </w:rPr>
        <w:t>行</w:t>
      </w:r>
      <w:r>
        <w:rPr>
          <w:rStyle w:val="16"/>
          <w:rFonts w:hint="eastAsia" w:ascii="仿宋" w:eastAsia="仿宋"/>
          <w:bCs/>
          <w:color w:val="000000"/>
          <w:sz w:val="32"/>
          <w:szCs w:val="32"/>
          <w:lang w:eastAsia="zh-CN"/>
        </w:rPr>
        <w:t>政运行</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295.6</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val="en-US" w:eastAsia="zh-CN"/>
        </w:rPr>
        <w:t>.</w:t>
      </w:r>
    </w:p>
    <w:p>
      <w:pPr>
        <w:numPr>
          <w:ilvl w:val="0"/>
          <w:numId w:val="0"/>
        </w:numPr>
        <w:spacing w:line="600" w:lineRule="exact"/>
        <w:ind w:leftChars="200"/>
      </w:pP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党委办公厅（室）及相关机构事务</w:t>
      </w:r>
      <w:r>
        <w:rPr>
          <w:rStyle w:val="16"/>
          <w:rFonts w:hint="eastAsia" w:ascii="仿宋" w:eastAsia="仿宋"/>
          <w:bCs/>
          <w:color w:val="000000"/>
          <w:sz w:val="32"/>
          <w:szCs w:val="32"/>
        </w:rPr>
        <w:t>（款）</w:t>
      </w:r>
      <w:r>
        <w:rPr>
          <w:rStyle w:val="16"/>
          <w:rFonts w:hint="eastAsia" w:ascii="仿宋"/>
          <w:bCs/>
          <w:color w:val="000000"/>
          <w:sz w:val="32"/>
          <w:szCs w:val="32"/>
          <w:lang w:eastAsia="zh-CN"/>
        </w:rPr>
        <w:t>行</w:t>
      </w:r>
      <w:r>
        <w:rPr>
          <w:rStyle w:val="16"/>
          <w:rFonts w:hint="eastAsia" w:ascii="仿宋" w:eastAsia="仿宋"/>
          <w:bCs/>
          <w:color w:val="000000"/>
          <w:sz w:val="32"/>
          <w:szCs w:val="32"/>
          <w:lang w:eastAsia="zh-CN"/>
        </w:rPr>
        <w:t>政运行</w:t>
      </w:r>
      <w:r>
        <w:rPr>
          <w:rStyle w:val="16"/>
          <w:rFonts w:hint="eastAsia" w:ascii="仿宋" w:eastAsia="仿宋"/>
          <w:bCs/>
          <w:color w:val="000000"/>
          <w:sz w:val="32"/>
          <w:szCs w:val="32"/>
        </w:rPr>
        <w:t>（项）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17.55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val="en-US" w:eastAsia="zh-CN"/>
        </w:rPr>
        <w:t>.</w:t>
      </w:r>
    </w:p>
    <w:p>
      <w:pPr>
        <w:numPr>
          <w:ilvl w:val="0"/>
          <w:numId w:val="0"/>
        </w:numPr>
        <w:spacing w:line="600" w:lineRule="exact"/>
        <w:ind w:leftChars="200"/>
        <w:rPr>
          <w:rFonts w:hint="eastAsia" w:ascii="仿宋" w:eastAsia="仿宋"/>
          <w:b/>
          <w:color w:val="000000"/>
          <w:sz w:val="32"/>
          <w:szCs w:val="32"/>
          <w:lang w:eastAsia="zh-CN"/>
        </w:rPr>
      </w:pPr>
      <w:r>
        <w:rPr>
          <w:rStyle w:val="16"/>
          <w:rFonts w:hint="eastAsia" w:ascii="仿宋" w:eastAsia="仿宋"/>
          <w:bCs/>
          <w:color w:val="000000"/>
          <w:sz w:val="32"/>
          <w:szCs w:val="32"/>
          <w:lang w:val="en-US" w:eastAsia="zh-CN"/>
        </w:rPr>
        <w:t>3</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w:t>
      </w:r>
      <w:r>
        <w:rPr>
          <w:rStyle w:val="16"/>
          <w:rFonts w:hint="eastAsia" w:ascii="仿宋" w:eastAsia="仿宋"/>
          <w:bCs/>
          <w:color w:val="000000"/>
          <w:sz w:val="32"/>
          <w:szCs w:val="32"/>
          <w:lang w:val="en-US" w:eastAsia="zh-CN"/>
        </w:rPr>
        <w:t>行政事业单位离退休</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机关事业单位基本养老保险缴费支出</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33.33</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spacing w:line="600" w:lineRule="exact"/>
        <w:ind w:firstLine="642" w:firstLineChars="200"/>
        <w:rPr>
          <w:rFonts w:hint="eastAsia" w:ascii="仿宋" w:eastAsia="仿宋"/>
          <w:b/>
          <w:color w:val="000000"/>
          <w:sz w:val="32"/>
          <w:szCs w:val="32"/>
          <w:lang w:eastAsia="zh-CN"/>
        </w:rPr>
      </w:pPr>
      <w:r>
        <w:rPr>
          <w:rStyle w:val="16"/>
          <w:rFonts w:hint="eastAsia" w:ascii="仿宋" w:eastAsia="仿宋"/>
          <w:bCs/>
          <w:color w:val="000000"/>
          <w:sz w:val="32"/>
          <w:szCs w:val="32"/>
          <w:lang w:val="en-US" w:eastAsia="zh-CN"/>
        </w:rPr>
        <w:t>4</w:t>
      </w:r>
      <w:r>
        <w:rPr>
          <w:rStyle w:val="16"/>
          <w:rFonts w:ascii="仿宋" w:eastAsia="仿宋"/>
          <w:bCs/>
          <w:color w:val="000000"/>
          <w:sz w:val="32"/>
          <w:szCs w:val="32"/>
        </w:rPr>
        <w:t>.</w:t>
      </w:r>
      <w:r>
        <w:rPr>
          <w:rStyle w:val="16"/>
          <w:rFonts w:hint="eastAsia" w:ascii="仿宋" w:eastAsia="仿宋"/>
          <w:bCs/>
          <w:color w:val="000000"/>
          <w:sz w:val="32"/>
          <w:szCs w:val="32"/>
        </w:rPr>
        <w:t>社会保障和就业（类）</w:t>
      </w:r>
      <w:r>
        <w:rPr>
          <w:rStyle w:val="16"/>
          <w:rFonts w:hint="eastAsia" w:ascii="仿宋" w:eastAsia="仿宋"/>
          <w:bCs/>
          <w:color w:val="000000"/>
          <w:sz w:val="32"/>
          <w:szCs w:val="32"/>
          <w:lang w:val="en-US" w:eastAsia="zh-CN"/>
        </w:rPr>
        <w:t>行政事业单位离退休</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机关事业单位基本职业年金缴费支出</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16.67</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val="en-US" w:eastAsia="zh-CN"/>
        </w:rPr>
        <w:t>.</w:t>
      </w:r>
    </w:p>
    <w:p>
      <w:pPr>
        <w:spacing w:line="600" w:lineRule="exact"/>
        <w:ind w:firstLine="642" w:firstLineChars="200"/>
        <w:rPr>
          <w:rStyle w:val="16"/>
          <w:rFonts w:hint="eastAsia" w:ascii="仿宋" w:eastAsia="仿宋"/>
          <w:b w:val="0"/>
          <w:bCs/>
          <w:color w:val="000000"/>
          <w:sz w:val="32"/>
          <w:szCs w:val="32"/>
          <w:lang w:val="en-US" w:eastAsia="zh-CN"/>
        </w:rPr>
      </w:pPr>
      <w:r>
        <w:rPr>
          <w:rStyle w:val="16"/>
          <w:rFonts w:hint="eastAsia" w:ascii="仿宋" w:eastAsia="仿宋"/>
          <w:bCs/>
          <w:color w:val="000000"/>
          <w:sz w:val="32"/>
          <w:szCs w:val="32"/>
          <w:lang w:val="en-US" w:eastAsia="zh-CN"/>
        </w:rPr>
        <w:t>5.</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行政单位医疗</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17.16</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val="en-US" w:eastAsia="zh-CN"/>
        </w:rPr>
        <w:t>.</w:t>
      </w:r>
    </w:p>
    <w:p>
      <w:pPr>
        <w:spacing w:line="600" w:lineRule="exact"/>
        <w:ind w:firstLine="642" w:firstLineChars="200"/>
        <w:rPr>
          <w:rStyle w:val="16"/>
          <w:rFonts w:hint="eastAsia" w:ascii="仿宋" w:eastAsia="仿宋"/>
          <w:b w:val="0"/>
          <w:bCs/>
          <w:color w:val="000000"/>
          <w:sz w:val="32"/>
          <w:szCs w:val="32"/>
          <w:lang w:val="en-US" w:eastAsia="zh-CN"/>
        </w:rPr>
      </w:pPr>
      <w:r>
        <w:rPr>
          <w:rStyle w:val="16"/>
          <w:rFonts w:hint="eastAsia" w:ascii="仿宋" w:eastAsia="仿宋"/>
          <w:bCs/>
          <w:color w:val="000000"/>
          <w:sz w:val="32"/>
          <w:szCs w:val="32"/>
          <w:lang w:val="en-US" w:eastAsia="zh-CN"/>
        </w:rPr>
        <w:t>6.</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公务员医疗补助</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6.28</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bookmarkStart w:id="43" w:name="_Toc15377214"/>
      <w:bookmarkStart w:id="44" w:name="_Toc15396608"/>
      <w:r>
        <w:rPr>
          <w:rStyle w:val="16"/>
          <w:rFonts w:hint="eastAsia" w:ascii="仿宋" w:eastAsia="仿宋"/>
          <w:b w:val="0"/>
          <w:bCs/>
          <w:color w:val="000000"/>
          <w:sz w:val="32"/>
          <w:szCs w:val="32"/>
          <w:lang w:val="en-US" w:eastAsia="zh-CN"/>
        </w:rPr>
        <w:t>.</w:t>
      </w:r>
    </w:p>
    <w:p>
      <w:pPr>
        <w:spacing w:line="600" w:lineRule="exact"/>
        <w:ind w:firstLine="642" w:firstLineChars="200"/>
        <w:rPr>
          <w:rStyle w:val="16"/>
          <w:rFonts w:hint="eastAsia" w:ascii="仿宋" w:eastAsia="仿宋"/>
          <w:b w:val="0"/>
          <w:bCs/>
          <w:color w:val="000000"/>
          <w:sz w:val="32"/>
          <w:szCs w:val="32"/>
          <w:lang w:val="en-US" w:eastAsia="zh-CN"/>
        </w:rPr>
      </w:pPr>
      <w:r>
        <w:rPr>
          <w:rStyle w:val="16"/>
          <w:rFonts w:hint="eastAsia" w:ascii="仿宋" w:eastAsia="仿宋"/>
          <w:bCs/>
          <w:color w:val="000000"/>
          <w:sz w:val="32"/>
          <w:szCs w:val="32"/>
          <w:lang w:val="en-US" w:eastAsia="zh-CN"/>
        </w:rPr>
        <w:t>7.住房保障（类）住房改革支出（款）住房公积金（项）：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36.4</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val="en-US" w:eastAsia="zh-CN"/>
        </w:rPr>
        <w:t>.</w:t>
      </w:r>
    </w:p>
    <w:p>
      <w:pPr>
        <w:rPr>
          <w:rFonts w:hint="eastAsia"/>
          <w:lang w:val="en-US" w:eastAsia="zh-CN"/>
        </w:rPr>
      </w:pPr>
      <w:r>
        <w:rPr>
          <w:rStyle w:val="16"/>
          <w:rFonts w:hint="eastAsia" w:ascii="仿宋" w:hAnsi="Times New Roman" w:eastAsia="仿宋" w:cs="Times New Roman"/>
          <w:bCs/>
          <w:color w:val="000000"/>
          <w:kern w:val="2"/>
          <w:sz w:val="32"/>
          <w:szCs w:val="32"/>
          <w:lang w:val="en-US" w:eastAsia="zh-CN" w:bidi="ar-SA"/>
        </w:rPr>
        <w:t>8. 其他支出（类）其他支出（款）其他支出（项）支出</w:t>
      </w:r>
      <w:r>
        <w:rPr>
          <w:rStyle w:val="16"/>
          <w:rFonts w:hint="eastAsia" w:ascii="仿宋" w:hAnsi="Times New Roman" w:eastAsia="仿宋" w:cs="Times New Roman"/>
          <w:b w:val="0"/>
          <w:bCs/>
          <w:color w:val="000000"/>
          <w:kern w:val="2"/>
          <w:sz w:val="32"/>
          <w:szCs w:val="32"/>
          <w:lang w:val="en-US" w:eastAsia="zh-CN" w:bidi="ar-SA"/>
        </w:rPr>
        <w:t>决算为4.88万元，完成预算100%.</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3"/>
      <w:bookmarkEnd w:id="44"/>
      <w:r>
        <w:rPr>
          <w:rStyle w:val="19"/>
          <w:rFonts w:ascii="黑体" w:eastAsia="黑体"/>
          <w:b w:val="0"/>
        </w:rPr>
        <w:tab/>
      </w:r>
    </w:p>
    <w:p>
      <w:pPr>
        <w:snapToGrid w:val="0"/>
        <w:spacing w:line="520" w:lineRule="exact"/>
        <w:ind w:firstLine="640" w:firstLineChars="200"/>
        <w:rPr>
          <w:rFonts w:hint="eastAsia" w:ascii="仿宋_GB2312" w:hAnsi="仿宋" w:eastAsia="仿宋_GB2312"/>
          <w:color w:val="000000"/>
          <w:sz w:val="32"/>
          <w:szCs w:val="32"/>
        </w:rPr>
      </w:pPr>
      <w:bookmarkStart w:id="45" w:name="_Toc15377215"/>
      <w:bookmarkStart w:id="46" w:name="_Toc15396609"/>
      <w:r>
        <w:rPr>
          <w:rFonts w:hint="eastAsia" w:ascii="仿宋_GB2312" w:hAnsi="仿宋" w:eastAsia="仿宋_GB2312"/>
          <w:color w:val="000000"/>
          <w:sz w:val="32"/>
          <w:szCs w:val="32"/>
          <w:lang w:eastAsia="zh-CN"/>
        </w:rPr>
        <w:t>2020</w:t>
      </w:r>
      <w:r>
        <w:rPr>
          <w:rFonts w:hint="eastAsia" w:ascii="仿宋_GB2312" w:hAnsi="仿宋" w:eastAsia="仿宋_GB2312"/>
          <w:color w:val="000000"/>
          <w:sz w:val="32"/>
          <w:szCs w:val="32"/>
        </w:rPr>
        <w:t>年安宁镇财政拨款收入</w:t>
      </w:r>
      <w:r>
        <w:rPr>
          <w:rFonts w:hint="eastAsia" w:ascii="仿宋_GB2312" w:hAnsi="仿宋" w:eastAsia="仿宋_GB2312"/>
          <w:color w:val="000000"/>
          <w:sz w:val="32"/>
          <w:szCs w:val="32"/>
          <w:lang w:val="en-US" w:eastAsia="zh-CN"/>
        </w:rPr>
        <w:t>612.02</w:t>
      </w:r>
      <w:r>
        <w:rPr>
          <w:rFonts w:hint="eastAsia" w:ascii="仿宋_GB2312" w:hAnsi="仿宋" w:eastAsia="仿宋_GB2312"/>
          <w:color w:val="000000"/>
          <w:sz w:val="32"/>
          <w:szCs w:val="32"/>
        </w:rPr>
        <w:t>万元，财政拨款支出</w:t>
      </w:r>
      <w:r>
        <w:rPr>
          <w:rFonts w:hint="eastAsia" w:ascii="仿宋_GB2312" w:hAnsi="仿宋" w:eastAsia="仿宋_GB2312"/>
          <w:color w:val="000000"/>
          <w:sz w:val="32"/>
          <w:szCs w:val="32"/>
          <w:lang w:val="en-US" w:eastAsia="zh-CN"/>
        </w:rPr>
        <w:t>664.84</w:t>
      </w:r>
      <w:r>
        <w:rPr>
          <w:rFonts w:hint="eastAsia" w:ascii="仿宋_GB2312" w:hAnsi="仿宋" w:eastAsia="仿宋_GB2312"/>
          <w:color w:val="000000"/>
          <w:sz w:val="32"/>
          <w:szCs w:val="32"/>
        </w:rPr>
        <w:t>万元，财政拨款支出中具体情况如下：</w:t>
      </w:r>
    </w:p>
    <w:p>
      <w:pPr>
        <w:snapToGrid w:val="0"/>
        <w:spacing w:line="520" w:lineRule="exact"/>
        <w:ind w:firstLine="640" w:firstLineChars="200"/>
        <w:rPr>
          <w:rFonts w:hint="eastAsia" w:ascii="仿宋_GB2312" w:hAnsi="仿宋" w:eastAsia="仿宋_GB2312"/>
          <w:color w:val="FF0000"/>
          <w:sz w:val="32"/>
          <w:szCs w:val="32"/>
        </w:rPr>
      </w:pPr>
      <w:r>
        <w:rPr>
          <w:rFonts w:hint="eastAsia" w:ascii="仿宋_GB2312" w:hAnsi="仿宋" w:eastAsia="仿宋_GB2312"/>
          <w:color w:val="auto"/>
          <w:sz w:val="32"/>
          <w:szCs w:val="32"/>
          <w:lang w:eastAsia="zh-CN"/>
        </w:rPr>
        <w:t>2020</w:t>
      </w:r>
      <w:r>
        <w:rPr>
          <w:rFonts w:hint="eastAsia" w:ascii="仿宋_GB2312" w:hAnsi="仿宋" w:eastAsia="仿宋_GB2312"/>
          <w:color w:val="auto"/>
          <w:sz w:val="32"/>
          <w:szCs w:val="32"/>
        </w:rPr>
        <w:t>年安宁镇基本支出</w:t>
      </w:r>
      <w:r>
        <w:rPr>
          <w:rFonts w:hint="eastAsia" w:ascii="仿宋_GB2312" w:hAnsi="仿宋" w:eastAsia="仿宋_GB2312"/>
          <w:color w:val="auto"/>
          <w:sz w:val="32"/>
          <w:szCs w:val="32"/>
          <w:lang w:val="en-US" w:eastAsia="zh-CN"/>
        </w:rPr>
        <w:t>473.33</w:t>
      </w:r>
      <w:r>
        <w:rPr>
          <w:rFonts w:hint="eastAsia" w:ascii="仿宋_GB2312" w:hAnsi="仿宋" w:eastAsia="仿宋_GB2312"/>
          <w:color w:val="auto"/>
          <w:sz w:val="32"/>
          <w:szCs w:val="32"/>
        </w:rPr>
        <w:t>万元，占总支出的</w:t>
      </w:r>
      <w:r>
        <w:rPr>
          <w:rFonts w:hint="eastAsia" w:ascii="仿宋_GB2312" w:hAnsi="仿宋" w:eastAsia="仿宋_GB2312"/>
          <w:color w:val="auto"/>
          <w:sz w:val="32"/>
          <w:szCs w:val="32"/>
          <w:lang w:val="en-US" w:eastAsia="zh-CN"/>
        </w:rPr>
        <w:t>71.19</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2020</w:t>
      </w:r>
      <w:r>
        <w:rPr>
          <w:rFonts w:hint="eastAsia" w:ascii="仿宋_GB2312" w:hAnsi="仿宋" w:eastAsia="仿宋_GB2312"/>
          <w:color w:val="auto"/>
          <w:sz w:val="32"/>
          <w:szCs w:val="32"/>
        </w:rPr>
        <w:t>年安宁镇基本支出中人员经费支出</w:t>
      </w:r>
      <w:r>
        <w:rPr>
          <w:rFonts w:hint="eastAsia" w:ascii="仿宋_GB2312" w:hAnsi="仿宋" w:eastAsia="仿宋_GB2312"/>
          <w:color w:val="auto"/>
          <w:sz w:val="32"/>
          <w:szCs w:val="32"/>
          <w:lang w:val="en-US" w:eastAsia="zh-CN"/>
        </w:rPr>
        <w:t>458.15</w:t>
      </w:r>
      <w:r>
        <w:rPr>
          <w:rFonts w:hint="eastAsia" w:ascii="仿宋_GB2312" w:hAnsi="仿宋" w:eastAsia="仿宋_GB2312"/>
          <w:color w:val="auto"/>
          <w:sz w:val="32"/>
          <w:szCs w:val="32"/>
        </w:rPr>
        <w:t>万元，</w:t>
      </w:r>
      <w:r>
        <w:rPr>
          <w:rFonts w:hint="eastAsia" w:ascii="仿宋_GB2312" w:eastAsia="仿宋_GB2312"/>
          <w:color w:val="auto"/>
          <w:sz w:val="32"/>
          <w:szCs w:val="32"/>
        </w:rPr>
        <w:t>主要包括：基本工资</w:t>
      </w:r>
      <w:r>
        <w:rPr>
          <w:rFonts w:hint="eastAsia" w:ascii="仿宋_GB2312" w:eastAsia="仿宋_GB2312"/>
          <w:color w:val="auto"/>
          <w:sz w:val="32"/>
          <w:szCs w:val="32"/>
          <w:lang w:val="en-US" w:eastAsia="zh-CN"/>
        </w:rPr>
        <w:t>91.15</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133.78</w:t>
      </w:r>
      <w:r>
        <w:rPr>
          <w:rFonts w:hint="eastAsia" w:ascii="仿宋_GB2312" w:eastAsia="仿宋_GB2312"/>
          <w:color w:val="auto"/>
          <w:sz w:val="32"/>
          <w:szCs w:val="32"/>
        </w:rPr>
        <w:t>万元、奖金7</w:t>
      </w:r>
      <w:r>
        <w:rPr>
          <w:rFonts w:hint="eastAsia" w:ascii="仿宋_GB2312" w:eastAsia="仿宋_GB2312"/>
          <w:color w:val="auto"/>
          <w:sz w:val="32"/>
          <w:szCs w:val="32"/>
          <w:lang w:val="en-US" w:eastAsia="zh-CN"/>
        </w:rPr>
        <w:t>.30</w:t>
      </w:r>
      <w:r>
        <w:rPr>
          <w:rFonts w:hint="eastAsia" w:ascii="仿宋_GB2312" w:eastAsia="仿宋_GB2312"/>
          <w:color w:val="auto"/>
          <w:sz w:val="32"/>
          <w:szCs w:val="32"/>
        </w:rPr>
        <w:t>万元、绩效工资</w:t>
      </w:r>
      <w:r>
        <w:rPr>
          <w:rFonts w:hint="eastAsia" w:ascii="仿宋_GB2312" w:eastAsia="仿宋_GB2312"/>
          <w:color w:val="auto"/>
          <w:sz w:val="32"/>
          <w:szCs w:val="32"/>
          <w:lang w:val="en-US" w:eastAsia="zh-CN"/>
        </w:rPr>
        <w:t>17.41</w:t>
      </w:r>
      <w:r>
        <w:rPr>
          <w:rFonts w:hint="eastAsia" w:ascii="仿宋_GB2312" w:eastAsia="仿宋_GB2312"/>
          <w:color w:val="auto"/>
          <w:sz w:val="32"/>
          <w:szCs w:val="32"/>
        </w:rPr>
        <w:t>万元、机关事业单位基本养老保险缴费3</w:t>
      </w:r>
      <w:r>
        <w:rPr>
          <w:rFonts w:hint="eastAsia" w:ascii="仿宋_GB2312" w:eastAsia="仿宋_GB2312"/>
          <w:color w:val="auto"/>
          <w:sz w:val="32"/>
          <w:szCs w:val="32"/>
          <w:lang w:val="en-US" w:eastAsia="zh-CN"/>
        </w:rPr>
        <w:t>3.33</w:t>
      </w:r>
      <w:r>
        <w:rPr>
          <w:rFonts w:hint="eastAsia" w:ascii="仿宋_GB2312" w:eastAsia="仿宋_GB2312"/>
          <w:color w:val="auto"/>
          <w:sz w:val="32"/>
          <w:szCs w:val="32"/>
        </w:rPr>
        <w:t>万元、职业年金缴费16</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6</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万元、其他社会保障缴费</w:t>
      </w:r>
      <w:r>
        <w:rPr>
          <w:rFonts w:hint="eastAsia" w:ascii="仿宋_GB2312" w:eastAsia="仿宋_GB2312"/>
          <w:color w:val="auto"/>
          <w:sz w:val="32"/>
          <w:szCs w:val="32"/>
          <w:lang w:val="en-US" w:eastAsia="zh-CN"/>
        </w:rPr>
        <w:t>2.82</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36.40</w:t>
      </w:r>
      <w:r>
        <w:rPr>
          <w:rFonts w:hint="eastAsia" w:ascii="仿宋_GB2312" w:eastAsia="仿宋_GB2312"/>
          <w:color w:val="auto"/>
          <w:sz w:val="32"/>
          <w:szCs w:val="32"/>
        </w:rPr>
        <w:t>万元、职工基本医疗保险缴费</w:t>
      </w:r>
      <w:r>
        <w:rPr>
          <w:rFonts w:hint="eastAsia" w:ascii="仿宋_GB2312" w:eastAsia="仿宋_GB2312"/>
          <w:color w:val="auto"/>
          <w:sz w:val="32"/>
          <w:szCs w:val="32"/>
          <w:lang w:val="en-US" w:eastAsia="zh-CN"/>
        </w:rPr>
        <w:t>17.16</w:t>
      </w:r>
      <w:r>
        <w:rPr>
          <w:rFonts w:hint="eastAsia" w:ascii="仿宋_GB2312" w:eastAsia="仿宋_GB2312"/>
          <w:color w:val="auto"/>
          <w:sz w:val="32"/>
          <w:szCs w:val="32"/>
        </w:rPr>
        <w:t>万元、</w:t>
      </w:r>
      <w:r>
        <w:rPr>
          <w:rFonts w:hint="eastAsia" w:ascii="仿宋_GB2312" w:eastAsia="仿宋_GB2312"/>
          <w:color w:val="auto"/>
          <w:sz w:val="32"/>
          <w:szCs w:val="32"/>
          <w:lang w:eastAsia="zh-CN"/>
        </w:rPr>
        <w:t>公务员医疗补助</w:t>
      </w:r>
      <w:r>
        <w:rPr>
          <w:rFonts w:hint="eastAsia" w:ascii="仿宋_GB2312" w:eastAsia="仿宋_GB2312"/>
          <w:color w:val="auto"/>
          <w:sz w:val="32"/>
          <w:szCs w:val="32"/>
          <w:lang w:val="en-US" w:eastAsia="zh-CN"/>
        </w:rPr>
        <w:t>6.3</w:t>
      </w:r>
      <w:r>
        <w:rPr>
          <w:rFonts w:hint="eastAsia" w:ascii="仿宋_GB2312" w:eastAsia="仿宋_GB2312"/>
          <w:color w:val="auto"/>
          <w:sz w:val="32"/>
          <w:szCs w:val="32"/>
        </w:rPr>
        <w:t>万元、伙食补助费0万元</w:t>
      </w:r>
      <w:r>
        <w:rPr>
          <w:rFonts w:hint="eastAsia" w:ascii="仿宋_GB2312" w:eastAsia="仿宋_GB2312"/>
          <w:color w:val="auto"/>
          <w:sz w:val="32"/>
          <w:szCs w:val="32"/>
          <w:lang w:eastAsia="zh-CN"/>
        </w:rPr>
        <w:t>，</w:t>
      </w:r>
      <w:r>
        <w:rPr>
          <w:rFonts w:hint="eastAsia" w:ascii="仿宋_GB2312" w:eastAsia="仿宋_GB2312"/>
          <w:color w:val="auto"/>
          <w:sz w:val="32"/>
          <w:szCs w:val="32"/>
        </w:rPr>
        <w:t>其他工资福利支出0万元、离休费0万元、退休费0万元、抚恤金</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万元、生活补助</w:t>
      </w:r>
      <w:r>
        <w:rPr>
          <w:rFonts w:hint="eastAsia" w:ascii="仿宋_GB2312" w:eastAsia="仿宋_GB2312"/>
          <w:color w:val="auto"/>
          <w:sz w:val="32"/>
          <w:szCs w:val="32"/>
          <w:lang w:val="en-US" w:eastAsia="zh-CN"/>
        </w:rPr>
        <w:t>5.7</w:t>
      </w:r>
      <w:r>
        <w:rPr>
          <w:rFonts w:hint="eastAsia" w:ascii="仿宋_GB2312" w:eastAsia="仿宋_GB2312"/>
          <w:color w:val="auto"/>
          <w:sz w:val="32"/>
          <w:szCs w:val="32"/>
        </w:rPr>
        <w:t>万元、医疗费0万元、奖励金</w:t>
      </w:r>
      <w:r>
        <w:rPr>
          <w:rFonts w:hint="eastAsia" w:ascii="仿宋_GB2312" w:eastAsia="仿宋_GB2312"/>
          <w:color w:val="auto"/>
          <w:sz w:val="32"/>
          <w:szCs w:val="32"/>
          <w:lang w:val="en-US" w:eastAsia="zh-CN"/>
        </w:rPr>
        <w:t>76.33</w:t>
      </w:r>
      <w:r>
        <w:rPr>
          <w:rFonts w:hint="eastAsia" w:ascii="仿宋_GB2312" w:eastAsia="仿宋_GB2312"/>
          <w:color w:val="auto"/>
          <w:sz w:val="32"/>
          <w:szCs w:val="32"/>
        </w:rPr>
        <w:t>万元、提租补贴0万元、购房补贴0万元、其他对个人和家庭的补助支出0万元等。</w:t>
      </w:r>
    </w:p>
    <w:p>
      <w:pPr>
        <w:spacing w:line="600" w:lineRule="exact"/>
        <w:ind w:firstLine="645"/>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t>2020</w:t>
      </w:r>
      <w:r>
        <w:rPr>
          <w:rFonts w:hint="eastAsia" w:ascii="仿宋_GB2312" w:hAnsi="仿宋" w:eastAsia="仿宋_GB2312"/>
          <w:color w:val="000000"/>
          <w:sz w:val="32"/>
          <w:szCs w:val="32"/>
        </w:rPr>
        <w:t>年安宁镇基本支出中日常公用经费支出</w:t>
      </w:r>
      <w:r>
        <w:rPr>
          <w:rFonts w:hint="eastAsia" w:ascii="仿宋_GB2312" w:hAnsi="仿宋" w:eastAsia="仿宋_GB2312"/>
          <w:color w:val="000000"/>
          <w:sz w:val="32"/>
          <w:szCs w:val="32"/>
          <w:lang w:val="en-US" w:eastAsia="zh-CN"/>
        </w:rPr>
        <w:t>28.34</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主要包括：办公费</w:t>
      </w:r>
      <w:r>
        <w:rPr>
          <w:rFonts w:hint="eastAsia" w:ascii="仿宋_GB2312" w:eastAsia="仿宋_GB2312"/>
          <w:color w:val="000000"/>
          <w:sz w:val="32"/>
          <w:szCs w:val="32"/>
          <w:lang w:val="en-US" w:eastAsia="zh-CN"/>
        </w:rPr>
        <w:t>5.90</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万元、咨询费0万元、手续费0万元、水费0万元、电费</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万元、物业管理费0万元、差旅费</w:t>
      </w:r>
      <w:r>
        <w:rPr>
          <w:rFonts w:hint="eastAsia" w:ascii="仿宋_GB2312" w:eastAsia="仿宋_GB2312"/>
          <w:color w:val="000000"/>
          <w:sz w:val="32"/>
          <w:szCs w:val="32"/>
          <w:lang w:val="en-US" w:eastAsia="zh-CN"/>
        </w:rPr>
        <w:t>5.3</w:t>
      </w:r>
      <w:r>
        <w:rPr>
          <w:rFonts w:hint="eastAsia" w:ascii="仿宋_GB2312" w:eastAsia="仿宋_GB2312"/>
          <w:color w:val="000000"/>
          <w:sz w:val="32"/>
          <w:szCs w:val="32"/>
        </w:rPr>
        <w:t>万元、因公出国（境）费用0万元、维修（护）费0万元、租赁费0万元、会议费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万元、培训费0万元、公务接待费0万元、劳务费</w:t>
      </w:r>
      <w:r>
        <w:rPr>
          <w:rFonts w:hint="eastAsia" w:ascii="仿宋_GB2312" w:eastAsia="仿宋_GB2312"/>
          <w:color w:val="000000"/>
          <w:sz w:val="32"/>
          <w:szCs w:val="32"/>
          <w:lang w:val="en-US" w:eastAsia="zh-CN"/>
        </w:rPr>
        <w:t>2.76</w:t>
      </w:r>
      <w:r>
        <w:rPr>
          <w:rFonts w:hint="eastAsia" w:ascii="仿宋_GB2312" w:eastAsia="仿宋_GB2312"/>
          <w:color w:val="000000"/>
          <w:sz w:val="32"/>
          <w:szCs w:val="32"/>
        </w:rPr>
        <w:t>万元、委托业务费0万元、工会经费0万元、福利费0万元、公务用车运行维护费</w:t>
      </w:r>
      <w:r>
        <w:rPr>
          <w:rFonts w:hint="eastAsia" w:ascii="仿宋_GB2312" w:eastAsia="仿宋_GB2312"/>
          <w:color w:val="000000"/>
          <w:sz w:val="32"/>
          <w:szCs w:val="32"/>
          <w:lang w:val="en-US" w:eastAsia="zh-CN"/>
        </w:rPr>
        <w:t>4.72</w:t>
      </w:r>
      <w:r>
        <w:rPr>
          <w:rFonts w:hint="eastAsia" w:ascii="仿宋_GB2312" w:eastAsia="仿宋_GB2312"/>
          <w:color w:val="000000"/>
          <w:sz w:val="32"/>
          <w:szCs w:val="32"/>
        </w:rPr>
        <w:t>万元、其他交通费0万元、税金及附加费用0万元、其他商品和服务支出0万元、办公设备购置0万元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信息网络及软件购置更新0万元、其他资本性支出等。</w:t>
      </w:r>
    </w:p>
    <w:p>
      <w:pPr>
        <w:snapToGrid w:val="0"/>
        <w:spacing w:line="520" w:lineRule="exact"/>
        <w:ind w:firstLine="640" w:firstLineChars="200"/>
        <w:rPr>
          <w:rFonts w:hint="eastAsia" w:ascii="仿宋_GB2312" w:hAnsi="仿宋" w:eastAsia="仿宋_GB2312"/>
          <w:color w:val="FF0000"/>
          <w:sz w:val="32"/>
          <w:szCs w:val="32"/>
        </w:rPr>
      </w:pPr>
      <w:r>
        <w:rPr>
          <w:rFonts w:hint="eastAsia" w:ascii="仿宋_GB2312" w:hAnsi="仿宋" w:eastAsia="仿宋_GB2312"/>
          <w:color w:val="000000"/>
          <w:sz w:val="32"/>
          <w:szCs w:val="32"/>
          <w:lang w:eastAsia="zh-CN"/>
        </w:rPr>
        <w:t>2020</w:t>
      </w:r>
      <w:r>
        <w:rPr>
          <w:rFonts w:hint="eastAsia" w:ascii="仿宋_GB2312" w:hAnsi="仿宋" w:eastAsia="仿宋_GB2312"/>
          <w:color w:val="000000"/>
          <w:sz w:val="32"/>
          <w:szCs w:val="32"/>
        </w:rPr>
        <w:t>年安宁</w:t>
      </w:r>
      <w:r>
        <w:rPr>
          <w:rFonts w:hint="eastAsia" w:ascii="仿宋_GB2312" w:eastAsia="仿宋_GB2312"/>
          <w:color w:val="auto"/>
          <w:sz w:val="32"/>
          <w:szCs w:val="32"/>
        </w:rPr>
        <w:t>镇项目支出</w:t>
      </w:r>
      <w:r>
        <w:rPr>
          <w:rFonts w:hint="eastAsia" w:ascii="仿宋_GB2312" w:hAnsi="仿宋" w:eastAsia="仿宋_GB2312"/>
          <w:color w:val="auto"/>
          <w:sz w:val="32"/>
          <w:szCs w:val="32"/>
          <w:lang w:val="en-US" w:eastAsia="zh-CN"/>
        </w:rPr>
        <w:t>191.51</w:t>
      </w:r>
      <w:r>
        <w:rPr>
          <w:rFonts w:hint="eastAsia" w:ascii="仿宋_GB2312" w:hAnsi="仿宋" w:eastAsia="仿宋_GB2312"/>
          <w:color w:val="auto"/>
          <w:sz w:val="32"/>
          <w:szCs w:val="32"/>
        </w:rPr>
        <w:t>万元，占总支出</w:t>
      </w:r>
      <w:r>
        <w:rPr>
          <w:rFonts w:hint="eastAsia" w:ascii="仿宋_GB2312" w:hAnsi="仿宋" w:eastAsia="仿宋_GB2312"/>
          <w:color w:val="auto"/>
          <w:sz w:val="32"/>
          <w:szCs w:val="32"/>
          <w:lang w:val="en-US" w:eastAsia="zh-CN"/>
        </w:rPr>
        <w:t>32.11</w:t>
      </w:r>
      <w:r>
        <w:rPr>
          <w:rFonts w:hint="eastAsia" w:ascii="仿宋_GB2312" w:hAnsi="仿宋" w:eastAsia="仿宋_GB2312"/>
          <w:color w:val="auto"/>
          <w:sz w:val="32"/>
          <w:szCs w:val="32"/>
        </w:rPr>
        <w:t>%。</w:t>
      </w:r>
    </w:p>
    <w:p>
      <w:pPr>
        <w:ind w:left="0" w:leftChars="0" w:firstLine="0" w:firstLineChars="0"/>
        <w:rPr>
          <w:rFonts w:hint="eastAsia"/>
        </w:rPr>
      </w:pPr>
      <w:r>
        <w:rPr>
          <w:rFonts w:hint="eastAsia"/>
          <w:lang w:val="en-US" w:eastAsia="zh-CN"/>
        </w:rPr>
        <w:t>主要原因是疫情资金、村级运维经费列入项目支出。</w:t>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hint="eastAsia" w:ascii="仿宋" w:eastAsia="仿宋"/>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4.72</w:t>
      </w:r>
      <w:r>
        <w:rPr>
          <w:rFonts w:hint="eastAsia" w:ascii="仿宋" w:eastAsia="仿宋"/>
          <w:color w:val="000000"/>
          <w:sz w:val="32"/>
          <w:szCs w:val="32"/>
        </w:rPr>
        <w:t>万元，完成预算</w:t>
      </w:r>
      <w:r>
        <w:rPr>
          <w:rFonts w:hint="eastAsia" w:ascii="仿宋" w:eastAsia="仿宋"/>
          <w:color w:val="000000"/>
          <w:sz w:val="32"/>
          <w:szCs w:val="32"/>
          <w:lang w:val="en-US" w:eastAsia="zh-CN"/>
        </w:rPr>
        <w:t>98.33</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000000"/>
          <w:sz w:val="32"/>
          <w:szCs w:val="32"/>
          <w:lang w:val="en-US" w:eastAsia="zh-CN"/>
        </w:rPr>
        <w:t>4.72</w:t>
      </w:r>
      <w:r>
        <w:rPr>
          <w:rFonts w:hint="eastAsia" w:ascii="仿宋" w:eastAsia="仿宋"/>
          <w:color w:val="auto"/>
          <w:sz w:val="32"/>
          <w:szCs w:val="32"/>
          <w:lang w:val="en-US" w:eastAsia="zh-CN"/>
        </w:rPr>
        <w:t>万元</w:t>
      </w:r>
      <w:r>
        <w:rPr>
          <w:rFonts w:hint="eastAsia" w:ascii="仿宋" w:eastAsia="仿宋"/>
          <w:color w:val="000000"/>
          <w:sz w:val="32"/>
          <w:szCs w:val="32"/>
        </w:rPr>
        <w:t>，公</w:t>
      </w:r>
      <w:r>
        <w:drawing>
          <wp:anchor distT="0" distB="0" distL="114300" distR="114300" simplePos="0" relativeHeight="251660288" behindDoc="0" locked="0" layoutInCell="1" allowOverlap="1">
            <wp:simplePos x="0" y="0"/>
            <wp:positionH relativeFrom="column">
              <wp:posOffset>96520</wp:posOffset>
            </wp:positionH>
            <wp:positionV relativeFrom="paragraph">
              <wp:posOffset>-252730</wp:posOffset>
            </wp:positionV>
            <wp:extent cx="5356860" cy="2910840"/>
            <wp:effectExtent l="4445" t="4445" r="10795" b="56515"/>
            <wp:wrapTopAndBottom/>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color w:val="000000"/>
          <w:sz w:val="32"/>
          <w:szCs w:val="32"/>
        </w:rPr>
        <w:t>务用车运行维护费支出决算</w:t>
      </w:r>
      <w:r>
        <w:rPr>
          <w:rFonts w:hint="eastAsia" w:ascii="仿宋" w:eastAsia="仿宋"/>
          <w:color w:val="000000"/>
          <w:sz w:val="32"/>
          <w:szCs w:val="32"/>
          <w:lang w:val="en-US" w:eastAsia="zh-CN"/>
        </w:rPr>
        <w:t>4.72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autoSpaceDE w:val="0"/>
        <w:autoSpaceDN w:val="0"/>
        <w:adjustRightInd w:val="0"/>
        <w:spacing w:line="600" w:lineRule="exact"/>
        <w:ind w:firstLine="642" w:firstLineChars="200"/>
        <w:jc w:val="left"/>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1</w:t>
      </w:r>
      <w:r>
        <w:rPr>
          <w:rFonts w:ascii="仿宋_GB2312" w:eastAsia="仿宋_GB2312"/>
          <w:b/>
          <w:color w:val="000000"/>
          <w:sz w:val="32"/>
          <w:szCs w:val="32"/>
        </w:rPr>
        <w:t>.</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4.72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98.33</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减少原因：厉行节约。</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4.72</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spacing w:line="600" w:lineRule="exact"/>
        <w:ind w:firstLine="640"/>
        <w:outlineLvl w:val="1"/>
        <w:rPr>
          <w:rStyle w:val="19"/>
          <w:rFonts w:ascii="黑体" w:eastAsia="黑体"/>
        </w:rPr>
      </w:pPr>
      <w:bookmarkStart w:id="49" w:name="_Toc15396610"/>
      <w:bookmarkStart w:id="50" w:name="_Toc15377218"/>
      <w:r>
        <w:rPr>
          <w:rFonts w:hint="eastAsia" w:ascii="黑体" w:eastAsia="黑体"/>
          <w:color w:val="000000"/>
          <w:sz w:val="32"/>
          <w:szCs w:val="32"/>
        </w:rPr>
        <w:t>八、</w:t>
      </w:r>
      <w:r>
        <w:rPr>
          <w:rStyle w:val="19"/>
          <w:rFonts w:hint="eastAsia" w:asci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7"/>
        </w:numPr>
        <w:spacing w:line="600" w:lineRule="exact"/>
        <w:ind w:left="0" w:firstLine="640"/>
        <w:outlineLvl w:val="1"/>
        <w:rPr>
          <w:rStyle w:val="19"/>
          <w:rFonts w:ascii="黑体" w:eastAsia="黑体"/>
          <w:b w:val="0"/>
        </w:rPr>
      </w:pPr>
      <w:bookmarkStart w:id="51" w:name="_Toc15377219"/>
      <w:bookmarkStart w:id="52" w:name="_Toc15396611"/>
      <w:r>
        <w:rPr>
          <w:rStyle w:val="19"/>
          <w:rFonts w:hint="eastAsia" w:asci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8"/>
        </w:numPr>
        <w:spacing w:line="580" w:lineRule="exact"/>
        <w:ind w:firstLineChars="0"/>
        <w:rPr>
          <w:rStyle w:val="19"/>
          <w:rFonts w:ascii="黑体" w:eastAsia="黑体"/>
          <w:b w:val="0"/>
        </w:rPr>
      </w:pPr>
      <w:r>
        <w:rPr>
          <w:rStyle w:val="19"/>
          <w:rFonts w:hint="eastAsia" w:ascii="黑体" w:eastAsia="黑体"/>
          <w:b w:val="0"/>
        </w:rPr>
        <w:t>预算绩效情况说明</w:t>
      </w:r>
    </w:p>
    <w:p>
      <w:pPr>
        <w:spacing w:line="580" w:lineRule="exact"/>
        <w:ind w:firstLine="640" w:firstLineChars="200"/>
        <w:rPr>
          <w:rFonts w:ascii="Calibri" w:hAnsi="Calibri"/>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94.7</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我单位年初预算项目基本按照绩效目标完成支付，有部分项目结转质保金在下年质保期后进行支付。</w:t>
      </w:r>
    </w:p>
    <w:p>
      <w:pPr>
        <w:numPr>
          <w:ilvl w:val="0"/>
          <w:numId w:val="9"/>
        </w:numPr>
        <w:spacing w:line="580" w:lineRule="exact"/>
        <w:ind w:left="0" w:firstLine="642"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《阿坝州人民政府办公室</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9"/>
          <w:rFonts w:ascii="黑体" w:eastAsia="黑体"/>
        </w:rPr>
      </w:pPr>
      <w:bookmarkStart w:id="53" w:name="_Toc15377221"/>
      <w:bookmarkStart w:id="54" w:name="_Toc15396612"/>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3"/>
      <w:bookmarkEnd w:id="54"/>
    </w:p>
    <w:p>
      <w:pPr>
        <w:spacing w:line="600" w:lineRule="exact"/>
        <w:ind w:firstLine="642" w:firstLineChars="200"/>
        <w:outlineLvl w:val="2"/>
        <w:rPr>
          <w:rFonts w:ascii="仿宋" w:eastAsia="仿宋"/>
          <w:color w:val="000000"/>
          <w:sz w:val="32"/>
          <w:szCs w:val="32"/>
        </w:rPr>
      </w:pPr>
      <w:bookmarkStart w:id="55" w:name="_Toc15377222"/>
      <w:r>
        <w:rPr>
          <w:rFonts w:hint="eastAsia" w:ascii="仿宋" w:eastAsia="仿宋"/>
          <w:b/>
          <w:color w:val="000000"/>
          <w:sz w:val="32"/>
          <w:szCs w:val="32"/>
        </w:rPr>
        <w:t>（一）机关运行经费支出情况</w:t>
      </w:r>
      <w:bookmarkEnd w:id="55"/>
    </w:p>
    <w:p>
      <w:pPr>
        <w:spacing w:line="60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阿坝州人民政府办公室</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56" w:name="_Toc15377223"/>
      <w:r>
        <w:rPr>
          <w:rFonts w:hint="eastAsia" w:ascii="仿宋" w:eastAsia="仿宋"/>
          <w:b/>
          <w:color w:val="000000"/>
          <w:sz w:val="32"/>
          <w:szCs w:val="32"/>
        </w:rPr>
        <w:t>（二）政府采购支出情况</w:t>
      </w:r>
      <w:bookmarkEnd w:id="56"/>
    </w:p>
    <w:p>
      <w:pPr>
        <w:spacing w:line="600" w:lineRule="exact"/>
        <w:ind w:firstLine="640" w:firstLineChars="200"/>
        <w:rPr>
          <w:rFonts w:ascii="仿宋" w:eastAsia="仿宋"/>
          <w:b/>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57" w:name="_Toc15377224"/>
      <w:r>
        <w:rPr>
          <w:rFonts w:hint="eastAsia" w:ascii="仿宋" w:eastAsia="仿宋"/>
          <w:b/>
          <w:color w:val="000000"/>
          <w:sz w:val="32"/>
          <w:szCs w:val="32"/>
        </w:rPr>
        <w:t>（三）国有资产占有使用情况</w:t>
      </w:r>
      <w:bookmarkEnd w:id="57"/>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numPr>
          <w:ilvl w:val="0"/>
          <w:numId w:val="10"/>
        </w:numPr>
        <w:spacing w:line="600" w:lineRule="exact"/>
        <w:ind w:left="0" w:firstLine="662" w:firstLineChars="150"/>
        <w:jc w:val="center"/>
        <w:outlineLvl w:val="0"/>
        <w:rPr>
          <w:rStyle w:val="18"/>
          <w:rFonts w:ascii="黑体" w:eastAsia="黑体"/>
          <w:b w:val="0"/>
        </w:rPr>
      </w:pPr>
      <w:bookmarkStart w:id="58" w:name="_Toc15377225"/>
      <w:bookmarkStart w:id="59" w:name="_Toc15396613"/>
      <w:r>
        <w:rPr>
          <w:rFonts w:hint="eastAsia" w:ascii="黑体" w:eastAsia="黑体"/>
          <w:b/>
          <w:color w:val="000000"/>
          <w:sz w:val="44"/>
          <w:szCs w:val="44"/>
        </w:rPr>
        <w:t>名</w:t>
      </w:r>
      <w:r>
        <w:rPr>
          <w:rStyle w:val="18"/>
          <w:rFonts w:hint="eastAsia" w:ascii="黑体" w:eastAsia="黑体"/>
          <w:b w:val="0"/>
        </w:rPr>
        <w:t>词解释</w:t>
      </w:r>
      <w:bookmarkEnd w:id="58"/>
      <w:bookmarkEnd w:id="59"/>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60" w:name="_Toc15396614"/>
      <w:bookmarkStart w:id="61"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4"/>
        <w:rPr>
          <w:rStyle w:val="18"/>
          <w:rFonts w:ascii="仿宋" w:eastAsia="仿宋"/>
          <w:b w:val="0"/>
          <w:bCs w:val="0"/>
          <w:sz w:val="32"/>
          <w:szCs w:val="32"/>
        </w:rPr>
      </w:pPr>
      <w:bookmarkStart w:id="62" w:name="_Toc15396615"/>
      <w:r>
        <w:rPr>
          <w:rStyle w:val="18"/>
          <w:rFonts w:hint="eastAsia" w:ascii="仿宋" w:eastAsia="仿宋"/>
          <w:b w:val="0"/>
          <w:bCs w:val="0"/>
          <w:sz w:val="32"/>
          <w:szCs w:val="32"/>
        </w:rPr>
        <w:t>附件1</w:t>
      </w:r>
      <w:bookmarkEnd w:id="62"/>
    </w:p>
    <w:p>
      <w:pPr>
        <w:numPr>
          <w:ilvl w:val="0"/>
          <w:numId w:val="10"/>
        </w:numPr>
        <w:spacing w:line="600" w:lineRule="exact"/>
        <w:ind w:left="0" w:firstLine="660" w:firstLineChars="150"/>
        <w:jc w:val="center"/>
        <w:outlineLvl w:val="0"/>
        <w:rPr>
          <w:rStyle w:val="18"/>
          <w:rFonts w:hint="eastAsia" w:ascii="黑体" w:eastAsia="黑体"/>
          <w:b w:val="0"/>
        </w:rPr>
      </w:pPr>
      <w:r>
        <w:rPr>
          <w:rStyle w:val="18"/>
          <w:rFonts w:hint="eastAsia" w:ascii="黑体" w:eastAsia="黑体"/>
          <w:b w:val="0"/>
        </w:rPr>
        <w:t>附件</w:t>
      </w:r>
      <w:bookmarkEnd w:id="60"/>
    </w:p>
    <w:p>
      <w:pPr>
        <w:spacing w:line="240" w:lineRule="auto"/>
        <w:jc w:val="both"/>
        <w:outlineLvl w:val="0"/>
        <w:rPr>
          <w:rStyle w:val="18"/>
          <w:rFonts w:hint="eastAsia" w:ascii="黑体" w:eastAsia="黑体"/>
          <w:b w:val="0"/>
        </w:rPr>
      </w:pPr>
    </w:p>
    <w:bookmarkEnd w:id="61"/>
    <w:p>
      <w:pPr>
        <w:spacing w:line="5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阿坝州</w:t>
      </w:r>
      <w:r>
        <w:rPr>
          <w:rFonts w:hint="eastAsia" w:ascii="方正小标宋简体" w:eastAsia="方正小标宋简体"/>
          <w:sz w:val="44"/>
          <w:szCs w:val="44"/>
          <w:lang w:eastAsia="zh-CN"/>
        </w:rPr>
        <w:t>金川县人民政府</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eastAsia="zh-CN"/>
        </w:rPr>
        <w:t>2020</w:t>
      </w:r>
      <w:r>
        <w:rPr>
          <w:rFonts w:hint="eastAsia" w:ascii="方正小标宋简体" w:eastAsia="方正小标宋简体"/>
          <w:sz w:val="44"/>
          <w:szCs w:val="44"/>
        </w:rPr>
        <w:t>年</w:t>
      </w:r>
      <w:r>
        <w:rPr>
          <w:rFonts w:hint="eastAsia" w:ascii="方正小标宋简体" w:eastAsia="方正小标宋简体"/>
          <w:sz w:val="44"/>
          <w:szCs w:val="44"/>
          <w:lang w:val="en-US" w:eastAsia="zh-CN"/>
        </w:rPr>
        <w:t>部门整体</w:t>
      </w:r>
      <w:r>
        <w:rPr>
          <w:rFonts w:hint="eastAsia" w:ascii="方正小标宋简体" w:eastAsia="方正小标宋简体"/>
          <w:sz w:val="44"/>
          <w:szCs w:val="44"/>
        </w:rPr>
        <w:t>支出绩效</w:t>
      </w:r>
      <w:r>
        <w:rPr>
          <w:rFonts w:hint="eastAsia" w:ascii="方正小标宋简体" w:eastAsia="方正小标宋简体"/>
          <w:sz w:val="44"/>
          <w:szCs w:val="44"/>
          <w:lang w:val="en-US" w:eastAsia="zh-CN"/>
        </w:rPr>
        <w:t>评价</w:t>
      </w:r>
      <w:r>
        <w:rPr>
          <w:rFonts w:hint="eastAsia" w:ascii="方正小标宋简体" w:eastAsia="方正小标宋简体"/>
          <w:sz w:val="44"/>
          <w:szCs w:val="44"/>
        </w:rPr>
        <w:t>报告</w:t>
      </w:r>
    </w:p>
    <w:p>
      <w:pPr>
        <w:ind w:firstLine="640" w:firstLineChars="200"/>
        <w:rPr>
          <w:rFonts w:hint="eastAsia" w:ascii="仿宋_GB2312" w:eastAsia="仿宋_GB2312"/>
          <w:sz w:val="32"/>
          <w:szCs w:val="32"/>
        </w:rPr>
      </w:pP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ascii="黑体" w:hAnsi="宋体" w:eastAsia="黑体" w:cs="宋体"/>
          <w:color w:val="000000"/>
          <w:kern w:val="0"/>
          <w:lang w:val="zh-CN"/>
        </w:rPr>
      </w:pPr>
      <w:bookmarkStart w:id="63" w:name="_Toc15396618"/>
      <w:bookmarkStart w:id="64" w:name="_Toc15396619"/>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（一）安宁镇人民政府下设“一办四中心一所”：具体组成为：党政综合办公室、农业农村服务中心、便民服务中心、社会事业服务中心、经济发展服务中心、安宁镇财政所。</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与外地区的经济交流与合作，抓好招商引资，人才引进项目开发，不断培育市场体系，组织经济运行，促进经济发展。二是制定并组织实施村</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rPr>
          <w:rFonts w:hint="eastAsia" w:ascii="仿宋_GB2312" w:hAnsi="仿宋_GB2312" w:eastAsia="仿宋_GB2312" w:cs="仿宋_GB2312"/>
          <w:b/>
          <w:bCs/>
          <w:color w:val="FF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000000"/>
          <w:sz w:val="32"/>
          <w:szCs w:val="32"/>
          <w:lang w:eastAsia="zh-CN"/>
        </w:rPr>
        <w:t>安宁镇</w:t>
      </w:r>
      <w:r>
        <w:rPr>
          <w:rFonts w:hint="eastAsia" w:ascii="仿宋_GB2312" w:hAnsi="仿宋_GB2312" w:eastAsia="仿宋_GB2312" w:cs="仿宋_GB2312"/>
          <w:color w:val="auto"/>
          <w:sz w:val="32"/>
          <w:szCs w:val="32"/>
        </w:rPr>
        <w:t>人民政府20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年年初在职</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人，其中行政人员</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人，事业人员</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人；20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年年末在职</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人，其中行政人员</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人，事业人员</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人。20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年1-6月独立编制单位机构数为1个，财政供养人员编制为</w:t>
      </w: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sz w:val="32"/>
          <w:szCs w:val="32"/>
        </w:rPr>
        <w:t>名，其中行政编制</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名，行政工勤编制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名，事业编制</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名（其中参照公务员法管理人员编制0人）；20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年1-6月实际财政供养人员</w:t>
      </w:r>
      <w:r>
        <w:rPr>
          <w:rFonts w:hint="eastAsia" w:ascii="仿宋_GB2312" w:hAnsi="仿宋_GB2312" w:eastAsia="仿宋_GB2312" w:cs="仿宋_GB2312"/>
          <w:color w:val="auto"/>
          <w:sz w:val="32"/>
          <w:szCs w:val="32"/>
          <w:lang w:val="en-US" w:eastAsia="zh-CN"/>
        </w:rPr>
        <w:t>32</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b w:val="0"/>
          <w:bCs w:val="0"/>
          <w:color w:val="auto"/>
          <w:sz w:val="32"/>
          <w:szCs w:val="32"/>
        </w:rPr>
        <w:t>其中：行政</w:t>
      </w:r>
      <w:r>
        <w:rPr>
          <w:rFonts w:hint="eastAsia" w:ascii="仿宋_GB2312" w:hAnsi="仿宋_GB2312" w:eastAsia="仿宋_GB2312" w:cs="仿宋_GB2312"/>
          <w:b w:val="0"/>
          <w:bCs w:val="0"/>
          <w:color w:val="auto"/>
          <w:sz w:val="32"/>
          <w:szCs w:val="32"/>
          <w:lang w:val="en-US" w:eastAsia="zh-CN"/>
        </w:rPr>
        <w:t>19</w:t>
      </w:r>
      <w:r>
        <w:rPr>
          <w:rFonts w:hint="eastAsia" w:ascii="仿宋_GB2312" w:hAnsi="仿宋_GB2312" w:eastAsia="仿宋_GB2312" w:cs="仿宋_GB2312"/>
          <w:b w:val="0"/>
          <w:bCs w:val="0"/>
          <w:color w:val="auto"/>
          <w:sz w:val="32"/>
          <w:szCs w:val="32"/>
        </w:rPr>
        <w:t>人，行政工勤</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人， 事业</w:t>
      </w:r>
      <w:r>
        <w:rPr>
          <w:rFonts w:hint="eastAsia" w:ascii="仿宋_GB2312" w:hAnsi="仿宋_GB2312" w:eastAsia="仿宋_GB2312" w:cs="仿宋_GB2312"/>
          <w:b w:val="0"/>
          <w:bCs w:val="0"/>
          <w:color w:val="auto"/>
          <w:sz w:val="32"/>
          <w:szCs w:val="32"/>
          <w:lang w:val="en-US" w:eastAsia="zh-CN"/>
        </w:rPr>
        <w:t>11</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较上年</w:t>
      </w:r>
      <w:r>
        <w:rPr>
          <w:rFonts w:hint="eastAsia" w:ascii="仿宋_GB2312" w:hAnsi="仿宋_GB2312" w:eastAsia="仿宋_GB2312" w:cs="仿宋_GB2312"/>
          <w:b w:val="0"/>
          <w:bCs w:val="0"/>
          <w:color w:val="auto"/>
          <w:sz w:val="32"/>
          <w:szCs w:val="32"/>
          <w:lang w:val="en-US" w:eastAsia="zh-CN"/>
        </w:rPr>
        <w:t>增加7</w:t>
      </w:r>
      <w:r>
        <w:rPr>
          <w:rFonts w:hint="eastAsia" w:ascii="仿宋_GB2312" w:hAnsi="仿宋_GB2312" w:eastAsia="仿宋_GB2312" w:cs="仿宋_GB2312"/>
          <w:b w:val="0"/>
          <w:bCs w:val="0"/>
          <w:color w:val="auto"/>
          <w:sz w:val="32"/>
          <w:szCs w:val="32"/>
        </w:rPr>
        <w:t xml:space="preserve">人， </w:t>
      </w:r>
      <w:r>
        <w:rPr>
          <w:rFonts w:hint="eastAsia" w:ascii="仿宋_GB2312" w:hAnsi="仿宋_GB2312" w:eastAsia="仿宋_GB2312" w:cs="仿宋_GB2312"/>
          <w:b w:val="0"/>
          <w:bCs w:val="0"/>
          <w:color w:val="auto"/>
          <w:sz w:val="32"/>
          <w:szCs w:val="32"/>
          <w:lang w:val="en-US" w:eastAsia="zh-CN"/>
        </w:rPr>
        <w:t>主要原因是机构改革，人员增加，三站人员编制下划给镇镇</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lang w:val="zh-CN"/>
        </w:rPr>
        <w:t>（一）</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20</w:t>
      </w:r>
      <w:r>
        <w:rPr>
          <w:rFonts w:hint="eastAsia" w:ascii="仿宋_GB2312" w:hAnsi="仿宋_GB2312" w:eastAsia="仿宋_GB2312" w:cs="仿宋_GB2312"/>
          <w:bCs/>
          <w:color w:val="auto"/>
          <w:sz w:val="32"/>
          <w:szCs w:val="32"/>
        </w:rPr>
        <w:t>年</w:t>
      </w:r>
      <w:r>
        <w:rPr>
          <w:rFonts w:hint="eastAsia" w:ascii="仿宋_GB2312" w:hAnsi="仿宋_GB2312" w:eastAsia="仿宋_GB2312" w:cs="仿宋_GB2312"/>
          <w:bCs/>
          <w:color w:val="auto"/>
          <w:sz w:val="32"/>
          <w:szCs w:val="32"/>
          <w:lang w:eastAsia="zh-CN"/>
        </w:rPr>
        <w:t>安宁镇</w:t>
      </w:r>
      <w:r>
        <w:rPr>
          <w:rFonts w:hint="eastAsia" w:ascii="仿宋_GB2312" w:hAnsi="仿宋_GB2312" w:eastAsia="仿宋_GB2312" w:cs="仿宋_GB2312"/>
          <w:bCs/>
          <w:color w:val="auto"/>
          <w:sz w:val="32"/>
          <w:szCs w:val="32"/>
        </w:rPr>
        <w:t>本年收入合计</w:t>
      </w:r>
      <w:r>
        <w:rPr>
          <w:rFonts w:hint="eastAsia" w:ascii="仿宋_GB2312" w:hAnsi="仿宋_GB2312" w:eastAsia="仿宋_GB2312" w:cs="仿宋_GB2312"/>
          <w:bCs/>
          <w:color w:val="auto"/>
          <w:sz w:val="32"/>
          <w:szCs w:val="32"/>
          <w:lang w:val="en-US" w:eastAsia="zh-CN"/>
        </w:rPr>
        <w:t>612.02</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612.02</w:t>
      </w:r>
      <w:r>
        <w:rPr>
          <w:rFonts w:hint="eastAsia" w:ascii="仿宋_GB2312" w:hAnsi="仿宋_GB2312" w:eastAsia="仿宋_GB2312" w:cs="仿宋_GB2312"/>
          <w:bCs/>
          <w:color w:val="auto"/>
          <w:sz w:val="32"/>
          <w:szCs w:val="32"/>
        </w:rPr>
        <w:t>万元，占100%；政府性基金预算财政拨款收入0元，占0%；国有资本经营预算财政拨款收入0万元，占0%；事业收入0万元，占0%；经营收入0万元，占0%；附属单位上缴收入0万元，占0%；其他收入0万元，占0%。</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color w:val="auto"/>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年1-6月收入合计</w:t>
      </w:r>
      <w:r>
        <w:rPr>
          <w:rFonts w:hint="eastAsia" w:ascii="仿宋_GB2312" w:hAnsi="仿宋_GB2312" w:eastAsia="仿宋_GB2312" w:cs="仿宋_GB2312"/>
          <w:bCs/>
          <w:color w:val="auto"/>
          <w:sz w:val="32"/>
          <w:szCs w:val="32"/>
          <w:lang w:val="en-US" w:eastAsia="zh-CN"/>
        </w:rPr>
        <w:t>263.50</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263.50</w:t>
      </w:r>
      <w:r>
        <w:rPr>
          <w:rFonts w:hint="eastAsia" w:ascii="仿宋_GB2312" w:hAnsi="仿宋_GB2312" w:eastAsia="仿宋_GB2312" w:cs="仿宋_GB2312"/>
          <w:bCs/>
          <w:color w:val="auto"/>
          <w:sz w:val="32"/>
          <w:szCs w:val="32"/>
        </w:rPr>
        <w:t>万元。</w:t>
      </w:r>
    </w:p>
    <w:p>
      <w:pPr>
        <w:snapToGrid w:val="0"/>
        <w:spacing w:line="520" w:lineRule="exact"/>
        <w:ind w:firstLine="640" w:firstLineChars="200"/>
        <w:rPr>
          <w:rFonts w:hint="eastAsia" w:ascii="仿宋_GB2312" w:hAnsi="仿宋" w:eastAsia="仿宋_GB2312"/>
          <w:color w:val="FF0000"/>
          <w:sz w:val="32"/>
          <w:szCs w:val="32"/>
          <w:lang w:val="en-US" w:eastAsia="zh-CN"/>
        </w:rPr>
      </w:pPr>
      <w:r>
        <w:rPr>
          <w:rFonts w:hint="eastAsia" w:ascii="仿宋_GB2312" w:hAnsi="仿宋_GB2312" w:eastAsia="仿宋_GB2312" w:cs="仿宋_GB2312"/>
          <w:color w:val="auto"/>
          <w:sz w:val="32"/>
          <w:szCs w:val="32"/>
          <w:lang w:val="zh-CN"/>
        </w:rPr>
        <w:t>（二）</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20</w:t>
      </w:r>
      <w:r>
        <w:rPr>
          <w:rFonts w:hint="eastAsia" w:ascii="仿宋_GB2312" w:hAnsi="仿宋_GB2312" w:eastAsia="仿宋_GB2312" w:cs="仿宋_GB2312"/>
          <w:bCs/>
          <w:color w:val="auto"/>
          <w:sz w:val="32"/>
          <w:szCs w:val="32"/>
        </w:rPr>
        <w:t>年一般公共预算财政拨款支出</w:t>
      </w:r>
      <w:r>
        <w:rPr>
          <w:rFonts w:hint="eastAsia" w:ascii="仿宋_GB2312" w:hAnsi="仿宋_GB2312" w:eastAsia="仿宋_GB2312" w:cs="仿宋_GB2312"/>
          <w:color w:val="auto"/>
          <w:sz w:val="32"/>
          <w:szCs w:val="32"/>
          <w:lang w:val="en-US" w:eastAsia="zh-CN"/>
        </w:rPr>
        <w:t>664.84</w:t>
      </w:r>
      <w:r>
        <w:rPr>
          <w:rFonts w:hint="eastAsia" w:ascii="仿宋_GB2312" w:hAnsi="仿宋_GB2312" w:eastAsia="仿宋_GB2312" w:cs="仿宋_GB2312"/>
          <w:bCs/>
          <w:color w:val="auto"/>
          <w:sz w:val="32"/>
          <w:szCs w:val="32"/>
        </w:rPr>
        <w:t>万元，主要用于以下方面</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其中</w:t>
      </w:r>
      <w:r>
        <w:rPr>
          <w:rFonts w:hint="eastAsia" w:ascii="仿宋_GB2312" w:hAnsi="仿宋" w:eastAsia="仿宋_GB2312"/>
          <w:color w:val="auto"/>
          <w:sz w:val="32"/>
          <w:szCs w:val="32"/>
          <w:lang w:val="en-US" w:eastAsia="zh-CN"/>
        </w:rPr>
        <w:t>一般公共服务支出为315.81万元，占47.50%；社会保障和就业支出为50万元，占7.5%；文化旅游体育与传媒支出4.07万元，占0.61%；卫生健康支出34.14万元，占5.14%；农林水支出168.72万元，占25.38%；住房保障支出36.4万元，占5.48%；其他支出为55.71万元，占37.95%。</w:t>
      </w:r>
    </w:p>
    <w:p>
      <w:pPr>
        <w:snapToGrid w:val="0"/>
        <w:spacing w:line="520" w:lineRule="exact"/>
        <w:ind w:firstLine="640" w:firstLineChars="200"/>
        <w:rPr>
          <w:rFonts w:hint="eastAsia" w:ascii="仿宋_GB2312" w:hAnsi="仿宋_GB2312" w:eastAsia="仿宋_GB2312" w:cs="仿宋_GB2312"/>
          <w:bCs/>
          <w:color w:val="FF0000"/>
          <w:sz w:val="32"/>
          <w:szCs w:val="32"/>
        </w:rPr>
      </w:pPr>
      <w:r>
        <w:rPr>
          <w:rFonts w:hint="eastAsia" w:ascii="仿宋_GB2312" w:eastAsia="仿宋_GB2312"/>
          <w:color w:val="auto"/>
          <w:sz w:val="32"/>
          <w:szCs w:val="32"/>
        </w:rPr>
        <w:t>其中：</w:t>
      </w:r>
      <w:r>
        <w:rPr>
          <w:rFonts w:hint="eastAsia" w:ascii="仿宋_GB2312" w:eastAsia="仿宋_GB2312"/>
          <w:color w:val="auto"/>
          <w:sz w:val="32"/>
          <w:szCs w:val="32"/>
          <w:lang w:val="en-US" w:eastAsia="zh-CN"/>
        </w:rPr>
        <w:t>人员经费支出473.33万元，</w:t>
      </w:r>
      <w:r>
        <w:rPr>
          <w:rFonts w:hint="eastAsia" w:ascii="仿宋_GB2312" w:eastAsia="仿宋_GB2312"/>
          <w:color w:val="auto"/>
          <w:sz w:val="32"/>
          <w:szCs w:val="32"/>
        </w:rPr>
        <w:t>主要包括：基本工资</w:t>
      </w:r>
      <w:r>
        <w:rPr>
          <w:rFonts w:hint="eastAsia" w:ascii="仿宋_GB2312" w:eastAsia="仿宋_GB2312"/>
          <w:color w:val="auto"/>
          <w:sz w:val="32"/>
          <w:szCs w:val="32"/>
          <w:lang w:val="en-US" w:eastAsia="zh-CN"/>
        </w:rPr>
        <w:t>91.15</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133.78</w:t>
      </w:r>
      <w:r>
        <w:rPr>
          <w:rFonts w:hint="eastAsia" w:ascii="仿宋_GB2312" w:eastAsia="仿宋_GB2312"/>
          <w:color w:val="auto"/>
          <w:sz w:val="32"/>
          <w:szCs w:val="32"/>
        </w:rPr>
        <w:t>万元、奖金</w:t>
      </w:r>
      <w:r>
        <w:rPr>
          <w:rFonts w:hint="eastAsia" w:ascii="仿宋_GB2312" w:eastAsia="仿宋_GB2312"/>
          <w:color w:val="auto"/>
          <w:sz w:val="32"/>
          <w:szCs w:val="32"/>
          <w:lang w:val="en-US" w:eastAsia="zh-CN"/>
        </w:rPr>
        <w:t>7.30</w:t>
      </w:r>
      <w:r>
        <w:rPr>
          <w:rFonts w:hint="eastAsia" w:ascii="仿宋_GB2312" w:eastAsia="仿宋_GB2312"/>
          <w:color w:val="auto"/>
          <w:sz w:val="32"/>
          <w:szCs w:val="32"/>
        </w:rPr>
        <w:t>万元、绩效工资</w:t>
      </w:r>
      <w:r>
        <w:rPr>
          <w:rFonts w:hint="eastAsia" w:ascii="仿宋_GB2312" w:eastAsia="仿宋_GB2312"/>
          <w:color w:val="auto"/>
          <w:sz w:val="32"/>
          <w:szCs w:val="32"/>
          <w:lang w:val="en-US" w:eastAsia="zh-CN"/>
        </w:rPr>
        <w:t>17.41</w:t>
      </w:r>
      <w:r>
        <w:rPr>
          <w:rFonts w:hint="eastAsia" w:ascii="仿宋_GB2312" w:eastAsia="仿宋_GB2312"/>
          <w:color w:val="auto"/>
          <w:sz w:val="32"/>
          <w:szCs w:val="32"/>
        </w:rPr>
        <w:t>万元、机关事业单位基本养老保险缴费</w:t>
      </w:r>
      <w:r>
        <w:rPr>
          <w:rFonts w:hint="eastAsia" w:ascii="仿宋_GB2312" w:eastAsia="仿宋_GB2312"/>
          <w:color w:val="auto"/>
          <w:sz w:val="32"/>
          <w:szCs w:val="32"/>
          <w:lang w:val="en-US" w:eastAsia="zh-CN"/>
        </w:rPr>
        <w:t>33.33</w:t>
      </w:r>
      <w:r>
        <w:rPr>
          <w:rFonts w:hint="eastAsia" w:ascii="仿宋_GB2312" w:eastAsia="仿宋_GB2312"/>
          <w:color w:val="auto"/>
          <w:sz w:val="32"/>
          <w:szCs w:val="32"/>
        </w:rPr>
        <w:t>万元、职业年金缴费</w:t>
      </w:r>
      <w:r>
        <w:rPr>
          <w:rFonts w:hint="eastAsia" w:ascii="仿宋_GB2312" w:eastAsia="仿宋_GB2312"/>
          <w:color w:val="auto"/>
          <w:sz w:val="32"/>
          <w:szCs w:val="32"/>
          <w:lang w:val="en-US" w:eastAsia="zh-CN"/>
        </w:rPr>
        <w:t>16.67</w:t>
      </w:r>
      <w:r>
        <w:rPr>
          <w:rFonts w:hint="eastAsia" w:ascii="仿宋_GB2312" w:eastAsia="仿宋_GB2312"/>
          <w:color w:val="auto"/>
          <w:sz w:val="32"/>
          <w:szCs w:val="32"/>
        </w:rPr>
        <w:t>万元、其他社会保障缴费</w:t>
      </w:r>
      <w:r>
        <w:rPr>
          <w:rFonts w:hint="eastAsia" w:ascii="仿宋_GB2312" w:eastAsia="仿宋_GB2312"/>
          <w:color w:val="auto"/>
          <w:sz w:val="32"/>
          <w:szCs w:val="32"/>
          <w:lang w:val="en-US" w:eastAsia="zh-CN"/>
        </w:rPr>
        <w:t>3.09</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36.40</w:t>
      </w:r>
      <w:r>
        <w:rPr>
          <w:rFonts w:hint="eastAsia" w:ascii="仿宋_GB2312" w:eastAsia="仿宋_GB2312"/>
          <w:color w:val="auto"/>
          <w:sz w:val="32"/>
          <w:szCs w:val="32"/>
        </w:rPr>
        <w:t>万元、职工基本医疗保险缴费</w:t>
      </w:r>
      <w:r>
        <w:rPr>
          <w:rFonts w:hint="eastAsia" w:ascii="仿宋_GB2312" w:eastAsia="仿宋_GB2312"/>
          <w:color w:val="auto"/>
          <w:sz w:val="32"/>
          <w:szCs w:val="32"/>
          <w:lang w:val="en-US" w:eastAsia="zh-CN"/>
        </w:rPr>
        <w:t>17.16万元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公务员医疗补助6.28万元。</w:t>
      </w:r>
    </w:p>
    <w:p>
      <w:pPr>
        <w:spacing w:line="600" w:lineRule="exact"/>
        <w:ind w:firstLine="645"/>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日常公用经费支出28.72万元，</w:t>
      </w:r>
      <w:r>
        <w:rPr>
          <w:rFonts w:hint="eastAsia" w:ascii="仿宋_GB2312" w:eastAsia="仿宋_GB2312"/>
          <w:color w:val="auto"/>
          <w:sz w:val="32"/>
          <w:szCs w:val="32"/>
        </w:rPr>
        <w:t>主要包括：办公费</w:t>
      </w:r>
      <w:r>
        <w:rPr>
          <w:rFonts w:hint="eastAsia" w:ascii="仿宋_GB2312" w:eastAsia="仿宋_GB2312"/>
          <w:color w:val="auto"/>
          <w:sz w:val="32"/>
          <w:szCs w:val="32"/>
          <w:lang w:val="en-US" w:eastAsia="zh-CN"/>
        </w:rPr>
        <w:t>5.90</w:t>
      </w:r>
      <w:r>
        <w:rPr>
          <w:rFonts w:hint="eastAsia" w:ascii="仿宋_GB2312" w:eastAsia="仿宋_GB2312"/>
          <w:color w:val="auto"/>
          <w:sz w:val="32"/>
          <w:szCs w:val="32"/>
        </w:rPr>
        <w:t>万元、印刷费</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万元、电费</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万元、邮电费</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万元、取暖费</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万元、差旅费</w:t>
      </w:r>
      <w:r>
        <w:rPr>
          <w:rFonts w:hint="eastAsia" w:ascii="仿宋_GB2312" w:eastAsia="仿宋_GB2312"/>
          <w:color w:val="auto"/>
          <w:sz w:val="32"/>
          <w:szCs w:val="32"/>
          <w:lang w:val="en-US" w:eastAsia="zh-CN"/>
        </w:rPr>
        <w:t>5.35</w:t>
      </w:r>
      <w:r>
        <w:rPr>
          <w:rFonts w:hint="eastAsia" w:ascii="仿宋_GB2312" w:eastAsia="仿宋_GB2312"/>
          <w:color w:val="auto"/>
          <w:sz w:val="32"/>
          <w:szCs w:val="32"/>
        </w:rPr>
        <w:t>万元、劳务费</w:t>
      </w:r>
      <w:r>
        <w:rPr>
          <w:rFonts w:hint="eastAsia" w:ascii="仿宋_GB2312" w:eastAsia="仿宋_GB2312"/>
          <w:color w:val="auto"/>
          <w:sz w:val="32"/>
          <w:szCs w:val="32"/>
          <w:lang w:val="en-US" w:eastAsia="zh-CN"/>
        </w:rPr>
        <w:t>2.76</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公务用车运行维护费4.72万元。</w:t>
      </w:r>
    </w:p>
    <w:p>
      <w:pPr>
        <w:snapToGrid w:val="0"/>
        <w:spacing w:line="520" w:lineRule="exact"/>
        <w:ind w:firstLine="640" w:firstLineChars="20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项目支出191.51万元，</w:t>
      </w:r>
      <w:r>
        <w:rPr>
          <w:rFonts w:hint="eastAsia" w:ascii="仿宋_GB2312" w:eastAsia="仿宋_GB2312"/>
          <w:color w:val="auto"/>
          <w:sz w:val="32"/>
          <w:szCs w:val="32"/>
        </w:rPr>
        <w:t>主要包括：</w:t>
      </w:r>
      <w:r>
        <w:rPr>
          <w:rFonts w:hint="eastAsia" w:ascii="仿宋_GB2312" w:hAnsi="仿宋" w:eastAsia="仿宋_GB2312"/>
          <w:color w:val="auto"/>
          <w:sz w:val="32"/>
          <w:szCs w:val="32"/>
          <w:lang w:val="en-US" w:eastAsia="zh-CN"/>
        </w:rPr>
        <w:t>人大会议费0.7万元；人大代表工作经费1.9</w:t>
      </w:r>
      <w:r>
        <w:rPr>
          <w:rFonts w:hint="eastAsia" w:ascii="仿宋_GB2312" w:eastAsia="仿宋_GB2312"/>
          <w:color w:val="auto"/>
          <w:sz w:val="32"/>
          <w:szCs w:val="32"/>
          <w:lang w:val="en-US" w:eastAsia="zh-CN"/>
        </w:rPr>
        <w:t>万元；老放映员工作经费4.07万元；</w:t>
      </w:r>
      <w:r>
        <w:rPr>
          <w:rFonts w:hint="eastAsia" w:ascii="仿宋_GB2312" w:hAnsi="仿宋" w:eastAsia="仿宋_GB2312"/>
          <w:color w:val="auto"/>
          <w:sz w:val="32"/>
          <w:szCs w:val="32"/>
          <w:lang w:val="en-US" w:eastAsia="zh-CN"/>
        </w:rPr>
        <w:t>疫情防疫经费10.70万元； 四好村建设2万元； 村级运行费116.43万元；三老干部生活补助4.88万元，遗属补助3.78万元；</w:t>
      </w:r>
      <w:r>
        <w:rPr>
          <w:rFonts w:hint="default" w:ascii="仿宋_GB2312" w:hAnsi="仿宋" w:eastAsia="仿宋_GB2312"/>
          <w:color w:val="auto"/>
          <w:sz w:val="32"/>
          <w:szCs w:val="32"/>
          <w:lang w:val="en-US" w:eastAsia="zh-CN"/>
        </w:rPr>
        <w:t xml:space="preserve">莫莫扎水利工程和牧场村卡撒布达至粮台寺保畅工程 </w:t>
      </w:r>
      <w:r>
        <w:rPr>
          <w:rFonts w:hint="eastAsia" w:ascii="仿宋_GB2312" w:hAnsi="仿宋" w:eastAsia="仿宋_GB2312"/>
          <w:color w:val="auto"/>
          <w:sz w:val="32"/>
          <w:szCs w:val="32"/>
          <w:lang w:val="en-US" w:eastAsia="zh-CN"/>
        </w:rPr>
        <w:t>47.05万元。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bCs/>
          <w:color w:val="auto"/>
          <w:sz w:val="32"/>
          <w:szCs w:val="32"/>
          <w:lang w:val="en-US" w:eastAsia="zh-CN"/>
        </w:rPr>
        <w:t>377.41</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329.12</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55.45</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77.30</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11.72</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21.12</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10.56</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10.22</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3.88</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0.65</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21.97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、奖励金115.60万元、农民工慰问金0.25万元、乡上独生子女费用0.39万元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FF0000"/>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color w:val="auto"/>
          <w:sz w:val="32"/>
          <w:szCs w:val="32"/>
        </w:rPr>
        <w:t>　公用经费</w:t>
      </w:r>
      <w:r>
        <w:rPr>
          <w:rFonts w:hint="eastAsia" w:ascii="仿宋_GB2312" w:hAnsi="仿宋_GB2312" w:eastAsia="仿宋_GB2312" w:cs="仿宋_GB2312"/>
          <w:color w:val="auto"/>
          <w:sz w:val="32"/>
          <w:szCs w:val="32"/>
          <w:lang w:val="en-US" w:eastAsia="zh-CN"/>
        </w:rPr>
        <w:t>23.88</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8.28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印刷费</w:t>
      </w:r>
      <w:r>
        <w:rPr>
          <w:rFonts w:hint="eastAsia" w:ascii="仿宋_GB2312" w:hAnsi="仿宋_GB2312" w:eastAsia="仿宋_GB2312" w:cs="仿宋_GB2312"/>
          <w:color w:val="auto"/>
          <w:sz w:val="32"/>
          <w:szCs w:val="32"/>
          <w:lang w:val="en-US" w:eastAsia="zh-CN"/>
        </w:rPr>
        <w:t>0.65万元、</w:t>
      </w:r>
      <w:r>
        <w:rPr>
          <w:rFonts w:hint="eastAsia" w:ascii="仿宋_GB2312" w:hAnsi="仿宋_GB2312" w:eastAsia="仿宋_GB2312" w:cs="仿宋_GB2312"/>
          <w:color w:val="auto"/>
          <w:sz w:val="32"/>
          <w:szCs w:val="32"/>
        </w:rPr>
        <w:t>电费</w:t>
      </w:r>
      <w:r>
        <w:rPr>
          <w:rFonts w:hint="eastAsia" w:ascii="仿宋_GB2312" w:hAnsi="仿宋_GB2312" w:eastAsia="仿宋_GB2312" w:cs="仿宋_GB2312"/>
          <w:color w:val="auto"/>
          <w:sz w:val="32"/>
          <w:szCs w:val="32"/>
          <w:lang w:val="en-US" w:eastAsia="zh-CN"/>
        </w:rPr>
        <w:t>0.3</w:t>
      </w:r>
      <w:r>
        <w:rPr>
          <w:rFonts w:hint="eastAsia" w:ascii="仿宋_GB2312" w:hAnsi="仿宋_GB2312" w:eastAsia="仿宋_GB2312" w:cs="仿宋_GB2312"/>
          <w:color w:val="auto"/>
          <w:sz w:val="32"/>
          <w:szCs w:val="32"/>
        </w:rPr>
        <w:t>万元、邮电费</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0.80</w:t>
      </w:r>
      <w:r>
        <w:rPr>
          <w:rFonts w:hint="eastAsia" w:ascii="仿宋_GB2312" w:hAnsi="仿宋_GB2312" w:eastAsia="仿宋_GB2312" w:cs="仿宋_GB2312"/>
          <w:color w:val="auto"/>
          <w:sz w:val="32"/>
          <w:szCs w:val="32"/>
        </w:rPr>
        <w:t>万元、劳务费</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2.62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手续费0.06万元、生活补助1.63万元、委托业务费6.54万元</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color w:val="FF0000"/>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24.41</w:t>
      </w:r>
      <w:r>
        <w:rPr>
          <w:rFonts w:hint="eastAsia" w:ascii="仿宋_GB2312" w:hAnsi="仿宋_GB2312" w:eastAsia="仿宋_GB2312" w:cs="仿宋_GB2312"/>
          <w:color w:val="auto"/>
          <w:sz w:val="32"/>
          <w:szCs w:val="32"/>
        </w:rPr>
        <w:t>万元，主要包括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安宁镇莫莫扎村村委会改建项目履约保证金23.16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甯蛟华过渡安置费用1.25万元。</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val="en-US" w:eastAsia="zh-CN"/>
        </w:rPr>
        <w:t>526.99</w:t>
      </w:r>
      <w:r>
        <w:rPr>
          <w:rFonts w:hint="eastAsia" w:ascii="仿宋_GB2312" w:hAnsi="仿宋_GB2312" w:eastAsia="仿宋_GB2312" w:cs="仿宋_GB2312"/>
          <w:color w:val="auto"/>
          <w:sz w:val="32"/>
          <w:szCs w:val="32"/>
        </w:rPr>
        <w:t>万元，其中人员经费</w:t>
      </w:r>
      <w:r>
        <w:rPr>
          <w:rFonts w:hint="eastAsia" w:ascii="仿宋_GB2312" w:hAnsi="仿宋_GB2312" w:eastAsia="仿宋_GB2312" w:cs="仿宋_GB2312"/>
          <w:color w:val="auto"/>
          <w:sz w:val="32"/>
          <w:szCs w:val="32"/>
          <w:lang w:val="en-US" w:eastAsia="zh-CN"/>
        </w:rPr>
        <w:t>443.04</w:t>
      </w:r>
      <w:r>
        <w:rPr>
          <w:rFonts w:hint="eastAsia" w:ascii="仿宋_GB2312" w:hAnsi="仿宋_GB2312" w:eastAsia="仿宋_GB2312" w:cs="仿宋_GB2312"/>
          <w:color w:val="auto"/>
          <w:sz w:val="32"/>
          <w:szCs w:val="32"/>
        </w:rPr>
        <w:t>万元，公用经费</w:t>
      </w:r>
      <w:r>
        <w:rPr>
          <w:rFonts w:hint="eastAsia" w:ascii="仿宋_GB2312" w:hAnsi="仿宋_GB2312" w:eastAsia="仿宋_GB2312" w:cs="仿宋_GB2312"/>
          <w:color w:val="auto"/>
          <w:sz w:val="32"/>
          <w:szCs w:val="32"/>
          <w:lang w:val="en-US" w:eastAsia="zh-CN"/>
        </w:rPr>
        <w:t>83.95</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年部门收入预算总额为</w:t>
      </w:r>
      <w:r>
        <w:rPr>
          <w:rFonts w:hint="eastAsia" w:ascii="仿宋_GB2312" w:hAnsi="仿宋_GB2312" w:eastAsia="仿宋_GB2312" w:cs="仿宋_GB2312"/>
          <w:color w:val="auto"/>
          <w:sz w:val="32"/>
          <w:szCs w:val="32"/>
          <w:lang w:val="en-US" w:eastAsia="zh-CN"/>
        </w:rPr>
        <w:t>558.85</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31.86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增加5.70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机构改革三站人员编制下划给</w:t>
      </w:r>
      <w:r>
        <w:rPr>
          <w:rFonts w:hint="eastAsia" w:ascii="仿宋_GB2312" w:hAnsi="仿宋_GB2312" w:eastAsia="仿宋_GB2312" w:cs="仿宋_GB2312"/>
          <w:color w:val="auto"/>
          <w:sz w:val="32"/>
          <w:szCs w:val="32"/>
          <w:lang w:val="en-US" w:eastAsia="zh-CN"/>
        </w:rPr>
        <w:t>乡</w:t>
      </w:r>
      <w:r>
        <w:rPr>
          <w:rFonts w:hint="eastAsia" w:ascii="仿宋_GB2312" w:hAnsi="仿宋_GB2312" w:eastAsia="仿宋_GB2312" w:cs="仿宋_GB2312"/>
          <w:color w:val="auto"/>
          <w:sz w:val="32"/>
          <w:szCs w:val="32"/>
          <w:lang w:eastAsia="zh-CN"/>
        </w:rPr>
        <w:t>镇、行政村个数增加、经费标准变更、财政信息化建设等需求增加。</w:t>
      </w:r>
      <w:r>
        <w:rPr>
          <w:rFonts w:hint="eastAsia" w:ascii="仿宋_GB2312" w:hAnsi="仿宋_GB2312" w:eastAsia="仿宋_GB2312" w:cs="仿宋_GB2312"/>
          <w:color w:val="auto"/>
          <w:sz w:val="32"/>
          <w:szCs w:val="32"/>
        </w:rPr>
        <w:t>其中：当年财政拨款收入</w:t>
      </w:r>
      <w:r>
        <w:rPr>
          <w:rFonts w:hint="eastAsia" w:ascii="仿宋_GB2312" w:hAnsi="仿宋_GB2312" w:eastAsia="仿宋_GB2312" w:cs="仿宋_GB2312"/>
          <w:color w:val="auto"/>
          <w:sz w:val="32"/>
          <w:szCs w:val="32"/>
          <w:lang w:val="en-US" w:eastAsia="zh-CN"/>
        </w:rPr>
        <w:t>558.85</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526.99</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558.85</w:t>
      </w:r>
      <w:r>
        <w:rPr>
          <w:rFonts w:hint="eastAsia" w:ascii="仿宋_GB2312" w:hAnsi="仿宋_GB2312" w:eastAsia="仿宋_GB2312" w:cs="仿宋_GB2312"/>
          <w:color w:val="auto"/>
          <w:sz w:val="32"/>
          <w:szCs w:val="32"/>
        </w:rPr>
        <w:t>万元，项目支出0万元。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lang w:val="en-US" w:eastAsia="zh-CN"/>
        </w:rPr>
        <w:t>4.75</w:t>
      </w:r>
      <w:r>
        <w:rPr>
          <w:rFonts w:hint="eastAsia" w:ascii="仿宋_GB2312" w:hAnsi="仿宋_GB2312" w:eastAsia="仿宋_GB2312" w:cs="仿宋_GB2312"/>
          <w:color w:val="000000"/>
          <w:sz w:val="32"/>
          <w:szCs w:val="32"/>
        </w:rPr>
        <w:t>万元，其中公务接待费0万元，公务用车运行维护费</w:t>
      </w:r>
      <w:r>
        <w:rPr>
          <w:rFonts w:hint="eastAsia" w:ascii="仿宋_GB2312" w:hAnsi="仿宋_GB2312" w:eastAsia="仿宋_GB2312" w:cs="仿宋_GB2312"/>
          <w:color w:val="000000"/>
          <w:sz w:val="32"/>
          <w:szCs w:val="32"/>
          <w:lang w:val="en-US" w:eastAsia="zh-CN"/>
        </w:rPr>
        <w:t>4.75</w:t>
      </w:r>
      <w:r>
        <w:rPr>
          <w:rFonts w:hint="eastAsia" w:ascii="仿宋_GB2312" w:hAnsi="仿宋_GB2312" w:eastAsia="仿宋_GB2312" w:cs="仿宋_GB2312"/>
          <w:color w:val="000000"/>
          <w:sz w:val="32"/>
          <w:szCs w:val="32"/>
        </w:rPr>
        <w:t>万元，实际支出</w:t>
      </w:r>
      <w:r>
        <w:rPr>
          <w:rFonts w:hint="eastAsia" w:ascii="仿宋_GB2312" w:hAnsi="仿宋_GB2312" w:eastAsia="仿宋_GB2312" w:cs="仿宋_GB2312"/>
          <w:color w:val="000000"/>
          <w:sz w:val="32"/>
          <w:szCs w:val="32"/>
          <w:lang w:val="en-US" w:eastAsia="zh-CN"/>
        </w:rPr>
        <w:t>4.75</w:t>
      </w:r>
      <w:r>
        <w:rPr>
          <w:rFonts w:hint="eastAsia" w:ascii="仿宋_GB2312" w:hAnsi="仿宋_GB2312" w:eastAsia="仿宋_GB2312" w:cs="仿宋_GB2312"/>
          <w:color w:val="000000"/>
          <w:sz w:val="32"/>
          <w:szCs w:val="32"/>
        </w:rPr>
        <w:t>万元，公务接待费0万元，公务用车运行维护费</w:t>
      </w:r>
      <w:r>
        <w:rPr>
          <w:rFonts w:hint="eastAsia" w:ascii="仿宋_GB2312" w:hAnsi="仿宋_GB2312" w:eastAsia="仿宋_GB2312" w:cs="仿宋_GB2312"/>
          <w:color w:val="000000"/>
          <w:sz w:val="32"/>
          <w:szCs w:val="32"/>
          <w:lang w:val="en-US" w:eastAsia="zh-CN"/>
        </w:rPr>
        <w:t>4.75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zh-CN"/>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7.98</w:t>
      </w:r>
      <w:r>
        <w:rPr>
          <w:rFonts w:hint="eastAsia" w:ascii="仿宋_GB2312" w:hAnsi="仿宋_GB2312" w:eastAsia="仿宋_GB2312" w:cs="仿宋_GB2312"/>
          <w:color w:val="auto"/>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2021年</w:t>
      </w:r>
      <w:r>
        <w:rPr>
          <w:rFonts w:hint="eastAsia" w:ascii="仿宋_GB2312" w:hAnsi="仿宋_GB2312" w:eastAsia="仿宋_GB2312" w:cs="仿宋_GB2312"/>
          <w:color w:val="auto"/>
          <w:sz w:val="32"/>
          <w:szCs w:val="32"/>
        </w:rPr>
        <w:t>公务用车运行维护费</w:t>
      </w:r>
      <w:r>
        <w:rPr>
          <w:rFonts w:hint="eastAsia" w:ascii="仿宋_GB2312" w:hAnsi="仿宋_GB2312" w:eastAsia="仿宋_GB2312" w:cs="仿宋_GB2312"/>
          <w:color w:val="auto"/>
          <w:sz w:val="32"/>
          <w:szCs w:val="32"/>
          <w:lang w:val="en-US" w:eastAsia="zh-CN"/>
        </w:rPr>
        <w:t>7.98</w:t>
      </w:r>
      <w:r>
        <w:rPr>
          <w:rFonts w:hint="eastAsia" w:ascii="仿宋_GB2312" w:hAnsi="仿宋_GB2312" w:eastAsia="仿宋_GB2312" w:cs="仿宋_GB2312"/>
          <w:color w:val="auto"/>
          <w:sz w:val="32"/>
          <w:szCs w:val="32"/>
        </w:rPr>
        <w:t>万元，1-6月实际支出公务接待费0万元，公务用车运行维护费</w:t>
      </w:r>
      <w:r>
        <w:rPr>
          <w:rFonts w:hint="eastAsia" w:ascii="仿宋_GB2312" w:hAnsi="仿宋_GB2312" w:eastAsia="仿宋_GB2312" w:cs="仿宋_GB2312"/>
          <w:color w:val="auto"/>
          <w:sz w:val="32"/>
          <w:szCs w:val="32"/>
          <w:lang w:val="en-US" w:eastAsia="zh-CN"/>
        </w:rPr>
        <w:t>2.62</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（三）综合管理情况。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我镇</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资产管理系统，及时准确上报并做好资产的管理工作。根据相关要求，单位使用预算资金基本符合相关的预算财务管理制度。我镇在财政批复后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镇按照规定完全履行职责，整体评价良好，服务对象基本满意从预算执行来情况看，预算资金覆盖我镇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keepNext w:val="0"/>
        <w:keepLines w:val="0"/>
        <w:pageBreakBefore w:val="0"/>
        <w:kinsoku/>
        <w:wordWrap/>
        <w:overflowPunct/>
        <w:topLinePunct w:val="0"/>
        <w:autoSpaceDE/>
        <w:autoSpaceDN/>
        <w:bidi w:val="0"/>
        <w:spacing w:line="540" w:lineRule="exact"/>
        <w:ind w:firstLine="642"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 附表</w:t>
      </w:r>
      <w:bookmarkEnd w:id="63"/>
    </w:p>
    <w:p>
      <w:pPr>
        <w:pStyle w:val="4"/>
        <w:rPr>
          <w:rFonts w:ascii="仿宋" w:eastAsia="仿宋"/>
          <w:color w:val="000000"/>
        </w:rPr>
      </w:pPr>
      <w:r>
        <w:rPr>
          <w:rFonts w:hint="eastAsia" w:ascii="仿宋" w:eastAsia="仿宋"/>
          <w:b w:val="0"/>
          <w:color w:val="000000"/>
        </w:rPr>
        <w:t>一、收</w:t>
      </w:r>
      <w:r>
        <w:rPr>
          <w:rStyle w:val="19"/>
          <w:rFonts w:hint="eastAsia" w:ascii="仿宋" w:eastAsia="仿宋"/>
          <w:b w:val="0"/>
          <w:bCs w:val="0"/>
        </w:rPr>
        <w:t>入支出决算总表</w:t>
      </w:r>
      <w:bookmarkEnd w:id="64"/>
    </w:p>
    <w:p>
      <w:pPr>
        <w:pStyle w:val="4"/>
        <w:rPr>
          <w:rFonts w:ascii="仿宋" w:eastAsia="仿宋"/>
          <w:color w:val="000000"/>
        </w:rPr>
      </w:pPr>
      <w:bookmarkStart w:id="65" w:name="_Toc15396620"/>
      <w:r>
        <w:rPr>
          <w:rFonts w:hint="eastAsia" w:ascii="仿宋" w:eastAsia="仿宋"/>
          <w:b w:val="0"/>
          <w:color w:val="000000"/>
        </w:rPr>
        <w:t>二、收</w:t>
      </w:r>
      <w:r>
        <w:rPr>
          <w:rStyle w:val="19"/>
          <w:rFonts w:hint="eastAsia" w:ascii="仿宋" w:eastAsia="仿宋"/>
          <w:b w:val="0"/>
          <w:bCs w:val="0"/>
        </w:rPr>
        <w:t>入总表</w:t>
      </w:r>
      <w:bookmarkEnd w:id="65"/>
    </w:p>
    <w:p>
      <w:pPr>
        <w:pStyle w:val="4"/>
        <w:rPr>
          <w:rFonts w:ascii="仿宋" w:eastAsia="仿宋"/>
          <w:color w:val="000000"/>
        </w:rPr>
      </w:pPr>
      <w:bookmarkStart w:id="66"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66"/>
    </w:p>
    <w:p>
      <w:pPr>
        <w:pStyle w:val="4"/>
        <w:rPr>
          <w:rFonts w:ascii="仿宋" w:eastAsia="仿宋"/>
          <w:b w:val="0"/>
          <w:color w:val="000000"/>
        </w:rPr>
      </w:pPr>
      <w:bookmarkStart w:id="67"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7"/>
    </w:p>
    <w:p>
      <w:pPr>
        <w:pStyle w:val="4"/>
        <w:rPr>
          <w:rFonts w:ascii="仿宋" w:eastAsia="仿宋"/>
          <w:color w:val="000000"/>
        </w:rPr>
      </w:pPr>
      <w:bookmarkStart w:id="68"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68"/>
    </w:p>
    <w:p>
      <w:pPr>
        <w:pStyle w:val="4"/>
        <w:rPr>
          <w:rFonts w:ascii="仿宋" w:eastAsia="仿宋"/>
          <w:color w:val="000000"/>
        </w:rPr>
      </w:pPr>
      <w:bookmarkStart w:id="69" w:name="_Toc15396624"/>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9"/>
    </w:p>
    <w:p>
      <w:pPr>
        <w:pStyle w:val="4"/>
        <w:rPr>
          <w:rFonts w:ascii="仿宋" w:eastAsia="仿宋"/>
          <w:color w:val="000000"/>
        </w:rPr>
      </w:pPr>
      <w:bookmarkStart w:id="70"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70"/>
    </w:p>
    <w:p>
      <w:pPr>
        <w:pStyle w:val="4"/>
        <w:rPr>
          <w:rFonts w:ascii="仿宋" w:eastAsia="仿宋"/>
          <w:color w:val="000000"/>
        </w:rPr>
      </w:pPr>
      <w:bookmarkStart w:id="71"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71"/>
    </w:p>
    <w:p>
      <w:pPr>
        <w:pStyle w:val="4"/>
        <w:rPr>
          <w:rFonts w:ascii="仿宋" w:eastAsia="仿宋"/>
          <w:color w:val="000000"/>
        </w:rPr>
      </w:pPr>
      <w:bookmarkStart w:id="72"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72"/>
    </w:p>
    <w:p>
      <w:pPr>
        <w:pStyle w:val="4"/>
        <w:rPr>
          <w:rFonts w:ascii="仿宋" w:eastAsia="仿宋"/>
          <w:color w:val="000000"/>
        </w:rPr>
      </w:pPr>
      <w:bookmarkStart w:id="73"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73"/>
    </w:p>
    <w:p>
      <w:pPr>
        <w:pStyle w:val="4"/>
        <w:rPr>
          <w:rFonts w:ascii="仿宋" w:eastAsia="仿宋"/>
          <w:color w:val="000000"/>
        </w:rPr>
      </w:pPr>
      <w:bookmarkStart w:id="74"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74"/>
    </w:p>
    <w:p>
      <w:pPr>
        <w:pStyle w:val="4"/>
        <w:rPr>
          <w:rFonts w:ascii="仿宋" w:eastAsia="仿宋"/>
          <w:color w:val="000000"/>
        </w:rPr>
      </w:pPr>
      <w:bookmarkStart w:id="75"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75"/>
    </w:p>
    <w:p>
      <w:pPr>
        <w:pStyle w:val="4"/>
        <w:rPr>
          <w:rFonts w:ascii="仿宋" w:eastAsia="仿宋"/>
          <w:color w:val="000000"/>
        </w:rPr>
      </w:pPr>
      <w:bookmarkStart w:id="76"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00" w:usb3="00000000" w:csb0="00000000" w:csb1="00000000"/>
  </w:font>
  <w:font w:name="Arial">
    <w:altName w:val="Times New Roman"/>
    <w:panose1 w:val="020B0604020202020204"/>
    <w:charset w:val="00"/>
    <w:family w:val="swiss"/>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6E898"/>
    <w:multiLevelType w:val="singleLevel"/>
    <w:tmpl w:val="AA36E898"/>
    <w:lvl w:ilvl="0" w:tentative="0">
      <w:start w:val="1"/>
      <w:numFmt w:val="decimal"/>
      <w:lvlText w:val="%1."/>
      <w:lvlJc w:val="left"/>
      <w:pPr>
        <w:tabs>
          <w:tab w:val="left" w:pos="312"/>
        </w:tabs>
      </w:pPr>
    </w:lvl>
  </w:abstractNum>
  <w:abstractNum w:abstractNumId="1">
    <w:nsid w:val="BC37A72C"/>
    <w:multiLevelType w:val="singleLevel"/>
    <w:tmpl w:val="BC37A72C"/>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4">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587719A2"/>
    <w:multiLevelType w:val="singleLevel"/>
    <w:tmpl w:val="587719A2"/>
    <w:lvl w:ilvl="0" w:tentative="0">
      <w:start w:val="2"/>
      <w:numFmt w:val="decimal"/>
      <w:suff w:val="nothing"/>
      <w:lvlText w:val="（%1）"/>
      <w:lvlJc w:val="left"/>
    </w:lvl>
  </w:abstractNum>
  <w:abstractNum w:abstractNumId="8">
    <w:nsid w:val="58772309"/>
    <w:multiLevelType w:val="singleLevel"/>
    <w:tmpl w:val="58772309"/>
    <w:lvl w:ilvl="0" w:tentative="0">
      <w:start w:val="2"/>
      <w:numFmt w:val="decimal"/>
      <w:suff w:val="nothing"/>
      <w:lvlText w:val="（%1）"/>
      <w:lvlJc w:val="left"/>
    </w:lvl>
  </w:abstractNum>
  <w:abstractNum w:abstractNumId="9">
    <w:nsid w:val="5877240A"/>
    <w:multiLevelType w:val="singleLevel"/>
    <w:tmpl w:val="5877240A"/>
    <w:lvl w:ilvl="0" w:tentative="0">
      <w:start w:val="2"/>
      <w:numFmt w:val="decimal"/>
      <w:suff w:val="nothing"/>
      <w:lvlText w:val="（%1）"/>
      <w:lvlJc w:val="left"/>
    </w:lvl>
  </w:abstractNum>
  <w:num w:numId="1">
    <w:abstractNumId w:val="0"/>
  </w:num>
  <w:num w:numId="2">
    <w:abstractNumId w:val="5"/>
  </w:num>
  <w:num w:numId="3">
    <w:abstractNumId w:val="7"/>
  </w:num>
  <w:num w:numId="4">
    <w:abstractNumId w:val="8"/>
  </w:num>
  <w:num w:numId="5">
    <w:abstractNumId w:val="9"/>
  </w:num>
  <w:num w:numId="6">
    <w:abstractNumId w:val="1"/>
  </w:num>
  <w:num w:numId="7">
    <w:abstractNumId w:val="2"/>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854485"/>
    <w:rsid w:val="023D4E64"/>
    <w:rsid w:val="058D097F"/>
    <w:rsid w:val="08633ECF"/>
    <w:rsid w:val="0A0941C8"/>
    <w:rsid w:val="0A5A5B38"/>
    <w:rsid w:val="0A8D6A45"/>
    <w:rsid w:val="0DC11DF8"/>
    <w:rsid w:val="0EC862B5"/>
    <w:rsid w:val="0EE071F9"/>
    <w:rsid w:val="117E4227"/>
    <w:rsid w:val="18333232"/>
    <w:rsid w:val="1A825D15"/>
    <w:rsid w:val="1E937B4D"/>
    <w:rsid w:val="1EF5273B"/>
    <w:rsid w:val="21323D36"/>
    <w:rsid w:val="243D41F9"/>
    <w:rsid w:val="26464751"/>
    <w:rsid w:val="29D22255"/>
    <w:rsid w:val="2D584C18"/>
    <w:rsid w:val="2EA675E5"/>
    <w:rsid w:val="30F1040C"/>
    <w:rsid w:val="326F5F3B"/>
    <w:rsid w:val="33B14FA8"/>
    <w:rsid w:val="35E77AE9"/>
    <w:rsid w:val="37BD566F"/>
    <w:rsid w:val="3BDF7414"/>
    <w:rsid w:val="3CFB59C5"/>
    <w:rsid w:val="3FE031D2"/>
    <w:rsid w:val="44BE0BE9"/>
    <w:rsid w:val="45E31684"/>
    <w:rsid w:val="46BD009B"/>
    <w:rsid w:val="48CA1769"/>
    <w:rsid w:val="49203F72"/>
    <w:rsid w:val="4B003FD4"/>
    <w:rsid w:val="4B81649C"/>
    <w:rsid w:val="4BA945C4"/>
    <w:rsid w:val="50446BE9"/>
    <w:rsid w:val="52244949"/>
    <w:rsid w:val="529A7E50"/>
    <w:rsid w:val="52DB3AF7"/>
    <w:rsid w:val="53D344C0"/>
    <w:rsid w:val="55C0498B"/>
    <w:rsid w:val="56CEF4CF"/>
    <w:rsid w:val="5834241D"/>
    <w:rsid w:val="58DE3405"/>
    <w:rsid w:val="5987160E"/>
    <w:rsid w:val="5988492B"/>
    <w:rsid w:val="5A7C4F17"/>
    <w:rsid w:val="5B2C001E"/>
    <w:rsid w:val="5F1F7957"/>
    <w:rsid w:val="5F8841BF"/>
    <w:rsid w:val="61AA7EA8"/>
    <w:rsid w:val="61BE723E"/>
    <w:rsid w:val="63590B7F"/>
    <w:rsid w:val="638147BC"/>
    <w:rsid w:val="64217477"/>
    <w:rsid w:val="66CB01A8"/>
    <w:rsid w:val="6C3D6576"/>
    <w:rsid w:val="6EA00D0F"/>
    <w:rsid w:val="73B11669"/>
    <w:rsid w:val="73F535FF"/>
    <w:rsid w:val="7CF3497D"/>
    <w:rsid w:val="7EEC34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99"/>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AppData\Local\Temp\360zip$Temp\360$0\2018&#24180;&#20915;&#31639;&#30456;&#20851;&#22270;&#349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AppData\Local\Temp\360zip$Temp\360$0\2018&#24180;&#20915;&#31639;&#30456;&#20851;&#22270;&#34920;(1).xls"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lenovo\AppData\Local\Temp\360zip$Temp\360$0\2018&#24180;&#20915;&#31639;&#30456;&#20851;&#22270;&#34920;(1).xls"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file:///C:\Users\lenovo\AppData\Local\Temp\360zip$Temp\360$0\2018&#24180;&#20915;&#31639;&#30456;&#20851;&#22270;&#34920;(1).xls"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oleObject" Target="file:///C:\Users\lenovo\AppData\Local\Temp\360zip$Temp\360$0\2018&#24180;&#20915;&#31639;&#30456;&#20851;&#22270;&#34920;(1).xls"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4.xml"/><Relationship Id="rId1" Type="http://schemas.openxmlformats.org/officeDocument/2006/relationships/oleObject" Target="file:///C:\Users\lenovo\AppData\Local\Temp\360zip$Temp\360$0\2018&#24180;&#20915;&#31639;&#30456;&#20851;&#22270;&#34920;(1).xls"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5.xml"/><Relationship Id="rId1" Type="http://schemas.openxmlformats.org/officeDocument/2006/relationships/oleObject" Target="file:///C:\Users\lenovo\AppData\Local\Temp\360zip$Temp\360$0\2018&#24180;&#20915;&#31639;&#30456;&#20851;&#22270;&#349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收入与支出情况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0691613240874002"/>
          <c:y val="0.217895433336233"/>
          <c:w val="0.900745780452702"/>
          <c:h val="0.69471603163192"/>
        </c:manualLayout>
      </c:layout>
      <c:barChart>
        <c:barDir val="col"/>
        <c:grouping val="clustered"/>
        <c:varyColors val="false"/>
        <c:ser>
          <c:idx val="0"/>
          <c:order val="0"/>
          <c:tx>
            <c:strRef>
              <c:f>'[2018年决算相关图表(1).xls]Sheet1'!$A$19</c:f>
              <c:strCache>
                <c:ptCount val="1"/>
                <c:pt idx="0">
                  <c:v>2020年</c:v>
                </c:pt>
              </c:strCache>
            </c:strRef>
          </c:tx>
          <c:spPr>
            <a:solidFill>
              <a:srgbClr val="4F81BD"/>
            </a:solidFill>
            <a:ln>
              <a:noFill/>
            </a:ln>
            <a:effectLst/>
          </c:spPr>
          <c:invertIfNegative val="false"/>
          <c:dLbls>
            <c:delete val="true"/>
          </c:dLbls>
          <c:cat>
            <c:strRef>
              <c:f>'[2018年决算相关图表(1).xls]Sheet1'!$B$18:$D$18</c:f>
              <c:strCache>
                <c:ptCount val="3"/>
                <c:pt idx="0">
                  <c:v>收入</c:v>
                </c:pt>
                <c:pt idx="1">
                  <c:v>支出</c:v>
                </c:pt>
              </c:strCache>
            </c:strRef>
          </c:cat>
          <c:val>
            <c:numRef>
              <c:f>'[2018年决算相关图表(1).xls]Sheet1'!$B$19:$D$19</c:f>
              <c:numCache>
                <c:formatCode>General</c:formatCode>
                <c:ptCount val="3"/>
                <c:pt idx="0">
                  <c:v>612.02</c:v>
                </c:pt>
                <c:pt idx="1">
                  <c:v>664.84</c:v>
                </c:pt>
              </c:numCache>
            </c:numRef>
          </c:val>
        </c:ser>
        <c:ser>
          <c:idx val="1"/>
          <c:order val="1"/>
          <c:tx>
            <c:strRef>
              <c:f>'[2018年决算相关图表(1).xls]Sheet1'!$A$20</c:f>
              <c:strCache>
                <c:ptCount val="1"/>
                <c:pt idx="0">
                  <c:v>2019年</c:v>
                </c:pt>
              </c:strCache>
            </c:strRef>
          </c:tx>
          <c:spPr>
            <a:solidFill>
              <a:srgbClr val="C0504D"/>
            </a:solidFill>
            <a:ln>
              <a:noFill/>
            </a:ln>
            <a:effectLst/>
          </c:spPr>
          <c:invertIfNegative val="false"/>
          <c:dLbls>
            <c:delete val="true"/>
          </c:dLbls>
          <c:cat>
            <c:strRef>
              <c:f>'[2018年决算相关图表(1).xls]Sheet1'!$B$18:$D$18</c:f>
              <c:strCache>
                <c:ptCount val="3"/>
                <c:pt idx="0">
                  <c:v>收入</c:v>
                </c:pt>
                <c:pt idx="1">
                  <c:v>支出</c:v>
                </c:pt>
              </c:strCache>
            </c:strRef>
          </c:cat>
          <c:val>
            <c:numRef>
              <c:f>'[2018年决算相关图表(1).xls]Sheet1'!$B$20:$D$20</c:f>
              <c:numCache>
                <c:formatCode>General</c:formatCode>
                <c:ptCount val="3"/>
                <c:pt idx="0">
                  <c:v>579.02</c:v>
                </c:pt>
                <c:pt idx="1">
                  <c:v>716.53</c:v>
                </c:pt>
              </c:numCache>
            </c:numRef>
          </c:val>
        </c:ser>
        <c:dLbls>
          <c:showLegendKey val="false"/>
          <c:showVal val="false"/>
          <c:showCatName val="false"/>
          <c:showSerName val="false"/>
          <c:showPercent val="false"/>
          <c:showBubbleSize val="false"/>
        </c:dLbls>
        <c:gapWidth val="219"/>
        <c:overlap val="-27"/>
        <c:axId val="989344829"/>
        <c:axId val="678249576"/>
      </c:barChart>
      <c:catAx>
        <c:axId val="989344829"/>
        <c:scaling>
          <c:orientation val="minMax"/>
        </c:scaling>
        <c:delete val="false"/>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678249576"/>
        <c:crosses val="autoZero"/>
        <c:auto val="true"/>
        <c:lblAlgn val="ctr"/>
        <c:lblOffset val="100"/>
        <c:noMultiLvlLbl val="false"/>
      </c:catAx>
      <c:valAx>
        <c:axId val="678249576"/>
        <c:scaling>
          <c:orientation val="minMax"/>
        </c:scaling>
        <c:delete val="false"/>
        <c:axPos val="l"/>
        <c:majorGridlines>
          <c:spPr>
            <a:ln w="9525" cap="flat" cmpd="sng" algn="ctr">
              <a:solidFill>
                <a:srgbClr val="D9D9D9">
                  <a:lumMod val="15000"/>
                  <a:lumOff val="85000"/>
                </a:srgb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989344829"/>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资产合计与负债情况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'[2018年决算相关图表(1).xls]Sheet1'!$A$19</c:f>
              <c:strCache>
                <c:ptCount val="1"/>
                <c:pt idx="0">
                  <c:v>2020年</c:v>
                </c:pt>
              </c:strCache>
            </c:strRef>
          </c:tx>
          <c:spPr>
            <a:solidFill>
              <a:srgbClr val="4F81BD"/>
            </a:solidFill>
            <a:ln>
              <a:noFill/>
            </a:ln>
            <a:effectLst/>
          </c:spPr>
          <c:invertIfNegative val="false"/>
          <c:dLbls>
            <c:delete val="true"/>
          </c:dLbls>
          <c:cat>
            <c:strRef>
              <c:f>'[2018年决算相关图表(1).xls]Sheet1'!$B$18:$D$18</c:f>
              <c:strCache>
                <c:ptCount val="3"/>
                <c:pt idx="0">
                  <c:v>收入</c:v>
                </c:pt>
                <c:pt idx="1">
                  <c:v>支出</c:v>
                </c:pt>
              </c:strCache>
            </c:strRef>
          </c:cat>
          <c:val>
            <c:numRef>
              <c:f>'[2018年决算相关图表(1).xls]Sheet1'!$B$19:$D$19</c:f>
              <c:numCache>
                <c:formatCode>General</c:formatCode>
                <c:ptCount val="3"/>
                <c:pt idx="0">
                  <c:v>612.02</c:v>
                </c:pt>
                <c:pt idx="1">
                  <c:v>664.84</c:v>
                </c:pt>
              </c:numCache>
            </c:numRef>
          </c:val>
        </c:ser>
        <c:ser>
          <c:idx val="1"/>
          <c:order val="1"/>
          <c:tx>
            <c:strRef>
              <c:f>'[2018年决算相关图表(1).xls]Sheet1'!$A$20</c:f>
              <c:strCache>
                <c:ptCount val="1"/>
                <c:pt idx="0">
                  <c:v>2019年</c:v>
                </c:pt>
              </c:strCache>
            </c:strRef>
          </c:tx>
          <c:spPr>
            <a:solidFill>
              <a:srgbClr val="C0504D"/>
            </a:solidFill>
            <a:ln>
              <a:noFill/>
            </a:ln>
            <a:effectLst/>
          </c:spPr>
          <c:invertIfNegative val="false"/>
          <c:dLbls>
            <c:delete val="true"/>
          </c:dLbls>
          <c:cat>
            <c:strRef>
              <c:f>'[2018年决算相关图表(1).xls]Sheet1'!$B$18:$D$18</c:f>
              <c:strCache>
                <c:ptCount val="3"/>
                <c:pt idx="0">
                  <c:v>收入</c:v>
                </c:pt>
                <c:pt idx="1">
                  <c:v>支出</c:v>
                </c:pt>
              </c:strCache>
            </c:strRef>
          </c:cat>
          <c:val>
            <c:numRef>
              <c:f>'[2018年决算相关图表(1).xls]Sheet1'!$B$20:$D$20</c:f>
              <c:numCache>
                <c:formatCode>General</c:formatCode>
                <c:ptCount val="3"/>
                <c:pt idx="0">
                  <c:v>579.02</c:v>
                </c:pt>
                <c:pt idx="1">
                  <c:v>716.53</c:v>
                </c:pt>
              </c:numCache>
            </c:numRef>
          </c:val>
        </c:ser>
        <c:dLbls>
          <c:showLegendKey val="false"/>
          <c:showVal val="false"/>
          <c:showCatName val="false"/>
          <c:showSerName val="false"/>
          <c:showPercent val="false"/>
          <c:showBubbleSize val="false"/>
        </c:dLbls>
        <c:gapWidth val="219"/>
        <c:overlap val="-27"/>
        <c:axId val="989344829"/>
        <c:axId val="678249576"/>
      </c:barChart>
      <c:catAx>
        <c:axId val="989344829"/>
        <c:scaling>
          <c:orientation val="minMax"/>
        </c:scaling>
        <c:delete val="false"/>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678249576"/>
        <c:crosses val="autoZero"/>
        <c:auto val="true"/>
        <c:lblAlgn val="ctr"/>
        <c:lblOffset val="100"/>
        <c:noMultiLvlLbl val="false"/>
      </c:catAx>
      <c:valAx>
        <c:axId val="678249576"/>
        <c:scaling>
          <c:orientation val="minMax"/>
        </c:scaling>
        <c:delete val="false"/>
        <c:axPos val="l"/>
        <c:majorGridlines>
          <c:spPr>
            <a:ln w="9525" cap="flat" cmpd="sng" algn="ctr">
              <a:solidFill>
                <a:srgbClr val="D9D9D9">
                  <a:lumMod val="15000"/>
                  <a:lumOff val="85000"/>
                </a:srgb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989344829"/>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defTabSz="914400">
              <a:defRPr lang="zh-CN" sz="1400" b="0" i="0" u="none" strike="noStrike" kern="1200" spc="0" baseline="0">
                <a:solidFill>
                  <a:srgbClr val="595959">
                    <a:lumMod val="65000"/>
                    <a:lumOff val="35000"/>
                  </a:srgbClr>
                </a:solidFill>
                <a:latin typeface="微软雅黑" panose="020B0503020204020204" charset="-122"/>
                <a:ea typeface="微软雅黑" panose="020B0503020204020204" charset="-122"/>
                <a:cs typeface="+mn-cs"/>
              </a:defRPr>
            </a:pPr>
            <a:r>
              <a:t>收入决算数</a:t>
            </a:r>
          </a:p>
        </c:rich>
      </c:tx>
      <c:layout/>
      <c:overlay val="false"/>
      <c:spPr>
        <a:noFill/>
        <a:ln>
          <a:noFill/>
        </a:ln>
        <a:effectLst/>
      </c:spPr>
    </c:title>
    <c:autoTitleDeleted val="false"/>
    <c:plotArea>
      <c:layout/>
      <c:pieChart>
        <c:varyColors val="true"/>
        <c:ser>
          <c:idx val="0"/>
          <c:order val="0"/>
          <c:tx>
            <c:strRef>
              <c:f>'[2018年决算相关图表(1).xls]Sheet2'!$B$1</c:f>
              <c:strCache>
                <c:ptCount val="1"/>
                <c:pt idx="0">
                  <c:v>支出决算数</c:v>
                </c:pt>
              </c:strCache>
            </c:strRef>
          </c:tx>
          <c:spPr>
            <a:ln w="19050">
              <a:noFill/>
            </a:ln>
            <a:effectLst>
              <a:outerShdw blurRad="50800" dist="38100" dir="5400000" algn="t" rotWithShape="0">
                <a:prstClr val="black">
                  <a:alpha val="40000"/>
                </a:prstClr>
              </a:outerShdw>
            </a:effectLst>
          </c:spPr>
          <c:explosion val="4"/>
          <c:dPt>
            <c:idx val="0"/>
            <c:bubble3D val="false"/>
            <c:explosion val="0"/>
            <c:spPr>
              <a:solidFill>
                <a:srgbClr val="6F59FF"/>
              </a:solidFill>
              <a:ln w="19050">
                <a:noFill/>
              </a:ln>
              <a:effectLst>
                <a:outerShdw blurRad="50800" dist="38100" dir="5400000" algn="t" rotWithShape="0">
                  <a:prstClr val="black">
                    <a:alpha val="40000"/>
                  </a:prstClr>
                </a:outerShdw>
              </a:effectLst>
            </c:spPr>
          </c:dPt>
          <c:dPt>
            <c:idx val="1"/>
            <c:bubble3D val="false"/>
            <c:explosion val="0"/>
            <c:spPr>
              <a:solidFill>
                <a:srgbClr val="8063FF"/>
              </a:solidFill>
              <a:ln w="19050">
                <a:noFill/>
              </a:ln>
              <a:effectLst>
                <a:outerShdw blurRad="50800" dist="38100" dir="5400000" algn="t" rotWithShape="0">
                  <a:prstClr val="black">
                    <a:alpha val="40000"/>
                  </a:prstClr>
                </a:outerShdw>
              </a:effectLst>
            </c:spPr>
          </c:dPt>
          <c:dPt>
            <c:idx val="2"/>
            <c:bubble3D val="false"/>
            <c:explosion val="0"/>
            <c:spPr>
              <a:solidFill>
                <a:srgbClr val="8D6EFF"/>
              </a:solidFill>
              <a:ln w="19050">
                <a:noFill/>
              </a:ln>
              <a:effectLst>
                <a:outerShdw blurRad="50800" dist="38100" dir="5400000" algn="t" rotWithShape="0">
                  <a:prstClr val="black">
                    <a:alpha val="40000"/>
                  </a:prstClr>
                </a:outerShdw>
              </a:effectLst>
            </c:spPr>
          </c:dPt>
          <c:dPt>
            <c:idx val="3"/>
            <c:bubble3D val="false"/>
            <c:explosion val="0"/>
            <c:spPr>
              <a:solidFill>
                <a:srgbClr val="9A78FF"/>
              </a:solidFill>
              <a:ln w="19050">
                <a:noFill/>
              </a:ln>
              <a:effectLst>
                <a:outerShdw blurRad="50800" dist="38100" dir="5400000" algn="t" rotWithShape="0">
                  <a:prstClr val="black">
                    <a:alpha val="40000"/>
                  </a:prstClr>
                </a:outerShdw>
              </a:effectLst>
            </c:spPr>
          </c:dPt>
          <c:dPt>
            <c:idx val="4"/>
            <c:bubble3D val="false"/>
            <c:explosion val="0"/>
            <c:spPr>
              <a:solidFill>
                <a:srgbClr val="A582FF"/>
              </a:solidFill>
              <a:ln w="19050">
                <a:noFill/>
              </a:ln>
              <a:effectLst>
                <a:outerShdw blurRad="50800" dist="38100" dir="5400000" algn="t" rotWithShape="0">
                  <a:prstClr val="black">
                    <a:alpha val="40000"/>
                  </a:prstClr>
                </a:outerShdw>
              </a:effectLst>
            </c:spPr>
          </c:dPt>
          <c:dPt>
            <c:idx val="5"/>
            <c:bubble3D val="false"/>
            <c:spPr>
              <a:solidFill>
                <a:srgbClr val="F79646"/>
              </a:solidFill>
              <a:ln w="19050">
                <a:noFill/>
              </a:ln>
              <a:effectLst>
                <a:outerShdw blurRad="50800" dist="38100" dir="5400000" algn="t" rotWithShape="0">
                  <a:prstClr val="black">
                    <a:alpha val="40000"/>
                  </a:prstClr>
                </a:outerShdw>
              </a:effectLst>
            </c:spPr>
          </c:dPt>
          <c:dPt>
            <c:idx val="6"/>
            <c:bubble3D val="false"/>
            <c:spPr>
              <a:solidFill>
                <a:srgbClr val="2C4D75">
                  <a:lumMod val="60000"/>
                </a:srgbClr>
              </a:solidFill>
              <a:ln w="19050">
                <a:noFill/>
              </a:ln>
              <a:effectLst>
                <a:outerShdw blurRad="50800" dist="38100" dir="5400000" algn="t" rotWithShape="0">
                  <a:prstClr val="black">
                    <a:alpha val="40000"/>
                  </a:prstClr>
                </a:outerShdw>
              </a:effectLst>
            </c:spPr>
          </c:dPt>
          <c:dPt>
            <c:idx val="7"/>
            <c:bubble3D val="false"/>
            <c:spPr>
              <a:solidFill>
                <a:srgbClr val="772C2A">
                  <a:lumMod val="60000"/>
                </a:srgbClr>
              </a:solidFill>
              <a:ln w="19050">
                <a:noFill/>
              </a:ln>
              <a:effectLst>
                <a:outerShdw blurRad="50800" dist="38100" dir="5400000" algn="t" rotWithShape="0">
                  <a:prstClr val="black">
                    <a:alpha val="40000"/>
                  </a:prstClr>
                </a:outerShdw>
              </a:effectLst>
            </c:spPr>
          </c:dPt>
          <c:dPt>
            <c:idx val="8"/>
            <c:bubble3D val="false"/>
            <c:spPr>
              <a:solidFill>
                <a:srgbClr val="5F7530">
                  <a:lumMod val="60000"/>
                </a:srgbClr>
              </a:solidFill>
              <a:ln w="19050">
                <a:noFill/>
              </a:ln>
              <a:effectLst>
                <a:outerShdw blurRad="50800" dist="38100" dir="5400000" algn="t" rotWithShape="0">
                  <a:prstClr val="black">
                    <a:alpha val="40000"/>
                  </a:prstClr>
                </a:outerShdw>
              </a:effectLst>
            </c:spPr>
          </c:dPt>
          <c:dPt>
            <c:idx val="9"/>
            <c:bubble3D val="false"/>
            <c:spPr>
              <a:solidFill>
                <a:srgbClr val="4D3B62">
                  <a:lumMod val="60000"/>
                </a:srgbClr>
              </a:solidFill>
              <a:ln w="19050">
                <a:noFill/>
              </a:ln>
              <a:effectLst>
                <a:outerShdw blurRad="50800" dist="38100" dir="5400000" algn="t" rotWithShape="0">
                  <a:prstClr val="black">
                    <a:alpha val="40000"/>
                  </a:prstClr>
                </a:outerShdw>
              </a:effectLst>
            </c:spPr>
          </c:dPt>
          <c:dPt>
            <c:idx val="10"/>
            <c:bubble3D val="false"/>
            <c:spPr>
              <a:solidFill>
                <a:srgbClr val="276A7C">
                  <a:lumMod val="60000"/>
                </a:srgbClr>
              </a:solidFill>
              <a:ln w="19050">
                <a:noFill/>
              </a:ln>
              <a:effectLst>
                <a:outerShdw blurRad="50800" dist="38100" dir="5400000" algn="t" rotWithShape="0">
                  <a:prstClr val="black">
                    <a:alpha val="40000"/>
                  </a:prstClr>
                </a:outerShdw>
              </a:effectLst>
            </c:spPr>
          </c:dPt>
          <c:dPt>
            <c:idx val="11"/>
            <c:bubble3D val="false"/>
            <c:spPr>
              <a:solidFill>
                <a:srgbClr val="B65708">
                  <a:lumMod val="60000"/>
                </a:srgbClr>
              </a:solidFill>
              <a:ln w="19050">
                <a:noFill/>
              </a:ln>
              <a:effectLst>
                <a:outerShdw blurRad="50800" dist="38100" dir="5400000" algn="t" rotWithShape="0">
                  <a:prstClr val="black">
                    <a:alpha val="40000"/>
                  </a:prstClr>
                </a:outerShdw>
              </a:effectLst>
            </c:spPr>
          </c:dPt>
          <c:dPt>
            <c:idx val="12"/>
            <c:bubble3D val="false"/>
            <c:spPr>
              <a:solidFill>
                <a:srgbClr val="729ACA">
                  <a:lumMod val="80000"/>
                  <a:lumOff val="20000"/>
                </a:srgbClr>
              </a:solidFill>
              <a:ln w="19050">
                <a:noFill/>
              </a:ln>
              <a:effectLst>
                <a:outerShdw blurRad="50800" dist="38100" dir="5400000" algn="t" rotWithShape="0">
                  <a:prstClr val="black">
                    <a:alpha val="40000"/>
                  </a:prstClr>
                </a:outerShdw>
              </a:effectLst>
            </c:spPr>
          </c:dPt>
          <c:dPt>
            <c:idx val="13"/>
            <c:bubble3D val="false"/>
            <c:spPr>
              <a:solidFill>
                <a:srgbClr val="CD7371">
                  <a:lumMod val="80000"/>
                  <a:lumOff val="20000"/>
                </a:srgbClr>
              </a:solidFill>
              <a:ln w="19050">
                <a:noFill/>
              </a:ln>
              <a:effectLst>
                <a:outerShdw blurRad="50800" dist="38100" dir="5400000" algn="t" rotWithShape="0">
                  <a:prstClr val="black">
                    <a:alpha val="40000"/>
                  </a:prstClr>
                </a:outerShdw>
              </a:effectLst>
            </c:spPr>
          </c:dPt>
          <c:dLbls>
            <c:numFmt formatCode="General" sourceLinked="true"/>
            <c:spPr>
              <a:noFill/>
              <a:ln>
                <a:noFill/>
              </a:ln>
              <a:effectLst/>
            </c:spPr>
            <c:txPr>
              <a:bodyPr rot="0" spcFirstLastPara="0" vertOverflow="ellipsis" vert="horz" wrap="square" lIns="38100" tIns="19050" rIns="38100" bIns="19050" anchor="ctr" anchorCtr="true" forceAA="false">
                <a:spAutoFit/>
              </a:bodyPr>
              <a:lstStyle/>
              <a:p>
                <a:pPr>
                  <a:defRPr lang="zh-CN" sz="900" b="0" i="0" u="none" strike="noStrike" kern="1200" baseline="0">
                    <a:solidFill>
                      <a:srgbClr val="FFFFFF"/>
                    </a:solidFill>
                    <a:latin typeface="微软雅黑" panose="020B0503020204020204" charset="-122"/>
                    <a:ea typeface="微软雅黑" panose="020B0503020204020204" charset="-122"/>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cat>
            <c:strRef>
              <c:f>'[2018年决算相关图表(1).xls]Sheet2'!$A$2:$A$15</c:f>
              <c:strCache>
                <c:ptCount val="14"/>
                <c:pt idx="0">
                  <c:v>人大运行</c:v>
                </c:pt>
                <c:pt idx="1">
                  <c:v>人大会议</c:v>
                </c:pt>
                <c:pt idx="2">
                  <c:v>代表工作</c:v>
                </c:pt>
                <c:pt idx="3">
                  <c:v>政府运行</c:v>
                </c:pt>
                <c:pt idx="4">
                  <c:v>党委运行</c:v>
                </c:pt>
                <c:pt idx="5">
                  <c:v>养老保险缴费</c:v>
                </c:pt>
                <c:pt idx="6">
                  <c:v>职业年金缴费</c:v>
                </c:pt>
                <c:pt idx="7">
                  <c:v>行政单位医疗</c:v>
                </c:pt>
                <c:pt idx="8">
                  <c:v>公务员医疗补助</c:v>
                </c:pt>
                <c:pt idx="9">
                  <c:v>事业运行</c:v>
                </c:pt>
                <c:pt idx="10">
                  <c:v>农村道路建设</c:v>
                </c:pt>
                <c:pt idx="11">
                  <c:v>对村民委员会和村党支部的补助</c:v>
                </c:pt>
                <c:pt idx="12">
                  <c:v> 住房公积金</c:v>
                </c:pt>
                <c:pt idx="13">
                  <c:v>其他支出</c:v>
                </c:pt>
              </c:strCache>
            </c:strRef>
          </c:cat>
          <c:val>
            <c:numRef>
              <c:f>'[2018年决算相关图表(1).xls]Sheet2'!$B$2:$B$15</c:f>
              <c:numCache>
                <c:formatCode>General</c:formatCode>
                <c:ptCount val="14"/>
                <c:pt idx="0">
                  <c:v>0</c:v>
                </c:pt>
                <c:pt idx="1">
                  <c:v>7000</c:v>
                </c:pt>
                <c:pt idx="2">
                  <c:v>19000</c:v>
                </c:pt>
                <c:pt idx="3">
                  <c:v>2956596.23</c:v>
                </c:pt>
                <c:pt idx="4">
                  <c:v>175527.94</c:v>
                </c:pt>
                <c:pt idx="5">
                  <c:v>333308.32</c:v>
                </c:pt>
                <c:pt idx="6">
                  <c:v>166654.6</c:v>
                </c:pt>
                <c:pt idx="7">
                  <c:v>171612.41</c:v>
                </c:pt>
                <c:pt idx="8">
                  <c:v>62771.94</c:v>
                </c:pt>
                <c:pt idx="9">
                  <c:v>397466.18</c:v>
                </c:pt>
                <c:pt idx="10">
                  <c:v>105423.67</c:v>
                </c:pt>
                <c:pt idx="11">
                  <c:v>1164340</c:v>
                </c:pt>
                <c:pt idx="12">
                  <c:v>363967</c:v>
                </c:pt>
                <c:pt idx="13">
                  <c:v>577091.8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gradFill flip="none" rotWithShape="true">
      <a:gsLst>
        <a:gs pos="0">
          <a:srgbClr val="F2F2F2">
            <a:lumMod val="95000"/>
          </a:srgbClr>
        </a:gs>
        <a:gs pos="100000">
          <a:srgbClr val="7F7F7F">
            <a:lumMod val="50000"/>
          </a:srgbClr>
        </a:gs>
      </a:gsLst>
      <a:path path="circle">
        <a:fillToRect l="50000" t="50000" r="50000" b="50000"/>
      </a:path>
      <a:tileRect/>
    </a:gradFill>
    <a:ln w="9525" cap="flat" cmpd="sng" algn="ctr">
      <a:solidFill>
        <a:srgbClr val="D9D9D9">
          <a:lumMod val="15000"/>
          <a:lumOff val="85000"/>
        </a:srgb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false"/>
      <c:spPr>
        <a:noFill/>
        <a:ln>
          <a:noFill/>
        </a:ln>
        <a:effectLst/>
      </c:spPr>
      <c:txPr>
        <a:bodyPr rot="0" spcFirstLastPara="0" vertOverflow="ellipsis" vert="horz" wrap="square" anchor="ctr" anchorCtr="true" forceAA="false"/>
        <a:lstStyle/>
        <a:p>
          <a:pPr>
            <a:defRPr lang="zh-CN" sz="1400" b="0" i="0" u="none" strike="noStrike" kern="1200" spc="0" baseline="0">
              <a:solidFill>
                <a:srgbClr val="595959">
                  <a:lumMod val="65000"/>
                  <a:lumOff val="35000"/>
                </a:srgbClr>
              </a:solidFill>
              <a:latin typeface="微软雅黑" panose="020B0503020204020204" charset="-122"/>
              <a:ea typeface="微软雅黑" panose="020B0503020204020204" charset="-122"/>
              <a:cs typeface="+mn-cs"/>
            </a:defRPr>
          </a:pPr>
        </a:p>
      </c:txPr>
    </c:title>
    <c:autoTitleDeleted val="false"/>
    <c:plotArea>
      <c:layout/>
      <c:pieChart>
        <c:varyColors val="true"/>
        <c:ser>
          <c:idx val="0"/>
          <c:order val="0"/>
          <c:tx>
            <c:strRef>
              <c:f>'[2018年决算相关图表(1).xls]Sheet2'!$B$1</c:f>
              <c:strCache>
                <c:ptCount val="1"/>
                <c:pt idx="0">
                  <c:v>支出决算数</c:v>
                </c:pt>
              </c:strCache>
            </c:strRef>
          </c:tx>
          <c:spPr>
            <a:ln w="19050">
              <a:noFill/>
            </a:ln>
            <a:effectLst>
              <a:outerShdw blurRad="50800" dist="38100" dir="2700000" algn="tl" rotWithShape="0">
                <a:prstClr val="black">
                  <a:alpha val="40000"/>
                </a:prstClr>
              </a:outerShdw>
            </a:effectLst>
          </c:spPr>
          <c:explosion val="4"/>
          <c:dPt>
            <c:idx val="0"/>
            <c:bubble3D val="false"/>
            <c:explosion val="0"/>
            <c:spPr>
              <a:solidFill>
                <a:srgbClr val="C7C114"/>
              </a:solidFill>
              <a:ln w="19050">
                <a:noFill/>
              </a:ln>
              <a:effectLst>
                <a:outerShdw blurRad="50800" dist="38100" dir="2700000" algn="tl" rotWithShape="0">
                  <a:prstClr val="black">
                    <a:alpha val="40000"/>
                  </a:prstClr>
                </a:outerShdw>
              </a:effectLst>
            </c:spPr>
          </c:dPt>
          <c:dPt>
            <c:idx val="1"/>
            <c:bubble3D val="false"/>
            <c:explosion val="0"/>
            <c:spPr>
              <a:solidFill>
                <a:srgbClr val="77B50D"/>
              </a:solidFill>
              <a:ln w="19050">
                <a:noFill/>
              </a:ln>
              <a:effectLst>
                <a:outerShdw blurRad="50800" dist="38100" dir="2700000" algn="tl" rotWithShape="0">
                  <a:prstClr val="black">
                    <a:alpha val="40000"/>
                  </a:prstClr>
                </a:outerShdw>
              </a:effectLst>
            </c:spPr>
          </c:dPt>
          <c:dPt>
            <c:idx val="2"/>
            <c:bubble3D val="false"/>
            <c:explosion val="0"/>
            <c:spPr>
              <a:solidFill>
                <a:srgbClr val="2CA308"/>
              </a:solidFill>
              <a:ln w="19050">
                <a:noFill/>
              </a:ln>
              <a:effectLst>
                <a:outerShdw blurRad="50800" dist="38100" dir="2700000" algn="tl" rotWithShape="0">
                  <a:prstClr val="black">
                    <a:alpha val="40000"/>
                  </a:prstClr>
                </a:outerShdw>
              </a:effectLst>
            </c:spPr>
          </c:dPt>
          <c:dPt>
            <c:idx val="3"/>
            <c:bubble3D val="false"/>
            <c:explosion val="0"/>
            <c:spPr>
              <a:solidFill>
                <a:srgbClr val="03911B"/>
              </a:solidFill>
              <a:ln w="19050">
                <a:noFill/>
              </a:ln>
              <a:effectLst>
                <a:outerShdw blurRad="50800" dist="38100" dir="2700000" algn="tl" rotWithShape="0">
                  <a:prstClr val="black">
                    <a:alpha val="40000"/>
                  </a:prstClr>
                </a:outerShdw>
              </a:effectLst>
            </c:spPr>
          </c:dPt>
          <c:dPt>
            <c:idx val="4"/>
            <c:bubble3D val="false"/>
            <c:explosion val="0"/>
            <c:spPr>
              <a:solidFill>
                <a:srgbClr val="008248"/>
              </a:solidFill>
              <a:ln w="19050">
                <a:noFill/>
              </a:ln>
              <a:effectLst>
                <a:outerShdw blurRad="50800" dist="38100" dir="2700000" algn="tl" rotWithShape="0">
                  <a:prstClr val="black">
                    <a:alpha val="40000"/>
                  </a:prstClr>
                </a:outerShdw>
              </a:effectLst>
            </c:spPr>
          </c:dPt>
          <c:dPt>
            <c:idx val="5"/>
            <c:bubble3D val="false"/>
            <c:spPr>
              <a:solidFill>
                <a:srgbClr val="F79646"/>
              </a:solidFill>
              <a:ln w="19050">
                <a:noFill/>
              </a:ln>
              <a:effectLst>
                <a:outerShdw blurRad="50800" dist="38100" dir="2700000" algn="tl" rotWithShape="0">
                  <a:prstClr val="black">
                    <a:alpha val="40000"/>
                  </a:prstClr>
                </a:outerShdw>
              </a:effectLst>
            </c:spPr>
          </c:dPt>
          <c:dPt>
            <c:idx val="6"/>
            <c:bubble3D val="false"/>
            <c:spPr>
              <a:solidFill>
                <a:srgbClr val="2C4D75">
                  <a:lumMod val="60000"/>
                </a:srgbClr>
              </a:solidFill>
              <a:ln w="19050">
                <a:noFill/>
              </a:ln>
              <a:effectLst>
                <a:outerShdw blurRad="50800" dist="38100" dir="2700000" algn="tl" rotWithShape="0">
                  <a:prstClr val="black">
                    <a:alpha val="40000"/>
                  </a:prstClr>
                </a:outerShdw>
              </a:effectLst>
            </c:spPr>
          </c:dPt>
          <c:dPt>
            <c:idx val="7"/>
            <c:bubble3D val="false"/>
            <c:spPr>
              <a:solidFill>
                <a:srgbClr val="772C2A">
                  <a:lumMod val="60000"/>
                </a:srgbClr>
              </a:solidFill>
              <a:ln w="19050">
                <a:noFill/>
              </a:ln>
              <a:effectLst>
                <a:outerShdw blurRad="50800" dist="38100" dir="2700000" algn="tl" rotWithShape="0">
                  <a:prstClr val="black">
                    <a:alpha val="40000"/>
                  </a:prstClr>
                </a:outerShdw>
              </a:effectLst>
            </c:spPr>
          </c:dPt>
          <c:dPt>
            <c:idx val="8"/>
            <c:bubble3D val="false"/>
            <c:spPr>
              <a:solidFill>
                <a:srgbClr val="5F7530">
                  <a:lumMod val="60000"/>
                </a:srgbClr>
              </a:solidFill>
              <a:ln w="19050">
                <a:noFill/>
              </a:ln>
              <a:effectLst>
                <a:outerShdw blurRad="50800" dist="38100" dir="2700000" algn="tl" rotWithShape="0">
                  <a:prstClr val="black">
                    <a:alpha val="40000"/>
                  </a:prstClr>
                </a:outerShdw>
              </a:effectLst>
            </c:spPr>
          </c:dPt>
          <c:dPt>
            <c:idx val="9"/>
            <c:bubble3D val="false"/>
            <c:spPr>
              <a:solidFill>
                <a:srgbClr val="4D3B62">
                  <a:lumMod val="60000"/>
                </a:srgbClr>
              </a:solidFill>
              <a:ln w="19050">
                <a:noFill/>
              </a:ln>
              <a:effectLst>
                <a:outerShdw blurRad="50800" dist="38100" dir="2700000" algn="tl" rotWithShape="0">
                  <a:prstClr val="black">
                    <a:alpha val="40000"/>
                  </a:prstClr>
                </a:outerShdw>
              </a:effectLst>
            </c:spPr>
          </c:dPt>
          <c:dPt>
            <c:idx val="10"/>
            <c:bubble3D val="false"/>
            <c:spPr>
              <a:solidFill>
                <a:srgbClr val="276A7C">
                  <a:lumMod val="60000"/>
                </a:srgbClr>
              </a:solidFill>
              <a:ln w="19050">
                <a:noFill/>
              </a:ln>
              <a:effectLst>
                <a:outerShdw blurRad="50800" dist="38100" dir="2700000" algn="tl" rotWithShape="0">
                  <a:prstClr val="black">
                    <a:alpha val="40000"/>
                  </a:prstClr>
                </a:outerShdw>
              </a:effectLst>
            </c:spPr>
          </c:dPt>
          <c:dPt>
            <c:idx val="11"/>
            <c:bubble3D val="false"/>
            <c:spPr>
              <a:solidFill>
                <a:srgbClr val="B65708">
                  <a:lumMod val="60000"/>
                </a:srgbClr>
              </a:solidFill>
              <a:ln w="19050">
                <a:noFill/>
              </a:ln>
              <a:effectLst>
                <a:outerShdw blurRad="50800" dist="38100" dir="2700000" algn="tl" rotWithShape="0">
                  <a:prstClr val="black">
                    <a:alpha val="40000"/>
                  </a:prstClr>
                </a:outerShdw>
              </a:effectLst>
            </c:spPr>
          </c:dPt>
          <c:dPt>
            <c:idx val="12"/>
            <c:bubble3D val="false"/>
            <c:spPr>
              <a:solidFill>
                <a:srgbClr val="729ACA">
                  <a:lumMod val="80000"/>
                  <a:lumOff val="20000"/>
                </a:srgbClr>
              </a:solidFill>
              <a:ln w="19050">
                <a:noFill/>
              </a:ln>
              <a:effectLst>
                <a:outerShdw blurRad="50800" dist="38100" dir="2700000" algn="tl" rotWithShape="0">
                  <a:prstClr val="black">
                    <a:alpha val="40000"/>
                  </a:prstClr>
                </a:outerShdw>
              </a:effectLst>
            </c:spPr>
          </c:dPt>
          <c:dPt>
            <c:idx val="13"/>
            <c:bubble3D val="false"/>
            <c:spPr>
              <a:solidFill>
                <a:srgbClr val="CD7371">
                  <a:lumMod val="80000"/>
                  <a:lumOff val="20000"/>
                </a:srgbClr>
              </a:solidFill>
              <a:ln w="19050">
                <a:noFill/>
              </a:ln>
              <a:effectLst>
                <a:outerShdw blurRad="50800" dist="38100" dir="2700000" algn="tl" rotWithShape="0">
                  <a:prstClr val="black">
                    <a:alpha val="40000"/>
                  </a:prstClr>
                </a:outerShdw>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cat>
            <c:strRef>
              <c:f>'[2018年决算相关图表(1).xls]Sheet2'!$A$2:$A$15</c:f>
              <c:strCache>
                <c:ptCount val="14"/>
                <c:pt idx="0">
                  <c:v>人大运行</c:v>
                </c:pt>
                <c:pt idx="1">
                  <c:v>人大会议</c:v>
                </c:pt>
                <c:pt idx="2">
                  <c:v>代表工作</c:v>
                </c:pt>
                <c:pt idx="3">
                  <c:v>政府运行</c:v>
                </c:pt>
                <c:pt idx="4">
                  <c:v>党委运行</c:v>
                </c:pt>
                <c:pt idx="5">
                  <c:v>养老保险缴费</c:v>
                </c:pt>
                <c:pt idx="6">
                  <c:v>职业年金缴费</c:v>
                </c:pt>
                <c:pt idx="7">
                  <c:v>行政单位医疗</c:v>
                </c:pt>
                <c:pt idx="8">
                  <c:v>公务员医疗补助</c:v>
                </c:pt>
                <c:pt idx="9">
                  <c:v>事业运行</c:v>
                </c:pt>
                <c:pt idx="10">
                  <c:v>农村道路建设</c:v>
                </c:pt>
                <c:pt idx="11">
                  <c:v>对村民委员会和村党支部的补助</c:v>
                </c:pt>
                <c:pt idx="12">
                  <c:v> 住房公积金</c:v>
                </c:pt>
                <c:pt idx="13">
                  <c:v>其他支出</c:v>
                </c:pt>
              </c:strCache>
            </c:strRef>
          </c:cat>
          <c:val>
            <c:numRef>
              <c:f>'[2018年决算相关图表(1).xls]Sheet2'!$B$2:$B$15</c:f>
              <c:numCache>
                <c:formatCode>General</c:formatCode>
                <c:ptCount val="14"/>
                <c:pt idx="0">
                  <c:v>0</c:v>
                </c:pt>
                <c:pt idx="1">
                  <c:v>7000</c:v>
                </c:pt>
                <c:pt idx="2">
                  <c:v>19000</c:v>
                </c:pt>
                <c:pt idx="3">
                  <c:v>2956596.23</c:v>
                </c:pt>
                <c:pt idx="4">
                  <c:v>175527.94</c:v>
                </c:pt>
                <c:pt idx="5">
                  <c:v>333308.32</c:v>
                </c:pt>
                <c:pt idx="6">
                  <c:v>166654.6</c:v>
                </c:pt>
                <c:pt idx="7">
                  <c:v>171612.41</c:v>
                </c:pt>
                <c:pt idx="8">
                  <c:v>62771.94</c:v>
                </c:pt>
                <c:pt idx="9">
                  <c:v>397466.18</c:v>
                </c:pt>
                <c:pt idx="10">
                  <c:v>105423.67</c:v>
                </c:pt>
                <c:pt idx="11">
                  <c:v>1164340</c:v>
                </c:pt>
                <c:pt idx="12">
                  <c:v>363967</c:v>
                </c:pt>
                <c:pt idx="13">
                  <c:v>577091.8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gradFill flip="none" rotWithShape="true">
      <a:gsLst>
        <a:gs pos="0">
          <a:srgbClr val="F2F2F2">
            <a:lumMod val="95000"/>
          </a:srgbClr>
        </a:gs>
        <a:gs pos="100000">
          <a:srgbClr val="7F7F7F">
            <a:lumMod val="50000"/>
          </a:srgbClr>
        </a:gs>
      </a:gsLst>
      <a:path path="circle">
        <a:fillToRect l="50000" t="50000" r="50000" b="50000"/>
      </a:path>
      <a:tileRect/>
    </a:gradFill>
    <a:ln w="9525" cap="flat" cmpd="sng" algn="ctr">
      <a:solidFill>
        <a:srgbClr val="D9D9D9">
          <a:lumMod val="15000"/>
          <a:lumOff val="85000"/>
        </a:srgb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defTabSz="914400">
              <a:defRPr lang="zh-CN" sz="1400" b="1" i="0" u="none" strike="noStrike" kern="1200" spc="0" baseline="0">
                <a:solidFill>
                  <a:srgbClr val="595959">
                    <a:lumMod val="65000"/>
                    <a:lumOff val="35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三公经费使用情况</a:t>
            </a:r>
          </a:p>
        </c:rich>
      </c:tx>
      <c:layout/>
      <c:overlay val="false"/>
      <c:spPr>
        <a:noFill/>
        <a:ln>
          <a:noFill/>
        </a:ln>
        <a:effectLst/>
      </c:spPr>
    </c:title>
    <c:autoTitleDeleted val="false"/>
    <c:plotArea>
      <c:layout>
        <c:manualLayout>
          <c:layoutTarget val="inner"/>
          <c:xMode val="edge"/>
          <c:yMode val="edge"/>
          <c:x val="0.128237337966056"/>
          <c:y val="0.257200267916946"/>
          <c:w val="0.818441801416544"/>
          <c:h val="0.677606608617995"/>
        </c:manualLayout>
      </c:layout>
      <c:barChart>
        <c:barDir val="bar"/>
        <c:grouping val="clustered"/>
        <c:varyColors val="false"/>
        <c:ser>
          <c:idx val="0"/>
          <c:order val="0"/>
          <c:spPr>
            <a:solidFill>
              <a:srgbClr val="FFB800"/>
            </a:solid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rgbClr val="FFFFFF"/>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cat>
            <c:strRef>
              <c:f>'[2018年决算相关图表(1).xls]Sheet3'!$A$1:$A$3</c:f>
              <c:strCache>
                <c:ptCount val="3"/>
                <c:pt idx="0">
                  <c:v>公务用车运行维护费</c:v>
                </c:pt>
                <c:pt idx="1">
                  <c:v>公务接待费</c:v>
                </c:pt>
                <c:pt idx="2">
                  <c:v>因公出国出境</c:v>
                </c:pt>
              </c:strCache>
            </c:strRef>
          </c:cat>
          <c:val>
            <c:numRef>
              <c:f>'[2018年决算相关图表(1).xls]Sheet3'!$B$1:$B$3</c:f>
              <c:numCache>
                <c:formatCode>General</c:formatCode>
                <c:ptCount val="3"/>
                <c:pt idx="0">
                  <c:v>47160</c:v>
                </c:pt>
                <c:pt idx="1">
                  <c:v>0</c:v>
                </c:pt>
                <c:pt idx="2">
                  <c:v>0</c:v>
                </c:pt>
              </c:numCache>
            </c:numRef>
          </c:val>
        </c:ser>
        <c:dLbls>
          <c:showLegendKey val="false"/>
          <c:showVal val="true"/>
          <c:showCatName val="false"/>
          <c:showSerName val="false"/>
          <c:showPercent val="false"/>
          <c:showBubbleSize val="false"/>
        </c:dLbls>
        <c:gapWidth val="168"/>
        <c:overlap val="-20"/>
        <c:axId val="705356147"/>
        <c:axId val="28154825"/>
      </c:barChart>
      <c:catAx>
        <c:axId val="705356147"/>
        <c:scaling>
          <c:orientation val="minMax"/>
        </c:scaling>
        <c:delete val="false"/>
        <c:axPos val="l"/>
        <c:numFmt formatCode="General" sourceLinked="false"/>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true" forceAA="false"/>
          <a:lstStyle/>
          <a:p>
            <a:pPr>
              <a:defRPr lang="zh-CN" sz="900" b="0" i="0" u="none" strike="noStrike" kern="1200" baseline="0">
                <a:solidFill>
                  <a:srgbClr val="595959">
                    <a:lumMod val="65000"/>
                    <a:lumOff val="35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8154825"/>
        <c:crosses val="autoZero"/>
        <c:auto val="true"/>
        <c:lblAlgn val="ctr"/>
        <c:lblOffset val="100"/>
        <c:noMultiLvlLbl val="false"/>
      </c:catAx>
      <c:valAx>
        <c:axId val="28154825"/>
        <c:scaling>
          <c:orientation val="minMax"/>
        </c:scaling>
        <c:delete val="true"/>
        <c:axPos val="b"/>
        <c:majorGridlines>
          <c:spPr>
            <a:ln w="9525" cap="flat" cmpd="sng" algn="ctr">
              <a:solidFill>
                <a:srgbClr val="D9D9D9">
                  <a:lumMod val="85000"/>
                  <a:alpha val="48000"/>
                </a:srgbClr>
              </a:solidFill>
              <a:prstDash val="sysDash"/>
              <a:round/>
            </a:ln>
            <a:effectLst/>
          </c:spPr>
        </c:majorGridlines>
        <c:numFmt formatCode="General" sourceLinked="true"/>
        <c:majorTickMark val="none"/>
        <c:minorTickMark val="none"/>
        <c:tickLblPos val="nextTo"/>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705356147"/>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rgbClr val="595959">
                  <a:lumMod val="65000"/>
                  <a:lumOff val="35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rgbClr val="FFFFFF"/>
    </a:solidFill>
    <a:ln w="9525" cap="flat" cmpd="sng" algn="ctr">
      <a:solidFill>
        <a:srgbClr val="D9D9D9">
          <a:lumMod val="15000"/>
          <a:lumOff val="85000"/>
        </a:srgb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defTabSz="914400">
              <a:defRPr lang="zh-CN" sz="1400" b="0" i="0" u="none" strike="noStrike" kern="1200" cap="none" spc="0" normalizeH="0" baseline="0">
                <a:solidFill>
                  <a:srgbClr val="7F7F7F">
                    <a:lumMod val="50000"/>
                  </a:srgbClr>
                </a:solidFill>
                <a:latin typeface="微软雅黑" panose="020B0503020204020204" charset="-122"/>
                <a:ea typeface="微软雅黑" panose="020B0503020204020204" charset="-122"/>
                <a:cs typeface="+mj-cs"/>
              </a:defRPr>
            </a:pPr>
            <a:r>
              <a:t>会议费</a:t>
            </a:r>
          </a:p>
        </c:rich>
      </c:tx>
      <c:layout/>
      <c:overlay val="false"/>
      <c:spPr>
        <a:noFill/>
        <a:ln>
          <a:noFill/>
        </a:ln>
        <a:effectLst/>
      </c:spPr>
    </c:title>
    <c:autoTitleDeleted val="false"/>
    <c:plotArea>
      <c:layout/>
      <c:lineChart>
        <c:grouping val="standard"/>
        <c:varyColors val="false"/>
        <c:ser>
          <c:idx val="0"/>
          <c:order val="0"/>
          <c:spPr>
            <a:ln w="38100" cap="rnd">
              <a:solidFill>
                <a:srgbClr val="4F81BD"/>
              </a:solidFill>
              <a:round/>
            </a:ln>
            <a:effectLst/>
          </c:spPr>
          <c:marker>
            <c:symbol val="none"/>
          </c:marker>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mn-lt"/>
                    <a:ea typeface="+mn-ea"/>
                    <a:cs typeface="+mn-cs"/>
                  </a:defRPr>
                </a:pPr>
              </a:p>
            </c:txPr>
            <c:dLblPos val="t"/>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rgbClr val="A6A6A6">
                          <a:lumMod val="35000"/>
                          <a:lumOff val="65000"/>
                        </a:srgbClr>
                      </a:solidFill>
                    </a:ln>
                    <a:effectLst/>
                  </c:spPr>
                </c15:leaderLines>
              </c:ext>
            </c:extLst>
          </c:dLbls>
          <c:trendline>
            <c:spPr>
              <a:ln w="19050" cap="rnd">
                <a:solidFill>
                  <a:srgbClr val="4F81BD"/>
                </a:solidFill>
                <a:round/>
              </a:ln>
              <a:effectLst/>
            </c:spPr>
            <c:trendlineType val="linear"/>
            <c:dispRSqr val="false"/>
            <c:dispEq val="false"/>
          </c:trendline>
          <c:cat>
            <c:numRef>
              <c:f>'[2018年决算相关图表(1).xls]Sheet3'!$A$1:$A$2</c:f>
              <c:numCache>
                <c:formatCode>General</c:formatCode>
                <c:ptCount val="2"/>
                <c:pt idx="0">
                  <c:v>2020</c:v>
                </c:pt>
                <c:pt idx="1">
                  <c:v>2019</c:v>
                </c:pt>
              </c:numCache>
            </c:numRef>
          </c:cat>
          <c:val>
            <c:numRef>
              <c:f>'[2018年决算相关图表(1).xls]Sheet3'!$B$1:$B$2</c:f>
              <c:numCache>
                <c:formatCode>General</c:formatCode>
                <c:ptCount val="2"/>
                <c:pt idx="0">
                  <c:v>2.6</c:v>
                </c:pt>
                <c:pt idx="1">
                  <c:v>3.6</c:v>
                </c:pt>
              </c:numCache>
            </c:numRef>
          </c:val>
          <c:smooth val="true"/>
        </c:ser>
        <c:dLbls>
          <c:showLegendKey val="false"/>
          <c:showVal val="true"/>
          <c:showCatName val="false"/>
          <c:showSerName val="false"/>
          <c:showPercent val="false"/>
          <c:showBubbleSize val="false"/>
        </c:dLbls>
        <c:upDownBars>
          <c:gapWidth val="150"/>
          <c:upBars>
            <c:spPr>
              <a:solidFill>
                <a:srgbClr val="FFFFFF"/>
              </a:solidFill>
              <a:ln w="9525">
                <a:solidFill>
                  <a:srgbClr val="808080">
                    <a:lumMod val="50000"/>
                    <a:lumOff val="50000"/>
                  </a:srgbClr>
                </a:solidFill>
              </a:ln>
              <a:effectLst/>
            </c:spPr>
          </c:upBars>
          <c:downBars>
            <c:spPr>
              <a:solidFill>
                <a:srgbClr val="404040">
                  <a:lumMod val="75000"/>
                  <a:lumOff val="25000"/>
                </a:srgbClr>
              </a:solidFill>
              <a:ln w="9525">
                <a:solidFill>
                  <a:srgbClr val="808080">
                    <a:lumMod val="50000"/>
                    <a:lumOff val="50000"/>
                  </a:srgbClr>
                </a:solidFill>
              </a:ln>
              <a:effectLst/>
            </c:spPr>
          </c:downBars>
        </c:upDownBars>
        <c:marker val="false"/>
        <c:smooth val="true"/>
        <c:axId val="705356147"/>
        <c:axId val="28154825"/>
      </c:lineChart>
      <c:catAx>
        <c:axId val="705356147"/>
        <c:scaling>
          <c:orientation val="minMax"/>
        </c:scaling>
        <c:delete val="false"/>
        <c:axPos val="b"/>
        <c:numFmt formatCode="General" sourceLinked="true"/>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true" forceAA="false"/>
          <a:lstStyle/>
          <a:p>
            <a:pPr>
              <a:defRPr lang="zh-CN" sz="900" b="0" i="0" u="none" strike="noStrike" kern="1200" cap="none" spc="0" normalizeH="0" baseline="0">
                <a:solidFill>
                  <a:srgbClr val="A6A6A6">
                    <a:lumMod val="65000"/>
                  </a:srgbClr>
                </a:solidFill>
                <a:latin typeface="微软雅黑" panose="020B0503020204020204" charset="-122"/>
                <a:ea typeface="微软雅黑" panose="020B0503020204020204" charset="-122"/>
                <a:cs typeface="+mn-cs"/>
              </a:defRPr>
            </a:pPr>
          </a:p>
        </c:txPr>
        <c:crossAx val="28154825"/>
        <c:crosses val="autoZero"/>
        <c:auto val="true"/>
        <c:lblAlgn val="ctr"/>
        <c:lblOffset val="100"/>
        <c:noMultiLvlLbl val="false"/>
      </c:catAx>
      <c:valAx>
        <c:axId val="28154825"/>
        <c:scaling>
          <c:orientation val="minMax"/>
        </c:scaling>
        <c:delete val="false"/>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800" b="0" i="0" u="none" strike="noStrike" kern="1200" baseline="0">
                <a:solidFill>
                  <a:srgbClr val="A6A6A6">
                    <a:lumMod val="65000"/>
                  </a:srgbClr>
                </a:solidFill>
                <a:latin typeface="微软雅黑" panose="020B0503020204020204" charset="-122"/>
                <a:ea typeface="微软雅黑" panose="020B0503020204020204" charset="-122"/>
                <a:cs typeface="+mn-cs"/>
              </a:defRPr>
            </a:pPr>
          </a:p>
        </c:txPr>
        <c:crossAx val="705356147"/>
        <c:crosses val="autoZero"/>
        <c:crossBetween val="midCat"/>
      </c:valAx>
      <c:dTable>
        <c:showHorzBorder val="true"/>
        <c:showVertBorder val="true"/>
        <c:showOutline val="true"/>
        <c:showKeys val="true"/>
        <c:spPr>
          <a:noFill/>
          <a:ln w="9525">
            <a:solidFill>
              <a:srgbClr val="D9D9D9">
                <a:lumMod val="15000"/>
                <a:lumOff val="85000"/>
              </a:srgbClr>
            </a:solid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dTable>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800" b="0" i="0" u="none" strike="noStrike" kern="1200" baseline="0">
              <a:solidFill>
                <a:srgbClr val="A6A6A6">
                  <a:lumMod val="65000"/>
                </a:srgbClr>
              </a:solidFill>
              <a:latin typeface="微软雅黑" panose="020B0503020204020204" charset="-122"/>
              <a:ea typeface="微软雅黑" panose="020B0503020204020204" charset="-122"/>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defTabSz="914400">
              <a:defRPr lang="zh-CN" sz="1400" b="1" i="0" u="none" strike="noStrike" kern="1200" spc="0" baseline="0">
                <a:solidFill>
                  <a:srgbClr val="595959">
                    <a:lumMod val="65000"/>
                    <a:lumOff val="35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三公经费使用情况</a:t>
            </a:r>
          </a:p>
        </c:rich>
      </c:tx>
      <c:layout/>
      <c:overlay val="false"/>
      <c:spPr>
        <a:noFill/>
        <a:ln>
          <a:noFill/>
        </a:ln>
        <a:effectLst/>
      </c:spPr>
    </c:title>
    <c:autoTitleDeleted val="false"/>
    <c:plotArea>
      <c:layout>
        <c:manualLayout>
          <c:layoutTarget val="inner"/>
          <c:xMode val="edge"/>
          <c:yMode val="edge"/>
          <c:x val="0.151209103840683"/>
          <c:y val="0.315848888764204"/>
          <c:w val="0.818441801416544"/>
          <c:h val="0.677606608617995"/>
        </c:manualLayout>
      </c:layout>
      <c:barChart>
        <c:barDir val="bar"/>
        <c:grouping val="clustered"/>
        <c:varyColors val="false"/>
        <c:ser>
          <c:idx val="0"/>
          <c:order val="0"/>
          <c:spPr>
            <a:solidFill>
              <a:srgbClr val="FFB800"/>
            </a:solid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rgbClr val="FFFFFF"/>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cat>
            <c:strRef>
              <c:f>'[2018年决算相关图表(1).xls]Sheet3'!$A$1:$A$3</c:f>
              <c:strCache>
                <c:ptCount val="3"/>
                <c:pt idx="0">
                  <c:v>公务用车运行维护费</c:v>
                </c:pt>
                <c:pt idx="1">
                  <c:v>公务接待费</c:v>
                </c:pt>
                <c:pt idx="2">
                  <c:v>因公出国出境</c:v>
                </c:pt>
              </c:strCache>
            </c:strRef>
          </c:cat>
          <c:val>
            <c:numRef>
              <c:f>'[2018年决算相关图表(1).xls]Sheet3'!$B$1:$B$3</c:f>
              <c:numCache>
                <c:formatCode>General</c:formatCode>
                <c:ptCount val="3"/>
                <c:pt idx="0">
                  <c:v>47160</c:v>
                </c:pt>
                <c:pt idx="1">
                  <c:v>0</c:v>
                </c:pt>
                <c:pt idx="2">
                  <c:v>0</c:v>
                </c:pt>
              </c:numCache>
            </c:numRef>
          </c:val>
        </c:ser>
        <c:dLbls>
          <c:showLegendKey val="false"/>
          <c:showVal val="true"/>
          <c:showCatName val="false"/>
          <c:showSerName val="false"/>
          <c:showPercent val="false"/>
          <c:showBubbleSize val="false"/>
        </c:dLbls>
        <c:gapWidth val="168"/>
        <c:overlap val="-20"/>
        <c:axId val="705356147"/>
        <c:axId val="28154825"/>
      </c:barChart>
      <c:catAx>
        <c:axId val="705356147"/>
        <c:scaling>
          <c:orientation val="minMax"/>
        </c:scaling>
        <c:delete val="false"/>
        <c:axPos val="l"/>
        <c:numFmt formatCode="General" sourceLinked="false"/>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true" forceAA="false"/>
          <a:lstStyle/>
          <a:p>
            <a:pPr>
              <a:defRPr lang="zh-CN" sz="900" b="0" i="0" u="none" strike="noStrike" kern="1200" baseline="0">
                <a:solidFill>
                  <a:srgbClr val="595959">
                    <a:lumMod val="65000"/>
                    <a:lumOff val="35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8154825"/>
        <c:crosses val="autoZero"/>
        <c:auto val="true"/>
        <c:lblAlgn val="ctr"/>
        <c:lblOffset val="100"/>
        <c:noMultiLvlLbl val="false"/>
      </c:catAx>
      <c:valAx>
        <c:axId val="28154825"/>
        <c:scaling>
          <c:orientation val="minMax"/>
        </c:scaling>
        <c:delete val="true"/>
        <c:axPos val="b"/>
        <c:majorGridlines>
          <c:spPr>
            <a:ln w="9525" cap="flat" cmpd="sng" algn="ctr">
              <a:solidFill>
                <a:srgbClr val="D9D9D9">
                  <a:lumMod val="85000"/>
                  <a:alpha val="48000"/>
                </a:srgbClr>
              </a:solidFill>
              <a:prstDash val="sysDash"/>
              <a:round/>
            </a:ln>
            <a:effectLst/>
          </c:spPr>
        </c:majorGridlines>
        <c:numFmt formatCode="General" sourceLinked="true"/>
        <c:majorTickMark val="none"/>
        <c:minorTickMark val="none"/>
        <c:tickLblPos val="nextTo"/>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705356147"/>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rgbClr val="595959">
                  <a:lumMod val="65000"/>
                  <a:lumOff val="35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rgbClr val="FFFFFF"/>
    </a:solidFill>
    <a:ln w="9525" cap="flat" cmpd="sng" algn="ctr">
      <a:solidFill>
        <a:srgbClr val="D9D9D9">
          <a:lumMod val="15000"/>
          <a:lumOff val="85000"/>
        </a:srgb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35">
  <cs:axisTitle>
    <cs:lnRef idx="0"/>
    <cs:fillRef idx="0"/>
    <cs:effectRef idx="0"/>
    <cs:fontRef idx="minor">
      <a:srgbClr val="595959">
        <a:lumMod val="65000"/>
        <a:lumOff val="35000"/>
      </a:srgbClr>
    </cs:fontRef>
    <cs:defRPr sz="900" kern="1200" cap="all"/>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b="0" kern="1200" cap="none" spc="0" normalizeH="0" baseline="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404040">
        <a:lumMod val="75000"/>
        <a:lumOff val="25000"/>
      </a:srgbClr>
    </cs:fontRef>
    <cs:spPr>
      <a:solidFill>
        <a:srgbClr val="D9D9D9">
          <a:lumMod val="15000"/>
          <a:lumOff val="85000"/>
        </a:srgb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rgbClr val="000000"/>
    </cs:fontRef>
    <cs:spPr>
      <a:solidFill>
        <a:srgbClr val="FFFFFF"/>
      </a:solidFill>
    </cs:spPr>
  </cs:dataPoint>
  <cs:dataPoint3D>
    <cs:lnRef idx="0"/>
    <cs:fillRef idx="0">
      <cs:styleClr val="auto"/>
    </cs:fillRef>
    <cs:effectRef idx="0"/>
    <cs:fontRef idx="minor">
      <a:srgbClr val="000000"/>
    </cs:fontRef>
    <cs:spPr>
      <a:solidFill>
        <a:srgbClr val="FFFFFF"/>
      </a:solidFill>
    </cs:spPr>
  </cs:dataPoint3D>
  <cs:dataPointLine>
    <cs:lnRef idx="0">
      <cs:styleClr val="auto"/>
    </cs:lnRef>
    <cs:fillRef idx="0"/>
    <cs:effectRef idx="0"/>
    <cs:fontRef idx="minor">
      <a:srgbClr val="000000"/>
    </cs:fontRef>
    <cs:spPr>
      <a:ln w="38100" cap="rnd">
        <a:solidFill>
          <a:srgbClr val="FFFFFF"/>
        </a:solidFill>
        <a:round/>
      </a:ln>
    </cs:spPr>
  </cs:dataPointLine>
  <cs:dataPointMarker>
    <cs:lnRef idx="0"/>
    <cs:fillRef idx="0">
      <cs:styleClr val="auto"/>
    </cs:fillRef>
    <cs:effectRef idx="0"/>
    <cs:fontRef idx="minor">
      <a:srgbClr val="000000"/>
    </cs:fontRef>
    <cs:spPr>
      <a:solidFill>
        <a:srgbClr val="FFFFFF"/>
      </a:solidFill>
    </cs:spPr>
  </cs:dataPointMarker>
  <cs:dataPointMarkerLayout symbol="circle" size="8"/>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ln w="9525">
        <a:solidFill>
          <a:srgbClr val="D9D9D9">
            <a:lumMod val="15000"/>
            <a:lumOff val="85000"/>
          </a:srgbClr>
        </a:solidFill>
      </a:ln>
    </cs:spPr>
    <cs:defRPr sz="900" kern="1200"/>
  </cs:dataTable>
  <cs:downBar>
    <cs:lnRef idx="0"/>
    <cs:fillRef idx="0"/>
    <cs:effectRef idx="0"/>
    <cs:fontRef idx="minor">
      <a:srgbClr val="000000"/>
    </cs:fontRef>
    <cs:spPr>
      <a:solidFill>
        <a:srgbClr val="404040">
          <a:lumMod val="75000"/>
          <a:lumOff val="25000"/>
        </a:srgbClr>
      </a:solidFill>
      <a:ln w="9525">
        <a:solidFill>
          <a:srgbClr val="808080">
            <a:lumMod val="50000"/>
            <a:lumOff val="50000"/>
          </a:srgbClr>
        </a:solidFill>
      </a:ln>
    </cs:spPr>
  </cs:downBar>
  <cs:dropLine>
    <cs:lnRef idx="0"/>
    <cs:fillRef idx="0"/>
    <cs:effectRef idx="0"/>
    <cs:fontRef idx="minor">
      <a:srgbClr val="000000"/>
    </cs:fontRef>
    <cs:spPr>
      <a:ln w="9525">
        <a:solidFill>
          <a:srgbClr val="808080">
            <a:lumMod val="50000"/>
            <a:lumOff val="50000"/>
          </a:srgbClr>
        </a:solidFill>
        <a:prstDash val="dash"/>
      </a:ln>
    </cs:spPr>
  </cs:dropLine>
  <cs:errorBar>
    <cs:lnRef idx="0"/>
    <cs:fillRef idx="0"/>
    <cs:effectRef idx="0"/>
    <cs:fontRef idx="minor">
      <a:srgbClr val="000000"/>
    </cs:fontRef>
    <cs:spPr>
      <a:ln w="9525">
        <a:solidFill>
          <a:srgbClr val="808080">
            <a:lumMod val="50000"/>
            <a:lumOff val="50000"/>
          </a:srgbClr>
        </a:solidFill>
        <a:round/>
      </a:ln>
    </cs:spPr>
  </cs:errorBar>
  <cs:floor>
    <cs:lnRef idx="0"/>
    <cs:fillRef idx="0"/>
    <cs:effectRef idx="0"/>
    <cs:fontRef idx="minor">
      <a:srgbClr val="000000"/>
    </cs:fontRef>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a:solidFill>
          <a:srgbClr val="808080">
            <a:lumMod val="50000"/>
            <a:lumOff val="50000"/>
          </a:srgbClr>
        </a:solidFill>
        <a:prstDash val="dash"/>
      </a:ln>
    </cs:spPr>
  </cs:hiLoLine>
  <cs:leaderLine>
    <cs:lnRef idx="0"/>
    <cs:fillRef idx="0"/>
    <cs:effectRef idx="0"/>
    <cs:fontRef idx="minor">
      <a:srgbClr val="000000"/>
    </cs:fontRef>
    <cs:spPr>
      <a:ln w="9525">
        <a:solidFill>
          <a:srgbClr val="A6A6A6">
            <a:lumMod val="35000"/>
            <a:lumOff val="65000"/>
          </a:srgbClr>
        </a:solidFill>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seriesAxis>
  <cs:seriesLine>
    <cs:lnRef idx="0"/>
    <cs:fillRef idx="0"/>
    <cs:effectRef idx="0"/>
    <cs:fontRef idx="minor">
      <a:srgbClr val="000000"/>
    </cs:fontRef>
    <cs:spPr>
      <a:ln w="9525">
        <a:solidFill>
          <a:srgbClr val="A6A6A6">
            <a:lumMod val="35000"/>
            <a:lumOff val="65000"/>
          </a:srgbClr>
        </a:solidFill>
        <a:round/>
      </a:ln>
    </cs:spPr>
  </cs:seriesLine>
  <cs:title>
    <cs:lnRef idx="0"/>
    <cs:fillRef idx="0"/>
    <cs:effectRef idx="0"/>
    <cs:fontRef idx="major">
      <a:srgbClr val="595959">
        <a:lumMod val="65000"/>
        <a:lumOff val="35000"/>
      </a:srgbClr>
    </cs:fontRef>
    <cs:defRPr sz="2000" b="0" kern="1200" cap="none" spc="0" normalizeH="0" baseline="0"/>
  </cs:title>
  <cs:trendline>
    <cs:lnRef idx="0">
      <cs:styleClr val="auto"/>
    </cs:lnRef>
    <cs:fillRef idx="0"/>
    <cs:effectRef idx="0"/>
    <cs:fontRef idx="minor">
      <a:srgbClr val="000000"/>
    </cs:fontRef>
    <cs:spPr>
      <a:ln w="19050" cap="rnd">
        <a:solidFill>
          <a:srgbClr val="FFFFFF"/>
        </a:solidFill>
        <a:round/>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808080">
            <a:lumMod val="50000"/>
            <a:lumOff val="50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true">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false"/>
      </a:gradFill>
      <a:gradFill rotWithShape="true">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false"/>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true">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false"/>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true">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false"/>
      </a:gradFill>
      <a:gradFill rotWithShape="true">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false"/>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true">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false"/>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true">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false"/>
      </a:gradFill>
      <a:gradFill rotWithShape="true">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false"/>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true">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false"/>
      </a:gradFill>
    </a:bgFillStyleLst>
  </a:fmtScheme>
</a:themeOverride>
</file>

<file path=word/theme/themeOverride4.xml><?xml version="1.0" encoding="utf-8"?>
<a:themeOverride xmlns:a="http://schemas.openxmlformats.org/drawingml/2006/main">
  <a:clrScheme name="自定义 8">
    <a:dk1>
      <a:sysClr val="windowText" lastClr="000000"/>
    </a:dk1>
    <a:lt1>
      <a:sysClr val="window" lastClr="FFFFFF"/>
    </a:lt1>
    <a:dk2>
      <a:srgbClr val="E44856"/>
    </a:dk2>
    <a:lt2>
      <a:srgbClr val="8D0F3E"/>
    </a:lt2>
    <a:accent1>
      <a:srgbClr val="055280"/>
    </a:accent1>
    <a:accent2>
      <a:srgbClr val="34B2E4"/>
    </a:accent2>
    <a:accent3>
      <a:srgbClr val="64D0D9"/>
    </a:accent3>
    <a:accent4>
      <a:srgbClr val="65DAAD"/>
    </a:accent4>
    <a:accent5>
      <a:srgbClr val="FFCD64"/>
    </a:accent5>
    <a:accent6>
      <a:srgbClr val="FE912A"/>
    </a:accent6>
    <a:hlink>
      <a:srgbClr val="5F5F5F"/>
    </a:hlink>
    <a:folHlink>
      <a:srgbClr val="919191"/>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true">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false"/>
      </a:gradFill>
      <a:gradFill rotWithShape="true">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false"/>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true">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false"/>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true">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false"/>
      </a:gradFill>
      <a:gradFill rotWithShape="true">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false"/>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true">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1</TotalTime>
  <ScaleCrop>false</ScaleCrop>
  <LinksUpToDate>false</LinksUpToDate>
  <CharactersWithSpaces>12923</CharactersWithSpaces>
  <Application>WPS Office_11.8.2.1111_F1E327BC-269C-435d-A152-05C5408002CA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2020-09-29T18:36:00Z</cp:lastPrinted>
  <dcterms:modified xsi:type="dcterms:W3CDTF">2023-09-22T15:50:17Z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7446358C982B43FBBF5486ACE152A102</vt:lpwstr>
  </property>
</Properties>
</file>