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xlsx" ContentType="application/vnd.openxmlformats-officedocument.spreadsheetml.sheet"/>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pacing w:beforeLines="0" w:before="93"/>
        <w:jc w:val="center"/>
        <w:rPr>
          <w:rFonts w:ascii="Times New Roman" w:eastAsia="方正小标宋简体" w:hAnsi="Times New Roman"/>
          <w:kern w:val="2"/>
          <w:sz w:val="44"/>
          <w:szCs w:val="44"/>
        </w:rPr>
      </w:pPr>
      <w:bookmarkStart w:id="0" w:name="_Toc15396475"/>
      <w:bookmarkStart w:id="1" w:name="_Toc15396597"/>
      <w:bookmarkStart w:id="2" w:name="_Toc15378441"/>
      <w:bookmarkStart w:id="3" w:name="_Toc15377193"/>
      <w:bookmarkStart w:id="4" w:name="_Toc15377425"/>
      <w:bookmarkStart w:id="5" w:name="_Toc15306267"/>
    </w:p>
    <w:p>
      <w:pPr>
        <w:pStyle w:val="18"/>
        <w:spacing w:beforeLines="0" w:before="93"/>
        <w:jc w:val="center"/>
        <w:rPr>
          <w:rFonts w:ascii="Times New Roman" w:eastAsia="方正小标宋简体" w:hAnsi="Times New Roman"/>
          <w:kern w:val="2"/>
          <w:sz w:val="44"/>
          <w:szCs w:val="44"/>
        </w:rPr>
      </w:pPr>
    </w:p>
    <w:p>
      <w:pPr>
        <w:pStyle w:val="18"/>
        <w:spacing w:beforeLines="0" w:before="93"/>
        <w:jc w:val="center"/>
        <w:rPr>
          <w:rFonts w:ascii="Times New Roman" w:eastAsia="方正小标宋简体" w:hAnsi="Times New Roman"/>
          <w:kern w:val="2"/>
          <w:sz w:val="44"/>
          <w:szCs w:val="44"/>
        </w:rPr>
      </w:pPr>
    </w:p>
    <w:p>
      <w:pPr>
        <w:pStyle w:val="18"/>
        <w:spacing w:beforeLines="0" w:before="93"/>
        <w:jc w:val="center"/>
        <w:rPr>
          <w:rFonts w:ascii="Times New Roman" w:eastAsia="方正小标宋简体" w:hAnsi="Times New Roman"/>
          <w:kern w:val="2"/>
          <w:sz w:val="44"/>
          <w:szCs w:val="44"/>
        </w:rPr>
      </w:pPr>
      <w:bookmarkStart w:id="6" w:name="_Toc15396476"/>
      <w:bookmarkStart w:id="7" w:name="_Toc15377426"/>
      <w:bookmarkStart w:id="8" w:name="_Toc15378442"/>
      <w:bookmarkStart w:id="9" w:name="_Toc15396598"/>
      <w:bookmarkStart w:id="10" w:name="_Toc15377194"/>
      <w:bookmarkEnd w:id="0"/>
      <w:bookmarkEnd w:id="1"/>
      <w:bookmarkEnd w:id="2"/>
      <w:bookmarkEnd w:id="3"/>
      <w:bookmarkEnd w:id="4"/>
      <w:r>
        <w:rPr>
          <w:rFonts w:ascii="Times New Roman" w:eastAsia="方正小标宋简体" w:hAnsi="Times New Roman" w:hint="eastAsia"/>
          <w:kern w:val="2"/>
          <w:sz w:val="44"/>
          <w:szCs w:val="44"/>
        </w:rPr>
        <w:t>2024年度四川省</w:t>
      </w:r>
      <w:bookmarkStart w:id="11" w:name="_Toc15306268"/>
      <w:bookmarkEnd w:id="5"/>
      <w:r>
        <w:rPr>
          <w:rFonts w:ascii="Times New Roman" w:eastAsia="方正小标宋简体" w:hAnsi="Times New Roman" w:hint="eastAsia"/>
          <w:kern w:val="2"/>
          <w:sz w:val="44"/>
          <w:szCs w:val="44"/>
        </w:rPr>
        <w:t>金川县独松乡人民政府</w:t>
      </w:r>
    </w:p>
    <w:p>
      <w:pPr>
        <w:pStyle w:val="18"/>
        <w:spacing w:beforeLines="0" w:before="93"/>
        <w:jc w:val="center"/>
        <w:rPr>
          <w:rFonts w:ascii="Times New Roman" w:eastAsia="方正小标宋简体" w:hAnsi="Times New Roman"/>
          <w:kern w:val="2"/>
          <w:sz w:val="44"/>
          <w:szCs w:val="44"/>
        </w:rPr>
      </w:pPr>
      <w:r>
        <w:rPr>
          <w:rFonts w:ascii="Times New Roman" w:eastAsia="方正小标宋简体" w:hAnsi="Times New Roman" w:hint="eastAsia"/>
          <w:kern w:val="2"/>
          <w:sz w:val="44"/>
          <w:szCs w:val="44"/>
        </w:rPr>
        <w:t>部门决算</w:t>
      </w:r>
      <w:bookmarkEnd w:id="6"/>
      <w:bookmarkEnd w:id="7"/>
      <w:bookmarkEnd w:id="8"/>
      <w:bookmarkEnd w:id="9"/>
      <w:bookmarkEnd w:id="10"/>
      <w:bookmarkEnd w:id="11"/>
    </w:p>
    <w:p>
      <w:pPr>
        <w:widowControl/>
        <w:jc w:val="center"/>
        <w:rPr>
          <w:rFonts w:eastAsia="黑体"/>
          <w:sz w:val="48"/>
          <w:szCs w:val="48"/>
        </w:rPr>
      </w:pPr>
      <w:r>
        <w:rPr>
          <w:rFonts w:eastAsia="方正小标宋简体"/>
          <w:sz w:val="36"/>
          <w:szCs w:val="36"/>
        </w:rPr>
        <w:br w:type="page"/>
      </w:r>
      <w:r>
        <w:rPr>
          <w:rFonts w:eastAsia="黑体" w:hint="eastAsia"/>
          <w:sz w:val="48"/>
          <w:szCs w:val="48"/>
        </w:rPr>
        <w:t>目录</w:t>
      </w:r>
    </w:p>
    <w:p>
      <w:pPr>
        <w:pStyle w:val="23"/>
        <w:tabs>
          <w:tab w:val="right" w:leader="dot" w:pos="8296"/>
        </w:tabs>
        <w:rPr>
          <w:rFonts w:ascii="Times New Roman" w:eastAsia="仿宋_GB2312" w:cs="仿宋_GB2312" w:hAnsi="Times New Roman"/>
          <w:sz w:val="32"/>
          <w:szCs w:val="32"/>
        </w:rPr>
      </w:pPr>
      <w:r>
        <w:rPr>
          <w:rFonts w:ascii="Times New Roman" w:eastAsia="仿宋_GB2312" w:cs="仿宋_GB2312" w:hAnsi="Times New Roman" w:hint="eastAsia"/>
          <w:sz w:val="32"/>
          <w:szCs w:val="32"/>
        </w:rPr>
        <w:t>公开时间：202</w:t>
      </w:r>
      <w:r>
        <w:rPr>
          <w:rFonts w:ascii="Times New Roman" w:eastAsia="仿宋_GB2312" w:cs="仿宋_GB2312" w:hAnsi="Times New Roman"/>
          <w:sz w:val="32"/>
          <w:szCs w:val="32"/>
        </w:rPr>
        <w:t>5</w:t>
      </w:r>
      <w:r>
        <w:rPr>
          <w:rFonts w:ascii="Times New Roman" w:eastAsia="仿宋_GB2312" w:cs="仿宋_GB2312" w:hAnsi="Times New Roman" w:hint="eastAsia"/>
          <w:sz w:val="32"/>
          <w:szCs w:val="32"/>
        </w:rPr>
        <w:t>年8月29日</w:t>
      </w:r>
    </w:p>
    <w:p/>
    <w:sdt>
      <w:sdtPr>
        <w:rPr>
          <w:rFonts w:ascii="Times New Roman" w:eastAsia="宋体" w:cs="Times New Roman" w:hAnsi="Times New Roman"/>
          <w:color w:val="auto"/>
          <w:kern w:val="2"/>
          <w:sz w:val="21"/>
          <w:szCs w:val="24"/>
          <w:lang w:val="zh-CN"/>
        </w:rPr>
        <w:id w:val="1488936824"/>
        <w:docPartObj>
          <w:docPartGallery w:val="Table of Contents"/>
          <w:docPartUnique/>
        </w:docPartObj>
      </w:sdtPr>
      <w:sdtEndPr>
        <w:rPr>
          <w:b/>
          <w:bCs/>
        </w:rPr>
      </w:sdtEndPr>
      <w:sdtContent>
        <w:p>
          <w:pPr>
            <w:pStyle w:val="36"/>
            <w:rPr>
              <w:rFonts w:ascii="仿宋_GB2312" w:eastAsia="仿宋_GB2312" w:hint="eastAsia"/>
              <w:color w:val="auto"/>
              <w:sz w:val="28"/>
              <w:szCs w:val="28"/>
            </w:rPr>
          </w:pPr>
          <w:r>
            <w:rPr>
              <w:rFonts w:ascii="仿宋_GB2312" w:eastAsia="仿宋_GB2312" w:hint="eastAsia"/>
              <w:color w:val="auto"/>
              <w:sz w:val="28"/>
              <w:szCs w:val="28"/>
              <w:lang w:val="zh-CN"/>
            </w:rPr>
            <w:t>目录</w:t>
          </w:r>
        </w:p>
        <w:p>
          <w:pPr>
            <w:pStyle w:val="23"/>
            <w:tabs>
              <w:tab w:val="right" w:leader="dot" w:pos="8296"/>
              <w:tab w:val="right" w:leader="dot" w:pos="8306"/>
            </w:tabs>
            <w:rPr>
              <w:rFonts w:ascii="仿宋_GB2312" w:eastAsia="仿宋_GB2312" w:hint="eastAsia"/>
            </w:rPr>
          </w:pPr>
          <w:r>
            <w:rPr>
              <w:rFonts w:ascii="仿宋_GB2312" w:eastAsia="仿宋_GB2312" w:hint="eastAsia"/>
            </w:rPr>
            <w:fldChar w:fldCharType="begin"/>
          </w:r>
          <w:r>
            <w:rPr>
              <w:rFonts w:ascii="仿宋_GB2312" w:eastAsia="仿宋_GB2312" w:hint="eastAsia"/>
            </w:rPr>
            <w:instrText xml:space="preserve"> TOC \o "1-3" \h \z \u </w:instrText>
          </w:r>
          <w:r>
            <w:rPr>
              <w:rFonts w:ascii="仿宋_GB2312" w:eastAsia="仿宋_GB2312" w:hint="eastAsia"/>
            </w:rPr>
            <w:fldChar w:fldCharType="separate"/>
          </w:r>
          <w:r>
            <w:rPr>
              <w:rFonts w:ascii="仿宋_GB2312" w:eastAsia="仿宋_GB2312" w:hint="eastAsia"/>
            </w:rPr>
            <w:fldChar w:fldCharType="begin"/>
          </w:r>
          <w:r>
            <w:rPr>
              <w:rFonts w:ascii="仿宋_GB2312" w:eastAsia="仿宋_GB2312" w:hint="eastAsia"/>
            </w:rPr>
            <w:instrText>Hyperlink \l "_Toc17108930"</w:instrText>
          </w:r>
          <w:r>
            <w:rPr>
              <w:rFonts w:ascii="仿宋_GB2312" w:eastAsia="仿宋_GB2312" w:hint="eastAsia"/>
            </w:rPr>
            <w:fldChar w:fldCharType="separate"/>
          </w:r>
          <w:r>
            <w:rPr>
              <w:rFonts w:ascii="仿宋_GB2312" w:eastAsia="仿宋_GB2312" w:cs="方正小标宋简体" w:hint="eastAsia"/>
            </w:rPr>
            <w:t xml:space="preserve">第一部分  </w:t>
          </w:r>
          <w:r>
            <w:rPr>
              <w:rFonts w:ascii="仿宋_GB2312" w:eastAsia="仿宋_GB2312" w:cs="方正小标宋简体" w:hint="eastAsia"/>
              <w:kern w:val="44"/>
              <w:lang w:val="en-US" w:eastAsia="zh-CN" w:bidi="ar-SA"/>
            </w:rPr>
            <w:t>部门概况</w:t>
          </w:r>
          <w:r>
            <w:rPr>
              <w:rFonts w:ascii="仿宋_GB2312" w:eastAsia="仿宋_GB2312" w:hint="eastAsia"/>
            </w:rPr>
            <w:tab/>
          </w:r>
          <w:r>
            <w:rPr>
              <w:rFonts w:ascii="仿宋_GB2312" w:eastAsia="仿宋_GB2312" w:hint="eastAsia"/>
            </w:rPr>
            <w:fldChar w:fldCharType="begin"/>
          </w:r>
          <w:r>
            <w:rPr>
              <w:rFonts w:ascii="仿宋_GB2312" w:eastAsia="仿宋_GB2312" w:hint="eastAsia"/>
            </w:rPr>
            <w:instrText>PageRef _Toc17108930 \h</w:instrText>
          </w:r>
          <w:r>
            <w:rPr>
              <w:rFonts w:ascii="仿宋_GB2312" w:eastAsia="仿宋_GB2312" w:hint="eastAsia"/>
            </w:rPr>
            <w:fldChar w:fldCharType="separate"/>
          </w:r>
          <w:r>
            <w:rPr>
              <w:rFonts w:ascii="仿宋_GB2312" w:eastAsia="仿宋_GB2312" w:hint="eastAsia"/>
            </w:rPr>
            <w:t>- 4 -</w:t>
          </w:r>
          <w:r>
            <w:rPr>
              <w:rFonts w:ascii="仿宋_GB2312" w:eastAsia="仿宋_GB2312" w:hint="eastAsia"/>
            </w:rPr>
            <w:fldChar w:fldCharType="end"/>
          </w:r>
          <w:r>
            <w:rPr>
              <w:rFonts w:ascii="仿宋_GB2312" w:eastAsia="仿宋_GB2312" w:hint="eastAsia"/>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"_Toc17108931"</w:instrText>
          </w:r>
          <w:r>
            <w:rPr>
              <w:rFonts w:ascii="仿宋_GB2312" w:eastAsia="仿宋_GB2312" w:hint="eastAsia"/>
              <w:sz w:val="28"/>
              <w:szCs w:val="28"/>
            </w:rPr>
            <w:fldChar w:fldCharType="separate"/>
          </w:r>
          <w:r>
            <w:rPr>
              <w:rFonts w:ascii="仿宋_GB2312" w:eastAsia="仿宋_GB2312" w:hint="eastAsia"/>
              <w:sz w:val="28"/>
              <w:szCs w:val="28"/>
              <w:u w:color="auto"/>
              <w:shd w:val="clear" w:color="auto" w:fill="auto"/>
            </w:rPr>
            <w:t>一、</w:t>
          </w:r>
          <w:r>
            <w:rPr>
              <w:rFonts w:ascii="仿宋_GB2312" w:eastAsia="仿宋_GB2312" w:hint="eastAsia"/>
              <w:sz w:val="28"/>
              <w:szCs w:val="28"/>
            </w:rPr>
            <w:t xml:space="preserve">  部门职责</w:t>
            <w:tab/>
          </w:r>
          <w:r>
            <w:rPr>
              <w:rFonts w:ascii="仿宋_GB2312" w:eastAsia="仿宋_GB2312" w:hint="eastAsia"/>
              <w:sz w:val="28"/>
              <w:szCs w:val="28"/>
            </w:rPr>
            <w:fldChar w:fldCharType="begin"/>
          </w:r>
          <w:r>
            <w:rPr>
              <w:rFonts w:ascii="仿宋_GB2312" w:eastAsia="仿宋_GB2312" w:hint="eastAsia"/>
              <w:sz w:val="28"/>
              <w:szCs w:val="28"/>
            </w:rPr>
            <w:instrText>PageRef _Toc17108931 \h</w:instrText>
          </w:r>
          <w:r>
            <w:rPr>
              <w:rFonts w:ascii="仿宋_GB2312" w:eastAsia="仿宋_GB2312" w:hint="eastAsia"/>
              <w:sz w:val="28"/>
              <w:szCs w:val="28"/>
            </w:rPr>
            <w:fldChar w:fldCharType="separate"/>
          </w:r>
          <w:r>
            <w:rPr>
              <w:rFonts w:ascii="仿宋_GB2312" w:eastAsia="仿宋_GB2312" w:hint="eastAsia"/>
              <w:sz w:val="28"/>
              <w:szCs w:val="28"/>
            </w:rPr>
            <w:t>- 4 -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"_Toc17108932"</w:instrText>
          </w:r>
          <w:r>
            <w:rPr>
              <w:rFonts w:ascii="仿宋_GB2312" w:eastAsia="仿宋_GB2312" w:hint="eastAsia"/>
              <w:sz w:val="28"/>
              <w:szCs w:val="28"/>
            </w:rPr>
            <w:fldChar w:fldCharType="separate"/>
          </w:r>
          <w:r>
            <w:rPr>
              <w:rFonts w:ascii="仿宋_GB2312" w:eastAsia="仿宋_GB2312" w:hint="eastAsia"/>
              <w:sz w:val="28"/>
              <w:szCs w:val="28"/>
            </w:rPr>
            <w:t>二、机</w:t>
          </w:r>
          <w:r>
            <w:rPr>
              <w:rFonts w:ascii="仿宋_GB2312" w:eastAsia="仿宋_GB2312" w:cs="Times New Roman" w:hint="eastAsia"/>
              <w:kern w:val="2"/>
              <w:sz w:val="28"/>
              <w:szCs w:val="28"/>
              <w:lang w:val="en-US" w:eastAsia="zh-CN" w:bidi="ar-SA"/>
            </w:rPr>
            <w:t>构设置</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_Toc17108932 \h</w:instrText>
          </w:r>
          <w:r>
            <w:rPr>
              <w:rFonts w:ascii="仿宋_GB2312" w:eastAsia="仿宋_GB2312" w:hint="eastAsia"/>
              <w:sz w:val="28"/>
              <w:szCs w:val="28"/>
            </w:rPr>
            <w:fldChar w:fldCharType="separate"/>
          </w:r>
          <w:r>
            <w:rPr>
              <w:rFonts w:ascii="仿宋_GB2312" w:eastAsia="仿宋_GB2312" w:hint="eastAsia"/>
              <w:sz w:val="28"/>
              <w:szCs w:val="28"/>
            </w:rPr>
            <w:t>- 4 -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"_Toc17108933"</w:instrText>
          </w:r>
          <w:r>
            <w:rPr>
              <w:rFonts w:ascii="仿宋_GB2312" w:eastAsia="仿宋_GB2312" w:hint="eastAsia"/>
              <w:sz w:val="28"/>
              <w:szCs w:val="28"/>
            </w:rPr>
            <w:fldChar w:fldCharType="separate"/>
          </w:r>
          <w:r>
            <w:rPr>
              <w:rFonts w:ascii="仿宋_GB2312" w:eastAsia="仿宋_GB2312" w:cs="仿宋_GB2312" w:hint="eastAsia"/>
              <w:sz w:val="28"/>
              <w:szCs w:val="28"/>
              <w:u w:color="auto"/>
              <w:shd w:val="clear" w:color="auto" w:fill="auto"/>
            </w:rPr>
            <w:t>1.</w:t>
          </w:r>
          <w:r>
            <w:rPr>
              <w:rFonts w:ascii="仿宋_GB2312" w:eastAsia="仿宋_GB2312" w:hint="eastAsia"/>
              <w:sz w:val="28"/>
              <w:szCs w:val="28"/>
            </w:rPr>
            <w:t xml:space="preserve">  </w:t>
          </w:r>
          <w:r>
            <w:rPr>
              <w:rFonts w:ascii="仿宋_GB2312" w:eastAsia="仿宋_GB2312" w:cs="仿宋_GB2312" w:hint="eastAsia"/>
              <w:sz w:val="28"/>
              <w:szCs w:val="28"/>
            </w:rPr>
            <w:t>金川县独松乡人民政府办公室</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_Toc17108933 \h</w:instrText>
          </w:r>
          <w:r>
            <w:rPr>
              <w:rFonts w:ascii="仿宋_GB2312" w:eastAsia="仿宋_GB2312" w:hint="eastAsia"/>
              <w:sz w:val="28"/>
              <w:szCs w:val="28"/>
            </w:rPr>
            <w:fldChar w:fldCharType="separate"/>
          </w:r>
          <w:r>
            <w:rPr>
              <w:rFonts w:ascii="仿宋_GB2312" w:eastAsia="仿宋_GB2312" w:hint="eastAsia"/>
              <w:sz w:val="28"/>
              <w:szCs w:val="28"/>
            </w:rPr>
            <w:t>- 5 -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"_Toc17108934"</w:instrText>
          </w:r>
          <w:r>
            <w:rPr>
              <w:rFonts w:ascii="仿宋_GB2312" w:eastAsia="仿宋_GB2312" w:hint="eastAsia"/>
              <w:sz w:val="28"/>
              <w:szCs w:val="28"/>
            </w:rPr>
            <w:fldChar w:fldCharType="separate"/>
          </w:r>
          <w:r>
            <w:rPr>
              <w:rFonts w:ascii="仿宋_GB2312" w:eastAsia="仿宋_GB2312" w:cs="仿宋_GB2312" w:hint="eastAsia"/>
              <w:sz w:val="28"/>
              <w:szCs w:val="28"/>
              <w:u w:color="auto"/>
              <w:shd w:val="clear" w:color="auto" w:fill="auto"/>
            </w:rPr>
            <w:t>2.</w:t>
          </w:r>
          <w:r>
            <w:rPr>
              <w:rFonts w:ascii="仿宋_GB2312" w:eastAsia="仿宋_GB2312" w:hint="eastAsia"/>
              <w:sz w:val="28"/>
              <w:szCs w:val="28"/>
            </w:rPr>
            <w:t xml:space="preserve">  </w:t>
          </w:r>
          <w:r>
            <w:rPr>
              <w:rFonts w:ascii="仿宋_GB2312" w:eastAsia="仿宋_GB2312" w:cs="仿宋_GB2312" w:hint="eastAsia"/>
              <w:sz w:val="28"/>
              <w:szCs w:val="28"/>
            </w:rPr>
            <w:t>金川县独松乡党委办公室</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_Toc17108934 \h</w:instrText>
          </w:r>
          <w:r>
            <w:rPr>
              <w:rFonts w:ascii="仿宋_GB2312" w:eastAsia="仿宋_GB2312" w:hint="eastAsia"/>
              <w:sz w:val="28"/>
              <w:szCs w:val="28"/>
            </w:rPr>
            <w:fldChar w:fldCharType="separate"/>
          </w:r>
          <w:r>
            <w:rPr>
              <w:rFonts w:ascii="仿宋_GB2312" w:eastAsia="仿宋_GB2312" w:hint="eastAsia"/>
              <w:sz w:val="28"/>
              <w:szCs w:val="28"/>
            </w:rPr>
            <w:t>- 5 -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"_Toc17108935"</w:instrText>
          </w:r>
          <w:r>
            <w:rPr>
              <w:rFonts w:ascii="仿宋_GB2312" w:eastAsia="仿宋_GB2312" w:hint="eastAsia"/>
              <w:sz w:val="28"/>
              <w:szCs w:val="28"/>
            </w:rPr>
            <w:fldChar w:fldCharType="separate"/>
          </w:r>
          <w:r>
            <w:rPr>
              <w:rFonts w:ascii="仿宋_GB2312" w:eastAsia="仿宋_GB2312" w:cs="仿宋_GB2312" w:hint="eastAsia"/>
              <w:sz w:val="28"/>
              <w:szCs w:val="28"/>
              <w:u w:color="auto"/>
              <w:shd w:val="clear" w:color="auto" w:fill="auto"/>
            </w:rPr>
            <w:t>3.</w:t>
          </w:r>
          <w:r>
            <w:rPr>
              <w:rFonts w:ascii="仿宋_GB2312" w:eastAsia="仿宋_GB2312" w:hint="eastAsia"/>
              <w:sz w:val="28"/>
              <w:szCs w:val="28"/>
            </w:rPr>
            <w:t xml:space="preserve">  </w:t>
          </w:r>
          <w:r>
            <w:rPr>
              <w:rFonts w:ascii="仿宋_GB2312" w:eastAsia="仿宋_GB2312" w:cs="仿宋_GB2312" w:hint="eastAsia"/>
              <w:sz w:val="28"/>
              <w:szCs w:val="28"/>
            </w:rPr>
            <w:t>金川县独松乡人大办公室</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_Toc17108935 \h</w:instrText>
          </w:r>
          <w:r>
            <w:rPr>
              <w:rFonts w:ascii="仿宋_GB2312" w:eastAsia="仿宋_GB2312" w:hint="eastAsia"/>
              <w:sz w:val="28"/>
              <w:szCs w:val="28"/>
            </w:rPr>
            <w:fldChar w:fldCharType="separate"/>
          </w:r>
          <w:r>
            <w:rPr>
              <w:rFonts w:ascii="仿宋_GB2312" w:eastAsia="仿宋_GB2312" w:hint="eastAsia"/>
              <w:sz w:val="28"/>
              <w:szCs w:val="28"/>
            </w:rPr>
            <w:t>- 5 -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"_Toc17108936"</w:instrText>
          </w:r>
          <w:r>
            <w:rPr>
              <w:rFonts w:ascii="仿宋_GB2312" w:eastAsia="仿宋_GB2312" w:hint="eastAsia"/>
              <w:sz w:val="28"/>
              <w:szCs w:val="28"/>
            </w:rPr>
            <w:fldChar w:fldCharType="separate"/>
          </w:r>
          <w:r>
            <w:rPr>
              <w:rFonts w:ascii="仿宋_GB2312" w:eastAsia="仿宋_GB2312" w:cs="仿宋_GB2312" w:hint="eastAsia"/>
              <w:sz w:val="28"/>
              <w:szCs w:val="28"/>
              <w:u w:color="auto"/>
              <w:shd w:val="clear" w:color="auto" w:fill="auto"/>
            </w:rPr>
            <w:t>4.</w:t>
          </w:r>
          <w:r>
            <w:rPr>
              <w:rFonts w:ascii="仿宋_GB2312" w:eastAsia="仿宋_GB2312" w:hint="eastAsia"/>
              <w:sz w:val="28"/>
              <w:szCs w:val="28"/>
            </w:rPr>
            <w:t xml:space="preserve">  </w:t>
          </w:r>
          <w:r>
            <w:rPr>
              <w:rFonts w:ascii="仿宋_GB2312" w:eastAsia="仿宋_GB2312" w:cs="仿宋_GB2312" w:hint="eastAsia"/>
              <w:sz w:val="28"/>
              <w:szCs w:val="28"/>
            </w:rPr>
            <w:t>金川县独松乡综合服务中心</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_Toc17108936 \h</w:instrText>
          </w:r>
          <w:r>
            <w:rPr>
              <w:rFonts w:ascii="仿宋_GB2312" w:eastAsia="仿宋_GB2312" w:hint="eastAsia"/>
              <w:sz w:val="28"/>
              <w:szCs w:val="28"/>
            </w:rPr>
            <w:fldChar w:fldCharType="separate"/>
          </w:r>
          <w:r>
            <w:rPr>
              <w:rFonts w:ascii="仿宋_GB2312" w:eastAsia="仿宋_GB2312" w:hint="eastAsia"/>
              <w:sz w:val="28"/>
              <w:szCs w:val="28"/>
            </w:rPr>
            <w:t>- 5 -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3"/>
            <w:tabs>
              <w:tab w:val="right" w:leader="dot" w:pos="8296"/>
              <w:tab w:val="right" w:leader="dot" w:pos="8306"/>
            </w:tabs>
            <w:rPr>
              <w:rFonts w:ascii="仿宋_GB2312" w:eastAsia="仿宋_GB2312" w:hint="eastAsia"/>
            </w:rPr>
          </w:pPr>
          <w:r>
            <w:rPr>
              <w:rFonts w:ascii="仿宋_GB2312" w:eastAsia="仿宋_GB2312" w:hint="eastAsia"/>
            </w:rPr>
            <w:fldChar w:fldCharType="begin"/>
          </w:r>
          <w:r>
            <w:rPr>
              <w:rFonts w:ascii="仿宋_GB2312" w:eastAsia="仿宋_GB2312" w:hint="eastAsia"/>
            </w:rPr>
            <w:instrText>Hyperlink \l "_Toc17108937"</w:instrText>
          </w:r>
          <w:r>
            <w:rPr>
              <w:rFonts w:ascii="仿宋_GB2312" w:eastAsia="仿宋_GB2312" w:hint="eastAsia"/>
            </w:rPr>
            <w:fldChar w:fldCharType="separate"/>
          </w:r>
          <w:r>
            <w:rPr>
              <w:rFonts w:ascii="仿宋_GB2312" w:eastAsia="仿宋_GB2312" w:cs="方正小标宋简体" w:hint="eastAsia"/>
            </w:rPr>
            <w:t>第二部分  2024年度部门决算情况说明</w:t>
          </w:r>
          <w:r>
            <w:rPr>
              <w:rFonts w:ascii="仿宋_GB2312" w:eastAsia="仿宋_GB2312" w:hint="eastAsia"/>
            </w:rPr>
            <w:tab/>
          </w:r>
          <w:r>
            <w:rPr>
              <w:rFonts w:ascii="仿宋_GB2312" w:eastAsia="仿宋_GB2312" w:hint="eastAsia"/>
            </w:rPr>
            <w:fldChar w:fldCharType="begin"/>
          </w:r>
          <w:r>
            <w:rPr>
              <w:rFonts w:ascii="仿宋_GB2312" w:eastAsia="仿宋_GB2312" w:hint="eastAsia"/>
            </w:rPr>
            <w:instrText>PageRef _Toc17108937 \h</w:instrText>
          </w:r>
          <w:r>
            <w:rPr>
              <w:rFonts w:ascii="仿宋_GB2312" w:eastAsia="仿宋_GB2312" w:hint="eastAsia"/>
            </w:rPr>
            <w:fldChar w:fldCharType="separate"/>
          </w:r>
          <w:r>
            <w:rPr>
              <w:rFonts w:ascii="仿宋_GB2312" w:eastAsia="仿宋_GB2312" w:hint="eastAsia"/>
            </w:rPr>
            <w:t>- 6 -</w:t>
          </w:r>
          <w:r>
            <w:rPr>
              <w:rFonts w:ascii="仿宋_GB2312" w:eastAsia="仿宋_GB2312" w:hint="eastAsia"/>
            </w:rPr>
            <w:fldChar w:fldCharType="end"/>
          </w:r>
          <w:r>
            <w:rPr>
              <w:rFonts w:ascii="仿宋_GB2312" w:eastAsia="仿宋_GB2312" w:hint="eastAsia"/>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"_Toc17108938"</w:instrText>
          </w:r>
          <w:r>
            <w:rPr>
              <w:rFonts w:ascii="仿宋_GB2312" w:eastAsia="仿宋_GB2312" w:hint="eastAsia"/>
              <w:sz w:val="28"/>
              <w:szCs w:val="28"/>
            </w:rPr>
            <w:fldChar w:fldCharType="separate"/>
          </w:r>
          <w:r>
            <w:rPr>
              <w:rFonts w:ascii="仿宋_GB2312" w:eastAsia="仿宋_GB2312" w:hint="eastAsia"/>
              <w:sz w:val="28"/>
              <w:szCs w:val="28"/>
            </w:rPr>
            <w:t>一、收</w:t>
          </w:r>
          <w:r>
            <w:rPr>
              <w:rFonts w:ascii="仿宋_GB2312" w:eastAsia="仿宋_GB2312" w:cs="Times New Roman" w:hint="eastAsia"/>
              <w:kern w:val="2"/>
              <w:sz w:val="28"/>
              <w:szCs w:val="28"/>
              <w:lang w:val="en-US" w:eastAsia="zh-CN" w:bidi="ar-SA"/>
            </w:rPr>
            <w:t>入支出决算总体情况说明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_Toc17108938 \h</w:instrText>
          </w:r>
          <w:r>
            <w:rPr>
              <w:rFonts w:ascii="仿宋_GB2312" w:eastAsia="仿宋_GB2312" w:hint="eastAsia"/>
              <w:sz w:val="28"/>
              <w:szCs w:val="28"/>
            </w:rPr>
            <w:fldChar w:fldCharType="separate"/>
          </w:r>
          <w:r>
            <w:rPr>
              <w:rFonts w:ascii="仿宋_GB2312" w:eastAsia="仿宋_GB2312" w:hint="eastAsia"/>
              <w:sz w:val="28"/>
              <w:szCs w:val="28"/>
            </w:rPr>
            <w:t>- 6 -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"_Toc17108939"</w:instrText>
          </w:r>
          <w:r>
            <w:rPr>
              <w:rFonts w:ascii="仿宋_GB2312" w:eastAsia="仿宋_GB2312" w:hint="eastAsia"/>
              <w:sz w:val="28"/>
              <w:szCs w:val="28"/>
            </w:rPr>
            <w:fldChar w:fldCharType="separate"/>
          </w:r>
          <w:r>
            <w:rPr>
              <w:rFonts w:ascii="仿宋_GB2312" w:eastAsia="仿宋_GB2312" w:hint="eastAsia"/>
              <w:sz w:val="28"/>
              <w:szCs w:val="28"/>
            </w:rPr>
            <w:t>二、收入决算情况说明</w:t>
            <w:tab/>
          </w:r>
          <w:r>
            <w:rPr>
              <w:rFonts w:ascii="仿宋_GB2312" w:eastAsia="仿宋_GB2312" w:hint="eastAsia"/>
              <w:sz w:val="28"/>
              <w:szCs w:val="28"/>
            </w:rPr>
            <w:fldChar w:fldCharType="begin"/>
          </w:r>
          <w:r>
            <w:rPr>
              <w:rFonts w:ascii="仿宋_GB2312" w:eastAsia="仿宋_GB2312" w:hint="eastAsia"/>
              <w:sz w:val="28"/>
              <w:szCs w:val="28"/>
            </w:rPr>
            <w:instrText>PageRef _Toc17108939 \h</w:instrText>
          </w:r>
          <w:r>
            <w:rPr>
              <w:rFonts w:ascii="仿宋_GB2312" w:eastAsia="仿宋_GB2312" w:hint="eastAsia"/>
              <w:sz w:val="28"/>
              <w:szCs w:val="28"/>
            </w:rPr>
            <w:fldChar w:fldCharType="separate"/>
          </w:r>
          <w:r>
            <w:rPr>
              <w:rFonts w:ascii="仿宋_GB2312" w:eastAsia="仿宋_GB2312" w:hint="eastAsia"/>
              <w:sz w:val="28"/>
              <w:szCs w:val="28"/>
            </w:rPr>
            <w:t>- 6 -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"_Toc17108940"</w:instrText>
          </w:r>
          <w:r>
            <w:rPr>
              <w:rFonts w:ascii="仿宋_GB2312" w:eastAsia="仿宋_GB2312" w:hint="eastAsia"/>
              <w:sz w:val="28"/>
              <w:szCs w:val="28"/>
            </w:rPr>
            <w:fldChar w:fldCharType="separate"/>
          </w:r>
          <w:r>
            <w:rPr>
              <w:rFonts w:ascii="仿宋_GB2312" w:eastAsia="仿宋_GB2312" w:hint="eastAsia"/>
              <w:sz w:val="28"/>
              <w:szCs w:val="28"/>
            </w:rPr>
            <w:t>三、支</w:t>
          </w:r>
          <w:r>
            <w:rPr>
              <w:rFonts w:ascii="仿宋_GB2312" w:eastAsia="仿宋_GB2312" w:cs="Times New Roman" w:hint="eastAsia"/>
              <w:kern w:val="2"/>
              <w:sz w:val="28"/>
              <w:szCs w:val="28"/>
              <w:lang w:val="en-US" w:eastAsia="zh-CN" w:bidi="ar-SA"/>
            </w:rPr>
            <w:t>出决算情况说明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_Toc17108940 \h</w:instrText>
          </w:r>
          <w:r>
            <w:rPr>
              <w:rFonts w:ascii="仿宋_GB2312" w:eastAsia="仿宋_GB2312" w:hint="eastAsia"/>
              <w:sz w:val="28"/>
              <w:szCs w:val="28"/>
            </w:rPr>
            <w:fldChar w:fldCharType="separate"/>
          </w:r>
          <w:r>
            <w:rPr>
              <w:rFonts w:ascii="仿宋_GB2312" w:eastAsia="仿宋_GB2312" w:hint="eastAsia"/>
              <w:sz w:val="28"/>
              <w:szCs w:val="28"/>
            </w:rPr>
            <w:t>- 7 -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"_Toc17108941"</w:instrText>
          </w:r>
          <w:r>
            <w:rPr>
              <w:rFonts w:ascii="仿宋_GB2312" w:eastAsia="仿宋_GB2312" w:hint="eastAsia"/>
              <w:sz w:val="28"/>
              <w:szCs w:val="28"/>
            </w:rPr>
            <w:fldChar w:fldCharType="separate"/>
          </w:r>
          <w:r>
            <w:rPr>
              <w:rFonts w:ascii="仿宋_GB2312" w:eastAsia="仿宋_GB2312" w:hint="eastAsia"/>
              <w:sz w:val="28"/>
              <w:szCs w:val="28"/>
            </w:rPr>
            <w:t>四、财</w:t>
          </w:r>
          <w:r>
            <w:rPr>
              <w:rFonts w:ascii="仿宋_GB2312" w:eastAsia="仿宋_GB2312" w:cs="Times New Roman" w:hint="eastAsia"/>
              <w:kern w:val="2"/>
              <w:sz w:val="28"/>
              <w:szCs w:val="28"/>
              <w:lang w:val="en-US" w:eastAsia="zh-CN" w:bidi="ar-SA"/>
            </w:rPr>
            <w:t>政拨款收入支出决算总体情况说明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_Toc17108941 \h</w:instrText>
          </w:r>
          <w:r>
            <w:rPr>
              <w:rFonts w:ascii="仿宋_GB2312" w:eastAsia="仿宋_GB2312" w:hint="eastAsia"/>
              <w:sz w:val="28"/>
              <w:szCs w:val="28"/>
            </w:rPr>
            <w:fldChar w:fldCharType="separate"/>
          </w:r>
          <w:r>
            <w:rPr>
              <w:rFonts w:ascii="仿宋_GB2312" w:eastAsia="仿宋_GB2312" w:hint="eastAsia"/>
              <w:sz w:val="28"/>
              <w:szCs w:val="28"/>
            </w:rPr>
            <w:t>- 8 -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"_Toc17108942"</w:instrText>
          </w:r>
          <w:r>
            <w:rPr>
              <w:rFonts w:ascii="仿宋_GB2312" w:eastAsia="仿宋_GB2312" w:hint="eastAsia"/>
              <w:sz w:val="28"/>
              <w:szCs w:val="28"/>
            </w:rPr>
            <w:fldChar w:fldCharType="separate"/>
          </w:r>
          <w:r>
            <w:rPr>
              <w:rFonts w:ascii="仿宋_GB2312" w:eastAsia="仿宋_GB2312" w:hint="eastAsia"/>
              <w:sz w:val="28"/>
              <w:szCs w:val="28"/>
            </w:rPr>
            <w:t>五、一</w:t>
          </w:r>
          <w:r>
            <w:rPr>
              <w:rFonts w:ascii="仿宋_GB2312" w:eastAsia="仿宋_GB2312" w:cs="Times New Roman" w:hint="eastAsia"/>
              <w:kern w:val="2"/>
              <w:sz w:val="28"/>
              <w:szCs w:val="28"/>
              <w:lang w:val="en-US" w:eastAsia="zh-CN" w:bidi="ar-SA"/>
            </w:rPr>
            <w:t>般公共预算财政拨款支出决算情况说明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_Toc17108942 \h</w:instrText>
          </w:r>
          <w:r>
            <w:rPr>
              <w:rFonts w:ascii="仿宋_GB2312" w:eastAsia="仿宋_GB2312" w:hint="eastAsia"/>
              <w:sz w:val="28"/>
              <w:szCs w:val="28"/>
            </w:rPr>
            <w:fldChar w:fldCharType="separate"/>
          </w:r>
          <w:r>
            <w:rPr>
              <w:rFonts w:ascii="仿宋_GB2312" w:eastAsia="仿宋_GB2312" w:hint="eastAsia"/>
              <w:sz w:val="28"/>
              <w:szCs w:val="28"/>
            </w:rPr>
            <w:t>- 9 -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"_Toc17108943"</w:instrText>
          </w:r>
          <w:r>
            <w:rPr>
              <w:rFonts w:ascii="仿宋_GB2312" w:eastAsia="仿宋_GB2312" w:hint="eastAsia"/>
              <w:sz w:val="28"/>
              <w:szCs w:val="28"/>
            </w:rPr>
            <w:fldChar w:fldCharType="separate"/>
          </w:r>
          <w:r>
            <w:rPr>
              <w:rFonts w:ascii="仿宋_GB2312" w:eastAsia="仿宋_GB2312" w:cs="楷体_GB2312" w:hint="eastAsia"/>
              <w:sz w:val="28"/>
              <w:szCs w:val="28"/>
            </w:rPr>
            <w:t>（一）一般公共预算财政拨款支出决算总体情况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_Toc17108943 \h</w:instrText>
          </w:r>
          <w:r>
            <w:rPr>
              <w:rFonts w:ascii="仿宋_GB2312" w:eastAsia="仿宋_GB2312" w:hint="eastAsia"/>
              <w:sz w:val="28"/>
              <w:szCs w:val="28"/>
            </w:rPr>
            <w:fldChar w:fldCharType="separate"/>
          </w:r>
          <w:r>
            <w:rPr>
              <w:rFonts w:ascii="仿宋_GB2312" w:eastAsia="仿宋_GB2312" w:hint="eastAsia"/>
              <w:sz w:val="28"/>
              <w:szCs w:val="28"/>
            </w:rPr>
            <w:t>- 9 -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"_Toc17108944"</w:instrText>
          </w:r>
          <w:r>
            <w:rPr>
              <w:rFonts w:ascii="仿宋_GB2312" w:eastAsia="仿宋_GB2312" w:hint="eastAsia"/>
              <w:sz w:val="28"/>
              <w:szCs w:val="28"/>
            </w:rPr>
            <w:fldChar w:fldCharType="separate"/>
          </w:r>
          <w:r>
            <w:rPr>
              <w:rFonts w:ascii="仿宋_GB2312" w:eastAsia="仿宋_GB2312" w:cs="楷体_GB2312" w:hint="eastAsia"/>
              <w:sz w:val="28"/>
              <w:szCs w:val="28"/>
            </w:rPr>
            <w:t>（二）一般公共预算财政拨款支出决算结构情况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_Toc17108944 \h</w:instrText>
          </w:r>
          <w:r>
            <w:rPr>
              <w:rFonts w:ascii="仿宋_GB2312" w:eastAsia="仿宋_GB2312" w:hint="eastAsia"/>
              <w:sz w:val="28"/>
              <w:szCs w:val="28"/>
            </w:rPr>
            <w:fldChar w:fldCharType="separate"/>
          </w:r>
          <w:r>
            <w:rPr>
              <w:rFonts w:ascii="仿宋_GB2312" w:eastAsia="仿宋_GB2312" w:hint="eastAsia"/>
              <w:sz w:val="28"/>
              <w:szCs w:val="28"/>
            </w:rPr>
            <w:t>- 9 -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"_Toc17108945"</w:instrText>
          </w:r>
          <w:r>
            <w:rPr>
              <w:rFonts w:ascii="仿宋_GB2312" w:eastAsia="仿宋_GB2312" w:hint="eastAsia"/>
              <w:sz w:val="28"/>
              <w:szCs w:val="28"/>
            </w:rPr>
            <w:fldChar w:fldCharType="separate"/>
          </w:r>
          <w:r>
            <w:rPr>
              <w:rFonts w:ascii="仿宋_GB2312" w:eastAsia="仿宋_GB2312" w:cs="楷体_GB2312" w:hint="eastAsia"/>
              <w:sz w:val="28"/>
              <w:szCs w:val="28"/>
            </w:rPr>
            <w:t>（三）一般公共预算财政拨款支出决算具体情况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_Toc17108945 \h</w:instrText>
          </w:r>
          <w:r>
            <w:rPr>
              <w:rFonts w:ascii="仿宋_GB2312" w:eastAsia="仿宋_GB2312" w:hint="eastAsia"/>
              <w:sz w:val="28"/>
              <w:szCs w:val="28"/>
            </w:rPr>
            <w:fldChar w:fldCharType="separate"/>
          </w:r>
          <w:r>
            <w:rPr>
              <w:rFonts w:ascii="仿宋_GB2312" w:eastAsia="仿宋_GB2312" w:hint="eastAsia"/>
              <w:sz w:val="28"/>
              <w:szCs w:val="28"/>
            </w:rPr>
            <w:t>- 10 -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"_Toc17108946"</w:instrText>
          </w:r>
          <w:r>
            <w:rPr>
              <w:rFonts w:ascii="仿宋_GB2312" w:eastAsia="仿宋_GB2312" w:hint="eastAsia"/>
              <w:sz w:val="28"/>
              <w:szCs w:val="28"/>
            </w:rPr>
            <w:fldChar w:fldCharType="separate"/>
          </w:r>
          <w:r>
            <w:rPr>
              <w:rFonts w:ascii="仿宋_GB2312" w:eastAsia="仿宋_GB2312" w:hint="eastAsia"/>
              <w:sz w:val="28"/>
              <w:szCs w:val="28"/>
            </w:rPr>
            <w:t>六、一</w:t>
          </w:r>
          <w:r>
            <w:rPr>
              <w:rFonts w:ascii="仿宋_GB2312" w:eastAsia="仿宋_GB2312" w:cs="Times New Roman" w:hint="eastAsia"/>
              <w:kern w:val="2"/>
              <w:sz w:val="28"/>
              <w:szCs w:val="28"/>
              <w:lang w:val="en-US" w:eastAsia="zh-CN" w:bidi="ar-SA"/>
            </w:rPr>
            <w:t>般公共预算财政拨款基本支出决算情况说明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_Toc17108946 \h</w:instrText>
          </w:r>
          <w:r>
            <w:rPr>
              <w:rFonts w:ascii="仿宋_GB2312" w:eastAsia="仿宋_GB2312" w:hint="eastAsia"/>
              <w:sz w:val="28"/>
              <w:szCs w:val="28"/>
            </w:rPr>
            <w:fldChar w:fldCharType="separate"/>
          </w:r>
          <w:r>
            <w:rPr>
              <w:rFonts w:ascii="仿宋_GB2312" w:eastAsia="仿宋_GB2312" w:hint="eastAsia"/>
              <w:sz w:val="28"/>
              <w:szCs w:val="28"/>
            </w:rPr>
            <w:t>- 13 -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"_Toc17108947"</w:instrText>
          </w:r>
          <w:r>
            <w:rPr>
              <w:rFonts w:ascii="仿宋_GB2312" w:eastAsia="仿宋_GB2312" w:hint="eastAsia"/>
              <w:sz w:val="28"/>
              <w:szCs w:val="28"/>
            </w:rPr>
            <w:fldChar w:fldCharType="separate"/>
          </w:r>
          <w:r>
            <w:rPr>
              <w:rFonts w:ascii="仿宋_GB2312" w:eastAsia="仿宋_GB2312" w:hint="eastAsia"/>
              <w:sz w:val="28"/>
              <w:szCs w:val="28"/>
            </w:rPr>
            <w:t>七、</w:t>
          </w:r>
          <w:r>
            <w:rPr>
              <w:rFonts w:ascii="仿宋_GB2312" w:eastAsia="仿宋_GB2312" w:cs="Times New Roman" w:hint="eastAsia"/>
              <w:kern w:val="2"/>
              <w:sz w:val="28"/>
              <w:szCs w:val="28"/>
              <w:lang w:val="en-US" w:eastAsia="zh-CN" w:bidi="ar-SA"/>
            </w:rPr>
            <w:t>财政拨款“三公”经费支出决算情况说明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_Toc17108947 \h</w:instrText>
          </w:r>
          <w:r>
            <w:rPr>
              <w:rFonts w:ascii="仿宋_GB2312" w:eastAsia="仿宋_GB2312" w:hint="eastAsia"/>
              <w:sz w:val="28"/>
              <w:szCs w:val="28"/>
            </w:rPr>
            <w:fldChar w:fldCharType="separate"/>
          </w:r>
          <w:r>
            <w:rPr>
              <w:rFonts w:ascii="仿宋_GB2312" w:eastAsia="仿宋_GB2312" w:hint="eastAsia"/>
              <w:sz w:val="28"/>
              <w:szCs w:val="28"/>
            </w:rPr>
            <w:t>- 14 -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"_Toc17108948"</w:instrText>
          </w:r>
          <w:r>
            <w:rPr>
              <w:rFonts w:ascii="仿宋_GB2312" w:eastAsia="仿宋_GB2312" w:hint="eastAsia"/>
              <w:sz w:val="28"/>
              <w:szCs w:val="28"/>
            </w:rPr>
            <w:fldChar w:fldCharType="separate"/>
          </w:r>
          <w:r>
            <w:rPr>
              <w:rFonts w:ascii="仿宋_GB2312" w:eastAsia="仿宋_GB2312" w:cs="楷体_GB2312" w:hint="eastAsia"/>
              <w:sz w:val="28"/>
              <w:szCs w:val="28"/>
            </w:rPr>
            <w:t>（一）“三公”经费财政拨款支出决算总体情况说明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_Toc17108948 \h</w:instrText>
          </w:r>
          <w:r>
            <w:rPr>
              <w:rFonts w:ascii="仿宋_GB2312" w:eastAsia="仿宋_GB2312" w:hint="eastAsia"/>
              <w:sz w:val="28"/>
              <w:szCs w:val="28"/>
            </w:rPr>
            <w:fldChar w:fldCharType="separate"/>
          </w:r>
          <w:r>
            <w:rPr>
              <w:rFonts w:ascii="仿宋_GB2312" w:eastAsia="仿宋_GB2312" w:hint="eastAsia"/>
              <w:sz w:val="28"/>
              <w:szCs w:val="28"/>
            </w:rPr>
            <w:t>- 14 -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"_Toc17108949"</w:instrText>
          </w:r>
          <w:r>
            <w:rPr>
              <w:rFonts w:ascii="仿宋_GB2312" w:eastAsia="仿宋_GB2312" w:hint="eastAsia"/>
              <w:sz w:val="28"/>
              <w:szCs w:val="28"/>
            </w:rPr>
            <w:fldChar w:fldCharType="separate"/>
          </w:r>
          <w:r>
            <w:rPr>
              <w:rFonts w:ascii="仿宋_GB2312" w:eastAsia="仿宋_GB2312" w:cs="楷体_GB2312" w:hint="eastAsia"/>
              <w:sz w:val="28"/>
              <w:szCs w:val="28"/>
            </w:rPr>
            <w:t>（二）“三公”经费财政拨款支出决算具体情况说明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_Toc17108949 \h</w:instrText>
          </w:r>
          <w:r>
            <w:rPr>
              <w:rFonts w:ascii="仿宋_GB2312" w:eastAsia="仿宋_GB2312" w:hint="eastAsia"/>
              <w:sz w:val="28"/>
              <w:szCs w:val="28"/>
            </w:rPr>
            <w:fldChar w:fldCharType="separate"/>
          </w:r>
          <w:r>
            <w:rPr>
              <w:rFonts w:ascii="仿宋_GB2312" w:eastAsia="仿宋_GB2312" w:hint="eastAsia"/>
              <w:sz w:val="28"/>
              <w:szCs w:val="28"/>
            </w:rPr>
            <w:t>- 14 -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"_Toc17108950"</w:instrText>
          </w:r>
          <w:r>
            <w:rPr>
              <w:rFonts w:ascii="仿宋_GB2312" w:eastAsia="仿宋_GB2312" w:hint="eastAsia"/>
              <w:sz w:val="28"/>
              <w:szCs w:val="28"/>
            </w:rPr>
            <w:fldChar w:fldCharType="separate"/>
          </w:r>
          <w:r>
            <w:rPr>
              <w:rFonts w:ascii="仿宋_GB2312" w:eastAsia="仿宋_GB2312" w:hint="eastAsia"/>
              <w:sz w:val="28"/>
              <w:szCs w:val="28"/>
            </w:rPr>
            <w:t>八、</w:t>
          </w:r>
          <w:r>
            <w:rPr>
              <w:rFonts w:ascii="仿宋_GB2312" w:eastAsia="仿宋_GB2312" w:cs="Times New Roman" w:hint="eastAsia"/>
              <w:kern w:val="2"/>
              <w:sz w:val="28"/>
              <w:szCs w:val="28"/>
              <w:lang w:val="en-US" w:eastAsia="zh-CN" w:bidi="ar-SA"/>
            </w:rPr>
            <w:t>政府性基金预算支出决算情况说明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_Toc17108950 \h</w:instrText>
          </w:r>
          <w:r>
            <w:rPr>
              <w:rFonts w:ascii="仿宋_GB2312" w:eastAsia="仿宋_GB2312" w:hint="eastAsia"/>
              <w:sz w:val="28"/>
              <w:szCs w:val="28"/>
            </w:rPr>
            <w:fldChar w:fldCharType="separate"/>
          </w:r>
          <w:r>
            <w:rPr>
              <w:rFonts w:ascii="仿宋_GB2312" w:eastAsia="仿宋_GB2312" w:hint="eastAsia"/>
              <w:sz w:val="28"/>
              <w:szCs w:val="28"/>
            </w:rPr>
            <w:t>- 15 -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"_Toc17108951"</w:instrText>
          </w:r>
          <w:r>
            <w:rPr>
              <w:rFonts w:ascii="仿宋_GB2312" w:eastAsia="仿宋_GB2312" w:hint="eastAsia"/>
              <w:sz w:val="28"/>
              <w:szCs w:val="28"/>
            </w:rPr>
            <w:fldChar w:fldCharType="separate"/>
          </w:r>
          <w:r>
            <w:rPr>
              <w:rFonts w:ascii="仿宋_GB2312" w:eastAsia="仿宋_GB2312" w:cs="Times New Roman" w:hint="eastAsia"/>
              <w:kern w:val="2"/>
              <w:sz w:val="28"/>
              <w:szCs w:val="28"/>
              <w:lang w:val="en-US" w:eastAsia="zh-CN" w:bidi="ar-SA"/>
            </w:rPr>
            <w:t>九、国有资本经营预算支出决算情况说明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_Toc17108951 \h</w:instrText>
          </w:r>
          <w:r>
            <w:rPr>
              <w:rFonts w:ascii="仿宋_GB2312" w:eastAsia="仿宋_GB2312" w:hint="eastAsia"/>
              <w:sz w:val="28"/>
              <w:szCs w:val="28"/>
            </w:rPr>
            <w:fldChar w:fldCharType="separate"/>
          </w:r>
          <w:r>
            <w:rPr>
              <w:rFonts w:ascii="仿宋_GB2312" w:eastAsia="仿宋_GB2312" w:hint="eastAsia"/>
              <w:sz w:val="28"/>
              <w:szCs w:val="28"/>
            </w:rPr>
            <w:t>- 15 -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4"/>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"_Toc17108952"</w:instrText>
          </w:r>
          <w:r>
            <w:rPr>
              <w:rFonts w:ascii="仿宋_GB2312" w:eastAsia="仿宋_GB2312" w:hint="eastAsia"/>
              <w:sz w:val="28"/>
              <w:szCs w:val="28"/>
            </w:rPr>
            <w:fldChar w:fldCharType="separate"/>
          </w:r>
          <w:r>
            <w:rPr>
              <w:rFonts w:ascii="仿宋_GB2312" w:eastAsia="仿宋_GB2312" w:cs="Times New Roman" w:hint="eastAsia"/>
              <w:kern w:val="2"/>
              <w:sz w:val="28"/>
              <w:szCs w:val="28"/>
              <w:lang w:val="en-US" w:eastAsia="zh-CN" w:bidi="ar-SA"/>
            </w:rPr>
            <w:t>十、其他重要事项的情况说明</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_Toc17108952 \h</w:instrText>
          </w:r>
          <w:r>
            <w:rPr>
              <w:rFonts w:ascii="仿宋_GB2312" w:eastAsia="仿宋_GB2312" w:hint="eastAsia"/>
              <w:sz w:val="28"/>
              <w:szCs w:val="28"/>
            </w:rPr>
            <w:fldChar w:fldCharType="separate"/>
          </w:r>
          <w:r>
            <w:rPr>
              <w:rFonts w:ascii="仿宋_GB2312" w:eastAsia="仿宋_GB2312" w:hint="eastAsia"/>
              <w:sz w:val="28"/>
              <w:szCs w:val="28"/>
            </w:rPr>
            <w:t>- 16 -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"_Toc17108953"</w:instrText>
          </w:r>
          <w:r>
            <w:rPr>
              <w:rFonts w:ascii="仿宋_GB2312" w:eastAsia="仿宋_GB2312" w:hint="eastAsia"/>
              <w:sz w:val="28"/>
              <w:szCs w:val="28"/>
            </w:rPr>
            <w:fldChar w:fldCharType="separate"/>
          </w:r>
          <w:r>
            <w:rPr>
              <w:rFonts w:ascii="仿宋_GB2312" w:eastAsia="仿宋_GB2312" w:cs="楷体_GB2312" w:hint="eastAsia"/>
              <w:sz w:val="28"/>
              <w:szCs w:val="28"/>
            </w:rPr>
            <w:t>（一）机关运行经费支出情况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_Toc17108953 \h</w:instrText>
          </w:r>
          <w:r>
            <w:rPr>
              <w:rFonts w:ascii="仿宋_GB2312" w:eastAsia="仿宋_GB2312" w:hint="eastAsia"/>
              <w:sz w:val="28"/>
              <w:szCs w:val="28"/>
            </w:rPr>
            <w:fldChar w:fldCharType="separate"/>
          </w:r>
          <w:r>
            <w:rPr>
              <w:rFonts w:ascii="仿宋_GB2312" w:eastAsia="仿宋_GB2312" w:hint="eastAsia"/>
              <w:sz w:val="28"/>
              <w:szCs w:val="28"/>
            </w:rPr>
            <w:t>- 16 -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"_Toc17108954"</w:instrText>
          </w:r>
          <w:r>
            <w:rPr>
              <w:rFonts w:ascii="仿宋_GB2312" w:eastAsia="仿宋_GB2312" w:hint="eastAsia"/>
              <w:sz w:val="28"/>
              <w:szCs w:val="28"/>
            </w:rPr>
            <w:fldChar w:fldCharType="separate"/>
          </w:r>
          <w:r>
            <w:rPr>
              <w:rFonts w:ascii="仿宋_GB2312" w:eastAsia="仿宋_GB2312" w:cs="楷体_GB2312" w:hint="eastAsia"/>
              <w:sz w:val="28"/>
              <w:szCs w:val="28"/>
            </w:rPr>
            <w:t>（二）政府采购支出情况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_Toc17108954 \h</w:instrText>
          </w:r>
          <w:r>
            <w:rPr>
              <w:rFonts w:ascii="仿宋_GB2312" w:eastAsia="仿宋_GB2312" w:hint="eastAsia"/>
              <w:sz w:val="28"/>
              <w:szCs w:val="28"/>
            </w:rPr>
            <w:fldChar w:fldCharType="separate"/>
          </w:r>
          <w:r>
            <w:rPr>
              <w:rFonts w:ascii="仿宋_GB2312" w:eastAsia="仿宋_GB2312" w:hint="eastAsia"/>
              <w:sz w:val="28"/>
              <w:szCs w:val="28"/>
            </w:rPr>
            <w:t>- 16 -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"_Toc17108955"</w:instrText>
          </w:r>
          <w:r>
            <w:rPr>
              <w:rFonts w:ascii="仿宋_GB2312" w:eastAsia="仿宋_GB2312" w:hint="eastAsia"/>
              <w:sz w:val="28"/>
              <w:szCs w:val="28"/>
            </w:rPr>
            <w:fldChar w:fldCharType="separate"/>
          </w:r>
          <w:r>
            <w:rPr>
              <w:rFonts w:ascii="仿宋_GB2312" w:eastAsia="仿宋_GB2312" w:cs="楷体_GB2312" w:hint="eastAsia"/>
              <w:sz w:val="28"/>
              <w:szCs w:val="28"/>
            </w:rPr>
            <w:t>（三）国有资产占有使用情况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_Toc17108955 \h</w:instrText>
          </w:r>
          <w:r>
            <w:rPr>
              <w:rFonts w:ascii="仿宋_GB2312" w:eastAsia="仿宋_GB2312" w:hint="eastAsia"/>
              <w:sz w:val="28"/>
              <w:szCs w:val="28"/>
            </w:rPr>
            <w:fldChar w:fldCharType="separate"/>
          </w:r>
          <w:r>
            <w:rPr>
              <w:rFonts w:ascii="仿宋_GB2312" w:eastAsia="仿宋_GB2312" w:hint="eastAsia"/>
              <w:sz w:val="28"/>
              <w:szCs w:val="28"/>
            </w:rPr>
            <w:t>- 16 -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19"/>
            <w:tabs>
              <w:tab w:val="right" w:leader="dot" w:pos="8296"/>
              <w:tab w:val="right" w:leader="dot" w:pos="8306"/>
            </w:tabs>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Hyperlink \l "_Toc17108956"</w:instrText>
          </w:r>
          <w:r>
            <w:rPr>
              <w:rFonts w:ascii="仿宋_GB2312" w:eastAsia="仿宋_GB2312" w:hint="eastAsia"/>
              <w:sz w:val="28"/>
              <w:szCs w:val="28"/>
            </w:rPr>
            <w:fldChar w:fldCharType="separate"/>
          </w:r>
          <w:r>
            <w:rPr>
              <w:rFonts w:ascii="仿宋_GB2312" w:eastAsia="仿宋_GB2312" w:cs="楷体_GB2312" w:hint="eastAsia"/>
              <w:sz w:val="28"/>
              <w:szCs w:val="28"/>
            </w:rPr>
            <w:t>（四）预算绩效管理情况</w:t>
          </w:r>
          <w:r>
            <w:rPr>
              <w:rFonts w:ascii="仿宋_GB2312" w:eastAsia="仿宋_GB2312" w:hint="eastAsia"/>
              <w:sz w:val="28"/>
              <w:szCs w:val="28"/>
            </w:rPr>
            <w:tab/>
          </w:r>
          <w:r>
            <w:rPr>
              <w:rFonts w:ascii="仿宋_GB2312" w:eastAsia="仿宋_GB2312" w:hint="eastAsia"/>
              <w:sz w:val="28"/>
              <w:szCs w:val="28"/>
            </w:rPr>
            <w:fldChar w:fldCharType="begin"/>
          </w:r>
          <w:r>
            <w:rPr>
              <w:rFonts w:ascii="仿宋_GB2312" w:eastAsia="仿宋_GB2312" w:hint="eastAsia"/>
              <w:sz w:val="28"/>
              <w:szCs w:val="28"/>
            </w:rPr>
            <w:instrText>PageRef _Toc17108956 \h</w:instrText>
          </w:r>
          <w:r>
            <w:rPr>
              <w:rFonts w:ascii="仿宋_GB2312" w:eastAsia="仿宋_GB2312" w:hint="eastAsia"/>
              <w:sz w:val="28"/>
              <w:szCs w:val="28"/>
            </w:rPr>
            <w:fldChar w:fldCharType="separate"/>
          </w:r>
          <w:r>
            <w:rPr>
              <w:rFonts w:ascii="仿宋_GB2312" w:eastAsia="仿宋_GB2312" w:hint="eastAsia"/>
              <w:sz w:val="28"/>
              <w:szCs w:val="28"/>
            </w:rPr>
            <w:t>- 17 -</w:t>
          </w:r>
          <w:r>
            <w:rPr>
              <w:rFonts w:ascii="仿宋_GB2312" w:eastAsia="仿宋_GB2312" w:hint="eastAsia"/>
              <w:sz w:val="28"/>
              <w:szCs w:val="28"/>
            </w:rPr>
            <w:fldChar w:fldCharType="end"/>
          </w:r>
          <w:r>
            <w:rPr>
              <w:rFonts w:ascii="仿宋_GB2312" w:eastAsia="仿宋_GB2312" w:hint="eastAsia"/>
              <w:sz w:val="28"/>
              <w:szCs w:val="28"/>
            </w:rPr>
            <w:fldChar w:fldCharType="end"/>
          </w:r>
        </w:p>
        <w:p>
          <w:pPr>
            <w:pStyle w:val="23"/>
            <w:tabs>
              <w:tab w:val="right" w:leader="dot" w:pos="8296"/>
              <w:tab w:val="right" w:leader="dot" w:pos="8306"/>
            </w:tabs>
            <w:rPr>
              <w:rFonts w:ascii="仿宋_GB2312" w:eastAsia="仿宋_GB2312" w:hint="eastAsia"/>
            </w:rPr>
          </w:pPr>
          <w:r>
            <w:rPr>
              <w:rFonts w:ascii="仿宋_GB2312" w:eastAsia="仿宋_GB2312" w:hint="eastAsia"/>
            </w:rPr>
            <w:fldChar w:fldCharType="begin"/>
          </w:r>
          <w:r>
            <w:rPr>
              <w:rFonts w:ascii="仿宋_GB2312" w:eastAsia="仿宋_GB2312" w:hint="eastAsia"/>
            </w:rPr>
            <w:instrText>Hyperlink \l "_Toc17108957"</w:instrText>
          </w:r>
          <w:r>
            <w:rPr>
              <w:rFonts w:ascii="仿宋_GB2312" w:eastAsia="仿宋_GB2312" w:hint="eastAsia"/>
            </w:rPr>
            <w:fldChar w:fldCharType="separate"/>
          </w:r>
          <w:r>
            <w:rPr>
              <w:rFonts w:ascii="仿宋_GB2312" w:eastAsia="仿宋_GB2312" w:hint="eastAsia"/>
            </w:rPr>
            <w:t>第三部分  名词解释</w:t>
            <w:tab/>
          </w:r>
          <w:r>
            <w:rPr>
              <w:rFonts w:ascii="仿宋_GB2312" w:eastAsia="仿宋_GB2312" w:hint="eastAsia"/>
            </w:rPr>
            <w:fldChar w:fldCharType="begin"/>
          </w:r>
          <w:r>
            <w:rPr>
              <w:rFonts w:ascii="仿宋_GB2312" w:eastAsia="仿宋_GB2312" w:hint="eastAsia"/>
            </w:rPr>
            <w:instrText>PageRef _Toc17108957 \h</w:instrText>
          </w:r>
          <w:r>
            <w:rPr>
              <w:rFonts w:ascii="仿宋_GB2312" w:eastAsia="仿宋_GB2312" w:hint="eastAsia"/>
            </w:rPr>
            <w:fldChar w:fldCharType="separate"/>
          </w:r>
          <w:r>
            <w:rPr>
              <w:rFonts w:ascii="仿宋_GB2312" w:eastAsia="仿宋_GB2312" w:hint="eastAsia"/>
            </w:rPr>
            <w:t>- 17 -</w:t>
          </w:r>
          <w:r>
            <w:rPr>
              <w:rFonts w:ascii="仿宋_GB2312" w:eastAsia="仿宋_GB2312" w:hint="eastAsia"/>
            </w:rPr>
            <w:fldChar w:fldCharType="end"/>
          </w:r>
          <w:r>
            <w:rPr>
              <w:rFonts w:ascii="仿宋_GB2312" w:eastAsia="仿宋_GB2312" w:hint="eastAsia"/>
            </w:rPr>
            <w:fldChar w:fldCharType="end"/>
          </w:r>
        </w:p>
        <w:p>
          <w:pPr>
            <w:pStyle w:val="23"/>
            <w:tabs>
              <w:tab w:val="right" w:leader="dot" w:pos="8296"/>
              <w:tab w:val="right" w:leader="dot" w:pos="8306"/>
            </w:tabs>
            <w:rPr>
              <w:rFonts w:ascii="仿宋_GB2312" w:eastAsia="仿宋_GB2312" w:hint="eastAsia"/>
            </w:rPr>
          </w:pPr>
          <w:r>
            <w:rPr>
              <w:rFonts w:ascii="仿宋_GB2312" w:eastAsia="仿宋_GB2312" w:hint="eastAsia"/>
            </w:rPr>
            <w:fldChar w:fldCharType="begin"/>
          </w:r>
          <w:r>
            <w:rPr>
              <w:rFonts w:ascii="仿宋_GB2312" w:eastAsia="仿宋_GB2312" w:hint="eastAsia"/>
            </w:rPr>
            <w:instrText>Hyperlink \l "_Toc17108958"</w:instrText>
          </w:r>
          <w:r>
            <w:rPr>
              <w:rFonts w:ascii="仿宋_GB2312" w:eastAsia="仿宋_GB2312" w:hint="eastAsia"/>
            </w:rPr>
            <w:fldChar w:fldCharType="separate"/>
          </w:r>
          <w:r>
            <w:rPr>
              <w:rFonts w:ascii="仿宋_GB2312" w:eastAsia="仿宋_GB2312" w:cs="方正小标宋简体" w:hint="eastAsia"/>
            </w:rPr>
            <w:t>第四部分  附件</w:t>
          </w:r>
          <w:r>
            <w:rPr>
              <w:rFonts w:ascii="仿宋_GB2312" w:eastAsia="仿宋_GB2312" w:hint="eastAsia"/>
            </w:rPr>
            <w:tab/>
          </w:r>
          <w:r>
            <w:rPr>
              <w:rFonts w:ascii="仿宋_GB2312" w:eastAsia="仿宋_GB2312" w:hint="eastAsia"/>
            </w:rPr>
            <w:fldChar w:fldCharType="begin"/>
          </w:r>
          <w:r>
            <w:rPr>
              <w:rFonts w:ascii="仿宋_GB2312" w:eastAsia="仿宋_GB2312" w:hint="eastAsia"/>
            </w:rPr>
            <w:instrText>PageRef _Toc17108958 \h</w:instrText>
          </w:r>
          <w:r>
            <w:rPr>
              <w:rFonts w:ascii="仿宋_GB2312" w:eastAsia="仿宋_GB2312" w:hint="eastAsia"/>
            </w:rPr>
            <w:fldChar w:fldCharType="separate"/>
          </w:r>
          <w:r>
            <w:rPr>
              <w:rFonts w:ascii="仿宋_GB2312" w:eastAsia="仿宋_GB2312" w:hint="eastAsia"/>
            </w:rPr>
            <w:t>- 20 -</w:t>
          </w:r>
          <w:r>
            <w:rPr>
              <w:rFonts w:ascii="仿宋_GB2312" w:eastAsia="仿宋_GB2312" w:hint="eastAsia"/>
            </w:rPr>
            <w:fldChar w:fldCharType="end"/>
          </w:r>
          <w:r>
            <w:rPr>
              <w:rFonts w:ascii="仿宋_GB2312" w:eastAsia="仿宋_GB2312" w:hint="eastAsia"/>
            </w:rPr>
            <w:fldChar w:fldCharType="end"/>
          </w:r>
        </w:p>
        <w:p>
          <w:pPr>
            <w:pStyle w:val="23"/>
            <w:tabs>
              <w:tab w:val="right" w:leader="dot" w:pos="8296"/>
              <w:tab w:val="right" w:leader="dot" w:pos="8306"/>
            </w:tabs>
            <w:rPr>
              <w:rFonts w:ascii="仿宋_GB2312" w:eastAsia="仿宋_GB2312" w:hint="eastAsia"/>
            </w:rPr>
          </w:pPr>
          <w:r>
            <w:rPr>
              <w:rFonts w:ascii="仿宋_GB2312" w:eastAsia="仿宋_GB2312" w:hint="eastAsia"/>
            </w:rPr>
            <w:fldChar w:fldCharType="begin"/>
          </w:r>
          <w:r>
            <w:rPr>
              <w:rFonts w:ascii="仿宋_GB2312" w:eastAsia="仿宋_GB2312" w:hint="eastAsia"/>
            </w:rPr>
            <w:instrText>Hyperlink \l "_Toc17108959"</w:instrText>
          </w:r>
          <w:r>
            <w:rPr>
              <w:rFonts w:ascii="仿宋_GB2312" w:eastAsia="仿宋_GB2312" w:hint="eastAsia"/>
            </w:rPr>
            <w:fldChar w:fldCharType="separate"/>
          </w:r>
          <w:r>
            <w:rPr>
              <w:rFonts w:ascii="仿宋_GB2312" w:eastAsia="仿宋_GB2312" w:hint="eastAsia"/>
            </w:rPr>
            <w:t>第</w:t>
          </w:r>
          <w:r>
            <w:rPr>
              <w:rFonts w:ascii="仿宋_GB2312" w:eastAsia="仿宋_GB2312" w:cs="Times New Roman" w:hint="eastAsia"/>
              <w:kern w:val="44"/>
              <w:lang w:val="en-US" w:eastAsia="zh-CN" w:bidi="ar-SA"/>
            </w:rPr>
            <w:t>五部分 附表</w:t>
          </w:r>
          <w:r>
            <w:rPr>
              <w:rFonts w:ascii="仿宋_GB2312" w:eastAsia="仿宋_GB2312" w:hint="eastAsia"/>
            </w:rPr>
            <w:tab/>
          </w:r>
          <w:r>
            <w:rPr>
              <w:rFonts w:ascii="仿宋_GB2312" w:eastAsia="仿宋_GB2312" w:hint="eastAsia"/>
            </w:rPr>
            <w:fldChar w:fldCharType="begin"/>
          </w:r>
          <w:r>
            <w:rPr>
              <w:rFonts w:ascii="仿宋_GB2312" w:eastAsia="仿宋_GB2312" w:hint="eastAsia"/>
            </w:rPr>
            <w:instrText>PageRef _Toc17108959 \h</w:instrText>
          </w:r>
          <w:r>
            <w:rPr>
              <w:rFonts w:ascii="仿宋_GB2312" w:eastAsia="仿宋_GB2312" w:hint="eastAsia"/>
            </w:rPr>
            <w:fldChar w:fldCharType="separate"/>
          </w:r>
          <w:r>
            <w:rPr>
              <w:rFonts w:ascii="仿宋_GB2312" w:eastAsia="仿宋_GB2312" w:hint="eastAsia"/>
            </w:rPr>
            <w:t>- 30 -</w:t>
          </w:r>
          <w:r>
            <w:rPr>
              <w:rFonts w:ascii="仿宋_GB2312" w:eastAsia="仿宋_GB2312" w:hint="eastAsia"/>
            </w:rPr>
            <w:fldChar w:fldCharType="end"/>
          </w:r>
          <w:r>
            <w:rPr>
              <w:rFonts w:ascii="仿宋_GB2312" w:eastAsia="仿宋_GB2312" w:hint="eastAsia"/>
            </w:rPr>
            <w:fldChar w:fldCharType="end"/>
          </w:r>
          <w:r>
            <w:rPr>
              <w:rFonts w:ascii="仿宋_GB2312" w:eastAsia="仿宋_GB2312" w:hint="eastAsia"/>
              <w:lang w:val="zh-CN"/>
            </w:rPr>
            <w:fldChar w:fldCharType="end"/>
          </w:r>
        </w:p>
        <w:p/>
      </w:sdtContent>
    </w:sdt>
    <w:bookmarkStart w:id="12" w:name="_Toc15396599" w:displacedByCustomXml="prev"/>
    <w:bookmarkStart w:id="13" w:name="_Toc15377196" w:displacedByCustomXml="prev"/>
    <w:p>
      <w:pPr>
        <w:pStyle w:val="1"/>
        <w:jc w:val="center"/>
        <w:rPr>
          <w:rFonts w:eastAsia="方正小标宋简体" w:cs="方正小标宋简体"/>
          <w:bCs w:val="0"/>
        </w:rPr>
      </w:pPr>
      <w:bookmarkStart w:id="14" w:name="_Toc17108930"/>
      <w:r>
        <w:rPr>
          <w:rFonts w:eastAsia="方正小标宋简体" w:cs="方正小标宋简体" w:hint="eastAsia"/>
          <w:b w:val="0"/>
        </w:rPr>
        <w:t xml:space="preserve">第一部分  </w:t>
      </w:r>
      <w:r>
        <w:rPr>
          <w:rStyle w:val="1Char"/>
          <w:rFonts w:eastAsia="方正小标宋简体" w:cs="方正小标宋简体" w:hint="eastAsia"/>
        </w:rPr>
        <w:t>部门概况</w:t>
      </w:r>
      <w:bookmarkEnd w:id="12"/>
      <w:bookmarkEnd w:id="13"/>
      <w:bookmarkEnd w:id="14"/>
    </w:p>
    <w:p>
      <w:pPr>
        <w:pStyle w:val="2"/>
        <w:numPr>
          <w:ilvl w:val="0"/>
          <w:numId w:val="1"/>
        </w:numPr>
        <w:rPr>
          <w:rFonts w:ascii="Times New Roman" w:eastAsia="黑体" w:hAnsi="Times New Roman"/>
          <w:b w:val="0"/>
        </w:rPr>
      </w:pPr>
      <w:bookmarkStart w:id="15" w:name="_Toc17108931"/>
      <w:r>
        <w:rPr>
          <w:rFonts w:ascii="Times New Roman" w:eastAsia="黑体" w:hAnsi="Times New Roman" w:hint="eastAsia"/>
          <w:b w:val="0"/>
        </w:rPr>
        <w:t>部门职责</w:t>
      </w:r>
      <w:bookmarkEnd w:id="15"/>
    </w:p>
    <w:p>
      <w:pPr>
        <w:ind w:firstLineChars="200" w:firstLine="640"/>
        <w:rPr>
          <w:rFonts w:eastAsia="仿宋_GB2312" w:cs="仿宋_GB2312"/>
          <w:sz w:val="32"/>
          <w:szCs w:val="32"/>
        </w:rPr>
      </w:pPr>
      <w:r>
        <w:rPr>
          <w:rFonts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独松发展的新局面</w:t>
      </w:r>
    </w:p>
    <w:p>
      <w:pPr>
        <w:pStyle w:val="2"/>
        <w:rPr>
          <w:rStyle w:val="2Char"/>
          <w:rFonts w:ascii="Times New Roman" w:hAnsi="Times New Roman"/>
        </w:rPr>
      </w:pPr>
      <w:bookmarkStart w:id="16" w:name="_Toc15396601"/>
      <w:bookmarkStart w:id="17" w:name="_Toc15377200"/>
      <w:bookmarkStart w:id="18" w:name="_Toc17108932"/>
      <w:r>
        <w:rPr>
          <w:rFonts w:ascii="Times New Roman" w:eastAsia="黑体" w:hAnsi="Times New Roman" w:hint="eastAsia"/>
          <w:b w:val="0"/>
        </w:rPr>
        <w:t>二、机</w:t>
      </w:r>
      <w:r>
        <w:rPr>
          <w:rStyle w:val="2Char"/>
          <w:rFonts w:ascii="Times New Roman" w:eastAsia="黑体" w:hAnsi="Times New Roman" w:hint="eastAsia"/>
        </w:rPr>
        <w:t>构设置</w:t>
      </w:r>
      <w:bookmarkEnd w:id="16"/>
      <w:bookmarkEnd w:id="17"/>
      <w:bookmarkEnd w:id="18"/>
    </w:p>
    <w:p>
      <w:pPr>
        <w:ind w:firstLineChars="250" w:firstLine="800"/>
        <w:rPr>
          <w:rFonts w:eastAsia="仿宋_GB2312" w:cs="仿宋_GB2312"/>
          <w:sz w:val="32"/>
          <w:szCs w:val="32"/>
        </w:rPr>
      </w:pPr>
      <w:r>
        <w:rPr>
          <w:rFonts w:ascii="仿宋_GB2312" w:eastAsia="仿宋_GB2312" w:cs="仿宋_GB2312" w:hint="eastAsia"/>
          <w:sz w:val="32"/>
          <w:szCs w:val="32"/>
        </w:rPr>
        <w:t>金川县独松乡人民政府</w:t>
      </w:r>
      <w:r>
        <w:rPr>
          <w:rFonts w:eastAsia="仿宋_GB2312" w:cs="仿宋_GB2312" w:hint="eastAsia"/>
          <w:sz w:val="32"/>
          <w:szCs w:val="32"/>
        </w:rPr>
        <w:t>下属二级预算单位4个，其中行政单位3个，参照公务员法管理的事业单位</w:t>
      </w:r>
      <w:r>
        <w:rPr>
          <w:rFonts w:eastAsia="仿宋_GB2312" w:cs="仿宋_GB2312" w:hint="eastAsia"/>
          <w:bCs/>
          <w:sz w:val="32"/>
          <w:szCs w:val="32"/>
        </w:rPr>
        <w:t>0</w:t>
      </w:r>
      <w:r>
        <w:rPr>
          <w:rFonts w:eastAsia="仿宋_GB2312" w:cs="仿宋_GB2312" w:hint="eastAsia"/>
          <w:sz w:val="32"/>
          <w:szCs w:val="32"/>
        </w:rPr>
        <w:t>个，其他事业单位1个。</w:t>
      </w:r>
    </w:p>
    <w:p>
      <w:pPr>
        <w:pStyle w:val="18"/>
        <w:adjustRightInd w:val="0"/>
        <w:snapToGrid w:val="0"/>
        <w:spacing w:beforeLines="0" w:before="93" w:line="600" w:lineRule="exact"/>
        <w:ind w:firstLineChars="209" w:firstLine="672"/>
        <w:rPr>
          <w:rFonts w:ascii="Times New Roman" w:cs="仿宋_GB2312" w:hAnsi="Times New Roman"/>
          <w:sz w:val="32"/>
          <w:szCs w:val="32"/>
        </w:rPr>
      </w:pPr>
      <w:r>
        <w:rPr>
          <w:rFonts w:ascii="Times New Roman" w:cs="仿宋_GB2312" w:hAnsi="Times New Roman" w:hint="eastAsia"/>
          <w:sz w:val="32"/>
          <w:szCs w:val="32"/>
        </w:rPr>
        <w:t>纳入</w:t>
      </w:r>
      <w:r>
        <w:rPr>
          <w:sz w:val="32"/>
          <w:szCs w:val="32"/>
        </w:rPr>
        <w:t>金川县独松乡人民政府</w:t>
      </w:r>
      <w:r>
        <w:rPr>
          <w:rFonts w:ascii="Times New Roman" w:cs="仿宋_GB2312" w:hAnsi="Times New Roman" w:hint="eastAsia"/>
          <w:sz w:val="32"/>
          <w:szCs w:val="32"/>
        </w:rPr>
        <w:t>2024年度部门决算编制范围的二级预算单位包括：</w:t>
      </w:r>
    </w:p>
    <w:p>
      <w:pPr>
        <w:pStyle w:val="18"/>
        <w:numPr>
          <w:ilvl w:val="0"/>
          <w:numId w:val="2"/>
        </w:numPr>
        <w:adjustRightInd w:val="0"/>
        <w:snapToGrid w:val="0"/>
        <w:spacing w:beforeLines="0" w:before="93" w:line="600" w:lineRule="exact"/>
        <w:outlineLvl w:val="2"/>
        <w:rPr>
          <w:rFonts w:ascii="Times New Roman" w:cs="仿宋_GB2312" w:hAnsi="Times New Roman"/>
          <w:sz w:val="32"/>
          <w:szCs w:val="32"/>
        </w:rPr>
      </w:pPr>
      <w:bookmarkStart w:id="19" w:name="_Toc17108933"/>
      <w:r>
        <w:rPr>
          <w:rFonts w:ascii="Times New Roman" w:cs="仿宋_GB2312" w:hAnsi="Times New Roman" w:hint="eastAsia"/>
          <w:sz w:val="32"/>
          <w:szCs w:val="32"/>
        </w:rPr>
        <w:t>金川县独松乡人民政府办公室</w:t>
      </w:r>
      <w:bookmarkEnd w:id="19"/>
    </w:p>
    <w:p>
      <w:pPr>
        <w:pStyle w:val="18"/>
        <w:numPr>
          <w:ilvl w:val="0"/>
          <w:numId w:val="2"/>
        </w:numPr>
        <w:adjustRightInd w:val="0"/>
        <w:snapToGrid w:val="0"/>
        <w:spacing w:beforeLines="0" w:before="93" w:line="600" w:lineRule="exact"/>
        <w:outlineLvl w:val="2"/>
        <w:rPr>
          <w:rFonts w:ascii="Times New Roman" w:cs="仿宋_GB2312" w:hAnsi="Times New Roman"/>
          <w:sz w:val="32"/>
          <w:szCs w:val="32"/>
        </w:rPr>
      </w:pPr>
      <w:bookmarkStart w:id="20" w:name="_Toc15377203"/>
      <w:bookmarkStart w:id="21" w:name="_Toc15306277"/>
      <w:bookmarkStart w:id="22" w:name="_Toc15378450"/>
      <w:bookmarkStart w:id="23" w:name="_Toc15377434"/>
      <w:bookmarkStart w:id="24" w:name="_Toc17108934"/>
      <w:r>
        <w:rPr>
          <w:rFonts w:ascii="Times New Roman" w:cs="仿宋_GB2312" w:hAnsi="Times New Roman" w:hint="eastAsia"/>
          <w:sz w:val="32"/>
          <w:szCs w:val="32"/>
        </w:rPr>
        <w:t>金川县独松乡党委办公室</w:t>
      </w:r>
      <w:bookmarkEnd w:id="24"/>
    </w:p>
    <w:p>
      <w:pPr>
        <w:pStyle w:val="18"/>
        <w:numPr>
          <w:ilvl w:val="0"/>
          <w:numId w:val="2"/>
        </w:numPr>
        <w:adjustRightInd w:val="0"/>
        <w:snapToGrid w:val="0"/>
        <w:spacing w:beforeLines="0" w:before="93" w:line="600" w:lineRule="exact"/>
        <w:outlineLvl w:val="2"/>
        <w:rPr>
          <w:rFonts w:ascii="Times New Roman" w:cs="仿宋_GB2312" w:hAnsi="Times New Roman"/>
          <w:sz w:val="32"/>
          <w:szCs w:val="32"/>
        </w:rPr>
      </w:pPr>
      <w:bookmarkStart w:id="25" w:name="_Toc17108935"/>
      <w:bookmarkEnd w:id="20"/>
      <w:bookmarkEnd w:id="21"/>
      <w:bookmarkEnd w:id="22"/>
      <w:bookmarkEnd w:id="23"/>
      <w:r>
        <w:rPr>
          <w:rFonts w:ascii="Times New Roman" w:cs="仿宋_GB2312" w:hAnsi="Times New Roman" w:hint="eastAsia"/>
          <w:sz w:val="32"/>
          <w:szCs w:val="32"/>
        </w:rPr>
        <w:t>金川县独松乡人大办公室</w:t>
      </w:r>
      <w:bookmarkEnd w:id="25"/>
    </w:p>
    <w:p>
      <w:pPr>
        <w:pStyle w:val="18"/>
        <w:numPr>
          <w:ilvl w:val="0"/>
          <w:numId w:val="2"/>
        </w:numPr>
        <w:adjustRightInd w:val="0"/>
        <w:snapToGrid w:val="0"/>
        <w:spacing w:beforeLines="0" w:before="93" w:line="600" w:lineRule="exact"/>
        <w:outlineLvl w:val="2"/>
        <w:rPr>
          <w:rFonts w:ascii="Times New Roman" w:cs="仿宋_GB2312" w:hAnsi="Times New Roman"/>
          <w:sz w:val="32"/>
          <w:szCs w:val="32"/>
        </w:rPr>
      </w:pPr>
      <w:bookmarkStart w:id="26" w:name="_Toc17108936"/>
      <w:r>
        <w:rPr>
          <w:rFonts w:ascii="Times New Roman" w:cs="仿宋_GB2312" w:hAnsi="Times New Roman" w:hint="eastAsia"/>
          <w:sz w:val="32"/>
          <w:szCs w:val="32"/>
        </w:rPr>
        <w:t>金川县独松乡综合服务中心</w:t>
      </w:r>
      <w:bookmarkEnd w:id="26"/>
    </w:p>
    <w:p>
      <w:pPr>
        <w:pStyle w:val="18"/>
        <w:adjustRightInd w:val="0"/>
        <w:snapToGrid w:val="0"/>
        <w:spacing w:beforeLines="0" w:before="93" w:line="600" w:lineRule="exact"/>
        <w:outlineLvl w:val="2"/>
        <w:rPr>
          <w:rFonts w:ascii="Times New Roman" w:cs="仿宋_GB2312" w:hAnsi="Times New Roman"/>
          <w:sz w:val="32"/>
          <w:szCs w:val="32"/>
        </w:rPr>
      </w:pPr>
    </w:p>
    <w:p>
      <w:pPr>
        <w:widowControl/>
        <w:jc w:val="left"/>
        <w:rPr>
          <w:rFonts w:eastAsia="仿宋"/>
          <w:kern w:val="0"/>
          <w:sz w:val="32"/>
          <w:szCs w:val="32"/>
        </w:rPr>
      </w:pPr>
      <w:r>
        <w:rPr>
          <w:rFonts w:eastAsia="仿宋"/>
          <w:sz w:val="32"/>
          <w:szCs w:val="32"/>
        </w:rPr>
        <w:br w:type="page"/>
      </w:r>
    </w:p>
    <w:p>
      <w:pPr>
        <w:pStyle w:val="1"/>
        <w:jc w:val="center"/>
        <w:rPr>
          <w:rFonts w:eastAsia="方正小标宋简体" w:cs="方正小标宋简体"/>
          <w:b w:val="0"/>
        </w:rPr>
      </w:pPr>
      <w:bookmarkStart w:id="27" w:name="_Toc15396602"/>
      <w:bookmarkStart w:id="28" w:name="_Toc15377204"/>
      <w:bookmarkStart w:id="29" w:name="_Toc17108937"/>
      <w:r>
        <w:rPr>
          <w:rFonts w:eastAsia="方正小标宋简体" w:cs="方正小标宋简体" w:hint="eastAsia"/>
          <w:b w:val="0"/>
        </w:rPr>
        <w:t>第二部分  2024年度部门决算情况说明</w:t>
      </w:r>
      <w:bookmarkEnd w:id="27"/>
      <w:bookmarkEnd w:id="28"/>
      <w:bookmarkEnd w:id="29"/>
    </w:p>
    <w:p/>
    <w:p>
      <w:pPr>
        <w:pStyle w:val="32"/>
        <w:spacing w:line="600" w:lineRule="exact"/>
        <w:outlineLvl w:val="1"/>
        <w:rPr>
          <w:rStyle w:val="2Char"/>
          <w:rFonts w:ascii="Times New Roman" w:eastAsia="黑体" w:hAnsi="Times New Roman"/>
          <w:b w:val="0"/>
        </w:rPr>
      </w:pPr>
      <w:bookmarkStart w:id="30" w:name="_Toc15396603"/>
      <w:bookmarkStart w:id="31" w:name="_Toc15377205"/>
      <w:bookmarkStart w:id="32" w:name="_Toc17108938"/>
      <w:r>
        <w:rPr>
          <w:rFonts w:eastAsia="黑体" w:hint="eastAsia"/>
          <w:sz w:val="32"/>
          <w:szCs w:val="32"/>
        </w:rPr>
        <w:t>一、收</w:t>
      </w:r>
      <w:r>
        <w:rPr>
          <w:rStyle w:val="2Char"/>
          <w:rFonts w:ascii="Times New Roman" w:eastAsia="黑体" w:hAnsi="Times New Roman" w:hint="eastAsia"/>
          <w:b w:val="0"/>
        </w:rPr>
        <w:t>入支出决算总体情况说明</w:t>
      </w:r>
      <w:bookmarkEnd w:id="30"/>
      <w:bookmarkEnd w:id="31"/>
      <w:bookmarkEnd w:id="32"/>
    </w:p>
    <w:p>
      <w:pPr>
        <w:rPr>
          <w:rFonts w:eastAsia="仿宋_GB2312" w:cs="仿宋_GB2312"/>
          <w:sz w:val="32"/>
          <w:szCs w:val="32"/>
        </w:rPr>
      </w:pPr>
      <w:r>
        <w:drawing>
          <wp:anchor distT="0" distB="0" distL="114298" distR="114298" simplePos="0" relativeHeight="20" behindDoc="0" locked="0" layoutInCell="1" hidden="0" allowOverlap="1">
            <wp:simplePos x="0" y="0"/>
            <wp:positionH relativeFrom="column">
              <wp:posOffset>1905</wp:posOffset>
            </wp:positionH>
            <wp:positionV relativeFrom="paragraph">
              <wp:posOffset>1350645</wp:posOffset>
            </wp:positionV>
            <wp:extent cx="5711190" cy="2865755"/>
            <wp:effectExtent l="0" t="0" r="0" b="0"/>
            <wp:wrapTopAndBottom/>
            <wp:docPr id="1" name="Object 2"/>
            <wp:cNvGraphicFramePr>
              <a:graphicFrameLocks noChangeAspect="1"/>
            </wp:cNvGraphicFramePr>
            <a:graphic>
              <a:graphicData uri="http://schemas.openxmlformats.org/drawingml/2006/picture">
                <pic:pic>
                  <pic:nvPicPr>
                    <pic:cNvPr id="3" name="Object 2 3"/>
                    <pic:cNvPicPr/>
                  </pic:nvPicPr>
                  <pic:blipFill>
                    <a:blip r:embed="rId3"/>
                    <a:stretch>
                      <a:fillRect/>
                    </a:stretch>
                  </pic:blipFill>
                  <pic:spPr>
                    <a:xfrm rot="0">
                      <a:off x="0" y="0"/>
                      <a:ext cx="5711190" cy="2865755"/>
                    </a:xfrm>
                    <a:prstGeom prst="rect"/>
                    <a:noFill/>
                    <a:ln w="9525" cmpd="sng" cap="flat">
                      <a:noFill/>
                      <a:prstDash val="solid"/>
                      <a:miter/>
                    </a:ln>
                  </pic:spPr>
                </pic:pic>
              </a:graphicData>
            </a:graphic>
          </wp:anchor>
        </w:drawing>
      </w:r>
      <w:r>
        <w:rPr>
          <w:rFonts w:eastAsia="仿宋_GB2312" w:cs="仿宋_GB2312" w:hint="eastAsia"/>
          <w:sz w:val="32"/>
          <w:szCs w:val="32"/>
        </w:rPr>
        <w:t>2024年度收入、支</w:t>
      </w:r>
      <w:r>
        <w:rPr>
          <w:rFonts w:ascii="仿宋_GB2312" w:eastAsia="仿宋_GB2312" w:cs="仿宋_GB2312" w:hint="eastAsia"/>
          <w:sz w:val="32"/>
          <w:szCs w:val="32"/>
        </w:rPr>
        <w:t>出总计均为1082.98万元。与2023年度相比，收入、支出总计各减少191.66万元，下降15.04%。主要变动原因是2024年我乡项目经费减少。</w:t>
      </w:r>
    </w:p>
    <w:p>
      <w:pPr>
        <w:rPr>
          <w:rFonts w:eastAsia="仿宋_GB2312" w:cs="仿宋_GB2312"/>
          <w:sz w:val="32"/>
          <w:szCs w:val="32"/>
        </w:rPr>
      </w:pPr>
      <w:r>
        <w:rPr>
          <w:rFonts w:eastAsia="仿宋_GB2312" w:cs="仿宋_GB2312" w:hint="eastAsia"/>
          <w:sz w:val="32"/>
          <w:szCs w:val="32"/>
        </w:rPr>
        <w:t>（图1：收入、支出决算总计变动情况图）</w:t>
      </w:r>
    </w:p>
    <w:p>
      <w:pPr>
        <w:ind w:firstLineChars="200" w:firstLine="640"/>
        <w:rPr>
          <w:rFonts w:eastAsia="仿宋_GB2312" w:cs="仿宋_GB2312"/>
          <w:sz w:val="32"/>
          <w:szCs w:val="32"/>
        </w:rPr>
      </w:pPr>
    </w:p>
    <w:p>
      <w:pPr>
        <w:pStyle w:val="32"/>
        <w:spacing w:line="600" w:lineRule="exact"/>
        <w:outlineLvl w:val="1"/>
        <w:rPr>
          <w:rFonts w:eastAsia="黑体"/>
          <w:sz w:val="32"/>
          <w:szCs w:val="32"/>
        </w:rPr>
      </w:pPr>
      <w:bookmarkStart w:id="33" w:name="_Toc15377206"/>
      <w:bookmarkStart w:id="34" w:name="_Toc15396604"/>
      <w:bookmarkStart w:id="35" w:name="_Toc17108939"/>
      <w:r>
        <w:rPr>
          <w:rFonts w:eastAsia="黑体" w:hint="eastAsia"/>
          <w:sz w:val="32"/>
          <w:szCs w:val="32"/>
        </w:rPr>
        <w:t>二、收入决算情况说明</w:t>
      </w:r>
      <w:bookmarkEnd w:id="33"/>
      <w:bookmarkEnd w:id="34"/>
      <w:bookmarkEnd w:id="35"/>
    </w:p>
    <w:p>
      <w:pPr>
        <w:rPr>
          <w:rFonts w:eastAsia="仿宋_GB2312" w:cs="仿宋_GB2312"/>
          <w:b/>
          <w:bCs/>
          <w:sz w:val="32"/>
          <w:szCs w:val="32"/>
        </w:rPr>
      </w:pPr>
      <w:r>
        <w:rPr>
          <w:rFonts w:ascii="仿宋_GB2312" w:eastAsia="仿宋_GB2312" w:cs="仿宋_GB2312" w:hint="eastAsia"/>
          <w:sz w:val="32"/>
          <w:szCs w:val="32"/>
        </w:rPr>
        <w:t>2024年度本年收入合计1082.98万元，其中：一般公共预算财政拨款收入1082.98万元，占100%；政府性基金预算财政拨款收入0万元，占0%%；国有资本经营预算财政拨款收入0万元，占0%；上级补助收入0万元，占0%；事业收入0万元，占0%；经营收入0万元，占0%；附属单位上缴收入0万元，占0%；其他收入0万元，占0%。</w:t>
      </w:r>
    </w:p>
    <w:p>
      <w:pPr>
        <w:rPr>
          <w:rFonts w:eastAsia="仿宋_GB2312" w:cs="仿宋_GB2312"/>
          <w:b/>
          <w:bCs/>
          <w:sz w:val="32"/>
          <w:szCs w:val="32"/>
        </w:rPr>
      </w:pPr>
      <w:r>
        <w:rPr>
          <w:rFonts w:hint="eastAsia"/>
        </w:rPr>
        <w:drawing>
          <wp:anchor distT="0" distB="0" distL="114300" distR="114300" simplePos="0" relativeHeight="24" behindDoc="0" locked="0" layoutInCell="1" hidden="0" allowOverlap="1">
            <wp:simplePos x="0" y="0"/>
            <wp:positionH relativeFrom="column">
              <wp:posOffset>0</wp:posOffset>
            </wp:positionH>
            <wp:positionV relativeFrom="paragraph">
              <wp:posOffset>478155</wp:posOffset>
            </wp:positionV>
            <wp:extent cx="5373369" cy="2648584"/>
            <wp:effectExtent l="0" t="0" r="0" b="0"/>
            <wp:wrapTopAndBottom/>
            <wp:docPr id="4" name="图表 5"/>
            <wp:cNvGraphicFramePr>
              <a:graphicFrameLocks noChangeAspect="0"/>
            </wp:cNvGraphicFramePr>
            <a:graphic>
              <a:graphicData uri="http://schemas.openxmlformats.org/drawingml/2006/chart">
                <c:chart xmlns:c="http://schemas.openxmlformats.org/drawingml/2006/chart" r:id="rId4"/>
              </a:graphicData>
            </a:graphic>
          </wp:anchor>
        </w:drawing>
      </w:r>
      <w:r>
        <w:rPr>
          <w:rFonts w:eastAsia="仿宋_GB2312" w:cs="仿宋_GB2312" w:hint="eastAsia"/>
          <w:sz w:val="32"/>
          <w:szCs w:val="32"/>
        </w:rPr>
        <w:t>（图2：收入决算结构图）（饼状图）</w:t>
      </w:r>
    </w:p>
    <w:p>
      <w:pPr>
        <w:ind w:firstLineChars="250" w:firstLine="800"/>
        <w:rPr>
          <w:rFonts w:eastAsia="仿宋_GB2312" w:cs="仿宋_GB2312"/>
          <w:sz w:val="32"/>
          <w:szCs w:val="32"/>
        </w:rPr>
      </w:pPr>
    </w:p>
    <w:p>
      <w:pPr>
        <w:pStyle w:val="32"/>
        <w:spacing w:line="600" w:lineRule="exact"/>
        <w:outlineLvl w:val="1"/>
        <w:rPr>
          <w:rStyle w:val="2Char"/>
          <w:rFonts w:ascii="Times New Roman" w:eastAsia="黑体" w:hAnsi="Times New Roman"/>
          <w:b w:val="0"/>
        </w:rPr>
      </w:pPr>
      <w:bookmarkStart w:id="36" w:name="_Toc15377207"/>
      <w:bookmarkStart w:id="37" w:name="_Toc15396605"/>
      <w:bookmarkStart w:id="38" w:name="_Toc17108940"/>
      <w:r>
        <w:rPr>
          <w:rFonts w:eastAsia="黑体" w:hint="eastAsia"/>
          <w:sz w:val="32"/>
          <w:szCs w:val="32"/>
        </w:rPr>
        <w:t>三、支</w:t>
      </w:r>
      <w:r>
        <w:rPr>
          <w:rStyle w:val="2Char"/>
          <w:rFonts w:ascii="Times New Roman" w:eastAsia="黑体" w:hAnsi="Times New Roman" w:hint="eastAsia"/>
          <w:b w:val="0"/>
        </w:rPr>
        <w:t>出决算情况说明</w:t>
      </w:r>
      <w:bookmarkEnd w:id="36"/>
      <w:bookmarkEnd w:id="37"/>
      <w:bookmarkEnd w:id="38"/>
    </w:p>
    <w:p>
      <w:pPr>
        <w:ind w:firstLine="420"/>
        <w:rPr>
          <w:rFonts w:eastAsia="仿宋_GB2312" w:cs="仿宋_GB2312"/>
          <w:b/>
          <w:bCs/>
          <w:sz w:val="32"/>
          <w:szCs w:val="32"/>
        </w:rPr>
      </w:pPr>
      <w:r>
        <w:rPr>
          <w:rFonts w:ascii="仿宋_GB2312" w:eastAsia="仿宋_GB2312" w:cs="仿宋_GB2312" w:hint="eastAsia"/>
          <w:sz w:val="32"/>
          <w:szCs w:val="32"/>
        </w:rPr>
        <w:t>2024年度本年支出合计1082.98万元，其中：基本支出729.13万元，占67.32%；项目支出353.85万元，占32.67%；上缴上级支出0万元，占0%；经营支出0万元，占0%；对附属单位补助支出0万元，占0%。</w:t>
      </w:r>
    </w:p>
    <w:p>
      <w:pPr>
        <w:jc w:val="center"/>
        <w:rPr>
          <w:rFonts w:eastAsia="仿宋_GB2312" w:cs="仿宋_GB2312"/>
          <w:sz w:val="32"/>
          <w:szCs w:val="32"/>
        </w:rPr>
      </w:pPr>
      <w:r>
        <w:rPr>
          <w:rFonts w:hint="eastAsia"/>
        </w:rPr>
        <w:drawing>
          <wp:anchor distT="0" distB="0" distL="114300" distR="114300" simplePos="0" relativeHeight="30" behindDoc="0" locked="0" layoutInCell="1" hidden="0" allowOverlap="1">
            <wp:simplePos x="0" y="0"/>
            <wp:positionH relativeFrom="column">
              <wp:posOffset>-177799</wp:posOffset>
            </wp:positionH>
            <wp:positionV relativeFrom="paragraph">
              <wp:posOffset>46355</wp:posOffset>
            </wp:positionV>
            <wp:extent cx="5373369" cy="2648584"/>
            <wp:effectExtent l="0" t="0" r="0" b="0"/>
            <wp:wrapTopAndBottom/>
            <wp:docPr id="5" name="图表 5"/>
            <wp:cNvGraphicFramePr>
              <a:graphicFrameLocks noChangeAspect="0"/>
            </wp:cNvGraphicFramePr>
            <a:graphic>
              <a:graphicData uri="http://schemas.openxmlformats.org/drawingml/2006/chart">
                <c:chart xmlns:c="http://schemas.openxmlformats.org/drawingml/2006/chart" r:id="rId5"/>
              </a:graphicData>
            </a:graphic>
          </wp:anchor>
        </w:drawing>
      </w:r>
      <w:r>
        <w:rPr>
          <w:rFonts w:eastAsia="仿宋_GB2312" w:cs="仿宋_GB2312" w:hint="eastAsia"/>
          <w:sz w:val="32"/>
          <w:szCs w:val="32"/>
        </w:rPr>
        <w:t>（图3：支出决算结构图）（饼状图）</w:t>
      </w:r>
    </w:p>
    <w:p>
      <w:pPr>
        <w:ind w:firstLineChars="250" w:firstLine="800"/>
        <w:rPr>
          <w:rFonts w:eastAsia="仿宋_GB2312" w:cs="仿宋_GB2312"/>
          <w:sz w:val="32"/>
          <w:szCs w:val="32"/>
        </w:rPr>
      </w:pPr>
    </w:p>
    <w:p>
      <w:pPr>
        <w:spacing w:line="600" w:lineRule="exact"/>
        <w:ind w:firstLineChars="200" w:firstLine="640"/>
        <w:outlineLvl w:val="1"/>
        <w:rPr>
          <w:rStyle w:val="2Char"/>
          <w:rFonts w:ascii="Times New Roman" w:eastAsia="黑体" w:hAnsi="Times New Roman"/>
          <w:b w:val="0"/>
        </w:rPr>
      </w:pPr>
      <w:bookmarkStart w:id="39" w:name="_Toc15377208"/>
      <w:bookmarkStart w:id="40" w:name="_Toc15396606"/>
      <w:bookmarkStart w:id="41" w:name="_Toc17108941"/>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39"/>
      <w:bookmarkEnd w:id="40"/>
      <w:bookmarkEnd w:id="41"/>
    </w:p>
    <w:p>
      <w:pPr>
        <w:spacing w:line="600" w:lineRule="exact"/>
        <w:ind w:firstLine="640"/>
        <w:rPr>
          <w:rFonts w:eastAsia="仿宋_GB2312" w:cs="仿宋_GB2312"/>
          <w:sz w:val="32"/>
          <w:szCs w:val="32"/>
        </w:rPr>
      </w:pPr>
      <w:r>
        <w:rPr>
          <w:rFonts w:eastAsia="仿宋_GB2312" w:cs="仿宋_GB2312"/>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27.45pt;margin-top:152.85pt;width:405.75pt;height:199.50003pt;z-index:22;mso-position-horizontal:absolute;mso-position-vertical:absolute;mso-wrap-distance-left:8.999863pt;mso-wrap-distance-right:8.999863pt;" o:ole="">
            <v:stroke color="#000000"/>
            <v:imagedata r:id="rId6" o:title="image2"/>
            <o:lock aspectratio="t"/>
            <w10:wrap type="topAndBottom"/>
          </v:shape>
          <o:OLEObject Type="Embed" ProgID="Package" ShapeID="_x0000_i1" DrawAspect="Content" ObjectID="_1393063351" r:id="rId7"/>
        </w:object>
      </w:r>
      <w:r>
        <w:rPr>
          <w:rFonts w:eastAsia="仿宋_GB2312" w:cs="仿宋_GB2312" w:hint="eastAsia"/>
          <w:sz w:val="32"/>
          <w:szCs w:val="32"/>
        </w:rPr>
        <w:t>2024年度财政拨款收入、支出总计均为</w:t>
      </w:r>
      <w:r>
        <w:rPr>
          <w:rFonts w:ascii="仿宋_GB2312" w:eastAsia="仿宋_GB2312" w:cs="仿宋_GB2312" w:hint="eastAsia"/>
          <w:sz w:val="32"/>
          <w:szCs w:val="32"/>
        </w:rPr>
        <w:t>1082.98</w:t>
      </w:r>
      <w:r>
        <w:rPr>
          <w:rFonts w:eastAsia="仿宋_GB2312" w:cs="仿宋_GB2312" w:hint="eastAsia"/>
          <w:sz w:val="32"/>
          <w:szCs w:val="32"/>
        </w:rPr>
        <w:t>万元。与2023年度相比，财政拨款收入总计、支出总计各减少</w:t>
      </w:r>
      <w:r>
        <w:rPr>
          <w:rFonts w:eastAsia="仿宋_GB2312" w:cs="仿宋_GB2312"/>
          <w:sz w:val="32"/>
          <w:szCs w:val="32"/>
        </w:rPr>
        <w:t>191.66</w:t>
      </w:r>
      <w:r>
        <w:rPr>
          <w:rFonts w:eastAsia="仿宋_GB2312" w:cs="仿宋_GB2312" w:hint="eastAsia"/>
          <w:sz w:val="32"/>
          <w:szCs w:val="32"/>
        </w:rPr>
        <w:t>万元，下降</w:t>
      </w:r>
      <w:r>
        <w:rPr>
          <w:rFonts w:eastAsia="仿宋_GB2312" w:cs="仿宋_GB2312"/>
          <w:sz w:val="32"/>
          <w:szCs w:val="32"/>
        </w:rPr>
        <w:t>15.04</w:t>
      </w:r>
      <w:r>
        <w:rPr>
          <w:rFonts w:eastAsia="仿宋_GB2312" w:cs="仿宋_GB2312" w:hint="eastAsia"/>
          <w:sz w:val="32"/>
          <w:szCs w:val="32"/>
        </w:rPr>
        <w:t>%。主要变动原因是该部门是2024年项目较少，导致项目预算收支数降低。</w:t>
      </w:r>
    </w:p>
    <w:p>
      <w:pPr>
        <w:spacing w:line="600" w:lineRule="exact"/>
        <w:ind w:firstLine="640"/>
        <w:rPr>
          <w:rFonts w:eastAsia="仿宋_GB2312" w:cs="仿宋_GB2312"/>
          <w:sz w:val="32"/>
          <w:szCs w:val="32"/>
        </w:rPr>
      </w:pPr>
      <w:r>
        <w:rPr>
          <w:rFonts w:eastAsia="仿宋_GB2312" w:cs="仿宋_GB2312" w:hint="eastAsia"/>
          <w:sz w:val="32"/>
          <w:szCs w:val="32"/>
        </w:rPr>
        <w:t>（图4：财政拨款收、支决算总计变动情况）（柱状图）</w:t>
      </w:r>
    </w:p>
    <w:p>
      <w:pPr>
        <w:spacing w:line="600" w:lineRule="exact"/>
        <w:ind w:firstLine="640"/>
        <w:rPr>
          <w:rFonts w:eastAsia="仿宋_GB2312" w:cs="仿宋_GB2312"/>
          <w:sz w:val="32"/>
          <w:szCs w:val="32"/>
        </w:rPr>
      </w:pPr>
    </w:p>
    <w:p>
      <w:pPr>
        <w:spacing w:line="600" w:lineRule="exact"/>
        <w:ind w:firstLineChars="200" w:firstLine="640"/>
        <w:outlineLvl w:val="1"/>
        <w:rPr>
          <w:rStyle w:val="2Char"/>
          <w:rFonts w:ascii="Times New Roman" w:eastAsia="黑体" w:hAnsi="Times New Roman"/>
          <w:b w:val="0"/>
        </w:rPr>
      </w:pPr>
      <w:bookmarkStart w:id="42" w:name="_Toc15377209"/>
      <w:bookmarkStart w:id="43" w:name="_Toc15396607"/>
      <w:bookmarkStart w:id="44" w:name="_Toc17108942"/>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42"/>
      <w:bookmarkEnd w:id="43"/>
      <w:bookmarkEnd w:id="44"/>
    </w:p>
    <w:p>
      <w:pPr>
        <w:spacing w:line="600" w:lineRule="exact"/>
        <w:ind w:firstLineChars="200" w:firstLine="640"/>
        <w:outlineLvl w:val="2"/>
        <w:rPr>
          <w:rFonts w:eastAsia="楷体_GB2312" w:cs="楷体_GB2312"/>
          <w:b/>
          <w:sz w:val="32"/>
          <w:szCs w:val="32"/>
        </w:rPr>
      </w:pPr>
      <w:bookmarkStart w:id="45" w:name="_Toc15377210"/>
      <w:bookmarkStart w:id="46" w:name="_Toc17108943"/>
      <w:r>
        <w:rPr>
          <w:rFonts w:eastAsia="楷体_GB2312" w:cs="楷体_GB2312" w:hint="eastAsia"/>
          <w:b/>
          <w:sz w:val="32"/>
          <w:szCs w:val="32"/>
        </w:rPr>
        <w:t>（一）一般公共预算财政拨款支出决算总体情况</w:t>
      </w:r>
      <w:bookmarkEnd w:id="45"/>
      <w:bookmarkEnd w:id="46"/>
    </w:p>
    <w:p>
      <w:pPr>
        <w:spacing w:line="600" w:lineRule="exact"/>
        <w:ind w:firstLine="640"/>
        <w:rPr>
          <w:rFonts w:ascii="仿宋_GB2312" w:eastAsia="仿宋_GB2312" w:cs="仿宋_GB2312" w:hint="eastAsia"/>
          <w:sz w:val="32"/>
          <w:szCs w:val="32"/>
        </w:rPr>
      </w:pPr>
      <w:r>
        <w:rPr>
          <w:rFonts w:ascii="仿宋_GB2312" w:eastAsia="仿宋_GB2312" w:cs="仿宋_GB2312" w:hint="eastAsia"/>
          <w:sz w:val="32"/>
          <w:szCs w:val="32"/>
        </w:rPr>
        <w:t>2024年度一般公共预算财政拨款支出1082.98万元，占本年支出合计的100%。与2023年度相比，一般公共预算财政拨款支出减少</w:t>
      </w:r>
      <w:r>
        <w:rPr>
          <w:rFonts w:ascii="仿宋_GB2312" w:eastAsia="仿宋_GB2312" w:cs="仿宋_GB2312"/>
          <w:sz w:val="32"/>
          <w:szCs w:val="32"/>
        </w:rPr>
        <w:t>191.66</w:t>
      </w:r>
      <w:r>
        <w:rPr>
          <w:rFonts w:ascii="仿宋_GB2312" w:eastAsia="仿宋_GB2312" w:cs="仿宋_GB2312" w:hint="eastAsia"/>
          <w:sz w:val="32"/>
          <w:szCs w:val="32"/>
        </w:rPr>
        <w:t>万元，下降</w:t>
      </w:r>
      <w:r>
        <w:rPr>
          <w:rFonts w:ascii="仿宋_GB2312" w:eastAsia="仿宋_GB2312" w:cs="仿宋_GB2312"/>
          <w:sz w:val="32"/>
          <w:szCs w:val="32"/>
        </w:rPr>
        <w:t>15.04</w:t>
      </w:r>
      <w:r>
        <w:rPr>
          <w:rFonts w:ascii="仿宋_GB2312" w:eastAsia="仿宋_GB2312" w:cs="仿宋_GB2312" w:hint="eastAsia"/>
          <w:sz w:val="32"/>
          <w:szCs w:val="32"/>
        </w:rPr>
        <w:t>%。原因为该部门是2024年项目较少，导致项目预算收支数降低。</w:t>
      </w:r>
    </w:p>
    <w:p>
      <w:pPr>
        <w:pStyle w:val="17"/>
        <w:ind w:leftChars="0" w:left="0" w:firstLineChars="0" w:firstLine="0"/>
      </w:pPr>
      <w:r>
        <w:drawing>
          <wp:anchor distT="0" distB="0" distL="114298" distR="114298" simplePos="0" relativeHeight="26" behindDoc="0" locked="0" layoutInCell="1" hidden="0" allowOverlap="1">
            <wp:simplePos x="0" y="0"/>
            <wp:positionH relativeFrom="column">
              <wp:posOffset>446405</wp:posOffset>
            </wp:positionH>
            <wp:positionV relativeFrom="paragraph">
              <wp:posOffset>54610</wp:posOffset>
            </wp:positionV>
            <wp:extent cx="4284980" cy="2068195"/>
            <wp:effectExtent l="0" t="0" r="0" b="0"/>
            <wp:wrapTopAndBottom/>
            <wp:docPr id="8" name="Object 6"/>
            <wp:cNvGraphicFramePr>
              <a:graphicFrameLocks noChangeAspect="1"/>
            </wp:cNvGraphicFramePr>
            <a:graphic>
              <a:graphicData uri="http://schemas.openxmlformats.org/drawingml/2006/picture">
                <pic:pic>
                  <pic:nvPicPr>
                    <pic:cNvPr id="10" name="Object 6 10"/>
                    <pic:cNvPicPr/>
                  </pic:nvPicPr>
                  <pic:blipFill>
                    <a:blip r:embed="rId8"/>
                    <a:stretch>
                      <a:fillRect/>
                    </a:stretch>
                  </pic:blipFill>
                  <pic:spPr>
                    <a:xfrm rot="0">
                      <a:off x="0" y="0"/>
                      <a:ext cx="4284980" cy="2068195"/>
                    </a:xfrm>
                    <a:prstGeom prst="rect"/>
                    <a:noFill/>
                    <a:ln w="9525" cmpd="sng" cap="flat">
                      <a:noFill/>
                      <a:prstDash val="solid"/>
                      <a:miter/>
                    </a:ln>
                  </pic:spPr>
                </pic:pic>
              </a:graphicData>
            </a:graphic>
          </wp:anchor>
        </w:drawing>
      </w:r>
      <w:r>
        <w:rPr>
          <w:rFonts w:ascii="Times New Roman" w:eastAsia="仿宋_GB2312" w:cs="仿宋_GB2312" w:hAnsi="Times New Roman" w:hint="eastAsia"/>
          <w:sz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Chars="200" w:firstLine="640"/>
        <w:outlineLvl w:val="2"/>
        <w:rPr>
          <w:rFonts w:eastAsia="楷体_GB2312" w:cs="楷体_GB2312"/>
          <w:b/>
          <w:sz w:val="32"/>
          <w:szCs w:val="32"/>
        </w:rPr>
      </w:pPr>
      <w:bookmarkStart w:id="47" w:name="_Toc15377211"/>
      <w:bookmarkStart w:id="48" w:name="_Toc17108944"/>
      <w:r>
        <w:rPr>
          <w:rFonts w:eastAsia="楷体_GB2312" w:cs="楷体_GB2312" w:hint="eastAsia"/>
          <w:b/>
          <w:sz w:val="32"/>
          <w:szCs w:val="32"/>
        </w:rPr>
        <w:t>（二）一般公共预算财政拨款支出决算结构情况</w:t>
      </w:r>
      <w:bookmarkEnd w:id="47"/>
      <w:bookmarkEnd w:id="48"/>
    </w:p>
    <w:p>
      <w:pPr>
        <w:spacing w:line="600" w:lineRule="exact"/>
        <w:ind w:firstLine="640"/>
        <w:rPr>
          <w:rFonts w:eastAsia="仿宋_GB2312" w:cs="仿宋_GB2312"/>
          <w:b/>
          <w:bCs/>
          <w:sz w:val="32"/>
          <w:szCs w:val="32"/>
        </w:rPr>
      </w:pPr>
      <w:r>
        <w:rPr>
          <w:rFonts w:eastAsia="仿宋_GB2312" w:cs="仿宋_GB2312" w:hint="eastAsia"/>
          <w:sz w:val="32"/>
          <w:szCs w:val="32"/>
        </w:rPr>
        <w:t>2024年一般公共预算财政拨款支出为1082.98万元。其中：一般公共服务支出349.88万元，占比32%；社会保障和就业支出为116.16万元，占比11%；卫生健康支出为41.10万元，占比4%；农林水支出515.37万元，占比48%；住房保障支出为55.66万元，占比5%；节能环保支出4.8，占比0%</w:t>
      </w:r>
      <w:r>
        <w:rPr>
          <w:rFonts w:eastAsia="仿宋_GB2312" w:cs="仿宋_GB2312" w:hint="eastAsia"/>
          <w:b/>
          <w:bCs/>
          <w:sz w:val="32"/>
          <w:szCs w:val="32"/>
        </w:rPr>
        <w:t>。</w:t>
      </w:r>
    </w:p>
    <w:p>
      <w:pPr>
        <w:pStyle w:val="15"/>
      </w:pPr>
      <w:r>
        <w:rPr>
          <w:rFonts w:ascii="仿宋" w:eastAsia="仿宋" w:hint="eastAsia"/>
          <w:bCs/>
          <w:color w:val="000000"/>
          <w:sz w:val="32"/>
          <w:szCs w:val="32"/>
        </w:rPr>
        <w:drawing>
          <wp:inline distT="0" distB="0" distL="114300" distR="114300">
            <wp:extent cx="5079365" cy="3810000"/>
            <wp:effectExtent l="0" t="0" r="0" b="0"/>
            <wp:docPr id="11" name="图表 10"/>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640"/>
        <w:rPr>
          <w:rFonts w:eastAsia="仿宋_GB2312" w:cs="仿宋_GB2312"/>
          <w:sz w:val="32"/>
          <w:szCs w:val="32"/>
        </w:rPr>
      </w:pPr>
      <w:r>
        <w:rPr>
          <w:rFonts w:eastAsia="仿宋_GB2312" w:cs="仿宋_GB2312" w:hint="eastAsia"/>
          <w:sz w:val="32"/>
          <w:szCs w:val="32"/>
        </w:rPr>
        <w:t>（图6：一般公共预算财政拨款支出决算结构）（饼状图）</w:t>
      </w:r>
    </w:p>
    <w:p>
      <w:pPr>
        <w:spacing w:line="600" w:lineRule="exact"/>
        <w:ind w:firstLine="640"/>
        <w:rPr>
          <w:rFonts w:eastAsia="仿宋_GB2312" w:cs="仿宋_GB2312"/>
          <w:sz w:val="32"/>
          <w:szCs w:val="32"/>
        </w:rPr>
      </w:pPr>
    </w:p>
    <w:p>
      <w:pPr>
        <w:spacing w:line="600" w:lineRule="exact"/>
        <w:ind w:firstLineChars="200" w:firstLine="640"/>
        <w:outlineLvl w:val="2"/>
        <w:rPr>
          <w:rFonts w:eastAsia="楷体_GB2312" w:cs="楷体_GB2312"/>
          <w:b/>
          <w:sz w:val="32"/>
          <w:szCs w:val="32"/>
        </w:rPr>
      </w:pPr>
      <w:bookmarkStart w:id="49" w:name="_Toc15377212"/>
      <w:bookmarkStart w:id="50" w:name="_Toc17108945"/>
      <w:r>
        <w:rPr>
          <w:rFonts w:eastAsia="楷体_GB2312" w:cs="楷体_GB2312" w:hint="eastAsia"/>
          <w:b/>
          <w:sz w:val="32"/>
          <w:szCs w:val="32"/>
        </w:rPr>
        <w:t>（三）一般公共预算财政拨款支出决算具体情况</w:t>
      </w:r>
      <w:bookmarkEnd w:id="49"/>
      <w:bookmarkEnd w:id="50"/>
    </w:p>
    <w:p>
      <w:pPr>
        <w:spacing w:line="600" w:lineRule="exact"/>
        <w:ind w:firstLine="640"/>
        <w:rPr>
          <w:rFonts w:eastAsia="仿宋_GB2312" w:cs="仿宋_GB2312"/>
          <w:sz w:val="32"/>
          <w:szCs w:val="32"/>
        </w:rPr>
      </w:pPr>
      <w:bookmarkStart w:id="51" w:name="_Toc15377444"/>
      <w:bookmarkStart w:id="52" w:name="_Toc15378460"/>
      <w:bookmarkStart w:id="53" w:name="_Toc15377213"/>
      <w:r>
        <w:rPr>
          <w:rFonts w:eastAsia="仿宋_GB2312" w:cs="仿宋_GB2312" w:hint="eastAsia"/>
          <w:sz w:val="32"/>
          <w:szCs w:val="32"/>
        </w:rPr>
        <w:t>2024年度一般公共预算财政拨款支出决算数为</w:t>
      </w:r>
      <w:r>
        <w:rPr>
          <w:rFonts w:ascii="仿宋_GB2312" w:eastAsia="仿宋_GB2312" w:cs="仿宋_GB2312" w:hint="eastAsia"/>
          <w:sz w:val="32"/>
          <w:szCs w:val="32"/>
        </w:rPr>
        <w:t>1082.98，</w:t>
      </w:r>
      <w:r>
        <w:rPr>
          <w:rFonts w:eastAsia="仿宋_GB2312" w:cs="仿宋_GB2312" w:hint="eastAsia"/>
          <w:sz w:val="32"/>
          <w:szCs w:val="32"/>
        </w:rPr>
        <w:t>完成预算100%。其中：</w:t>
      </w:r>
      <w:bookmarkEnd w:id="51"/>
      <w:bookmarkEnd w:id="52"/>
      <w:bookmarkEnd w:id="53"/>
    </w:p>
    <w:p>
      <w:pPr>
        <w:spacing w:line="600" w:lineRule="exact"/>
        <w:ind w:firstLine="640"/>
        <w:rPr>
          <w:rFonts w:eastAsia="仿宋_GB2312" w:cs="仿宋_GB2312"/>
          <w:sz w:val="32"/>
          <w:szCs w:val="32"/>
        </w:rPr>
      </w:pPr>
      <w:r>
        <w:rPr>
          <w:rFonts w:eastAsia="仿宋_GB2312" w:cs="仿宋_GB2312" w:hint="eastAsia"/>
          <w:sz w:val="32"/>
          <w:szCs w:val="32"/>
        </w:rPr>
        <w:t>1.</w:t>
        <w:tab/>
        <w:t>一般公共服务支出（类）人大事务（款）行政运营（项）: 支出决算为21.34万元，完成预算100%，决算数等于预算数。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2.</w:t>
        <w:tab/>
        <w:t>一般公共服务支出（类）人大事务（款）人大会议（项）: 支出决算为0.1万元，完成预算100%，决算数等于预算数。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3.</w:t>
        <w:tab/>
        <w:t>一般公共服务支出（类）政府办公室及相关机构事务（款）行政运营（项）:支出决算为235.84万元，完成预算100%，决算数等于预算数。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4.</w:t>
        <w:tab/>
        <w:t>一般公共服务支出（类）党委办公室及相关机构事务（款）行政运营（项）:支出决算为92.60万元，完成预算100%，决算数等于预算数。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5.</w:t>
        <w:tab/>
        <w:t>社会保障和就业（类）行政事业单位养老支出（款）机关事业单位基本养老保险缴费支出（项）: 支出决算为63.52万元，完成预算100%，决算数等于预算数。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6.</w:t>
        <w:tab/>
        <w:t>社会保障和就业（类）行政事业单位养老支出（款）机关事业单位基本职业年金缴费支出（项）:支出决算为31.76万元，完成预算100%，决算数等于预算数。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7.</w:t>
        <w:tab/>
        <w:t>卫生健康支出（类）行政事业单位医疗（款）行政单位医疗（项）:支出决算为21.50万元，完成预算100%，决算数等于预算数。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8.</w:t>
        <w:tab/>
        <w:t>卫生健康支出（类）行政事业单位医疗（款）事业单位医疗（项）:支出决算为12.16万元，完成预算100%，决算数等于预算数。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9.</w:t>
        <w:tab/>
        <w:t>卫生健康支出（类）行政事业单位医疗（款）公务员医疗补助（项）:支出决算为4.99万元，完成预算100%，决算数等于预算数。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10.</w:t>
        <w:tab/>
        <w:t>卫生健康支出（类）行政事业单位医疗（款）其他行政事业单位医疗支出（项）:支出决算为2.45万元，完成预算100%，决算数等于预算数。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11.</w:t>
        <w:tab/>
        <w:t>农林水支出（类）林业和草原（款）事业运行（项）:支出决算为187.30万元，完成预算100%，决算数等于预算数。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12.</w:t>
        <w:tab/>
        <w:t>农林水支出（类）农村综合改革（款）对村民委员会和村党支部的补助（项）:支出决算为157.72万元，完成预算100%，决算数等于预算数。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13.</w:t>
        <w:tab/>
        <w:t>住房保障（类）住房改革支出（款）住房公积金（项）：支出决算为54.66万元，完成预算100%，决算数等于预算数。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14.</w:t>
        <w:tab/>
        <w:t>住房保障（类）住房改革支出（款）购房补贴（项）：支出决算为1万元，完成预算100%，决算数等于预算数。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15.</w:t>
        <w:tab/>
        <w:t>社会保障和就业支出（类）抚恤（款）死亡抚恤（项）：支出决算为20.89万元，完成预算100%，决算数等于预算数。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16.</w:t>
        <w:tab/>
        <w:t>节能环保支出（类）自然生态保护（款）生态保护（项）:支出决算为4.8元，完成预算100%，决算数等于预算数。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17.</w:t>
        <w:tab/>
        <w:t>农林水支出（类）巩固脱贫攻坚成果衔接乡村振兴（款）农村基础设施建设（项）:支出决算为29.22万元，完成预算100%，决算数等于预算数。</w:t>
      </w:r>
    </w:p>
    <w:p>
      <w:pPr>
        <w:spacing w:line="600" w:lineRule="exact"/>
        <w:ind w:firstLine="640"/>
        <w:rPr>
          <w:rFonts w:eastAsia="仿宋_GB2312" w:cs="仿宋_GB2312"/>
          <w:sz w:val="32"/>
          <w:szCs w:val="32"/>
        </w:rPr>
      </w:pPr>
      <w:r>
        <w:rPr>
          <w:rFonts w:eastAsia="仿宋_GB2312" w:cs="仿宋_GB2312" w:hint="eastAsia"/>
          <w:sz w:val="32"/>
          <w:szCs w:val="32"/>
        </w:rPr>
        <w:t>18.</w:t>
        <w:tab/>
        <w:t>农林水支出（类）巩固脱贫攻坚成果衔接乡村振兴（款）其他巩固脱贫攻坚成果衔接乡村振兴（项）:支出决算为141.13万元，完成预算100%，决算数等于预算数</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Char"/>
          <w:rFonts w:ascii="Times New Roman" w:hAnsi="Times New Roman"/>
        </w:rPr>
      </w:pPr>
      <w:bookmarkStart w:id="54" w:name="_Toc15396608"/>
      <w:bookmarkStart w:id="55" w:name="_Toc15377214"/>
      <w:bookmarkStart w:id="56" w:name="_Toc17108946"/>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54"/>
      <w:bookmarkEnd w:id="55"/>
      <w:r>
        <w:rPr>
          <w:rStyle w:val="2Char"/>
          <w:rFonts w:ascii="Times New Roman" w:eastAsia="黑体" w:hAnsi="Times New Roman"/>
          <w:b w:val="0"/>
        </w:rPr>
        <w:tab/>
      </w:r>
      <w:bookmarkEnd w:id="56"/>
    </w:p>
    <w:p>
      <w:pPr>
        <w:spacing w:line="600" w:lineRule="exact"/>
        <w:ind w:firstLine="640"/>
        <w:rPr>
          <w:rFonts w:eastAsia="仿宋_GB2312" w:cs="仿宋_GB2312"/>
          <w:sz w:val="32"/>
          <w:szCs w:val="32"/>
        </w:rPr>
      </w:pPr>
      <w:r>
        <w:rPr>
          <w:rFonts w:eastAsia="仿宋_GB2312" w:cs="仿宋_GB2312" w:hint="eastAsia"/>
          <w:sz w:val="32"/>
          <w:szCs w:val="32"/>
        </w:rPr>
        <w:t>2024年度一般公共预算财政拨款基本支出</w:t>
      </w:r>
      <w:r>
        <w:rPr>
          <w:rFonts w:ascii="仿宋_GB2312" w:eastAsia="仿宋_GB2312" w:cs="仿宋_GB2312" w:hint="eastAsia"/>
          <w:sz w:val="32"/>
          <w:szCs w:val="32"/>
        </w:rPr>
        <w:t>729.13万</w:t>
      </w:r>
      <w:r>
        <w:rPr>
          <w:rFonts w:eastAsia="仿宋_GB2312" w:cs="仿宋_GB2312" w:hint="eastAsia"/>
          <w:sz w:val="32"/>
          <w:szCs w:val="32"/>
        </w:rPr>
        <w:t>元，其中：</w:t>
      </w:r>
    </w:p>
    <w:p>
      <w:pPr>
        <w:spacing w:line="600" w:lineRule="exact"/>
        <w:ind w:firstLine="640"/>
        <w:rPr>
          <w:rFonts w:eastAsia="仿宋_GB2312" w:cs="仿宋_GB2312"/>
          <w:sz w:val="32"/>
          <w:szCs w:val="32"/>
        </w:rPr>
      </w:pPr>
      <w:r>
        <w:rPr>
          <w:rFonts w:eastAsia="仿宋_GB2312" w:cs="仿宋_GB2312" w:hint="eastAsia"/>
          <w:sz w:val="32"/>
          <w:szCs w:val="32"/>
        </w:rPr>
        <w:t>人员经费</w:t>
      </w:r>
      <w:r>
        <w:rPr>
          <w:rFonts w:ascii="仿宋_GB2312" w:eastAsia="仿宋_GB2312" w:cs="仿宋_GB2312" w:hint="eastAsia"/>
          <w:sz w:val="32"/>
          <w:szCs w:val="32"/>
        </w:rPr>
        <w:t>702.32万</w:t>
      </w:r>
      <w:r>
        <w:rPr>
          <w:rFonts w:eastAsia="仿宋_GB2312" w:cs="仿宋_GB2312" w:hint="eastAsia"/>
          <w:sz w:val="32"/>
          <w:szCs w:val="32"/>
        </w:rPr>
        <w:t>元，主要包括：基本工资123.53万元、津贴补贴166.42万元、奖金171.66万元、绩效工资32.67万元、机关事业单位基本养老保险缴费63.52万元、职业年金缴费31.76万元、其他社会保障缴费10.87万元、住房公积金54.66万元、职工基本医疗保险缴费33.66万元、公务员医疗补助4.99万元，生活补助8.58万元。</w:t>
        <w:br/>
        <w:t>　　公用经费</w:t>
      </w:r>
      <w:r>
        <w:rPr>
          <w:rFonts w:ascii="仿宋_GB2312" w:eastAsia="仿宋_GB2312" w:cs="仿宋_GB2312" w:hint="eastAsia"/>
          <w:sz w:val="32"/>
          <w:szCs w:val="32"/>
        </w:rPr>
        <w:t>26.81万</w:t>
      </w:r>
      <w:r>
        <w:rPr>
          <w:rFonts w:eastAsia="仿宋_GB2312" w:cs="仿宋_GB2312" w:hint="eastAsia"/>
          <w:sz w:val="32"/>
          <w:szCs w:val="32"/>
        </w:rPr>
        <w:t>元，主要包括：办公费3.51万元、印刷费3.70万元、水费0.50万元、电费1.30万元、邮电费1.14万元、差旅费4.89万元、劳务费2.89万元、福利费0.50万元、公务车运行维护费8.37万元。</w:t>
      </w:r>
    </w:p>
    <w:p>
      <w:pPr>
        <w:spacing w:line="600" w:lineRule="exact"/>
        <w:ind w:firstLine="640"/>
        <w:rPr>
          <w:rFonts w:eastAsia="仿宋_GB2312" w:cs="仿宋_GB2312"/>
          <w:sz w:val="32"/>
          <w:szCs w:val="32"/>
        </w:rPr>
      </w:pPr>
    </w:p>
    <w:p>
      <w:pPr>
        <w:spacing w:line="600" w:lineRule="exact"/>
        <w:ind w:firstLine="640"/>
        <w:outlineLvl w:val="1"/>
        <w:rPr>
          <w:rStyle w:val="2Char"/>
          <w:rFonts w:ascii="Times New Roman" w:eastAsia="黑体" w:hAnsi="Times New Roman"/>
          <w:b w:val="0"/>
        </w:rPr>
      </w:pPr>
      <w:bookmarkStart w:id="57" w:name="_Toc15396609"/>
      <w:bookmarkStart w:id="58" w:name="_Toc15377215"/>
      <w:bookmarkStart w:id="59" w:name="_Toc17108947"/>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57"/>
      <w:bookmarkEnd w:id="58"/>
      <w:bookmarkEnd w:id="59"/>
    </w:p>
    <w:p>
      <w:pPr>
        <w:spacing w:line="600" w:lineRule="exact"/>
        <w:ind w:firstLineChars="200" w:firstLine="640"/>
        <w:outlineLvl w:val="2"/>
        <w:rPr>
          <w:rFonts w:eastAsia="楷体_GB2312" w:cs="楷体_GB2312"/>
          <w:b/>
          <w:sz w:val="32"/>
          <w:szCs w:val="32"/>
        </w:rPr>
      </w:pPr>
      <w:bookmarkStart w:id="60" w:name="_Toc15377216"/>
      <w:bookmarkStart w:id="61" w:name="_Toc17108948"/>
      <w:r>
        <w:rPr>
          <w:rFonts w:eastAsia="楷体_GB2312" w:cs="楷体_GB2312" w:hint="eastAsia"/>
          <w:b/>
          <w:sz w:val="32"/>
          <w:szCs w:val="32"/>
        </w:rPr>
        <w:t>（一）“三公”经费财政拨款支出决算总体情况说明</w:t>
      </w:r>
      <w:bookmarkEnd w:id="60"/>
      <w:bookmarkEnd w:id="61"/>
    </w:p>
    <w:p>
      <w:pPr>
        <w:spacing w:line="600" w:lineRule="exact"/>
        <w:ind w:firstLine="640"/>
        <w:rPr>
          <w:rFonts w:eastAsia="仿宋_GB2312" w:cs="仿宋_GB2312"/>
          <w:sz w:val="32"/>
          <w:szCs w:val="32"/>
        </w:rPr>
      </w:pPr>
      <w:r>
        <w:rPr>
          <w:rFonts w:eastAsia="仿宋_GB2312" w:cs="仿宋_GB2312" w:hint="eastAsia"/>
          <w:sz w:val="32"/>
          <w:szCs w:val="32"/>
        </w:rPr>
        <w:t>2024年度“三公”经费财政拨款支出决算为</w:t>
      </w:r>
      <w:r>
        <w:rPr>
          <w:rFonts w:ascii="仿宋_GB2312" w:eastAsia="仿宋_GB2312" w:cs="仿宋_GB2312" w:hint="eastAsia"/>
          <w:sz w:val="32"/>
          <w:szCs w:val="32"/>
        </w:rPr>
        <w:t>8.37万元，完成预算100%，</w:t>
      </w:r>
      <w:r>
        <w:rPr>
          <w:rFonts w:eastAsia="仿宋_GB2312" w:cs="仿宋_GB2312" w:hint="eastAsia"/>
          <w:sz w:val="32"/>
          <w:szCs w:val="32"/>
        </w:rPr>
        <w:t>较上年度减少0.08万元，下降0.95%。决算数等于预算数。</w:t>
      </w:r>
    </w:p>
    <w:p>
      <w:pPr>
        <w:spacing w:line="600" w:lineRule="exact"/>
        <w:ind w:firstLineChars="200" w:firstLine="640"/>
        <w:outlineLvl w:val="2"/>
        <w:rPr>
          <w:rFonts w:eastAsia="楷体_GB2312" w:cs="楷体_GB2312"/>
          <w:b/>
          <w:sz w:val="32"/>
          <w:szCs w:val="32"/>
        </w:rPr>
      </w:pPr>
      <w:bookmarkStart w:id="62" w:name="_Toc15377217"/>
      <w:bookmarkStart w:id="63" w:name="_Toc17108949"/>
      <w:r>
        <w:rPr>
          <w:rFonts w:eastAsia="楷体_GB2312" w:cs="楷体_GB2312" w:hint="eastAsia"/>
          <w:b/>
          <w:sz w:val="32"/>
          <w:szCs w:val="32"/>
        </w:rPr>
        <w:t>（二）“三公”经费财政拨款支出决算具体情况说明</w:t>
      </w:r>
      <w:bookmarkEnd w:id="62"/>
      <w:bookmarkEnd w:id="63"/>
    </w:p>
    <w:p>
      <w:pPr>
        <w:spacing w:line="600" w:lineRule="exact"/>
        <w:ind w:firstLine="640"/>
        <w:rPr>
          <w:rFonts w:ascii="仿宋_GB2312" w:eastAsia="仿宋_GB2312" w:cs="仿宋_GB2312" w:hint="eastAsia"/>
          <w:sz w:val="32"/>
          <w:szCs w:val="32"/>
        </w:rPr>
      </w:pPr>
      <w:r>
        <w:rPr>
          <w:rFonts w:hint="eastAsia"/>
        </w:rPr>
        <w:drawing>
          <wp:anchor distT="0" distB="0" distL="114298" distR="114298" simplePos="0" relativeHeight="28" behindDoc="0" locked="0" layoutInCell="1" hidden="0" allowOverlap="1">
            <wp:simplePos x="0" y="0"/>
            <wp:positionH relativeFrom="column">
              <wp:posOffset>608330</wp:posOffset>
            </wp:positionH>
            <wp:positionV relativeFrom="paragraph">
              <wp:posOffset>1793875</wp:posOffset>
            </wp:positionV>
            <wp:extent cx="4220845" cy="2280285"/>
            <wp:effectExtent l="0" t="0" r="0" b="0"/>
            <wp:wrapTopAndBottom/>
            <wp:docPr id="12" name="Object 8"/>
            <wp:cNvGraphicFramePr>
              <a:graphicFrameLocks noChangeAspect="1"/>
            </wp:cNvGraphicFramePr>
            <a:graphic>
              <a:graphicData uri="http://schemas.openxmlformats.org/drawingml/2006/picture">
                <pic:pic>
                  <pic:nvPicPr>
                    <pic:cNvPr id="14" name="Object 8 14"/>
                    <pic:cNvPicPr/>
                  </pic:nvPicPr>
                  <pic:blipFill>
                    <a:blip r:embed="rId10"/>
                    <a:stretch>
                      <a:fillRect/>
                    </a:stretch>
                  </pic:blipFill>
                  <pic:spPr>
                    <a:xfrm rot="0">
                      <a:off x="0" y="0"/>
                      <a:ext cx="4220845" cy="2280285"/>
                    </a:xfrm>
                    <a:prstGeom prst="rect"/>
                    <a:noFill/>
                    <a:ln w="9525" cmpd="sng" cap="flat">
                      <a:noFill/>
                      <a:prstDash val="solid"/>
                      <a:miter/>
                    </a:ln>
                  </pic:spPr>
                </pic:pic>
              </a:graphicData>
            </a:graphic>
          </wp:anchor>
        </w:drawing>
      </w:r>
      <w:r>
        <w:rPr>
          <w:rFonts w:ascii="仿宋_GB2312" w:eastAsia="仿宋_GB2312" w:cs="仿宋_GB2312" w:hint="eastAsia"/>
          <w:sz w:val="32"/>
          <w:szCs w:val="32"/>
        </w:rPr>
        <w:t>2024年度“三公”经费财政拨款支出决算中，因公出国（境）费支出决算0万元，占0%；公务用车购置及运行维护费支出决算8.37万元，占100%；公务接待费支出决算0万元，占0%。具体情况如下：</w:t>
      </w:r>
    </w:p>
    <w:p>
      <w:pPr>
        <w:spacing w:line="600" w:lineRule="exact"/>
        <w:ind w:firstLine="640"/>
        <w:rPr>
          <w:rFonts w:eastAsia="仿宋_GB2312" w:cs="仿宋_GB2312"/>
          <w:sz w:val="32"/>
          <w:szCs w:val="32"/>
        </w:rPr>
      </w:pPr>
      <w:r>
        <w:rPr>
          <w:rFonts w:eastAsia="仿宋_GB2312" w:cs="仿宋_GB2312" w:hint="eastAsia"/>
          <w:sz w:val="32"/>
          <w:szCs w:val="32"/>
        </w:rPr>
        <w:t>（图7：“三公”经费财政拨款支出结构）（饼状图）</w:t>
      </w:r>
    </w:p>
    <w:p>
      <w:pPr>
        <w:spacing w:line="600" w:lineRule="exact"/>
        <w:ind w:firstLine="640"/>
        <w:rPr>
          <w:rFonts w:eastAsia="仿宋_GB2312" w:cs="仿宋_GB2312"/>
          <w:sz w:val="32"/>
          <w:szCs w:val="32"/>
        </w:rPr>
      </w:pPr>
      <w:r>
        <w:rPr>
          <w:rFonts w:eastAsia="仿宋_GB2312" w:cs="仿宋_GB2312" w:hint="eastAsia"/>
          <w:b/>
          <w:bCs/>
          <w:sz w:val="32"/>
          <w:szCs w:val="32"/>
        </w:rPr>
        <w:t>1.因公出国（境）经费支出0万元，完成预算0%。</w:t>
      </w:r>
      <w:r>
        <w:rPr>
          <w:rFonts w:eastAsia="仿宋_GB2312" w:cs="仿宋_GB2312" w:hint="eastAsia"/>
          <w:sz w:val="32"/>
          <w:szCs w:val="32"/>
        </w:rPr>
        <w:t>全年安排因公出国（境）团</w:t>
      </w:r>
      <w:r>
        <w:rPr>
          <w:rFonts w:ascii="仿宋_GB2312" w:eastAsia="仿宋_GB2312" w:cs="仿宋_GB2312" w:hint="eastAsia"/>
          <w:sz w:val="32"/>
          <w:szCs w:val="32"/>
        </w:rPr>
        <w:t>组0</w:t>
      </w:r>
      <w:r>
        <w:rPr>
          <w:rFonts w:eastAsia="仿宋_GB2312" w:cs="仿宋_GB2312" w:hint="eastAsia"/>
          <w:sz w:val="32"/>
          <w:szCs w:val="32"/>
        </w:rPr>
        <w:t>次，出国（境）</w:t>
      </w:r>
      <w:r>
        <w:rPr>
          <w:rFonts w:ascii="仿宋_GB2312" w:eastAsia="仿宋_GB2312" w:cs="仿宋_GB2312" w:hint="eastAsia"/>
          <w:sz w:val="32"/>
          <w:szCs w:val="32"/>
        </w:rPr>
        <w:t>0人</w:t>
      </w:r>
      <w:r>
        <w:rPr>
          <w:rFonts w:eastAsia="仿宋_GB2312" w:cs="仿宋_GB2312" w:hint="eastAsia"/>
          <w:sz w:val="32"/>
          <w:szCs w:val="32"/>
        </w:rPr>
        <w:t>。本部门无因公出国经费。</w:t>
      </w:r>
    </w:p>
    <w:p>
      <w:pPr>
        <w:spacing w:line="600" w:lineRule="exact"/>
        <w:ind w:firstLine="640"/>
        <w:rPr>
          <w:rFonts w:eastAsia="仿宋_GB2312" w:cs="仿宋_GB2312"/>
          <w:sz w:val="32"/>
          <w:szCs w:val="32"/>
        </w:rPr>
      </w:pPr>
      <w:r>
        <w:rPr>
          <w:rFonts w:eastAsia="仿宋_GB2312" w:cs="仿宋_GB2312" w:hint="eastAsia"/>
          <w:b/>
          <w:bCs/>
          <w:sz w:val="32"/>
          <w:szCs w:val="32"/>
        </w:rPr>
        <w:t>2.公务用车购置及运行维护费支出</w:t>
      </w:r>
      <w:r>
        <w:rPr>
          <w:rFonts w:ascii="仿宋_GB2312" w:eastAsia="仿宋_GB2312" w:cs="仿宋_GB2312" w:hint="eastAsia"/>
          <w:b/>
          <w:bCs/>
          <w:sz w:val="32"/>
          <w:szCs w:val="32"/>
        </w:rPr>
        <w:t>8.37万</w:t>
      </w:r>
      <w:r>
        <w:rPr>
          <w:rFonts w:eastAsia="仿宋_GB2312" w:cs="仿宋_GB2312" w:hint="eastAsia"/>
          <w:b/>
          <w:bCs/>
          <w:sz w:val="32"/>
          <w:szCs w:val="32"/>
        </w:rPr>
        <w:t>元，完成预算100%。</w:t>
      </w:r>
      <w:r>
        <w:rPr>
          <w:rFonts w:eastAsia="仿宋_GB2312" w:cs="仿宋_GB2312" w:hint="eastAsia"/>
          <w:sz w:val="32"/>
          <w:szCs w:val="32"/>
        </w:rPr>
        <w:t>公务用车购置及运行维护费支出决算比2023年度减少0.08万元，下降0.95%。主要原因一是我乡合理安排公务用车使用和维护，缩减经费支出。</w:t>
      </w:r>
    </w:p>
    <w:p>
      <w:pPr>
        <w:spacing w:line="600" w:lineRule="exact"/>
        <w:ind w:firstLine="640"/>
        <w:rPr>
          <w:rFonts w:eastAsia="仿宋_GB2312" w:cs="仿宋_GB2312"/>
          <w:sz w:val="32"/>
          <w:szCs w:val="32"/>
        </w:rPr>
      </w:pPr>
      <w:r>
        <w:rPr>
          <w:rFonts w:eastAsia="仿宋_GB2312" w:cs="仿宋_GB2312" w:hint="eastAsia"/>
          <w:sz w:val="32"/>
          <w:szCs w:val="32"/>
        </w:rPr>
        <w:t>其中：公务用车购置支</w:t>
      </w:r>
      <w:r>
        <w:rPr>
          <w:rFonts w:ascii="仿宋_GB2312" w:eastAsia="仿宋_GB2312" w:cs="仿宋_GB2312" w:hint="eastAsia"/>
          <w:sz w:val="32"/>
          <w:szCs w:val="32"/>
        </w:rPr>
        <w:t>出0</w:t>
      </w:r>
      <w:r>
        <w:rPr>
          <w:rFonts w:eastAsia="仿宋_GB2312" w:cs="仿宋_GB2312" w:hint="eastAsia"/>
          <w:sz w:val="32"/>
          <w:szCs w:val="32"/>
        </w:rPr>
        <w:t>万元。全年按规定更新购置公务用车0辆。</w:t>
      </w:r>
    </w:p>
    <w:p>
      <w:pPr>
        <w:spacing w:line="600" w:lineRule="exact"/>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cs="仿宋_GB2312" w:hint="eastAsia"/>
          <w:sz w:val="32"/>
          <w:szCs w:val="32"/>
        </w:rPr>
        <w:t>出8.37</w:t>
      </w:r>
      <w:r>
        <w:rPr>
          <w:rFonts w:eastAsia="仿宋_GB2312" w:cs="仿宋_GB2312" w:hint="eastAsia"/>
          <w:sz w:val="32"/>
          <w:szCs w:val="32"/>
        </w:rPr>
        <w:t>万元。主要用于我乡4个公务用车所需的公务用车燃料费、维修费、过路过桥费、保险费等支出。</w:t>
      </w:r>
    </w:p>
    <w:p>
      <w:pPr>
        <w:spacing w:line="600" w:lineRule="exact"/>
        <w:ind w:firstLine="640"/>
        <w:rPr>
          <w:rFonts w:eastAsia="仿宋_GB2312" w:cs="仿宋_GB2312"/>
          <w:sz w:val="32"/>
          <w:szCs w:val="32"/>
        </w:rPr>
      </w:pPr>
      <w:r>
        <w:rPr>
          <w:rFonts w:eastAsia="仿宋_GB2312" w:cs="仿宋_GB2312" w:hint="eastAsia"/>
          <w:b/>
          <w:bCs/>
          <w:sz w:val="32"/>
          <w:szCs w:val="32"/>
        </w:rPr>
        <w:t>3.公务接待费支出</w:t>
      </w:r>
      <w:r>
        <w:rPr>
          <w:rFonts w:ascii="仿宋_GB2312" w:eastAsia="仿宋_GB2312" w:cs="仿宋_GB2312" w:hint="eastAsia"/>
          <w:b/>
          <w:bCs/>
          <w:sz w:val="32"/>
          <w:szCs w:val="32"/>
        </w:rPr>
        <w:t>0万</w:t>
      </w:r>
      <w:r>
        <w:rPr>
          <w:rFonts w:eastAsia="仿宋_GB2312" w:cs="仿宋_GB2312" w:hint="eastAsia"/>
          <w:b/>
          <w:bCs/>
          <w:sz w:val="32"/>
          <w:szCs w:val="32"/>
        </w:rPr>
        <w:t>元，完成预算0%。</w:t>
      </w:r>
      <w:r>
        <w:rPr>
          <w:rFonts w:eastAsia="仿宋_GB2312" w:cs="仿宋_GB2312" w:hint="eastAsia"/>
          <w:sz w:val="32"/>
          <w:szCs w:val="32"/>
        </w:rPr>
        <w:t>本部门无公务接待费。</w:t>
      </w:r>
    </w:p>
    <w:p>
      <w:pPr>
        <w:spacing w:line="600" w:lineRule="exact"/>
        <w:ind w:firstLine="640"/>
        <w:rPr>
          <w:rFonts w:eastAsia="仿宋_GB2312" w:cs="仿宋_GB2312"/>
          <w:sz w:val="32"/>
          <w:szCs w:val="32"/>
        </w:rPr>
      </w:pPr>
      <w:bookmarkStart w:id="64" w:name="_Toc15396610"/>
      <w:bookmarkStart w:id="65" w:name="_Toc15377218"/>
    </w:p>
    <w:p>
      <w:pPr>
        <w:spacing w:line="600" w:lineRule="exact"/>
        <w:ind w:firstLine="640"/>
        <w:outlineLvl w:val="1"/>
        <w:rPr>
          <w:rStyle w:val="2Char"/>
          <w:rFonts w:ascii="Times New Roman" w:eastAsia="黑体" w:hAnsi="Times New Roman"/>
        </w:rPr>
      </w:pPr>
      <w:bookmarkStart w:id="66" w:name="_Toc17108950"/>
      <w:r>
        <w:rPr>
          <w:rFonts w:eastAsia="黑体" w:hint="eastAsia"/>
          <w:sz w:val="32"/>
          <w:szCs w:val="32"/>
        </w:rPr>
        <w:t>八、</w:t>
      </w:r>
      <w:r>
        <w:rPr>
          <w:rStyle w:val="2Char"/>
          <w:rFonts w:ascii="Times New Roman" w:eastAsia="黑体" w:hAnsi="Times New Roman" w:hint="eastAsia"/>
          <w:b w:val="0"/>
        </w:rPr>
        <w:t>政府性基金预算支出决算情况说明</w:t>
      </w:r>
      <w:bookmarkEnd w:id="64"/>
      <w:bookmarkEnd w:id="65"/>
      <w:bookmarkEnd w:id="66"/>
    </w:p>
    <w:p>
      <w:pPr>
        <w:spacing w:line="600" w:lineRule="exact"/>
        <w:ind w:firstLine="640"/>
        <w:rPr>
          <w:rFonts w:eastAsia="仿宋_GB2312" w:cs="仿宋_GB2312"/>
          <w:b/>
          <w:bCs/>
          <w:sz w:val="32"/>
          <w:szCs w:val="32"/>
        </w:rPr>
      </w:pPr>
      <w:r>
        <w:rPr>
          <w:rFonts w:ascii="仿宋_GB2312" w:eastAsia="仿宋_GB2312" w:cs="仿宋_GB2312" w:hint="eastAsia"/>
          <w:sz w:val="32"/>
          <w:szCs w:val="32"/>
        </w:rPr>
        <w:t>2024年度政府性基金预算财政拨款支出0万元。</w:t>
      </w:r>
    </w:p>
    <w:p>
      <w:pPr>
        <w:spacing w:line="600" w:lineRule="exact"/>
        <w:ind w:firstLine="640"/>
        <w:rPr>
          <w:rFonts w:eastAsia="仿宋_GB2312" w:cs="仿宋_GB2312"/>
          <w:sz w:val="32"/>
          <w:szCs w:val="32"/>
        </w:rPr>
      </w:pPr>
    </w:p>
    <w:p>
      <w:pPr>
        <w:spacing w:line="600" w:lineRule="exact"/>
        <w:ind w:left="630"/>
        <w:outlineLvl w:val="1"/>
        <w:rPr>
          <w:rStyle w:val="2Char"/>
          <w:rFonts w:ascii="Times New Roman" w:eastAsia="黑体" w:hAnsi="Times New Roman"/>
          <w:b w:val="0"/>
        </w:rPr>
      </w:pPr>
      <w:bookmarkStart w:id="67" w:name="_Toc15396611"/>
      <w:bookmarkStart w:id="68" w:name="_Toc15377219"/>
      <w:bookmarkStart w:id="69" w:name="_Toc17108951"/>
      <w:r>
        <w:rPr>
          <w:rStyle w:val="2Char"/>
          <w:rFonts w:ascii="Times New Roman" w:eastAsia="黑体" w:hAnsi="Times New Roman" w:hint="eastAsia"/>
          <w:b w:val="0"/>
        </w:rPr>
        <w:t>九、国有资本经营预算支出决算情况说明</w:t>
      </w:r>
      <w:bookmarkEnd w:id="67"/>
      <w:bookmarkEnd w:id="68"/>
      <w:bookmarkEnd w:id="69"/>
    </w:p>
    <w:p>
      <w:pPr>
        <w:spacing w:line="600" w:lineRule="exact"/>
        <w:ind w:firstLine="640"/>
        <w:rPr>
          <w:rFonts w:eastAsia="仿宋_GB2312" w:cs="仿宋_GB2312"/>
          <w:sz w:val="32"/>
          <w:szCs w:val="32"/>
        </w:rPr>
      </w:pPr>
      <w:r>
        <w:rPr>
          <w:rFonts w:eastAsia="仿宋_GB2312" w:cs="仿宋_GB2312" w:hint="eastAsia"/>
          <w:sz w:val="32"/>
          <w:szCs w:val="32"/>
        </w:rPr>
        <w:t>2024年度国有资本经营预算财政拨款支出</w:t>
      </w:r>
      <w:r>
        <w:rPr>
          <w:rFonts w:ascii="仿宋_GB2312" w:eastAsia="仿宋_GB2312" w:cs="仿宋_GB2312" w:hint="eastAsia"/>
          <w:sz w:val="32"/>
          <w:szCs w:val="32"/>
        </w:rPr>
        <w:t>0万元。</w:t>
      </w:r>
    </w:p>
    <w:p>
      <w:pPr>
        <w:spacing w:line="600" w:lineRule="exact"/>
        <w:ind w:firstLine="640"/>
        <w:rPr>
          <w:rFonts w:eastAsia="仿宋_GB2312" w:cs="仿宋_GB2312"/>
          <w:sz w:val="32"/>
          <w:szCs w:val="32"/>
        </w:rPr>
      </w:pPr>
    </w:p>
    <w:p>
      <w:pPr>
        <w:spacing w:line="600" w:lineRule="exact"/>
        <w:ind w:left="630"/>
        <w:outlineLvl w:val="1"/>
        <w:rPr>
          <w:rStyle w:val="2Char"/>
          <w:rFonts w:ascii="Times New Roman" w:eastAsia="黑体" w:hAnsi="Times New Roman"/>
          <w:b w:val="0"/>
        </w:rPr>
      </w:pPr>
      <w:bookmarkStart w:id="70" w:name="_Toc15396612"/>
      <w:bookmarkStart w:id="71" w:name="_Toc15377221"/>
      <w:bookmarkStart w:id="72" w:name="_Toc17108952"/>
      <w:r>
        <w:rPr>
          <w:rStyle w:val="2Char"/>
          <w:rFonts w:ascii="Times New Roman" w:eastAsia="黑体" w:hAnsi="Times New Roman" w:hint="eastAsia"/>
          <w:b w:val="0"/>
        </w:rPr>
        <w:t>十、其他重要事项的情况说明</w:t>
      </w:r>
      <w:bookmarkEnd w:id="70"/>
      <w:bookmarkEnd w:id="71"/>
      <w:bookmarkEnd w:id="72"/>
    </w:p>
    <w:p>
      <w:pPr>
        <w:spacing w:line="600" w:lineRule="exact"/>
        <w:ind w:firstLineChars="200" w:firstLine="640"/>
        <w:outlineLvl w:val="2"/>
        <w:rPr>
          <w:rFonts w:eastAsia="楷体_GB2312" w:cs="楷体_GB2312"/>
          <w:b/>
          <w:sz w:val="32"/>
          <w:szCs w:val="32"/>
        </w:rPr>
      </w:pPr>
      <w:bookmarkStart w:id="73" w:name="_Toc15377222"/>
      <w:bookmarkStart w:id="74" w:name="_Toc17108953"/>
      <w:r>
        <w:rPr>
          <w:rFonts w:eastAsia="楷体_GB2312" w:cs="楷体_GB2312" w:hint="eastAsia"/>
          <w:b/>
          <w:sz w:val="32"/>
          <w:szCs w:val="32"/>
        </w:rPr>
        <w:t>（一）机关运行经费支出情况</w:t>
      </w:r>
      <w:bookmarkEnd w:id="73"/>
      <w:bookmarkEnd w:id="74"/>
    </w:p>
    <w:p>
      <w:pPr>
        <w:spacing w:line="600" w:lineRule="exact"/>
        <w:ind w:firstLine="640"/>
        <w:rPr>
          <w:rFonts w:eastAsia="仿宋_GB2312" w:cs="仿宋_GB2312"/>
          <w:sz w:val="32"/>
          <w:szCs w:val="32"/>
        </w:rPr>
      </w:pPr>
      <w:r>
        <w:rPr>
          <w:rFonts w:eastAsia="仿宋_GB2312" w:cs="仿宋_GB2312" w:hint="eastAsia"/>
          <w:sz w:val="32"/>
          <w:szCs w:val="32"/>
        </w:rPr>
        <w:t>2024年度</w:t>
      </w:r>
      <w:r>
        <w:rPr>
          <w:rFonts w:ascii="仿宋_GB2312" w:eastAsia="仿宋_GB2312" w:cs="仿宋_GB2312" w:hint="eastAsia"/>
          <w:sz w:val="32"/>
          <w:szCs w:val="32"/>
        </w:rPr>
        <w:t>，金川县独松乡人民政府机关运行经费支出18.37万</w:t>
      </w:r>
      <w:r>
        <w:rPr>
          <w:rFonts w:eastAsia="仿宋_GB2312" w:cs="仿宋_GB2312" w:hint="eastAsia"/>
          <w:sz w:val="32"/>
          <w:szCs w:val="32"/>
        </w:rPr>
        <w:t>元，比2023年度增加0.07万元，增长0.38%。主要原因是我乡机关运行经费运用合理，较上年度无显著变化。</w:t>
      </w:r>
    </w:p>
    <w:p>
      <w:pPr>
        <w:spacing w:line="600" w:lineRule="exact"/>
        <w:ind w:firstLine="640"/>
        <w:rPr>
          <w:rFonts w:eastAsia="仿宋_GB2312" w:cs="仿宋_GB2312"/>
          <w:sz w:val="32"/>
          <w:szCs w:val="32"/>
        </w:rPr>
      </w:pPr>
    </w:p>
    <w:p>
      <w:pPr>
        <w:spacing w:line="600" w:lineRule="exact"/>
        <w:ind w:firstLineChars="200" w:firstLine="640"/>
        <w:outlineLvl w:val="2"/>
        <w:rPr>
          <w:rFonts w:eastAsia="楷体_GB2312" w:cs="楷体_GB2312"/>
          <w:b/>
          <w:sz w:val="32"/>
          <w:szCs w:val="32"/>
        </w:rPr>
      </w:pPr>
      <w:bookmarkStart w:id="75" w:name="_Toc15377223"/>
      <w:bookmarkStart w:id="76" w:name="_Toc17108954"/>
      <w:r>
        <w:rPr>
          <w:rFonts w:eastAsia="楷体_GB2312" w:cs="楷体_GB2312" w:hint="eastAsia"/>
          <w:b/>
          <w:sz w:val="32"/>
          <w:szCs w:val="32"/>
        </w:rPr>
        <w:t>（二）政府采购支出情况</w:t>
      </w:r>
      <w:bookmarkEnd w:id="75"/>
      <w:bookmarkEnd w:id="76"/>
    </w:p>
    <w:p>
      <w:pPr>
        <w:spacing w:line="600" w:lineRule="exact"/>
        <w:ind w:firstLine="640"/>
        <w:rPr>
          <w:rFonts w:ascii="仿宋_GB2312" w:eastAsia="仿宋_GB2312" w:cs="仿宋_GB2312" w:hint="eastAsia"/>
          <w:sz w:val="32"/>
          <w:szCs w:val="32"/>
        </w:rPr>
      </w:pPr>
      <w:r>
        <w:rPr>
          <w:rFonts w:ascii="仿宋_GB2312" w:eastAsia="仿宋_GB2312" w:cs="仿宋_GB2312" w:hint="eastAsia"/>
          <w:sz w:val="32"/>
          <w:szCs w:val="32"/>
        </w:rPr>
        <w:t>2024年度，金川县独松乡人民政府政府采购支出总额4.8万元，其中：政府采购货物支出4.8万元、政府采购工程支出0万元、政府采购服务支出0万元。主要用于……（具体工作）。授予中小企业合同金额4.8万元，占政府采购支出总额的100%，其中：授予小微企业合同金额4.8万元，占政府采购支出总额的100%。</w:t>
      </w:r>
    </w:p>
    <w:p>
      <w:pPr>
        <w:spacing w:line="600" w:lineRule="exact"/>
        <w:ind w:firstLine="640"/>
        <w:rPr>
          <w:rFonts w:eastAsia="仿宋_GB2312" w:cs="仿宋_GB2312"/>
          <w:sz w:val="32"/>
          <w:szCs w:val="32"/>
        </w:rPr>
      </w:pPr>
    </w:p>
    <w:p>
      <w:pPr>
        <w:spacing w:line="600" w:lineRule="exact"/>
        <w:ind w:firstLineChars="200" w:firstLine="640"/>
        <w:outlineLvl w:val="2"/>
        <w:rPr>
          <w:rFonts w:eastAsia="楷体_GB2312" w:cs="楷体_GB2312"/>
          <w:b/>
          <w:sz w:val="32"/>
          <w:szCs w:val="32"/>
        </w:rPr>
      </w:pPr>
      <w:bookmarkStart w:id="77" w:name="_Toc15377224"/>
      <w:bookmarkStart w:id="78" w:name="_Toc17108955"/>
      <w:r>
        <w:rPr>
          <w:rFonts w:eastAsia="楷体_GB2312" w:cs="楷体_GB2312" w:hint="eastAsia"/>
          <w:b/>
          <w:sz w:val="32"/>
          <w:szCs w:val="32"/>
        </w:rPr>
        <w:t>（三）国有资产占有使用情况</w:t>
      </w:r>
      <w:bookmarkEnd w:id="77"/>
      <w:bookmarkEnd w:id="78"/>
    </w:p>
    <w:p>
      <w:pPr>
        <w:spacing w:line="600" w:lineRule="exact"/>
        <w:ind w:firstLine="640"/>
        <w:rPr>
          <w:rFonts w:eastAsia="仿宋_GB2312" w:cs="仿宋_GB2312"/>
          <w:sz w:val="32"/>
          <w:szCs w:val="32"/>
        </w:rPr>
      </w:pPr>
      <w:r>
        <w:rPr>
          <w:rFonts w:ascii="仿宋_GB2312" w:eastAsia="仿宋_GB2312" w:cs="仿宋_GB2312" w:hint="eastAsia"/>
          <w:sz w:val="32"/>
          <w:szCs w:val="32"/>
        </w:rPr>
        <w:t>截至2024年12月31日，金川县独松乡人民政府共有车辆4辆，其中：主要负责人用车0辆、机要通信用车0辆、应急保障用车3辆、其他用车1辆，其他用车主要是用消防防火。单价100万元（含）以上设备（不含车辆）0台（套）</w:t>
      </w:r>
      <w:r>
        <w:rPr>
          <w:rFonts w:eastAsia="仿宋_GB2312" w:cs="仿宋_GB2312" w:hint="eastAsia"/>
          <w:sz w:val="32"/>
          <w:szCs w:val="32"/>
        </w:rPr>
        <w:t>。</w:t>
      </w:r>
    </w:p>
    <w:p>
      <w:pPr>
        <w:spacing w:line="600" w:lineRule="exact"/>
        <w:ind w:firstLineChars="200" w:firstLine="640"/>
        <w:outlineLvl w:val="2"/>
        <w:rPr>
          <w:rFonts w:eastAsia="楷体_GB2312" w:cs="楷体_GB2312"/>
          <w:b/>
          <w:sz w:val="32"/>
          <w:szCs w:val="32"/>
        </w:rPr>
      </w:pPr>
      <w:bookmarkStart w:id="79" w:name="_Toc17108956"/>
      <w:r>
        <w:rPr>
          <w:rFonts w:eastAsia="楷体_GB2312" w:cs="楷体_GB2312" w:hint="eastAsia"/>
          <w:b/>
          <w:sz w:val="32"/>
          <w:szCs w:val="32"/>
        </w:rPr>
        <w:t>（四）预算绩效管理情况</w:t>
      </w:r>
      <w:bookmarkEnd w:id="79"/>
    </w:p>
    <w:p>
      <w:pPr>
        <w:spacing w:line="600" w:lineRule="exact"/>
        <w:ind w:firstLine="640"/>
        <w:rPr>
          <w:rFonts w:eastAsia="仿宋_GB2312" w:cs="仿宋_GB2312"/>
          <w:b/>
          <w:bCs/>
          <w:sz w:val="32"/>
          <w:szCs w:val="32"/>
        </w:rPr>
      </w:pPr>
      <w:r>
        <w:rPr>
          <w:rFonts w:eastAsia="仿宋_GB2312" w:cs="仿宋_GB2312" w:hint="eastAsia"/>
          <w:sz w:val="32"/>
          <w:szCs w:val="32"/>
        </w:rPr>
        <w:t>根据预算绩效管理要求，本部门在2024年度预算编制阶段，组织对51000021Y000000011490-日常公用经费等84个项目开展了预算事前绩效评估，对84个项目编制了绩效目标，预算执行过程中，选取84个项目开展绩效监控。绩效自评报告详见附件 (第四部分)。</w:t>
      </w:r>
    </w:p>
    <w:p>
      <w:pPr>
        <w:spacing w:line="600" w:lineRule="exact"/>
        <w:ind w:firstLine="640"/>
        <w:rPr>
          <w:rFonts w:eastAsia="仿宋_GB2312" w:cs="仿宋_GB2312"/>
          <w:sz w:val="32"/>
          <w:szCs w:val="32"/>
        </w:rPr>
      </w:pP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80" w:name="_Toc15396613"/>
      <w:bookmarkStart w:id="81" w:name="_Toc15377225"/>
      <w:bookmarkStart w:id="82" w:name="_Toc17108957"/>
      <w:r>
        <w:rPr>
          <w:rFonts w:eastAsia="黑体" w:hint="eastAsia"/>
          <w:sz w:val="44"/>
          <w:szCs w:val="44"/>
        </w:rPr>
        <w:t>第三部分  名词解释</w:t>
      </w:r>
      <w:bookmarkEnd w:id="80"/>
      <w:bookmarkEnd w:id="81"/>
      <w:bookmarkEnd w:id="82"/>
    </w:p>
    <w:p>
      <w:pPr>
        <w:spacing w:line="600" w:lineRule="exact"/>
        <w:jc w:val="left"/>
        <w:rPr>
          <w:b/>
          <w:sz w:val="44"/>
          <w:szCs w:val="44"/>
        </w:rPr>
      </w:pPr>
    </w:p>
    <w:p>
      <w:pPr>
        <w:spacing w:line="600" w:lineRule="exact"/>
        <w:ind w:firstLine="640"/>
        <w:rPr>
          <w:rFonts w:eastAsia="仿宋_GB2312" w:cs="仿宋_GB2312"/>
          <w:sz w:val="32"/>
          <w:szCs w:val="32"/>
        </w:rPr>
      </w:pPr>
      <w:r>
        <w:rPr>
          <w:rFonts w:eastAsia="仿宋_GB2312" w:cs="仿宋_GB2312" w:hint="eastAsia"/>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eastAsia="仿宋_GB2312" w:cs="仿宋_GB2312" w:hint="eastAsia"/>
          <w:sz w:val="32"/>
          <w:szCs w:val="32"/>
        </w:rPr>
        <w:t>2.事业收入：指事业单位开展专业业务活动及辅助活动取得的收入。</w:t>
      </w:r>
    </w:p>
    <w:p>
      <w:pPr>
        <w:spacing w:line="600" w:lineRule="exact"/>
        <w:ind w:firstLine="640"/>
        <w:rPr>
          <w:rFonts w:eastAsia="仿宋_GB2312" w:cs="仿宋_GB2312"/>
          <w:sz w:val="32"/>
          <w:szCs w:val="32"/>
        </w:rPr>
      </w:pPr>
      <w:r>
        <w:rPr>
          <w:rFonts w:eastAsia="仿宋_GB2312" w:cs="仿宋_GB2312" w:hint="eastAsia"/>
          <w:sz w:val="32"/>
          <w:szCs w:val="32"/>
        </w:rPr>
        <w:t>3.其他收入：指单位取得的除上述收入以外的各项收入。主要是银行存款利息和伙食团缴费等。</w:t>
      </w:r>
    </w:p>
    <w:p>
      <w:pPr>
        <w:spacing w:line="600" w:lineRule="exact"/>
        <w:ind w:firstLine="640"/>
        <w:rPr>
          <w:rFonts w:eastAsia="仿宋_GB2312" w:cs="仿宋_GB2312"/>
          <w:sz w:val="32"/>
          <w:szCs w:val="32"/>
        </w:rPr>
      </w:pPr>
      <w:r>
        <w:rPr>
          <w:rFonts w:eastAsia="仿宋_GB2312" w:cs="仿宋_GB2312" w:hint="eastAsia"/>
          <w:sz w:val="32"/>
          <w:szCs w:val="32"/>
        </w:rPr>
        <w:t xml:space="preserve">4. 年初结转和结余：指以前年度尚未完成、结转到本年按有关规定继续使用的资金。 </w:t>
      </w:r>
    </w:p>
    <w:p>
      <w:pPr>
        <w:spacing w:line="600" w:lineRule="exact"/>
        <w:ind w:firstLine="640"/>
        <w:rPr>
          <w:rFonts w:eastAsia="仿宋_GB2312" w:cs="仿宋_GB2312"/>
          <w:sz w:val="32"/>
          <w:szCs w:val="32"/>
        </w:rPr>
      </w:pPr>
      <w:r>
        <w:rPr>
          <w:rFonts w:eastAsia="仿宋_GB2312" w:cs="仿宋_GB2312" w:hint="eastAsia"/>
          <w:sz w:val="32"/>
          <w:szCs w:val="32"/>
        </w:rPr>
        <w:t>5. 一般公共服务（类）政府办公厅（室）及相关机构事务（款）行政运行（项）：指行政单位的基本支出。</w:t>
      </w:r>
    </w:p>
    <w:p>
      <w:pPr>
        <w:spacing w:line="600" w:lineRule="exact"/>
        <w:ind w:firstLine="640"/>
        <w:rPr>
          <w:rFonts w:eastAsia="仿宋_GB2312" w:cs="仿宋_GB2312"/>
          <w:sz w:val="32"/>
          <w:szCs w:val="32"/>
        </w:rPr>
      </w:pPr>
      <w:r>
        <w:rPr>
          <w:rFonts w:eastAsia="仿宋_GB2312" w:cs="仿宋_GB2312" w:hint="eastAsia"/>
          <w:sz w:val="32"/>
          <w:szCs w:val="32"/>
        </w:rPr>
        <w:t>6.一般公共服务（类）政府办公厅（室）及相关机构事务（款）一般行政管理事务（项）：指反映行政单位未单独设置顶级科目的其他项目支出。</w:t>
      </w:r>
    </w:p>
    <w:p>
      <w:pPr>
        <w:spacing w:line="600" w:lineRule="exact"/>
        <w:ind w:firstLine="640"/>
        <w:rPr>
          <w:rFonts w:eastAsia="仿宋_GB2312" w:cs="仿宋_GB2312"/>
          <w:sz w:val="32"/>
          <w:szCs w:val="32"/>
        </w:rPr>
      </w:pPr>
      <w:r>
        <w:rPr>
          <w:rFonts w:eastAsia="仿宋_GB2312" w:cs="仿宋_GB2312" w:hint="eastAsia"/>
          <w:sz w:val="32"/>
          <w:szCs w:val="32"/>
        </w:rPr>
        <w:t>7.教育（类）其他教育支出（款）其他教育支出（项）：除上诉项目以外用于教育管理事务方面的支出。</w:t>
      </w:r>
    </w:p>
    <w:p>
      <w:pPr>
        <w:spacing w:line="600" w:lineRule="exact"/>
        <w:ind w:firstLine="640"/>
        <w:rPr>
          <w:rFonts w:eastAsia="仿宋_GB2312" w:cs="仿宋_GB2312"/>
          <w:sz w:val="32"/>
          <w:szCs w:val="32"/>
        </w:rPr>
      </w:pPr>
      <w:r>
        <w:rPr>
          <w:rFonts w:eastAsia="仿宋_GB2312" w:cs="仿宋_GB2312" w:hint="eastAsia"/>
          <w:sz w:val="32"/>
          <w:szCs w:val="32"/>
        </w:rPr>
        <w:t>8.社会保障和就业（类）行政事业单位离退休（款）机关事业单位基本养老保险缴费支出（项）：指单位为职工缴纳的基本养老保险费。</w:t>
      </w:r>
    </w:p>
    <w:p>
      <w:pPr>
        <w:spacing w:line="600" w:lineRule="exact"/>
        <w:ind w:firstLine="640"/>
        <w:rPr>
          <w:rFonts w:eastAsia="仿宋_GB2312" w:cs="仿宋_GB2312"/>
          <w:sz w:val="32"/>
          <w:szCs w:val="32"/>
        </w:rPr>
      </w:pPr>
      <w:r>
        <w:rPr>
          <w:rFonts w:eastAsia="仿宋_GB2312" w:cs="仿宋_GB2312" w:hint="eastAsia"/>
          <w:sz w:val="32"/>
          <w:szCs w:val="32"/>
        </w:rPr>
        <w:t>9.社会保障和就业（类）行政事业单位离退休（款）机关事业单位基本职业年金缴费支出（项）：指单位为职工实际缴纳的职业年金。</w:t>
      </w:r>
    </w:p>
    <w:p>
      <w:pPr>
        <w:spacing w:line="600" w:lineRule="exact"/>
        <w:ind w:firstLine="640"/>
        <w:rPr>
          <w:rFonts w:eastAsia="仿宋_GB2312" w:cs="仿宋_GB2312"/>
          <w:sz w:val="32"/>
          <w:szCs w:val="32"/>
        </w:rPr>
      </w:pPr>
      <w:r>
        <w:rPr>
          <w:rFonts w:eastAsia="仿宋_GB2312" w:cs="仿宋_GB2312" w:hint="eastAsia"/>
          <w:sz w:val="32"/>
          <w:szCs w:val="32"/>
        </w:rPr>
        <w:t>10.医疗卫生与计划生育（类）行政事业单位医疗（款）行政单位医疗（项）：指反映职工缴纳的基本医疗保险费。</w:t>
      </w:r>
    </w:p>
    <w:p>
      <w:pPr>
        <w:spacing w:line="600" w:lineRule="exact"/>
        <w:ind w:firstLine="640"/>
        <w:rPr>
          <w:rFonts w:eastAsia="仿宋_GB2312" w:cs="仿宋_GB2312"/>
          <w:sz w:val="32"/>
          <w:szCs w:val="32"/>
        </w:rPr>
      </w:pPr>
      <w:r>
        <w:rPr>
          <w:rFonts w:eastAsia="仿宋_GB2312" w:cs="仿宋_GB2312" w:hint="eastAsia"/>
          <w:sz w:val="32"/>
          <w:szCs w:val="32"/>
        </w:rPr>
        <w:t>11.医疗卫生与计划生育（类）行政事业单位医疗（款）公务员医疗补助（项）：指按规定可享受公务员医疗补助单位为职工缴纳的公务员医疗补助费。</w:t>
      </w:r>
    </w:p>
    <w:p>
      <w:pPr>
        <w:spacing w:line="600" w:lineRule="exact"/>
        <w:ind w:firstLine="640"/>
        <w:rPr>
          <w:rFonts w:eastAsia="仿宋_GB2312" w:cs="仿宋_GB2312"/>
          <w:sz w:val="32"/>
          <w:szCs w:val="32"/>
        </w:rPr>
      </w:pPr>
      <w:r>
        <w:rPr>
          <w:rFonts w:eastAsia="仿宋_GB2312" w:cs="仿宋_GB2312" w:hint="eastAsia"/>
          <w:sz w:val="32"/>
          <w:szCs w:val="32"/>
        </w:rPr>
        <w:t>12.住房保障（类）住房改革支出（款）住房公积金（项）：指单位按规定为职工缴纳的住房公积金。</w:t>
      </w:r>
    </w:p>
    <w:p>
      <w:pPr>
        <w:spacing w:line="600" w:lineRule="exact"/>
        <w:ind w:firstLine="640"/>
        <w:rPr>
          <w:rFonts w:eastAsia="仿宋_GB2312" w:cs="仿宋_GB2312"/>
          <w:sz w:val="32"/>
          <w:szCs w:val="32"/>
        </w:rPr>
      </w:pPr>
      <w:r>
        <w:rPr>
          <w:rFonts w:eastAsia="仿宋_GB2312" w:cs="仿宋_GB2312" w:hint="eastAsia"/>
          <w:sz w:val="32"/>
          <w:szCs w:val="32"/>
        </w:rPr>
        <w:t>13.基本支出：指为保障机构正常运转、完成日常工作任务而发生的人员支出和公用支出。</w:t>
      </w:r>
    </w:p>
    <w:p>
      <w:pPr>
        <w:spacing w:line="600" w:lineRule="exact"/>
        <w:ind w:firstLine="640"/>
        <w:rPr>
          <w:rFonts w:eastAsia="仿宋_GB2312" w:cs="仿宋_GB2312"/>
          <w:sz w:val="32"/>
          <w:szCs w:val="32"/>
        </w:rPr>
      </w:pPr>
      <w:r>
        <w:rPr>
          <w:rFonts w:eastAsia="仿宋_GB2312" w:cs="仿宋_GB2312" w:hint="eastAsia"/>
          <w:sz w:val="32"/>
          <w:szCs w:val="32"/>
        </w:rPr>
        <w:t xml:space="preserve">14.项目支出：指在基本支出之外为完成特定行政任务和事业发展目标所发生的支出。 </w:t>
      </w:r>
    </w:p>
    <w:p>
      <w:pPr>
        <w:spacing w:line="600" w:lineRule="exact"/>
        <w:ind w:firstLine="640"/>
        <w:rPr>
          <w:rFonts w:eastAsia="仿宋_GB2312" w:cs="仿宋_GB2312"/>
          <w:sz w:val="32"/>
          <w:szCs w:val="32"/>
        </w:rPr>
      </w:pPr>
      <w:r>
        <w:rPr>
          <w:rFonts w:eastAsia="仿宋_GB2312" w:cs="仿宋_GB2312" w:hint="eastAsia"/>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eastAsia="仿宋_GB2312" w:cs="仿宋_GB2312" w:hint="eastAsia"/>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
      </w:pPr>
      <w:bookmarkStart w:id="83" w:name="_Toc15377226"/>
      <w:r>
        <w:rPr>
          <w:rFonts w:eastAsia="仿宋_GB2312" w:cs="仿宋_GB2312" w:hint="eastAsia"/>
          <w:sz w:val="32"/>
          <w:szCs w:val="32"/>
        </w:rPr>
        <w:br w:type="page"/>
      </w:r>
      <w:bookmarkStart w:id="84" w:name="_Toc15396614"/>
      <w:bookmarkStart w:id="85" w:name="_Toc17108958"/>
      <w:r>
        <w:rPr>
          <w:rFonts w:eastAsia="方正小标宋简体" w:cs="方正小标宋简体" w:hint="eastAsia"/>
          <w:b w:val="0"/>
        </w:rPr>
        <w:t>第四部分  附件</w:t>
      </w:r>
      <w:bookmarkEnd w:id="84"/>
      <w:bookmarkEnd w:id="85"/>
    </w:p>
    <w:p>
      <w:pPr>
        <w:rPr>
          <w:rFonts w:eastAsia="黑体" w:cs="方正小标宋简体"/>
          <w:sz w:val="44"/>
          <w:szCs w:val="44"/>
        </w:rPr>
      </w:pPr>
      <w:r>
        <w:rPr>
          <w:rFonts w:eastAsia="黑体" w:cs="黑体" w:hint="eastAsia"/>
          <w:sz w:val="32"/>
          <w:szCs w:val="32"/>
        </w:rPr>
        <w:t>附件1</w:t>
      </w:r>
    </w:p>
    <w:p>
      <w:pPr>
        <w:widowControl/>
        <w:spacing w:after="0" w:line="600" w:lineRule="exact"/>
        <w:contextualSpacing/>
        <w:jc w:val="center"/>
        <w:rPr>
          <w:rFonts w:ascii="方正小标宋_GBK" w:eastAsia="方正小标宋_GBK"/>
          <w:sz w:val="44"/>
          <w:szCs w:val="44"/>
        </w:rPr>
      </w:pPr>
      <w:r>
        <w:rPr>
          <w:rFonts w:ascii="方正小标宋_GBK" w:eastAsia="方正小标宋_GBK" w:hint="eastAsia"/>
          <w:sz w:val="44"/>
          <w:szCs w:val="44"/>
        </w:rPr>
        <w:t>金川县独松乡人民政府</w:t>
      </w:r>
    </w:p>
    <w:p>
      <w:pPr>
        <w:widowControl/>
        <w:spacing w:after="0" w:line="600" w:lineRule="exact"/>
        <w:contextualSpacing/>
        <w:jc w:val="center"/>
        <w:rPr>
          <w:rFonts w:ascii="方正小标宋_GBK" w:eastAsia="方正小标宋_GBK"/>
          <w:sz w:val="44"/>
          <w:szCs w:val="44"/>
        </w:rPr>
      </w:pPr>
      <w:r>
        <w:rPr>
          <w:rFonts w:ascii="方正小标宋_GBK" w:eastAsia="方正小标宋_GBK" w:hint="eastAsia"/>
          <w:sz w:val="44"/>
          <w:szCs w:val="44"/>
        </w:rPr>
        <w:t>2024年部门预算绩效自评报告</w:t>
      </w:r>
    </w:p>
    <w:p>
      <w:pPr>
        <w:spacing w:after="0" w:line="240" w:lineRule="auto"/>
        <w:ind w:leftChars="200" w:left="840" w:hangingChars="200" w:hanging="420"/>
        <w:rPr>
          <w:rFonts w:ascii="Calibri" w:hAnsi="Calibri"/>
          <w:szCs w:val="20"/>
        </w:rPr>
      </w:pP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黑体_GBK" w:eastAsia="方正黑体_GBK" w:hint="eastAsia"/>
          <w:kern w:val="0"/>
          <w:sz w:val="32"/>
          <w:szCs w:val="32"/>
        </w:rPr>
      </w:pPr>
      <w:r>
        <w:rPr>
          <w:rFonts w:ascii="方正黑体_GBK" w:eastAsia="方正黑体_GBK" w:cs="黑体"/>
          <w:color w:val="000000"/>
          <w:kern w:val="0"/>
          <w:sz w:val="32"/>
          <w:szCs w:val="32"/>
        </w:rPr>
        <w:t>一、部门（单位）概况</w:t>
      </w:r>
    </w:p>
    <w:p>
      <w:pPr>
        <w:widowControl/>
        <w:adjustRightInd w:val="0"/>
        <w:snapToGrid w:val="0"/>
        <w:spacing w:after="0" w:line="576" w:lineRule="exact"/>
        <w:ind w:firstLineChars="200" w:firstLine="640"/>
        <w:contextualSpacing/>
        <w:rPr>
          <w:rFonts w:ascii="方正楷体_GBK" w:eastAsia="方正楷体_GBK"/>
          <w:b/>
          <w:bCs/>
          <w:color w:val="000000"/>
          <w:kern w:val="0"/>
          <w:sz w:val="32"/>
          <w:szCs w:val="32"/>
          <w:shd w:val="clear" w:color="auto" w:fill="FFFFFF"/>
          <w:lang w:val="zh-CN"/>
        </w:rPr>
      </w:pPr>
      <w:r>
        <w:rPr>
          <w:rFonts w:ascii="方正楷体_GBK" w:eastAsia="方正楷体_GBK" w:hint="eastAsia"/>
          <w:b/>
          <w:bCs/>
          <w:color w:val="000000"/>
          <w:kern w:val="0"/>
          <w:sz w:val="32"/>
          <w:szCs w:val="32"/>
          <w:shd w:val="clear" w:color="auto" w:fill="FFFFFF"/>
          <w:lang w:val="zh-CN"/>
        </w:rPr>
        <w:t>（一）机构组成。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宋体" w:eastAsia="仿宋_GB2312" w:hAnsi="宋体" w:hint="eastAsia"/>
          <w:bCs/>
          <w:kern w:val="0"/>
          <w:sz w:val="32"/>
          <w:szCs w:val="32"/>
        </w:rPr>
      </w:pPr>
      <w:r>
        <w:rPr>
          <w:rFonts w:ascii="仿宋_GB2312" w:eastAsia="仿宋_GB2312" w:cs="仿宋_GB2312"/>
          <w:color w:val="000000"/>
          <w:kern w:val="0"/>
          <w:sz w:val="32"/>
          <w:szCs w:val="32"/>
          <w:lang w:val="zh-CN"/>
        </w:rPr>
        <w:t>独松乡人民政府</w:t>
      </w:r>
      <w:r>
        <w:rPr>
          <w:rFonts w:ascii="仿宋_GB2312" w:eastAsia="仿宋_GB2312" w:cs="仿宋_GB2312"/>
          <w:color w:val="000000"/>
          <w:kern w:val="0"/>
          <w:sz w:val="32"/>
          <w:szCs w:val="32"/>
        </w:rPr>
        <w:t>下设4个预算单位，分别是独松乡政府办公室，独松乡人大办公室，独松乡党委办公室和独松乡综合服务中心</w:t>
      </w:r>
      <w:r>
        <w:rPr>
          <w:rFonts w:ascii="宋体" w:eastAsia="仿宋_GB2312" w:hAnsi="宋体"/>
          <w:bCs/>
          <w:kern w:val="0"/>
          <w:sz w:val="32"/>
          <w:szCs w:val="32"/>
        </w:rPr>
        <w:t>。</w:t>
      </w:r>
    </w:p>
    <w:p>
      <w:pPr>
        <w:widowControl/>
        <w:adjustRightInd w:val="0"/>
        <w:snapToGrid w:val="0"/>
        <w:spacing w:after="0" w:line="576" w:lineRule="exact"/>
        <w:ind w:firstLineChars="200" w:firstLine="640"/>
        <w:contextualSpacing/>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（二）机构职能。</w:t>
      </w:r>
    </w:p>
    <w:p>
      <w:pPr>
        <w:widowControl/>
        <w:spacing w:after="0" w:line="576"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七、执行本级人民代表大会的决议和上级国家行政机关的决定和命令，发布决定和命令。八、保护社会主义的全民所有的财产和劳动群众集体所有的财产，保护公民私人所有的合法财产，维护社会秩序，保障公民的人身权利、民主权利和其他权利。</w:t>
      </w:r>
    </w:p>
    <w:p>
      <w:pPr>
        <w:widowControl/>
        <w:adjustRightInd w:val="0"/>
        <w:snapToGrid w:val="0"/>
        <w:spacing w:after="0" w:line="576" w:lineRule="exact"/>
        <w:ind w:firstLineChars="200" w:firstLine="640"/>
        <w:contextualSpacing/>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（三）人员概况。</w:t>
      </w:r>
    </w:p>
    <w:p>
      <w:pPr>
        <w:snapToGrid w:val="0"/>
        <w:spacing w:after="0" w:line="576" w:lineRule="exact"/>
        <w:ind w:firstLineChars="150" w:firstLine="480"/>
        <w:rPr>
          <w:rFonts w:ascii="仿宋_GB2312" w:eastAsia="仿宋_GB2312" w:cs="仿宋_GB2312" w:hint="eastAsia"/>
          <w:b/>
          <w:bCs/>
          <w:color w:val="000000"/>
          <w:kern w:val="0"/>
          <w:sz w:val="32"/>
          <w:szCs w:val="32"/>
          <w:lang w:val="zh-CN"/>
        </w:rPr>
      </w:pPr>
      <w:r>
        <w:rPr>
          <w:rFonts w:ascii="仿宋_GB2312" w:eastAsia="仿宋_GB2312" w:cs="仿宋_GB2312" w:hint="eastAsia"/>
          <w:color w:val="000000"/>
          <w:sz w:val="32"/>
          <w:szCs w:val="32"/>
        </w:rPr>
        <w:t>独松乡人民政府2024年年初在职30人，其中行政人员17人，行政工勤2人，事业人员11人；2024年年末在职30人，其中行政人员17人，行政工勤2人，事业人员11人。</w:t>
      </w: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黑体_GBK" w:eastAsia="方正黑体_GBK" w:cs="黑体" w:hint="eastAsia"/>
          <w:color w:val="000000"/>
          <w:kern w:val="0"/>
          <w:sz w:val="32"/>
          <w:szCs w:val="32"/>
        </w:rPr>
      </w:pPr>
      <w:r>
        <w:rPr>
          <w:rFonts w:ascii="方正黑体_GBK" w:eastAsia="方正黑体_GBK" w:cs="黑体"/>
          <w:color w:val="000000"/>
          <w:kern w:val="0"/>
          <w:sz w:val="32"/>
          <w:szCs w:val="32"/>
        </w:rPr>
        <w:t>二、部门财政资金收支情况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（一）收入情况。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仿宋_GB2312" w:eastAsia="仿宋_GB2312" w:cs="仿宋_GB2312" w:hint="eastAsia"/>
          <w:sz w:val="32"/>
          <w:szCs w:val="32"/>
        </w:rPr>
      </w:pPr>
      <w:r>
        <w:rPr>
          <w:rFonts w:ascii="仿宋_GB2312" w:eastAsia="仿宋_GB2312" w:cs="仿宋_GB2312"/>
          <w:sz w:val="32"/>
          <w:szCs w:val="32"/>
        </w:rPr>
        <w:t>2024年总收入1082.98万元，其中：一般公共预算财政拨款收入1082.98万元，占100%；政府性基金预算财政拨款收入0万元，占0%；国有资本经营预算财政拨款收入0万元，占0%；事业收入0万元，占0%；经营收入0万元，占0%；附属单位上缴收入0万元，占0%；其他收入0万元，占0%。</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（二）支出情况。</w:t>
      </w:r>
    </w:p>
    <w:p>
      <w:pPr>
        <w:snapToGrid w:val="0"/>
        <w:spacing w:after="0"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2024年一般公共预算财政拨款支出为1082.98万元。其中：一般公共服务支出349.88万元，占比32%；社会保障和就业支出为116.16万元，占比11%；卫生健康支出为41.10万元，占比4%；农林水支出515.37万元，占比48%；住房保障支出为55.66万元，占比5%；节能环保支出4.8，占比0%。</w:t>
      </w:r>
    </w:p>
    <w:p>
      <w:pPr>
        <w:snapToGrid w:val="0"/>
        <w:spacing w:after="0" w:line="576" w:lineRule="exact"/>
        <w:ind w:firstLineChars="200" w:firstLine="640"/>
        <w:rPr>
          <w:rFonts w:ascii="仿宋_GB2312" w:eastAsia="仿宋_GB2312" w:cs="仿宋_GB2312" w:hint="eastAsia"/>
          <w:sz w:val="32"/>
          <w:szCs w:val="32"/>
        </w:rPr>
      </w:pPr>
      <w:r>
        <w:rPr>
          <w:rFonts w:ascii="仿宋_GB2312" w:eastAsia="仿宋_GB2312" w:cs="仿宋_GB2312" w:hint="eastAsia"/>
          <w:color w:val="000000"/>
          <w:sz w:val="32"/>
          <w:szCs w:val="32"/>
        </w:rPr>
        <w:t>其中：工资福利支出693.74万元，主要包括：基本工资123.53万元、津贴补贴166.42万元、奖金171.66万元、绩效工资32.67万元、机关事业单位基本养老保险缴费63.52万元、职业年金缴费31.76万元、其他社会保障缴费10.87万元、住房公积金54.66万元、职工基本医疗保险缴费33.66万元、公务员医疗补助4.99万元。</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jc w:val="left"/>
        <w:rPr>
          <w:rFonts w:ascii="仿宋_GB2312" w:eastAsia="仿宋_GB2312" w:cs="仿宋_GB2312"/>
          <w:color w:val="000000"/>
          <w:sz w:val="32"/>
          <w:szCs w:val="32"/>
        </w:rPr>
      </w:pPr>
      <w:r>
        <w:rPr>
          <w:rFonts w:ascii="仿宋_GB2312" w:eastAsia="仿宋_GB2312" w:cs="仿宋_GB2312"/>
          <w:color w:val="000000"/>
          <w:sz w:val="32"/>
          <w:szCs w:val="32"/>
        </w:rPr>
        <w:t>商品和服务支出为26.81万元，主要包括：办公费3.51万元、印刷费3.70万元、水费0.50万元、电费1.30万元、邮电费1.14万元、差旅费4.89万元、劳务费2.89万元、福利费0.50万元、公务车运行维护费8.37万元。</w:t>
      </w: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jc w:val="left"/>
        <w:rPr>
          <w:rFonts w:ascii="仿宋_GB2312" w:eastAsia="仿宋_GB2312" w:cs="仿宋_GB2312"/>
          <w:color w:val="000000"/>
          <w:sz w:val="32"/>
          <w:szCs w:val="32"/>
        </w:rPr>
      </w:pPr>
      <w:r>
        <w:rPr>
          <w:rFonts w:ascii="仿宋_GB2312" w:eastAsia="仿宋_GB2312" w:cs="仿宋_GB2312"/>
          <w:color w:val="000000"/>
          <w:sz w:val="32"/>
          <w:szCs w:val="32"/>
        </w:rPr>
        <w:t>对个人和家庭的补助8.58万元，主要包括：生活补助8.58万元。</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仿宋_GB2312" w:eastAsia="仿宋_GB2312" w:hint="eastAsia"/>
          <w:kern w:val="0"/>
          <w:sz w:val="32"/>
          <w:szCs w:val="32"/>
        </w:rPr>
      </w:pPr>
      <w:r>
        <w:rPr>
          <w:rFonts w:ascii="仿宋_GB2312" w:eastAsia="仿宋_GB2312" w:cs="仿宋_GB2312"/>
          <w:color w:val="000000"/>
          <w:sz w:val="32"/>
          <w:szCs w:val="32"/>
        </w:rPr>
        <w:t>项目支出353.85万元，主要包括金川县生态文明教育示范基地采购项目质保金4.8万元，死亡抚恤金20.89万元，嘎伍岭村社道路提升改造项目29.22万元，独松乡村内安全饮水提升改造项目68.3万元，独松乡土地复垦项目72.83万元，独松乡村干部生活补助97.24万元，基层组织活动和公共服务运行经费60.00万元，独松乡三老干部补助0.48万元，人大会议0.1万元</w:t>
      </w:r>
      <w:r>
        <w:rPr>
          <w:rFonts w:ascii="仿宋_GB2312" w:eastAsia="仿宋_GB2312"/>
          <w:kern w:val="0"/>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（三）结余分配和结转结余情况。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仿宋_GB2312" w:eastAsia="仿宋_GB2312" w:hint="eastAsia"/>
          <w:kern w:val="0"/>
          <w:sz w:val="32"/>
          <w:szCs w:val="32"/>
        </w:rPr>
      </w:pPr>
      <w:r>
        <w:rPr>
          <w:rFonts w:ascii="仿宋_GB2312" w:eastAsia="仿宋_GB2312"/>
          <w:kern w:val="0"/>
          <w:sz w:val="32"/>
          <w:szCs w:val="32"/>
        </w:rPr>
        <w:t>无结余结转资金</w:t>
      </w: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黑体_GBK" w:eastAsia="方正黑体_GBK" w:cs="黑体" w:hint="eastAsia"/>
          <w:color w:val="000000"/>
          <w:kern w:val="0"/>
          <w:sz w:val="32"/>
          <w:szCs w:val="32"/>
        </w:rPr>
      </w:pPr>
      <w:r>
        <w:rPr>
          <w:rFonts w:ascii="方正黑体_GBK" w:eastAsia="方正黑体_GBK" w:cs="黑体"/>
          <w:color w:val="000000"/>
          <w:kern w:val="0"/>
          <w:sz w:val="32"/>
          <w:szCs w:val="32"/>
        </w:rPr>
        <w:t>三、部门预算绩效分析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（一）部门预算总体绩效分析。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color w:val="FF0000"/>
          <w:kern w:val="0"/>
          <w:sz w:val="32"/>
          <w:szCs w:val="32"/>
        </w:rPr>
      </w:pPr>
      <w:r>
        <w:rPr>
          <w:rFonts w:ascii="仿宋_GB2312" w:eastAsia="仿宋_GB2312"/>
          <w:kern w:val="0"/>
          <w:sz w:val="32"/>
          <w:szCs w:val="32"/>
        </w:rPr>
        <w:t>1.履职效能。</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kern w:val="0"/>
          <w:sz w:val="32"/>
          <w:szCs w:val="32"/>
        </w:rPr>
      </w:pPr>
      <w:r>
        <w:rPr>
          <w:rFonts w:ascii="仿宋_GB2312" w:eastAsia="仿宋_GB2312"/>
          <w:kern w:val="0"/>
          <w:sz w:val="32"/>
          <w:szCs w:val="32"/>
        </w:rPr>
        <w:t>数量指标履职效果:严格控制数量确保无遗漏无浪费，厉行节约。质量指标履职效果：严格把控质量关，确保与采购文件相匹配。社会效益指标履职效果：确保每一项采购项目都能实现单位职能，提高社会效益，促进社会发展。服务对象满意度指标履职效果：以高质量、高标准、高要求实施采购项目，确保受益对象满意度。经济成本指标履职效果：经过专业评估，以合理的经济成本实现项目价值。</w:t>
      </w:r>
    </w:p>
    <w:p>
      <w:pPr>
        <w:widowControl/>
        <w:adjustRightInd w:val="0"/>
        <w:snapToGrid w:val="0"/>
        <w:spacing w:after="0" w:line="576" w:lineRule="exact"/>
        <w:ind w:firstLine="641"/>
        <w:rPr>
          <w:rFonts w:ascii="仿宋_GB2312" w:eastAsia="仿宋_GB2312" w:hint="eastAsia"/>
          <w:sz w:val="32"/>
          <w:szCs w:val="32"/>
        </w:rPr>
      </w:pPr>
      <w:r>
        <w:rPr>
          <w:rFonts w:ascii="仿宋_GB2312" w:eastAsia="仿宋_GB2312" w:hint="eastAsia"/>
          <w:sz w:val="32"/>
          <w:szCs w:val="32"/>
        </w:rPr>
        <w:t>2.预算管理。</w:t>
      </w:r>
    </w:p>
    <w:p>
      <w:pPr>
        <w:widowControl/>
        <w:adjustRightInd w:val="0"/>
        <w:snapToGrid w:val="0"/>
        <w:spacing w:after="0" w:line="576" w:lineRule="exact"/>
        <w:ind w:firstLine="641"/>
        <w:rPr>
          <w:rFonts w:ascii="仿宋_GB2312" w:eastAsia="仿宋_GB2312" w:cs="仿宋_GB2312" w:hint="eastAsia"/>
          <w:sz w:val="32"/>
          <w:szCs w:val="32"/>
        </w:rPr>
      </w:pPr>
      <w:r>
        <w:rPr>
          <w:rFonts w:ascii="仿宋_GB2312" w:eastAsia="仿宋_GB2312" w:cs="仿宋_GB2312" w:hint="eastAsia"/>
          <w:sz w:val="32"/>
          <w:szCs w:val="32"/>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2024年预算编制工作，及时提交了部门预算草案。</w:t>
      </w:r>
    </w:p>
    <w:p>
      <w:pPr>
        <w:widowControl/>
        <w:topLinePunct/>
        <w:adjustRightInd w:val="0"/>
        <w:snapToGrid w:val="0"/>
        <w:spacing w:after="0" w:line="576" w:lineRule="exact"/>
        <w:ind w:firstLine="641"/>
        <w:rPr>
          <w:rFonts w:ascii="仿宋_GB2312" w:eastAsia="仿宋_GB2312"/>
          <w:sz w:val="32"/>
          <w:szCs w:val="32"/>
        </w:rPr>
      </w:pPr>
      <w:r>
        <w:rPr>
          <w:rFonts w:ascii="仿宋_GB2312" w:eastAsia="仿宋_GB2312"/>
          <w:sz w:val="32"/>
          <w:szCs w:val="32"/>
        </w:rPr>
        <w:t>3.财务管理。</w:t>
      </w:r>
    </w:p>
    <w:p>
      <w:pPr>
        <w:widowControl/>
        <w:topLinePunct/>
        <w:adjustRightInd w:val="0"/>
        <w:snapToGrid w:val="0"/>
        <w:spacing w:after="0" w:line="576" w:lineRule="exact"/>
        <w:ind w:firstLine="641"/>
        <w:rPr>
          <w:rFonts w:ascii="仿宋_GB2312" w:cs="仿宋_GB2312" w:hAnsi="仿宋_GB2312" w:hint="eastAsia"/>
          <w:szCs w:val="32"/>
          <w:lang w:val="zh-CN"/>
        </w:rPr>
      </w:pPr>
      <w:r>
        <w:rPr>
          <w:rFonts w:ascii="仿宋_GB2312" w:eastAsia="仿宋_GB2312" w:cs="仿宋_GB2312" w:hint="eastAsia"/>
          <w:color w:val="000000"/>
          <w:sz w:val="32"/>
          <w:szCs w:val="32"/>
          <w:lang w:val="zh-CN"/>
        </w:rPr>
        <w:t>根据相关要求，单位使用预算资金基本符合相关的预算财务管理制度。我</w:t>
      </w:r>
      <w:r>
        <w:rPr>
          <w:rFonts w:ascii="仿宋_GB2312" w:eastAsia="仿宋_GB2312" w:cs="仿宋_GB2312" w:hint="eastAsia"/>
          <w:color w:val="000000"/>
          <w:sz w:val="32"/>
          <w:szCs w:val="32"/>
        </w:rPr>
        <w:t>乡</w:t>
      </w:r>
      <w:r>
        <w:rPr>
          <w:rFonts w:ascii="仿宋_GB2312" w:eastAsia="仿宋_GB2312" w:cs="仿宋_GB2312" w:hint="eastAsia"/>
          <w:color w:val="000000"/>
          <w:sz w:val="32"/>
          <w:szCs w:val="32"/>
          <w:lang w:val="zh-CN"/>
        </w:rPr>
        <w:t>在财政批复后</w:t>
      </w:r>
      <w:r>
        <w:rPr>
          <w:rFonts w:ascii="仿宋_GB2312" w:eastAsia="仿宋_GB2312" w:cs="仿宋_GB2312" w:hint="eastAsia"/>
          <w:color w:val="000000"/>
          <w:sz w:val="32"/>
          <w:szCs w:val="32"/>
        </w:rPr>
        <w:t>20日内在指定网站公开预决算信息。按照相关要求进行绩效自我评价，按要求及时上报，对发现的问题提出整改措施，并整改落实到位。</w:t>
      </w:r>
      <w:r>
        <w:rPr>
          <w:rFonts w:ascii="仿宋_GB2312" w:eastAsia="仿宋_GB2312" w:cs="仿宋_GB2312" w:hint="eastAsia"/>
          <w:color w:val="000000"/>
          <w:sz w:val="32"/>
          <w:szCs w:val="32"/>
          <w:lang w:val="zh-CN"/>
        </w:rPr>
        <w:t>绩效评价及依法接受财政监督情况等。</w:t>
      </w:r>
    </w:p>
    <w:p>
      <w:pPr>
        <w:widowControl/>
        <w:topLinePunct/>
        <w:adjustRightInd w:val="0"/>
        <w:snapToGrid w:val="0"/>
        <w:spacing w:after="0" w:line="576" w:lineRule="exact"/>
        <w:ind w:firstLine="641"/>
        <w:rPr>
          <w:rFonts w:ascii="仿宋_GB2312" w:eastAsia="仿宋_GB2312"/>
          <w:sz w:val="32"/>
          <w:szCs w:val="32"/>
        </w:rPr>
      </w:pPr>
      <w:r>
        <w:rPr>
          <w:rFonts w:ascii="仿宋_GB2312" w:eastAsia="仿宋_GB2312"/>
          <w:sz w:val="32"/>
          <w:szCs w:val="32"/>
        </w:rPr>
        <w:t>4.资产管理。</w:t>
      </w:r>
    </w:p>
    <w:p>
      <w:pPr>
        <w:widowControl/>
        <w:topLinePunct/>
        <w:adjustRightInd w:val="0"/>
        <w:snapToGrid w:val="0"/>
        <w:spacing w:after="0" w:line="576" w:lineRule="exact"/>
        <w:ind w:firstLine="641"/>
        <w:rPr>
          <w:rFonts w:ascii="Calibri" w:hAnsi="Calibri"/>
          <w:szCs w:val="32"/>
        </w:rPr>
      </w:pPr>
      <w:r>
        <w:rPr>
          <w:rFonts w:ascii="仿宋_GB2312" w:eastAsia="仿宋_GB2312" w:cs="仿宋_GB2312" w:hint="eastAsia"/>
          <w:color w:val="000000"/>
          <w:sz w:val="32"/>
          <w:szCs w:val="32"/>
          <w:lang w:val="zh-CN"/>
        </w:rPr>
        <w:t>我</w:t>
      </w:r>
      <w:r>
        <w:rPr>
          <w:rFonts w:ascii="仿宋_GB2312" w:eastAsia="仿宋_GB2312" w:cs="仿宋_GB2312" w:hint="eastAsia"/>
          <w:color w:val="000000"/>
          <w:sz w:val="32"/>
          <w:szCs w:val="32"/>
        </w:rPr>
        <w:t>乡</w:t>
      </w:r>
      <w:r>
        <w:rPr>
          <w:rFonts w:ascii="仿宋" w:eastAsia="仿宋" w:cs="仿宋_GB2312" w:hint="eastAsia"/>
          <w:color w:val="000000"/>
          <w:sz w:val="32"/>
          <w:szCs w:val="32"/>
        </w:rPr>
        <w:t>2024年</w:t>
      </w:r>
      <w:r>
        <w:rPr>
          <w:rFonts w:ascii="仿宋_GB2312" w:eastAsia="仿宋_GB2312" w:cs="仿宋_GB2312" w:hint="eastAsia"/>
          <w:color w:val="000000"/>
          <w:sz w:val="32"/>
          <w:szCs w:val="32"/>
        </w:rPr>
        <w:t>所有国有资产纳入</w:t>
      </w:r>
      <w:r>
        <w:rPr>
          <w:rFonts w:ascii="仿宋_GB2312" w:eastAsia="仿宋_GB2312" w:cs="仿宋_GB2312" w:hint="eastAsia"/>
          <w:color w:val="000000"/>
          <w:sz w:val="32"/>
          <w:szCs w:val="32"/>
          <w:lang w:val="zh-CN"/>
        </w:rPr>
        <w:t>资产管理系统，及时准确上报并做好资产的管理</w:t>
      </w:r>
      <w:r>
        <w:rPr>
          <w:rFonts w:ascii="仿宋_GB2312" w:eastAsia="仿宋_GB2312" w:cs="仿宋_GB2312" w:hint="eastAsia"/>
          <w:color w:val="000000"/>
          <w:sz w:val="32"/>
          <w:szCs w:val="32"/>
        </w:rPr>
        <w:t>工作，无闲置资产。</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kern w:val="0"/>
          <w:sz w:val="32"/>
          <w:szCs w:val="32"/>
        </w:rPr>
      </w:pPr>
      <w:r>
        <w:rPr>
          <w:rFonts w:ascii="仿宋_GB2312" w:eastAsia="仿宋_GB2312"/>
          <w:kern w:val="0"/>
          <w:sz w:val="32"/>
          <w:szCs w:val="32"/>
        </w:rPr>
        <w:t>5.采购管理。为保障单位正常运转，实现机构只能，根据实际需求按照程序实施政府采购、采购项目执行率达100%，采购结果与预期目标相匹配，通过科学合理的评价方法和标准，提高采购质量和效益。</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（二）部门预算项目绩效分析。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kern w:val="0"/>
          <w:sz w:val="32"/>
          <w:szCs w:val="32"/>
        </w:rPr>
      </w:pPr>
      <w:r>
        <w:rPr>
          <w:rFonts w:ascii="仿宋_GB2312" w:eastAsia="仿宋_GB2312"/>
          <w:kern w:val="0"/>
          <w:sz w:val="32"/>
          <w:szCs w:val="32"/>
        </w:rPr>
        <w:t>常年项目绩效分析。该类项目总数76个，涉及预算总金额847.83万元，1—12月预算执行总体进度为100%，其中：预算结余率大于10%的项目共计0个。</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kern w:val="0"/>
          <w:sz w:val="32"/>
          <w:szCs w:val="32"/>
        </w:rPr>
      </w:pPr>
      <w:r>
        <w:rPr>
          <w:rFonts w:ascii="仿宋_GB2312" w:eastAsia="仿宋_GB2312"/>
          <w:kern w:val="0"/>
          <w:sz w:val="32"/>
          <w:szCs w:val="32"/>
        </w:rPr>
        <w:t>阶段（一次性）项目绩效分析。该类项目总数8个，涉及预算总金额255.87万元，1—12月预算执行总体进度为100%，其中：预算结余率大于10%的项目共计0个。</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kern w:val="0"/>
          <w:sz w:val="32"/>
          <w:szCs w:val="32"/>
        </w:rPr>
      </w:pPr>
      <w:r>
        <w:rPr>
          <w:rFonts w:ascii="方正仿宋_GBK" w:eastAsia="方正仿宋_GBK"/>
          <w:b/>
          <w:bCs/>
          <w:kern w:val="0"/>
          <w:sz w:val="32"/>
          <w:szCs w:val="32"/>
        </w:rPr>
        <w:t>1.项目决策</w:t>
      </w:r>
      <w:r>
        <w:rPr>
          <w:rFonts w:ascii="仿宋_GB2312" w:eastAsia="仿宋_GB2312"/>
          <w:kern w:val="0"/>
          <w:sz w:val="32"/>
          <w:szCs w:val="32"/>
        </w:rPr>
        <w:t>。本单位预算项目设立都按规定履行评估论证、按程序申报、预算项目绩效目标与计划期内的任务量、预算安排的资金量匹配情况，绩效目标设置科学合理、规范完整、量化细化、预算匹配、预算项目在规定时间内完成项目入库，明确绩效目标，控制支行成本，提高项目发挥作用。</w:t>
      </w:r>
    </w:p>
    <w:p>
      <w:pPr>
        <w:adjustRightInd w:val="0"/>
        <w:snapToGrid w:val="0"/>
        <w:spacing w:after="0" w:line="576" w:lineRule="exact"/>
        <w:ind w:firstLine="641"/>
        <w:contextualSpacing/>
        <w:jc w:val="left"/>
        <w:rPr>
          <w:rFonts w:ascii="方正仿宋_GBK" w:eastAsia="方正仿宋_GBK" w:hint="eastAsia"/>
          <w:b/>
          <w:bCs/>
          <w:kern w:val="0"/>
          <w:sz w:val="32"/>
          <w:szCs w:val="32"/>
        </w:rPr>
      </w:pPr>
      <w:r>
        <w:rPr>
          <w:rFonts w:ascii="方正仿宋_GBK" w:eastAsia="方正仿宋_GBK"/>
          <w:b/>
          <w:bCs/>
          <w:kern w:val="0"/>
          <w:sz w:val="32"/>
          <w:szCs w:val="32"/>
        </w:rPr>
        <w:t>2.项目执行。</w:t>
      </w:r>
      <w:r>
        <w:rPr>
          <w:rFonts w:ascii="仿宋_GB2312" w:eastAsia="仿宋_GB2312" w:hint="eastAsia"/>
          <w:sz w:val="32"/>
          <w:szCs w:val="32"/>
        </w:rPr>
        <w:t>预算项目实际列支内容与绩效目标设置方向相符、预算项目采取对应调整措施，按程序调整、预算项目按照文件时间节点有序推进，按时完成并根据财政局统一要求编制了我乡整体绩效目标报告及项目整体绩效目标表，并报县财政局。</w:t>
      </w:r>
    </w:p>
    <w:p>
      <w:pPr>
        <w:adjustRightInd w:val="0"/>
        <w:snapToGrid w:val="0"/>
        <w:spacing w:after="0" w:line="576" w:lineRule="exact"/>
        <w:ind w:firstLine="641"/>
        <w:contextualSpacing/>
        <w:jc w:val="left"/>
        <w:rPr>
          <w:rFonts w:ascii="方正仿宋_GBK" w:eastAsia="方正仿宋_GBK" w:hint="eastAsia"/>
          <w:b/>
          <w:bCs/>
          <w:kern w:val="0"/>
          <w:sz w:val="32"/>
          <w:szCs w:val="32"/>
        </w:rPr>
      </w:pPr>
      <w:r>
        <w:rPr>
          <w:rFonts w:ascii="方正仿宋_GBK" w:eastAsia="方正仿宋_GBK"/>
          <w:b/>
          <w:bCs/>
          <w:kern w:val="0"/>
          <w:sz w:val="32"/>
          <w:szCs w:val="32"/>
        </w:rPr>
        <w:t>3.目标实现。</w:t>
      </w:r>
      <w:r>
        <w:rPr>
          <w:rFonts w:ascii="仿宋_GB2312" w:eastAsia="仿宋_GB2312" w:cs="仿宋_GB2312" w:hint="eastAsia"/>
          <w:sz w:val="32"/>
          <w:szCs w:val="32"/>
        </w:rPr>
        <w:t>根据预算绩效管理要求，我单位在年初预算编制阶段，组织对项目开展了预算事前绩效评估，本部门按要求对2024年部门整体支出开展绩效自评，</w:t>
      </w:r>
      <w:r>
        <w:rPr>
          <w:rFonts w:ascii="仿宋_GB2312" w:eastAsia="仿宋_GB2312" w:hint="eastAsia"/>
          <w:sz w:val="32"/>
          <w:szCs w:val="32"/>
        </w:rPr>
        <w:t>我单位深入贯彻落实二十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（三）绩效结果应用情况。</w:t>
      </w:r>
    </w:p>
    <w:p>
      <w:pPr>
        <w:spacing w:after="0" w:line="576" w:lineRule="exact"/>
        <w:ind w:firstLineChars="200" w:firstLine="640"/>
        <w:rPr>
          <w:rFonts w:ascii="Calibri" w:hAnsi="Calibri"/>
          <w:color w:val="000000"/>
          <w:kern w:val="0"/>
          <w:szCs w:val="32"/>
          <w:shd w:val="clear" w:color="auto" w:fill="FFFFFF"/>
        </w:rPr>
      </w:pPr>
      <w:r>
        <w:rPr>
          <w:rFonts w:ascii="仿宋_GB2312" w:eastAsia="仿宋_GB2312" w:cs="仿宋_GB2312" w:hint="eastAsia"/>
          <w:sz w:val="32"/>
          <w:szCs w:val="32"/>
        </w:rPr>
        <w:t>根据预算绩效管理要求，我单位在年初预算编制阶段，组织对项目开展了预算事前绩效评估，本部门按要求对2024年部门整体支出开展绩效自评，</w:t>
      </w:r>
      <w:r>
        <w:rPr>
          <w:rFonts w:ascii="仿宋_GB2312" w:eastAsia="仿宋_GB2312" w:hint="eastAsia"/>
          <w:sz w:val="32"/>
          <w:szCs w:val="32"/>
        </w:rPr>
        <w:t>我单位深入贯彻落实二十大关于“全面实施绩效管理”的要求，努力提升本单位绩效预算管理业务水平。主动公开绩效结果，加大资金使用效率，提升政府管理水平。及时告知各部门预算及项目支出进度</w:t>
      </w:r>
      <w:r>
        <w:rPr>
          <w:rFonts w:ascii="仿宋_GB2312" w:eastAsia="仿宋_GB2312" w:cs="仿宋_GB2312" w:hint="eastAsia"/>
          <w:sz w:val="32"/>
          <w:szCs w:val="32"/>
        </w:rPr>
        <w:t>。</w:t>
      </w: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方正黑体_GBK" w:eastAsia="方正黑体_GBK" w:cs="黑体" w:hint="eastAsia"/>
          <w:color w:val="000000"/>
          <w:kern w:val="0"/>
          <w:sz w:val="32"/>
          <w:szCs w:val="32"/>
        </w:rPr>
      </w:pPr>
      <w:r>
        <w:rPr>
          <w:rFonts w:ascii="方正黑体_GBK" w:eastAsia="方正黑体_GBK" w:cs="黑体"/>
          <w:color w:val="000000"/>
          <w:kern w:val="0"/>
          <w:sz w:val="32"/>
          <w:szCs w:val="32"/>
        </w:rPr>
        <w:t>四、评价结论及建议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（一）评价结论。</w:t>
      </w:r>
    </w:p>
    <w:p>
      <w:pPr>
        <w:widowControl/>
        <w:adjustRightInd w:val="0"/>
        <w:snapToGrid w:val="0"/>
        <w:spacing w:after="0" w:line="576" w:lineRule="exact"/>
        <w:ind w:firstLineChars="200" w:firstLine="640"/>
        <w:contextualSpacing/>
        <w:jc w:val="left"/>
        <w:rPr>
          <w:rFonts w:ascii="Calibri" w:hAnsi="Calibri"/>
          <w:bCs/>
          <w:kern w:val="0"/>
          <w:szCs w:val="32"/>
          <w:shd w:val="clear" w:color="auto" w:fill="FFFFFF"/>
          <w:lang w:val="zh-CN"/>
        </w:rPr>
      </w:pPr>
      <w:r>
        <w:rPr>
          <w:rFonts w:eastAsia="仿宋_GB2312"/>
          <w:bCs/>
          <w:kern w:val="0"/>
          <w:sz w:val="32"/>
          <w:szCs w:val="32"/>
          <w:shd w:val="clear" w:color="auto" w:fill="FFFFFF"/>
          <w:lang w:val="zh-CN"/>
        </w:rPr>
        <w:t>我乡对2024年度整体支出情况开展自评，得分</w:t>
      </w:r>
      <w:r>
        <w:rPr>
          <w:rFonts w:ascii="Calibri" w:eastAsia="仿宋_GB2312" w:hAnsi="Calibri" w:hint="eastAsia"/>
          <w:bCs/>
          <w:kern w:val="0"/>
          <w:sz w:val="32"/>
          <w:szCs w:val="32"/>
          <w:shd w:val="clear" w:color="auto" w:fill="FFFFFF"/>
        </w:rPr>
        <w:t>9</w:t>
      </w:r>
      <w:r>
        <w:rPr>
          <w:rFonts w:ascii="Calibri" w:hAnsi="Calibri" w:hint="eastAsia"/>
          <w:bCs/>
          <w:kern w:val="0"/>
          <w:sz w:val="32"/>
          <w:szCs w:val="32"/>
          <w:shd w:val="clear" w:color="auto" w:fill="FFFFFF"/>
        </w:rPr>
        <w:t>1</w:t>
      </w:r>
      <w:r>
        <w:rPr>
          <w:rFonts w:eastAsia="仿宋_GB2312"/>
          <w:bCs/>
          <w:kern w:val="0"/>
          <w:sz w:val="32"/>
          <w:szCs w:val="32"/>
          <w:shd w:val="clear" w:color="auto" w:fill="FFFFFF"/>
          <w:lang w:val="zh-CN"/>
        </w:rPr>
        <w:t>分。从总体性分析评价，全年整体支出较优，实现了年初绩效目标。从结构性分析评价，一般公共预算基本支出完成预算的</w:t>
      </w:r>
      <w:r>
        <w:rPr>
          <w:rFonts w:ascii="Calibri" w:eastAsia="仿宋_GB2312" w:hAnsi="Calibri" w:hint="eastAsia"/>
          <w:bCs/>
          <w:kern w:val="0"/>
          <w:sz w:val="32"/>
          <w:szCs w:val="32"/>
          <w:shd w:val="clear" w:color="auto" w:fill="FFFFFF"/>
        </w:rPr>
        <w:t>100</w:t>
      </w:r>
      <w:r>
        <w:rPr>
          <w:rFonts w:eastAsia="仿宋_GB2312"/>
          <w:bCs/>
          <w:kern w:val="0"/>
          <w:sz w:val="32"/>
          <w:szCs w:val="32"/>
          <w:shd w:val="clear" w:color="auto" w:fill="FFFFFF"/>
          <w:lang w:val="zh-CN"/>
        </w:rPr>
        <w:t>%，绩效目标实际实现程度与预期目标的偏离度为</w:t>
      </w:r>
      <w:r>
        <w:rPr>
          <w:rFonts w:ascii="Calibri" w:eastAsia="仿宋_GB2312" w:hAnsi="Calibri" w:hint="eastAsia"/>
          <w:bCs/>
          <w:kern w:val="0"/>
          <w:sz w:val="32"/>
          <w:szCs w:val="32"/>
          <w:shd w:val="clear" w:color="auto" w:fill="FFFFFF"/>
          <w:lang w:val="zh-CN"/>
        </w:rPr>
        <w:t>持平</w:t>
      </w:r>
      <w:r>
        <w:rPr>
          <w:rFonts w:eastAsia="仿宋_GB2312"/>
          <w:bCs/>
          <w:kern w:val="0"/>
          <w:sz w:val="32"/>
          <w:szCs w:val="32"/>
          <w:shd w:val="clear" w:color="auto" w:fill="FFFFFF"/>
          <w:lang w:val="zh-CN"/>
        </w:rPr>
        <w:t>，整体绩效管理合理合规；一般公共预算项目支出完成预算的</w:t>
      </w:r>
      <w:r>
        <w:rPr>
          <w:rFonts w:ascii="Calibri" w:eastAsia="仿宋_GB2312" w:hAnsi="Calibri" w:hint="eastAsia"/>
          <w:bCs/>
          <w:kern w:val="0"/>
          <w:sz w:val="32"/>
          <w:szCs w:val="32"/>
          <w:shd w:val="clear" w:color="auto" w:fill="FFFFFF"/>
        </w:rPr>
        <w:t>100</w:t>
      </w:r>
      <w:r>
        <w:rPr>
          <w:rFonts w:eastAsia="仿宋_GB2312"/>
          <w:bCs/>
          <w:kern w:val="0"/>
          <w:sz w:val="32"/>
          <w:szCs w:val="32"/>
          <w:shd w:val="clear" w:color="auto" w:fill="FFFFFF"/>
          <w:lang w:val="zh-CN"/>
        </w:rPr>
        <w:t>%，绩效目标实际实现程度与预期目标的偏离度为</w:t>
      </w:r>
      <w:r>
        <w:rPr>
          <w:rFonts w:ascii="Calibri" w:eastAsia="仿宋_GB2312" w:hAnsi="Calibri" w:hint="eastAsia"/>
          <w:bCs/>
          <w:kern w:val="0"/>
          <w:sz w:val="32"/>
          <w:szCs w:val="32"/>
          <w:shd w:val="clear" w:color="auto" w:fill="FFFFFF"/>
          <w:lang w:val="zh-CN"/>
        </w:rPr>
        <w:t>持平</w:t>
      </w:r>
      <w:r>
        <w:rPr>
          <w:rFonts w:eastAsia="仿宋_GB2312"/>
          <w:bCs/>
          <w:kern w:val="0"/>
          <w:sz w:val="32"/>
          <w:szCs w:val="32"/>
          <w:shd w:val="clear" w:color="auto" w:fill="FFFFFF"/>
          <w:lang w:val="zh-CN"/>
        </w:rPr>
        <w:t>，整体绩效管理合理合规。2024年度整体支出绩效评价优好，无违纪违规问题，预算编制、预算执行、完成结果等均达到既定目标管理。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ascii="仿宋_GB2312" w:eastAsia="仿宋_GB2312" w:hint="eastAsia"/>
          <w:kern w:val="0"/>
          <w:sz w:val="32"/>
          <w:szCs w:val="32"/>
        </w:rPr>
      </w:pPr>
      <w:r>
        <w:rPr>
          <w:rFonts w:ascii="方正楷体_GBK" w:eastAsia="方正楷体_GBK"/>
          <w:b/>
          <w:bCs/>
          <w:color w:val="000000"/>
          <w:kern w:val="0"/>
          <w:sz w:val="32"/>
          <w:szCs w:val="32"/>
          <w:shd w:val="clear" w:color="auto" w:fill="FFFFFF"/>
          <w:lang w:val="zh-CN"/>
        </w:rPr>
        <w:t>（二）存在问题。</w:t>
      </w:r>
      <w:r>
        <w:rPr>
          <w:rFonts w:ascii="仿宋_GB2312" w:eastAsia="仿宋_GB2312" w:cs="仿宋_GB2312"/>
          <w:color w:val="000000"/>
          <w:kern w:val="0"/>
          <w:sz w:val="32"/>
          <w:szCs w:val="32"/>
          <w:shd w:val="clear" w:color="auto" w:fill="FFFFFF"/>
        </w:rPr>
        <w:t>一是资金使用效益有待进一步提高。</w:t>
      </w:r>
      <w:r>
        <w:rPr>
          <w:rFonts w:ascii="仿宋_GB2312" w:eastAsia="仿宋_GB2312" w:cs="仿宋_GB2312"/>
          <w:color w:val="000000"/>
          <w:kern w:val="0"/>
          <w:sz w:val="32"/>
          <w:szCs w:val="32"/>
        </w:rPr>
        <w:t>公用经费上半年拨付进度慢。</w:t>
      </w:r>
      <w:r>
        <w:rPr>
          <w:rFonts w:ascii="仿宋_GB2312" w:eastAsia="仿宋_GB2312" w:cs="仿宋_GB2312"/>
          <w:color w:val="000000"/>
          <w:kern w:val="0"/>
          <w:sz w:val="32"/>
          <w:szCs w:val="32"/>
          <w:shd w:val="clear" w:color="auto" w:fill="FFFFFF"/>
        </w:rPr>
        <w:t>二是绩效目标设立不够明确、细化和量化。虽然设立了项目资金绩效目标，但目标不够明确、细化和量化。</w:t>
      </w:r>
    </w:p>
    <w:p>
      <w:pPr>
        <w:widowControl/>
        <w:shd w:val="clear" w:color="auto" w:fill="FFFFFF"/>
        <w:spacing w:after="0" w:line="576" w:lineRule="exact"/>
        <w:ind w:firstLineChars="200" w:firstLine="640"/>
        <w:rPr>
          <w:rFonts w:ascii="仿宋_GB2312" w:eastAsia="仿宋_GB2312" w:cs="仿宋_GB2312" w:hint="eastAsia"/>
          <w:color w:val="000000"/>
          <w:kern w:val="0"/>
          <w:sz w:val="32"/>
          <w:szCs w:val="32"/>
          <w:shd w:val="clear" w:color="auto" w:fill="FFFFFF"/>
        </w:rPr>
      </w:pPr>
      <w:r>
        <w:rPr>
          <w:rFonts w:ascii="方正楷体_GBK" w:eastAsia="方正楷体_GBK"/>
          <w:b/>
          <w:bCs/>
          <w:color w:val="000000"/>
          <w:kern w:val="0"/>
          <w:sz w:val="32"/>
          <w:szCs w:val="32"/>
          <w:shd w:val="clear" w:color="auto" w:fill="FFFFFF"/>
          <w:lang w:val="zh-CN"/>
        </w:rPr>
        <w:t>（三）改进建议。</w:t>
      </w:r>
      <w:r>
        <w:rPr>
          <w:rFonts w:ascii="仿宋_GB2312" w:eastAsia="仿宋_GB2312" w:cs="仿宋_GB2312" w:hint="eastAsia"/>
          <w:color w:val="000000"/>
          <w:kern w:val="0"/>
          <w:sz w:val="32"/>
          <w:szCs w:val="32"/>
        </w:rPr>
        <w:t>一是加强资金拨付进度，更加合理规范使用财政预算资金。二是</w:t>
      </w:r>
      <w:r>
        <w:rPr>
          <w:rFonts w:ascii="仿宋_GB2312" w:eastAsia="仿宋_GB2312" w:cs="仿宋_GB2312" w:hint="eastAsia"/>
          <w:color w:val="000000"/>
          <w:kern w:val="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widowControl/>
        <w:shd w:val="clear" w:color="auto" w:fill="FFFFFF"/>
        <w:spacing w:after="0" w:line="576" w:lineRule="exact"/>
        <w:ind w:firstLineChars="200" w:firstLine="640"/>
        <w:rPr>
          <w:rFonts w:ascii="仿宋_GB2312" w:eastAsia="仿宋_GB2312" w:cs="仿宋_GB2312" w:hint="eastAsia"/>
          <w:color w:val="000000"/>
          <w:kern w:val="0"/>
          <w:sz w:val="32"/>
          <w:szCs w:val="32"/>
          <w:shd w:val="clear" w:color="auto" w:fill="FFFFFF"/>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仿宋_GB2312" w:eastAsia="仿宋_GB2312" w:cs="仿宋_GB2312" w:hint="eastAsia"/>
          <w:color w:val="000000"/>
          <w:kern w:val="0"/>
          <w:sz w:val="32"/>
          <w:szCs w:val="32"/>
          <w:shd w:val="clear" w:color="auto" w:fill="FFFFFF"/>
        </w:rPr>
      </w:pPr>
      <w:r>
        <w:rPr>
          <w:rFonts w:ascii="仿宋_GB2312" w:eastAsia="仿宋_GB2312" w:cs="仿宋_GB2312"/>
          <w:color w:val="000000"/>
          <w:kern w:val="0"/>
          <w:sz w:val="32"/>
          <w:szCs w:val="32"/>
          <w:shd w:val="clear" w:color="auto" w:fill="FFFFFF"/>
        </w:rPr>
        <w:t>附表：1.部门预算绩效自评打分表</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仿宋_GB2312" w:eastAsia="仿宋_GB2312" w:cs="仿宋_GB2312" w:hint="eastAsia"/>
          <w:color w:val="000000"/>
          <w:kern w:val="0"/>
          <w:sz w:val="32"/>
          <w:szCs w:val="32"/>
          <w:shd w:val="clear" w:color="auto" w:fill="FFFFFF"/>
        </w:rPr>
      </w:pPr>
      <w:r>
        <w:rPr>
          <w:rFonts w:ascii="仿宋_GB2312" w:eastAsia="仿宋_GB2312" w:cs="仿宋_GB2312"/>
          <w:color w:val="000000"/>
          <w:kern w:val="0"/>
          <w:sz w:val="32"/>
          <w:szCs w:val="32"/>
          <w:shd w:val="clear" w:color="auto" w:fill="FFFFFF"/>
        </w:rPr>
        <w:t xml:space="preserve">      2.部门整体绩效目标完成情况自评表</w:t>
      </w: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仿宋_GB2312" w:eastAsia="仿宋_GB2312" w:cs="仿宋_GB2312" w:hint="eastAsia"/>
          <w:color w:val="000000"/>
          <w:kern w:val="0"/>
          <w:sz w:val="32"/>
          <w:szCs w:val="32"/>
          <w:shd w:val="clear" w:color="auto" w:fill="FFFFFF"/>
        </w:rPr>
      </w:pPr>
      <w:r>
        <w:rPr>
          <w:rFonts w:ascii="仿宋_GB2312" w:eastAsia="仿宋_GB2312" w:cs="仿宋_GB2312"/>
          <w:color w:val="000000"/>
          <w:kern w:val="0"/>
          <w:sz w:val="32"/>
          <w:szCs w:val="32"/>
          <w:shd w:val="clear" w:color="auto" w:fill="FFFFFF"/>
        </w:rPr>
        <w:t xml:space="preserve">      3.部门预算项目支出绩效评价表（2024年度）</w:t>
      </w:r>
    </w:p>
    <w:p>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Chars="200" w:firstLine="640"/>
        <w:rPr>
          <w:rFonts w:ascii="仿宋_GB2312" w:eastAsia="仿宋_GB2312" w:cs="仿宋_GB2312" w:hint="eastAsia"/>
          <w:color w:val="000000"/>
          <w:kern w:val="0"/>
          <w:sz w:val="32"/>
          <w:szCs w:val="32"/>
          <w:shd w:val="clear" w:color="auto" w:fill="FFFFFF"/>
        </w:rPr>
      </w:pPr>
    </w:p>
    <w:p>
      <w:pPr>
        <w:widowControl/>
        <w:shd w:val="clear" w:color="auto" w:fill="FFFFFF"/>
        <w:spacing w:after="0" w:line="576" w:lineRule="exact"/>
        <w:ind w:firstLineChars="200" w:firstLine="640"/>
        <w:jc w:val="right"/>
        <w:rPr>
          <w:rFonts w:ascii="仿宋_GB2312" w:eastAsia="仿宋_GB2312" w:cs="仿宋_GB2312"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金川县独松乡人民政府</w:t>
      </w:r>
    </w:p>
    <w:p>
      <w:pPr>
        <w:widowControl/>
        <w:shd w:val="clear" w:color="auto" w:fill="FFFFFF"/>
        <w:spacing w:after="0" w:line="576" w:lineRule="exact"/>
        <w:ind w:firstLineChars="200" w:firstLine="640"/>
        <w:jc w:val="right"/>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shd w:val="clear" w:color="auto" w:fill="FFFFFF"/>
        </w:rPr>
        <w:t>2025年4月15日</w:t>
      </w:r>
    </w:p>
    <w:p>
      <w:pPr>
        <w:pStyle w:val="17"/>
        <w:spacing w:line="560" w:lineRule="exact"/>
        <w:ind w:leftChars="0" w:left="0" w:firstLineChars="0" w:firstLine="0"/>
        <w:rPr>
          <w:rFonts w:ascii="Times New Roman" w:hAnsi="Times New Roman"/>
          <w:sz w:val="32"/>
          <w:highlight w:val="yellow"/>
        </w:rPr>
      </w:pPr>
    </w:p>
    <w:p>
      <w:pPr>
        <w:widowControl/>
        <w:jc w:val="left"/>
        <w:rPr>
          <w:rFonts w:eastAsia="仿宋_GB2312" w:cs="宋体"/>
          <w:color w:val="FF0000"/>
          <w:kern w:val="0"/>
          <w:sz w:val="32"/>
          <w:szCs w:val="32"/>
          <w:shd w:val="clear" w:color="auto" w:fill="FFFFFF"/>
          <w:lang w:val="zh-CN"/>
        </w:rPr>
      </w:pPr>
      <w:r>
        <w:rPr>
          <w:rFonts w:cs="宋体"/>
          <w:color w:val="FF0000"/>
          <w:sz w:val="32"/>
          <w:szCs w:val="32"/>
          <w:shd w:val="clear" w:color="auto" w:fill="FFFFFF"/>
          <w:lang w:val="zh-CN"/>
        </w:rPr>
        <w:br w:type="page"/>
      </w:r>
    </w:p>
    <w:p>
      <w:pPr>
        <w:spacing w:after="0" w:line="240" w:lineRule="auto"/>
        <w:ind w:leftChars="200" w:left="840" w:hangingChars="200" w:hanging="420"/>
        <w:rPr>
          <w:rFonts w:ascii="Calibri" w:hAnsi="Calibri"/>
          <w:szCs w:val="20"/>
        </w:rPr>
      </w:pPr>
      <w:r>
        <w:rPr>
          <w:rFonts w:ascii="Calibri" w:hAnsi="Calibri" w:hint="eastAsia"/>
          <w:szCs w:val="20"/>
        </w:rPr>
        <w:t>附表</w:t>
      </w:r>
      <w:r>
        <w:rPr>
          <w:rFonts w:ascii="Calibri" w:hAnsi="Calibri"/>
          <w:szCs w:val="20"/>
        </w:rPr>
        <w:t>2</w:t>
      </w:r>
    </w:p>
    <w:tbl>
      <w:tblPr>
        <w:jc w:val="center"/>
        <w:tblW w:w="1056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308"/>
        <w:gridCol w:w="1347"/>
        <w:gridCol w:w="1273"/>
        <w:gridCol w:w="1100"/>
        <w:gridCol w:w="1145"/>
        <w:gridCol w:w="1289"/>
        <w:gridCol w:w="1058"/>
        <w:gridCol w:w="926"/>
        <w:gridCol w:w="1114"/>
      </w:tblGrid>
      <w:tr>
        <w:trPr>
          <w:trHeight w:val="762"/>
        </w:trPr>
        <w:tc>
          <w:tcPr>
            <w:tcW w:w="10560" w:type="dxa"/>
            <w:gridSpan w:val="9"/>
            <w:tcMar>
              <w:top w:w="15" w:type="dxa"/>
              <w:left w:w="15" w:type="dxa"/>
              <w:bottom w:w="15" w:type="dxa"/>
              <w:right w:w="15" w:type="dxa"/>
            </w:tcMar>
            <w:vAlign w:val="center"/>
          </w:tcPr>
          <w:p>
            <w:pPr>
              <w:widowControl/>
              <w:spacing w:line="600" w:lineRule="exact"/>
              <w:jc w:val="center"/>
              <w:textAlignment w:val="center"/>
              <w:rPr>
                <w:rFonts w:eastAsia="黑体"/>
                <w:color w:val="000000"/>
                <w:sz w:val="28"/>
                <w:szCs w:val="28"/>
              </w:rPr>
            </w:pPr>
            <w:r>
              <w:rPr>
                <w:rFonts w:eastAsia="方正小标宋简体" w:hint="eastAsia"/>
                <w:color w:val="000000"/>
                <w:kern w:val="0"/>
                <w:sz w:val="44"/>
                <w:szCs w:val="44"/>
              </w:rPr>
              <w:t>部门整体绩效目标完成情况自评表</w:t>
            </w:r>
          </w:p>
        </w:tc>
      </w:tr>
      <w:tr>
        <w:trPr>
          <w:trHeight w:val="23"/>
        </w:trPr>
        <w:tc>
          <w:tcPr>
            <w:tcW w:w="10560" w:type="dxa"/>
            <w:gridSpan w:val="9"/>
            <w:tcMar>
              <w:top w:w="15" w:type="dxa"/>
              <w:left w:w="15" w:type="dxa"/>
              <w:bottom w:w="15" w:type="dxa"/>
              <w:right w:w="15" w:type="dxa"/>
            </w:tcMar>
            <w:vAlign w:val="center"/>
          </w:tcPr>
          <w:p>
            <w:pPr>
              <w:widowControl/>
              <w:spacing w:line="300" w:lineRule="exact"/>
              <w:jc w:val="center"/>
              <w:textAlignment w:val="center"/>
              <w:rPr>
                <w:color w:val="000000"/>
                <w:sz w:val="28"/>
                <w:szCs w:val="28"/>
              </w:rPr>
            </w:pPr>
            <w:r>
              <w:rPr>
                <w:rFonts w:hint="eastAsia"/>
                <w:color w:val="000000"/>
                <w:kern w:val="0"/>
                <w:sz w:val="28"/>
                <w:szCs w:val="28"/>
              </w:rPr>
              <w:t>（</w:t>
            </w:r>
            <w:r>
              <w:rPr>
                <w:color w:val="000000"/>
                <w:kern w:val="0"/>
                <w:sz w:val="28"/>
                <w:szCs w:val="28"/>
              </w:rPr>
              <w:t>2024</w:t>
            </w:r>
            <w:r>
              <w:rPr>
                <w:rFonts w:hint="eastAsia"/>
                <w:color w:val="000000"/>
                <w:kern w:val="0"/>
                <w:sz w:val="28"/>
                <w:szCs w:val="28"/>
              </w:rPr>
              <w:t>年度）</w:t>
            </w:r>
          </w:p>
        </w:tc>
      </w:tr>
      <w:tr>
        <w:trPr>
          <w:trHeight w:val="23"/>
        </w:trPr>
        <w:tc>
          <w:tcPr>
            <w:tcW w:w="10560" w:type="dxa"/>
            <w:gridSpan w:val="9"/>
            <w:tcBorders>
              <w:top w:val="nil"/>
              <w:left w:val="nil"/>
              <w:bottom w:val="single" w:sz="4" w:space="0" w:color="000000"/>
              <w:right w:val="nil"/>
            </w:tcBorders>
            <w:tcMar>
              <w:top w:w="15" w:type="dxa"/>
              <w:left w:w="15" w:type="dxa"/>
              <w:bottom w:w="15" w:type="dxa"/>
              <w:right w:w="15" w:type="dxa"/>
            </w:tcMar>
            <w:vAlign w:val="center"/>
          </w:tcPr>
          <w:p>
            <w:pPr>
              <w:widowControl/>
              <w:spacing w:line="300" w:lineRule="exact"/>
              <w:jc w:val="right"/>
              <w:textAlignment w:val="center"/>
              <w:rPr>
                <w:color w:val="000000"/>
                <w:szCs w:val="21"/>
              </w:rPr>
            </w:pPr>
            <w:r>
              <w:rPr>
                <w:rFonts w:hint="eastAsia"/>
                <w:color w:val="000000"/>
                <w:kern w:val="0"/>
                <w:szCs w:val="21"/>
              </w:rPr>
              <w:t>单位：万元</w:t>
            </w:r>
          </w:p>
        </w:tc>
      </w:tr>
      <w:tr>
        <w:trPr>
          <w:trHeight w:val="23"/>
        </w:trPr>
        <w:tc>
          <w:tcPr>
            <w:tcW w:w="3928"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部门名称</w:t>
            </w:r>
          </w:p>
        </w:tc>
        <w:tc>
          <w:tcPr>
            <w:tcW w:w="663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金川县独松乡人民政府</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资金总额</w:t>
            </w:r>
          </w:p>
        </w:tc>
        <w:tc>
          <w:tcPr>
            <w:tcW w:w="22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财政拨款</w:t>
            </w:r>
          </w:p>
        </w:tc>
        <w:tc>
          <w:tcPr>
            <w:tcW w:w="4387" w:type="dxa"/>
            <w:gridSpan w:val="4"/>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其他资金</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1082.98</w:t>
            </w:r>
          </w:p>
        </w:tc>
        <w:tc>
          <w:tcPr>
            <w:tcW w:w="22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1082.98</w:t>
            </w:r>
          </w:p>
        </w:tc>
        <w:tc>
          <w:tcPr>
            <w:tcW w:w="4387" w:type="dxa"/>
            <w:gridSpan w:val="4"/>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0</w:t>
            </w:r>
          </w:p>
        </w:tc>
      </w:tr>
      <w:tr>
        <w:trPr>
          <w:trHeight w:val="23"/>
        </w:trPr>
        <w:tc>
          <w:tcPr>
            <w:tcW w:w="13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kern w:val="0"/>
                <w:sz w:val="24"/>
              </w:rPr>
            </w:pPr>
            <w:r>
              <w:rPr>
                <w:rFonts w:hint="eastAsia"/>
                <w:color w:val="000000"/>
                <w:kern w:val="0"/>
                <w:sz w:val="24"/>
              </w:rPr>
              <w:t>年度总体</w:t>
            </w:r>
          </w:p>
          <w:p>
            <w:pPr>
              <w:widowControl/>
              <w:spacing w:line="300" w:lineRule="exact"/>
              <w:jc w:val="center"/>
              <w:textAlignment w:val="center"/>
              <w:rPr>
                <w:color w:val="000000"/>
                <w:sz w:val="24"/>
              </w:rPr>
            </w:pPr>
            <w:r>
              <w:rPr>
                <w:rFonts w:hint="eastAsia"/>
                <w:color w:val="000000"/>
                <w:kern w:val="0"/>
                <w:sz w:val="24"/>
              </w:rPr>
              <w:t>目标</w:t>
            </w:r>
          </w:p>
        </w:tc>
        <w:tc>
          <w:tcPr>
            <w:tcW w:w="9252" w:type="dxa"/>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kern w:val="0"/>
                <w:sz w:val="24"/>
              </w:rPr>
            </w:pPr>
            <w:r>
              <w:rPr>
                <w:rFonts w:hint="eastAsia"/>
                <w:color w:val="000000"/>
                <w:kern w:val="0"/>
                <w:sz w:val="24"/>
              </w:rPr>
              <w:t>在县委、县政府和乡党委的坚强领导下，乡人民政府坚持以习近平新时代中国特色社会主义思想为指导，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w:t>
            </w:r>
          </w:p>
          <w:p>
            <w:pPr>
              <w:widowControl/>
              <w:spacing w:line="300" w:lineRule="exact"/>
              <w:jc w:val="left"/>
              <w:textAlignment w:val="center"/>
              <w:rPr>
                <w:color w:val="000000"/>
                <w:kern w:val="0"/>
                <w:sz w:val="24"/>
              </w:rPr>
            </w:pPr>
            <w:r>
              <w:rPr>
                <w:rFonts w:hint="eastAsia"/>
                <w:color w:val="000000"/>
                <w:kern w:val="0"/>
                <w:sz w:val="24"/>
              </w:rPr>
              <w:t>一是紧紧围绕影响经济发展和社会稳定的源头性、苗头性、基础性问题，突出重点、综合施策，进一步优化社会环境，促进社会和谐稳定。</w:t>
            </w:r>
          </w:p>
          <w:p>
            <w:pPr>
              <w:widowControl/>
              <w:spacing w:line="300" w:lineRule="exact"/>
              <w:jc w:val="left"/>
              <w:textAlignment w:val="center"/>
              <w:rPr>
                <w:color w:val="000000"/>
                <w:kern w:val="0"/>
                <w:sz w:val="24"/>
              </w:rPr>
            </w:pPr>
            <w:r>
              <w:rPr>
                <w:rFonts w:hint="eastAsia"/>
                <w:color w:val="000000"/>
                <w:kern w:val="0"/>
                <w:sz w:val="24"/>
              </w:rPr>
              <w:t>二是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widowControl/>
              <w:spacing w:line="300" w:lineRule="exact"/>
              <w:jc w:val="left"/>
              <w:textAlignment w:val="center"/>
              <w:rPr>
                <w:color w:val="000000"/>
                <w:kern w:val="0"/>
                <w:sz w:val="24"/>
              </w:rPr>
            </w:pPr>
            <w:r>
              <w:rPr>
                <w:rFonts w:hint="eastAsia"/>
                <w:color w:val="000000"/>
                <w:kern w:val="0"/>
                <w:sz w:val="24"/>
              </w:rPr>
              <w:t>三是始终坚持以习近平生态文明思想为指引，认真践行“绿水青山就是金山银山”“重在保护、要在治理、高质量发展”理念，切实把生态环境保护摆在压倒性位置，共抓大保护、不搞大开发。</w:t>
            </w:r>
          </w:p>
          <w:p>
            <w:pPr>
              <w:widowControl/>
              <w:spacing w:line="300" w:lineRule="exact"/>
              <w:jc w:val="left"/>
              <w:textAlignment w:val="center"/>
              <w:rPr>
                <w:color w:val="000000"/>
                <w:sz w:val="24"/>
              </w:rPr>
            </w:pPr>
            <w:r>
              <w:rPr>
                <w:rFonts w:hint="eastAsia"/>
                <w:color w:val="000000"/>
                <w:kern w:val="0"/>
                <w:sz w:val="24"/>
              </w:rPr>
              <w:t>四是坚定贯彻总体国家安全观，旗帜鲜明开展反分维稳斗争，“扫黑除恶”专项斗争强力推进，“天网”“雪亮”工程拓展延伸，平安防线牢不可破，“两项”改革调整优化4个村。</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kern w:val="0"/>
                <w:sz w:val="24"/>
              </w:rPr>
            </w:pPr>
            <w:r>
              <w:rPr>
                <w:rFonts w:hint="eastAsia"/>
                <w:color w:val="000000"/>
                <w:kern w:val="0"/>
                <w:sz w:val="24"/>
              </w:rPr>
              <w:t>年度主要</w:t>
            </w:r>
          </w:p>
          <w:p>
            <w:pPr>
              <w:widowControl/>
              <w:spacing w:line="300" w:lineRule="exact"/>
              <w:jc w:val="center"/>
              <w:textAlignment w:val="center"/>
              <w:rPr>
                <w:color w:val="000000"/>
                <w:sz w:val="24"/>
              </w:rPr>
            </w:pPr>
            <w:r>
              <w:rPr>
                <w:rFonts w:hint="eastAsia"/>
                <w:color w:val="000000"/>
                <w:kern w:val="0"/>
                <w:sz w:val="24"/>
              </w:rPr>
              <w:t>任务</w:t>
            </w: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任务名称</w:t>
            </w:r>
          </w:p>
        </w:tc>
        <w:tc>
          <w:tcPr>
            <w:tcW w:w="663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主要内容</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农田建设</w:t>
            </w:r>
          </w:p>
        </w:tc>
        <w:tc>
          <w:tcPr>
            <w:tcW w:w="663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建设高标准农田,有效改善项目区农田基础设施条件,提升耕地质量,提高粮食综合生产能力</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kern w:val="0"/>
                <w:sz w:val="24"/>
              </w:rPr>
            </w:pPr>
            <w:r>
              <w:rPr>
                <w:rFonts w:hint="eastAsia"/>
                <w:color w:val="000000"/>
                <w:kern w:val="0"/>
                <w:sz w:val="24"/>
              </w:rPr>
              <w:t>现代农业发展</w:t>
            </w:r>
          </w:p>
        </w:tc>
        <w:tc>
          <w:tcPr>
            <w:tcW w:w="663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kern w:val="0"/>
                <w:sz w:val="24"/>
              </w:rPr>
            </w:pPr>
            <w:r>
              <w:rPr>
                <w:rFonts w:hint="eastAsia"/>
                <w:color w:val="000000"/>
                <w:kern w:val="0"/>
                <w:sz w:val="24"/>
              </w:rPr>
              <w:t>以培育现代农业园区、建设产业提质增效绿色发展示范基地为抓手，大力发展雪梨、花椒等优势特色产业。</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kern w:val="0"/>
                <w:sz w:val="24"/>
              </w:rPr>
            </w:pPr>
            <w:r>
              <w:rPr>
                <w:rFonts w:hint="eastAsia"/>
                <w:color w:val="000000"/>
                <w:kern w:val="0"/>
                <w:sz w:val="24"/>
              </w:rPr>
              <w:t>落实部署</w:t>
            </w:r>
          </w:p>
        </w:tc>
        <w:tc>
          <w:tcPr>
            <w:tcW w:w="663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kern w:val="0"/>
                <w:sz w:val="24"/>
              </w:rPr>
            </w:pPr>
            <w:r>
              <w:rPr>
                <w:rFonts w:hint="eastAsia"/>
                <w:color w:val="000000"/>
                <w:kern w:val="0"/>
                <w:sz w:val="24"/>
              </w:rPr>
              <w:t>坚决贯彻落实习近平总书记和其他中央领导同志重要指示批示，不折不扣执行党中央国务院和省委省政府各项决策部署。</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262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政治建设</w:t>
            </w:r>
          </w:p>
        </w:tc>
        <w:tc>
          <w:tcPr>
            <w:tcW w:w="663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坚持用习近平新时代中国特色社会主义思想铸魂育人，系统学习《习近平谈治国理政》，跟进学习习近平总书记重要讲话、 重要论述和对四川工作的重要指示批示，不断提高政治判断力、政治领悟力、政治执行力。</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kern w:val="0"/>
                <w:sz w:val="24"/>
              </w:rPr>
            </w:pPr>
            <w:r>
              <w:rPr>
                <w:rFonts w:hint="eastAsia"/>
                <w:color w:val="000000"/>
                <w:kern w:val="0"/>
                <w:sz w:val="24"/>
              </w:rPr>
              <w:t>年度绩效</w:t>
            </w:r>
          </w:p>
          <w:p>
            <w:pPr>
              <w:widowControl/>
              <w:spacing w:line="300" w:lineRule="exact"/>
              <w:jc w:val="center"/>
              <w:textAlignment w:val="center"/>
              <w:rPr>
                <w:color w:val="000000"/>
                <w:sz w:val="24"/>
              </w:rPr>
            </w:pPr>
            <w:r>
              <w:rPr>
                <w:rFonts w:hint="eastAsia"/>
                <w:color w:val="000000"/>
                <w:kern w:val="0"/>
                <w:sz w:val="24"/>
              </w:rPr>
              <w:t>指标</w:t>
            </w:r>
          </w:p>
        </w:tc>
        <w:tc>
          <w:tcPr>
            <w:tcW w:w="13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一级指标</w:t>
            </w:r>
          </w:p>
        </w:tc>
        <w:tc>
          <w:tcPr>
            <w:tcW w:w="12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二级指标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三级指标</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kern w:val="0"/>
                <w:sz w:val="24"/>
              </w:rPr>
            </w:pPr>
            <w:r>
              <w:rPr>
                <w:rFonts w:hint="eastAsia"/>
                <w:color w:val="000000"/>
                <w:kern w:val="0"/>
                <w:sz w:val="24"/>
              </w:rPr>
              <w:t>绩效指标</w:t>
            </w:r>
          </w:p>
          <w:p>
            <w:pPr>
              <w:widowControl/>
              <w:spacing w:line="300" w:lineRule="exact"/>
              <w:jc w:val="center"/>
              <w:textAlignment w:val="center"/>
              <w:rPr>
                <w:color w:val="000000"/>
                <w:sz w:val="24"/>
              </w:rPr>
            </w:pPr>
            <w:r>
              <w:rPr>
                <w:rFonts w:hint="eastAsia"/>
                <w:color w:val="000000"/>
                <w:kern w:val="0"/>
                <w:sz w:val="24"/>
              </w:rPr>
              <w:t>性质</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绩效指标值</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绩效度量单位</w:t>
            </w:r>
          </w:p>
        </w:tc>
        <w:tc>
          <w:tcPr>
            <w:tcW w:w="926"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权重</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kern w:val="0"/>
                <w:sz w:val="24"/>
              </w:rPr>
            </w:pPr>
            <w:r>
              <w:rPr>
                <w:rFonts w:hint="eastAsia"/>
                <w:color w:val="000000"/>
                <w:kern w:val="0"/>
                <w:sz w:val="24"/>
              </w:rPr>
              <w:t>实际完成</w:t>
            </w:r>
          </w:p>
          <w:p>
            <w:pPr>
              <w:widowControl/>
              <w:spacing w:line="300" w:lineRule="exact"/>
              <w:jc w:val="center"/>
              <w:textAlignment w:val="center"/>
              <w:rPr>
                <w:color w:val="000000"/>
                <w:sz w:val="24"/>
              </w:rPr>
            </w:pPr>
            <w:r>
              <w:rPr>
                <w:rFonts w:hint="eastAsia"/>
                <w:color w:val="000000"/>
                <w:kern w:val="0"/>
                <w:sz w:val="24"/>
              </w:rPr>
              <w:t>指标值</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产出指标</w:t>
            </w:r>
          </w:p>
        </w:tc>
        <w:tc>
          <w:tcPr>
            <w:tcW w:w="127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数量指标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保障乡镇府重要会议活动</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50</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场次</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10</w:t>
            </w:r>
            <w:r>
              <w:rPr>
                <w:color w:val="000000"/>
                <w:kern w:val="0"/>
                <w:sz w:val="24"/>
              </w:rPr>
              <w:t>%</w:t>
            </w:r>
          </w:p>
        </w:tc>
        <w:tc>
          <w:tcPr>
            <w:tcW w:w="1114"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textAlignment w:val="center"/>
              <w:rPr>
                <w:color w:val="000000"/>
                <w:sz w:val="24"/>
              </w:rPr>
            </w:pPr>
            <w:r>
              <w:rPr>
                <w:rFonts w:hint="eastAsia"/>
                <w:color w:val="000000"/>
                <w:kern w:val="0"/>
                <w:sz w:val="24"/>
              </w:rPr>
              <w:t>61场次</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tcBorders>
              <w:top w:val="single" w:sz="4" w:space="0" w:color="000000"/>
              <w:left w:val="single" w:sz="4" w:space="0" w:color="000000"/>
              <w:bottom w:val="single" w:sz="4" w:space="0" w:color="000000"/>
              <w:right w:val="single" w:sz="4" w:space="0" w:color="000000"/>
            </w:tcBorders>
            <w:vAlign w:val="center"/>
          </w:tcPr>
          <w:p/>
        </w:tc>
        <w:tc>
          <w:tcPr>
            <w:tcW w:w="1273" w:type="dxa"/>
            <w:vMerge/>
            <w:tcBorders>
              <w:top w:val="single" w:sz="4" w:space="0" w:color="000000"/>
              <w:left w:val="single" w:sz="4" w:space="0" w:color="000000"/>
              <w:bottom w:val="single" w:sz="4" w:space="0" w:color="000000"/>
              <w:right w:val="single" w:sz="4" w:space="0" w:color="000000"/>
            </w:tcBorders>
            <w:vAlign w:val="center"/>
          </w:tcP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人员经费足额保障率</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99</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color w:val="000000"/>
                <w:sz w:val="24"/>
              </w:rPr>
              <w:t>%</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100%</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tcBorders>
              <w:top w:val="single" w:sz="4" w:space="0" w:color="000000"/>
              <w:left w:val="single" w:sz="4" w:space="0" w:color="000000"/>
              <w:bottom w:val="single" w:sz="4" w:space="0" w:color="000000"/>
              <w:right w:val="single" w:sz="4" w:space="0" w:color="000000"/>
            </w:tcBorders>
            <w:vAlign w:val="center"/>
          </w:tcPr>
          <w:p/>
        </w:tc>
        <w:tc>
          <w:tcPr>
            <w:tcW w:w="12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质量指标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农产品质量合格率</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97</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color w:val="000000"/>
                <w:sz w:val="24"/>
              </w:rPr>
              <w:t>%</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97%</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tcBorders>
              <w:top w:val="single" w:sz="4" w:space="0" w:color="000000"/>
              <w:left w:val="single" w:sz="4" w:space="0" w:color="000000"/>
              <w:bottom w:val="single" w:sz="4" w:space="0" w:color="000000"/>
              <w:right w:val="single" w:sz="4" w:space="0" w:color="000000"/>
            </w:tcBorders>
            <w:vAlign w:val="center"/>
          </w:tcPr>
          <w:p/>
        </w:tc>
        <w:tc>
          <w:tcPr>
            <w:tcW w:w="12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时效指标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年度目标完成时间</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12</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月</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12月</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效益指标</w:t>
            </w:r>
          </w:p>
        </w:tc>
        <w:tc>
          <w:tcPr>
            <w:tcW w:w="1273" w:type="dxa"/>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经济效益指标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农产品增加值增长率</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color w:val="000000"/>
                <w:sz w:val="24"/>
              </w:rPr>
              <w:t>3.5</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color w:val="000000"/>
                <w:sz w:val="24"/>
              </w:rPr>
              <w:t>%</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4%</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tcBorders>
              <w:top w:val="single" w:sz="4" w:space="0" w:color="000000"/>
              <w:left w:val="single" w:sz="4" w:space="0" w:color="000000"/>
              <w:bottom w:val="single" w:sz="4" w:space="0" w:color="000000"/>
              <w:right w:val="single" w:sz="4" w:space="0" w:color="000000"/>
            </w:tcBorders>
            <w:vAlign w:val="center"/>
          </w:tcPr>
          <w:p/>
        </w:tc>
        <w:tc>
          <w:tcPr>
            <w:tcW w:w="1273" w:type="dxa"/>
            <w:tcBorders>
              <w:top w:val="single" w:sz="4" w:space="0" w:color="000000"/>
              <w:left w:val="single" w:sz="4" w:space="0" w:color="000000"/>
              <w:bottom w:val="nil"/>
              <w:right w:val="single" w:sz="4" w:space="0" w:color="000000"/>
            </w:tcBorders>
            <w:vAlign w:val="center"/>
          </w:tcPr>
          <w:p>
            <w:pPr>
              <w:widowControl/>
              <w:spacing w:after="0" w:line="276" w:lineRule="auto"/>
              <w:jc w:val="left"/>
              <w:rPr>
                <w:color w:val="000000"/>
                <w:sz w:val="24"/>
              </w:rPr>
            </w:pPr>
            <w:r>
              <w:rPr>
                <w:rFonts w:hint="eastAsia"/>
                <w:color w:val="000000"/>
                <w:sz w:val="24"/>
              </w:rPr>
              <w:t>社会效益指标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重要农产品稳产保供稳中略增</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定性</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高中低</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高</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vMerge/>
            <w:tcBorders>
              <w:top w:val="single" w:sz="4" w:space="0" w:color="000000"/>
              <w:left w:val="single" w:sz="4" w:space="0" w:color="000000"/>
              <w:bottom w:val="single" w:sz="4" w:space="0" w:color="000000"/>
              <w:right w:val="single" w:sz="4" w:space="0" w:color="000000"/>
            </w:tcBorders>
            <w:vAlign w:val="center"/>
          </w:tcPr>
          <w:p/>
        </w:tc>
        <w:tc>
          <w:tcPr>
            <w:tcW w:w="12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可持续发展指标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扩大群众对民生工作的理解</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98</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color w:val="000000"/>
                <w:sz w:val="24"/>
              </w:rPr>
              <w:t>%</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98%</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vAlign w:val="center"/>
          </w:tcPr>
          <w:p/>
        </w:tc>
        <w:tc>
          <w:tcPr>
            <w:tcW w:w="13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满意度指标</w:t>
            </w:r>
          </w:p>
        </w:tc>
        <w:tc>
          <w:tcPr>
            <w:tcW w:w="12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center"/>
              <w:textAlignment w:val="center"/>
              <w:rPr>
                <w:color w:val="000000"/>
                <w:sz w:val="24"/>
              </w:rPr>
            </w:pPr>
            <w:r>
              <w:rPr>
                <w:rFonts w:hint="eastAsia"/>
                <w:color w:val="000000"/>
                <w:kern w:val="0"/>
                <w:sz w:val="24"/>
              </w:rPr>
              <w:t>服务对象满意度指标</w:t>
            </w:r>
          </w:p>
        </w:tc>
        <w:tc>
          <w:tcPr>
            <w:tcW w:w="11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群众满意度</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95</w:t>
            </w:r>
          </w:p>
        </w:tc>
        <w:tc>
          <w:tcPr>
            <w:tcW w:w="10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color w:val="000000"/>
                <w:sz w:val="24"/>
              </w:rPr>
              <w:t>%</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kern w:val="0"/>
                <w:sz w:val="24"/>
              </w:rPr>
              <w:t>20</w:t>
            </w:r>
            <w:r>
              <w:rPr>
                <w:color w:val="000000"/>
                <w:kern w:val="0"/>
                <w:sz w:val="24"/>
              </w:rPr>
              <w:t>%</w:t>
            </w:r>
          </w:p>
        </w:tc>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widowControl/>
              <w:spacing w:line="300" w:lineRule="exact"/>
              <w:jc w:val="left"/>
              <w:rPr>
                <w:color w:val="000000"/>
                <w:sz w:val="24"/>
              </w:rPr>
            </w:pPr>
            <w:r>
              <w:rPr>
                <w:rFonts w:hint="eastAsia"/>
                <w:color w:val="000000"/>
                <w:sz w:val="24"/>
              </w:rPr>
              <w:t>96%</w:t>
            </w:r>
          </w:p>
        </w:tc>
      </w:tr>
    </w:tbl>
    <w:p>
      <w:pPr>
        <w:pStyle w:val="18"/>
        <w:spacing w:beforeLines="0" w:before="93"/>
        <w:rPr>
          <w:rFonts w:ascii="Times New Roman" w:cs="宋体" w:hAnsi="Times New Roman"/>
          <w:color w:val="FF0000"/>
          <w:sz w:val="32"/>
          <w:szCs w:val="32"/>
          <w:shd w:val="clear" w:color="auto" w:fill="FFFFFF"/>
          <w:highlight w:val="yellow"/>
        </w:rPr>
      </w:pPr>
    </w:p>
    <w:p>
      <w:pPr>
        <w:rPr>
          <w:rFonts w:eastAsia="黑体" w:cs="黑体"/>
          <w:kern w:val="0"/>
          <w:sz w:val="32"/>
          <w:szCs w:val="32"/>
          <w:shd w:val="clear" w:color="auto" w:fill="FFFFFF"/>
          <w:lang w:val="zh-CN"/>
        </w:rPr>
      </w:pPr>
      <w:r>
        <w:rPr>
          <w:rFonts w:eastAsia="黑体" w:cs="黑体" w:hint="eastAsia"/>
          <w:kern w:val="0"/>
          <w:sz w:val="32"/>
          <w:szCs w:val="32"/>
          <w:shd w:val="clear" w:color="auto" w:fill="FFFFFF"/>
          <w:lang w:val="zh-CN"/>
        </w:rPr>
        <w:br w:type="page"/>
      </w:r>
      <w:bookmarkStart w:id="86" w:name="_Toc15396618"/>
    </w:p>
    <w:p>
      <w:pPr>
        <w:pStyle w:val="1"/>
        <w:widowControl/>
        <w:jc w:val="center"/>
        <w:outlineLvl w:val="0"/>
        <w:rPr>
          <w:rFonts w:eastAsia="仿宋"/>
        </w:rPr>
      </w:pPr>
      <w:bookmarkStart w:id="87" w:name="_Toc17108959"/>
      <w:r>
        <w:rPr>
          <w:rFonts w:eastAsia="黑体" w:hint="eastAsia"/>
          <w:sz w:val="44"/>
          <w:szCs w:val="44"/>
        </w:rPr>
        <w:t>第</w:t>
      </w:r>
      <w:r>
        <w:rPr>
          <w:rStyle w:val="1Char"/>
          <w:rFonts w:eastAsia="黑体" w:hint="eastAsia"/>
          <w:b w:val="0"/>
        </w:rPr>
        <w:t>五部分 附表</w:t>
      </w:r>
      <w:bookmarkStart w:id="88" w:name="_Toc15396619"/>
      <w:bookmarkEnd w:id="83"/>
      <w:bookmarkEnd w:id="86"/>
      <w:bookmarkEnd w:id="87"/>
    </w:p>
    <w:p>
      <w:pPr>
        <w:pStyle w:val="24"/>
        <w:tabs>
          <w:tab w:val="right" w:leader="dot" w:pos="8296"/>
        </w:tabs>
        <w:adjustRightInd w:val="0"/>
        <w:snapToGrid w:val="0"/>
        <w:spacing w:line="560" w:lineRule="exact"/>
        <w:jc w:val="left"/>
        <w:rPr>
          <w:rFonts w:eastAsia="仿宋_GB2312" w:cs="仿宋_GB2312"/>
          <w:sz w:val="32"/>
          <w:szCs w:val="32"/>
        </w:rPr>
      </w:pPr>
    </w:p>
    <w:p>
      <w:pPr>
        <w:pStyle w:val="24"/>
        <w:tabs>
          <w:tab w:val="right" w:leader="dot" w:pos="8296"/>
        </w:tabs>
        <w:adjustRightInd w:val="0"/>
        <w:snapToGrid w:val="0"/>
        <w:spacing w:line="560" w:lineRule="exact"/>
        <w:jc w:val="left"/>
        <w:rPr>
          <w:rFonts w:eastAsia="仿宋_GB2312" w:cs="仿宋_GB2312"/>
          <w:sz w:val="32"/>
          <w:szCs w:val="32"/>
        </w:rPr>
      </w:pPr>
      <w:r>
        <w:rPr>
          <w:rFonts w:eastAsia="仿宋_GB2312" w:cs="仿宋_GB2312" w:hint="eastAsia"/>
          <w:sz w:val="32"/>
          <w:szCs w:val="32"/>
        </w:rPr>
        <w:t>一、收入支出决算总表</w:t>
      </w:r>
      <w:bookmarkEnd w:id="88"/>
    </w:p>
    <w:p>
      <w:pPr>
        <w:pStyle w:val="24"/>
        <w:tabs>
          <w:tab w:val="right" w:leader="dot" w:pos="8296"/>
        </w:tabs>
        <w:adjustRightInd w:val="0"/>
        <w:snapToGrid w:val="0"/>
        <w:spacing w:line="560" w:lineRule="exact"/>
        <w:jc w:val="left"/>
        <w:rPr>
          <w:rFonts w:eastAsia="仿宋_GB2312" w:cs="仿宋_GB2312"/>
          <w:sz w:val="32"/>
          <w:szCs w:val="32"/>
        </w:rPr>
      </w:pPr>
      <w:bookmarkStart w:id="89" w:name="_Toc15396620"/>
      <w:r>
        <w:rPr>
          <w:rFonts w:eastAsia="仿宋_GB2312" w:cs="仿宋_GB2312" w:hint="eastAsia"/>
          <w:sz w:val="32"/>
          <w:szCs w:val="32"/>
        </w:rPr>
        <w:t>二、收入决算表</w:t>
      </w:r>
      <w:bookmarkEnd w:id="89"/>
    </w:p>
    <w:p>
      <w:pPr>
        <w:pStyle w:val="24"/>
        <w:tabs>
          <w:tab w:val="right" w:leader="dot" w:pos="8296"/>
        </w:tabs>
        <w:adjustRightInd w:val="0"/>
        <w:snapToGrid w:val="0"/>
        <w:spacing w:line="560" w:lineRule="exact"/>
        <w:jc w:val="left"/>
        <w:rPr>
          <w:rFonts w:eastAsia="仿宋_GB2312" w:cs="仿宋_GB2312"/>
          <w:sz w:val="32"/>
          <w:szCs w:val="32"/>
        </w:rPr>
      </w:pPr>
      <w:bookmarkStart w:id="90" w:name="_Toc15396621"/>
      <w:r>
        <w:rPr>
          <w:rFonts w:eastAsia="仿宋_GB2312" w:cs="仿宋_GB2312" w:hint="eastAsia"/>
          <w:sz w:val="32"/>
          <w:szCs w:val="32"/>
        </w:rPr>
        <w:t>三、支出决算表</w:t>
      </w:r>
      <w:bookmarkEnd w:id="90"/>
    </w:p>
    <w:p>
      <w:pPr>
        <w:pStyle w:val="24"/>
        <w:tabs>
          <w:tab w:val="right" w:leader="dot" w:pos="8296"/>
        </w:tabs>
        <w:adjustRightInd w:val="0"/>
        <w:snapToGrid w:val="0"/>
        <w:spacing w:line="560" w:lineRule="exact"/>
        <w:jc w:val="left"/>
        <w:rPr>
          <w:rFonts w:eastAsia="仿宋_GB2312" w:cs="仿宋_GB2312"/>
          <w:sz w:val="32"/>
          <w:szCs w:val="32"/>
        </w:rPr>
      </w:pPr>
      <w:bookmarkStart w:id="91" w:name="_Toc15396622"/>
      <w:r>
        <w:rPr>
          <w:rFonts w:eastAsia="仿宋_GB2312" w:cs="仿宋_GB2312" w:hint="eastAsia"/>
          <w:sz w:val="32"/>
          <w:szCs w:val="32"/>
        </w:rPr>
        <w:t>四、财政拨款收入支出决算总表</w:t>
      </w:r>
      <w:bookmarkEnd w:id="91"/>
    </w:p>
    <w:p>
      <w:pPr>
        <w:pStyle w:val="24"/>
        <w:tabs>
          <w:tab w:val="right" w:leader="dot" w:pos="8296"/>
        </w:tabs>
        <w:adjustRightInd w:val="0"/>
        <w:snapToGrid w:val="0"/>
        <w:spacing w:line="560" w:lineRule="exact"/>
        <w:jc w:val="left"/>
        <w:rPr>
          <w:rFonts w:eastAsia="仿宋_GB2312" w:cs="仿宋_GB2312"/>
          <w:sz w:val="32"/>
          <w:szCs w:val="32"/>
        </w:rPr>
      </w:pPr>
      <w:bookmarkStart w:id="92" w:name="_Toc15396623"/>
      <w:r>
        <w:rPr>
          <w:rFonts w:eastAsia="仿宋_GB2312" w:cs="仿宋_GB2312" w:hint="eastAsia"/>
          <w:sz w:val="32"/>
          <w:szCs w:val="32"/>
        </w:rPr>
        <w:t>五、财政拨款支出决算明细表</w:t>
      </w:r>
      <w:bookmarkStart w:id="93" w:name="_Toc15396624"/>
      <w:bookmarkEnd w:id="92"/>
    </w:p>
    <w:p>
      <w:pPr>
        <w:pStyle w:val="24"/>
        <w:tabs>
          <w:tab w:val="right" w:leader="dot" w:pos="8296"/>
        </w:tabs>
        <w:adjustRightInd w:val="0"/>
        <w:snapToGrid w:val="0"/>
        <w:spacing w:line="560" w:lineRule="exact"/>
        <w:jc w:val="left"/>
        <w:rPr>
          <w:rFonts w:eastAsia="仿宋_GB2312" w:cs="仿宋_GB2312"/>
          <w:sz w:val="32"/>
          <w:szCs w:val="32"/>
        </w:rPr>
      </w:pPr>
      <w:r>
        <w:rPr>
          <w:rFonts w:eastAsia="仿宋_GB2312" w:cs="仿宋_GB2312" w:hint="eastAsia"/>
          <w:sz w:val="32"/>
          <w:szCs w:val="32"/>
        </w:rPr>
        <w:t>六、一般公共预算财政拨款支出决算表</w:t>
      </w:r>
      <w:bookmarkEnd w:id="93"/>
    </w:p>
    <w:p>
      <w:pPr>
        <w:pStyle w:val="24"/>
        <w:tabs>
          <w:tab w:val="right" w:leader="dot" w:pos="8296"/>
        </w:tabs>
        <w:adjustRightInd w:val="0"/>
        <w:snapToGrid w:val="0"/>
        <w:spacing w:line="560" w:lineRule="exact"/>
        <w:jc w:val="left"/>
        <w:rPr>
          <w:rFonts w:eastAsia="仿宋_GB2312" w:cs="仿宋_GB2312"/>
          <w:sz w:val="32"/>
          <w:szCs w:val="32"/>
        </w:rPr>
      </w:pPr>
      <w:bookmarkStart w:id="94" w:name="_Toc15396625"/>
      <w:r>
        <w:rPr>
          <w:rFonts w:eastAsia="仿宋_GB2312" w:cs="仿宋_GB2312" w:hint="eastAsia"/>
          <w:sz w:val="32"/>
          <w:szCs w:val="32"/>
        </w:rPr>
        <w:t>七、一般公共预算财政拨款支出决算明细表</w:t>
      </w:r>
      <w:bookmarkEnd w:id="94"/>
    </w:p>
    <w:p>
      <w:pPr>
        <w:pStyle w:val="24"/>
        <w:tabs>
          <w:tab w:val="right" w:leader="dot" w:pos="8296"/>
        </w:tabs>
        <w:adjustRightInd w:val="0"/>
        <w:snapToGrid w:val="0"/>
        <w:spacing w:line="560" w:lineRule="exact"/>
        <w:jc w:val="left"/>
        <w:rPr>
          <w:rFonts w:eastAsia="仿宋_GB2312" w:cs="仿宋_GB2312"/>
          <w:sz w:val="32"/>
          <w:szCs w:val="32"/>
        </w:rPr>
      </w:pPr>
      <w:bookmarkStart w:id="95" w:name="_Toc15396626"/>
      <w:r>
        <w:rPr>
          <w:rFonts w:eastAsia="仿宋_GB2312" w:cs="仿宋_GB2312" w:hint="eastAsia"/>
          <w:sz w:val="32"/>
          <w:szCs w:val="32"/>
        </w:rPr>
        <w:t>八、一般公共预算财政拨款基本支出决算表</w:t>
      </w:r>
      <w:bookmarkEnd w:id="95"/>
    </w:p>
    <w:p>
      <w:pPr>
        <w:pStyle w:val="24"/>
        <w:tabs>
          <w:tab w:val="right" w:leader="dot" w:pos="8296"/>
        </w:tabs>
        <w:adjustRightInd w:val="0"/>
        <w:snapToGrid w:val="0"/>
        <w:spacing w:line="560" w:lineRule="exact"/>
        <w:jc w:val="left"/>
        <w:rPr>
          <w:rFonts w:eastAsia="仿宋_GB2312" w:cs="仿宋_GB2312"/>
          <w:sz w:val="32"/>
          <w:szCs w:val="32"/>
        </w:rPr>
      </w:pPr>
      <w:bookmarkStart w:id="96" w:name="_Toc15396627"/>
      <w:r>
        <w:rPr>
          <w:rFonts w:eastAsia="仿宋_GB2312" w:cs="仿宋_GB2312" w:hint="eastAsia"/>
          <w:sz w:val="32"/>
          <w:szCs w:val="32"/>
        </w:rPr>
        <w:t>九、一般公共预算财政拨款项目支出决算表</w:t>
      </w:r>
      <w:bookmarkEnd w:id="96"/>
    </w:p>
    <w:p>
      <w:pPr>
        <w:pStyle w:val="24"/>
        <w:tabs>
          <w:tab w:val="right" w:leader="dot" w:pos="8296"/>
        </w:tabs>
        <w:adjustRightInd w:val="0"/>
        <w:snapToGrid w:val="0"/>
        <w:spacing w:line="560" w:lineRule="exact"/>
        <w:jc w:val="left"/>
        <w:rPr>
          <w:rFonts w:eastAsia="仿宋_GB2312" w:cs="仿宋_GB2312"/>
          <w:sz w:val="32"/>
          <w:szCs w:val="32"/>
        </w:rPr>
      </w:pPr>
      <w:bookmarkStart w:id="97" w:name="_Toc15396628"/>
      <w:r>
        <w:rPr>
          <w:rFonts w:eastAsia="仿宋_GB2312" w:cs="仿宋_GB2312" w:hint="eastAsia"/>
          <w:sz w:val="32"/>
          <w:szCs w:val="32"/>
        </w:rPr>
        <w:t>十、</w:t>
      </w:r>
      <w:bookmarkEnd w:id="97"/>
      <w:r>
        <w:rPr>
          <w:rFonts w:eastAsia="仿宋_GB2312" w:cs="仿宋_GB2312" w:hint="eastAsia"/>
          <w:sz w:val="32"/>
          <w:szCs w:val="32"/>
        </w:rPr>
        <w:t>政府性基金预算财政拨款收入支出决算表</w:t>
      </w:r>
    </w:p>
    <w:p>
      <w:pPr>
        <w:pStyle w:val="24"/>
        <w:tabs>
          <w:tab w:val="right" w:leader="dot" w:pos="8296"/>
        </w:tabs>
        <w:adjustRightInd w:val="0"/>
        <w:snapToGrid w:val="0"/>
        <w:spacing w:line="560" w:lineRule="exact"/>
        <w:jc w:val="left"/>
        <w:rPr>
          <w:rFonts w:eastAsia="仿宋_GB2312" w:cs="仿宋_GB2312"/>
          <w:sz w:val="32"/>
          <w:szCs w:val="32"/>
        </w:rPr>
      </w:pPr>
      <w:bookmarkStart w:id="98" w:name="_Toc15396629"/>
      <w:r>
        <w:rPr>
          <w:rFonts w:eastAsia="仿宋_GB2312" w:cs="仿宋_GB2312" w:hint="eastAsia"/>
          <w:sz w:val="32"/>
          <w:szCs w:val="32"/>
        </w:rPr>
        <w:t>十一、</w:t>
      </w:r>
      <w:bookmarkEnd w:id="98"/>
      <w:r>
        <w:rPr>
          <w:rFonts w:eastAsia="仿宋_GB2312" w:cs="仿宋_GB2312" w:hint="eastAsia"/>
          <w:sz w:val="32"/>
          <w:szCs w:val="32"/>
        </w:rPr>
        <w:t>国有资本经营预算财政拨款收入支出决算表</w:t>
      </w:r>
    </w:p>
    <w:p>
      <w:pPr>
        <w:pStyle w:val="24"/>
        <w:tabs>
          <w:tab w:val="right" w:leader="dot" w:pos="8296"/>
        </w:tabs>
        <w:adjustRightInd w:val="0"/>
        <w:snapToGrid w:val="0"/>
        <w:spacing w:line="560" w:lineRule="exact"/>
        <w:jc w:val="left"/>
        <w:rPr>
          <w:rFonts w:eastAsia="仿宋_GB2312" w:cs="仿宋_GB2312"/>
          <w:sz w:val="32"/>
          <w:szCs w:val="32"/>
        </w:rPr>
      </w:pPr>
      <w:bookmarkStart w:id="99" w:name="_Toc15396630"/>
      <w:r>
        <w:rPr>
          <w:rFonts w:eastAsia="仿宋_GB2312" w:cs="仿宋_GB2312" w:hint="eastAsia"/>
          <w:sz w:val="32"/>
          <w:szCs w:val="32"/>
        </w:rPr>
        <w:t>十二、</w:t>
      </w:r>
      <w:bookmarkEnd w:id="99"/>
      <w:r>
        <w:rPr>
          <w:rFonts w:eastAsia="仿宋_GB2312" w:cs="仿宋_GB2312" w:hint="eastAsia"/>
          <w:sz w:val="32"/>
          <w:szCs w:val="32"/>
        </w:rPr>
        <w:t>国有资本经营预算财政拨款支出决算表</w:t>
      </w:r>
    </w:p>
    <w:p>
      <w:pPr>
        <w:pStyle w:val="24"/>
        <w:tabs>
          <w:tab w:val="right" w:leader="dot" w:pos="8296"/>
        </w:tabs>
        <w:adjustRightInd w:val="0"/>
        <w:snapToGrid w:val="0"/>
        <w:spacing w:line="560" w:lineRule="exact"/>
        <w:jc w:val="left"/>
        <w:rPr>
          <w:rFonts w:eastAsia="仿宋_GB2312" w:cs="仿宋_GB2312"/>
          <w:sz w:val="32"/>
          <w:szCs w:val="32"/>
        </w:rPr>
      </w:pPr>
      <w:bookmarkStart w:id="100" w:name="_Toc15396631"/>
      <w:r>
        <w:rPr>
          <w:rFonts w:eastAsia="仿宋_GB2312" w:cs="仿宋_GB2312" w:hint="eastAsia"/>
          <w:sz w:val="32"/>
          <w:szCs w:val="32"/>
        </w:rPr>
        <w:t>十三、</w:t>
      </w:r>
      <w:bookmarkEnd w:id="100"/>
      <w:r>
        <w:rPr>
          <w:rFonts w:eastAsia="仿宋_GB2312" w:cs="仿宋_GB2312" w:hint="eastAsia"/>
          <w:sz w:val="32"/>
          <w:szCs w:val="32"/>
        </w:rPr>
        <w:t>财政拨款“三公”经费支出决算表</w:t>
      </w:r>
      <w:bookmarkStart w:id="101" w:name="_Toc7795"/>
      <w:bookmarkStart w:id="102" w:name="_Toc14480"/>
    </w:p>
    <w:p>
      <w:pPr>
        <w:pStyle w:val="24"/>
        <w:tabs>
          <w:tab w:val="right" w:leader="dot" w:pos="8296"/>
        </w:tabs>
        <w:adjustRightInd w:val="0"/>
        <w:snapToGrid w:val="0"/>
        <w:spacing w:line="560" w:lineRule="exact"/>
        <w:jc w:val="left"/>
        <w:rPr>
          <w:rFonts w:eastAsia="仿宋_GB2312" w:cs="仿宋_GB2312" w:hint="eastAsia"/>
          <w:sz w:val="32"/>
          <w:szCs w:val="32"/>
        </w:rPr>
      </w:pPr>
      <w:r>
        <w:rPr>
          <w:rFonts w:eastAsia="仿宋_GB2312" w:cs="仿宋_GB2312" w:hint="eastAsia"/>
          <w:sz w:val="32"/>
          <w:szCs w:val="32"/>
        </w:rPr>
        <w:t>十四、部门预算项目支出绩效自评表</w:t>
      </w:r>
      <w:bookmarkEnd w:id="101"/>
      <w:bookmarkEnd w:id="102"/>
    </w:p>
    <w:p>
      <w:pPr>
        <w:rPr>
          <w:rFonts w:hint="eastAsia"/>
        </w:rPr>
      </w:pPr>
    </w:p>
    <w:p/>
    <w:sectPr>
      <w:footerReference w:type="default" r:id="rId2"/>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0"/>
    <w:family w:val="roman"/>
    <w:pitch w:val="variable"/>
    <w:sig w:usb0="E0002EFF" w:usb1="C000785B" w:usb2="00000009" w:usb3="00000000" w:csb0="000001FF" w:csb1="00000000"/>
  </w:font>
  <w:font w:name="方正小标宋简体">
    <w:altName w:val="AR PL UKai CN"/>
    <w:panose1 w:val="02010601030101010101"/>
    <w:charset w:val="86"/>
    <w:family w:val="auto"/>
    <w:pitch w:val="variable"/>
    <w:sig w:usb0="00000001" w:usb1="080E0000" w:usb2="0000001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宋体">
    <w:altName w:val="AR PL UKai C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variable"/>
    <w:sig w:usb0="00000001" w:usb1="080E0000" w:usb2="0000001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Calibri">
    <w:altName w:val="DejaVu Sans"/>
    <w:panose1 w:val="020F0502020204030204"/>
    <w:charset w:val="00"/>
    <w:family w:val="swiss"/>
    <w:pitch w:val="variable"/>
    <w:sig w:usb0="E4002EFF" w:usb1="C200247B"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Cambria">
    <w:altName w:val="DejaVu Sans"/>
    <w:panose1 w:val="02040503050406030204"/>
    <w:charset w:val="00"/>
    <w:family w:val="roman"/>
    <w:pitch w:val="variable"/>
    <w:sig w:usb0="E00006FF" w:usb1="420024FF" w:usb2="02000000" w:usb3="00000000" w:csb0="0000019F" w:csb1="00000000"/>
  </w:font>
  <w:font w:name="Arial">
    <w:altName w:val="DejaVu Sans"/>
    <w:panose1 w:val="020B0604020202020204"/>
    <w:charset w:val="00"/>
    <w:family w:val="swiss"/>
    <w:pitch w:val="variable"/>
    <w:sig w:usb0="E0002EFF" w:usb1="C000785B" w:usb2="00000009" w:usb3="00000000" w:csb0="000001FF" w:csb1="00000000"/>
  </w:font>
  <w:font w:name="??">
    <w:altName w:val="DejaVu Sans"/>
    <w:panose1 w:val="00000000000000000000"/>
    <w:charset w:val="00"/>
    <w:family w:val="roman"/>
    <w:pitch w:val="variable"/>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04F3567"/>
    <w:multiLevelType w:val="hybridMultilevel"/>
    <w:tmpl w:val="4EA0B80E"/>
    <w:lvl w:ilvl="0">
      <w:start w:val="1"/>
      <w:numFmt w:val="japaneseCounting"/>
      <w:lvlRestart w:val="0"/>
      <w:lvlText w:val="%1、"/>
      <w:lvlJc w:val="left"/>
      <w:pPr>
        <w:tabs>
          <w:tab w:val="num" w:pos="0"/>
        </w:tabs>
        <w:ind w:left="648" w:hanging="648"/>
      </w:pPr>
      <w:rPr>
        <w:rFonts w:hint="default"/>
      </w:rPr>
    </w:lvl>
    <w:lvl w:ilvl="1">
      <w:start w:val="1"/>
      <w:numFmt w:val="lowerLetter"/>
      <w:lvlText w:val="%2)"/>
      <w:lvlJc w:val="left"/>
      <w:pPr>
        <w:tabs>
          <w:tab w:val="num" w:pos="0"/>
        </w:tabs>
        <w:ind w:left="880" w:hanging="440"/>
      </w:pPr>
    </w:lvl>
    <w:lvl w:ilvl="2">
      <w:start w:val="1"/>
      <w:numFmt w:val="lowerRoman"/>
      <w:lvlText w:val="%3."/>
      <w:lvlJc w:val="right"/>
      <w:pPr>
        <w:tabs>
          <w:tab w:val="num" w:pos="0"/>
        </w:tabs>
        <w:ind w:left="1320" w:hanging="440"/>
      </w:pPr>
    </w:lvl>
    <w:lvl w:ilvl="3">
      <w:start w:val="1"/>
      <w:numFmt w:val="decimal"/>
      <w:lvlText w:val="%4."/>
      <w:lvlJc w:val="left"/>
      <w:pPr>
        <w:tabs>
          <w:tab w:val="num" w:pos="0"/>
        </w:tabs>
        <w:ind w:left="1760" w:hanging="440"/>
      </w:pPr>
    </w:lvl>
    <w:lvl w:ilvl="4">
      <w:start w:val="1"/>
      <w:numFmt w:val="lowerLetter"/>
      <w:lvlText w:val="%5)"/>
      <w:lvlJc w:val="left"/>
      <w:pPr>
        <w:tabs>
          <w:tab w:val="num" w:pos="0"/>
        </w:tabs>
        <w:ind w:left="2200" w:hanging="440"/>
      </w:pPr>
    </w:lvl>
    <w:lvl w:ilvl="5">
      <w:start w:val="1"/>
      <w:numFmt w:val="lowerRoman"/>
      <w:lvlText w:val="%6."/>
      <w:lvlJc w:val="right"/>
      <w:pPr>
        <w:tabs>
          <w:tab w:val="num" w:pos="0"/>
        </w:tabs>
        <w:ind w:left="2640" w:hanging="440"/>
      </w:pPr>
    </w:lvl>
    <w:lvl w:ilvl="6">
      <w:start w:val="1"/>
      <w:numFmt w:val="decimal"/>
      <w:lvlText w:val="%7."/>
      <w:lvlJc w:val="left"/>
      <w:pPr>
        <w:tabs>
          <w:tab w:val="num" w:pos="0"/>
        </w:tabs>
        <w:ind w:left="3080" w:hanging="440"/>
      </w:pPr>
    </w:lvl>
    <w:lvl w:ilvl="7">
      <w:start w:val="1"/>
      <w:numFmt w:val="lowerLetter"/>
      <w:lvlText w:val="%8)"/>
      <w:lvlJc w:val="left"/>
      <w:pPr>
        <w:tabs>
          <w:tab w:val="num" w:pos="0"/>
        </w:tabs>
        <w:ind w:left="3520" w:hanging="440"/>
      </w:pPr>
    </w:lvl>
    <w:lvl w:ilvl="8">
      <w:start w:val="1"/>
      <w:numFmt w:val="lowerRoman"/>
      <w:lvlText w:val="%9."/>
      <w:lvlJc w:val="right"/>
      <w:pPr>
        <w:tabs>
          <w:tab w:val="num" w:pos="0"/>
        </w:tabs>
        <w:ind w:left="3960" w:hanging="440"/>
      </w:pPr>
    </w:lvl>
  </w:abstractNum>
  <w:abstractNum w:abstractNumId="1">
    <w:nsid w:val="62621CDC"/>
    <w:multiLevelType w:val="multilevel"/>
    <w:tmpl w:val="62621CDC"/>
    <w:lvl w:ilvl="0">
      <w:start w:val="1"/>
      <w:numFmt w:val="decimal"/>
      <w:lvlRestart w:val="0"/>
      <w:lvlText w:val="%1."/>
      <w:lvlJc w:val="left"/>
      <w:pPr>
        <w:tabs>
          <w:tab w:val="num" w:pos="0"/>
        </w:tabs>
        <w:ind w:left="1152" w:hanging="480"/>
      </w:pPr>
      <w:rPr>
        <w:rFonts w:hint="default"/>
      </w:rPr>
    </w:lvl>
    <w:lvl w:ilvl="1">
      <w:start w:val="1"/>
      <w:numFmt w:val="lowerLetter"/>
      <w:lvlText w:val="%2)"/>
      <w:lvlJc w:val="left"/>
      <w:pPr>
        <w:tabs>
          <w:tab w:val="num" w:pos="0"/>
        </w:tabs>
        <w:ind w:left="1512" w:hanging="420"/>
      </w:pPr>
    </w:lvl>
    <w:lvl w:ilvl="2">
      <w:start w:val="1"/>
      <w:numFmt w:val="lowerRoman"/>
      <w:lvlText w:val="%3."/>
      <w:lvlJc w:val="right"/>
      <w:pPr>
        <w:tabs>
          <w:tab w:val="num" w:pos="0"/>
        </w:tabs>
        <w:ind w:left="1932" w:hanging="420"/>
      </w:pPr>
    </w:lvl>
    <w:lvl w:ilvl="3">
      <w:start w:val="1"/>
      <w:numFmt w:val="decimal"/>
      <w:lvlText w:val="%4."/>
      <w:lvlJc w:val="left"/>
      <w:pPr>
        <w:tabs>
          <w:tab w:val="num" w:pos="0"/>
        </w:tabs>
        <w:ind w:left="2352" w:hanging="420"/>
      </w:pPr>
    </w:lvl>
    <w:lvl w:ilvl="4">
      <w:start w:val="1"/>
      <w:numFmt w:val="lowerLetter"/>
      <w:lvlText w:val="%5)"/>
      <w:lvlJc w:val="left"/>
      <w:pPr>
        <w:tabs>
          <w:tab w:val="num" w:pos="0"/>
        </w:tabs>
        <w:ind w:left="2772" w:hanging="420"/>
      </w:pPr>
    </w:lvl>
    <w:lvl w:ilvl="5">
      <w:start w:val="1"/>
      <w:numFmt w:val="lowerRoman"/>
      <w:lvlText w:val="%6."/>
      <w:lvlJc w:val="right"/>
      <w:pPr>
        <w:tabs>
          <w:tab w:val="num" w:pos="0"/>
        </w:tabs>
        <w:ind w:left="3192" w:hanging="420"/>
      </w:pPr>
    </w:lvl>
    <w:lvl w:ilvl="6">
      <w:start w:val="1"/>
      <w:numFmt w:val="decimal"/>
      <w:lvlText w:val="%7."/>
      <w:lvlJc w:val="left"/>
      <w:pPr>
        <w:tabs>
          <w:tab w:val="num" w:pos="0"/>
        </w:tabs>
        <w:ind w:left="3612" w:hanging="420"/>
      </w:pPr>
    </w:lvl>
    <w:lvl w:ilvl="7">
      <w:start w:val="1"/>
      <w:numFmt w:val="lowerLetter"/>
      <w:lvlText w:val="%8)"/>
      <w:lvlJc w:val="left"/>
      <w:pPr>
        <w:tabs>
          <w:tab w:val="num" w:pos="0"/>
        </w:tabs>
        <w:ind w:left="4032" w:hanging="420"/>
      </w:pPr>
    </w:lvl>
    <w:lvl w:ilvl="8">
      <w:start w:val="1"/>
      <w:numFmt w:val="lowerRoman"/>
      <w:lvlText w:val="%9."/>
      <w:lvlJc w:val="right"/>
      <w:pPr>
        <w:tabs>
          <w:tab w:val="num" w:pos="0"/>
        </w:tabs>
        <w:ind w:left="4452"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spacing w:after="160" w:line="278" w:lineRule="auto"/>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spacing w:after="160" w:line="278" w:lineRule="auto"/>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 w:type="paragraph" w:styleId="36">
    <w:name w:val="TOC Heading"/>
    <w:basedOn w:val="1"/>
    <w:next w:val="0"/>
    <w:pPr>
      <w:keepNext/>
      <w:keepLines/>
      <w:widowControl/>
      <w:spacing w:before="240" w:after="0" w:line="259" w:lineRule="auto"/>
      <w:jc w:val="left"/>
      <w:outlineLvl w:val="9"/>
    </w:pPr>
    <w:rPr>
      <w:rFonts w:ascii="Cambria" w:eastAsia="宋体" w:cs="Times New Roman" w:hAnsi="Cambria"/>
      <w:b w:val="0"/>
      <w:bCs w:val="0"/>
      <w:color w:val="365F91"/>
      <w:kern w:val="0"/>
      <w:sz w:val="32"/>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emf"/><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image" Target="media/7.emf"/><Relationship Id="rId7" Type="http://schemas.openxmlformats.org/officeDocument/2006/relationships/oleObject" Target="embeddings/oleObject1.bin"/><Relationship Id="rId8" Type="http://schemas.openxmlformats.org/officeDocument/2006/relationships/image" Target="media/9.emf"/><Relationship Id="rId9" Type="http://schemas.openxmlformats.org/officeDocument/2006/relationships/chart" Target="charts/chart3.xml"/><Relationship Id="rId10" Type="http://schemas.openxmlformats.org/officeDocument/2006/relationships/image" Target="media/13.emf"/><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1.1901284E-4"/>
                  <c:y val="-0.12881935"/>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1082.98</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3"/>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showLegendKey val="0"/>
            <c:showVal val="0"/>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729.13</c:v>
                </c:pt>
                <c:pt idx="1">
                  <c:v>353.85</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198AF"/>
              </a:solidFill>
              <a:ln>
                <a:noFill/>
              </a:ln>
            </c:spPr>
          </c:dPt>
          <c:dPt>
            <c:idx val="5"/>
            <c:bubble3D val="0"/>
            <c:spPr>
              <a:solidFill>
                <a:srgbClr val="DB843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 sourceLinked="0"/>
            <c:showLegendKey val="0"/>
            <c:showVal val="0"/>
            <c:showCatName val="0"/>
            <c:showSerName val="0"/>
            <c:showPercent val="1"/>
            <c:showBubbleSize val="0"/>
            <c:showLeaderLines val="0"/>
          </c:dLbls>
          <c:cat>
            <c:strRef>
              <c:f>'Sheet1 (5)'!$A$2:$A$7</c:f>
              <c:strCache>
                <c:ptCount val="6"/>
                <c:pt idx="0">
                  <c:v>一般公共服务</c:v>
                </c:pt>
                <c:pt idx="1">
                  <c:v>农林水支出</c:v>
                </c:pt>
                <c:pt idx="2">
                  <c:v>社会保障和就业支出</c:v>
                </c:pt>
                <c:pt idx="3">
                  <c:v>卫生健康支出</c:v>
                </c:pt>
                <c:pt idx="4">
                  <c:v>住房保障支出</c:v>
                </c:pt>
                <c:pt idx="5">
                  <c:v>节能环保支出</c:v>
                </c:pt>
              </c:strCache>
            </c:strRef>
          </c:cat>
          <c:val>
            <c:numRef>
              <c:f>'Sheet1 (5)'!$B$2:$B$7</c:f>
              <c:numCache>
                <c:formatCode>General</c:formatCode>
                <c:ptCount val="6"/>
                <c:pt idx="0">
                  <c:v>349.88</c:v>
                </c:pt>
                <c:pt idx="1">
                  <c:v>515.37</c:v>
                </c:pt>
                <c:pt idx="2">
                  <c:v>116.16</c:v>
                </c:pt>
                <c:pt idx="3">
                  <c:v>41.1</c:v>
                </c:pt>
                <c:pt idx="4">
                  <c:v>55.66</c:v>
                </c:pt>
                <c:pt idx="5">
                  <c:v>4.8</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44</TotalTime>
  <Application>Yozo_Office27021597764231179</Application>
  <Pages>30</Pages>
  <Words>9732</Words>
  <Characters>10676</Characters>
  <Lines>616</Lines>
  <Paragraphs>297</Paragraphs>
  <CharactersWithSpaces>10842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320</cp:revision>
  <cp:lastPrinted>2025-08-06T17:34:00Z</cp:lastPrinted>
  <dcterms:created xsi:type="dcterms:W3CDTF">2020-08-09T09:49:00Z</dcterms:created>
  <dcterms:modified xsi:type="dcterms:W3CDTF">2025-08-28T02:22:24Z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04787F2533EB45DC91BCDE4AB213247F</vt:lpwstr>
  </property>
</Properties>
</file>