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</w:rPr>
        <w:t>2024年独松乡人民政府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2024年，我单位部门预算</w:t>
      </w:r>
      <w:r>
        <w:rPr>
          <w:rFonts w:ascii="仿宋_GB2312" w:eastAsia="仿宋_GB2312" w:cs="仿宋_GB2312"/>
          <w:sz w:val="32"/>
          <w:szCs w:val="32"/>
        </w:rPr>
        <w:t>811.47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完成了2024年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本级部门预算整体绩效目标申报和</w:t>
      </w: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个项目预算绩效目标申报，并编报</w:t>
      </w: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</w:t>
      </w:r>
      <w:r>
        <w:rPr>
          <w:rFonts w:ascii="仿宋_GB2312" w:eastAsia="仿宋_GB2312" w:cs="仿宋_GB2312"/>
          <w:sz w:val="32"/>
          <w:szCs w:val="32"/>
        </w:rPr>
        <w:t>感染</w:t>
      </w:r>
      <w:r>
        <w:rPr>
          <w:rFonts w:ascii="仿宋_GB2312" w:eastAsia="仿宋_GB2312" w:cs="仿宋_GB2312" w:hint="eastAsia"/>
          <w:sz w:val="32"/>
          <w:szCs w:val="32"/>
        </w:rPr>
        <w:t>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二是自新冠疫情发生以来，全乡上下众志成城、争分夺秒，用实际行动投入疫情防控阻击战，党员干部率先垂范、冲锋在前、勇于担当，人民群众主动参与、甘于奉献、守望相助，迅速筑起疫情防控坚实防线。我们始终坚持“人民至上、生命至上”，认真贯彻落实中央和省州县疫情防控决策部署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三是始终坚持以习近平生态文明思想为指引，认真践行“绿水青山就是金山银山”“重在保护、要在治理、高质量发展”理念，切实把生态环境保护摆在压倒性位置，共抓大保护、不搞大开发。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四是坚定贯彻总体国家安全观，旗帜鲜明开展反分维稳斗争，扫黑除恶专项斗争强力推进，“天网”“雪亮”工程拓展延伸，平安防线牢不可破，“两项”改革调整优化4个村。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重点项目1：独松乡人民政府办公室日常公用经费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ascii="仿宋_GB2312" w:eastAsia="仿宋_GB2312" w:cs="仿宋_GB2312" w:hint="eastAsia"/>
          <w:sz w:val="32"/>
          <w:szCs w:val="32"/>
        </w:rPr>
        <w:t>；效益指标，经济效益指标，“三公经费”控制率≤1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；产出指标，数量指标，科目调整次数≤5次。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重点项目2：独松乡基层组织活动和公共服务运行经费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切实保障基层组织正常开展活动、农村公共服务运行维护和村级办公运转等服务群众的必要支出，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个，包括产出指标，时效指标，资金按时拨付率=</w:t>
      </w:r>
      <w:r>
        <w:rPr>
          <w:rFonts w:ascii="仿宋_GB2312" w:eastAsia="仿宋_GB2312" w:cs="仿宋_GB2312"/>
          <w:sz w:val="32"/>
          <w:szCs w:val="32"/>
        </w:rPr>
        <w:t>100%</w:t>
      </w:r>
      <w:r>
        <w:rPr>
          <w:rFonts w:ascii="仿宋_GB2312" w:eastAsia="仿宋_GB2312" w:cs="仿宋_GB2312" w:hint="eastAsia"/>
          <w:sz w:val="32"/>
          <w:szCs w:val="32"/>
        </w:rPr>
        <w:t>；产出指标，数量指标，运行经费发放村个数=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个；成本指标，经济成本指标，基层组织活动和公共服务运行经费=</w:t>
      </w:r>
      <w:r>
        <w:rPr>
          <w:rFonts w:ascii="仿宋_GB2312" w:eastAsia="仿宋_GB2312" w:cs="仿宋_GB2312"/>
          <w:sz w:val="32"/>
          <w:szCs w:val="32"/>
        </w:rPr>
        <w:t>44</w:t>
      </w:r>
      <w:r>
        <w:rPr>
          <w:rFonts w:ascii="仿宋_GB2312" w:eastAsia="仿宋_GB2312" w:cs="仿宋_GB2312" w:hint="eastAsia"/>
          <w:sz w:val="32"/>
          <w:szCs w:val="32"/>
        </w:rPr>
        <w:t>万元；产出指标，质量指标，经费保障率=</w:t>
      </w:r>
      <w:r>
        <w:rPr>
          <w:rFonts w:ascii="仿宋_GB2312" w:eastAsia="仿宋_GB2312" w:cs="仿宋_GB2312"/>
          <w:sz w:val="32"/>
          <w:szCs w:val="32"/>
        </w:rPr>
        <w:t>100%;</w:t>
      </w:r>
      <w:r>
        <w:rPr>
          <w:rFonts w:ascii="仿宋_GB2312" w:eastAsia="仿宋_GB2312" w:cs="仿宋_GB2312" w:hint="eastAsia"/>
          <w:sz w:val="32"/>
          <w:szCs w:val="32"/>
        </w:rPr>
        <w:t>产出指标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数量指标,</w:t>
      </w:r>
      <w:r>
        <w:rPr>
          <w:rFonts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覆盖人数≥1</w:t>
      </w:r>
      <w:r>
        <w:rPr>
          <w:rFonts w:ascii="仿宋_GB2312" w:eastAsia="仿宋_GB2312" w:cs="仿宋_GB2312"/>
          <w:sz w:val="32"/>
          <w:szCs w:val="32"/>
        </w:rPr>
        <w:t>500</w:t>
      </w:r>
      <w:r>
        <w:rPr>
          <w:rFonts w:ascii="仿宋_GB2312" w:eastAsia="仿宋_GB2312" w:cs="仿宋_GB2312" w:hint="eastAsia"/>
          <w:sz w:val="32"/>
          <w:szCs w:val="32"/>
        </w:rPr>
        <w:t>人；效益指标，社会效益指标，提高基</w:t>
      </w:r>
      <w:r>
        <w:rPr>
          <w:rFonts w:ascii="仿宋_GB2312" w:eastAsia="仿宋_GB2312" w:cs="仿宋_GB2312"/>
          <w:sz w:val="32"/>
          <w:szCs w:val="32"/>
        </w:rPr>
        <w:t>层</w:t>
      </w:r>
      <w:r>
        <w:rPr>
          <w:rFonts w:ascii="仿宋_GB2312" w:eastAsia="仿宋_GB2312" w:cs="仿宋_GB2312" w:hint="eastAsia"/>
          <w:sz w:val="32"/>
          <w:szCs w:val="32"/>
        </w:rPr>
        <w:t>组织引领发展、服务群众的能力和水平≥9</w:t>
      </w:r>
      <w:r>
        <w:rPr>
          <w:rFonts w:ascii="仿宋_GB2312" w:eastAsia="仿宋_GB2312" w:cs="仿宋_GB2312"/>
          <w:sz w:val="32"/>
          <w:szCs w:val="32"/>
        </w:rPr>
        <w:t>7%</w:t>
      </w:r>
      <w:r>
        <w:rPr>
          <w:rFonts w:ascii="仿宋_GB2312" w:eastAsia="仿宋_GB2312" w:cs="仿宋_GB2312" w:hint="eastAsia"/>
          <w:sz w:val="32"/>
          <w:szCs w:val="32"/>
        </w:rPr>
        <w:t>；满意度指标，服务对象满意度指标，受益群众满意度≥9</w:t>
      </w:r>
      <w:r>
        <w:rPr>
          <w:rFonts w:ascii="仿宋_GB2312" w:eastAsia="仿宋_GB2312" w:cs="仿宋_GB2312"/>
          <w:sz w:val="32"/>
          <w:szCs w:val="32"/>
        </w:rPr>
        <w:t>9%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：独松乡党委办公室日常公用经费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ascii="仿宋_GB2312" w:eastAsia="仿宋_GB2312" w:cs="仿宋_GB2312" w:hint="eastAsia"/>
          <w:sz w:val="32"/>
          <w:szCs w:val="32"/>
        </w:rPr>
        <w:t>；效益指标，经济效益指标，“三公经费”控制率≤1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；产出指标，数量指标，科目调整次数≤5次。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：独松乡人大办公室日常公用经费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ascii="仿宋_GB2312" w:eastAsia="仿宋_GB2312" w:cs="仿宋_GB2312" w:hint="eastAsia"/>
          <w:sz w:val="32"/>
          <w:szCs w:val="32"/>
        </w:rPr>
        <w:t>；效益指标，经济效益指标，“三公经费”控制率≤1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；产出指标，数量指标，科目调整次数≤5次。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：独松乡综合服务中心日常公用经费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ascii="仿宋_GB2312" w:eastAsia="仿宋_GB2312" w:cs="仿宋_GB2312" w:hint="eastAsia"/>
          <w:sz w:val="32"/>
          <w:szCs w:val="32"/>
        </w:rPr>
        <w:t>；效益指标，经济效益指标，“三公经费”控制率≤1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ascii="仿宋_GB2312" w:eastAsia="仿宋_GB2312" w:cs="仿宋_GB2312" w:hint="eastAsia"/>
          <w:sz w:val="32"/>
          <w:szCs w:val="32"/>
        </w:rPr>
        <w:t>；产出指标，数量指标，科目调整次数≤5次。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Calibri"/>
    <w:panose1 w:val="00000000000000000000"/>
    <w:charset w:val="00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31</TotalTime>
  <Application>Yozo_Office27021597764231179</Application>
  <Pages>4</Pages>
  <Words>1702</Words>
  <Characters>1767</Characters>
  <Lines>84</Lines>
  <Paragraphs>27</Paragraphs>
  <CharactersWithSpaces>1771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41</cp:revision>
  <dcterms:created xsi:type="dcterms:W3CDTF">2023-02-06T06:46:00Z</dcterms:created>
  <dcterms:modified xsi:type="dcterms:W3CDTF">2024-03-13T09:00:34Z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  <property fmtid="{D5CDD505-2E9C-101B-9397-08002B2CF9AE}" pid="3" name="GrammarlyDocumentId">
    <vt:lpwstr>194dcdb2f244917582271662251abafb938e653bd1f3df52549adcaf77e34a20</vt:lpwstr>
  </property>
</Properties>
</file>