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方正小标宋简体" w:eastAsia="方正小标宋简体"/>
          <w:color w:val="000000"/>
          <w:sz w:val="72"/>
          <w:szCs w:val="72"/>
        </w:rPr>
      </w:pPr>
      <w:bookmarkStart w:id="1" w:name="_Toc15378441"/>
      <w:bookmarkStart w:id="2" w:name="_Toc15377425"/>
      <w:bookmarkStart w:id="3" w:name="_Toc12796"/>
      <w:bookmarkStart w:id="4" w:name="_Toc15396475"/>
      <w:bookmarkStart w:id="5" w:name="_Toc15396597"/>
      <w:bookmarkStart w:id="6" w:name="_Toc15377193"/>
      <w:r>
        <w:rPr>
          <w:rFonts w:ascii="黑体" w:eastAsia="黑体"/>
          <w:color w:val="000000"/>
          <w:sz w:val="72"/>
          <w:szCs w:val="72"/>
        </w:rPr>
        <w:t>202</w:t>
      </w:r>
      <w:r>
        <w:rPr>
          <w:rFonts w:ascii="黑体" w:eastAsia="黑体" w:hint="eastAsia"/>
          <w:color w:val="000000"/>
          <w:sz w:val="72"/>
          <w:szCs w:val="72"/>
        </w:rPr>
        <w:t>2</w:t>
      </w:r>
      <w:r>
        <w:rPr>
          <w:rFonts w:ascii="方正小标宋简体" w:eastAsia="方正小标宋简体" w:hint="eastAsia"/>
          <w:color w:val="000000"/>
          <w:sz w:val="72"/>
          <w:szCs w:val="72"/>
        </w:rPr>
        <w:t>年度</w:t>
      </w:r>
      <w:bookmarkEnd w:id="1"/>
      <w:bookmarkEnd w:id="2"/>
      <w:bookmarkEnd w:id="3"/>
      <w:bookmarkEnd w:id="4"/>
      <w:bookmarkEnd w:id="5"/>
      <w:bookmarkEnd w:id="6"/>
    </w:p>
    <w:p>
      <w:pPr>
        <w:jc w:val="center"/>
        <w:rPr>
          <w:rFonts w:ascii="方正小标宋简体" w:eastAsia="方正小标宋简体"/>
          <w:color w:val="000000"/>
          <w:sz w:val="72"/>
          <w:szCs w:val="72"/>
        </w:rPr>
      </w:pPr>
      <w:bookmarkStart w:id="7" w:name="_Toc15396476"/>
      <w:bookmarkStart w:id="8" w:name="_Toc6811"/>
      <w:bookmarkStart w:id="9" w:name="_Toc15378442"/>
      <w:bookmarkStart w:id="10" w:name="_Toc15377426"/>
      <w:bookmarkStart w:id="11" w:name="_Toc15377194"/>
      <w:bookmarkStart w:id="12" w:name="_Toc15396598"/>
      <w:bookmarkStart w:id="13" w:name="_Toc15306268"/>
      <w:bookmarkEnd w:id="0"/>
      <w:r>
        <w:rPr>
          <w:rFonts w:ascii="方正小标宋简体" w:eastAsia="方正小标宋简体" w:hint="eastAsia"/>
          <w:color w:val="000000"/>
          <w:sz w:val="72"/>
          <w:szCs w:val="72"/>
        </w:rPr>
        <w:t>金川县独松乡人民政府</w:t>
      </w:r>
    </w:p>
    <w:p>
      <w:pPr>
        <w:jc w:val="center"/>
        <w:rPr>
          <w:rFonts w:ascii="方正小标宋简体" w:eastAsia="方正小标宋简体"/>
          <w:color w:val="000000"/>
          <w:sz w:val="72"/>
          <w:szCs w:val="72"/>
        </w:rPr>
      </w:pPr>
      <w:r>
        <w:rPr>
          <w:rFonts w:ascii="方正小标宋简体" w:eastAsia="方正小标宋简体" w:hint="eastAsia"/>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pStyle w:val="15"/>
      </w:pPr>
    </w:p>
    <w:p/>
    <w:p>
      <w:pPr>
        <w:pStyle w:val="15"/>
      </w:pPr>
    </w:p>
    <w:p/>
    <w:p>
      <w:pPr>
        <w:pStyle w:val="15"/>
      </w:pPr>
    </w:p>
    <w:p/>
    <w:p>
      <w:pPr>
        <w:pStyle w:val="15"/>
      </w:pPr>
    </w:p>
    <w:p/>
    <w:p>
      <w:pPr>
        <w:pStyle w:val="15"/>
      </w:pPr>
    </w:p>
    <w:p>
      <w:pPr>
        <w:rPr>
          <w:rFonts w:hint="eastAsia"/>
        </w:rPr>
      </w:pPr>
    </w:p>
    <w:p>
      <w:pPr>
        <w:widowControl/>
        <w:jc w:val="center"/>
        <w:rPr>
          <w:rFonts w:ascii="方正小标宋简体" w:eastAsia="方正小标宋简体"/>
          <w:color w:val="000000"/>
          <w:sz w:val="36"/>
          <w:szCs w:val="36"/>
        </w:rPr>
      </w:pPr>
      <w:r>
        <w:rPr>
          <w:rFonts w:eastAsia="仿宋_GB2312"/>
          <w:sz w:val="32"/>
          <w:szCs w:val="32"/>
        </w:rPr>
        <w:t>已经保密审查、内容审定，同意对外公开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ascii="黑体" w:eastAsia="黑体" w:hint="eastAsia"/>
          <w:color w:val="000000"/>
          <w:sz w:val="48"/>
          <w:szCs w:val="48"/>
        </w:rPr>
        <w:t>目录</w:t>
      </w:r>
    </w:p>
    <w:p>
      <w:pPr>
        <w:pStyle w:val="15"/>
        <w:ind w:leftChars="95" w:left="465" w:hangingChars="95" w:hanging="266"/>
        <w:rPr>
          <w:rFonts w:eastAsia="仿宋" w:hint="eastAsia"/>
          <w:sz w:val="28"/>
          <w:szCs w:val="28"/>
        </w:rPr>
      </w:pPr>
    </w:p>
    <w:p>
      <w:pPr>
        <w:jc w:val="center"/>
        <w:rPr>
          <w:rFonts w:eastAsia="仿宋" w:hint="eastAsia"/>
          <w:sz w:val="28"/>
          <w:szCs w:val="28"/>
        </w:rPr>
      </w:pPr>
      <w:r>
        <w:rPr>
          <w:rFonts w:eastAsia="仿宋" w:hint="eastAsia"/>
          <w:sz w:val="28"/>
          <w:szCs w:val="28"/>
        </w:rPr>
        <w:t>公开时间：2023年8月25日</w:t>
      </w:r>
    </w:p>
    <w:p>
      <w:pPr>
        <w:pStyle w:val="21"/>
        <w:tabs>
          <w:tab w:val="right" w:leader="dot" w:pos="8296"/>
        </w:tabs>
        <w:rPr>
          <w:rFonts w:ascii="Calibri" w:eastAsia="宋体" w:cs="Arial" w:hAnsi="Calibri"/>
          <w:sz w:val="21"/>
          <w:szCs w:val="22"/>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r>
        <w:fldChar w:fldCharType="begin"/>
      </w:r>
      <w:r>
        <w:instrText>Hyperlink \l "_Toc144131420"</w:instrText>
      </w:r>
      <w:r>
        <w:fldChar w:fldCharType="separate"/>
      </w:r>
      <w:r>
        <w:rPr>
          <w:rFonts w:ascii="黑体" w:eastAsia="黑体"/>
        </w:rPr>
        <w:t>第一部分 部门概况</w:t>
      </w:r>
      <w:r>
        <w:tab/>
      </w:r>
      <w:r>
        <w:fldChar w:fldCharType="begin"/>
      </w:r>
      <w:r>
        <w:instrText xml:space="preserve"> PAGEREF _Toc144131420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"_Toc144131421"</w:instrText>
      </w:r>
      <w:r>
        <w:fldChar w:fldCharType="separate"/>
      </w:r>
      <w:r>
        <w:rPr>
          <w:rFonts w:ascii="黑体" w:eastAsia="黑体"/>
        </w:rPr>
        <w:t>一、基本职能及主要工作</w:t>
      </w:r>
      <w:r>
        <w:tab/>
      </w:r>
      <w:r>
        <w:fldChar w:fldCharType="begin"/>
      </w:r>
      <w:r>
        <w:instrText xml:space="preserve"> PAGEREF _Toc144131421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"_Toc144131422"</w:instrText>
      </w:r>
      <w:r>
        <w:fldChar w:fldCharType="separate"/>
      </w:r>
      <w:r>
        <w:rPr>
          <w:rFonts w:ascii="楷体" w:eastAsia="楷体" w:cs="楷体"/>
        </w:rPr>
        <w:t>（一）主要职能</w:t>
      </w:r>
      <w:r>
        <w:tab/>
      </w:r>
      <w:r>
        <w:fldChar w:fldCharType="begin"/>
      </w:r>
      <w:r>
        <w:instrText xml:space="preserve"> PAGEREF _Toc144131422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"_Toc144131423"</w:instrText>
      </w:r>
      <w:r>
        <w:fldChar w:fldCharType="separate"/>
      </w:r>
      <w:r>
        <w:rPr>
          <w:rFonts w:ascii="楷体" w:eastAsia="楷体" w:cs="楷体"/>
        </w:rPr>
        <w:t>（二）2022年重点工作完成情况</w:t>
      </w:r>
      <w:r>
        <w:tab/>
      </w:r>
      <w:r>
        <w:fldChar w:fldCharType="begin"/>
      </w:r>
      <w:r>
        <w:instrText xml:space="preserve"> PAGEREF _Toc144131423 \h </w:instrText>
      </w:r>
      <w:r>
        <w:fldChar w:fldCharType="separate"/>
      </w:r>
      <w:r>
        <w:t>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"_Toc144131424"</w:instrText>
      </w:r>
      <w:r>
        <w:fldChar w:fldCharType="separate"/>
      </w:r>
      <w:r>
        <w:rPr>
          <w:rFonts w:ascii="黑体" w:eastAsia="黑体"/>
        </w:rPr>
        <w:t>二、机构设置</w:t>
      </w:r>
      <w:r>
        <w:tab/>
      </w:r>
      <w:r>
        <w:fldChar w:fldCharType="begin"/>
      </w:r>
      <w:r>
        <w:instrText xml:space="preserve"> PAGEREF _Toc144131424 \h </w:instrText>
      </w:r>
      <w:r>
        <w:fldChar w:fldCharType="separate"/>
      </w:r>
      <w:r>
        <w:t>5</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"_Toc144131425"</w:instrText>
      </w:r>
      <w:r>
        <w:fldChar w:fldCharType="separate"/>
      </w:r>
      <w:r>
        <w:rPr>
          <w:rFonts w:ascii="黑体" w:eastAsia="黑体"/>
        </w:rPr>
        <w:t>第二部分 2022年度部门决算情况说明</w:t>
      </w:r>
      <w:r>
        <w:tab/>
      </w:r>
      <w:r>
        <w:fldChar w:fldCharType="begin"/>
      </w:r>
      <w:r>
        <w:instrText xml:space="preserve"> PAGEREF _Toc144131425 \h </w:instrText>
      </w:r>
      <w:r>
        <w:fldChar w:fldCharType="separate"/>
      </w:r>
      <w:r>
        <w:t>6</w:t>
      </w:r>
      <w:r>
        <w:fldChar w:fldCharType="end"/>
      </w:r>
      <w:r>
        <w:fldChar w:fldCharType="end"/>
      </w:r>
    </w:p>
    <w:p>
      <w:pPr>
        <w:pStyle w:val="22"/>
        <w:tabs>
          <w:tab w:val="left" w:pos="1260"/>
          <w:tab w:val="right" w:leader="dot" w:pos="8296"/>
        </w:tabs>
        <w:rPr>
          <w:rFonts w:ascii="Calibri" w:eastAsia="宋体" w:cs="Arial" w:hAnsi="Calibri"/>
          <w:szCs w:val="22"/>
        </w:rPr>
      </w:pPr>
      <w:r>
        <w:fldChar w:fldCharType="begin"/>
      </w:r>
      <w:r>
        <w:instrText>Hyperlink \l "_Toc144131426"</w:instrText>
      </w:r>
      <w:r>
        <w:fldChar w:fldCharType="separate"/>
      </w:r>
      <w:r>
        <w:rPr>
          <w:rFonts w:ascii="黑体" w:eastAsia="黑体"/>
          <w:bCs/>
        </w:rPr>
        <w:t>一、</w:t>
      </w:r>
      <w:r>
        <w:rPr>
          <w:rFonts w:ascii="Calibri" w:eastAsia="宋体" w:cs="Arial" w:hAnsi="Calibri"/>
          <w:szCs w:val="22"/>
        </w:rPr>
        <w:tab/>
      </w:r>
      <w:r>
        <w:rPr>
          <w:rFonts w:ascii="黑体" w:eastAsia="黑体"/>
        </w:rPr>
        <w:t>收</w:t>
      </w:r>
      <w:r>
        <w:rPr>
          <w:rFonts w:ascii="黑体" w:eastAsia="黑体"/>
          <w:bCs/>
        </w:rPr>
        <w:t>入支出决算总体情况说明</w:t>
      </w:r>
      <w:r>
        <w:tab/>
      </w:r>
      <w:r>
        <w:fldChar w:fldCharType="begin"/>
      </w:r>
      <w:r>
        <w:instrText xml:space="preserve"> PAGEREF _Toc144131426 \h </w:instrText>
      </w:r>
      <w:r>
        <w:fldChar w:fldCharType="separate"/>
      </w:r>
      <w:r>
        <w:t>6</w:t>
      </w:r>
      <w:r>
        <w:fldChar w:fldCharType="end"/>
      </w:r>
      <w:r>
        <w:fldChar w:fldCharType="end"/>
      </w:r>
    </w:p>
    <w:p>
      <w:pPr>
        <w:pStyle w:val="22"/>
        <w:tabs>
          <w:tab w:val="left" w:pos="1260"/>
          <w:tab w:val="right" w:leader="dot" w:pos="8296"/>
        </w:tabs>
        <w:rPr>
          <w:rFonts w:ascii="Calibri" w:eastAsia="宋体" w:cs="Arial" w:hAnsi="Calibri"/>
          <w:szCs w:val="22"/>
        </w:rPr>
      </w:pPr>
      <w:r>
        <w:fldChar w:fldCharType="begin"/>
      </w:r>
      <w:r>
        <w:instrText>Hyperlink \l "_Toc144131427"</w:instrText>
      </w:r>
      <w:r>
        <w:fldChar w:fldCharType="separate"/>
      </w:r>
      <w:r>
        <w:rPr>
          <w:rFonts w:ascii="黑体" w:eastAsia="黑体"/>
          <w:bCs/>
        </w:rPr>
        <w:t>二、</w:t>
      </w:r>
      <w:r>
        <w:rPr>
          <w:rFonts w:ascii="Calibri" w:eastAsia="宋体" w:cs="Arial" w:hAnsi="Calibri"/>
          <w:szCs w:val="22"/>
        </w:rPr>
        <w:tab/>
      </w:r>
      <w:r>
        <w:rPr>
          <w:rFonts w:ascii="黑体" w:eastAsia="黑体"/>
        </w:rPr>
        <w:t>收入决</w:t>
      </w:r>
      <w:r>
        <w:rPr>
          <w:rFonts w:ascii="黑体" w:eastAsia="黑体"/>
          <w:bCs/>
        </w:rPr>
        <w:t>算情况说明</w:t>
      </w:r>
      <w:r>
        <w:tab/>
      </w:r>
      <w:r>
        <w:fldChar w:fldCharType="begin"/>
      </w:r>
      <w:r>
        <w:instrText xml:space="preserve"> PAGEREF _Toc144131427 \h </w:instrText>
      </w:r>
      <w:r>
        <w:fldChar w:fldCharType="separate"/>
      </w:r>
      <w:r>
        <w:t>6</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"_Toc144131428"</w:instrText>
      </w:r>
      <w:r>
        <w:fldChar w:fldCharType="separate"/>
      </w:r>
      <w:r>
        <w:rPr>
          <w:rFonts w:ascii="黑体" w:eastAsia="黑体"/>
        </w:rPr>
        <w:t>三、支出决</w:t>
      </w:r>
      <w:r>
        <w:rPr>
          <w:rFonts w:ascii="黑体" w:eastAsia="黑体"/>
          <w:bCs/>
        </w:rPr>
        <w:t>算情况说明</w:t>
      </w:r>
      <w:r>
        <w:tab/>
      </w:r>
      <w:r>
        <w:fldChar w:fldCharType="begin"/>
      </w:r>
      <w:r>
        <w:instrText xml:space="preserve"> PAGEREF _Toc144131428 \h </w:instrText>
      </w:r>
      <w:r>
        <w:fldChar w:fldCharType="separate"/>
      </w:r>
      <w:r>
        <w:t>7</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"_Toc144131429"</w:instrText>
      </w:r>
      <w:r>
        <w:fldChar w:fldCharType="separate"/>
      </w:r>
      <w:r>
        <w:rPr>
          <w:rFonts w:ascii="黑体" w:eastAsia="黑体"/>
        </w:rPr>
        <w:t>四、财政拨款收入支出决算总体情况说明</w:t>
      </w:r>
      <w:r>
        <w:tab/>
      </w:r>
      <w:r>
        <w:fldChar w:fldCharType="begin"/>
      </w:r>
      <w:r>
        <w:instrText xml:space="preserve"> PAGEREF _Toc144131429 \h </w:instrText>
      </w:r>
      <w:r>
        <w:fldChar w:fldCharType="separate"/>
      </w:r>
      <w:r>
        <w:t>7</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"_Toc144131430"</w:instrText>
      </w:r>
      <w:r>
        <w:fldChar w:fldCharType="separate"/>
      </w:r>
      <w:r>
        <w:rPr>
          <w:rFonts w:ascii="黑体" w:eastAsia="黑体"/>
        </w:rPr>
        <w:t>五、一般公共预算财政拨款支出决算情况说明</w:t>
      </w:r>
      <w:r>
        <w:tab/>
      </w:r>
      <w:r>
        <w:fldChar w:fldCharType="begin"/>
      </w:r>
      <w:r>
        <w:instrText xml:space="preserve"> PAGEREF _Toc144131430 \h </w:instrText>
      </w:r>
      <w:r>
        <w:fldChar w:fldCharType="separate"/>
      </w:r>
      <w:r>
        <w:t>8</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"_Toc144131431"</w:instrText>
      </w:r>
      <w:r>
        <w:fldChar w:fldCharType="separate"/>
      </w:r>
      <w:r>
        <w:rPr>
          <w:rFonts w:ascii="黑体" w:eastAsia="黑体"/>
        </w:rPr>
        <w:t>六、一般公共预算财政拨款基本支出决算情况说明</w:t>
      </w:r>
      <w:r>
        <w:tab/>
      </w:r>
      <w:r>
        <w:fldChar w:fldCharType="begin"/>
      </w:r>
      <w:r>
        <w:instrText xml:space="preserve"> PAGEREF _Toc144131431 \h </w:instrText>
      </w:r>
      <w:r>
        <w:fldChar w:fldCharType="separate"/>
      </w:r>
      <w:r>
        <w:t>12</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"_Toc144131432"</w:instrText>
      </w:r>
      <w:r>
        <w:fldChar w:fldCharType="separate"/>
      </w:r>
      <w:r>
        <w:rPr>
          <w:rFonts w:ascii="黑体" w:eastAsia="黑体"/>
        </w:rPr>
        <w:t>七、</w:t>
      </w:r>
      <w:r>
        <w:rPr>
          <w:rFonts w:ascii="黑体" w:eastAsia="黑体"/>
          <w:b/>
          <w:bCs/>
        </w:rPr>
        <w:t>“</w:t>
      </w:r>
      <w:r>
        <w:rPr>
          <w:rFonts w:ascii="黑体" w:eastAsia="黑体"/>
          <w:bCs/>
        </w:rPr>
        <w:t>三公”经费财政拨款支出决算情况说明</w:t>
      </w:r>
      <w:r>
        <w:tab/>
      </w:r>
      <w:r>
        <w:fldChar w:fldCharType="begin"/>
      </w:r>
      <w:r>
        <w:instrText xml:space="preserve"> PAGEREF _Toc144131432 \h </w:instrText>
      </w:r>
      <w:r>
        <w:fldChar w:fldCharType="separate"/>
      </w:r>
      <w:r>
        <w:t>12</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"_Toc144131433"</w:instrText>
      </w:r>
      <w:r>
        <w:fldChar w:fldCharType="separate"/>
      </w:r>
      <w:r>
        <w:rPr>
          <w:rFonts w:ascii="黑体" w:eastAsia="黑体"/>
        </w:rPr>
        <w:t>八、</w:t>
      </w:r>
      <w:r>
        <w:rPr>
          <w:rFonts w:ascii="黑体" w:eastAsia="黑体"/>
          <w:bCs/>
        </w:rPr>
        <w:t>政府性基金预算支出决算情况说明</w:t>
      </w:r>
      <w:r>
        <w:tab/>
      </w:r>
      <w:r>
        <w:fldChar w:fldCharType="begin"/>
      </w:r>
      <w:r>
        <w:instrText xml:space="preserve"> PAGEREF _Toc144131433 \h </w:instrText>
      </w:r>
      <w:r>
        <w:fldChar w:fldCharType="separate"/>
      </w:r>
      <w:r>
        <w:t>13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"_Toc144131434"</w:instrText>
      </w:r>
      <w:r>
        <w:fldChar w:fldCharType="separate"/>
      </w:r>
      <w:r>
        <w:rPr>
          <w:rFonts w:ascii="黑体" w:eastAsia="黑体"/>
          <w:bCs/>
        </w:rPr>
        <w:t>九、 国有资本经营预算支出决算情况说明</w:t>
      </w:r>
      <w:r>
        <w:tab/>
      </w:r>
      <w:r>
        <w:fldChar w:fldCharType="begin"/>
      </w:r>
      <w:r>
        <w:instrText xml:space="preserve"> PAGEREF _Toc144131434 \h </w:instrText>
      </w:r>
      <w:r>
        <w:fldChar w:fldCharType="separate"/>
      </w:r>
      <w:r>
        <w:t>13</w:t>
      </w:r>
      <w:r>
        <w:fldChar w:fldCharType="end"/>
      </w:r>
      <w:r>
        <w:fldChar w:fldCharType="end"/>
      </w:r>
    </w:p>
    <w:p>
      <w:pPr>
        <w:pStyle w:val="22"/>
        <w:tabs>
          <w:tab w:val="right" w:leader="dot" w:pos="8296"/>
        </w:tabs>
        <w:rPr>
          <w:rFonts w:ascii="Calibri" w:eastAsia="宋体" w:cs="Arial" w:hAnsi="Calibri"/>
          <w:szCs w:val="22"/>
        </w:rPr>
      </w:pPr>
      <w:r>
        <w:fldChar w:fldCharType="begin"/>
      </w:r>
      <w:r>
        <w:instrText>Hyperlink \l "_Toc144131435"</w:instrText>
      </w:r>
      <w:r>
        <w:fldChar w:fldCharType="separate"/>
      </w:r>
      <w:r>
        <w:rPr>
          <w:rFonts w:ascii="黑体" w:eastAsia="黑体"/>
        </w:rPr>
        <w:t>十、其他重要事项的情况说明</w:t>
      </w:r>
      <w:r>
        <w:tab/>
      </w:r>
      <w:r>
        <w:fldChar w:fldCharType="begin"/>
      </w:r>
      <w:r>
        <w:instrText xml:space="preserve"> PAGEREF _Toc144131435 \h </w:instrText>
      </w:r>
      <w:r>
        <w:fldChar w:fldCharType="separate"/>
      </w:r>
      <w:r>
        <w:t>13</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"_Toc144131436"</w:instrText>
      </w:r>
      <w:r>
        <w:fldChar w:fldCharType="separate"/>
      </w:r>
      <w:r>
        <w:rPr>
          <w:rFonts w:ascii="黑体" w:eastAsia="黑体"/>
          <w:bCs/>
          <w:kern w:val="44"/>
        </w:rPr>
        <w:t>第三部分</w:t>
      </w:r>
      <w:r>
        <w:rPr>
          <w:rFonts w:ascii="黑体" w:eastAsia="黑体"/>
          <w:bCs/>
        </w:rPr>
        <w:t xml:space="preserve"> 名</w:t>
      </w:r>
      <w:r>
        <w:rPr>
          <w:rFonts w:ascii="黑体" w:eastAsia="黑体"/>
          <w:bCs/>
          <w:kern w:val="44"/>
        </w:rPr>
        <w:t>词解释</w:t>
      </w:r>
      <w:r>
        <w:tab/>
      </w:r>
      <w:r>
        <w:fldChar w:fldCharType="begin"/>
      </w:r>
      <w:r>
        <w:instrText xml:space="preserve"> PAGEREF _Toc144131436 \h </w:instrText>
      </w:r>
      <w:r>
        <w:fldChar w:fldCharType="separate"/>
      </w:r>
      <w:r>
        <w:t>15</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"_Toc144131437"</w:instrText>
      </w:r>
      <w:r>
        <w:fldChar w:fldCharType="separate"/>
      </w:r>
      <w:r>
        <w:rPr>
          <w:rFonts w:ascii="黑体" w:eastAsia="黑体"/>
        </w:rPr>
        <w:t>第四部分 附件</w:t>
      </w:r>
      <w:r>
        <w:tab/>
      </w:r>
      <w:r>
        <w:fldChar w:fldCharType="begin"/>
      </w:r>
      <w:r>
        <w:instrText xml:space="preserve"> PAGEREF _Toc144131437 \h </w:instrText>
      </w:r>
      <w:r>
        <w:fldChar w:fldCharType="separate"/>
      </w:r>
      <w:r>
        <w:t>18</w:t>
      </w:r>
      <w:r>
        <w:fldChar w:fldCharType="end"/>
      </w:r>
      <w:r>
        <w:fldChar w:fldCharType="end"/>
      </w:r>
    </w:p>
    <w:p>
      <w:pPr>
        <w:pStyle w:val="21"/>
        <w:tabs>
          <w:tab w:val="right" w:leader="dot" w:pos="8296"/>
        </w:tabs>
        <w:rPr>
          <w:rFonts w:ascii="Calibri" w:eastAsia="宋体" w:cs="Arial" w:hAnsi="Calibri"/>
          <w:sz w:val="21"/>
          <w:szCs w:val="22"/>
        </w:rPr>
      </w:pPr>
      <w:r>
        <w:fldChar w:fldCharType="begin"/>
      </w:r>
      <w:r>
        <w:instrText>Hyperlink \l "_Toc144131438"</w:instrText>
      </w:r>
      <w:r>
        <w:fldChar w:fldCharType="separate"/>
      </w:r>
      <w:r>
        <w:rPr>
          <w:rFonts w:eastAsia="黑体"/>
        </w:rPr>
        <w:t>第</w:t>
      </w:r>
      <w:r>
        <w:rPr>
          <w:rFonts w:eastAsia="黑体"/>
          <w:kern w:val="44"/>
        </w:rPr>
        <w:t>五部分 附表</w:t>
      </w:r>
      <w:r>
        <w:tab/>
      </w:r>
      <w:r>
        <w:fldChar w:fldCharType="begin"/>
      </w:r>
      <w:r>
        <w:instrText xml:space="preserve"> PAGEREF _Toc144131438 \h </w:instrText>
      </w:r>
      <w:r>
        <w:fldChar w:fldCharType="separate"/>
      </w:r>
      <w:r>
        <w:t>24</w:t>
      </w:r>
      <w:r>
        <w:fldChar w:fldCharType="end"/>
      </w:r>
      <w:r>
        <w:fldChar w:fldCharType="end"/>
      </w:r>
    </w:p>
    <w:p>
      <w:pPr>
        <w:pStyle w:val="21"/>
        <w:tabs>
          <w:tab w:val="right" w:leader="dot" w:pos="8296"/>
        </w:tabs>
        <w:rPr>
          <w:color w:val="000000"/>
          <w:sz w:val="24"/>
        </w:rPr>
      </w:pPr>
      <w:r>
        <w:rPr>
          <w:color w:val="000000"/>
          <w:sz w:val="24"/>
        </w:rPr>
        <w:fldChar w:fldCharType="end"/>
      </w:r>
    </w:p>
    <w:p>
      <w:pPr>
        <w:widowControl/>
        <w:jc w:val="left"/>
        <w:rPr>
          <w:rFonts w:ascii="黑体" w:eastAsia="黑体"/>
          <w:bCs/>
          <w:kern w:val="44"/>
          <w:sz w:val="44"/>
          <w:szCs w:val="44"/>
        </w:rPr>
      </w:pPr>
      <w:bookmarkStart w:id="15" w:name="_Toc27352"/>
      <w:r>
        <w:rPr>
          <w:rFonts w:ascii="黑体" w:eastAsia="黑体"/>
          <w:b/>
        </w:rPr>
        <w:br w:type="page"/>
      </w:r>
    </w:p>
    <w:p>
      <w:pPr>
        <w:pStyle w:val="1"/>
        <w:jc w:val="center"/>
        <w:rPr>
          <w:rFonts w:ascii="黑体" w:eastAsia="黑体"/>
          <w:color w:val="000000"/>
          <w:sz w:val="32"/>
          <w:szCs w:val="32"/>
        </w:rPr>
      </w:pPr>
      <w:bookmarkStart w:id="16" w:name="_Toc144131420"/>
      <w:r>
        <w:rPr>
          <w:rFonts w:ascii="黑体" w:eastAsia="黑体" w:hint="eastAsia"/>
          <w:b w:val="0"/>
        </w:rPr>
        <w:t xml:space="preserve">第一部分 </w:t>
      </w:r>
      <w:r>
        <w:rPr>
          <w:rStyle w:val="1Char"/>
          <w:rFonts w:ascii="黑体" w:eastAsia="黑体" w:hint="eastAsia"/>
        </w:rPr>
        <w:t>部门概况</w:t>
      </w:r>
      <w:bookmarkEnd w:id="14"/>
      <w:bookmarkEnd w:id="15"/>
      <w:bookmarkEnd w:id="16"/>
    </w:p>
    <w:p>
      <w:pPr>
        <w:pStyle w:val="2"/>
        <w:spacing w:before="0" w:after="0" w:line="240" w:lineRule="auto"/>
        <w:ind w:left="640" w:hangingChars="200" w:hanging="640"/>
        <w:rPr>
          <w:rStyle w:val="2Char"/>
          <w:rFonts w:ascii="黑体" w:eastAsia="黑体"/>
        </w:rPr>
      </w:pPr>
      <w:bookmarkStart w:id="17" w:name="_Toc20678"/>
      <w:bookmarkStart w:id="18" w:name="_Toc15377197"/>
      <w:bookmarkStart w:id="19" w:name="_Toc144131421"/>
      <w:r>
        <w:rPr>
          <w:rFonts w:ascii="黑体" w:eastAsia="黑体" w:hint="eastAsia"/>
          <w:b w:val="0"/>
          <w:color w:val="000000"/>
        </w:rPr>
        <w:t>一、基</w:t>
      </w:r>
      <w:r>
        <w:rPr>
          <w:rStyle w:val="2Char"/>
          <w:rFonts w:ascii="黑体" w:eastAsia="黑体" w:hint="eastAsia"/>
        </w:rPr>
        <w:t>本职能及主要工作</w:t>
      </w:r>
      <w:bookmarkStart w:id="20" w:name="_Toc15377198"/>
      <w:bookmarkStart w:id="21" w:name="_Toc15378445"/>
      <w:bookmarkEnd w:id="17"/>
      <w:bookmarkEnd w:id="18"/>
      <w:bookmarkEnd w:id="19"/>
    </w:p>
    <w:p>
      <w:pPr>
        <w:pStyle w:val="2"/>
        <w:spacing w:before="0" w:after="0" w:line="240" w:lineRule="auto"/>
        <w:ind w:leftChars="153" w:left="641" w:hangingChars="100" w:hanging="320"/>
        <w:rPr>
          <w:rFonts w:ascii="楷体" w:eastAsia="楷体" w:cs="楷体"/>
          <w:color w:val="000000"/>
        </w:rPr>
      </w:pPr>
      <w:bookmarkStart w:id="22" w:name="_Toc31800"/>
      <w:bookmarkStart w:id="23" w:name="_Toc144131422"/>
      <w:r>
        <w:rPr>
          <w:rFonts w:ascii="楷体" w:eastAsia="楷体" w:cs="楷体" w:hint="eastAsia"/>
          <w:color w:val="000000"/>
        </w:rPr>
        <w:t>（一）主要职能</w:t>
      </w:r>
      <w:bookmarkStart w:id="24" w:name="_Toc15378446"/>
      <w:bookmarkStart w:id="25" w:name="_Toc15377199"/>
      <w:bookmarkEnd w:id="20"/>
      <w:bookmarkEnd w:id="21"/>
      <w:bookmarkEnd w:id="22"/>
      <w:bookmarkEnd w:id="23"/>
    </w:p>
    <w:p>
      <w:pPr>
        <w:ind w:firstLineChars="200" w:firstLine="640"/>
        <w:rPr>
          <w:rFonts w:ascii="仿宋_GB2312" w:eastAsia="仿宋_GB2312" w:cs="仿宋_GB2312"/>
          <w:sz w:val="32"/>
          <w:szCs w:val="32"/>
        </w:rPr>
      </w:pPr>
      <w:bookmarkStart w:id="26"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独松发展的新局面。</w:t>
      </w:r>
      <w:bookmarkStart w:id="27" w:name="_Toc15377200"/>
      <w:bookmarkEnd w:id="24"/>
      <w:bookmarkEnd w:id="25"/>
      <w:bookmarkEnd w:id="26"/>
    </w:p>
    <w:p>
      <w:pPr>
        <w:pStyle w:val="2"/>
        <w:spacing w:before="0" w:after="0" w:line="240" w:lineRule="auto"/>
        <w:ind w:leftChars="153" w:left="641" w:hangingChars="100" w:hanging="320"/>
        <w:rPr>
          <w:rFonts w:ascii="楷体" w:eastAsia="楷体" w:cs="楷体"/>
          <w:color w:val="000000"/>
        </w:rPr>
      </w:pPr>
      <w:bookmarkStart w:id="28" w:name="_Toc144131423"/>
      <w:r>
        <w:rPr>
          <w:rFonts w:ascii="楷体" w:eastAsia="楷体" w:cs="楷体" w:hint="eastAsia"/>
          <w:color w:val="000000"/>
        </w:rPr>
        <w:t>（二）</w:t>
      </w:r>
      <w:r>
        <w:rPr>
          <w:rFonts w:ascii="楷体" w:eastAsia="楷体" w:cs="楷体"/>
          <w:color w:val="000000"/>
        </w:rPr>
        <w:t>2022年重点工作完成情况</w:t>
      </w:r>
      <w:bookmarkEnd w:id="28"/>
    </w:p>
    <w:p>
      <w:pPr>
        <w:ind w:firstLineChars="200" w:firstLine="640"/>
        <w:rPr>
          <w:rFonts w:ascii="仿宋_GB2312" w:eastAsia="仿宋_GB2312" w:cs="仿宋_GB2312"/>
          <w:sz w:val="32"/>
          <w:szCs w:val="32"/>
        </w:rPr>
      </w:pPr>
      <w:r>
        <w:rPr>
          <w:rFonts w:ascii="仿宋_GB2312" w:eastAsia="仿宋_GB2312" w:cs="仿宋_GB2312"/>
          <w:sz w:val="32"/>
          <w:szCs w:val="32"/>
          <w:shd w:val="clear" w:color="auto" w:fill="FFFFFF"/>
        </w:rPr>
        <w:t>202</w:t>
      </w:r>
      <w:r>
        <w:rPr>
          <w:rFonts w:ascii="仿宋_GB2312" w:eastAsia="仿宋_GB2312" w:cs="仿宋_GB2312" w:hint="eastAsia"/>
          <w:sz w:val="32"/>
          <w:szCs w:val="32"/>
          <w:shd w:val="clear" w:color="auto" w:fill="FFFFFF"/>
        </w:rPr>
        <w:t>2</w:t>
      </w:r>
      <w:r>
        <w:rPr>
          <w:rFonts w:ascii="仿宋_GB2312"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00"/>
        <w:rPr>
          <w:rFonts w:ascii="仿宋_GB2312" w:eastAsia="仿宋_GB2312" w:cs="仿宋_GB2312"/>
          <w:sz w:val="32"/>
          <w:szCs w:val="32"/>
        </w:rPr>
      </w:pPr>
      <w:r>
        <w:rPr>
          <w:rFonts w:ascii="仿宋_GB2312" w:eastAsia="仿宋_GB2312" w:hint="eastAsia"/>
          <w:b/>
          <w:bCs/>
          <w:sz w:val="30"/>
          <w:szCs w:val="30"/>
        </w:rPr>
        <w:t>防疫工作：</w:t>
      </w:r>
      <w:r>
        <w:rPr>
          <w:rFonts w:ascii="仿宋_GB2312" w:eastAsia="仿宋_GB2312" w:cs="仿宋_GB2312" w:hint="eastAsia"/>
          <w:sz w:val="32"/>
          <w:szCs w:val="32"/>
        </w:rPr>
        <w:t>在冲击和危机面前，我们逆势求变、稳中求进，保住了势头、促进了发展。“坚奋进之志、谋创业之策”面临具有极强扩散性的新冠</w:t>
      </w:r>
      <w:r>
        <w:rPr>
          <w:rFonts w:ascii="仿宋_GB2312" w:eastAsia="仿宋_GB2312" w:cs="仿宋_GB2312"/>
          <w:sz w:val="32"/>
          <w:szCs w:val="32"/>
        </w:rPr>
        <w:t>感染</w:t>
      </w:r>
      <w:r>
        <w:rPr>
          <w:rFonts w:ascii="仿宋_GB2312" w:eastAsia="仿宋_GB2312" w:cs="仿宋_GB2312" w:hint="eastAsia"/>
          <w:sz w:val="32"/>
          <w:szCs w:val="32"/>
        </w:rPr>
        <w:t>疫情与多点频发的灾情，为确保全乡经济稳步推进，一年来，按照“目标不减、任务不减、严守实效关、把准质量关”的工作宗旨，不等不靠、主动出击，科学谋划发展大局，围绕经济建设、脱贫攻坚、项目投等重大工作因时因地开展复工复产。</w:t>
      </w:r>
    </w:p>
    <w:p>
      <w:pPr>
        <w:spacing w:line="560" w:lineRule="exact"/>
        <w:ind w:firstLineChars="200" w:firstLine="600"/>
        <w:rPr>
          <w:rFonts w:ascii="仿宋_GB2312" w:eastAsia="仿宋_GB2312" w:cs="仿宋_GB2312"/>
          <w:sz w:val="32"/>
          <w:szCs w:val="32"/>
        </w:rPr>
      </w:pPr>
      <w:r>
        <w:rPr>
          <w:rFonts w:ascii="仿宋_GB2312" w:eastAsia="仿宋_GB2312" w:hint="eastAsia"/>
          <w:b/>
          <w:bCs/>
          <w:sz w:val="30"/>
          <w:szCs w:val="30"/>
        </w:rPr>
        <w:t>农业工作：</w:t>
      </w:r>
      <w:r>
        <w:rPr>
          <w:rFonts w:ascii="仿宋_GB2312" w:eastAsia="仿宋_GB2312" w:cs="仿宋_GB2312" w:hint="eastAsia"/>
          <w:sz w:val="32"/>
          <w:szCs w:val="32"/>
        </w:rPr>
        <w:t>奏好“振兴曲”，农业发展纵深延续。自乡村振兴战略实施以来，全乡始终坚持党管农村工作、农业农村优先发展，坚持农民主体地位、因地制宜的工作原则，全力推进独松乡“面子”、“里子”工程的大提升。以产业振兴为支撑，壮大乡域经济。全面启动阶段性防疫工作，加强动物检疫，强化蹄疫、猪瘟、包虫病等疫病的接诊防治。</w:t>
      </w:r>
    </w:p>
    <w:p>
      <w:pPr>
        <w:spacing w:line="560" w:lineRule="exact"/>
        <w:ind w:firstLineChars="200" w:firstLine="600"/>
        <w:rPr>
          <w:rFonts w:ascii="仿宋_GB2312" w:eastAsia="仿宋_GB2312"/>
          <w:sz w:val="30"/>
          <w:szCs w:val="30"/>
        </w:rPr>
      </w:pPr>
      <w:r>
        <w:rPr>
          <w:rFonts w:ascii="仿宋_GB2312" w:eastAsia="仿宋_GB2312" w:hint="eastAsia"/>
          <w:b/>
          <w:bCs/>
          <w:sz w:val="30"/>
          <w:szCs w:val="30"/>
        </w:rPr>
        <w:t>林业工作：</w:t>
      </w:r>
      <w:r>
        <w:rPr>
          <w:rFonts w:ascii="仿宋_GB2312" w:eastAsia="仿宋_GB2312" w:hint="eastAsia"/>
          <w:sz w:val="30"/>
          <w:szCs w:val="30"/>
        </w:rPr>
        <w:t>加大护林防火工作力度。坚持做到早安排、早部署，完善各项制度，与各村、各相邻乡镇签订护林防火目标责任书和联防协议，努力确保渡过一个护林防火安全年。通过各种形式的宣传教育，开展护林防火和《</w:t>
      </w:r>
      <w:r>
        <w:rPr>
          <w:rFonts w:ascii="仿宋_GB2312" w:eastAsia="仿宋_GB2312"/>
          <w:sz w:val="30"/>
          <w:szCs w:val="30"/>
        </w:rPr>
        <w:t>中华人民共和国</w:t>
      </w:r>
      <w:r>
        <w:rPr>
          <w:rFonts w:ascii="仿宋_GB2312" w:eastAsia="仿宋_GB2312" w:hint="eastAsia"/>
          <w:sz w:val="30"/>
          <w:szCs w:val="30"/>
        </w:rPr>
        <w:t>森林法》及林业法律、法规、政策使广大干部群众和中小学生充分认识到森林和草原火灾的危害性和重要性，从而使广大农村群众自觉来维护林区安全。紧盯严防火灾发生目标，压实乡村主体责任，落细预警早、组织早、处置早举措，看牢源头、山头、坟头、田头重点区域，聚合乡村干部、生态管护员、群众力量，加强野外用火的管理管控，始终绷紧森林草原防火这根弦，有力有序推进防灭火工作</w:t>
      </w:r>
    </w:p>
    <w:p>
      <w:pPr>
        <w:snapToGrid w:val="0"/>
        <w:spacing w:line="520" w:lineRule="exact"/>
        <w:ind w:firstLineChars="200" w:firstLine="600"/>
        <w:rPr>
          <w:rFonts w:ascii="仿宋_GB2312" w:eastAsia="仿宋_GB2312"/>
          <w:sz w:val="30"/>
          <w:szCs w:val="30"/>
        </w:rPr>
      </w:pPr>
      <w:r>
        <w:rPr>
          <w:rFonts w:ascii="仿宋_GB2312" w:eastAsia="仿宋_GB2312" w:hint="eastAsia"/>
          <w:b/>
          <w:bCs/>
          <w:sz w:val="30"/>
          <w:szCs w:val="30"/>
        </w:rPr>
        <w:t>防汛工作日趋完善：</w:t>
      </w:r>
      <w:r>
        <w:rPr>
          <w:rFonts w:ascii="仿宋_GB2312" w:eastAsia="仿宋_GB2312" w:hint="eastAsia"/>
          <w:sz w:val="30"/>
          <w:szCs w:val="30"/>
        </w:rPr>
        <w:t>高度重视，加强领导。调整充实了乡防汛抗旱领导小组。领导小组定期召开会议，认真分析防汛工作面临的新形势，同时，切实加强应急职守和信息上报工作。周密部署，落实责任。修订完善了《独松乡地质灾害防御应急预案》，提高了预防和处置灾害的能力。做好应急物资的储备，购置了雨衣、手电筒、安全帽等必要的应急物资，以备不时之需。</w:t>
      </w:r>
    </w:p>
    <w:p>
      <w:pPr>
        <w:widowControl/>
        <w:snapToGrid w:val="0"/>
        <w:spacing w:line="520" w:lineRule="exact"/>
        <w:ind w:firstLineChars="200" w:firstLine="600"/>
        <w:rPr>
          <w:rFonts w:ascii="仿宋_GB2312" w:eastAsia="仿宋_GB2312"/>
          <w:sz w:val="30"/>
          <w:szCs w:val="30"/>
        </w:rPr>
      </w:pPr>
      <w:r>
        <w:rPr>
          <w:rFonts w:ascii="仿宋_GB2312" w:eastAsia="仿宋_GB2312" w:hint="eastAsia"/>
          <w:b/>
          <w:bCs/>
          <w:sz w:val="30"/>
          <w:szCs w:val="30"/>
        </w:rPr>
        <w:t>综治维稳工作：</w:t>
      </w:r>
      <w:r>
        <w:rPr>
          <w:rFonts w:ascii="仿宋_GB2312" w:eastAsia="仿宋_GB2312" w:hint="eastAsia"/>
          <w:sz w:val="30"/>
          <w:szCs w:val="30"/>
        </w:rPr>
        <w:t>一是做好信访工作。进一步健全信访维稳工作机制，从矛盾纠纷排查调处入手，努力发挥好乡、村、组三级组织作用，每半月开展一次、重点节日、重点维稳敏感期的矛盾纠纷排查工作，切实抓好流动人口、重点人口的管控工作，确保社会大局稳定。二是坚持安全发展。牢固树立“安全生产无小事”的思想，严格认真落实“一岗双责，党政同责”责任制，完善和健全相关的制度、预案，加大安全生产、食品药品执法检查力度，坚持宣传常态化，有力提高人民群众的安全意识。三是打造平安独松。纵深推进“八五”普法，增强全民法治意识，全面落实法治政府建设实施纲要，加快依法治乡建设进程；积极开展民族团结进步创建工作；扎实开展“扫黑除恶”专项行动年活动，加大对黑、恶、乱等现象的打击力度，保持对违法犯罪的严打高压态势，在全乡范围内推动基础治理建设，营造安定有序的社会发展环境。</w:t>
      </w:r>
      <w:bookmarkStart w:id="29" w:name="_Toc15978"/>
    </w:p>
    <w:p>
      <w:pPr>
        <w:widowControl/>
        <w:snapToGrid w:val="0"/>
        <w:spacing w:line="520" w:lineRule="exact"/>
        <w:ind w:firstLineChars="200" w:firstLine="600"/>
        <w:rPr>
          <w:rFonts w:ascii="仿宋_GB2312" w:eastAsia="仿宋_GB2312"/>
          <w:sz w:val="30"/>
          <w:szCs w:val="30"/>
        </w:rPr>
      </w:pPr>
    </w:p>
    <w:p>
      <w:pPr>
        <w:pStyle w:val="2"/>
        <w:spacing w:before="0" w:after="0" w:line="240" w:lineRule="auto"/>
        <w:ind w:left="640" w:hangingChars="200" w:hanging="640"/>
        <w:rPr>
          <w:rFonts w:ascii="黑体" w:eastAsia="黑体"/>
          <w:b w:val="0"/>
          <w:bCs w:val="0"/>
        </w:rPr>
      </w:pPr>
      <w:bookmarkStart w:id="30" w:name="_Toc144131424"/>
      <w:r>
        <w:rPr>
          <w:rStyle w:val="2Char"/>
          <w:rFonts w:ascii="黑体" w:eastAsia="黑体" w:hint="eastAsia"/>
        </w:rPr>
        <w:t>二、机构设置</w:t>
      </w:r>
      <w:bookmarkEnd w:id="27"/>
      <w:bookmarkEnd w:id="30"/>
    </w:p>
    <w:p>
      <w:pPr>
        <w:snapToGrid w:val="0"/>
        <w:spacing w:line="560" w:lineRule="exact"/>
        <w:ind w:firstLineChars="200" w:firstLine="640"/>
        <w:rPr>
          <w:rFonts w:ascii="仿宋_GB2312" w:eastAsia="仿宋_GB2312" w:cs="仿宋_GB2312"/>
          <w:sz w:val="32"/>
          <w:szCs w:val="32"/>
          <w:shd w:val="clear" w:color="auto" w:fill="FFFFFF"/>
        </w:rPr>
      </w:pPr>
      <w:bookmarkStart w:id="31" w:name="_Toc15377204"/>
      <w:bookmarkEnd w:id="29"/>
      <w:r>
        <w:rPr>
          <w:rFonts w:ascii="仿宋_GB2312" w:eastAsia="仿宋_GB2312" w:cs="仿宋_GB2312" w:hint="eastAsia"/>
          <w:sz w:val="32"/>
          <w:szCs w:val="32"/>
          <w:shd w:val="clear" w:color="auto" w:fill="FFFFFF"/>
        </w:rPr>
        <w:t>我乡人民政府20</w:t>
      </w:r>
      <w:r>
        <w:rPr>
          <w:rFonts w:ascii="仿宋_GB2312" w:eastAsia="仿宋_GB2312" w:cs="仿宋_GB2312"/>
          <w:sz w:val="32"/>
          <w:szCs w:val="32"/>
          <w:shd w:val="clear" w:color="auto" w:fill="FFFFFF"/>
        </w:rPr>
        <w:t>2</w:t>
      </w:r>
      <w:r>
        <w:rPr>
          <w:rFonts w:ascii="仿宋_GB2312" w:eastAsia="仿宋_GB2312" w:cs="仿宋_GB2312" w:hint="eastAsia"/>
          <w:sz w:val="32"/>
          <w:szCs w:val="32"/>
          <w:shd w:val="clear" w:color="auto" w:fill="FFFFFF"/>
        </w:rPr>
        <w:t>2年有4个机构，编制3</w:t>
      </w:r>
      <w:r>
        <w:rPr>
          <w:rFonts w:ascii="仿宋_GB2312" w:eastAsia="仿宋_GB2312" w:cs="仿宋_GB2312"/>
          <w:sz w:val="32"/>
          <w:szCs w:val="32"/>
          <w:shd w:val="clear" w:color="auto" w:fill="FFFFFF"/>
        </w:rPr>
        <w:t>1</w:t>
      </w:r>
      <w:r>
        <w:rPr>
          <w:rFonts w:ascii="仿宋_GB2312" w:eastAsia="仿宋_GB2312" w:cs="仿宋_GB2312" w:hint="eastAsia"/>
          <w:sz w:val="32"/>
          <w:szCs w:val="32"/>
          <w:shd w:val="clear" w:color="auto" w:fill="FFFFFF"/>
        </w:rPr>
        <w:t>人。我乡人民政府本年度年末实有人数为31人。</w:t>
      </w:r>
    </w:p>
    <w:p>
      <w:pPr>
        <w:pStyle w:val="1"/>
        <w:ind w:right="880"/>
        <w:jc w:val="left"/>
      </w:pPr>
      <w:bookmarkStart w:id="32" w:name="_Toc32723"/>
      <w:bookmarkStart w:id="33" w:name="_Toc144131425"/>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rPr>
        <w:t>202</w:t>
      </w:r>
      <w:r>
        <w:rPr>
          <w:rStyle w:val="1Char"/>
          <w:rFonts w:ascii="黑体" w:eastAsia="黑体" w:hint="eastAsia"/>
        </w:rPr>
        <w:t>2年度部门决算情况说明</w:t>
      </w:r>
      <w:bookmarkEnd w:id="31"/>
      <w:bookmarkEnd w:id="32"/>
      <w:bookmarkEnd w:id="33"/>
    </w:p>
    <w:p>
      <w:pPr>
        <w:pStyle w:val="31"/>
        <w:numPr>
          <w:ilvl w:val="0"/>
          <w:numId w:val="1"/>
        </w:numPr>
        <w:ind w:left="0" w:firstLineChars="0" w:firstLine="0"/>
        <w:outlineLvl w:val="1"/>
        <w:rPr>
          <w:rStyle w:val="2Char"/>
          <w:rFonts w:ascii="黑体" w:eastAsia="黑体"/>
          <w:b w:val="0"/>
        </w:rPr>
      </w:pPr>
      <w:bookmarkStart w:id="34" w:name="_Toc15396603"/>
      <w:bookmarkStart w:id="35" w:name="_Toc15377205"/>
      <w:bookmarkStart w:id="36" w:name="_Toc144131426"/>
      <w:r>
        <w:rPr>
          <w:rFonts w:ascii="黑体" w:eastAsia="黑体" w:hint="eastAsia"/>
          <w:color w:val="000000"/>
          <w:sz w:val="32"/>
          <w:szCs w:val="32"/>
        </w:rPr>
        <w:t>收</w:t>
      </w:r>
      <w:r>
        <w:rPr>
          <w:rStyle w:val="2Char"/>
          <w:rFonts w:ascii="黑体" w:eastAsia="黑体" w:hint="eastAsia"/>
          <w:b w:val="0"/>
        </w:rPr>
        <w:t>入支出决算总体情况说明</w:t>
      </w:r>
      <w:bookmarkEnd w:id="34"/>
      <w:bookmarkEnd w:id="35"/>
      <w:bookmarkEnd w:id="36"/>
    </w:p>
    <w:p>
      <w:pPr>
        <w:snapToGrid w:val="0"/>
        <w:spacing w:line="560" w:lineRule="exact"/>
        <w:ind w:firstLineChars="200" w:firstLine="640"/>
        <w:rPr>
          <w:rFonts w:ascii="仿宋_GB2312" w:eastAsia="仿宋_GB2312" w:cs="仿宋_GB2312"/>
          <w:sz w:val="32"/>
          <w:szCs w:val="32"/>
          <w:shd w:val="clear" w:color="auto" w:fill="FFFFFF"/>
        </w:rPr>
      </w:pPr>
      <w:r>
        <w:rPr>
          <w:rFonts w:ascii="仿宋_GB2312" w:eastAsia="仿宋_GB2312" w:cs="仿宋_GB2312"/>
          <w:sz w:val="32"/>
          <w:szCs w:val="32"/>
          <w:shd w:val="clear" w:color="auto" w:fill="FFFFFF"/>
        </w:rPr>
        <w:t>202</w:t>
      </w:r>
      <w:r>
        <w:rPr>
          <w:rFonts w:ascii="仿宋_GB2312" w:eastAsia="仿宋_GB2312" w:cs="仿宋_GB2312" w:hint="eastAsia"/>
          <w:sz w:val="32"/>
          <w:szCs w:val="32"/>
          <w:shd w:val="clear" w:color="auto" w:fill="FFFFFF"/>
        </w:rPr>
        <w:t>2年度总收、支835.13万元。与2021年度总收入1039.19万元，总支出1110.2万元相比，总收入减少1</w:t>
      </w:r>
      <w:r>
        <w:rPr>
          <w:rFonts w:ascii="仿宋_GB2312" w:eastAsia="仿宋_GB2312" w:cs="仿宋_GB2312"/>
          <w:sz w:val="32"/>
          <w:szCs w:val="32"/>
          <w:shd w:val="clear" w:color="auto" w:fill="FFFFFF"/>
        </w:rPr>
        <w:t>9.6</w:t>
      </w:r>
      <w:r>
        <w:rPr>
          <w:rFonts w:ascii="仿宋_GB2312" w:eastAsia="仿宋_GB2312" w:cs="仿宋_GB2312" w:hint="eastAsia"/>
          <w:sz w:val="32"/>
          <w:szCs w:val="32"/>
          <w:shd w:val="clear" w:color="auto" w:fill="FFFFFF"/>
        </w:rPr>
        <w:t>%，总支出减少2</w:t>
      </w:r>
      <w:r>
        <w:rPr>
          <w:rFonts w:ascii="仿宋_GB2312" w:eastAsia="仿宋_GB2312" w:cs="仿宋_GB2312"/>
          <w:sz w:val="32"/>
          <w:szCs w:val="32"/>
          <w:shd w:val="clear" w:color="auto" w:fill="FFFFFF"/>
        </w:rPr>
        <w:t>4.78%</w:t>
      </w:r>
      <w:r>
        <w:rPr>
          <w:rFonts w:ascii="仿宋_GB2312" w:eastAsia="仿宋_GB2312" w:cs="仿宋_GB2312" w:hint="eastAsia"/>
          <w:sz w:val="32"/>
          <w:szCs w:val="32"/>
          <w:shd w:val="clear" w:color="auto" w:fill="FFFFFF"/>
        </w:rPr>
        <w:t>，主要变动原因是2</w:t>
      </w:r>
      <w:r>
        <w:rPr>
          <w:rFonts w:ascii="仿宋_GB2312" w:eastAsia="仿宋_GB2312" w:cs="仿宋_GB2312"/>
          <w:sz w:val="32"/>
          <w:szCs w:val="32"/>
          <w:shd w:val="clear" w:color="auto" w:fill="FFFFFF"/>
        </w:rPr>
        <w:t>022</w:t>
      </w:r>
      <w:r>
        <w:rPr>
          <w:rFonts w:ascii="仿宋_GB2312" w:eastAsia="仿宋_GB2312" w:cs="仿宋_GB2312" w:hint="eastAsia"/>
          <w:sz w:val="32"/>
          <w:szCs w:val="32"/>
          <w:shd w:val="clear" w:color="auto" w:fill="FFFFFF"/>
        </w:rPr>
        <w:t>年项目数减少。</w:t>
      </w:r>
    </w:p>
    <w:p>
      <w:pPr>
        <w:pStyle w:val="15"/>
        <w:ind w:leftChars="95" w:left="398" w:hangingChars="95" w:hanging="199"/>
      </w:pPr>
      <w:r>
        <w:rPr>
          <w:rFonts w:hint="eastAsia"/>
        </w:rPr>
        <w:drawing>
          <wp:inline distT="0" distB="0" distL="0" distR="0">
            <wp:extent cx="5274310" cy="3076575"/>
            <wp:effectExtent l="0" t="0" r="0" b="0"/>
            <wp:docPr id="1" name="图表 5"/>
            <wp:cNvGraphicFramePr>
              <a:graphicFrameLocks noChangeAspect="0"/>
            </wp:cNvGraphicFramePr>
            <a:graphic>
              <a:graphicData uri="http://schemas.openxmlformats.org/drawingml/2006/chart">
                <c:chart xmlns:c="http://schemas.openxmlformats.org/drawingml/2006/chart" r:id="rId4"/>
              </a:graphicData>
            </a:graphic>
          </wp:inline>
        </w:drawing>
      </w:r>
    </w:p>
    <w:p/>
    <w:p>
      <w:pPr>
        <w:pStyle w:val="31"/>
        <w:numPr>
          <w:ilvl w:val="0"/>
          <w:numId w:val="1"/>
        </w:numPr>
        <w:ind w:left="0" w:firstLineChars="0" w:firstLine="0"/>
        <w:outlineLvl w:val="1"/>
        <w:rPr>
          <w:rStyle w:val="2Char"/>
          <w:rFonts w:ascii="黑体" w:eastAsia="黑体"/>
          <w:b w:val="0"/>
        </w:rPr>
      </w:pPr>
      <w:bookmarkStart w:id="37" w:name="_Toc15377206"/>
      <w:bookmarkStart w:id="38" w:name="_Toc144131427"/>
      <w:r>
        <w:rPr>
          <w:rFonts w:ascii="黑体" w:eastAsia="黑体" w:hint="eastAsia"/>
          <w:color w:val="000000"/>
          <w:sz w:val="32"/>
          <w:szCs w:val="32"/>
        </w:rPr>
        <w:t>收入决</w:t>
      </w:r>
      <w:r>
        <w:rPr>
          <w:rStyle w:val="2Char"/>
          <w:rFonts w:ascii="黑体" w:eastAsia="黑体" w:hint="eastAsia"/>
          <w:b w:val="0"/>
        </w:rPr>
        <w:t>算情况说明</w:t>
      </w:r>
      <w:bookmarkEnd w:id="37"/>
      <w:bookmarkEnd w:id="38"/>
    </w:p>
    <w:p>
      <w:pPr>
        <w:snapToGrid w:val="0"/>
        <w:spacing w:line="560" w:lineRule="exact"/>
        <w:ind w:firstLineChars="200" w:firstLine="640"/>
        <w:rPr>
          <w:rFonts w:ascii="仿宋_GB2312" w:eastAsia="仿宋_GB2312" w:cs="仿宋_GB2312"/>
          <w:sz w:val="32"/>
          <w:szCs w:val="32"/>
          <w:shd w:val="clear" w:color="auto" w:fill="FFFFFF"/>
        </w:rPr>
      </w:pPr>
      <w:bookmarkStart w:id="39" w:name="_Toc22912"/>
      <w:r>
        <w:rPr>
          <w:rFonts w:ascii="仿宋_GB2312" w:eastAsia="仿宋_GB2312" w:cs="仿宋_GB2312" w:hint="eastAsia"/>
          <w:sz w:val="32"/>
          <w:szCs w:val="32"/>
          <w:shd w:val="clear" w:color="auto" w:fill="FFFFFF"/>
        </w:rPr>
        <w:t>2022年总收入835.13万元，其中：一般公共预算财政拨款收入835.13万元，占100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；政府性基金预算财政拨款收入0万元，占0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；国有资本经营预算财政拨款收入0万元，占0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；事业收入0万元，占0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；经营收入0万元，占0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；附属单位上缴收入0万元，占0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；其他收入0万元，占0%。</w:t>
      </w:r>
      <w:bookmarkEnd w:id="39"/>
    </w:p>
    <w:p>
      <w:pPr>
        <w:spacing w:line="600" w:lineRule="exact"/>
        <w:outlineLvl w:val="1"/>
        <w:rPr>
          <w:rStyle w:val="2Char"/>
          <w:rFonts w:ascii="黑体" w:eastAsia="黑体"/>
          <w:b w:val="0"/>
        </w:rPr>
      </w:pPr>
      <w:bookmarkStart w:id="40" w:name="_Toc4194"/>
      <w:bookmarkStart w:id="41" w:name="_Toc144131428"/>
      <w:r>
        <w:rPr>
          <w:rFonts w:ascii="黑体" w:eastAsia="黑体" w:hint="eastAsia"/>
          <w:color w:val="000000"/>
          <w:sz w:val="32"/>
          <w:szCs w:val="32"/>
        </w:rPr>
        <w:drawing>
          <wp:anchor distT="0" distB="0" distL="114300" distR="114300" simplePos="0" relativeHeight="25" behindDoc="0" locked="0" layoutInCell="1" hidden="0" allowOverlap="1">
            <wp:simplePos x="0" y="0"/>
            <wp:positionH relativeFrom="column">
              <wp:posOffset>186690</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42" w:name="_Toc15377207"/>
      <w:r>
        <w:rPr>
          <w:rFonts w:ascii="黑体" w:eastAsia="黑体" w:hint="eastAsia"/>
          <w:color w:val="000000"/>
          <w:sz w:val="32"/>
          <w:szCs w:val="32"/>
        </w:rPr>
        <w:t>三、支出决</w:t>
      </w:r>
      <w:r>
        <w:rPr>
          <w:rStyle w:val="2Char"/>
          <w:rFonts w:ascii="黑体" w:eastAsia="黑体" w:hint="eastAsia"/>
          <w:b w:val="0"/>
        </w:rPr>
        <w:t>算情况说明</w:t>
      </w:r>
      <w:bookmarkEnd w:id="40"/>
      <w:bookmarkEnd w:id="41"/>
      <w:bookmarkEnd w:id="42"/>
    </w:p>
    <w:p>
      <w:pPr>
        <w:snapToGrid w:val="0"/>
        <w:spacing w:line="560" w:lineRule="exact"/>
        <w:ind w:firstLineChars="200"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drawing>
          <wp:anchor distT="0" distB="0" distL="114300" distR="114300" simplePos="0" relativeHeight="23" behindDoc="0" locked="0" layoutInCell="1" hidden="0" allowOverlap="1">
            <wp:simplePos x="0" y="0"/>
            <wp:positionH relativeFrom="column">
              <wp:posOffset>-3175</wp:posOffset>
            </wp:positionH>
            <wp:positionV relativeFrom="paragraph">
              <wp:posOffset>1007110</wp:posOffset>
            </wp:positionV>
            <wp:extent cx="5373368"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_GB2312" w:eastAsia="仿宋_GB2312" w:cs="仿宋_GB2312" w:hint="eastAsia"/>
          <w:sz w:val="32"/>
          <w:szCs w:val="32"/>
          <w:shd w:val="clear" w:color="auto" w:fill="FFFFFF"/>
        </w:rPr>
        <w:t>2022年本年总支出835.13万元，其中：基本支出641.70万元，占77%；项目支出193.44万元，占23%。</w:t>
      </w:r>
      <w:bookmarkStart w:id="43" w:name="_Toc15377208"/>
      <w:bookmarkStart w:id="44" w:name="_Toc27948"/>
    </w:p>
    <w:p>
      <w:pPr>
        <w:pStyle w:val="2"/>
        <w:rPr>
          <w:rStyle w:val="2Char"/>
          <w:rFonts w:ascii="仿宋" w:eastAsia="仿宋"/>
          <w:b/>
          <w:color w:val="000000"/>
        </w:rPr>
      </w:pPr>
      <w:bookmarkStart w:id="45" w:name="_Toc144131429"/>
      <w:r>
        <w:rPr>
          <w:rFonts w:ascii="黑体" w:eastAsia="黑体" w:hint="eastAsia"/>
          <w:b w:val="0"/>
          <w:bCs w:val="0"/>
          <w:color w:val="000000"/>
        </w:rPr>
        <w:t>四、财</w:t>
      </w:r>
      <w:r>
        <w:rPr>
          <w:rStyle w:val="2Char"/>
          <w:rFonts w:ascii="黑体" w:eastAsia="黑体" w:hint="eastAsia"/>
        </w:rPr>
        <w:t>政拨款收入支出决算总体情况说明</w:t>
      </w:r>
      <w:bookmarkEnd w:id="43"/>
      <w:bookmarkEnd w:id="44"/>
      <w:bookmarkEnd w:id="45"/>
    </w:p>
    <w:p>
      <w:pPr>
        <w:snapToGrid w:val="0"/>
        <w:spacing w:line="560" w:lineRule="exact"/>
        <w:ind w:firstLineChars="200"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2022年财政拨款收入835.13万元。与2021年相比，一般公共预算财政拨款收入较上年收入减少204.06万元，原因为该部门是2022年项目收入较少。</w:t>
      </w:r>
    </w:p>
    <w:p>
      <w:pPr>
        <w:snapToGrid w:val="0"/>
        <w:spacing w:line="560" w:lineRule="exact"/>
        <w:ind w:firstLineChars="200"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drawing>
          <wp:anchor distT="0" distB="0" distL="114300" distR="114300" simplePos="0" relativeHeight="27" behindDoc="0" locked="0" layoutInCell="1" hidden="0" allowOverlap="1">
            <wp:simplePos x="0" y="0"/>
            <wp:positionH relativeFrom="column">
              <wp:posOffset>30480</wp:posOffset>
            </wp:positionH>
            <wp:positionV relativeFrom="paragraph">
              <wp:posOffset>1097280</wp:posOffset>
            </wp:positionV>
            <wp:extent cx="5274310" cy="3076575"/>
            <wp:effectExtent l="0" t="0" r="0" b="0"/>
            <wp:wrapTopAndBottom/>
            <wp:docPr id="4" name="图表 712736004"/>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_GB2312" w:eastAsia="仿宋_GB2312" w:cs="仿宋_GB2312" w:hint="eastAsia"/>
          <w:sz w:val="32"/>
          <w:szCs w:val="32"/>
          <w:shd w:val="clear" w:color="auto" w:fill="FFFFFF"/>
        </w:rPr>
        <w:t>2022年财政拨款支出835.13万元，较上年支出减少204.06万元，降低20%。原因为该部门2022年项目支出较少。</w:t>
      </w:r>
    </w:p>
    <w:p>
      <w:pPr>
        <w:spacing w:line="600" w:lineRule="exact"/>
        <w:ind w:firstLineChars="200" w:firstLine="632"/>
        <w:rPr>
          <w:rFonts w:ascii="仿宋_GB2312" w:eastAsia="仿宋_GB2312"/>
          <w:spacing w:val="-2"/>
          <w:sz w:val="32"/>
          <w:szCs w:val="32"/>
        </w:rPr>
      </w:pPr>
    </w:p>
    <w:p>
      <w:pPr>
        <w:pStyle w:val="2"/>
        <w:rPr>
          <w:rStyle w:val="2Char"/>
          <w:rFonts w:ascii="黑体" w:eastAsia="黑体"/>
          <w:b/>
        </w:rPr>
      </w:pPr>
      <w:bookmarkStart w:id="46" w:name="_Toc15377209"/>
      <w:bookmarkStart w:id="47" w:name="_Toc144131430"/>
      <w:r>
        <w:rPr>
          <w:rFonts w:ascii="黑体" w:eastAsia="黑体" w:hint="eastAsia"/>
          <w:color w:val="000000"/>
        </w:rPr>
        <w:t>五、一</w:t>
      </w:r>
      <w:r>
        <w:rPr>
          <w:rStyle w:val="2Char"/>
          <w:rFonts w:ascii="黑体" w:eastAsia="黑体" w:hint="eastAsia"/>
        </w:rPr>
        <w:t>般公共预算财政拨款支出决算情况说明</w:t>
      </w:r>
      <w:bookmarkEnd w:id="46"/>
      <w:bookmarkEnd w:id="47"/>
    </w:p>
    <w:p>
      <w:pPr>
        <w:spacing w:line="600" w:lineRule="exact"/>
        <w:ind w:firstLineChars="200" w:firstLine="640"/>
        <w:outlineLvl w:val="2"/>
        <w:rPr>
          <w:rFonts w:ascii="仿宋" w:eastAsia="仿宋"/>
          <w:b/>
          <w:color w:val="000000"/>
          <w:sz w:val="32"/>
          <w:szCs w:val="32"/>
        </w:rPr>
      </w:pPr>
      <w:bookmarkStart w:id="48" w:name="_Toc15377210"/>
      <w:r>
        <w:rPr>
          <w:rFonts w:ascii="仿宋" w:eastAsia="仿宋" w:hint="eastAsia"/>
          <w:b/>
          <w:color w:val="000000"/>
          <w:sz w:val="32"/>
          <w:szCs w:val="32"/>
        </w:rPr>
        <w:t>（一）一般公共预算财政拨款支出决算总体情况</w:t>
      </w:r>
      <w:bookmarkEnd w:id="48"/>
    </w:p>
    <w:p>
      <w:pPr>
        <w:spacing w:line="600" w:lineRule="exact"/>
        <w:ind w:firstLineChars="200"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2022年一般公共预算财政拨款支出835.13万元，占本年总支出的100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。与2021年相比，一般公共预算财政拨款支出较上年支出减少204.06万元，降低20%。原因为该部门2022年项目支出较少。</w:t>
      </w:r>
    </w:p>
    <w:p>
      <w:pPr>
        <w:numPr>
          <w:ilvl w:val="0"/>
          <w:numId w:val="2"/>
        </w:numPr>
        <w:spacing w:line="600" w:lineRule="exact"/>
        <w:ind w:left="0" w:firstLineChars="200" w:firstLine="640"/>
        <w:outlineLvl w:val="2"/>
        <w:rPr>
          <w:rFonts w:ascii="仿宋" w:eastAsia="仿宋"/>
          <w:b/>
          <w:color w:val="000000"/>
          <w:sz w:val="32"/>
          <w:szCs w:val="32"/>
        </w:rPr>
      </w:pPr>
      <w:bookmarkStart w:id="49" w:name="_Toc15377211"/>
      <w:r>
        <w:rPr>
          <w:rFonts w:ascii="仿宋" w:eastAsia="仿宋" w:hint="eastAsia"/>
          <w:b/>
          <w:color w:val="000000"/>
          <w:sz w:val="32"/>
          <w:szCs w:val="32"/>
        </w:rPr>
        <w:t>一般公共预算财政拨款支出决算结构情况</w:t>
      </w:r>
      <w:bookmarkEnd w:id="49"/>
    </w:p>
    <w:p>
      <w:pPr>
        <w:spacing w:line="600" w:lineRule="exact"/>
        <w:ind w:firstLineChars="200"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2022年一般公共预算财政拨款支出为835.13万元。其中：一般公共服务支出317.94万元，占比38%；社会保障和就业支出为67.92万元，占比8%；卫生健康支出为34.61万元，占比4%；农林水支出369.79万元，占比44%；住房保障支出为44.38万元，占比5%；其他支出0.5万元，占比0%。</w:t>
      </w:r>
    </w:p>
    <w:p>
      <w:pPr>
        <w:pStyle w:val="15"/>
        <w:rPr>
          <w:rFonts w:ascii="仿宋" w:eastAsia="仿宋"/>
          <w:bCs/>
          <w:color w:val="000000"/>
          <w:sz w:val="32"/>
          <w:szCs w:val="32"/>
        </w:rPr>
      </w:pPr>
      <w:r>
        <w:rPr>
          <w:rFonts w:ascii="仿宋" w:eastAsia="仿宋" w:hint="eastAsia"/>
          <w:bCs/>
          <w:color w:val="000000"/>
          <w:sz w:val="32"/>
          <w:szCs w:val="32"/>
        </w:rPr>
        <w:drawing>
          <wp:inline distT="0" distB="0" distL="114300" distR="114300">
            <wp:extent cx="5079365" cy="3810000"/>
            <wp:effectExtent l="0" t="0" r="0" b="0"/>
            <wp:docPr id="5" name="图表 10"/>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仿宋" w:eastAsia="仿宋"/>
          <w:b/>
          <w:color w:val="000000"/>
          <w:sz w:val="32"/>
          <w:szCs w:val="32"/>
        </w:rPr>
      </w:pPr>
      <w:bookmarkStart w:id="50" w:name="_Toc15377444"/>
      <w:bookmarkStart w:id="51" w:name="_Toc15377213"/>
      <w:bookmarkStart w:id="52" w:name="_Toc15378460"/>
    </w:p>
    <w:p>
      <w:pPr>
        <w:spacing w:line="600" w:lineRule="exact"/>
        <w:outlineLvl w:val="2"/>
        <w:rPr>
          <w:rFonts w:ascii="仿宋" w:eastAsia="仿宋"/>
          <w:b/>
          <w:color w:val="000000"/>
          <w:sz w:val="32"/>
          <w:szCs w:val="32"/>
        </w:rPr>
      </w:pPr>
      <w:bookmarkStart w:id="53" w:name="_Toc15377212"/>
      <w:r>
        <w:rPr>
          <w:rFonts w:ascii="仿宋" w:eastAsia="仿宋" w:hint="eastAsia"/>
          <w:b/>
          <w:color w:val="000000"/>
          <w:sz w:val="32"/>
          <w:szCs w:val="32"/>
        </w:rPr>
        <w:t>（三）一般公共预算财政拨款支出决算具体情况</w:t>
      </w:r>
      <w:bookmarkEnd w:id="53"/>
    </w:p>
    <w:p>
      <w:pPr>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2022年一般公共预算数为835.13万元，支出决算数为835.13万元，完成预算100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，其中：</w:t>
      </w:r>
      <w:bookmarkStart w:id="54" w:name="_Toc15377214"/>
      <w:bookmarkEnd w:id="50"/>
      <w:bookmarkEnd w:id="51"/>
      <w:bookmarkEnd w:id="52"/>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一般公共服务支出（类）人大事务（款）行政运营（项）</w:t>
      </w:r>
      <w:r>
        <w:rPr>
          <w:rFonts w:ascii="仿宋_GB2312" w:eastAsia="仿宋_GB2312" w:cs="仿宋_GB2312"/>
          <w:sz w:val="32"/>
          <w:szCs w:val="32"/>
          <w:shd w:val="clear" w:color="auto" w:fill="FFFFFF"/>
        </w:rPr>
        <w:t xml:space="preserve">: </w:t>
      </w:r>
      <w:r>
        <w:rPr>
          <w:rFonts w:ascii="仿宋_GB2312" w:eastAsia="仿宋_GB2312" w:cs="仿宋_GB2312" w:hint="eastAsia"/>
          <w:sz w:val="32"/>
          <w:szCs w:val="32"/>
          <w:shd w:val="clear" w:color="auto" w:fill="FFFFFF"/>
        </w:rPr>
        <w:t>支出决算为19.24万元，完成预算100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一般公共服务支出（类）人大事务（款）人大会议（项）</w:t>
      </w:r>
      <w:r>
        <w:rPr>
          <w:rFonts w:ascii="仿宋_GB2312" w:eastAsia="仿宋_GB2312" w:cs="仿宋_GB2312"/>
          <w:sz w:val="32"/>
          <w:szCs w:val="32"/>
          <w:shd w:val="clear" w:color="auto" w:fill="FFFFFF"/>
        </w:rPr>
        <w:t xml:space="preserve">: </w:t>
      </w:r>
      <w:r>
        <w:rPr>
          <w:rFonts w:ascii="仿宋_GB2312" w:eastAsia="仿宋_GB2312" w:cs="仿宋_GB2312" w:hint="eastAsia"/>
          <w:sz w:val="32"/>
          <w:szCs w:val="32"/>
          <w:shd w:val="clear" w:color="auto" w:fill="FFFFFF"/>
        </w:rPr>
        <w:t>支出决算为0.1万元，完成预算100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numPr>
          <w:ilvl w:val="0"/>
          <w:numId w:val="3"/>
        </w:numPr>
        <w:ind w:leftChars="200" w:left="1060" w:hangingChars="20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一般公共服务支出（类）政府办公室及相关机构事务（款）行政运营（项）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支出决算为212.08万元，完成预算100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numPr>
          <w:ilvl w:val="0"/>
          <w:numId w:val="3"/>
        </w:numPr>
        <w:ind w:leftChars="200" w:left="1060" w:hangingChars="20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一般公共服务支出（类）党委办公室及相关机构事务（款）行政运营（项）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支出决算为86.53万元，完成预算100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社会保障和就业（类）行政事业单位离退休（款）机关事业单位基本养老保险缴费支出（项）</w:t>
      </w:r>
      <w:r>
        <w:rPr>
          <w:rFonts w:ascii="仿宋_GB2312" w:eastAsia="仿宋_GB2312" w:cs="仿宋_GB2312"/>
          <w:sz w:val="32"/>
          <w:szCs w:val="32"/>
          <w:shd w:val="clear" w:color="auto" w:fill="FFFFFF"/>
        </w:rPr>
        <w:t xml:space="preserve">: </w:t>
      </w:r>
      <w:r>
        <w:rPr>
          <w:rFonts w:ascii="仿宋_GB2312" w:eastAsia="仿宋_GB2312" w:cs="仿宋_GB2312" w:hint="eastAsia"/>
          <w:sz w:val="32"/>
          <w:szCs w:val="32"/>
          <w:shd w:val="clear" w:color="auto" w:fill="FFFFFF"/>
        </w:rPr>
        <w:t>支出决算为46.83万元，完成预算100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社会保障和就业（类）行政事业单位离退休（款）机关事业单位基本职业年金缴费支出（项）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支出决算为21.10万元，完成预算100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卫生健康支出（类）公共卫生（款）突发公共卫生事件应急处理（项）：5万元，完成预算100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卫生健康支出（类）行政事业单位医疗（款）行政单位医疗（项）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支出决算为16.32万元，完成预算100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卫生健康支出（类）行政事业单位医疗（款）事业单位医疗（项）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支出决算为7.13万元，完成预算100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卫生健康支出（类）行政事业单位医疗（款）公务员医疗补助（项）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支出决算为4.15万元，完成预算100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卫生健康支出（类）行政事业单位医疗（款）其他行政事业单位医疗支出（项）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支出决算为2.02万元，完成预算100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农林水支出（类）林业和草原（款）事业机构（项）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支出决算为181.94万元，完成预算100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农林水支出（类）水利（款）农村人畜饮水（项）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支出决算为48万元，完成预算100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农林水支出（类）农村综合改革（款）对村民委员会和村党支部的补助（项）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支出决算为139.86万元，完成预算100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住房保障（类）住房改革支出（款）住房公积金（项）：支出决算为44.38万元，完成预算100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15"/>
        <w:numPr>
          <w:ilvl w:val="0"/>
          <w:numId w:val="3"/>
        </w:numPr>
        <w:ind w:leftChars="0" w:left="1060" w:firstLineChars="0" w:hanging="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其他支出（类）其他支出（款）其他支出（项）</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支出决算为0.5万元，完成预算100</w:t>
      </w:r>
      <w:r>
        <w:rPr>
          <w:rFonts w:ascii="仿宋_GB2312" w:eastAsia="仿宋_GB2312" w:cs="仿宋_GB2312"/>
          <w:sz w:val="32"/>
          <w:szCs w:val="32"/>
          <w:shd w:val="clear" w:color="auto" w:fill="FFFFFF"/>
        </w:rPr>
        <w:t>%</w:t>
      </w:r>
      <w:r>
        <w:rPr>
          <w:rFonts w:ascii="仿宋_GB2312" w:eastAsia="仿宋_GB2312" w:cs="仿宋_GB2312" w:hint="eastAsia"/>
          <w:sz w:val="32"/>
          <w:szCs w:val="32"/>
          <w:shd w:val="clear" w:color="auto" w:fill="FFFFFF"/>
        </w:rPr>
        <w:t>，决算数等于预算数。</w:t>
      </w:r>
    </w:p>
    <w:p>
      <w:pPr>
        <w:pStyle w:val="2"/>
        <w:spacing w:line="520" w:lineRule="exact"/>
        <w:rPr>
          <w:rStyle w:val="2Char"/>
          <w:rFonts w:ascii="黑体" w:eastAsia="黑体"/>
          <w:b/>
        </w:rPr>
      </w:pPr>
      <w:bookmarkStart w:id="55" w:name="_Toc144131431"/>
      <w:r>
        <w:rPr>
          <w:rFonts w:ascii="黑体" w:eastAsia="黑体" w:hint="eastAsia"/>
          <w:color w:val="000000"/>
        </w:rPr>
        <w:t>六、一</w:t>
      </w:r>
      <w:r>
        <w:rPr>
          <w:rStyle w:val="2Char"/>
          <w:rFonts w:ascii="黑体" w:eastAsia="黑体" w:hint="eastAsia"/>
        </w:rPr>
        <w:t>般公共预算财政拨款基本支出决算情况说明</w:t>
      </w:r>
      <w:bookmarkEnd w:id="54"/>
      <w:bookmarkEnd w:id="55"/>
      <w:r>
        <w:rPr>
          <w:rStyle w:val="2Char"/>
          <w:rFonts w:ascii="黑体" w:eastAsia="黑体"/>
        </w:rPr>
        <w:tab/>
      </w:r>
    </w:p>
    <w:p>
      <w:pPr>
        <w:spacing w:line="520" w:lineRule="exact"/>
        <w:ind w:firstLine="645"/>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2022年一般公共预算财政拨款支出</w:t>
      </w:r>
      <w:r>
        <w:rPr>
          <w:rFonts w:ascii="仿宋_GB2312" w:eastAsia="仿宋_GB2312" w:cs="仿宋_GB2312"/>
          <w:sz w:val="32"/>
          <w:szCs w:val="32"/>
          <w:shd w:val="clear" w:color="auto" w:fill="FFFFFF"/>
        </w:rPr>
        <w:t>641.69</w:t>
      </w:r>
      <w:r>
        <w:rPr>
          <w:rFonts w:ascii="仿宋_GB2312" w:eastAsia="仿宋_GB2312" w:cs="仿宋_GB2312" w:hint="eastAsia"/>
          <w:sz w:val="32"/>
          <w:szCs w:val="32"/>
          <w:shd w:val="clear" w:color="auto" w:fill="FFFFFF"/>
        </w:rPr>
        <w:t>万元。</w:t>
      </w:r>
    </w:p>
    <w:p>
      <w:pPr>
        <w:snapToGrid w:val="0"/>
        <w:spacing w:line="520" w:lineRule="exact"/>
        <w:ind w:firstLineChars="200" w:firstLine="640"/>
        <w:rPr>
          <w:rFonts w:ascii="仿宋_GB2312" w:eastAsia="仿宋_GB2312" w:cs="仿宋_GB2312"/>
          <w:sz w:val="32"/>
          <w:szCs w:val="32"/>
          <w:shd w:val="clear" w:color="auto" w:fill="FFFFFF"/>
        </w:rPr>
      </w:pPr>
      <w:bookmarkStart w:id="56" w:name="_Toc9449"/>
      <w:bookmarkStart w:id="57" w:name="_Toc15377215"/>
      <w:r>
        <w:rPr>
          <w:rFonts w:ascii="仿宋_GB2312" w:eastAsia="仿宋_GB2312" w:cs="仿宋_GB2312" w:hint="eastAsia"/>
          <w:sz w:val="32"/>
          <w:szCs w:val="32"/>
          <w:shd w:val="clear" w:color="auto" w:fill="FFFFFF"/>
        </w:rPr>
        <w:t>人员经费612.20万元，主要包括工资福利支出540.12万元，主要包括：基本工资117.09万元、津贴补贴137.73万元、奖金109.62元、绩效工资32.51万元、机关事业单位基本养老保险缴费46.83万元、职业年金缴费21.10万元、其他社会保障缴费1.26万元、住房公积金44.38万元、职工基本医疗保险缴费23.45万元、公务员医疗补助6.17万元、奖励金65.63万元，生活补助6.45万元。</w:t>
      </w:r>
    </w:p>
    <w:p>
      <w:pPr>
        <w:snapToGrid w:val="0"/>
        <w:spacing w:line="520" w:lineRule="exact"/>
        <w:ind w:firstLineChars="200"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商品和服务支出为29.49万元，主要包括：办公费3.71万元、印刷费4万元、水费1万元、电费1.5万元、邮电费2万元、差旅费4.99万元、劳务费2.8万元、福利费0.5万元、公务车运行维护费9万元。</w:t>
      </w:r>
    </w:p>
    <w:p>
      <w:pPr>
        <w:spacing w:line="600" w:lineRule="exact"/>
        <w:ind w:firstLineChars="200" w:firstLine="640"/>
        <w:outlineLvl w:val="1"/>
        <w:rPr>
          <w:rStyle w:val="2Char"/>
          <w:rFonts w:ascii="黑体" w:eastAsia="黑体"/>
          <w:b w:val="0"/>
        </w:rPr>
      </w:pPr>
      <w:bookmarkStart w:id="58" w:name="_Toc144131432"/>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6"/>
      <w:bookmarkEnd w:id="57"/>
      <w:bookmarkEnd w:id="58"/>
    </w:p>
    <w:p>
      <w:pPr>
        <w:spacing w:line="600" w:lineRule="exact"/>
        <w:ind w:firstLine="640"/>
        <w:outlineLvl w:val="2"/>
        <w:rPr>
          <w:rFonts w:ascii="仿宋" w:eastAsia="仿宋"/>
          <w:b/>
          <w:color w:val="000000"/>
          <w:sz w:val="32"/>
          <w:szCs w:val="32"/>
        </w:rPr>
      </w:pPr>
      <w:bookmarkStart w:id="59" w:name="_Toc15377216"/>
      <w:r>
        <w:rPr>
          <w:rFonts w:ascii="仿宋" w:eastAsia="仿宋" w:hint="eastAsia"/>
          <w:b/>
          <w:color w:val="000000"/>
          <w:sz w:val="32"/>
          <w:szCs w:val="32"/>
        </w:rPr>
        <w:t>（一）“三公”经费财政拨款支出决算总体情况说明</w:t>
      </w:r>
      <w:bookmarkEnd w:id="59"/>
    </w:p>
    <w:p>
      <w:pPr>
        <w:spacing w:line="600" w:lineRule="exact"/>
        <w:ind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2022年“三公”经费财政拨款预算数9万元，支出决算为9万元，完成预算100.00%。</w:t>
      </w:r>
    </w:p>
    <w:p>
      <w:pPr>
        <w:spacing w:line="600" w:lineRule="exact"/>
        <w:ind w:firstLine="640"/>
        <w:outlineLvl w:val="2"/>
        <w:rPr>
          <w:rFonts w:ascii="仿宋" w:eastAsia="仿宋"/>
          <w:b/>
          <w:color w:val="000000"/>
          <w:sz w:val="32"/>
          <w:szCs w:val="32"/>
        </w:rPr>
      </w:pPr>
      <w:bookmarkStart w:id="60" w:name="_Toc15377217"/>
      <w:r>
        <w:rPr>
          <w:rFonts w:ascii="仿宋" w:eastAsia="仿宋" w:hint="eastAsia"/>
          <w:b/>
          <w:color w:val="000000"/>
          <w:sz w:val="32"/>
          <w:szCs w:val="32"/>
        </w:rPr>
        <w:t>（二）“三公”经费财政拨款支出决算具体情况说明</w:t>
      </w:r>
      <w:bookmarkEnd w:id="60"/>
    </w:p>
    <w:p>
      <w:pPr>
        <w:spacing w:line="600" w:lineRule="exact"/>
        <w:ind w:firstLine="640"/>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2022年“三公”经费财政拨款支出决算9万元，其因公出国（境）费支出决算0.00万元，占0.00%；公务用车购置及运行维护费支出决算9.00万元，占100.00%；公务接待费支出决算0.00万元，占0.00%。</w:t>
      </w:r>
    </w:p>
    <w:p>
      <w:pPr>
        <w:autoSpaceDE w:val="0"/>
        <w:autoSpaceDN w:val="0"/>
        <w:adjustRightInd w:val="0"/>
        <w:spacing w:line="600" w:lineRule="exact"/>
        <w:ind w:firstLineChars="200" w:firstLine="640"/>
        <w:jc w:val="left"/>
        <w:rPr>
          <w:rFonts w:ascii="仿宋_GB2312" w:eastAsia="仿宋_GB2312" w:cs="仿宋_GB2312"/>
          <w:sz w:val="32"/>
          <w:szCs w:val="32"/>
          <w:shd w:val="clear" w:color="auto" w:fill="FFFFFF"/>
        </w:rPr>
      </w:pPr>
      <w:r>
        <w:rPr>
          <w:rFonts w:ascii="仿宋_GB2312" w:eastAsia="仿宋_GB2312" w:cs="仿宋_GB2312" w:hint="eastAsia"/>
          <w:sz w:val="32"/>
          <w:szCs w:val="32"/>
          <w:shd w:val="clear" w:color="auto" w:fill="FFFFFF"/>
        </w:rPr>
        <w:t>其中：公务用车购置支出0万元。全年按规定更新购置公务用车0辆。截至2022年</w:t>
      </w:r>
      <w:r>
        <w:rPr>
          <w:rFonts w:ascii="仿宋_GB2312" w:eastAsia="仿宋_GB2312" w:cs="仿宋_GB2312"/>
          <w:sz w:val="32"/>
          <w:szCs w:val="32"/>
          <w:shd w:val="clear" w:color="auto" w:fill="FFFFFF"/>
        </w:rPr>
        <w:t>12</w:t>
      </w:r>
      <w:r>
        <w:rPr>
          <w:rFonts w:ascii="仿宋_GB2312" w:eastAsia="仿宋_GB2312" w:cs="仿宋_GB2312" w:hint="eastAsia"/>
          <w:sz w:val="32"/>
          <w:szCs w:val="32"/>
          <w:shd w:val="clear" w:color="auto" w:fill="FFFFFF"/>
        </w:rPr>
        <w:t>月</w:t>
      </w:r>
      <w:r>
        <w:rPr>
          <w:rFonts w:ascii="仿宋_GB2312" w:eastAsia="仿宋_GB2312" w:cs="仿宋_GB2312"/>
          <w:sz w:val="32"/>
          <w:szCs w:val="32"/>
          <w:shd w:val="clear" w:color="auto" w:fill="FFFFFF"/>
        </w:rPr>
        <w:t>31</w:t>
      </w:r>
      <w:r>
        <w:rPr>
          <w:rFonts w:ascii="仿宋_GB2312" w:eastAsia="仿宋_GB2312" w:cs="仿宋_GB2312" w:hint="eastAsia"/>
          <w:sz w:val="32"/>
          <w:szCs w:val="32"/>
          <w:shd w:val="clear" w:color="auto" w:fill="FFFFFF"/>
        </w:rPr>
        <w:t>日，共有车辆</w:t>
      </w:r>
      <w:r>
        <w:rPr>
          <w:rFonts w:ascii="仿宋_GB2312" w:eastAsia="仿宋_GB2312" w:cs="仿宋_GB2312"/>
          <w:sz w:val="32"/>
          <w:szCs w:val="32"/>
          <w:shd w:val="clear" w:color="auto" w:fill="FFFFFF"/>
        </w:rPr>
        <w:t>4</w:t>
      </w:r>
      <w:r>
        <w:rPr>
          <w:rFonts w:ascii="仿宋_GB2312" w:eastAsia="仿宋_GB2312" w:cs="仿宋_GB2312" w:hint="eastAsia"/>
          <w:sz w:val="32"/>
          <w:szCs w:val="32"/>
          <w:shd w:val="clear" w:color="auto" w:fill="FFFFFF"/>
        </w:rPr>
        <w:t>辆，其中：部级领导干部用车0辆、主要领导干部用车0辆、机要通信用车0辆、应急保障用车3辆、执法执勤用车0辆、特种专业技术用车0辆、离退休干部用车0辆、其他用车1辆；公务接待费支出0万元；因公出国（境）费支出0万元。</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sz w:val="32"/>
          <w:szCs w:val="32"/>
        </w:rPr>
        <w:t>9</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numPr>
          <w:ilvl w:val="0"/>
          <w:numId w:val="4"/>
        </w:numPr>
        <w:tabs>
          <w:tab w:val="clear" w:pos="0"/>
          <w:tab w:val="left" w:pos="0"/>
        </w:tabs>
        <w:spacing w:line="600" w:lineRule="exact"/>
        <w:ind w:left="0" w:firstLine="640"/>
        <w:rPr>
          <w:rFonts w:ascii="仿宋_GB2312" w:eastAsia="仿宋_GB2312" w:cs="仿宋" w:hint="eastAsia"/>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0万元，完成预算100%</w:t>
      </w:r>
      <w:r>
        <w:rPr>
          <w:rStyle w:val="24"/>
          <w:rFonts w:ascii="仿宋" w:eastAsia="仿宋" w:hint="eastAsia"/>
          <w:b w:val="0"/>
          <w:bCs/>
          <w:color w:val="000000"/>
          <w:sz w:val="32"/>
          <w:szCs w:val="32"/>
        </w:rPr>
        <w:t>。</w:t>
      </w:r>
      <w:r>
        <w:rPr>
          <w:rFonts w:ascii="仿宋_GB2312" w:eastAsia="仿宋_GB2312" w:cs="仿宋" w:hint="eastAsia"/>
          <w:color w:val="000000"/>
          <w:sz w:val="32"/>
          <w:szCs w:val="32"/>
          <w:lang w:bidi="ar-SA"/>
        </w:rPr>
        <w:t>公务接待费0万元，较上年减少0万元。</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pStyle w:val="15"/>
      </w:pPr>
      <w:r>
        <w:rPr>
          <w:rFonts w:hint="eastAsia"/>
        </w:rPr>
        <w:drawing>
          <wp:inline distT="0" distB="0" distL="0" distR="0">
            <wp:extent cx="5274310" cy="3076575"/>
            <wp:effectExtent l="0" t="0" r="0" b="0"/>
            <wp:docPr id="6" name="图表 6"/>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640"/>
        <w:outlineLvl w:val="1"/>
        <w:rPr>
          <w:rStyle w:val="2Char"/>
          <w:rFonts w:ascii="黑体" w:eastAsia="黑体"/>
        </w:rPr>
      </w:pPr>
      <w:bookmarkStart w:id="61" w:name="_Toc23573"/>
      <w:bookmarkStart w:id="62" w:name="_Toc15377218"/>
      <w:bookmarkStart w:id="63" w:name="_Toc144131433"/>
      <w:r>
        <w:rPr>
          <w:rFonts w:ascii="黑体" w:eastAsia="黑体" w:hint="eastAsia"/>
          <w:color w:val="000000"/>
          <w:sz w:val="32"/>
          <w:szCs w:val="32"/>
        </w:rPr>
        <w:t>八、</w:t>
      </w:r>
      <w:r>
        <w:rPr>
          <w:rStyle w:val="2Char"/>
          <w:rFonts w:ascii="黑体" w:eastAsia="黑体" w:hint="eastAsia"/>
          <w:b w:val="0"/>
        </w:rPr>
        <w:t>政府性基金预算支出决算情况说明</w:t>
      </w:r>
      <w:bookmarkEnd w:id="61"/>
      <w:bookmarkEnd w:id="62"/>
      <w:bookmarkEnd w:id="63"/>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2022年政府性基金预算拨款支出0万元。</w:t>
      </w:r>
    </w:p>
    <w:p>
      <w:pPr>
        <w:numPr>
          <w:ilvl w:val="0"/>
          <w:numId w:val="5"/>
        </w:numPr>
        <w:spacing w:line="600" w:lineRule="exact"/>
        <w:ind w:left="0" w:firstLine="640"/>
        <w:outlineLvl w:val="1"/>
        <w:rPr>
          <w:rStyle w:val="2Char"/>
          <w:rFonts w:ascii="黑体" w:eastAsia="黑体"/>
          <w:b w:val="0"/>
        </w:rPr>
      </w:pPr>
      <w:bookmarkStart w:id="64" w:name="_Toc15377219"/>
      <w:bookmarkStart w:id="65" w:name="_Toc351"/>
      <w:bookmarkStart w:id="66" w:name="_Toc144131434"/>
      <w:r>
        <w:rPr>
          <w:rStyle w:val="2Char"/>
          <w:rFonts w:ascii="黑体" w:eastAsia="黑体" w:hint="eastAsia"/>
          <w:b w:val="0"/>
        </w:rPr>
        <w:t>国有资本经营预算支出决算情况说明</w:t>
      </w:r>
      <w:bookmarkEnd w:id="64"/>
      <w:bookmarkEnd w:id="65"/>
      <w:bookmarkEnd w:id="66"/>
    </w:p>
    <w:p>
      <w:pPr>
        <w:ind w:firstLineChars="200" w:firstLine="640"/>
        <w:rPr>
          <w:rFonts w:ascii="黑体" w:eastAsia="黑体"/>
          <w:bCs/>
          <w:sz w:val="32"/>
          <w:szCs w:val="32"/>
        </w:rPr>
      </w:pPr>
      <w:r>
        <w:rPr>
          <w:rFonts w:ascii="仿宋_GB2312" w:eastAsia="仿宋_GB2312" w:hint="eastAsia"/>
          <w:color w:val="000000"/>
          <w:sz w:val="32"/>
          <w:szCs w:val="32"/>
        </w:rPr>
        <w:t>2022年国有资本经营预算拨款支出0万元。</w:t>
      </w:r>
    </w:p>
    <w:p>
      <w:pPr>
        <w:pStyle w:val="2"/>
        <w:rPr>
          <w:rStyle w:val="2Char"/>
          <w:rFonts w:ascii="仿宋_GB2312" w:eastAsia="仿宋_GB2312"/>
          <w:color w:val="000000"/>
        </w:rPr>
      </w:pPr>
      <w:bookmarkStart w:id="67" w:name="_Toc30171"/>
      <w:bookmarkStart w:id="68" w:name="_Toc15377221"/>
      <w:bookmarkStart w:id="69" w:name="_Toc144131435"/>
      <w:r>
        <w:rPr>
          <w:rFonts w:ascii="黑体" w:eastAsia="黑体" w:hint="eastAsia"/>
          <w:color w:val="000000"/>
        </w:rPr>
        <w:t>十</w:t>
      </w:r>
      <w:r>
        <w:rPr>
          <w:rStyle w:val="2Char"/>
          <w:rFonts w:ascii="黑体" w:eastAsia="黑体" w:hint="eastAsia"/>
        </w:rPr>
        <w:t>、其他重要事项的情况说明</w:t>
      </w:r>
      <w:bookmarkEnd w:id="67"/>
      <w:bookmarkEnd w:id="68"/>
      <w:bookmarkEnd w:id="69"/>
    </w:p>
    <w:p>
      <w:pPr>
        <w:pStyle w:val="31"/>
        <w:numPr>
          <w:ilvl w:val="0"/>
          <w:numId w:val="6"/>
        </w:numPr>
        <w:spacing w:line="600" w:lineRule="exact"/>
        <w:ind w:firstLineChars="0"/>
        <w:outlineLvl w:val="2"/>
        <w:rPr>
          <w:rFonts w:ascii="仿宋" w:eastAsia="仿宋"/>
          <w:color w:val="000000"/>
          <w:sz w:val="32"/>
          <w:szCs w:val="32"/>
        </w:rPr>
      </w:pPr>
      <w:bookmarkStart w:id="70" w:name="_Toc15377222"/>
      <w:r>
        <w:rPr>
          <w:rFonts w:ascii="仿宋" w:eastAsia="仿宋" w:hint="eastAsia"/>
          <w:b/>
          <w:color w:val="000000"/>
          <w:sz w:val="32"/>
          <w:szCs w:val="32"/>
        </w:rPr>
        <w:t>机关运行经费支出情况</w:t>
      </w:r>
      <w:bookmarkEnd w:id="70"/>
    </w:p>
    <w:p>
      <w:pPr>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2022年，阿坝州金川县独松乡人民政府机关运行经费支出19.56万元，比2021年增加19.56万元。</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bookmarkStart w:id="71" w:name="_GoBack"/>
      <w:bookmarkEnd w:id="71"/>
    </w:p>
    <w:p>
      <w:pPr>
        <w:autoSpaceDE w:val="0"/>
        <w:autoSpaceDN w:val="0"/>
        <w:adjustRightInd w:val="0"/>
        <w:spacing w:line="600" w:lineRule="exact"/>
        <w:jc w:val="left"/>
        <w:outlineLvl w:val="2"/>
        <w:rPr>
          <w:rFonts w:ascii="仿宋" w:eastAsia="仿宋"/>
          <w:b/>
          <w:color w:val="000000"/>
          <w:sz w:val="32"/>
          <w:szCs w:val="32"/>
        </w:rPr>
      </w:pPr>
      <w:r>
        <w:rPr>
          <w:rFonts w:ascii="仿宋" w:eastAsia="仿宋" w:hint="eastAsia"/>
          <w:b/>
          <w:color w:val="000000"/>
          <w:sz w:val="32"/>
          <w:szCs w:val="32"/>
        </w:rPr>
        <w:t>（二）政府采购支出情况。</w:t>
      </w:r>
    </w:p>
    <w:p>
      <w:pPr>
        <w:autoSpaceDE w:val="0"/>
        <w:autoSpaceDN w:val="0"/>
        <w:adjustRightInd w:val="0"/>
        <w:spacing w:line="600" w:lineRule="exact"/>
        <w:ind w:firstLineChars="150" w:firstLine="480"/>
        <w:jc w:val="left"/>
        <w:outlineLvl w:val="2"/>
        <w:rPr>
          <w:rFonts w:ascii="仿宋" w:eastAsia="仿宋" w:cs="仿宋"/>
          <w:sz w:val="32"/>
          <w:szCs w:val="32"/>
          <w:shd w:val="clear" w:color="auto" w:fill="FFFFFF"/>
          <w:lang w:bidi="ar-SA"/>
        </w:rPr>
      </w:pPr>
      <w:bookmarkStart w:id="72" w:name="_Toc15377224"/>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autoSpaceDE w:val="0"/>
        <w:autoSpaceDN w:val="0"/>
        <w:adjustRightInd w:val="0"/>
        <w:spacing w:line="600" w:lineRule="exact"/>
        <w:ind w:firstLineChars="150" w:firstLine="48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72"/>
    </w:p>
    <w:p>
      <w:pPr>
        <w:autoSpaceDE w:val="0"/>
        <w:autoSpaceDN w:val="0"/>
        <w:adjustRightInd w:val="0"/>
        <w:spacing w:line="600" w:lineRule="exact"/>
        <w:ind w:firstLineChars="200" w:firstLine="640"/>
        <w:jc w:val="left"/>
        <w:rPr>
          <w:rFonts w:ascii="仿宋_GB2312" w:eastAsia="仿宋_GB2312" w:cs="仿宋_GB2312"/>
          <w:sz w:val="32"/>
          <w:szCs w:val="32"/>
          <w:shd w:val="clear" w:color="auto" w:fill="FFFFFF"/>
        </w:rPr>
      </w:pPr>
      <w:r>
        <w:rPr>
          <w:rFonts w:ascii="仿宋_GB2312" w:eastAsia="仿宋_GB2312" w:hint="eastAsia"/>
          <w:color w:val="000000"/>
          <w:sz w:val="32"/>
          <w:szCs w:val="32"/>
        </w:rPr>
        <w:t>截至2022年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日，共有车辆4辆。</w:t>
      </w:r>
      <w:r>
        <w:rPr>
          <w:rFonts w:ascii="仿宋_GB2312" w:eastAsia="仿宋_GB2312" w:cs="仿宋_GB2312" w:hint="eastAsia"/>
          <w:sz w:val="32"/>
          <w:szCs w:val="32"/>
          <w:shd w:val="clear" w:color="auto" w:fill="FFFFFF"/>
        </w:rPr>
        <w:t>其中应急保障用车3辆、其他用车1辆。</w:t>
      </w: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pStyle w:val="15"/>
      </w:pPr>
      <w:r>
        <w:br w:type="page"/>
      </w:r>
    </w:p>
    <w:p>
      <w:pPr>
        <w:numPr>
          <w:ilvl w:val="0"/>
          <w:numId w:val="7"/>
        </w:numPr>
        <w:spacing w:line="600" w:lineRule="exact"/>
        <w:ind w:left="0" w:firstLineChars="150" w:firstLine="660"/>
        <w:jc w:val="center"/>
        <w:outlineLvl w:val="0"/>
        <w:rPr>
          <w:rStyle w:val="1Char"/>
          <w:rFonts w:ascii="黑体" w:eastAsia="黑体"/>
          <w:b w:val="0"/>
        </w:rPr>
      </w:pPr>
      <w:bookmarkStart w:id="73" w:name="_Toc30760"/>
      <w:bookmarkStart w:id="74" w:name="_Toc15377225"/>
      <w:bookmarkStart w:id="75" w:name="_Toc144131436"/>
      <w:r>
        <w:rPr>
          <w:rFonts w:ascii="黑体" w:eastAsia="黑体" w:hint="eastAsia"/>
          <w:bCs/>
          <w:color w:val="000000"/>
          <w:sz w:val="44"/>
          <w:szCs w:val="44"/>
        </w:rPr>
        <w:t>名</w:t>
      </w:r>
      <w:r>
        <w:rPr>
          <w:rStyle w:val="1Char"/>
          <w:rFonts w:ascii="黑体" w:eastAsia="黑体" w:hint="eastAsia"/>
          <w:b w:val="0"/>
        </w:rPr>
        <w:t>词解释</w:t>
      </w:r>
      <w:bookmarkEnd w:id="73"/>
      <w:bookmarkEnd w:id="74"/>
      <w:bookmarkEnd w:id="75"/>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left"/>
        <w:rPr>
          <w:rFonts w:ascii="黑体" w:eastAsia="黑体"/>
          <w:color w:val="000000"/>
          <w:sz w:val="44"/>
          <w:szCs w:val="44"/>
        </w:rPr>
      </w:pPr>
      <w:bookmarkStart w:id="76" w:name="_Toc15377226"/>
      <w:bookmarkStart w:id="77" w:name="_Toc15396614"/>
      <w:r>
        <w:rPr>
          <w:rFonts w:ascii="黑体" w:eastAsia="黑体"/>
          <w:color w:val="000000"/>
          <w:sz w:val="44"/>
          <w:szCs w:val="44"/>
        </w:rPr>
        <w:br w:type="page"/>
      </w:r>
    </w:p>
    <w:p>
      <w:pPr>
        <w:pStyle w:val="1"/>
        <w:jc w:val="center"/>
        <w:rPr>
          <w:rFonts w:ascii="黑体" w:eastAsia="黑体"/>
          <w:b w:val="0"/>
          <w:color w:val="000000"/>
        </w:rPr>
      </w:pPr>
      <w:bookmarkStart w:id="78" w:name="_Toc144131437"/>
      <w:r>
        <w:rPr>
          <w:rFonts w:ascii="黑体" w:eastAsia="黑体" w:hint="eastAsia"/>
          <w:color w:val="000000"/>
        </w:rPr>
        <w:t>第四部分 附件</w:t>
      </w:r>
      <w:bookmarkEnd w:id="78"/>
    </w:p>
    <w:p>
      <w:pPr>
        <w:spacing w:line="576" w:lineRule="exact"/>
        <w:jc w:val="center"/>
        <w:rPr>
          <w:rFonts w:eastAsia="方正小标宋简体"/>
          <w:kern w:val="0"/>
          <w:sz w:val="40"/>
          <w:szCs w:val="44"/>
        </w:rPr>
      </w:pPr>
      <w:bookmarkEnd w:id="76"/>
      <w:bookmarkEnd w:id="77"/>
      <w:r>
        <w:rPr>
          <w:rFonts w:eastAsia="方正小标宋简体" w:hint="eastAsia"/>
          <w:kern w:val="0"/>
          <w:sz w:val="40"/>
          <w:szCs w:val="44"/>
        </w:rPr>
        <w:t>金川县独松乡人民政府</w:t>
      </w:r>
    </w:p>
    <w:p>
      <w:pPr>
        <w:spacing w:line="576" w:lineRule="exact"/>
        <w:jc w:val="center"/>
        <w:rPr>
          <w:rFonts w:eastAsia="方正小标宋简体"/>
          <w:kern w:val="0"/>
          <w:sz w:val="40"/>
          <w:szCs w:val="44"/>
        </w:rPr>
      </w:pPr>
      <w:r>
        <w:rPr>
          <w:rFonts w:eastAsia="方正小标宋简体" w:hint="eastAsia"/>
          <w:kern w:val="0"/>
          <w:sz w:val="40"/>
          <w:szCs w:val="44"/>
        </w:rPr>
        <w:t>202</w:t>
      </w:r>
      <w:r>
        <w:rPr>
          <w:rFonts w:eastAsia="方正小标宋简体"/>
          <w:kern w:val="0"/>
          <w:sz w:val="40"/>
          <w:szCs w:val="44"/>
        </w:rPr>
        <w:t>2</w:t>
      </w:r>
      <w:r>
        <w:rPr>
          <w:rFonts w:eastAsia="方正小标宋简体" w:hint="eastAsia"/>
          <w:kern w:val="0"/>
          <w:sz w:val="40"/>
          <w:szCs w:val="44"/>
        </w:rPr>
        <w:t>年部门整体支出绩效评价报告</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rPr>
          <w:rFonts w:ascii="仿宋_GB2312" w:eastAsia="仿宋_GB2312" w:cs="仿宋"/>
          <w:color w:val="000000"/>
          <w:sz w:val="32"/>
          <w:szCs w:val="32"/>
        </w:rPr>
      </w:pPr>
      <w:r>
        <w:rPr>
          <w:rFonts w:ascii="Times New Roman" w:eastAsia="黑体" w:hAnsi="Times New Roman"/>
          <w:sz w:val="32"/>
          <w:szCs w:val="32"/>
          <w:shd w:val="clear" w:color="auto" w:fill="FFFFFF"/>
          <w:lang w:val="zh-CN"/>
        </w:rPr>
        <w:tab/>
      </w:r>
      <w:r>
        <w:rPr>
          <w:rFonts w:ascii="仿宋_GB2312" w:eastAsia="仿宋_GB2312" w:cs="仿宋"/>
          <w:color w:val="000000"/>
          <w:sz w:val="32"/>
          <w:szCs w:val="32"/>
        </w:rPr>
        <w:t>一、部门（单位）概况</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（一）机构组成。</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独松乡人民政府下设“一办四中心一所”：具体组成为：党政综合办公室、综合文化发展中心、社会保障综合服务中心、经济发展中心、独松乡财政所。</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（二）机构职能。</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（三）人员概况。</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独松乡人民政府2022年年初在职30人，其中行政人员17人，行政工勤2人，事业人员11人，三支一扶1人；2022年年末在职31人，其中行政人员17人，行政工勤2人，事业人员12人。</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二、部门财政资金收支情况</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一）2022年独松乡本年收入合计835.13万元，其中：一般公共预算财政拨款收入835.13万元，占100%；政府性基金预算财政拨款收入0元，占0%；国有资本经营预算财政拨款收入0万元，占0%；事业收入0万元，占0%；经营收入0万元，占0%；附属单位上缴收入0万元，占0%；其他收入0万元，占0%。</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（二）2022年一般公共预算财政拨款支出835.13万元，主要用于以下方面: 其中一般公共服务支出为317.94万元，占38.07%；社会保障和就业支出为67.92万元，占8.13%；卫生健康支出为34.61万元，占4.14%；农林水支出为369.79万元，占44.28%；住房保障支出44.38万元，占5.32%；其他支出为0.48万元，占0.06%。</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其中：人员经费支出612.2万元，主要包括：基本工资117.09万元、津贴补贴137.73万元、奖金109.62万元、绩效工资32.51万元、机关事业单位基本养老保险缴费46.83万元、职业年金缴费21.10万元、其他社会保障缴费1.26万元、住房公积金44.38万元、职工基本医疗保险缴费23.45万元、公务员医疗补助6.17万元、生活补助6.45万元、奖励金65.63万元。</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日常公用经费支出29.49万元，主要包括：办公费3.72万元、印刷费4万元、水费1万元、电费1.5万元、邮电费2万元、差旅费4.99万元、劳务费2.8万元、福利费0.5万元、公务用车运行维护费9万元。</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项目支出193.44万元，主要包括：突发公共卫生事件应急处理5万元（办公费2万元，生活补助2万元，物资储备1万元），对村民党委会和村党支部的补助139.86万元（办公费16万元，维护费30万元，生活补助93.86万元），人大会议费0.1万元，农村人畜饮水48万元，其他支出0.48万元。</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三、部门整体预算绩效管理情况</w:t>
      </w:r>
    </w:p>
    <w:p>
      <w:pPr>
        <w:spacing w:line="576"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（一）预算编制情况。</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（1）预算编制质量：</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按照综合预算的编制原则，保证预算编制质量，中共金川县委组织部所有收入和支出均纳入财政预算管理，公用经费按人员数进行编制，其它经费严格按照有关预算法执行。</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（2）绩效目标填报：</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项目申报严格按照上级要求，明确绩效目标，控制支行成本，提高项目发挥作用。并根据财政局统一要求编制了我会整体绩效目标报告及项目整体绩效目标表，并报县财政局。</w:t>
      </w:r>
    </w:p>
    <w:p>
      <w:pPr>
        <w:spacing w:line="576"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（二）执行管理情况。</w:t>
        <w:tab/>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部门预算执行情况良好，但基本集中在下半年。支出情况中期评估不足，2022年“三公”经费预算9万元，其中公务接待费0万元，公务用车运行维护费9万元，实际支出9万元，公务接待费0万元，公务用车运行维护费9万元。</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（三）综合管理情况。</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我乡2022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（四）整体绩效。</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四、评价结论及建议</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（一）评价结论。</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在自评过程发现问题，查找原因，及时纠正偏差，为下一步工作夯实基础。整体评价良好，预算支出和决算支出情况相符。</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（二）存在问题。</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一是资金使用效益有待进一步提高。公用经费上半年拨付进度慢。二是绩效目标设立不够明确、细化和量化。虽然设立了项目资金绩效目标，但目标不够明确、细化和量化。</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（三）改进建议</w:t>
      </w:r>
    </w:p>
    <w:p>
      <w:pPr>
        <w:pStyle w:val="3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3"/>
        <w:ind w:firstLine="640"/>
        <w:rPr>
          <w:rFonts w:ascii="仿宋_GB2312" w:eastAsia="仿宋_GB2312" w:cs="仿宋"/>
          <w:color w:val="000000"/>
          <w:sz w:val="32"/>
          <w:szCs w:val="32"/>
        </w:rPr>
      </w:pPr>
      <w:r>
        <w:rPr>
          <w:rFonts w:ascii="仿宋_GB2312" w:eastAsia="仿宋_GB2312" w:cs="仿宋"/>
          <w:color w:val="000000"/>
          <w:sz w:val="32"/>
          <w:szCs w:val="32"/>
        </w:rPr>
        <w:t>一是加强资金拨付进度，更加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widowControl/>
        <w:jc w:val="left"/>
        <w:rPr>
          <w:rFonts w:eastAsia="黑体"/>
          <w:sz w:val="44"/>
          <w:szCs w:val="44"/>
        </w:rPr>
      </w:pPr>
      <w:bookmarkStart w:id="79" w:name="_Toc15396618"/>
      <w:bookmarkStart w:id="80" w:name="_Toc26843625"/>
      <w:r>
        <w:rPr>
          <w:rFonts w:eastAsia="黑体"/>
          <w:sz w:val="44"/>
          <w:szCs w:val="44"/>
        </w:rPr>
        <w:br w:type="page"/>
      </w:r>
    </w:p>
    <w:p>
      <w:pPr>
        <w:spacing w:line="576" w:lineRule="exact"/>
        <w:jc w:val="center"/>
        <w:outlineLvl w:val="0"/>
        <w:rPr>
          <w:rStyle w:val="1Char"/>
          <w:rFonts w:eastAsia="黑体"/>
          <w:b w:val="0"/>
          <w:bCs w:val="0"/>
        </w:rPr>
      </w:pPr>
      <w:bookmarkStart w:id="81" w:name="_Toc144131438"/>
      <w:r>
        <w:rPr>
          <w:rFonts w:eastAsia="黑体"/>
          <w:sz w:val="44"/>
          <w:szCs w:val="44"/>
        </w:rPr>
        <w:t>第</w:t>
      </w:r>
      <w:r>
        <w:rPr>
          <w:rStyle w:val="1Char"/>
          <w:rFonts w:eastAsia="黑体"/>
          <w:b w:val="0"/>
          <w:bCs w:val="0"/>
        </w:rPr>
        <w:t>五部分 附表</w:t>
      </w:r>
      <w:bookmarkEnd w:id="79"/>
      <w:bookmarkEnd w:id="80"/>
      <w:bookmarkEnd w:id="81"/>
    </w:p>
    <w:p>
      <w:pPr>
        <w:rPr>
          <w:rFonts w:ascii="仿宋_GB2312" w:eastAsia="仿宋_GB2312" w:cs="仿宋"/>
          <w:color w:val="000000"/>
          <w:kern w:val="0"/>
          <w:sz w:val="32"/>
          <w:szCs w:val="32"/>
        </w:rPr>
      </w:pPr>
      <w:bookmarkStart w:id="82" w:name="_Toc26843626"/>
    </w:p>
    <w:p>
      <w:pPr>
        <w:rPr>
          <w:rFonts w:ascii="仿宋_GB2312" w:eastAsia="仿宋_GB2312" w:cs="仿宋"/>
          <w:color w:val="000000"/>
          <w:kern w:val="0"/>
          <w:sz w:val="32"/>
          <w:szCs w:val="32"/>
        </w:rPr>
      </w:pPr>
      <w:r>
        <w:rPr>
          <w:rFonts w:ascii="仿宋_GB2312" w:eastAsia="仿宋_GB2312" w:cs="仿宋"/>
          <w:color w:val="000000"/>
          <w:kern w:val="0"/>
          <w:sz w:val="32"/>
          <w:szCs w:val="32"/>
        </w:rPr>
        <w:t>一、收入支出决算总表</w:t>
      </w:r>
      <w:bookmarkEnd w:id="82"/>
    </w:p>
    <w:p>
      <w:pPr>
        <w:rPr>
          <w:rFonts w:ascii="仿宋_GB2312" w:eastAsia="仿宋_GB2312" w:cs="仿宋"/>
          <w:color w:val="000000"/>
          <w:kern w:val="0"/>
          <w:sz w:val="32"/>
          <w:szCs w:val="32"/>
        </w:rPr>
      </w:pPr>
      <w:bookmarkStart w:id="83" w:name="_Toc26843627"/>
      <w:bookmarkStart w:id="84" w:name="_Toc15396620"/>
      <w:r>
        <w:rPr>
          <w:rFonts w:ascii="仿宋_GB2312" w:eastAsia="仿宋_GB2312" w:cs="仿宋"/>
          <w:color w:val="000000"/>
          <w:kern w:val="0"/>
          <w:sz w:val="32"/>
          <w:szCs w:val="32"/>
        </w:rPr>
        <w:t>二、收入决算表</w:t>
      </w:r>
      <w:bookmarkEnd w:id="83"/>
      <w:bookmarkEnd w:id="84"/>
    </w:p>
    <w:p>
      <w:pPr>
        <w:rPr>
          <w:rFonts w:ascii="仿宋_GB2312" w:eastAsia="仿宋_GB2312" w:cs="仿宋"/>
          <w:color w:val="000000"/>
          <w:kern w:val="0"/>
          <w:sz w:val="32"/>
          <w:szCs w:val="32"/>
        </w:rPr>
      </w:pPr>
      <w:bookmarkStart w:id="85" w:name="_Toc26843628"/>
      <w:bookmarkStart w:id="86" w:name="_Toc15396621"/>
      <w:r>
        <w:rPr>
          <w:rFonts w:ascii="仿宋_GB2312" w:eastAsia="仿宋_GB2312" w:cs="仿宋"/>
          <w:color w:val="000000"/>
          <w:kern w:val="0"/>
          <w:sz w:val="32"/>
          <w:szCs w:val="32"/>
        </w:rPr>
        <w:t>三、支出决算表</w:t>
      </w:r>
      <w:bookmarkEnd w:id="85"/>
      <w:bookmarkEnd w:id="86"/>
    </w:p>
    <w:p>
      <w:pPr>
        <w:rPr>
          <w:rFonts w:ascii="仿宋_GB2312" w:eastAsia="仿宋_GB2312" w:cs="仿宋"/>
          <w:color w:val="000000"/>
          <w:kern w:val="0"/>
          <w:sz w:val="32"/>
          <w:szCs w:val="32"/>
        </w:rPr>
      </w:pPr>
      <w:bookmarkStart w:id="87" w:name="_Toc26843629"/>
      <w:bookmarkStart w:id="88" w:name="_Toc15396622"/>
      <w:r>
        <w:rPr>
          <w:rFonts w:ascii="仿宋_GB2312" w:eastAsia="仿宋_GB2312" w:cs="仿宋"/>
          <w:color w:val="000000"/>
          <w:kern w:val="0"/>
          <w:sz w:val="32"/>
          <w:szCs w:val="32"/>
        </w:rPr>
        <w:t>四、财政拨款收入支出决算总表</w:t>
      </w:r>
      <w:bookmarkEnd w:id="87"/>
      <w:bookmarkEnd w:id="88"/>
    </w:p>
    <w:p>
      <w:pPr>
        <w:rPr>
          <w:rFonts w:ascii="仿宋_GB2312" w:eastAsia="仿宋_GB2312" w:cs="仿宋"/>
          <w:color w:val="000000"/>
          <w:kern w:val="0"/>
          <w:sz w:val="32"/>
          <w:szCs w:val="32"/>
        </w:rPr>
      </w:pPr>
      <w:bookmarkStart w:id="89" w:name="_Toc15396623"/>
      <w:bookmarkStart w:id="90" w:name="_Toc26843630"/>
      <w:r>
        <w:rPr>
          <w:rFonts w:ascii="仿宋_GB2312" w:eastAsia="仿宋_GB2312" w:cs="仿宋"/>
          <w:color w:val="000000"/>
          <w:kern w:val="0"/>
          <w:sz w:val="32"/>
          <w:szCs w:val="32"/>
        </w:rPr>
        <w:t>五、财政拨款支出决算明细表</w:t>
      </w:r>
      <w:bookmarkStart w:id="91" w:name="_Toc15396624"/>
      <w:bookmarkEnd w:id="89"/>
      <w:bookmarkEnd w:id="90"/>
    </w:p>
    <w:p>
      <w:pPr>
        <w:rPr>
          <w:rFonts w:ascii="仿宋_GB2312" w:eastAsia="仿宋_GB2312" w:cs="仿宋"/>
          <w:color w:val="000000"/>
          <w:kern w:val="0"/>
          <w:sz w:val="32"/>
          <w:szCs w:val="32"/>
        </w:rPr>
      </w:pPr>
      <w:bookmarkStart w:id="92" w:name="_Toc26843631"/>
      <w:r>
        <w:rPr>
          <w:rFonts w:ascii="仿宋_GB2312" w:eastAsia="仿宋_GB2312" w:cs="仿宋"/>
          <w:color w:val="000000"/>
          <w:kern w:val="0"/>
          <w:sz w:val="32"/>
          <w:szCs w:val="32"/>
        </w:rPr>
        <w:t>六、一般公共预算财政拨款支出决算表</w:t>
      </w:r>
      <w:bookmarkEnd w:id="91"/>
      <w:bookmarkEnd w:id="92"/>
    </w:p>
    <w:p>
      <w:pPr>
        <w:rPr>
          <w:rFonts w:ascii="仿宋_GB2312" w:eastAsia="仿宋_GB2312" w:cs="仿宋"/>
          <w:color w:val="000000"/>
          <w:kern w:val="0"/>
          <w:sz w:val="32"/>
          <w:szCs w:val="32"/>
        </w:rPr>
      </w:pPr>
      <w:bookmarkStart w:id="93" w:name="_Toc15396625"/>
      <w:bookmarkStart w:id="94" w:name="_Toc26843632"/>
      <w:r>
        <w:rPr>
          <w:rFonts w:ascii="仿宋_GB2312" w:eastAsia="仿宋_GB2312" w:cs="仿宋"/>
          <w:color w:val="000000"/>
          <w:kern w:val="0"/>
          <w:sz w:val="32"/>
          <w:szCs w:val="32"/>
        </w:rPr>
        <w:t>七、一般公共预算财政拨款支出决算明细表</w:t>
      </w:r>
      <w:bookmarkEnd w:id="93"/>
      <w:bookmarkEnd w:id="94"/>
    </w:p>
    <w:p>
      <w:pPr>
        <w:rPr>
          <w:rFonts w:ascii="仿宋_GB2312" w:eastAsia="仿宋_GB2312" w:cs="仿宋"/>
          <w:color w:val="000000"/>
          <w:kern w:val="0"/>
          <w:sz w:val="32"/>
          <w:szCs w:val="32"/>
        </w:rPr>
      </w:pPr>
      <w:bookmarkStart w:id="95" w:name="_Toc26843633"/>
      <w:bookmarkStart w:id="96" w:name="_Toc15396626"/>
      <w:r>
        <w:rPr>
          <w:rFonts w:ascii="仿宋_GB2312" w:eastAsia="仿宋_GB2312" w:cs="仿宋"/>
          <w:color w:val="000000"/>
          <w:kern w:val="0"/>
          <w:sz w:val="32"/>
          <w:szCs w:val="32"/>
        </w:rPr>
        <w:t>八、一般公共预算财政拨款基本支出决算表</w:t>
      </w:r>
      <w:bookmarkEnd w:id="95"/>
      <w:bookmarkEnd w:id="96"/>
    </w:p>
    <w:p>
      <w:pPr>
        <w:rPr>
          <w:rFonts w:ascii="仿宋_GB2312" w:eastAsia="仿宋_GB2312" w:cs="仿宋"/>
          <w:color w:val="000000"/>
          <w:kern w:val="0"/>
          <w:sz w:val="32"/>
          <w:szCs w:val="32"/>
        </w:rPr>
      </w:pPr>
      <w:bookmarkStart w:id="97" w:name="_Toc15396627"/>
      <w:bookmarkStart w:id="98" w:name="_Toc26843634"/>
      <w:r>
        <w:rPr>
          <w:rFonts w:ascii="仿宋_GB2312" w:eastAsia="仿宋_GB2312" w:cs="仿宋"/>
          <w:color w:val="000000"/>
          <w:kern w:val="0"/>
          <w:sz w:val="32"/>
          <w:szCs w:val="32"/>
        </w:rPr>
        <w:t>九、一般公共预算财政拨款项目支出决算表</w:t>
      </w:r>
      <w:bookmarkEnd w:id="97"/>
      <w:bookmarkEnd w:id="98"/>
    </w:p>
    <w:p>
      <w:pPr>
        <w:rPr>
          <w:rFonts w:ascii="仿宋_GB2312" w:eastAsia="仿宋_GB2312" w:cs="仿宋"/>
          <w:color w:val="000000"/>
          <w:kern w:val="0"/>
          <w:sz w:val="32"/>
          <w:szCs w:val="32"/>
        </w:rPr>
      </w:pPr>
      <w:bookmarkStart w:id="99" w:name="_Toc15396628"/>
      <w:bookmarkStart w:id="100" w:name="_Toc26843635"/>
      <w:r>
        <w:rPr>
          <w:rFonts w:ascii="仿宋_GB2312" w:eastAsia="仿宋_GB2312" w:cs="仿宋"/>
          <w:color w:val="000000"/>
          <w:kern w:val="0"/>
          <w:sz w:val="32"/>
          <w:szCs w:val="32"/>
        </w:rPr>
        <w:t>十</w:t>
      </w:r>
      <w:bookmarkStart w:id="101" w:name="_Toc26843636"/>
      <w:bookmarkStart w:id="102" w:name="_Toc15396629"/>
      <w:bookmarkEnd w:id="99"/>
      <w:bookmarkEnd w:id="100"/>
      <w:r>
        <w:rPr>
          <w:rFonts w:ascii="仿宋_GB2312" w:eastAsia="仿宋_GB2312" w:cs="仿宋"/>
          <w:color w:val="000000"/>
          <w:kern w:val="0"/>
          <w:sz w:val="32"/>
          <w:szCs w:val="32"/>
        </w:rPr>
        <w:t>、政府性基金预算财政拨款收入支出决算表</w:t>
      </w:r>
      <w:bookmarkEnd w:id="101"/>
      <w:bookmarkEnd w:id="102"/>
    </w:p>
    <w:p>
      <w:pPr>
        <w:rPr>
          <w:rFonts w:ascii="仿宋_GB2312" w:eastAsia="仿宋_GB2312" w:cs="仿宋"/>
          <w:color w:val="000000"/>
          <w:kern w:val="0"/>
          <w:sz w:val="32"/>
          <w:szCs w:val="32"/>
        </w:rPr>
      </w:pPr>
      <w:bookmarkStart w:id="103" w:name="_Toc26843637"/>
      <w:bookmarkStart w:id="104" w:name="_Toc15396630"/>
      <w:r>
        <w:rPr>
          <w:rFonts w:ascii="仿宋_GB2312" w:eastAsia="仿宋_GB2312" w:cs="仿宋"/>
          <w:color w:val="000000"/>
          <w:kern w:val="0"/>
          <w:sz w:val="32"/>
          <w:szCs w:val="32"/>
        </w:rPr>
        <w:t>十</w:t>
      </w:r>
      <w:bookmarkEnd w:id="103"/>
      <w:bookmarkEnd w:id="104"/>
      <w:r>
        <w:rPr>
          <w:rFonts w:ascii="仿宋_GB2312" w:eastAsia="仿宋_GB2312" w:cs="仿宋" w:hint="eastAsia"/>
          <w:color w:val="000000"/>
          <w:kern w:val="0"/>
          <w:sz w:val="32"/>
          <w:szCs w:val="32"/>
        </w:rPr>
        <w:t>一</w:t>
      </w:r>
      <w:r>
        <w:rPr>
          <w:rFonts w:ascii="仿宋_GB2312" w:eastAsia="仿宋_GB2312" w:cs="仿宋"/>
          <w:color w:val="000000"/>
          <w:kern w:val="0"/>
          <w:sz w:val="32"/>
          <w:szCs w:val="32"/>
        </w:rPr>
        <w:t>、国有资本经营预算财政拨款收入支出决算表</w:t>
      </w:r>
    </w:p>
    <w:p>
      <w:pPr>
        <w:rPr>
          <w:rFonts w:ascii="仿宋_GB2312" w:eastAsia="仿宋_GB2312" w:cs="仿宋"/>
          <w:color w:val="000000"/>
          <w:kern w:val="0"/>
          <w:sz w:val="32"/>
          <w:szCs w:val="32"/>
        </w:rPr>
      </w:pPr>
      <w:r>
        <w:rPr>
          <w:rFonts w:ascii="仿宋_GB2312" w:eastAsia="仿宋_GB2312" w:cs="仿宋"/>
          <w:color w:val="000000"/>
          <w:kern w:val="0"/>
          <w:sz w:val="32"/>
          <w:szCs w:val="32"/>
        </w:rPr>
        <w:t>十</w:t>
      </w:r>
      <w:r>
        <w:rPr>
          <w:rFonts w:ascii="仿宋_GB2312" w:eastAsia="仿宋_GB2312" w:cs="仿宋" w:hint="eastAsia"/>
          <w:color w:val="000000"/>
          <w:kern w:val="0"/>
          <w:sz w:val="32"/>
          <w:szCs w:val="32"/>
        </w:rPr>
        <w:t>二</w:t>
      </w:r>
      <w:r>
        <w:rPr>
          <w:rFonts w:ascii="仿宋_GB2312" w:eastAsia="仿宋_GB2312" w:cs="仿宋"/>
          <w:color w:val="000000"/>
          <w:kern w:val="0"/>
          <w:sz w:val="32"/>
          <w:szCs w:val="32"/>
        </w:rPr>
        <w:t>、国有资本经营预算财政拨款</w:t>
      </w:r>
      <w:r>
        <w:rPr>
          <w:rFonts w:ascii="仿宋_GB2312" w:eastAsia="仿宋_GB2312" w:cs="仿宋" w:hint="eastAsia"/>
          <w:color w:val="000000"/>
          <w:kern w:val="0"/>
          <w:sz w:val="32"/>
          <w:szCs w:val="32"/>
        </w:rPr>
        <w:t>支出决算表</w:t>
      </w:r>
    </w:p>
    <w:p>
      <w:pPr>
        <w:rPr>
          <w:rFonts w:ascii="仿宋_GB2312" w:eastAsia="仿宋_GB2312" w:cs="仿宋"/>
          <w:color w:val="000000"/>
          <w:kern w:val="0"/>
          <w:sz w:val="32"/>
          <w:szCs w:val="32"/>
        </w:rPr>
      </w:pPr>
      <w:r>
        <w:rPr>
          <w:rFonts w:ascii="仿宋_GB2312" w:eastAsia="仿宋_GB2312" w:cs="仿宋"/>
          <w:color w:val="000000"/>
          <w:kern w:val="0"/>
          <w:sz w:val="32"/>
          <w:szCs w:val="32"/>
        </w:rPr>
        <w:t>十</w:t>
      </w:r>
      <w:r>
        <w:rPr>
          <w:rFonts w:ascii="仿宋_GB2312" w:eastAsia="仿宋_GB2312" w:cs="仿宋" w:hint="eastAsia"/>
          <w:color w:val="000000"/>
          <w:kern w:val="0"/>
          <w:sz w:val="32"/>
          <w:szCs w:val="32"/>
        </w:rPr>
        <w:t>三</w:t>
      </w:r>
      <w:r>
        <w:rPr>
          <w:rFonts w:ascii="仿宋_GB2312" w:eastAsia="仿宋_GB2312" w:cs="仿宋"/>
          <w:color w:val="000000"/>
          <w:kern w:val="0"/>
          <w:sz w:val="32"/>
          <w:szCs w:val="32"/>
        </w:rPr>
        <w:t>、</w:t>
      </w:r>
      <w:r>
        <w:rPr>
          <w:rFonts w:ascii="仿宋_GB2312" w:eastAsia="仿宋_GB2312" w:cs="仿宋" w:hint="eastAsia"/>
          <w:color w:val="000000"/>
          <w:kern w:val="0"/>
          <w:sz w:val="32"/>
          <w:szCs w:val="32"/>
        </w:rPr>
        <w:t>财政拨款“三公“经费支出决算表</w:t>
      </w:r>
    </w:p>
    <w:p>
      <w:pPr>
        <w:pStyle w:val="15"/>
        <w:ind w:leftChars="95" w:left="397" w:right="1280" w:hangingChars="62" w:hanging="198"/>
        <w:contextualSpacing/>
        <w:rPr>
          <w:rFonts w:ascii="仿宋" w:eastAsia="仿宋"/>
          <w:color w:val="000000"/>
          <w:sz w:val="32"/>
          <w:szCs w:val="32"/>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仿宋_GB2312">
    <w:altName w:val="微软雅黑"/>
    <w:panose1 w:val="00000000000000000000"/>
    <w:charset w:val="86"/>
    <w:family w:val="modern"/>
    <w:pitch w:val="variable"/>
    <w:sig w:usb0="00000001" w:usb1="080E0000" w:usb2="0000000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E4002EFF" w:usb1="C200247B" w:usb2="00000009" w:usb3="00000000" w:csb0="000001FF" w:csb1="00000000"/>
  </w:font>
  <w:font w:name="宋体">
    <w:altName w:val="AR PL UKai CN"/>
    <w:panose1 w:val="02010600030101010101"/>
    <w:charset w:val="86"/>
    <w:family w:val="auto"/>
    <w:pitch w:val="variable"/>
    <w:sig w:usb0="00000203" w:usb1="288F0000" w:usb2="00000016"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楷体">
    <w:altName w:val="楷体_GB2312"/>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0"/>
    <w:family w:val="roman"/>
    <w:pitch w:val="variable"/>
    <w:sig w:usb0="E0002EFF" w:usb1="C000785B" w:usb2="00000009" w:usb3="00000000" w:csb0="000001FF" w:csb1="00000000"/>
  </w:font>
  <w:font w:name="Cambria">
    <w:altName w:val="DejaVu Sans"/>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111667375"/>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F0B2A1C1"/>
    <w:multiLevelType w:val="singleLevel"/>
    <w:tmpl w:val="F0B2A1C1"/>
    <w:lvl w:ilvl="0">
      <w:start w:val="1"/>
      <w:numFmt w:val="decimal"/>
      <w:lvlRestart w:val="0"/>
      <w:lvlText w:val="%1."/>
      <w:lvlJc w:val="left"/>
      <w:pPr>
        <w:tabs>
          <w:tab w:val="num" w:pos="0"/>
        </w:tabs>
        <w:ind w:left="0" w:hanging="0"/>
      </w:pPr>
    </w:lvl>
  </w:abstractNum>
  <w:abstractNum w:abstractNumId="3">
    <w:nsid w:val="78D72DD4"/>
    <w:multiLevelType w:val="singleLevel"/>
    <w:tmpl w:val="78D72DD4"/>
    <w:lvl w:ilvl="0">
      <w:start w:val="3"/>
      <w:numFmt w:val="decimal"/>
      <w:lvlRestart w:val="0"/>
      <w:lvlText w:val="%1."/>
      <w:lvlJc w:val="left"/>
      <w:pPr>
        <w:tabs>
          <w:tab w:val="num" w:pos="0"/>
        </w:tabs>
        <w:ind w:left="0" w:hanging="0"/>
      </w:pPr>
    </w:lvl>
  </w:abstractNum>
  <w:abstractNum w:abstractNumId="4">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5">
    <w:nsid w:val="037D6EB9"/>
    <w:multiLevelType w:val="hybridMultilevel"/>
    <w:tmpl w:val="1DACC362"/>
    <w:lvl w:ilvl="0">
      <w:start w:val="1"/>
      <w:numFmt w:val="japaneseCounting"/>
      <w:lvlRestart w:val="0"/>
      <w:lvlText w:val="（%1）"/>
      <w:lvlJc w:val="left"/>
      <w:pPr>
        <w:tabs>
          <w:tab w:val="num" w:pos="0"/>
        </w:tabs>
        <w:ind w:left="1080" w:hanging="1080"/>
      </w:pPr>
      <w:rPr>
        <w:rFonts w:hint="default"/>
        <w:b/>
      </w:rPr>
    </w:lvl>
    <w:lvl w:ilvl="1">
      <w:start w:val="1"/>
      <w:numFmt w:val="lowerLetter"/>
      <w:lvlText w:val="%2)"/>
      <w:lvlJc w:val="left"/>
      <w:pPr>
        <w:tabs>
          <w:tab w:val="num" w:pos="0"/>
        </w:tabs>
        <w:ind w:left="880" w:hanging="440"/>
      </w:pPr>
    </w:lvl>
    <w:lvl w:ilvl="2">
      <w:start w:val="1"/>
      <w:numFmt w:val="lowerRoman"/>
      <w:lvlText w:val="%3."/>
      <w:lvlJc w:val="right"/>
      <w:pPr>
        <w:tabs>
          <w:tab w:val="num" w:pos="0"/>
        </w:tabs>
        <w:ind w:left="1320" w:hanging="440"/>
      </w:pPr>
    </w:lvl>
    <w:lvl w:ilvl="3">
      <w:start w:val="1"/>
      <w:numFmt w:val="decimal"/>
      <w:lvlText w:val="%4."/>
      <w:lvlJc w:val="left"/>
      <w:pPr>
        <w:tabs>
          <w:tab w:val="num" w:pos="0"/>
        </w:tabs>
        <w:ind w:left="1760" w:hanging="440"/>
      </w:pPr>
    </w:lvl>
    <w:lvl w:ilvl="4">
      <w:start w:val="1"/>
      <w:numFmt w:val="lowerLetter"/>
      <w:lvlText w:val="%5)"/>
      <w:lvlJc w:val="left"/>
      <w:pPr>
        <w:tabs>
          <w:tab w:val="num" w:pos="0"/>
        </w:tabs>
        <w:ind w:left="2200" w:hanging="440"/>
      </w:pPr>
    </w:lvl>
    <w:lvl w:ilvl="5">
      <w:start w:val="1"/>
      <w:numFmt w:val="lowerRoman"/>
      <w:lvlText w:val="%6."/>
      <w:lvlJc w:val="right"/>
      <w:pPr>
        <w:tabs>
          <w:tab w:val="num" w:pos="0"/>
        </w:tabs>
        <w:ind w:left="2640" w:hanging="440"/>
      </w:pPr>
    </w:lvl>
    <w:lvl w:ilvl="6">
      <w:start w:val="1"/>
      <w:numFmt w:val="decimal"/>
      <w:lvlText w:val="%7."/>
      <w:lvlJc w:val="left"/>
      <w:pPr>
        <w:tabs>
          <w:tab w:val="num" w:pos="0"/>
        </w:tabs>
        <w:ind w:left="3080" w:hanging="440"/>
      </w:pPr>
    </w:lvl>
    <w:lvl w:ilvl="7">
      <w:start w:val="1"/>
      <w:numFmt w:val="lowerLetter"/>
      <w:lvlText w:val="%8)"/>
      <w:lvlJc w:val="left"/>
      <w:pPr>
        <w:tabs>
          <w:tab w:val="num" w:pos="0"/>
        </w:tabs>
        <w:ind w:left="3520" w:hanging="440"/>
      </w:pPr>
    </w:lvl>
    <w:lvl w:ilvl="8">
      <w:start w:val="1"/>
      <w:numFmt w:val="lowerRoman"/>
      <w:lvlText w:val="%9."/>
      <w:lvlJc w:val="right"/>
      <w:pPr>
        <w:tabs>
          <w:tab w:val="num" w:pos="0"/>
        </w:tabs>
        <w:ind w:left="3960" w:hanging="440"/>
      </w:pPr>
    </w:lvl>
  </w:abstractNum>
  <w:abstractNum w:abstractNumId="6">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2JmOTU0NDBjMDY3NjY1MjNkZTk1NjZmM2U5NTA0NG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 w:type="character" w:styleId="24">
    <w:name w:val="Strong"/>
    <w:rPr>
      <w:b/>
    </w:rPr>
  </w:style>
  <w:style w:type="character" w:styleId="25">
    <w:name w:val="Hyperlink"/>
    <w:basedOn w:val="10"/>
    <w:rPr>
      <w:color w:val="0000FF"/>
      <w:u w:val="single"/>
    </w:r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 w:type="paragraph" w:styleId="34">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收、支决算结构图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2021年</c:v>
                </c:pt>
                <c:pt idx="1">
                  <c:v>2022年</c:v>
                </c:pt>
              </c:strCache>
            </c:strRef>
          </c:cat>
          <c:val>
            <c:numRef>
              <c:f>'Sheet1'!$B$2:$B$3</c:f>
              <c:numCache>
                <c:formatCode>General</c:formatCode>
                <c:ptCount val="2"/>
                <c:pt idx="0">
                  <c:v>1039.19</c:v>
                </c:pt>
                <c:pt idx="1">
                  <c:v>835.13</c:v>
                </c:pt>
              </c:numCache>
            </c:numRef>
          </c:val>
        </c:ser>
        <c:ser>
          <c:idx val="1"/>
          <c:order val="1"/>
          <c:tx>
            <c:strRef>
              <c:f>'Sheet1'!$C$1</c:f>
              <c:strCache>
                <c:ptCount val="1"/>
                <c:pt idx="0">
                  <c:v>总支出</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2021年</c:v>
                </c:pt>
                <c:pt idx="1">
                  <c:v>2022年</c:v>
                </c:pt>
              </c:strCache>
            </c:strRef>
          </c:cat>
          <c:val>
            <c:numRef>
              <c:f>'Sheet1'!$C$2:$C$3</c:f>
              <c:numCache>
                <c:formatCode>General</c:formatCode>
                <c:ptCount val="2"/>
                <c:pt idx="0">
                  <c:v>1110.2</c:v>
                </c:pt>
                <c:pt idx="1">
                  <c:v>835.13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835.13</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100%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1219.8</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641.7</c:v>
                </c:pt>
                <c:pt idx="1">
                  <c:v>193.44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收、支决算结构图</a:t>
            </a:r>
          </a:p>
        </c:rich>
      </c:tx>
      <c:layout/>
      <c:overlay val="0"/>
      <c:spPr>
        <a:noFill/>
        <a:ln>
          <a:noFill/>
        </a:ln>
      </c:spPr>
    </c:title>
    <c:autoTitleDeleted val="1"/>
    <c:plotArea>
      <c:layout/>
      <c:barChart>
        <c:barDir val="col"/>
        <c:grouping val="clustered"/>
        <c:varyColors val="0"/>
        <c:ser>
          <c:idx val="0"/>
          <c:order val="0"/>
          <c:tx>
            <c:strRef>
              <c:f>'Sheet1 (4)'!$B$1</c:f>
              <c:strCache>
                <c:ptCount val="1"/>
                <c:pt idx="0">
                  <c:v>总收入</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2021年</c:v>
                </c:pt>
                <c:pt idx="1">
                  <c:v>2022年</c:v>
                </c:pt>
              </c:strCache>
            </c:strRef>
          </c:cat>
          <c:val>
            <c:numRef>
              <c:f>'Sheet1 (4)'!$B$2:$B$3</c:f>
              <c:numCache>
                <c:formatCode>General</c:formatCode>
                <c:ptCount val="2"/>
                <c:pt idx="0">
                  <c:v>1039.19</c:v>
                </c:pt>
                <c:pt idx="1">
                  <c:v>835.13</c:v>
                </c:pt>
              </c:numCache>
            </c:numRef>
          </c:val>
        </c:ser>
        <c:ser>
          <c:idx val="1"/>
          <c:order val="1"/>
          <c:tx>
            <c:strRef>
              <c:f>'Sheet1 (4)'!$C$1</c:f>
              <c:strCache>
                <c:ptCount val="1"/>
                <c:pt idx="0">
                  <c:v>总支出</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2021年</c:v>
                </c:pt>
                <c:pt idx="1">
                  <c:v>2022年</c:v>
                </c:pt>
              </c:strCache>
            </c:strRef>
          </c:cat>
          <c:val>
            <c:numRef>
              <c:f>'Sheet1 (4)'!$C$2:$C$3</c:f>
              <c:numCache>
                <c:formatCode>General</c:formatCode>
                <c:ptCount val="2"/>
                <c:pt idx="0">
                  <c:v>1110.2</c:v>
                </c:pt>
                <c:pt idx="1">
                  <c:v>835.13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(5)'!$B$1</c:f>
              <c:strCache>
                <c:ptCount val="1"/>
                <c:pt idx="0">
                  <c:v>支出结构表</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198AF"/>
              </a:solidFill>
              <a:ln>
                <a:noFill/>
              </a:ln>
            </c:spPr>
          </c:dPt>
          <c:dPt>
            <c:idx val="5"/>
            <c:bubble3D val="0"/>
            <c:spPr>
              <a:solidFill>
                <a:srgbClr val="DB843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4"/>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5"/>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(5)'!$A$2:$A$7</c:f>
              <c:strCache>
                <c:ptCount val="6"/>
                <c:pt idx="0">
                  <c:v>一般公共服务</c:v>
                </c:pt>
                <c:pt idx="1">
                  <c:v>农林水支出</c:v>
                </c:pt>
                <c:pt idx="2">
                  <c:v>社会保障和就业支出</c:v>
                </c:pt>
                <c:pt idx="3">
                  <c:v>卫生健康支出</c:v>
                </c:pt>
                <c:pt idx="4">
                  <c:v>住房保障支出</c:v>
                </c:pt>
                <c:pt idx="5">
                  <c:v>其他支出</c:v>
                </c:pt>
              </c:strCache>
            </c:strRef>
          </c:cat>
          <c:val>
            <c:numRef>
              <c:f>'Sheet1 (5)'!$B$2:$B$7</c:f>
              <c:numCache>
                <c:formatCode>General</c:formatCode>
                <c:ptCount val="6"/>
                <c:pt idx="0">
                  <c:v>317.94</c:v>
                </c:pt>
                <c:pt idx="1">
                  <c:v>369.79</c:v>
                </c:pt>
                <c:pt idx="2">
                  <c:v>67.92</c:v>
                </c:pt>
                <c:pt idx="3">
                  <c:v>34.61</c:v>
                </c:pt>
                <c:pt idx="4">
                  <c:v>44.38</c:v>
                </c:pt>
                <c:pt idx="5">
                  <c:v>0.5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“三公”经费财政拨款支出结构图</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showLegendKey val="0"/>
              <c:showVal val="1"/>
              <c:showCatName val="0"/>
              <c:showSerName val="0"/>
              <c:showPercent val="0"/>
              <c:showBubbleSize val="0"/>
            </c:dLbl>
            <c:showLegendKey val="0"/>
            <c:showVal val="0"/>
            <c:showCatName val="0"/>
            <c:showSerName val="0"/>
            <c:showPercent val="0"/>
            <c:showBubbleSize val="0"/>
            <c:showLeaderLines val="0"/>
          </c:dLbls>
          <c:cat>
            <c:strRef>
              <c:f>'Sheet1 (6)'!$A$2:$A$4</c:f>
              <c:strCache>
                <c:ptCount val="3"/>
                <c:pt idx="0">
                  <c:v>因公出境</c:v>
                </c:pt>
                <c:pt idx="1">
                  <c:v>公务接待</c:v>
                </c:pt>
                <c:pt idx="2">
                  <c:v>运行维护</c:v>
                </c:pt>
              </c:strCache>
            </c:strRef>
          </c:cat>
          <c:val>
            <c:numRef>
              <c:f>'Sheet1 (6)'!$B$2:$B$4</c:f>
              <c:numCache>
                <c:formatCode>General</c:formatCode>
                <c:ptCount val="3"/>
                <c:pt idx="0">
                  <c:v>0.0</c:v>
                </c:pt>
                <c:pt idx="1">
                  <c:v>0.0</c:v>
                </c:pt>
                <c:pt idx="2">
                  <c:v>9.0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95</TotalTime>
  <Application>Yozo_Office27021597764231179</Application>
  <Pages>24</Pages>
  <Words>8275</Words>
  <Characters>9036</Characters>
  <Lines>444</Lines>
  <Paragraphs>164</Paragraphs>
  <CharactersWithSpaces>9103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153</cp:revision>
  <cp:lastPrinted>2021-09-18T03:06:00Z</cp:lastPrinted>
  <dcterms:created xsi:type="dcterms:W3CDTF">2021-09-18T03:28:00Z</dcterms:created>
  <dcterms:modified xsi:type="dcterms:W3CDTF">2023-09-22T01:04:51Z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y fmtid="{D5CDD505-2E9C-101B-9397-08002B2CF9AE}" pid="3" name="ICV">
    <vt:lpwstr>2A96900166494C0BAAB2A445735595E4</vt:lpwstr>
  </property>
  <property fmtid="{D5CDD505-2E9C-101B-9397-08002B2CF9AE}" pid="4" name="GrammarlyDocumentId">
    <vt:lpwstr>33e8f0df81c967097467d7633b8fb0e3d0ba4deb84b15f777293ef35b1d396c8</vt:lpwstr>
  </property>
</Properties>
</file>