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96597"/>
      <w:bookmarkStart w:id="4" w:name="_Toc15377425"/>
      <w:bookmarkStart w:id="5" w:name="_Toc15378441"/>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598"/>
      <w:bookmarkStart w:id="7" w:name="_Toc15377426"/>
      <w:bookmarkStart w:id="8" w:name="_Toc15377194"/>
      <w:bookmarkStart w:id="9" w:name="_Toc15396476"/>
      <w:bookmarkStart w:id="10" w:name="_Toc15378442"/>
      <w:r>
        <w:rPr>
          <w:rFonts w:hint="eastAsia" w:ascii="方正小标宋简体" w:eastAsia="方正小标宋简体"/>
          <w:color w:val="000000"/>
          <w:sz w:val="72"/>
          <w:szCs w:val="72"/>
        </w:rPr>
        <w:t>四川省</w:t>
      </w:r>
      <w:bookmarkEnd w:id="0"/>
      <w:bookmarkStart w:id="11" w:name="_Toc15306268"/>
      <w:r>
        <w:rPr>
          <w:rFonts w:hint="eastAsia" w:ascii="方正小标宋简体" w:eastAsia="方正小标宋简体"/>
          <w:color w:val="000000"/>
          <w:sz w:val="72"/>
          <w:szCs w:val="72"/>
        </w:rPr>
        <w:t>阿坝州金川县独松乡人民政府部门决算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12</w:t>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w:t>
      </w:r>
      <w:r>
        <w:rPr>
          <w:rStyle w:val="17"/>
          <w:rFonts w:hint="eastAsia" w:ascii="仿宋" w:eastAsia="仿宋"/>
          <w:bCs/>
          <w:sz w:val="28"/>
          <w:szCs w:val="28"/>
        </w:rPr>
        <w:t>预算绩效情况说明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2"/>
        <w:ind w:left="420"/>
        <w:rPr>
          <w:rFonts w:ascii="仿宋" w:eastAsia="仿宋"/>
          <w:sz w:val="28"/>
          <w:szCs w:val="28"/>
        </w:rPr>
      </w:pPr>
      <w:r>
        <w:rPr>
          <w:rStyle w:val="17"/>
          <w:rFonts w:hint="eastAsia" w:ascii="仿宋" w:eastAsia="仿宋"/>
          <w:bCs/>
          <w:sz w:val="28"/>
          <w:szCs w:val="28"/>
        </w:rPr>
        <w:t xml:space="preserve"> 十、</w:t>
      </w:r>
      <w:r>
        <w:rPr>
          <w:rFonts w:hint="eastAsia" w:ascii="仿宋" w:eastAsia="仿宋"/>
          <w:bCs/>
          <w:sz w:val="28"/>
          <w:szCs w:val="28"/>
        </w:rPr>
        <w:t>其他重要事项的情况说明</w:t>
      </w:r>
      <w:r>
        <w:rPr>
          <w:rStyle w:val="17"/>
          <w:rFonts w:hint="eastAsia" w:ascii="仿宋" w:eastAsia="仿宋"/>
          <w:bCs/>
          <w:sz w:val="28"/>
          <w:szCs w:val="28"/>
        </w:rPr>
        <w:t>..........................15</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end"/>
      </w:r>
      <w:r>
        <w:rPr>
          <w:rFonts w:hint="eastAsia"/>
        </w:rPr>
        <w:t>15</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fldChar w:fldCharType="end"/>
      </w:r>
      <w:r>
        <w:rPr>
          <w:rFonts w:hint="eastAsia"/>
        </w:rPr>
        <w:t>19</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19</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5</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25</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spacing w:before="0" w:after="0" w:line="240" w:lineRule="auto"/>
        <w:ind w:left="640" w:hanging="640" w:hangingChars="200"/>
        <w:rPr>
          <w:rStyle w:val="19"/>
          <w:rFonts w:ascii="黑体" w:eastAsia="黑体"/>
          <w:b w:val="0"/>
          <w:bCs w:val="0"/>
        </w:rPr>
      </w:pPr>
      <w:bookmarkStart w:id="14" w:name="_Toc15377197"/>
      <w:bookmarkStart w:id="15" w:name="_Toc15396600"/>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（2）、制定并组织实施村镇建设规划，部署重点工程建设，地方道路建设及公共设施，水利设施的管理，负责土地、林木、水等自然资源和生态环境的保护，做好护林防火工作。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3）、负责本行政区域内的民政、计划生育、文化教育、卫生、体育等社会公益事业的综合性工作，维护一切经济单位和个人的正当经济权益，取缔非法经济活动，调解和处理民事纠纷，打击刑事犯罪维护社会稳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（4）、按计划组织本级财政收入和地方税的征收，完成国家财政计划，不断培植税源，管好财政资金，增强财政实力。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（5）、抓好精神文明建设，丰富群众文化生活，提倡移风易俗，反对封建迷信，破除陈规陋习，树立社会主义新风尚。 </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xml:space="preserve">    （6）、完成上级政府交办的</w:t>
      </w:r>
      <w:r>
        <w:rPr>
          <w:rFonts w:hint="eastAsia" w:ascii="仿宋_GB2312" w:hAnsi="宋体" w:eastAsia="仿宋_GB2312" w:cs="宋体"/>
          <w:kern w:val="0"/>
          <w:sz w:val="32"/>
          <w:szCs w:val="32"/>
          <w:lang w:eastAsia="zh-CN"/>
        </w:rPr>
        <w:t>其他事项</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（7）、执行本级人民代表大会的决议和上级国家行政机关的决定和命令，发布决定和命令。</w:t>
      </w:r>
    </w:p>
    <w:p>
      <w:pPr>
        <w:spacing w:line="560" w:lineRule="exact"/>
        <w:ind w:firstLine="640" w:firstLineChars="200"/>
        <w:rPr>
          <w:rFonts w:ascii="仿宋_GB2312" w:hAnsi="仿宋" w:eastAsia="仿宋_GB2312"/>
          <w:sz w:val="32"/>
          <w:szCs w:val="32"/>
        </w:rPr>
      </w:pPr>
      <w:r>
        <w:rPr>
          <w:rFonts w:hint="eastAsia" w:ascii="仿宋_GB2312" w:hAnsi="宋体" w:eastAsia="仿宋_GB2312" w:cs="宋体"/>
          <w:kern w:val="0"/>
          <w:sz w:val="32"/>
          <w:szCs w:val="32"/>
        </w:rPr>
        <w:t>（8）、保护社会主义的全民所有的财产和劳动群众集体所有的财产，保护公民私人所有的合法财产，维护社会秩序，保障公民的人身权利、民主权利和其他权利。</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pStyle w:val="13"/>
        <w:widowControl/>
        <w:shd w:val="clear" w:color="auto" w:fill="FFFFFF"/>
        <w:spacing w:before="0" w:beforeAutospacing="0" w:after="0" w:afterAutospacing="0" w:line="560" w:lineRule="exact"/>
        <w:ind w:firstLine="643" w:firstLineChars="200"/>
        <w:rPr>
          <w:rFonts w:ascii="仿宋" w:hAnsi="仿宋" w:eastAsia="仿宋" w:cs="仿宋"/>
          <w:b/>
          <w:color w:val="2B2B2B"/>
          <w:sz w:val="32"/>
          <w:szCs w:val="32"/>
          <w:shd w:val="clear" w:color="auto" w:fill="FFFFFF"/>
        </w:rPr>
      </w:pPr>
      <w:bookmarkStart w:id="20" w:name="_Toc15377200"/>
      <w:bookmarkStart w:id="21" w:name="_Toc15396601"/>
      <w:r>
        <w:rPr>
          <w:rFonts w:hint="eastAsia" w:ascii="仿宋" w:hAnsi="仿宋" w:eastAsia="仿宋" w:cs="仿宋"/>
          <w:b/>
          <w:color w:val="2B2B2B"/>
          <w:sz w:val="32"/>
          <w:szCs w:val="32"/>
          <w:shd w:val="clear" w:color="auto" w:fill="FFFFFF"/>
        </w:rPr>
        <w:t>1、农业、畜牧业各项指标稳步增长。</w:t>
      </w:r>
    </w:p>
    <w:p>
      <w:pPr>
        <w:pStyle w:val="13"/>
        <w:widowControl/>
        <w:shd w:val="clear" w:color="auto" w:fill="FFFFFF"/>
        <w:spacing w:before="0" w:beforeAutospacing="0" w:after="0" w:afterAutospacing="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全年农作物播面达2021亩，粮食作物播面1656亩，其它农作物播面365亩。其中马铃薯668亩、玉米616亩、特色蔬菜365亩。继续加大调整产业结构，继续抓好特色产业的发展。2020年，我乡坚持以农民增收、集体增收为目标，以加快农业产业化经营突破口，通过调整农业和农村经济结构，深化农村改革，强化支持保护，提升科技进步，促进了全乡农业快速发展，农民群众的生活水平和生活质量也有了较大提高。我乡努力推广农业新技术，组织相关技术人员对村民进行技术指导，并抓好农村实用技术培训工作。</w:t>
      </w:r>
    </w:p>
    <w:p>
      <w:pPr>
        <w:pStyle w:val="13"/>
        <w:widowControl/>
        <w:shd w:val="clear" w:color="auto" w:fill="FFFFFF"/>
        <w:spacing w:before="0" w:beforeAutospacing="0" w:after="0" w:afterAutospacing="0" w:line="560" w:lineRule="exact"/>
        <w:ind w:firstLine="643" w:firstLineChars="200"/>
        <w:rPr>
          <w:rFonts w:ascii="仿宋" w:hAnsi="仿宋" w:eastAsia="仿宋" w:cs="仿宋"/>
          <w:b/>
          <w:color w:val="2B2B2B"/>
          <w:sz w:val="32"/>
          <w:szCs w:val="32"/>
          <w:shd w:val="clear" w:color="auto" w:fill="FFFFFF"/>
        </w:rPr>
      </w:pP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全年各类牲畜出栏数为6358头，其中猪出栏5481头，牛出栏297头，羊出栏580头。肉产量达292余吨。年初乡兽防站认真抓好了春季预防注射和疫检工作，猪口蹄疫苗与猪瘟、猪肺疫注射密度达到100%，牛羊口蹄疫苗注射密度达到100%，禽流感免疫密度达到100%，确保了零疫情的发生。对非洲猪瘟疫情，我乡坚持以“预防为主、养防结合、防重于治”的原则，加强疫病的防疫力度，第一时间做好了疫情隔离、监控、控制、免疫工作，确保了全乡无疫情发生，并重点对生猪流通实行严格的管控手续，对没有耳标号、没有检疫手续的生猪严格禁止流通。</w:t>
      </w:r>
    </w:p>
    <w:p>
      <w:pPr>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sz w:val="32"/>
          <w:szCs w:val="32"/>
        </w:rPr>
        <w:t>林业工作：</w:t>
      </w:r>
      <w:r>
        <w:rPr>
          <w:rFonts w:hint="eastAsia" w:ascii="仿宋_GB2312" w:hAnsi="仿宋_GB2312" w:eastAsia="仿宋_GB2312" w:cs="仿宋_GB2312"/>
          <w:sz w:val="32"/>
          <w:szCs w:val="32"/>
        </w:rPr>
        <w:t>认真实施林业“三大工程”，我乡2019年新一轮退耕还林面积达232.5亩；发放林改资金合计113.484893万元。加大护林防火工作力度。在护林防火工作中，我乡坚持做到早安排、早部署，完善各项制度，与各村、各相邻签订了护林防火目标责任书和联防协议，努力确保</w:t>
      </w:r>
      <w:r>
        <w:rPr>
          <w:rFonts w:hint="eastAsia" w:ascii="仿宋_GB2312" w:hAnsi="仿宋_GB2312" w:eastAsia="仿宋_GB2312" w:cs="仿宋_GB2312"/>
          <w:sz w:val="32"/>
          <w:szCs w:val="32"/>
          <w:lang w:eastAsia="zh-CN"/>
        </w:rPr>
        <w:t>度过</w:t>
      </w:r>
      <w:r>
        <w:rPr>
          <w:rFonts w:hint="eastAsia" w:ascii="仿宋_GB2312" w:hAnsi="仿宋_GB2312" w:eastAsia="仿宋_GB2312" w:cs="仿宋_GB2312"/>
          <w:sz w:val="32"/>
          <w:szCs w:val="32"/>
        </w:rPr>
        <w:t>一个护林防火安全年。同时，加强林政资源管理。通过各种形式的宣传教育，开展护林防火和《森林法》及林业法律、法规、政策使广大干部群众和中小学生充分认识到森林和草原火灾的危害性和重要性，从而使广大农村群众自觉来维护林区安全，把林业工作作为日常生活中重要内容来抓。</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2.改善民生，竭尽全力为百姓谋福祉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坚持把群众的需求以及冷暖放在心上，为民办实事，谋福利，不断提升群众的获得感和幸福感。</w:t>
      </w:r>
    </w:p>
    <w:p>
      <w:pPr>
        <w:spacing w:line="58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①．严扣政策落实，脱贫攻坚成效显著。</w:t>
      </w:r>
      <w:r>
        <w:rPr>
          <w:rFonts w:hint="eastAsia" w:eastAsia="仿宋_GB2312"/>
          <w:sz w:val="32"/>
          <w:szCs w:val="32"/>
          <w:shd w:val="clear" w:color="auto" w:fill="FFFFFF"/>
        </w:rPr>
        <w:t>通过“两联一进”群众工作全覆盖，将利好政策传达到千家万户，并跟进落实，群众对扶贫工作的满意</w:t>
      </w:r>
      <w:r>
        <w:rPr>
          <w:rFonts w:hint="eastAsia" w:ascii="仿宋_GB2312" w:hAnsi="仿宋_GB2312" w:eastAsia="仿宋_GB2312" w:cs="仿宋_GB2312"/>
          <w:sz w:val="32"/>
          <w:szCs w:val="32"/>
        </w:rPr>
        <w:t>度不断提升，脱贫攻坚工作多点开花。</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②．社会保障体系日益健全。</w:t>
      </w:r>
      <w:r>
        <w:rPr>
          <w:rFonts w:hint="eastAsia" w:ascii="仿宋_GB2312" w:hAnsi="仿宋_GB2312" w:eastAsia="仿宋_GB2312" w:cs="仿宋_GB2312"/>
          <w:sz w:val="32"/>
          <w:szCs w:val="32"/>
        </w:rPr>
        <w:t>城乡居民养老保险覆盖全乡全村人，新型农村合作医疗覆盖率达100%。低保特困人员等及时足额的</w:t>
      </w:r>
      <w:r>
        <w:rPr>
          <w:rFonts w:hint="eastAsia" w:ascii="仿宋_GB2312" w:hAnsi="仿宋_GB2312" w:eastAsia="仿宋_GB2312" w:cs="仿宋_GB2312"/>
          <w:sz w:val="32"/>
          <w:szCs w:val="32"/>
          <w:lang w:eastAsia="zh-CN"/>
        </w:rPr>
        <w:t>拿到</w:t>
      </w:r>
      <w:r>
        <w:rPr>
          <w:rFonts w:hint="eastAsia" w:ascii="仿宋_GB2312" w:hAnsi="仿宋_GB2312" w:eastAsia="仿宋_GB2312" w:cs="仿宋_GB2312"/>
          <w:sz w:val="32"/>
          <w:szCs w:val="32"/>
        </w:rPr>
        <w:t>补助补贴；救灾救济工作稳步推进，发放救济粮以及棉衣棉被无数；工作全面推开。</w:t>
      </w:r>
    </w:p>
    <w:p>
      <w:pPr>
        <w:spacing w:line="560" w:lineRule="exact"/>
        <w:ind w:firstLine="630"/>
        <w:rPr>
          <w:rFonts w:ascii="仿宋_GB2312" w:hAnsi="仿宋_GB2312" w:eastAsia="仿宋_GB2312" w:cs="仿宋_GB2312"/>
          <w:sz w:val="32"/>
          <w:szCs w:val="32"/>
        </w:rPr>
      </w:pPr>
      <w:r>
        <w:rPr>
          <w:rFonts w:hint="eastAsia" w:ascii="仿宋_GB2312" w:hAnsi="仿宋_GB2312" w:eastAsia="仿宋_GB2312" w:cs="仿宋_GB2312"/>
          <w:b/>
          <w:sz w:val="32"/>
          <w:szCs w:val="32"/>
        </w:rPr>
        <w:t>③．其他各项工作有序实施。一是加强地方教育工作。</w:t>
      </w:r>
      <w:r>
        <w:rPr>
          <w:rFonts w:hint="eastAsia" w:ascii="仿宋_GB2312" w:hAnsi="仿宋_GB2312" w:eastAsia="仿宋_GB2312" w:cs="仿宋_GB2312"/>
          <w:sz w:val="32"/>
          <w:szCs w:val="32"/>
        </w:rPr>
        <w:t>适龄儿童入学率达到100%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教育设施逐步完善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危房进一步得到改造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教师队伍素质普遍提高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办学体制改革进一步深化，校点布局更加科学合理。二</w:t>
      </w:r>
      <w:r>
        <w:rPr>
          <w:rFonts w:hint="eastAsia" w:ascii="仿宋_GB2312" w:hAnsi="仿宋_GB2312" w:eastAsia="仿宋_GB2312" w:cs="仿宋_GB2312"/>
          <w:b/>
          <w:sz w:val="32"/>
          <w:szCs w:val="32"/>
        </w:rPr>
        <w:t>是做好惠民政策工作。</w:t>
      </w:r>
      <w:r>
        <w:rPr>
          <w:rFonts w:hint="eastAsia" w:ascii="仿宋_GB2312" w:hAnsi="仿宋_GB2312" w:eastAsia="仿宋_GB2312" w:cs="仿宋_GB2312"/>
          <w:sz w:val="32"/>
          <w:szCs w:val="32"/>
        </w:rPr>
        <w:t>粮食直补、生态公益林资金及草原生态补偿发放及时到位。截至目前，全乡人员均参加了农村社会养老保险，参加率达到了100%。三</w:t>
      </w:r>
      <w:r>
        <w:rPr>
          <w:rFonts w:hint="eastAsia" w:ascii="仿宋_GB2312" w:hAnsi="仿宋_GB2312" w:eastAsia="仿宋_GB2312" w:cs="仿宋_GB2312"/>
          <w:b/>
          <w:sz w:val="32"/>
          <w:szCs w:val="32"/>
        </w:rPr>
        <w:t>是协同卫生院进行全民体检。</w:t>
      </w:r>
      <w:r>
        <w:rPr>
          <w:rFonts w:hint="eastAsia" w:ascii="仿宋_GB2312" w:hAnsi="仿宋_GB2312" w:eastAsia="仿宋_GB2312" w:cs="仿宋_GB2312"/>
          <w:sz w:val="32"/>
          <w:szCs w:val="32"/>
        </w:rPr>
        <w:t>新型农村合作医疗保险逐步扩面，参合率达100％，在此背景下乡政府与卫生院通力配合，为全乡村民进行各项体检，群众“看病难、看病贵”的问题得到缓解，就医负担大大减轻。</w:t>
      </w:r>
    </w:p>
    <w:p>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3.依法治理，维护稳定，社会治安安定和谐</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坚持把稳定作为发展的前提，不断加大依法治乡力度，强化社会管理，全面深化反分裂维稳斗争，保持社会稳定，促进全乡群众团结和睦、安居乐业。</w:t>
      </w:r>
    </w:p>
    <w:p>
      <w:pPr>
        <w:spacing w:line="578" w:lineRule="exact"/>
        <w:ind w:firstLine="640" w:firstLineChars="200"/>
        <w:rPr>
          <w:rStyle w:val="19"/>
          <w:b w:val="0"/>
          <w:bCs w:val="0"/>
        </w:rPr>
      </w:pPr>
      <w:r>
        <w:rPr>
          <w:rStyle w:val="19"/>
          <w:rFonts w:hint="eastAsia" w:ascii="黑体" w:eastAsia="黑体"/>
          <w:b w:val="0"/>
          <w:bCs w:val="0"/>
        </w:rPr>
        <w:t>二、机构设置</w:t>
      </w:r>
      <w:bookmarkEnd w:id="20"/>
      <w:bookmarkEnd w:id="21"/>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机构情况：我乡2020年有2个机构；无增减变动。</w:t>
      </w:r>
    </w:p>
    <w:p>
      <w:pPr>
        <w:widowControl/>
        <w:ind w:firstLine="640" w:firstLineChars="200"/>
        <w:jc w:val="left"/>
        <w:rPr>
          <w:rFonts w:ascii="仿宋" w:hAnsi="仿宋" w:eastAsia="仿宋_GB2312"/>
          <w:color w:val="000000"/>
          <w:kern w:val="0"/>
          <w:sz w:val="32"/>
          <w:szCs w:val="32"/>
        </w:rPr>
      </w:pPr>
      <w:r>
        <w:rPr>
          <w:rFonts w:hint="eastAsia" w:ascii="仿宋_GB2312" w:hAnsi="仿宋" w:eastAsia="仿宋_GB2312"/>
          <w:sz w:val="32"/>
          <w:szCs w:val="32"/>
        </w:rPr>
        <w:t>人员情况：我乡总编制数为31人（其中行政编制17人，行政工勤2人，事业编制12人），2020年年末在职人员27人，与上年相比较增加7人，主要原因是机构改革，人员增加，三站人员编制下划给乡镇。</w:t>
      </w:r>
    </w:p>
    <w:p>
      <w:pPr>
        <w:pStyle w:val="3"/>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2"/>
      <w:bookmarkEnd w:id="23"/>
    </w:p>
    <w:p>
      <w:pPr>
        <w:pStyle w:val="24"/>
        <w:numPr>
          <w:ilvl w:val="0"/>
          <w:numId w:val="1"/>
        </w:numPr>
        <w:ind w:left="0" w:firstLine="0" w:firstLineChars="0"/>
        <w:outlineLvl w:val="1"/>
        <w:rPr>
          <w:rStyle w:val="19"/>
          <w:rFonts w:ascii="黑体" w:eastAsia="黑体"/>
          <w:b w:val="0"/>
        </w:rPr>
      </w:pPr>
      <w:bookmarkStart w:id="24" w:name="_Toc15396603"/>
      <w:bookmarkStart w:id="25"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4"/>
      <w:bookmarkEnd w:id="25"/>
    </w:p>
    <w:p>
      <w:pPr>
        <w:widowControl/>
        <w:ind w:firstLine="632" w:firstLineChars="200"/>
        <w:jc w:val="left"/>
        <w:rPr>
          <w:rFonts w:ascii="仿宋" w:hAnsi="仿宋" w:eastAsia="仿宋_GB2312"/>
          <w:color w:val="000000"/>
          <w:kern w:val="0"/>
          <w:sz w:val="32"/>
          <w:szCs w:val="32"/>
        </w:rPr>
      </w:pPr>
      <w:r>
        <w:rPr>
          <w:rFonts w:hint="eastAsia" w:ascii="仿宋_GB2312" w:eastAsia="仿宋_GB2312"/>
          <w:color w:val="000000"/>
          <w:spacing w:val="-2"/>
          <w:sz w:val="32"/>
          <w:szCs w:val="32"/>
        </w:rPr>
        <w:t>2020年度总收入956.02万元，较上年收入增加371.24万元，增加63.48%。增加的主要原因是2020年</w:t>
      </w:r>
      <w:r>
        <w:rPr>
          <w:rFonts w:hint="eastAsia" w:ascii="仿宋_GB2312" w:hAnsi="仿宋" w:eastAsia="仿宋_GB2312"/>
          <w:sz w:val="32"/>
          <w:szCs w:val="32"/>
        </w:rPr>
        <w:t>人员增加，三站人员编制下划给乡镇，人员经费增加，项目建设增加。</w:t>
      </w:r>
    </w:p>
    <w:p>
      <w:pPr>
        <w:snapToGrid w:val="0"/>
        <w:spacing w:line="520" w:lineRule="exact"/>
        <w:ind w:firstLine="420" w:firstLineChars="200"/>
        <w:rPr>
          <w:rFonts w:ascii="仿宋" w:eastAsia="仿宋"/>
          <w:sz w:val="32"/>
          <w:szCs w:val="32"/>
        </w:rPr>
      </w:pPr>
      <w:r>
        <w:drawing>
          <wp:anchor distT="0" distB="0" distL="114300" distR="114300" simplePos="0" relativeHeight="251659264" behindDoc="0" locked="0" layoutInCell="1" allowOverlap="1">
            <wp:simplePos x="0" y="0"/>
            <wp:positionH relativeFrom="column">
              <wp:posOffset>327025</wp:posOffset>
            </wp:positionH>
            <wp:positionV relativeFrom="paragraph">
              <wp:posOffset>1503045</wp:posOffset>
            </wp:positionV>
            <wp:extent cx="4572000" cy="2743200"/>
            <wp:effectExtent l="4445" t="4445" r="14605" b="14605"/>
            <wp:wrapTopAndBottom/>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spacing w:val="-2"/>
          <w:sz w:val="32"/>
          <w:szCs w:val="32"/>
        </w:rPr>
        <w:t>2020年总支出825.23万元，较上年支出增加82.28万元，增加11.07%。主要原因一是</w:t>
      </w:r>
      <w:r>
        <w:rPr>
          <w:rFonts w:hint="eastAsia" w:ascii="仿宋_GB2312" w:eastAsia="仿宋_GB2312"/>
          <w:color w:val="000000"/>
          <w:spacing w:val="-2"/>
          <w:sz w:val="32"/>
          <w:szCs w:val="32"/>
        </w:rPr>
        <w:t>2020年</w:t>
      </w:r>
      <w:r>
        <w:rPr>
          <w:rFonts w:hint="eastAsia" w:ascii="仿宋_GB2312" w:hAnsi="仿宋" w:eastAsia="仿宋_GB2312"/>
          <w:sz w:val="32"/>
          <w:szCs w:val="32"/>
        </w:rPr>
        <w:t>人员增加，三站人员编制下划给乡镇，人员经费增加，</w:t>
      </w:r>
      <w:r>
        <w:rPr>
          <w:rFonts w:hint="eastAsia" w:ascii="仿宋_GB2312" w:eastAsia="仿宋_GB2312"/>
          <w:spacing w:val="-2"/>
          <w:sz w:val="32"/>
          <w:szCs w:val="32"/>
        </w:rPr>
        <w:t>二是2020年支出包含了上年结转项目。</w:t>
      </w:r>
    </w:p>
    <w:p>
      <w:pPr>
        <w:spacing w:line="600" w:lineRule="exact"/>
        <w:ind w:firstLine="640" w:firstLineChars="200"/>
        <w:rPr>
          <w:rStyle w:val="19"/>
          <w:rFonts w:ascii="黑体" w:eastAsia="黑体"/>
          <w:b w:val="0"/>
        </w:rPr>
      </w:pPr>
      <w:bookmarkStart w:id="26" w:name="_Toc15377206"/>
      <w:bookmarkStart w:id="27" w:name="_Toc15396604"/>
      <w:r>
        <w:rPr>
          <w:rFonts w:hint="eastAsia" w:ascii="黑体" w:eastAsia="黑体"/>
          <w:color w:val="000000"/>
          <w:sz w:val="32"/>
          <w:szCs w:val="32"/>
        </w:rPr>
        <w:t>二、收入决</w:t>
      </w:r>
      <w:r>
        <w:rPr>
          <w:rStyle w:val="19"/>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20年总收入956.02万元，其中：一般公共预算财政拨款收入956.02万元，占100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Fonts w:ascii="黑体" w:eastAsia="黑体"/>
          <w:color w:val="000000"/>
          <w:sz w:val="32"/>
          <w:szCs w:val="32"/>
        </w:rPr>
      </w:pPr>
      <w:bookmarkStart w:id="28" w:name="_Toc15396605"/>
      <w:bookmarkStart w:id="29" w:name="_Toc15377207"/>
    </w:p>
    <w:p>
      <w:pPr>
        <w:spacing w:line="600" w:lineRule="exact"/>
        <w:outlineLvl w:val="1"/>
        <w:rPr>
          <w:rStyle w:val="19"/>
          <w:rFonts w:ascii="黑体" w:eastAsia="黑体"/>
          <w:b w:val="0"/>
        </w:rPr>
      </w:pPr>
      <w:r>
        <w:drawing>
          <wp:anchor distT="0" distB="0" distL="114300" distR="114300" simplePos="0" relativeHeight="251660288" behindDoc="0" locked="0" layoutInCell="1" allowOverlap="1">
            <wp:simplePos x="0" y="0"/>
            <wp:positionH relativeFrom="column">
              <wp:posOffset>691515</wp:posOffset>
            </wp:positionH>
            <wp:positionV relativeFrom="paragraph">
              <wp:posOffset>19685</wp:posOffset>
            </wp:positionV>
            <wp:extent cx="4000500" cy="2068830"/>
            <wp:effectExtent l="5080" t="5080" r="13970" b="21590"/>
            <wp:wrapTopAndBottom/>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rPr>
        <w:t xml:space="preserve">     </w:t>
      </w:r>
      <w:r>
        <w:rPr>
          <w:rFonts w:hint="eastAsia" w:ascii="黑体" w:eastAsia="黑体"/>
          <w:color w:val="000000"/>
          <w:sz w:val="32"/>
          <w:szCs w:val="32"/>
        </w:rPr>
        <w:t>三、支出决</w:t>
      </w:r>
      <w:r>
        <w:rPr>
          <w:rStyle w:val="19"/>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2020年本年总支出825.23万元，其中：基本支出352.81万元，占42.75%；项目支出472.42万元，占57.25%；上缴上级支出0万元，占0%；经营支出0万元，占0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1312" behindDoc="0" locked="0" layoutInCell="1" allowOverlap="1">
            <wp:simplePos x="0" y="0"/>
            <wp:positionH relativeFrom="column">
              <wp:posOffset>254635</wp:posOffset>
            </wp:positionH>
            <wp:positionV relativeFrom="paragraph">
              <wp:posOffset>328930</wp:posOffset>
            </wp:positionV>
            <wp:extent cx="4572000" cy="2743200"/>
            <wp:effectExtent l="4445" t="4445" r="14605" b="14605"/>
            <wp:wrapTopAndBottom/>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Style w:val="19"/>
          <w:rFonts w:ascii="黑体" w:eastAsia="黑体"/>
          <w:b w:val="0"/>
        </w:rPr>
      </w:pPr>
      <w:bookmarkStart w:id="30" w:name="_Toc15396606"/>
      <w:bookmarkStart w:id="31" w:name="_Toc15377208"/>
      <w:r>
        <w:rPr>
          <w:rFonts w:hint="eastAsia" w:ascii="黑体" w:eastAsia="黑体"/>
          <w:color w:val="000000"/>
          <w:sz w:val="32"/>
          <w:szCs w:val="32"/>
        </w:rPr>
        <w:t>四、</w:t>
      </w:r>
      <w:bookmarkEnd w:id="30"/>
      <w:bookmarkEnd w:id="31"/>
      <w:bookmarkStart w:id="32" w:name="_Toc15396607"/>
      <w:bookmarkStart w:id="33" w:name="_Toc15377209"/>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一般公共预算财政拨款支出825.23万元，</w:t>
      </w:r>
      <w:r>
        <w:rPr>
          <w:rFonts w:hint="eastAsia" w:ascii="仿宋" w:eastAsia="仿宋"/>
          <w:color w:val="000000"/>
          <w:sz w:val="32"/>
          <w:szCs w:val="32"/>
        </w:rPr>
        <w:t>占本</w:t>
      </w:r>
      <w:r>
        <w:drawing>
          <wp:anchor distT="0" distB="0" distL="114300" distR="114300" simplePos="0" relativeHeight="251662336" behindDoc="0" locked="0" layoutInCell="1" allowOverlap="1">
            <wp:simplePos x="0" y="0"/>
            <wp:positionH relativeFrom="column">
              <wp:posOffset>414020</wp:posOffset>
            </wp:positionH>
            <wp:positionV relativeFrom="paragraph">
              <wp:posOffset>1487170</wp:posOffset>
            </wp:positionV>
            <wp:extent cx="4572000" cy="2743200"/>
            <wp:effectExtent l="4445" t="4445" r="14605" b="14605"/>
            <wp:wrapTopAndBottom/>
            <wp:docPr id="1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支出增加82.28万元，增加11.07%。主要原因一是</w:t>
      </w:r>
      <w:r>
        <w:rPr>
          <w:rFonts w:hint="eastAsia" w:ascii="仿宋_GB2312" w:eastAsia="仿宋_GB2312"/>
          <w:color w:val="000000"/>
          <w:spacing w:val="-2"/>
          <w:sz w:val="32"/>
          <w:szCs w:val="32"/>
        </w:rPr>
        <w:t>2020年</w:t>
      </w:r>
      <w:r>
        <w:rPr>
          <w:rFonts w:hint="eastAsia" w:ascii="仿宋_GB2312" w:hAnsi="仿宋" w:eastAsia="仿宋_GB2312"/>
          <w:sz w:val="32"/>
          <w:szCs w:val="32"/>
        </w:rPr>
        <w:t>人员增加，三站人员编制下划给乡镇，人员经费增加，</w:t>
      </w:r>
      <w:r>
        <w:rPr>
          <w:rFonts w:hint="eastAsia" w:ascii="仿宋_GB2312" w:eastAsia="仿宋_GB2312"/>
          <w:spacing w:val="-2"/>
          <w:sz w:val="32"/>
          <w:szCs w:val="32"/>
        </w:rPr>
        <w:t>二是2020年支出包含了上年结转项目。</w:t>
      </w:r>
    </w:p>
    <w:p>
      <w:pPr>
        <w:snapToGrid w:val="0"/>
        <w:spacing w:line="520" w:lineRule="exact"/>
        <w:ind w:firstLine="643" w:firstLineChars="200"/>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20年一般公共预算财政拨款支出825.23万元，主要用于以下方面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_GB2312" w:hAnsi="仿宋" w:eastAsia="仿宋_GB2312"/>
          <w:color w:val="000000"/>
          <w:sz w:val="32"/>
          <w:szCs w:val="32"/>
        </w:rPr>
        <w:t>222.32万元，占26.94%</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_GB2312" w:hAnsi="仿宋" w:eastAsia="仿宋_GB2312"/>
          <w:color w:val="000000"/>
          <w:sz w:val="32"/>
          <w:szCs w:val="32"/>
        </w:rPr>
        <w:t>38.83万元，占4.7%</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_GB2312" w:hAnsi="仿宋" w:eastAsia="仿宋_GB2312"/>
          <w:color w:val="000000"/>
          <w:sz w:val="32"/>
          <w:szCs w:val="32"/>
        </w:rPr>
        <w:t>22.76万元，占2.76%</w:t>
      </w:r>
      <w:r>
        <w:rPr>
          <w:rFonts w:hint="eastAsia" w:ascii="仿宋" w:eastAsia="仿宋"/>
          <w:color w:val="000000"/>
          <w:sz w:val="32"/>
          <w:szCs w:val="32"/>
        </w:rPr>
        <w:t>；</w:t>
      </w:r>
      <w:r>
        <w:rPr>
          <w:rFonts w:hint="eastAsia" w:ascii="仿宋_GB2312" w:hAnsi="仿宋" w:eastAsia="仿宋_GB2312"/>
          <w:b/>
          <w:bCs/>
          <w:color w:val="000000"/>
          <w:sz w:val="32"/>
          <w:szCs w:val="32"/>
        </w:rPr>
        <w:t>农林水</w:t>
      </w:r>
      <w:r>
        <w:rPr>
          <w:rFonts w:hint="eastAsia" w:ascii="仿宋_GB2312" w:hAnsi="仿宋" w:eastAsia="仿宋_GB2312"/>
          <w:color w:val="000000"/>
          <w:sz w:val="32"/>
          <w:szCs w:val="32"/>
        </w:rPr>
        <w:t>支出116.98万元，占14.18%</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_GB2312" w:hAnsi="仿宋" w:eastAsia="仿宋_GB2312"/>
          <w:color w:val="000000"/>
          <w:sz w:val="32"/>
          <w:szCs w:val="32"/>
        </w:rPr>
        <w:t>27.65万元，占3.35%；</w:t>
      </w:r>
      <w:r>
        <w:rPr>
          <w:rFonts w:hint="eastAsia" w:ascii="仿宋_GB2312" w:hAnsi="仿宋" w:eastAsia="仿宋_GB2312"/>
          <w:b/>
          <w:bCs/>
          <w:color w:val="000000"/>
          <w:sz w:val="32"/>
          <w:szCs w:val="32"/>
        </w:rPr>
        <w:t>其他支出</w:t>
      </w:r>
      <w:r>
        <w:rPr>
          <w:rFonts w:hint="eastAsia" w:ascii="仿宋_GB2312" w:hAnsi="仿宋" w:eastAsia="仿宋_GB2312"/>
          <w:color w:val="000000"/>
          <w:sz w:val="32"/>
          <w:szCs w:val="32"/>
        </w:rPr>
        <w:t>为396.69万元，占48.07%</w:t>
      </w:r>
      <w:r>
        <w:rPr>
          <w:rFonts w:hint="eastAsia" w:ascii="仿宋" w:eastAsia="仿宋"/>
          <w:color w:val="000000"/>
          <w:sz w:val="32"/>
          <w:szCs w:val="32"/>
        </w:rPr>
        <w:t>。</w:t>
      </w:r>
    </w:p>
    <w:p>
      <w:pPr>
        <w:spacing w:line="600" w:lineRule="exact"/>
        <w:outlineLvl w:val="2"/>
        <w:rPr>
          <w:rFonts w:ascii="仿宋" w:eastAsia="仿宋"/>
          <w:b/>
          <w:color w:val="000000"/>
          <w:sz w:val="32"/>
          <w:szCs w:val="32"/>
        </w:rPr>
      </w:pPr>
      <w:bookmarkStart w:id="36" w:name="_Toc15377213"/>
      <w:bookmarkStart w:id="37" w:name="_Toc15378460"/>
      <w:bookmarkStart w:id="38" w:name="_Toc15377444"/>
    </w:p>
    <w:p>
      <w:pPr>
        <w:pStyle w:val="2"/>
        <w:ind w:left="1063" w:hanging="643"/>
        <w:rPr>
          <w:rFonts w:ascii="仿宋" w:eastAsia="仿宋"/>
          <w:b/>
          <w:color w:val="000000"/>
          <w:sz w:val="32"/>
          <w:szCs w:val="32"/>
        </w:rPr>
      </w:pPr>
    </w:p>
    <w:p>
      <w:pPr>
        <w:pStyle w:val="2"/>
        <w:ind w:left="0" w:leftChars="0" w:firstLine="0" w:firstLineChars="0"/>
        <w:rPr>
          <w:rFonts w:ascii="仿宋" w:eastAsia="仿宋"/>
          <w:b/>
          <w:color w:val="000000"/>
          <w:sz w:val="32"/>
          <w:szCs w:val="32"/>
        </w:rPr>
      </w:pPr>
      <w:r>
        <w:drawing>
          <wp:anchor distT="0" distB="0" distL="114300" distR="114300" simplePos="0" relativeHeight="251663360" behindDoc="0" locked="0" layoutInCell="1" allowOverlap="1">
            <wp:simplePos x="0" y="0"/>
            <wp:positionH relativeFrom="column">
              <wp:posOffset>806450</wp:posOffset>
            </wp:positionH>
            <wp:positionV relativeFrom="paragraph">
              <wp:posOffset>471170</wp:posOffset>
            </wp:positionV>
            <wp:extent cx="3910330" cy="2597785"/>
            <wp:effectExtent l="4445" t="4445" r="9525" b="7620"/>
            <wp:wrapTopAndBottom/>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9" w:name="_Toc15377212"/>
      <w:r>
        <w:rPr>
          <w:rFonts w:hint="eastAsia"/>
        </w:rPr>
        <w:t xml:space="preserve">    </w:t>
      </w:r>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2020年一般公共预算数为374.69万元，支出决算数为825.23万元，完</w:t>
      </w:r>
      <w:r>
        <w:rPr>
          <w:rStyle w:val="16"/>
          <w:rFonts w:hint="eastAsia" w:ascii="仿宋" w:eastAsia="仿宋"/>
          <w:b w:val="0"/>
          <w:bCs/>
          <w:color w:val="000000"/>
          <w:sz w:val="32"/>
          <w:szCs w:val="32"/>
        </w:rPr>
        <w:t>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支出决算为222.32万元，完成预算100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6"/>
          <w:rFonts w:ascii="仿宋" w:eastAsia="仿宋"/>
          <w:bCs/>
          <w:color w:val="000000"/>
          <w:sz w:val="32"/>
          <w:szCs w:val="32"/>
        </w:rPr>
        <w:t>2.</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支出决算为38.83万元，完成预算84.45</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3.卫生健康支出（类）</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支出决算为22.76万元，完成预算100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4.农林水支出（类）</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支出决算为116.98万元，完成预算100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bookmarkStart w:id="40" w:name="_Toc15396608"/>
      <w:bookmarkStart w:id="41" w:name="_Toc15377214"/>
      <w:r>
        <w:rPr>
          <w:rStyle w:val="16"/>
          <w:rFonts w:hint="eastAsia" w:ascii="仿宋" w:eastAsia="仿宋"/>
          <w:bCs/>
          <w:color w:val="000000"/>
          <w:sz w:val="32"/>
          <w:szCs w:val="32"/>
        </w:rPr>
        <w:t>5.住房保障（类）：</w:t>
      </w:r>
      <w:r>
        <w:rPr>
          <w:rStyle w:val="16"/>
          <w:rFonts w:hint="eastAsia" w:ascii="仿宋" w:eastAsia="仿宋"/>
          <w:b w:val="0"/>
          <w:bCs/>
          <w:color w:val="000000"/>
          <w:sz w:val="32"/>
          <w:szCs w:val="32"/>
        </w:rPr>
        <w:t>支出决算为27.65万元，完成预算100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Cs/>
          <w:color w:val="000000"/>
          <w:sz w:val="32"/>
          <w:szCs w:val="32"/>
        </w:rPr>
      </w:pPr>
      <w:r>
        <w:rPr>
          <w:rStyle w:val="16"/>
          <w:rFonts w:hint="eastAsia" w:ascii="仿宋" w:eastAsia="仿宋"/>
          <w:bCs/>
          <w:color w:val="000000"/>
          <w:sz w:val="32"/>
          <w:szCs w:val="32"/>
        </w:rPr>
        <w:t xml:space="preserve"> 6.其他支出（类）：</w:t>
      </w:r>
      <w:r>
        <w:rPr>
          <w:rStyle w:val="16"/>
          <w:rFonts w:hint="eastAsia" w:ascii="仿宋" w:eastAsia="仿宋"/>
          <w:b w:val="0"/>
          <w:bCs/>
          <w:color w:val="000000"/>
          <w:sz w:val="32"/>
          <w:szCs w:val="32"/>
        </w:rPr>
        <w:t>支出决算为396.69万元，完成预算100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0"/>
        <w:rPr>
          <w:rStyle w:val="19"/>
        </w:rPr>
      </w:pP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0"/>
      <w:bookmarkEnd w:id="41"/>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w:t>
      </w:r>
      <w:r>
        <w:rPr>
          <w:rFonts w:hint="eastAsia" w:ascii="仿宋_GB2312" w:hAnsi="仿宋" w:eastAsia="仿宋_GB2312"/>
          <w:color w:val="000000"/>
          <w:sz w:val="32"/>
          <w:szCs w:val="32"/>
        </w:rPr>
        <w:t>352.81</w:t>
      </w:r>
      <w:r>
        <w:rPr>
          <w:rFonts w:hint="eastAsia" w:ascii="仿宋" w:eastAsia="仿宋"/>
          <w:color w:val="000000"/>
          <w:sz w:val="32"/>
          <w:szCs w:val="32"/>
        </w:rPr>
        <w:t>万元，其中：</w:t>
      </w:r>
    </w:p>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人员经费</w:t>
      </w:r>
      <w:r>
        <w:rPr>
          <w:rFonts w:hint="eastAsia" w:ascii="仿宋_GB2312" w:hAnsi="仿宋" w:eastAsia="仿宋_GB2312"/>
          <w:color w:val="000000"/>
          <w:sz w:val="32"/>
          <w:szCs w:val="32"/>
        </w:rPr>
        <w:t>330.66</w:t>
      </w:r>
      <w:r>
        <w:rPr>
          <w:rFonts w:hint="eastAsia" w:ascii="仿宋" w:eastAsia="仿宋"/>
          <w:color w:val="000000"/>
          <w:sz w:val="32"/>
          <w:szCs w:val="32"/>
        </w:rPr>
        <w:t>万元，主要包括：</w:t>
      </w:r>
      <w:r>
        <w:rPr>
          <w:rFonts w:hint="eastAsia" w:ascii="仿宋_GB2312" w:eastAsia="仿宋_GB2312"/>
          <w:color w:val="000000"/>
          <w:sz w:val="32"/>
          <w:szCs w:val="32"/>
        </w:rPr>
        <w:t>基本工资68.78万元、津贴补贴98.67万元、奖金6.19万元、绩效工资18.98万元、机关事业单位基本养老保险缴费25.89万元、职业年金缴费12.94万元、其他社会保障缴费2.48万元、住房公积金27.65万元、职工基本医疗保险缴费12.9万元、公务员医疗补助4.11万元、生活补助2.16万元、奖励金49.91万元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_GB2312" w:hAnsi="仿宋" w:eastAsia="仿宋_GB2312"/>
          <w:color w:val="000000"/>
          <w:sz w:val="32"/>
          <w:szCs w:val="32"/>
        </w:rPr>
        <w:t>22.15</w:t>
      </w:r>
      <w:r>
        <w:rPr>
          <w:rFonts w:hint="eastAsia" w:ascii="仿宋" w:eastAsia="仿宋"/>
          <w:color w:val="000000"/>
          <w:sz w:val="32"/>
          <w:szCs w:val="32"/>
        </w:rPr>
        <w:t>万元，主要包括：</w:t>
      </w:r>
      <w:r>
        <w:rPr>
          <w:rFonts w:hint="eastAsia" w:ascii="仿宋_GB2312" w:eastAsia="仿宋_GB2312"/>
          <w:color w:val="000000"/>
          <w:sz w:val="32"/>
          <w:szCs w:val="32"/>
        </w:rPr>
        <w:t>办公费5.65万元、印刷费2万元、电费1万元、邮电费1.8万元、取暖费0.2万元、差旅费3.8万元、劳务费1.5万元、福利费0.5万元、公务用车运行维护费5.7万元等。</w:t>
      </w:r>
    </w:p>
    <w:p>
      <w:pPr>
        <w:spacing w:line="600" w:lineRule="exact"/>
        <w:ind w:firstLine="640" w:firstLineChars="200"/>
        <w:outlineLvl w:val="1"/>
        <w:rPr>
          <w:rStyle w:val="19"/>
          <w:rFonts w:ascii="黑体" w:eastAsia="黑体"/>
          <w:b w:val="0"/>
        </w:rPr>
      </w:pPr>
      <w:bookmarkStart w:id="42" w:name="_Toc15396609"/>
      <w:bookmarkStart w:id="43" w:name="_Toc15377215"/>
      <w:r>
        <w:rPr>
          <w:rFonts w:hint="eastAsia" w:ascii="黑体" w:eastAsia="黑体"/>
          <w:color w:val="000000"/>
          <w:sz w:val="32"/>
          <w:szCs w:val="32"/>
        </w:rPr>
        <w:t>六、</w:t>
      </w:r>
      <w:r>
        <w:rPr>
          <w:rStyle w:val="19"/>
          <w:rFonts w:hint="eastAsia" w:ascii="黑体" w:eastAsia="黑体"/>
        </w:rPr>
        <w:t>“</w:t>
      </w:r>
      <w:r>
        <w:rPr>
          <w:rStyle w:val="19"/>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20年“三公”经费财政拨款支出决算为5.7万元，完成预算100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决算5.7万元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；公务用车购置及运行维护费支出决算5.7万元，占100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drawing>
          <wp:anchor distT="0" distB="0" distL="114300" distR="114300" simplePos="0" relativeHeight="251664384" behindDoc="0" locked="0" layoutInCell="1" allowOverlap="1">
            <wp:simplePos x="0" y="0"/>
            <wp:positionH relativeFrom="column">
              <wp:posOffset>386715</wp:posOffset>
            </wp:positionH>
            <wp:positionV relativeFrom="paragraph">
              <wp:posOffset>41910</wp:posOffset>
            </wp:positionV>
            <wp:extent cx="4572000" cy="2743200"/>
            <wp:effectExtent l="4445" t="4445" r="14605" b="14605"/>
            <wp:wrapTopAndBottom/>
            <wp:docPr id="111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Style w:val="16"/>
          <w:rFonts w:ascii="仿宋" w:eastAsia="仿宋"/>
          <w:b w:val="0"/>
          <w:bCs/>
          <w:color w:val="000000"/>
          <w:sz w:val="32"/>
          <w:szCs w:val="32"/>
        </w:rPr>
      </w:pPr>
      <w:r>
        <w:rPr>
          <w:rFonts w:hint="eastAsia" w:ascii="仿宋_GB2312" w:eastAsia="仿宋_GB2312"/>
          <w:b/>
          <w:color w:val="000000"/>
          <w:sz w:val="32"/>
          <w:szCs w:val="32"/>
        </w:rPr>
        <w:t>1.因公出国（境）经费支出：</w:t>
      </w:r>
      <w:r>
        <w:rPr>
          <w:rFonts w:ascii="仿宋_GB2312" w:eastAsia="仿宋_GB2312"/>
          <w:color w:val="000000"/>
          <w:sz w:val="30"/>
          <w:szCs w:val="30"/>
        </w:rPr>
        <w:t>20</w:t>
      </w:r>
      <w:r>
        <w:rPr>
          <w:rFonts w:hint="eastAsia" w:ascii="仿宋_GB2312" w:eastAsia="仿宋_GB2312"/>
          <w:color w:val="000000"/>
          <w:sz w:val="30"/>
          <w:szCs w:val="30"/>
        </w:rPr>
        <w:t>20年因公出国（境）费0万元。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5.7万元</w:t>
      </w:r>
      <w:r>
        <w:rPr>
          <w:rFonts w:hint="eastAsia" w:ascii="仿宋_GB2312" w:eastAsia="仿宋_GB2312"/>
          <w:color w:val="000000"/>
          <w:sz w:val="32"/>
          <w:szCs w:val="32"/>
          <w:lang w:eastAsia="zh-CN"/>
        </w:rPr>
        <w:t>，</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9年减少0.3万元，</w:t>
      </w:r>
      <w:r>
        <w:rPr>
          <w:rFonts w:hint="eastAsia" w:ascii="仿宋_GB2312" w:eastAsia="仿宋_GB2312"/>
          <w:sz w:val="32"/>
          <w:szCs w:val="32"/>
        </w:rPr>
        <w:t>下降5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原因是</w:t>
      </w:r>
      <w:r>
        <w:rPr>
          <w:rFonts w:hint="eastAsia" w:ascii="仿宋_GB2312" w:hAnsi="黑体" w:eastAsia="仿宋_GB2312" w:cs="黑体"/>
          <w:sz w:val="32"/>
          <w:szCs w:val="32"/>
        </w:rPr>
        <w:t>认真贯彻落实中央“八项规定”精神和厉行节约要求，将“三公”经费压减5%</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日，共有车辆2辆，其中：部级领导干部用车0辆、主要领导干部用车0辆、机要通信用车0辆、应急保障用车2辆、执法执勤用车0辆、特种专业技术用车0辆、离退休干部用车0辆、其他用车0辆；</w:t>
      </w:r>
    </w:p>
    <w:p>
      <w:pPr>
        <w:spacing w:line="600" w:lineRule="atLeast"/>
        <w:ind w:firstLine="643"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公务用车运行维护费支出</w:t>
      </w:r>
      <w:r>
        <w:rPr>
          <w:rFonts w:hint="eastAsia" w:ascii="仿宋_GB2312" w:eastAsia="仿宋_GB2312"/>
          <w:sz w:val="32"/>
          <w:szCs w:val="32"/>
        </w:rPr>
        <w:t>5.7万元。</w:t>
      </w:r>
      <w:r>
        <w:rPr>
          <w:rFonts w:hint="eastAsia" w:ascii="仿宋_GB2312" w:eastAsia="仿宋_GB2312"/>
          <w:color w:val="000000"/>
          <w:sz w:val="32"/>
          <w:szCs w:val="32"/>
        </w:rPr>
        <w:t>主要用于</w:t>
      </w:r>
      <w:r>
        <w:rPr>
          <w:rFonts w:hint="eastAsia" w:ascii="仿宋_GB2312" w:eastAsia="仿宋_GB2312" w:cs="仿宋"/>
          <w:color w:val="000000"/>
          <w:kern w:val="0"/>
          <w:sz w:val="30"/>
          <w:szCs w:val="30"/>
        </w:rPr>
        <w:t>开展日常事务时车辆的燃料费、维修费、过路过桥费、保险费等支出。</w:t>
      </w:r>
    </w:p>
    <w:p>
      <w:pPr>
        <w:spacing w:line="600" w:lineRule="exact"/>
        <w:ind w:firstLine="640"/>
        <w:rPr>
          <w:rFonts w:ascii="仿宋_GB2312" w:eastAsia="仿宋_GB2312"/>
          <w:color w:val="000000"/>
          <w:sz w:val="32"/>
          <w:szCs w:val="32"/>
        </w:rPr>
      </w:pPr>
    </w:p>
    <w:p>
      <w:pPr>
        <w:spacing w:line="600" w:lineRule="atLeast"/>
        <w:ind w:firstLine="643" w:firstLineChars="200"/>
        <w:outlineLvl w:val="2"/>
        <w:rPr>
          <w:rFonts w:ascii="仿宋_GB2312" w:eastAsia="仿宋_GB2312" w:cs="仿宋"/>
          <w:color w:val="000000"/>
          <w:kern w:val="0"/>
          <w:sz w:val="30"/>
          <w:szCs w:val="30"/>
        </w:rPr>
      </w:pPr>
      <w:r>
        <w:rPr>
          <w:rFonts w:hint="eastAsia" w:ascii="仿宋_GB2312" w:eastAsia="仿宋_GB2312"/>
          <w:b/>
          <w:color w:val="000000"/>
          <w:sz w:val="32"/>
          <w:szCs w:val="32"/>
        </w:rPr>
        <w:t>3.公务接待费支出：</w:t>
      </w:r>
      <w:r>
        <w:rPr>
          <w:rFonts w:hint="eastAsia" w:ascii="仿宋_GB2312" w:eastAsia="仿宋_GB2312" w:cs="仿宋"/>
          <w:color w:val="000000"/>
          <w:kern w:val="0"/>
          <w:sz w:val="30"/>
          <w:szCs w:val="30"/>
        </w:rPr>
        <w:t>2020年公务接待费0万元。</w:t>
      </w:r>
    </w:p>
    <w:p>
      <w:pPr>
        <w:spacing w:line="600" w:lineRule="exact"/>
        <w:ind w:firstLine="640"/>
        <w:outlineLvl w:val="1"/>
        <w:rPr>
          <w:rStyle w:val="19"/>
          <w:rFonts w:ascii="黑体" w:eastAsia="黑体"/>
        </w:rPr>
      </w:pPr>
      <w:bookmarkStart w:id="46" w:name="_Toc15377218"/>
      <w:bookmarkStart w:id="47" w:name="_Toc15396610"/>
      <w:r>
        <w:rPr>
          <w:rFonts w:hint="eastAsia" w:ascii="黑体" w:eastAsia="黑体"/>
          <w:color w:val="000000"/>
          <w:sz w:val="32"/>
          <w:szCs w:val="32"/>
        </w:rPr>
        <w:t>七、</w:t>
      </w:r>
      <w:r>
        <w:rPr>
          <w:rStyle w:val="19"/>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tabs>
          <w:tab w:val="left" w:pos="0"/>
        </w:tabs>
        <w:spacing w:line="600" w:lineRule="exact"/>
        <w:ind w:left="640"/>
        <w:outlineLvl w:val="1"/>
        <w:rPr>
          <w:rStyle w:val="19"/>
          <w:rFonts w:ascii="黑体" w:eastAsia="黑体"/>
          <w:b w:val="0"/>
        </w:rPr>
      </w:pPr>
      <w:bookmarkStart w:id="48" w:name="_Toc15396611"/>
      <w:bookmarkStart w:id="49" w:name="_Toc15377219"/>
      <w:r>
        <w:rPr>
          <w:rStyle w:val="19"/>
          <w:rFonts w:hint="eastAsia" w:ascii="黑体" w:eastAsia="黑体"/>
          <w:b w:val="0"/>
        </w:rPr>
        <w:t>八、国有资本经营预算支出决算情况说明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spacing w:line="580" w:lineRule="exact"/>
        <w:ind w:left="709" w:firstLine="0" w:firstLineChars="0"/>
        <w:rPr>
          <w:rStyle w:val="19"/>
          <w:rFonts w:ascii="黑体" w:eastAsia="黑体"/>
          <w:b w:val="0"/>
        </w:rPr>
      </w:pPr>
      <w:r>
        <w:rPr>
          <w:rStyle w:val="19"/>
          <w:rFonts w:hint="eastAsia" w:ascii="黑体" w:eastAsia="黑体"/>
          <w:b w:val="0"/>
        </w:rPr>
        <w:t>九、预算绩效情况说明</w:t>
      </w:r>
    </w:p>
    <w:p>
      <w:pPr>
        <w:numPr>
          <w:ilvl w:val="0"/>
          <w:numId w:val="2"/>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根据预算绩效管理要求，我单位在年初预算编制阶段，组织对项目开展了预算事前绩效评估，本部门按要求对2020年部门整体支出开展绩效自评，</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w:t>
      </w:r>
    </w:p>
    <w:p>
      <w:pPr>
        <w:tabs>
          <w:tab w:val="left" w:pos="1493"/>
        </w:tabs>
        <w:snapToGrid w:val="0"/>
        <w:spacing w:line="520" w:lineRule="exact"/>
        <w:ind w:firstLine="643" w:firstLineChars="200"/>
        <w:rPr>
          <w:rFonts w:ascii="Calibri" w:hAnsi="Calibri"/>
        </w:rPr>
      </w:pPr>
      <w:r>
        <w:rPr>
          <w:rFonts w:hint="eastAsia" w:ascii="仿宋" w:eastAsia="仿宋" w:cs="楷体_GB2312"/>
          <w:b/>
          <w:bCs/>
          <w:sz w:val="32"/>
          <w:szCs w:val="32"/>
        </w:rPr>
        <w:t>（二）项目绩效目标完成情况。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hAnsi="仿宋" w:eastAsia="仿宋_GB2312"/>
          <w:color w:val="000000"/>
          <w:sz w:val="32"/>
          <w:szCs w:val="32"/>
        </w:rPr>
        <w:t>2020年度独松乡整体项目支出共472.42万元，一部分为后期预算调整数，其中基本建设类项目支出396.21万元，占整体项目支出的83.87%。其中对村民委员会和村党支部的补助67.44万元（其中村干部工资34.44万元，村办公费12万元，村运行维护费21万元），三老干部生活补助0.48万元，人大会议费0.6万元，人大代表工作经费1.95万元；防疫经费5.74万元；正里塘村甲级沟产业便道5.32万元；卡拉塘村寨子沟防洪堤建设3.51万元；</w:t>
      </w:r>
      <w:r>
        <w:rPr>
          <w:rFonts w:hint="eastAsia" w:ascii="仿宋_GB2312" w:hAnsi="仿宋_GB2312" w:eastAsia="仿宋_GB2312" w:cs="仿宋_GB2312"/>
          <w:bCs/>
          <w:sz w:val="32"/>
          <w:szCs w:val="32"/>
        </w:rPr>
        <w:t>正里塘村至卡苏村村道水毁恢复建设项目387.38万元。</w:t>
      </w:r>
      <w:r>
        <w:rPr>
          <w:rFonts w:hint="eastAsia" w:ascii="仿宋_GB2312" w:hAnsi="仿宋" w:eastAsia="仿宋_GB2312"/>
          <w:color w:val="000000"/>
          <w:sz w:val="32"/>
          <w:szCs w:val="32"/>
        </w:rPr>
        <w:t>项目绩效目标整体完成良好，村干部、三老干部工资按时按量发放，使基层工作</w:t>
      </w:r>
      <w:r>
        <w:rPr>
          <w:rFonts w:hint="eastAsia" w:ascii="仿宋_GB2312" w:hAnsi="仿宋" w:eastAsia="仿宋_GB2312"/>
          <w:color w:val="000000"/>
          <w:sz w:val="32"/>
          <w:szCs w:val="32"/>
          <w:lang w:eastAsia="zh-CN"/>
        </w:rPr>
        <w:t>有序地开展</w:t>
      </w:r>
      <w:r>
        <w:rPr>
          <w:rFonts w:hint="eastAsia" w:ascii="仿宋_GB2312" w:hAnsi="仿宋" w:eastAsia="仿宋_GB2312"/>
          <w:color w:val="000000"/>
          <w:sz w:val="32"/>
          <w:szCs w:val="32"/>
        </w:rPr>
        <w:t>，工作效率有所提高；人大经费、办公经费、办公设备购置的合理支出，保障了乡镇工作的正常有序运转，村级项目的建设，完善了相应的基础设施，提高了村民的安全感、满足感。</w:t>
      </w:r>
    </w:p>
    <w:p>
      <w:pPr>
        <w:tabs>
          <w:tab w:val="left" w:pos="0"/>
        </w:tabs>
        <w:spacing w:line="580" w:lineRule="exact"/>
        <w:ind w:left="420" w:leftChars="200"/>
        <w:rPr>
          <w:rFonts w:ascii="仿宋" w:eastAsia="仿宋" w:cs="仿宋_GB2312"/>
          <w:sz w:val="32"/>
          <w:szCs w:val="32"/>
        </w:rPr>
      </w:pPr>
      <w:r>
        <w:rPr>
          <w:rFonts w:hint="eastAsia" w:ascii="仿宋" w:eastAsia="仿宋" w:cs="楷体_GB2312"/>
          <w:b/>
          <w:bCs/>
          <w:sz w:val="32"/>
          <w:szCs w:val="32"/>
        </w:rPr>
        <w:t>（三）部门开展绩效评价结果。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《金川县独松乡人民政府2020年部门预算整体支出绩效评价报告》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9"/>
          <w:rFonts w:ascii="黑体" w:eastAsia="黑体"/>
        </w:rPr>
      </w:pPr>
      <w:bookmarkStart w:id="50" w:name="_Toc15377221"/>
      <w:bookmarkStart w:id="51" w:name="_Toc15396612"/>
      <w:r>
        <w:rPr>
          <w:rFonts w:hint="eastAsia" w:ascii="黑体" w:eastAsia="黑体"/>
          <w:color w:val="000000"/>
          <w:sz w:val="32"/>
          <w:szCs w:val="32"/>
        </w:rPr>
        <w:t>十</w:t>
      </w:r>
      <w:r>
        <w:rPr>
          <w:rStyle w:val="19"/>
          <w:rFonts w:hint="eastAsia" w:ascii="黑体" w:eastAsia="黑体"/>
        </w:rPr>
        <w:t>、</w:t>
      </w:r>
      <w:r>
        <w:rPr>
          <w:rStyle w:val="19"/>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20年，金川县独松乡人民政府运行经费支出0万元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20年，政府采购支出总额458.97万元，其中：政府采购货物支出0万元、政府采购工程支出458.97万元、政府采购服务支出0万元。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numPr>
          <w:ilvl w:val="0"/>
          <w:numId w:val="3"/>
        </w:numPr>
        <w:spacing w:line="600" w:lineRule="exact"/>
        <w:ind w:firstLine="663" w:firstLineChars="150"/>
        <w:jc w:val="center"/>
        <w:outlineLvl w:val="0"/>
        <w:rPr>
          <w:rStyle w:val="18"/>
          <w:rFonts w:ascii="黑体" w:eastAsia="黑体"/>
          <w:b w:val="0"/>
        </w:rPr>
      </w:pPr>
      <w:bookmarkStart w:id="55" w:name="_Toc15396613"/>
      <w:bookmarkStart w:id="56" w:name="_Toc15377225"/>
      <w:r>
        <w:rPr>
          <w:rFonts w:hint="eastAsia" w:ascii="黑体" w:eastAsia="黑体"/>
          <w:b/>
          <w:color w:val="000000"/>
          <w:sz w:val="44"/>
          <w:szCs w:val="44"/>
        </w:rPr>
        <w:t>名</w:t>
      </w:r>
      <w:r>
        <w:rPr>
          <w:rStyle w:val="18"/>
          <w:rFonts w:hint="eastAsia" w:ascii="黑体" w:eastAsia="黑体"/>
          <w:b w:val="0"/>
        </w:rPr>
        <w:t>词解释</w:t>
      </w:r>
      <w:bookmarkEnd w:id="55"/>
      <w:bookmarkEnd w:id="56"/>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pStyle w:val="2"/>
        <w:ind w:left="1300" w:hanging="880"/>
        <w:rPr>
          <w:rFonts w:ascii="黑体" w:eastAsia="黑体"/>
          <w:color w:val="000000"/>
          <w:sz w:val="44"/>
          <w:szCs w:val="44"/>
        </w:rPr>
      </w:pPr>
    </w:p>
    <w:p>
      <w:pPr>
        <w:rPr>
          <w:rFonts w:ascii="黑体" w:eastAsia="黑体"/>
          <w:color w:val="000000"/>
          <w:sz w:val="44"/>
          <w:szCs w:val="44"/>
        </w:rPr>
      </w:pPr>
    </w:p>
    <w:p>
      <w:pPr>
        <w:pStyle w:val="2"/>
        <w:ind w:left="1300" w:hanging="880"/>
        <w:rPr>
          <w:rFonts w:ascii="黑体" w:eastAsia="黑体"/>
          <w:color w:val="000000"/>
          <w:sz w:val="44"/>
          <w:szCs w:val="44"/>
        </w:rPr>
      </w:pPr>
    </w:p>
    <w:p>
      <w:pPr>
        <w:rPr>
          <w:rFonts w:ascii="黑体" w:eastAsia="黑体"/>
          <w:color w:val="000000"/>
          <w:sz w:val="44"/>
          <w:szCs w:val="44"/>
        </w:rPr>
      </w:pPr>
    </w:p>
    <w:p>
      <w:pPr>
        <w:pStyle w:val="2"/>
        <w:ind w:left="1300" w:hanging="880"/>
        <w:rPr>
          <w:rFonts w:ascii="黑体" w:eastAsia="黑体"/>
          <w:color w:val="000000"/>
          <w:sz w:val="44"/>
          <w:szCs w:val="44"/>
        </w:rPr>
      </w:pPr>
    </w:p>
    <w:p>
      <w:pPr>
        <w:rPr>
          <w:rFonts w:ascii="黑体" w:eastAsia="黑体"/>
          <w:color w:val="000000"/>
          <w:sz w:val="44"/>
          <w:szCs w:val="44"/>
        </w:rPr>
      </w:pPr>
    </w:p>
    <w:p>
      <w:pPr>
        <w:pStyle w:val="2"/>
        <w:ind w:left="1300" w:hanging="880"/>
        <w:rPr>
          <w:rFonts w:ascii="黑体" w:eastAsia="黑体"/>
          <w:color w:val="000000"/>
          <w:sz w:val="44"/>
          <w:szCs w:val="44"/>
        </w:rPr>
      </w:pPr>
    </w:p>
    <w:p>
      <w:pPr>
        <w:rPr>
          <w:rFonts w:ascii="黑体" w:eastAsia="黑体"/>
          <w:color w:val="000000"/>
          <w:sz w:val="44"/>
          <w:szCs w:val="44"/>
        </w:rPr>
      </w:pPr>
    </w:p>
    <w:p>
      <w:pPr>
        <w:pStyle w:val="2"/>
        <w:ind w:left="1300" w:hanging="880"/>
        <w:rPr>
          <w:rFonts w:ascii="黑体" w:eastAsia="黑体"/>
          <w:color w:val="000000"/>
          <w:sz w:val="44"/>
          <w:szCs w:val="44"/>
        </w:rPr>
      </w:pPr>
    </w:p>
    <w:p>
      <w:pPr>
        <w:rPr>
          <w:rFonts w:ascii="黑体" w:eastAsia="黑体"/>
          <w:color w:val="000000"/>
          <w:sz w:val="44"/>
          <w:szCs w:val="44"/>
        </w:rPr>
      </w:pPr>
    </w:p>
    <w:p>
      <w:pPr>
        <w:pStyle w:val="2"/>
        <w:ind w:left="1300" w:hanging="880"/>
        <w:rPr>
          <w:rFonts w:ascii="黑体" w:eastAsia="黑体"/>
          <w:color w:val="000000"/>
          <w:sz w:val="44"/>
          <w:szCs w:val="44"/>
        </w:rPr>
      </w:pPr>
    </w:p>
    <w:p/>
    <w:p>
      <w:pPr>
        <w:pStyle w:val="4"/>
        <w:rPr>
          <w:rStyle w:val="18"/>
          <w:rFonts w:ascii="仿宋" w:eastAsia="仿宋"/>
          <w:b w:val="0"/>
          <w:bCs w:val="0"/>
          <w:sz w:val="32"/>
          <w:szCs w:val="32"/>
        </w:rPr>
      </w:pPr>
      <w:bookmarkStart w:id="59" w:name="_Toc15396615"/>
      <w:r>
        <w:rPr>
          <w:rStyle w:val="18"/>
          <w:rFonts w:hint="eastAsia" w:ascii="仿宋" w:eastAsia="仿宋"/>
          <w:b w:val="0"/>
          <w:bCs w:val="0"/>
          <w:sz w:val="32"/>
          <w:szCs w:val="32"/>
        </w:rPr>
        <w:t>附件1</w:t>
      </w:r>
      <w:bookmarkEnd w:id="59"/>
    </w:p>
    <w:p>
      <w:pPr>
        <w:numPr>
          <w:ilvl w:val="0"/>
          <w:numId w:val="3"/>
        </w:numPr>
        <w:spacing w:line="600" w:lineRule="exact"/>
        <w:ind w:firstLine="660" w:firstLineChars="150"/>
        <w:jc w:val="center"/>
        <w:outlineLvl w:val="0"/>
        <w:rPr>
          <w:rStyle w:val="18"/>
          <w:rFonts w:ascii="黑体" w:eastAsia="黑体"/>
          <w:b w:val="0"/>
        </w:rPr>
      </w:pPr>
      <w:r>
        <w:rPr>
          <w:rStyle w:val="18"/>
          <w:rFonts w:hint="eastAsia" w:ascii="黑体" w:eastAsia="黑体"/>
          <w:b w:val="0"/>
        </w:rPr>
        <w:t>附件</w:t>
      </w:r>
    </w:p>
    <w:p>
      <w:pPr>
        <w:widowControl/>
        <w:spacing w:line="560" w:lineRule="atLeast"/>
        <w:jc w:val="center"/>
        <w:rPr>
          <w:rFonts w:ascii="宋体" w:hAnsi="宋体" w:cs="宋体"/>
          <w:b/>
          <w:sz w:val="44"/>
          <w:szCs w:val="44"/>
        </w:rPr>
      </w:pPr>
      <w:r>
        <w:rPr>
          <w:rFonts w:hint="eastAsia" w:ascii="宋体" w:hAnsi="宋体" w:cs="宋体"/>
          <w:b/>
          <w:sz w:val="44"/>
          <w:szCs w:val="44"/>
        </w:rPr>
        <w:t>金川县独松乡人民政府</w:t>
      </w:r>
    </w:p>
    <w:p>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rPr>
        <w:t>2020年部门整体支出绩效评价报告</w:t>
      </w:r>
    </w:p>
    <w:p>
      <w:pPr>
        <w:widowControl/>
        <w:adjustRightInd w:val="0"/>
        <w:snapToGrid w:val="0"/>
        <w:spacing w:line="540" w:lineRule="exact"/>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spacing w:line="54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（一）独松乡人民政府下设“一办四中心一所”：具体组成为：党政综合办公室、综合文化发展中心、社会保障综合服务中心、经济发展中心、独松乡财政所。</w:t>
      </w:r>
    </w:p>
    <w:p>
      <w:pPr>
        <w:widowControl/>
        <w:spacing w:line="54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rPr>
          <w:rFonts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000000"/>
          <w:sz w:val="32"/>
          <w:szCs w:val="32"/>
        </w:rPr>
        <w:t xml:space="preserve">独松乡人民政府2020年年初在职19人，其中行政人员13人，行政工勤1人，事业人员5人；2020年年末在职23人，其中行政人员15人，行政工勤1人，事业人员7人。2021年1-6月独立编制单位机构数为1个，财政供养人员编制为31名，其中行政编制17名，行政工勤编制2名，事业编制12名（其中参照公务员法管理人员编制0人）；2021年1-6月实际财政供养人员 27人，其中：行政15人，行政工勤1人， 事业11人，较上年增加4人， </w:t>
      </w:r>
      <w:r>
        <w:rPr>
          <w:rFonts w:hint="eastAsia" w:ascii="仿宋_GB2312" w:hAnsi="仿宋" w:eastAsia="仿宋_GB2312"/>
          <w:sz w:val="32"/>
          <w:szCs w:val="32"/>
        </w:rPr>
        <w:t>主要原因是机构改革，人员增加，三站人员编制下划给乡镇。</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snapToGrid w:val="0"/>
        <w:spacing w:line="5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2020年独松乡本年收入合计956.02万元，其中：一般公共预算财政拨款收入956.02万元，占100%；政府性基金预算财政拨款收入0元，占0%；国有资本经营预算财政拨款收入0万元，占0%；事业收入0万元，占0%；经营收入0万元，占0%；附属单位上缴收入0万元，占0%；其他收入0万元，占0%。</w:t>
      </w:r>
    </w:p>
    <w:p>
      <w:pPr>
        <w:snapToGrid w:val="0"/>
        <w:spacing w:line="540" w:lineRule="exact"/>
        <w:ind w:firstLine="640" w:firstLineChars="200"/>
      </w:pPr>
      <w:r>
        <w:rPr>
          <w:rFonts w:hint="eastAsia" w:ascii="仿宋_GB2312" w:hAnsi="仿宋_GB2312" w:eastAsia="仿宋_GB2312" w:cs="仿宋_GB2312"/>
          <w:sz w:val="32"/>
          <w:szCs w:val="32"/>
        </w:rPr>
        <w:t>2021年1-6月收入合计</w:t>
      </w:r>
      <w:r>
        <w:rPr>
          <w:rFonts w:hint="eastAsia" w:ascii="仿宋_GB2312" w:hAnsi="仿宋_GB2312" w:eastAsia="仿宋_GB2312" w:cs="仿宋_GB2312"/>
          <w:bCs/>
          <w:sz w:val="32"/>
          <w:szCs w:val="32"/>
        </w:rPr>
        <w:t>288.20万元，其中：一般公共预算财政拨款收入288.20万元。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_GB2312" w:eastAsia="仿宋_GB2312" w:cs="仿宋_GB2312"/>
          <w:color w:val="000000"/>
          <w:sz w:val="32"/>
          <w:szCs w:val="32"/>
          <w:lang w:val="zh-CN"/>
        </w:rPr>
        <w:t>（二）</w:t>
      </w:r>
      <w:r>
        <w:rPr>
          <w:rFonts w:hint="eastAsia" w:ascii="仿宋_GB2312" w:hAnsi="仿宋_GB2312" w:eastAsia="仿宋_GB2312" w:cs="仿宋_GB2312"/>
          <w:bCs/>
          <w:sz w:val="32"/>
          <w:szCs w:val="32"/>
        </w:rPr>
        <w:t>2020年一般公共预算财政拨款支出</w:t>
      </w:r>
      <w:r>
        <w:rPr>
          <w:rFonts w:hint="eastAsia" w:ascii="仿宋_GB2312" w:hAnsi="仿宋_GB2312" w:eastAsia="仿宋_GB2312" w:cs="仿宋_GB2312"/>
          <w:color w:val="000000"/>
          <w:sz w:val="32"/>
          <w:szCs w:val="32"/>
        </w:rPr>
        <w:t>825.23</w:t>
      </w:r>
      <w:r>
        <w:rPr>
          <w:rFonts w:hint="eastAsia" w:ascii="仿宋_GB2312" w:hAnsi="仿宋_GB2312" w:eastAsia="仿宋_GB2312" w:cs="仿宋_GB2312"/>
          <w:bCs/>
          <w:sz w:val="32"/>
          <w:szCs w:val="32"/>
        </w:rPr>
        <w:t>万元，主要用于以下方面</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color w:val="000000"/>
          <w:sz w:val="32"/>
          <w:szCs w:val="32"/>
        </w:rPr>
        <w:t xml:space="preserve"> 其中</w:t>
      </w:r>
      <w:r>
        <w:rPr>
          <w:rFonts w:hint="eastAsia" w:ascii="仿宋_GB2312" w:hAnsi="仿宋" w:eastAsia="仿宋_GB2312"/>
          <w:color w:val="000000"/>
          <w:sz w:val="32"/>
          <w:szCs w:val="32"/>
        </w:rPr>
        <w:t>一般公共服务支出为222.32万元，占26.94%；社会保障和就业支出为38.83万元，占4.7%；医疗卫生与计划生育支出为22.76万元，占2.76%；农林水支出为116.98万元，占14.18%；住房保障支出27.65万元，占3.35%；其他支出为396.69万元，占48.07%。</w:t>
      </w:r>
    </w:p>
    <w:p>
      <w:pPr>
        <w:snapToGrid w:val="0"/>
        <w:spacing w:line="52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color w:val="000000"/>
          <w:sz w:val="32"/>
          <w:szCs w:val="32"/>
        </w:rPr>
        <w:t>其中：</w:t>
      </w:r>
      <w:r>
        <w:rPr>
          <w:rFonts w:hint="eastAsia" w:ascii="仿宋_GB2312" w:hAnsi="仿宋" w:eastAsia="仿宋_GB2312"/>
          <w:color w:val="000000"/>
          <w:sz w:val="32"/>
          <w:szCs w:val="32"/>
        </w:rPr>
        <w:t>人员经费支出330.66万元，</w:t>
      </w:r>
      <w:r>
        <w:rPr>
          <w:rFonts w:hint="eastAsia" w:ascii="仿宋_GB2312" w:eastAsia="仿宋_GB2312"/>
          <w:color w:val="000000"/>
          <w:sz w:val="32"/>
          <w:szCs w:val="32"/>
        </w:rPr>
        <w:t>主要包括：基本工资68.78万元、津贴补贴98.67万元、奖金6.19万元、绩效工资18.98万元、机关事业单位基本养老保险缴费25.89万元、职业年金缴费12.94万元、其他社会保障缴费2.48万元、住房公积金27.65万元、职工基本医疗保险缴费12.9万元、公务员医疗补助4.11万元、生活补助2.16万元、奖励金49.91万元。</w:t>
      </w:r>
    </w:p>
    <w:p>
      <w:pPr>
        <w:spacing w:line="600" w:lineRule="exact"/>
        <w:ind w:firstLine="645"/>
        <w:rPr>
          <w:rFonts w:ascii="仿宋_GB2312" w:hAnsi="仿宋_GB2312" w:eastAsia="仿宋_GB2312" w:cs="仿宋_GB2312"/>
          <w:color w:val="000000"/>
          <w:sz w:val="32"/>
          <w:szCs w:val="32"/>
        </w:rPr>
      </w:pPr>
      <w:r>
        <w:rPr>
          <w:rFonts w:hint="eastAsia" w:ascii="仿宋_GB2312" w:hAnsi="仿宋" w:eastAsia="仿宋_GB2312"/>
          <w:color w:val="000000"/>
          <w:sz w:val="32"/>
          <w:szCs w:val="32"/>
        </w:rPr>
        <w:t>日常公用经费支出22.15万元，</w:t>
      </w:r>
      <w:r>
        <w:rPr>
          <w:rFonts w:hint="eastAsia" w:ascii="仿宋_GB2312" w:eastAsia="仿宋_GB2312"/>
          <w:color w:val="000000"/>
          <w:sz w:val="32"/>
          <w:szCs w:val="32"/>
        </w:rPr>
        <w:t>主要包括：办公费5.65万元、印刷费2万元、电费1万元、邮电费1.8万元、取暖费0.2万元、差旅费3.8万元、劳务费1.5万元、福利费0.5万元、公务用车运行维护费5.7万元。</w:t>
      </w:r>
    </w:p>
    <w:p>
      <w:pPr>
        <w:snapToGrid w:val="0"/>
        <w:spacing w:line="5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项目支出472.42万元，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rPr>
        <w:t>人大会议费0.6万元，人大代表工作经费1.95万元，防疫经费5.74万元，对村干部生活补助支出34.44万元，村级维护费办公费33万元</w:t>
      </w:r>
      <w:r>
        <w:rPr>
          <w:rFonts w:hint="eastAsia" w:ascii="仿宋_GB2312" w:hAnsi="仿宋_GB2312" w:eastAsia="仿宋_GB2312" w:cs="仿宋_GB2312"/>
          <w:color w:val="000000"/>
          <w:sz w:val="32"/>
          <w:szCs w:val="32"/>
        </w:rPr>
        <w:t>（其中公共运行维护费21万元、基层党组织活动经费6万元、办公费6万元）</w:t>
      </w:r>
      <w:r>
        <w:rPr>
          <w:rFonts w:hint="eastAsia" w:ascii="仿宋_GB2312" w:hAnsi="仿宋" w:eastAsia="仿宋_GB2312"/>
          <w:color w:val="000000"/>
          <w:sz w:val="32"/>
          <w:szCs w:val="32"/>
        </w:rPr>
        <w:t>，三老干部生活补助0.48万元，正里塘村甲级沟产业便道5.32万元，卡拉塘村寨子沟防洪堤建设3.51万元，</w:t>
      </w:r>
      <w:r>
        <w:rPr>
          <w:rFonts w:hint="eastAsia" w:ascii="仿宋_GB2312" w:hAnsi="仿宋_GB2312" w:eastAsia="仿宋_GB2312" w:cs="仿宋_GB2312"/>
          <w:bCs/>
          <w:sz w:val="32"/>
          <w:szCs w:val="32"/>
        </w:rPr>
        <w:t xml:space="preserve"> 正里塘村至卡苏村村道水毁恢复建设项目387.38万元</w:t>
      </w:r>
      <w:r>
        <w:rPr>
          <w:rFonts w:hint="eastAsia" w:ascii="仿宋_GB2312" w:hAnsi="仿宋" w:eastAsia="仿宋_GB2312"/>
          <w:color w:val="000000"/>
          <w:sz w:val="32"/>
          <w:szCs w:val="32"/>
        </w:rPr>
        <w:t>。</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2021年1-6月财政总支出为331.15万元，其中：</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262.23万元，主要包括：基本工资48.12万元、津贴补贴62.22万元、绩效工资11.99万元、机关事业单位基本养老保险缴费17.97万元、职业年金缴费8.99万元、职工基本医疗保险缴费9.06万元、公务员医疗补助缴费2.85万元、其他社会保障缴费0.59万元、村干部工资2.54万元、住房公积金18.78万元、奖励金79.12万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color w:val="FF0000"/>
          <w:sz w:val="32"/>
          <w:szCs w:val="32"/>
        </w:rPr>
        <w:t>　　</w:t>
      </w:r>
      <w:r>
        <w:rPr>
          <w:rFonts w:hint="eastAsia" w:ascii="仿宋_GB2312" w:hAnsi="仿宋_GB2312" w:eastAsia="仿宋_GB2312" w:cs="仿宋_GB2312"/>
          <w:sz w:val="32"/>
          <w:szCs w:val="32"/>
        </w:rPr>
        <w:t>公用经费22.77万元，主要包括：办公费2.62万元、印刷费2.06万元、电费0.24万元、邮电费0.08万元、差旅费0.38万元、劳务费1.18万元、公务用车运行维护费6.62万元、其他对个人和家庭的补助支出9.59万元。</w:t>
      </w:r>
    </w:p>
    <w:p>
      <w:pPr>
        <w:spacing w:line="540" w:lineRule="exact"/>
        <w:ind w:firstLine="640" w:firstLineChars="200"/>
      </w:pPr>
      <w:r>
        <w:rPr>
          <w:rFonts w:hint="eastAsia" w:ascii="仿宋_GB2312" w:hAnsi="仿宋_GB2312" w:eastAsia="仿宋_GB2312" w:cs="仿宋_GB2312"/>
          <w:sz w:val="32"/>
          <w:szCs w:val="32"/>
        </w:rPr>
        <w:t>2021年1-6月项目支出46.15万元，主要包括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卡拉塘村应急防洪堤建设42.95万元、便民服务中心改造提升工程3.2万元。</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2020年预算374.69万元，其中人员经费319.44万元，公用经费55.25万元。</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部门收入预算总额为517.03元，较上年增加142.34万元，增加37.99%，主要是机构改革三站人员编制下划给乡镇、行政村个数增加、经费标准变更、财政信息化建设等需求增加。其中：当年财政拨款收入517.03万元，其他收入 0万元，上年结转收入0万元。相应安排支出预算517.03万元，其中：基本支出预算517.03万元，项目支出0万元。</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bookmarkStart w:id="74" w:name="_GoBack"/>
      <w:bookmarkEnd w:id="74"/>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部门预算执行情况良好，但基本集中在下半年。支出情况中期评估不足，</w:t>
      </w:r>
      <w:r>
        <w:rPr>
          <w:rFonts w:hint="eastAsia" w:ascii="仿宋_GB2312" w:hAnsi="仿宋_GB2312" w:eastAsia="仿宋_GB2312" w:cs="仿宋_GB2312"/>
          <w:color w:val="000000"/>
          <w:sz w:val="32"/>
          <w:szCs w:val="32"/>
        </w:rPr>
        <w:t>2020年</w:t>
      </w:r>
      <w:r>
        <w:rPr>
          <w:rFonts w:hint="eastAsia" w:ascii="仿宋_GB2312" w:hAnsi="仿宋_GB2312" w:eastAsia="仿宋_GB2312" w:cs="仿宋_GB2312"/>
          <w:color w:val="000000"/>
          <w:sz w:val="32"/>
          <w:szCs w:val="32"/>
          <w:lang w:val="zh-CN"/>
        </w:rPr>
        <w:t>“三公”经费预算</w:t>
      </w:r>
      <w:r>
        <w:rPr>
          <w:rFonts w:hint="eastAsia" w:ascii="仿宋_GB2312" w:hAnsi="仿宋_GB2312" w:eastAsia="仿宋_GB2312" w:cs="仿宋_GB2312"/>
          <w:color w:val="000000"/>
          <w:sz w:val="32"/>
          <w:szCs w:val="32"/>
        </w:rPr>
        <w:t>5.7万元，其中公务接待费0万元，公务用车运行维护费5.7万元，实际支出5.7万元，公务接待费0万元，公务用车运行维护费5.7万元</w:t>
      </w:r>
      <w:r>
        <w:rPr>
          <w:rFonts w:hint="eastAsia" w:ascii="仿宋_GB2312" w:hAnsi="仿宋_GB2312" w:eastAsia="仿宋_GB2312" w:cs="仿宋_GB2312"/>
          <w:color w:val="000000"/>
          <w:sz w:val="32"/>
          <w:szCs w:val="32"/>
          <w:lang w:val="zh-CN"/>
        </w:rPr>
        <w:t>。</w:t>
      </w:r>
    </w:p>
    <w:p>
      <w:pPr>
        <w:spacing w:line="5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val="zh-CN"/>
        </w:rPr>
        <w:t>“三公”经费预算</w:t>
      </w:r>
      <w:r>
        <w:rPr>
          <w:rFonts w:hint="eastAsia" w:ascii="仿宋_GB2312" w:hAnsi="仿宋_GB2312" w:eastAsia="仿宋_GB2312" w:cs="仿宋_GB2312"/>
          <w:sz w:val="32"/>
          <w:szCs w:val="32"/>
        </w:rPr>
        <w:t>9万元，其中公务接待费0万元，严格执行厉行节约的要求，认真贯彻落实中央八项规定及省委省政府十项规定要求，严格控制接待规模及接待标准。</w:t>
      </w:r>
    </w:p>
    <w:p>
      <w:pPr>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公务用车运行维护费9万元，1-6月实际支出公务接待费0万元，公务用车运行维护费6.61万元。</w:t>
      </w:r>
    </w:p>
    <w:p>
      <w:pPr>
        <w:spacing w:line="54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（三）综合管理情况。</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2020年无预算、支出政府采购。所有国有资产纳入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widowControl/>
        <w:adjustRightInd w:val="0"/>
        <w:snapToGrid w:val="0"/>
        <w:spacing w:line="540" w:lineRule="exact"/>
        <w:jc w:val="left"/>
        <w:rPr>
          <w:rFonts w:ascii="黑体" w:hAnsi="宋体" w:eastAsia="黑体" w:cs="宋体"/>
          <w:color w:val="000000"/>
          <w:kern w:val="0"/>
          <w:sz w:val="32"/>
        </w:rPr>
      </w:pPr>
      <w:r>
        <w:rPr>
          <w:rFonts w:hint="eastAsia" w:ascii="黑体" w:hAnsi="宋体" w:eastAsia="黑体" w:cs="宋体"/>
          <w:color w:val="000000"/>
          <w:kern w:val="0"/>
          <w:sz w:val="32"/>
        </w:rPr>
        <w:t>四、评价结论及建议</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spacing w:line="540" w:lineRule="exact"/>
        <w:ind w:firstLine="643"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 xml:space="preserve">二是绩效目标设立不够明确、细化和量化。虽然设立了项目资金绩效目标，但目标不够明确、细化和量化。        </w:t>
      </w:r>
    </w:p>
    <w:p>
      <w:pPr>
        <w:spacing w:line="54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bookmarkStart w:id="60" w:name="_Toc15396618"/>
      <w:bookmarkStart w:id="61" w:name="_Toc15396619"/>
    </w:p>
    <w:p>
      <w:pPr>
        <w:pStyle w:val="13"/>
        <w:widowControl/>
        <w:shd w:val="clear" w:color="auto" w:fill="FFFFFF"/>
        <w:spacing w:beforeAutospacing="0" w:afterAutospacing="0" w:line="576" w:lineRule="exact"/>
        <w:ind w:firstLine="640" w:firstLineChars="200"/>
        <w:rPr>
          <w:rFonts w:ascii="仿宋_GB2312" w:hAnsi="仿宋_GB2312" w:eastAsia="仿宋_GB2312" w:cs="仿宋_GB2312"/>
          <w:color w:val="000000"/>
          <w:sz w:val="32"/>
          <w:szCs w:val="32"/>
          <w:shd w:val="clear" w:color="auto" w:fill="FFFFFF"/>
        </w:rPr>
      </w:pPr>
    </w:p>
    <w:p>
      <w:pPr>
        <w:pStyle w:val="13"/>
        <w:widowControl/>
        <w:shd w:val="clear" w:color="auto" w:fill="FFFFFF"/>
        <w:spacing w:beforeAutospacing="0" w:afterAutospacing="0" w:line="576" w:lineRule="exact"/>
        <w:ind w:firstLine="640" w:firstLineChars="200"/>
        <w:rPr>
          <w:rFonts w:ascii="仿宋_GB2312" w:hAnsi="仿宋_GB2312" w:eastAsia="仿宋_GB2312" w:cs="仿宋_GB2312"/>
          <w:color w:val="000000"/>
          <w:sz w:val="32"/>
          <w:szCs w:val="32"/>
          <w:shd w:val="clear" w:color="auto" w:fill="FFFFFF"/>
        </w:rPr>
      </w:pPr>
    </w:p>
    <w:p>
      <w:pPr>
        <w:pStyle w:val="13"/>
        <w:widowControl/>
        <w:shd w:val="clear" w:color="auto" w:fill="FFFFFF"/>
        <w:spacing w:beforeAutospacing="0" w:afterAutospacing="0" w:line="576" w:lineRule="exact"/>
        <w:ind w:firstLine="640" w:firstLineChars="200"/>
        <w:rPr>
          <w:rFonts w:ascii="仿宋_GB2312" w:hAnsi="仿宋_GB2312" w:eastAsia="仿宋_GB2312" w:cs="仿宋_GB2312"/>
          <w:color w:val="000000"/>
          <w:sz w:val="32"/>
          <w:szCs w:val="32"/>
          <w:shd w:val="clear" w:color="auto" w:fill="FFFFFF"/>
        </w:rPr>
      </w:pPr>
    </w:p>
    <w:p>
      <w:pPr>
        <w:spacing w:line="600" w:lineRule="exact"/>
        <w:jc w:val="center"/>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9"/>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9"/>
          <w:rFonts w:hint="eastAsia" w:ascii="仿宋" w:eastAsia="仿宋"/>
          <w:b w:val="0"/>
          <w:bCs w:val="0"/>
        </w:rPr>
        <w:t>入总表</w:t>
      </w:r>
      <w:bookmarkEnd w:id="62"/>
    </w:p>
    <w:p>
      <w:pPr>
        <w:pStyle w:val="4"/>
        <w:rPr>
          <w:rFonts w:ascii="仿宋" w:eastAsia="仿宋"/>
          <w:color w:val="000000"/>
        </w:rPr>
      </w:pPr>
      <w:bookmarkStart w:id="63"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出总表</w:t>
      </w:r>
      <w:bookmarkEnd w:id="63"/>
    </w:p>
    <w:p>
      <w:pPr>
        <w:pStyle w:val="4"/>
        <w:rPr>
          <w:rFonts w:ascii="仿宋" w:eastAsia="仿宋"/>
          <w:b w:val="0"/>
          <w:color w:val="000000"/>
        </w:rPr>
      </w:pPr>
      <w:bookmarkStart w:id="64"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73"/>
    </w:p>
    <w:bookmarkEnd w:id="57"/>
    <w:bookmarkEnd w:id="58"/>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15</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AE57A9"/>
    <w:rsid w:val="004A654C"/>
    <w:rsid w:val="00AE57A9"/>
    <w:rsid w:val="12AF7B41"/>
    <w:rsid w:val="294E6A7A"/>
    <w:rsid w:val="362474B0"/>
    <w:rsid w:val="46B552CC"/>
    <w:rsid w:val="63A55EFE"/>
    <w:rsid w:val="7D780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uiPriority w:val="0"/>
    <w:pPr>
      <w:keepNext/>
      <w:keepLines/>
      <w:spacing w:before="340" w:after="330" w:line="578" w:lineRule="auto"/>
      <w:outlineLvl w:val="0"/>
    </w:pPr>
    <w:rPr>
      <w:b/>
      <w:bCs/>
      <w:kern w:val="44"/>
      <w:sz w:val="44"/>
      <w:szCs w:val="44"/>
    </w:rPr>
  </w:style>
  <w:style w:type="paragraph" w:styleId="4">
    <w:name w:val="heading 2"/>
    <w:basedOn w:val="1"/>
    <w:next w:val="1"/>
    <w:link w:val="19"/>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1"/>
    <w:next w:val="1"/>
    <w:qFormat/>
    <w:uiPriority w:val="0"/>
    <w:pPr>
      <w:spacing w:beforeAutospacing="1"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spacing w:before="100" w:beforeAutospacing="1" w:after="100" w:afterAutospacing="1"/>
      <w:jc w:val="left"/>
    </w:pPr>
    <w:rPr>
      <w:kern w:val="0"/>
      <w:sz w:val="24"/>
    </w:rPr>
  </w:style>
  <w:style w:type="character" w:styleId="16">
    <w:name w:val="Strong"/>
    <w:basedOn w:val="15"/>
    <w:qFormat/>
    <w:uiPriority w:val="0"/>
    <w:rPr>
      <w:b/>
    </w:rPr>
  </w:style>
  <w:style w:type="character" w:styleId="17">
    <w:name w:val="Hyperlink"/>
    <w:basedOn w:val="15"/>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uiPriority w:val="0"/>
    <w:rPr>
      <w:rFonts w:ascii="Times New Roman" w:hAnsi="Times New Roman"/>
      <w:sz w:val="18"/>
      <w:szCs w:val="18"/>
    </w:rPr>
  </w:style>
  <w:style w:type="character" w:customStyle="1" w:styleId="22">
    <w:name w:val="Body Text Char"/>
    <w:basedOn w:val="15"/>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G:\&#29420;&#26494;&#20065;\2020\2020&#20915;&#31639;\&#20915;&#31639;&#30011;&#2227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G:\&#29420;&#26494;&#20065;\2020\2020&#20915;&#31639;\&#20915;&#31639;&#30011;&#2227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29420;&#26494;&#20065;\2020\2020&#20915;&#31639;\&#20915;&#31639;&#30011;&#2227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9420;&#26494;&#20065;\2020\2020&#20915;&#31639;\&#20915;&#31639;&#30011;&#2227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29420;&#26494;&#20065;\2020\2020&#20915;&#31639;\&#20915;&#31639;&#30011;&#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29420;&#26494;&#20065;\2020\2020&#20915;&#31639;\&#20915;&#31639;&#30011;&#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manualLayout>
          <c:xMode val="edge"/>
          <c:yMode val="edge"/>
          <c:x val="0.336666666666667"/>
          <c:y val="0.0590277777777778"/>
        </c:manualLayout>
      </c:layout>
      <c:overlay val="0"/>
      <c:spPr>
        <a:noFill/>
        <a:ln>
          <a:noFill/>
        </a:ln>
        <a:effectLst/>
      </c:spPr>
    </c:title>
    <c:autoTitleDeleted val="0"/>
    <c:plotArea>
      <c:layout/>
      <c:barChart>
        <c:barDir val="col"/>
        <c:grouping val="clustered"/>
        <c:varyColors val="0"/>
        <c:ser>
          <c:idx val="0"/>
          <c:order val="0"/>
          <c:tx>
            <c:strRef>
              <c:f>[决算画图.xls]Sheet1!$B$100</c:f>
              <c:strCache>
                <c:ptCount val="1"/>
                <c:pt idx="0">
                  <c:v>总收入</c:v>
                </c:pt>
              </c:strCache>
            </c:strRef>
          </c:tx>
          <c:spPr>
            <a:solidFill>
              <a:schemeClr val="accent1"/>
            </a:solidFill>
            <a:ln>
              <a:noFill/>
            </a:ln>
            <a:effectLst/>
          </c:spPr>
          <c:invertIfNegative val="0"/>
          <c:dLbls>
            <c:delete val="1"/>
          </c:dLbls>
          <c:cat>
            <c:strRef>
              <c:f>[决算画图.xls]Sheet1!$C$99:$D$99</c:f>
              <c:strCache>
                <c:ptCount val="2"/>
                <c:pt idx="0">
                  <c:v>2019年</c:v>
                </c:pt>
                <c:pt idx="1">
                  <c:v>2020年</c:v>
                </c:pt>
              </c:strCache>
            </c:strRef>
          </c:cat>
          <c:val>
            <c:numRef>
              <c:f>[决算画图.xls]Sheet1!$C$100:$D$100</c:f>
              <c:numCache>
                <c:formatCode>General</c:formatCode>
                <c:ptCount val="2"/>
                <c:pt idx="0">
                  <c:v>584.78</c:v>
                </c:pt>
                <c:pt idx="1">
                  <c:v>956.02</c:v>
                </c:pt>
              </c:numCache>
            </c:numRef>
          </c:val>
        </c:ser>
        <c:ser>
          <c:idx val="1"/>
          <c:order val="1"/>
          <c:tx>
            <c:strRef>
              <c:f>[决算画图.xls]Sheet1!$B$101</c:f>
              <c:strCache>
                <c:ptCount val="1"/>
                <c:pt idx="0">
                  <c:v>总支出</c:v>
                </c:pt>
              </c:strCache>
            </c:strRef>
          </c:tx>
          <c:spPr>
            <a:solidFill>
              <a:schemeClr val="accent2"/>
            </a:solidFill>
            <a:ln>
              <a:noFill/>
            </a:ln>
            <a:effectLst/>
          </c:spPr>
          <c:invertIfNegative val="0"/>
          <c:dLbls>
            <c:delete val="1"/>
          </c:dLbls>
          <c:cat>
            <c:strRef>
              <c:f>[决算画图.xls]Sheet1!$C$99:$D$99</c:f>
              <c:strCache>
                <c:ptCount val="2"/>
                <c:pt idx="0">
                  <c:v>2019年</c:v>
                </c:pt>
                <c:pt idx="1">
                  <c:v>2020年</c:v>
                </c:pt>
              </c:strCache>
            </c:strRef>
          </c:cat>
          <c:val>
            <c:numRef>
              <c:f>[决算画图.xls]Sheet1!$C$101:$D$101</c:f>
              <c:numCache>
                <c:formatCode>General</c:formatCode>
                <c:ptCount val="2"/>
                <c:pt idx="0">
                  <c:v>742.95</c:v>
                </c:pt>
                <c:pt idx="1">
                  <c:v>825.23</c:v>
                </c:pt>
              </c:numCache>
            </c:numRef>
          </c:val>
        </c:ser>
        <c:dLbls>
          <c:showLegendKey val="0"/>
          <c:showVal val="0"/>
          <c:showCatName val="0"/>
          <c:showSerName val="0"/>
          <c:showPercent val="0"/>
          <c:showBubbleSize val="0"/>
        </c:dLbls>
        <c:gapWidth val="219"/>
        <c:overlap val="-27"/>
        <c:axId val="120255616"/>
        <c:axId val="120257152"/>
      </c:barChart>
      <c:catAx>
        <c:axId val="1202556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0257152"/>
        <c:crosses val="autoZero"/>
        <c:auto val="1"/>
        <c:lblAlgn val="ctr"/>
        <c:lblOffset val="100"/>
        <c:noMultiLvlLbl val="0"/>
      </c:catAx>
      <c:valAx>
        <c:axId val="120257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02556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[决算画图.xls]Sheet1!$B$123:$B$125</c:f>
              <c:strCache>
                <c:ptCount val="3"/>
                <c:pt idx="0">
                  <c:v>一般公共预算财政拨款收入</c:v>
                </c:pt>
                <c:pt idx="1">
                  <c:v>政府性基金预算财政拨款收入</c:v>
                </c:pt>
                <c:pt idx="2">
                  <c:v>其他收入</c:v>
                </c:pt>
              </c:strCache>
            </c:strRef>
          </c:cat>
          <c:val>
            <c:numRef>
              <c:f>[决算画图.xls]Sheet1!$C$123:$C$125</c:f>
              <c:numCache>
                <c:formatCode>0.00_ </c:formatCode>
                <c:ptCount val="3"/>
                <c:pt idx="0">
                  <c:v>956.02</c:v>
                </c:pt>
                <c:pt idx="1" c:formatCode="General">
                  <c:v>0</c:v>
                </c:pt>
                <c:pt idx="2"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[决算画图.xls]Sheet1!$B$138:$B$139</c:f>
              <c:strCache>
                <c:ptCount val="2"/>
                <c:pt idx="0">
                  <c:v>基本支出</c:v>
                </c:pt>
                <c:pt idx="1">
                  <c:v>项目支出</c:v>
                </c:pt>
              </c:strCache>
            </c:strRef>
          </c:cat>
          <c:val>
            <c:numRef>
              <c:f>[决算画图.xls]Sheet1!$C$138:$C$139</c:f>
              <c:numCache>
                <c:formatCode>General</c:formatCode>
                <c:ptCount val="2"/>
                <c:pt idx="0">
                  <c:v>352.81</c:v>
                </c:pt>
                <c:pt idx="1">
                  <c:v>472.42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[决算画图.xls]Sheet1!$B$159</c:f>
              <c:strCache>
                <c:ptCount val="1"/>
                <c:pt idx="0">
                  <c:v>一般公共预算财政拨款支出决算变动情况</c:v>
                </c:pt>
              </c:strCache>
            </c:strRef>
          </c:tx>
          <c:spPr>
            <a:solidFill>
              <a:schemeClr val="accent1"/>
            </a:solidFill>
            <a:ln>
              <a:noFill/>
            </a:ln>
            <a:effectLst/>
          </c:spPr>
          <c:invertIfNegative val="0"/>
          <c:dLbls>
            <c:delete val="1"/>
          </c:dLbls>
          <c:cat>
            <c:strRef>
              <c:f>[决算画图.xls]Sheet1!$C$158:$D$158</c:f>
              <c:strCache>
                <c:ptCount val="2"/>
                <c:pt idx="0">
                  <c:v>2019年</c:v>
                </c:pt>
                <c:pt idx="1">
                  <c:v>2020年</c:v>
                </c:pt>
              </c:strCache>
            </c:strRef>
          </c:cat>
          <c:val>
            <c:numRef>
              <c:f>[决算画图.xls]Sheet1!$C$159:$D$159</c:f>
              <c:numCache>
                <c:formatCode>General</c:formatCode>
                <c:ptCount val="2"/>
                <c:pt idx="0">
                  <c:v>742.95</c:v>
                </c:pt>
                <c:pt idx="1">
                  <c:v>825.23</c:v>
                </c:pt>
              </c:numCache>
            </c:numRef>
          </c:val>
        </c:ser>
        <c:dLbls>
          <c:showLegendKey val="0"/>
          <c:showVal val="0"/>
          <c:showCatName val="0"/>
          <c:showSerName val="0"/>
          <c:showPercent val="0"/>
          <c:showBubbleSize val="0"/>
        </c:dLbls>
        <c:gapWidth val="219"/>
        <c:overlap val="-27"/>
        <c:axId val="52542080"/>
        <c:axId val="52547968"/>
      </c:barChart>
      <c:catAx>
        <c:axId val="525420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547968"/>
        <c:crosses val="autoZero"/>
        <c:auto val="1"/>
        <c:lblAlgn val="ctr"/>
        <c:lblOffset val="100"/>
        <c:noMultiLvlLbl val="0"/>
      </c:catAx>
      <c:valAx>
        <c:axId val="5254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542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[决算画图.xls]Sheet1!$B$176:$B$181</c:f>
              <c:strCache>
                <c:ptCount val="6"/>
                <c:pt idx="0">
                  <c:v>一般公共服务支出</c:v>
                </c:pt>
                <c:pt idx="1">
                  <c:v>社会保障和就业支出</c:v>
                </c:pt>
                <c:pt idx="2">
                  <c:v>卫生健康支出</c:v>
                </c:pt>
                <c:pt idx="3">
                  <c:v>农林水支出</c:v>
                </c:pt>
                <c:pt idx="4">
                  <c:v>住房保障支出</c:v>
                </c:pt>
                <c:pt idx="5">
                  <c:v>其他支出</c:v>
                </c:pt>
              </c:strCache>
            </c:strRef>
          </c:cat>
          <c:val>
            <c:numRef>
              <c:f>[决算画图.xls]Sheet1!$C$176:$C$181</c:f>
              <c:numCache>
                <c:formatCode>General</c:formatCode>
                <c:ptCount val="6"/>
                <c:pt idx="0">
                  <c:v>222.32</c:v>
                </c:pt>
                <c:pt idx="1">
                  <c:v>38.83</c:v>
                </c:pt>
                <c:pt idx="2">
                  <c:v>22.76</c:v>
                </c:pt>
                <c:pt idx="3">
                  <c:v>116.98</c:v>
                </c:pt>
                <c:pt idx="4">
                  <c:v>27.65</c:v>
                </c:pt>
                <c:pt idx="5">
                  <c:v>396.69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“三公”经费财政拨款支出结构</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manualLayout>
          <c:xMode val="edge"/>
          <c:yMode val="edge"/>
          <c:x val="0.242638888888889"/>
          <c:y val="0.0416666666666667"/>
        </c:manualLayout>
      </c:layout>
      <c:overlay val="0"/>
      <c:spPr>
        <a:noFill/>
        <a:ln>
          <a:noFill/>
        </a:ln>
        <a:effectLst/>
      </c:spPr>
    </c:title>
    <c:autoTitleDeleted val="0"/>
    <c:plotArea>
      <c:layout/>
      <c:pieChart>
        <c:varyColors val="1"/>
        <c:ser>
          <c:idx val="0"/>
          <c:order val="0"/>
          <c:spPr>
            <a:solidFill>
              <a:srgbClr val="7030A0"/>
            </a:solidFill>
          </c:spPr>
          <c:explosion val="0"/>
          <c:dPt>
            <c:idx val="0"/>
            <c:bubble3D val="0"/>
            <c:spPr>
              <a:solidFill>
                <a:srgbClr val="7030A0"/>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rgbClr val="7030A0"/>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[决算画图.xls]Sheet1!$B$75:$B$77</c:f>
              <c:strCache>
                <c:ptCount val="3"/>
                <c:pt idx="0">
                  <c:v>因公出国（境）费</c:v>
                </c:pt>
                <c:pt idx="1">
                  <c:v>公务用车购置及运行维护费</c:v>
                </c:pt>
                <c:pt idx="2">
                  <c:v>公务接待费</c:v>
                </c:pt>
              </c:strCache>
            </c:strRef>
          </c:cat>
          <c:val>
            <c:numRef>
              <c:f>[决算画图.xls]Sheet1!$C$75:$C$77</c:f>
              <c:numCache>
                <c:formatCode>General</c:formatCode>
                <c:ptCount val="3"/>
                <c:pt idx="0">
                  <c:v>0</c:v>
                </c:pt>
                <c:pt idx="1">
                  <c:v>5.7</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9235</Words>
  <Characters>2283</Characters>
  <Lines>19</Lines>
  <Paragraphs>22</Paragraphs>
  <TotalTime>12</TotalTime>
  <ScaleCrop>false</ScaleCrop>
  <LinksUpToDate>false</LinksUpToDate>
  <CharactersWithSpaces>11496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2020-09-29T10:36:00Z</cp:lastPrinted>
  <dcterms:modified xsi:type="dcterms:W3CDTF">2021-09-27T02:43:57Z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