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44F18">
      <w:pPr>
        <w:spacing w:line="600" w:lineRule="exact"/>
        <w:jc w:val="center"/>
        <w:outlineLvl w:val="0"/>
        <w:rPr>
          <w:rFonts w:ascii="方正小标宋简体" w:eastAsia="方正小标宋简体"/>
          <w:color w:val="000000"/>
          <w:sz w:val="72"/>
          <w:szCs w:val="72"/>
        </w:rPr>
      </w:pPr>
      <w:bookmarkStart w:id="0" w:name="_Toc15306267"/>
      <w:bookmarkStart w:id="1" w:name="第七部分部门决算分析报告撰写提纲"/>
    </w:p>
    <w:p w14:paraId="1653C94B">
      <w:pPr>
        <w:spacing w:line="600" w:lineRule="exact"/>
        <w:jc w:val="center"/>
        <w:outlineLvl w:val="0"/>
        <w:rPr>
          <w:rFonts w:ascii="方正小标宋简体" w:eastAsia="方正小标宋简体"/>
          <w:color w:val="000000"/>
          <w:sz w:val="72"/>
          <w:szCs w:val="72"/>
        </w:rPr>
      </w:pPr>
    </w:p>
    <w:p w14:paraId="05D0AC9F">
      <w:pPr>
        <w:spacing w:line="600" w:lineRule="exact"/>
        <w:jc w:val="center"/>
        <w:outlineLvl w:val="0"/>
        <w:rPr>
          <w:rFonts w:ascii="方正小标宋简体" w:eastAsia="方正小标宋简体"/>
          <w:color w:val="000000"/>
          <w:sz w:val="72"/>
          <w:szCs w:val="72"/>
        </w:rPr>
      </w:pPr>
    </w:p>
    <w:p w14:paraId="10EF1AE4">
      <w:pPr>
        <w:spacing w:line="600" w:lineRule="exact"/>
        <w:jc w:val="center"/>
        <w:outlineLvl w:val="0"/>
        <w:rPr>
          <w:rFonts w:ascii="方正小标宋简体" w:eastAsia="方正小标宋简体"/>
          <w:color w:val="000000"/>
          <w:sz w:val="72"/>
          <w:szCs w:val="72"/>
        </w:rPr>
      </w:pPr>
    </w:p>
    <w:p w14:paraId="14A3F37C">
      <w:pPr>
        <w:adjustRightInd w:val="0"/>
        <w:snapToGrid w:val="0"/>
        <w:spacing w:line="360" w:lineRule="auto"/>
        <w:jc w:val="center"/>
        <w:outlineLvl w:val="0"/>
        <w:rPr>
          <w:rFonts w:hint="eastAsia" w:ascii="Times New Roman" w:hAnsi="Times New Roman" w:eastAsia="方正小标宋简体" w:cs="Times New Roman"/>
          <w:color w:val="auto"/>
          <w:kern w:val="2"/>
          <w:sz w:val="44"/>
          <w:szCs w:val="44"/>
          <w:highlight w:val="none"/>
          <w:lang w:val="en-US" w:eastAsia="zh-CN" w:bidi="ar-SA"/>
        </w:rPr>
      </w:pPr>
      <w:bookmarkStart w:id="2" w:name="_Toc15396597"/>
      <w:bookmarkStart w:id="3" w:name="_Toc15377425"/>
      <w:bookmarkStart w:id="4" w:name="_Toc12796"/>
      <w:bookmarkStart w:id="5" w:name="_Toc15396475"/>
      <w:bookmarkStart w:id="6" w:name="_Toc15377193"/>
      <w:bookmarkStart w:id="7" w:name="_Toc15378441"/>
      <w:r>
        <w:rPr>
          <w:rFonts w:hint="eastAsia" w:ascii="Times New Roman" w:hAnsi="Times New Roman" w:eastAsia="方正小标宋简体" w:cs="Times New Roman"/>
          <w:color w:val="auto"/>
          <w:kern w:val="2"/>
          <w:sz w:val="44"/>
          <w:szCs w:val="44"/>
          <w:highlight w:val="none"/>
          <w:lang w:val="en-US" w:eastAsia="zh-CN" w:bidi="ar-SA"/>
        </w:rPr>
        <w:t>2024年度</w:t>
      </w:r>
      <w:bookmarkEnd w:id="2"/>
      <w:bookmarkEnd w:id="3"/>
      <w:bookmarkEnd w:id="4"/>
      <w:bookmarkEnd w:id="5"/>
      <w:bookmarkEnd w:id="6"/>
      <w:bookmarkEnd w:id="7"/>
    </w:p>
    <w:bookmarkEnd w:id="0"/>
    <w:p w14:paraId="0001548E">
      <w:pPr>
        <w:adjustRightInd w:val="0"/>
        <w:snapToGrid w:val="0"/>
        <w:spacing w:line="360" w:lineRule="auto"/>
        <w:jc w:val="center"/>
        <w:outlineLvl w:val="0"/>
        <w:rPr>
          <w:rFonts w:hint="eastAsia" w:ascii="Times New Roman" w:hAnsi="Times New Roman" w:eastAsia="方正小标宋简体" w:cs="Times New Roman"/>
          <w:color w:val="auto"/>
          <w:kern w:val="2"/>
          <w:sz w:val="44"/>
          <w:szCs w:val="44"/>
          <w:highlight w:val="none"/>
          <w:lang w:val="en-US" w:eastAsia="zh-CN" w:bidi="ar-SA"/>
        </w:rPr>
      </w:pPr>
      <w:bookmarkStart w:id="8" w:name="_Toc15396476"/>
      <w:bookmarkStart w:id="9" w:name="_Toc15306268"/>
      <w:bookmarkStart w:id="10" w:name="_Toc15378442"/>
      <w:bookmarkStart w:id="11" w:name="_Toc6811"/>
      <w:bookmarkStart w:id="12" w:name="_Toc15377426"/>
      <w:bookmarkStart w:id="13" w:name="_Toc15396598"/>
      <w:bookmarkStart w:id="14" w:name="_Toc15377194"/>
      <w:r>
        <w:rPr>
          <w:rFonts w:hint="eastAsia" w:ascii="Times New Roman" w:hAnsi="Times New Roman" w:eastAsia="方正小标宋简体" w:cs="Times New Roman"/>
          <w:color w:val="auto"/>
          <w:kern w:val="2"/>
          <w:sz w:val="44"/>
          <w:szCs w:val="44"/>
          <w:highlight w:val="none"/>
          <w:lang w:val="en-US" w:eastAsia="zh-CN" w:bidi="ar-SA"/>
        </w:rPr>
        <w:t>金川县</w:t>
      </w:r>
      <w:r>
        <w:rPr>
          <w:rFonts w:hint="eastAsia" w:eastAsia="方正小标宋简体" w:cs="Times New Roman"/>
          <w:color w:val="auto"/>
          <w:kern w:val="2"/>
          <w:sz w:val="44"/>
          <w:szCs w:val="44"/>
          <w:highlight w:val="none"/>
          <w:lang w:val="en-US" w:eastAsia="zh-CN" w:bidi="ar-SA"/>
        </w:rPr>
        <w:t>河西乡</w:t>
      </w:r>
      <w:r>
        <w:rPr>
          <w:rFonts w:hint="eastAsia" w:ascii="Times New Roman" w:hAnsi="Times New Roman" w:eastAsia="方正小标宋简体" w:cs="Times New Roman"/>
          <w:color w:val="auto"/>
          <w:kern w:val="2"/>
          <w:sz w:val="44"/>
          <w:szCs w:val="44"/>
          <w:highlight w:val="none"/>
          <w:lang w:val="en-US" w:eastAsia="zh-CN" w:bidi="ar-SA"/>
        </w:rPr>
        <w:t>人民政府</w:t>
      </w:r>
    </w:p>
    <w:p w14:paraId="68317352">
      <w:pPr>
        <w:adjustRightInd w:val="0"/>
        <w:snapToGrid w:val="0"/>
        <w:spacing w:line="360" w:lineRule="auto"/>
        <w:jc w:val="center"/>
        <w:outlineLvl w:val="0"/>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部门决算</w:t>
      </w:r>
      <w:bookmarkEnd w:id="8"/>
      <w:bookmarkEnd w:id="9"/>
      <w:bookmarkEnd w:id="10"/>
      <w:bookmarkEnd w:id="11"/>
      <w:bookmarkEnd w:id="12"/>
      <w:bookmarkEnd w:id="13"/>
      <w:bookmarkEnd w:id="14"/>
    </w:p>
    <w:p w14:paraId="0E510201">
      <w:pPr>
        <w:widowControl/>
        <w:jc w:val="center"/>
        <w:rPr>
          <w:rFonts w:ascii="方正小标宋简体" w:eastAsia="方正小标宋简体"/>
          <w:color w:val="000000"/>
          <w:sz w:val="36"/>
          <w:szCs w:val="36"/>
        </w:rPr>
      </w:pPr>
    </w:p>
    <w:p w14:paraId="46AE568A">
      <w:pPr>
        <w:widowControl/>
        <w:jc w:val="center"/>
        <w:rPr>
          <w:rFonts w:ascii="方正小标宋简体" w:eastAsia="方正小标宋简体"/>
          <w:color w:val="000000"/>
          <w:sz w:val="36"/>
          <w:szCs w:val="36"/>
        </w:rPr>
      </w:pPr>
    </w:p>
    <w:p w14:paraId="0B521CC4">
      <w:pPr>
        <w:widowControl/>
        <w:jc w:val="center"/>
        <w:rPr>
          <w:rFonts w:ascii="方正小标宋简体" w:eastAsia="方正小标宋简体"/>
          <w:color w:val="000000"/>
          <w:sz w:val="36"/>
          <w:szCs w:val="36"/>
        </w:rPr>
      </w:pPr>
    </w:p>
    <w:p w14:paraId="76FC3597">
      <w:pPr>
        <w:widowControl/>
        <w:jc w:val="center"/>
        <w:rPr>
          <w:rFonts w:ascii="方正小标宋简体" w:eastAsia="方正小标宋简体"/>
          <w:color w:val="000000"/>
          <w:sz w:val="36"/>
          <w:szCs w:val="36"/>
        </w:rPr>
      </w:pPr>
    </w:p>
    <w:p w14:paraId="0AA9EFC1">
      <w:pPr>
        <w:widowControl/>
        <w:jc w:val="center"/>
        <w:rPr>
          <w:rFonts w:ascii="方正小标宋简体" w:eastAsia="方正小标宋简体"/>
          <w:color w:val="000000"/>
          <w:sz w:val="36"/>
          <w:szCs w:val="36"/>
        </w:rPr>
      </w:pPr>
    </w:p>
    <w:p w14:paraId="13EC98A6">
      <w:pPr>
        <w:widowControl/>
        <w:jc w:val="center"/>
        <w:rPr>
          <w:rFonts w:ascii="方正小标宋简体" w:eastAsia="方正小标宋简体"/>
          <w:color w:val="000000"/>
          <w:sz w:val="36"/>
          <w:szCs w:val="36"/>
        </w:rPr>
      </w:pPr>
    </w:p>
    <w:p w14:paraId="6646D1B4">
      <w:pPr>
        <w:widowControl/>
        <w:jc w:val="center"/>
        <w:rPr>
          <w:rFonts w:ascii="方正小标宋简体" w:eastAsia="方正小标宋简体"/>
          <w:color w:val="000000"/>
          <w:sz w:val="36"/>
          <w:szCs w:val="36"/>
        </w:rPr>
      </w:pPr>
    </w:p>
    <w:p w14:paraId="2FF61BF8">
      <w:pPr>
        <w:widowControl/>
        <w:jc w:val="center"/>
        <w:rPr>
          <w:rFonts w:ascii="方正小标宋简体" w:eastAsia="方正小标宋简体"/>
          <w:color w:val="000000"/>
          <w:sz w:val="36"/>
          <w:szCs w:val="36"/>
        </w:rPr>
      </w:pPr>
    </w:p>
    <w:p w14:paraId="0B65133B">
      <w:pPr>
        <w:widowControl/>
        <w:jc w:val="center"/>
        <w:rPr>
          <w:rFonts w:ascii="方正小标宋简体" w:eastAsia="方正小标宋简体"/>
          <w:color w:val="000000"/>
          <w:sz w:val="36"/>
          <w:szCs w:val="36"/>
        </w:rPr>
      </w:pPr>
    </w:p>
    <w:p w14:paraId="3C96DC03">
      <w:pPr>
        <w:widowControl/>
        <w:jc w:val="center"/>
        <w:rPr>
          <w:rFonts w:ascii="方正小标宋简体" w:eastAsia="方正小标宋简体"/>
          <w:color w:val="000000"/>
          <w:sz w:val="36"/>
          <w:szCs w:val="36"/>
        </w:rPr>
      </w:pPr>
    </w:p>
    <w:p w14:paraId="789BF1E7">
      <w:pPr>
        <w:widowControl/>
        <w:jc w:val="center"/>
        <w:rPr>
          <w:rFonts w:ascii="方正小标宋简体" w:eastAsia="方正小标宋简体"/>
          <w:color w:val="000000"/>
          <w:sz w:val="36"/>
          <w:szCs w:val="36"/>
        </w:rPr>
      </w:pPr>
    </w:p>
    <w:p w14:paraId="1866606C">
      <w:pPr>
        <w:widowControl/>
        <w:jc w:val="center"/>
        <w:rPr>
          <w:rFonts w:ascii="方正小标宋简体" w:eastAsia="方正小标宋简体"/>
          <w:color w:val="000000"/>
          <w:sz w:val="36"/>
          <w:szCs w:val="36"/>
        </w:rPr>
      </w:pPr>
    </w:p>
    <w:p w14:paraId="2A6CF170">
      <w:pPr>
        <w:widowControl/>
        <w:jc w:val="center"/>
        <w:rPr>
          <w:rFonts w:ascii="方正小标宋简体" w:eastAsia="方正小标宋简体"/>
          <w:color w:val="000000"/>
          <w:sz w:val="36"/>
          <w:szCs w:val="36"/>
        </w:rPr>
      </w:pPr>
    </w:p>
    <w:p w14:paraId="4633FB28">
      <w:pPr>
        <w:pStyle w:val="6"/>
        <w:jc w:val="center"/>
        <w:rPr>
          <w:rFonts w:ascii="Times New Roman" w:hAnsi="Times New Roman" w:eastAsia="黑体"/>
          <w:color w:val="auto"/>
          <w:sz w:val="48"/>
          <w:szCs w:val="48"/>
          <w:highlight w:val="none"/>
        </w:rPr>
      </w:pPr>
      <w:r>
        <w:rPr>
          <w:rFonts w:ascii="方正小标宋简体" w:eastAsia="方正小标宋简体"/>
          <w:color w:val="000000"/>
          <w:sz w:val="36"/>
          <w:szCs w:val="36"/>
        </w:rPr>
        <w:br w:type="page"/>
      </w:r>
      <w:bookmarkStart w:id="15" w:name="_Toc15377196"/>
      <w:r>
        <w:rPr>
          <w:rFonts w:hint="eastAsia" w:ascii="Times New Roman" w:hAnsi="Times New Roman" w:eastAsia="黑体"/>
          <w:color w:val="auto"/>
          <w:sz w:val="48"/>
          <w:szCs w:val="48"/>
          <w:highlight w:val="none"/>
        </w:rPr>
        <w:t>目录</w:t>
      </w:r>
    </w:p>
    <w:p w14:paraId="391F2427">
      <w:pPr>
        <w:widowControl/>
        <w:jc w:val="center"/>
        <w:rPr>
          <w:rFonts w:ascii="Times New Roman" w:hAnsi="Times New Roman" w:eastAsia="黑体" w:cs="Arial"/>
          <w:color w:val="auto"/>
          <w:sz w:val="28"/>
          <w:szCs w:val="28"/>
          <w:highlight w:val="none"/>
        </w:rPr>
      </w:pPr>
    </w:p>
    <w:p w14:paraId="524527AB">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8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25 </w:t>
      </w:r>
      <w:r>
        <w:rPr>
          <w:rFonts w:hint="eastAsia" w:ascii="Times New Roman" w:hAnsi="Times New Roman" w:eastAsia="仿宋_GB2312" w:cs="仿宋_GB2312"/>
          <w:color w:val="auto"/>
          <w:sz w:val="32"/>
          <w:szCs w:val="32"/>
          <w:highlight w:val="none"/>
        </w:rPr>
        <w:t>日</w:t>
      </w:r>
    </w:p>
    <w:p w14:paraId="081458D6">
      <w:pPr>
        <w:rPr>
          <w:rFonts w:ascii="Times New Roman" w:hAnsi="Times New Roman"/>
          <w:color w:val="auto"/>
          <w:highlight w:val="none"/>
        </w:rPr>
      </w:pPr>
    </w:p>
    <w:p w14:paraId="6016CA3B">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第一部分 部门概况</w:t>
      </w:r>
      <w:r>
        <w:rPr>
          <w:rFonts w:hint="eastAsia" w:ascii="Times New Roman" w:hAnsi="Times New Roman" w:eastAsia="黑体" w:cs="黑体"/>
          <w:color w:val="auto"/>
          <w:sz w:val="32"/>
          <w:szCs w:val="32"/>
          <w:highlight w:val="none"/>
          <w:lang w:val="en-US" w:eastAsia="zh-CN"/>
        </w:rPr>
        <w:t>.............................................................3</w:t>
      </w:r>
    </w:p>
    <w:p w14:paraId="7607640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一、</w:t>
      </w:r>
      <w:r>
        <w:rPr>
          <w:rFonts w:hint="eastAsia" w:ascii="Times New Roman" w:hAnsi="Times New Roman" w:eastAsia="仿宋_GB2312" w:cs="仿宋_GB2312"/>
          <w:color w:val="auto"/>
          <w:sz w:val="24"/>
          <w:szCs w:val="24"/>
          <w:highlight w:val="none"/>
          <w:lang w:eastAsia="zh-CN"/>
        </w:rPr>
        <w:t>部门职责</w:t>
      </w:r>
      <w:r>
        <w:rPr>
          <w:rFonts w:hint="eastAsia" w:ascii="Times New Roman" w:hAnsi="Times New Roman" w:eastAsia="黑体" w:cs="黑体"/>
          <w:color w:val="auto"/>
          <w:kern w:val="2"/>
          <w:sz w:val="32"/>
          <w:szCs w:val="32"/>
          <w:highlight w:val="none"/>
          <w:lang w:val="en-US" w:eastAsia="zh-CN" w:bidi="ar-SA"/>
        </w:rPr>
        <w:t>.......................................................................3</w:t>
      </w:r>
    </w:p>
    <w:p w14:paraId="32A1880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二、机构设置</w:t>
      </w:r>
      <w:r>
        <w:rPr>
          <w:rFonts w:hint="eastAsia" w:ascii="Times New Roman" w:hAnsi="Times New Roman" w:eastAsia="黑体" w:cs="黑体"/>
          <w:color w:val="auto"/>
          <w:kern w:val="2"/>
          <w:sz w:val="32"/>
          <w:szCs w:val="32"/>
          <w:highlight w:val="none"/>
          <w:lang w:val="en-US" w:eastAsia="zh-CN" w:bidi="ar-SA"/>
        </w:rPr>
        <w:t>.......................................................................4</w:t>
      </w:r>
    </w:p>
    <w:p w14:paraId="4DE9A261">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rFonts w:hint="eastAsia" w:ascii="Times New Roman" w:hAnsi="Times New Roman" w:eastAsia="黑体" w:cs="黑体"/>
          <w:color w:val="auto"/>
          <w:kern w:val="2"/>
          <w:sz w:val="32"/>
          <w:szCs w:val="32"/>
          <w:highlight w:val="none"/>
          <w:lang w:val="en-US" w:eastAsia="zh-CN" w:bidi="ar-SA"/>
        </w:rPr>
        <w:t>............................5</w:t>
      </w:r>
    </w:p>
    <w:p w14:paraId="63ACF80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仿宋_GB2312" w:cs="仿宋_GB2312"/>
          <w:color w:val="auto"/>
          <w:sz w:val="28"/>
          <w:szCs w:val="28"/>
          <w:highlight w:val="none"/>
          <w:lang w:val="en-US" w:eastAsia="zh-CN"/>
        </w:rPr>
      </w:pPr>
      <w:r>
        <w:rPr>
          <w:rFonts w:hint="eastAsia" w:ascii="Times New Roman" w:hAnsi="Times New Roman" w:eastAsia="仿宋_GB2312" w:cs="仿宋_GB2312"/>
          <w:color w:val="auto"/>
          <w:sz w:val="24"/>
          <w:szCs w:val="24"/>
          <w:highlight w:val="none"/>
        </w:rPr>
        <w:t>一、收入支出决算总体情况说明</w:t>
      </w:r>
      <w:r>
        <w:rPr>
          <w:rFonts w:hint="eastAsia" w:ascii="Times New Roman" w:hAnsi="Times New Roman" w:eastAsia="黑体" w:cs="黑体"/>
          <w:color w:val="auto"/>
          <w:kern w:val="2"/>
          <w:sz w:val="32"/>
          <w:szCs w:val="32"/>
          <w:highlight w:val="none"/>
          <w:lang w:val="en-US" w:eastAsia="zh-CN" w:bidi="ar-SA"/>
        </w:rPr>
        <w:t>...............</w:t>
      </w:r>
      <w:r>
        <w:rPr>
          <w:rFonts w:hint="eastAsia" w:eastAsia="黑体" w:cs="黑体"/>
          <w:color w:val="auto"/>
          <w:kern w:val="2"/>
          <w:sz w:val="32"/>
          <w:szCs w:val="32"/>
          <w:highlight w:val="none"/>
          <w:lang w:val="en-US" w:eastAsia="zh-CN" w:bidi="ar-SA"/>
        </w:rPr>
        <w:t>........</w:t>
      </w:r>
      <w:r>
        <w:rPr>
          <w:rFonts w:hint="eastAsia" w:ascii="Times New Roman" w:hAnsi="Times New Roman" w:eastAsia="黑体" w:cs="黑体"/>
          <w:color w:val="auto"/>
          <w:kern w:val="2"/>
          <w:sz w:val="32"/>
          <w:szCs w:val="32"/>
          <w:highlight w:val="none"/>
          <w:lang w:val="en-US" w:eastAsia="zh-CN" w:bidi="ar-SA"/>
        </w:rPr>
        <w:t>........................5</w:t>
      </w:r>
    </w:p>
    <w:p w14:paraId="0D5FBB9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二、收入决算情况说明</w:t>
      </w:r>
      <w:r>
        <w:rPr>
          <w:rFonts w:hint="eastAsia" w:ascii="Times New Roman" w:hAnsi="Times New Roman" w:eastAsia="黑体" w:cs="黑体"/>
          <w:color w:val="auto"/>
          <w:kern w:val="2"/>
          <w:sz w:val="32"/>
          <w:szCs w:val="32"/>
          <w:highlight w:val="none"/>
          <w:lang w:val="en-US" w:eastAsia="zh-CN" w:bidi="ar-SA"/>
        </w:rPr>
        <w:t>..........................................</w:t>
      </w:r>
      <w:r>
        <w:rPr>
          <w:rFonts w:hint="eastAsia" w:eastAsia="黑体" w:cs="黑体"/>
          <w:color w:val="auto"/>
          <w:kern w:val="2"/>
          <w:sz w:val="32"/>
          <w:szCs w:val="32"/>
          <w:highlight w:val="none"/>
          <w:lang w:val="en-US" w:eastAsia="zh-CN" w:bidi="ar-SA"/>
        </w:rPr>
        <w:t>....</w:t>
      </w:r>
      <w:r>
        <w:rPr>
          <w:rFonts w:hint="eastAsia" w:ascii="Times New Roman" w:hAnsi="Times New Roman" w:eastAsia="黑体" w:cs="黑体"/>
          <w:color w:val="auto"/>
          <w:kern w:val="2"/>
          <w:sz w:val="32"/>
          <w:szCs w:val="32"/>
          <w:highlight w:val="none"/>
          <w:lang w:val="en-US" w:eastAsia="zh-CN" w:bidi="ar-SA"/>
        </w:rPr>
        <w:t>.............5</w:t>
      </w:r>
    </w:p>
    <w:p w14:paraId="6B66209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三、支出决算情况说明</w:t>
      </w:r>
      <w:r>
        <w:rPr>
          <w:rFonts w:hint="eastAsia" w:ascii="Times New Roman" w:hAnsi="Times New Roman" w:eastAsia="黑体" w:cs="黑体"/>
          <w:color w:val="auto"/>
          <w:kern w:val="2"/>
          <w:sz w:val="32"/>
          <w:szCs w:val="32"/>
          <w:highlight w:val="none"/>
          <w:lang w:val="en-US" w:eastAsia="zh-CN" w:bidi="ar-SA"/>
        </w:rPr>
        <w:t>.......................................................</w:t>
      </w:r>
      <w:r>
        <w:rPr>
          <w:rFonts w:hint="eastAsia" w:eastAsia="黑体" w:cs="黑体"/>
          <w:color w:val="auto"/>
          <w:kern w:val="2"/>
          <w:sz w:val="32"/>
          <w:szCs w:val="32"/>
          <w:highlight w:val="none"/>
          <w:lang w:val="en-US" w:eastAsia="zh-CN" w:bidi="ar-SA"/>
        </w:rPr>
        <w:t>....</w:t>
      </w:r>
      <w:r>
        <w:rPr>
          <w:rFonts w:hint="eastAsia" w:ascii="Times New Roman" w:hAnsi="Times New Roman" w:eastAsia="黑体" w:cs="黑体"/>
          <w:color w:val="auto"/>
          <w:kern w:val="2"/>
          <w:sz w:val="32"/>
          <w:szCs w:val="32"/>
          <w:highlight w:val="none"/>
          <w:lang w:val="en-US" w:eastAsia="zh-CN" w:bidi="ar-SA"/>
        </w:rPr>
        <w:t>5</w:t>
      </w:r>
    </w:p>
    <w:p w14:paraId="5ADD1A4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四、财政拨款收入支出决算总体情况说明</w:t>
      </w:r>
      <w:r>
        <w:rPr>
          <w:rFonts w:hint="eastAsia" w:ascii="Times New Roman" w:hAnsi="Times New Roman" w:eastAsia="黑体" w:cs="黑体"/>
          <w:color w:val="auto"/>
          <w:kern w:val="2"/>
          <w:sz w:val="32"/>
          <w:szCs w:val="32"/>
          <w:highlight w:val="none"/>
          <w:lang w:val="en-US" w:eastAsia="zh-CN" w:bidi="ar-SA"/>
        </w:rPr>
        <w:t>....................</w:t>
      </w:r>
      <w:r>
        <w:rPr>
          <w:rFonts w:hint="eastAsia" w:eastAsia="黑体" w:cs="黑体"/>
          <w:color w:val="auto"/>
          <w:kern w:val="2"/>
          <w:sz w:val="32"/>
          <w:szCs w:val="32"/>
          <w:highlight w:val="none"/>
          <w:lang w:val="en-US" w:eastAsia="zh-CN" w:bidi="ar-SA"/>
        </w:rPr>
        <w:t>............</w:t>
      </w:r>
      <w:r>
        <w:rPr>
          <w:rFonts w:hint="eastAsia" w:ascii="Times New Roman" w:hAnsi="Times New Roman" w:eastAsia="黑体" w:cs="黑体"/>
          <w:color w:val="auto"/>
          <w:kern w:val="2"/>
          <w:sz w:val="32"/>
          <w:szCs w:val="32"/>
          <w:highlight w:val="none"/>
          <w:lang w:val="en-US" w:eastAsia="zh-CN" w:bidi="ar-SA"/>
        </w:rPr>
        <w:t>...6</w:t>
      </w:r>
    </w:p>
    <w:p w14:paraId="0488A01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五、一般公共预算财政拨款支出决算情况说明</w:t>
      </w:r>
      <w:r>
        <w:rPr>
          <w:rFonts w:hint="eastAsia" w:ascii="Times New Roman" w:hAnsi="Times New Roman" w:eastAsia="黑体" w:cs="黑体"/>
          <w:color w:val="auto"/>
          <w:kern w:val="2"/>
          <w:sz w:val="32"/>
          <w:szCs w:val="32"/>
          <w:highlight w:val="none"/>
          <w:lang w:val="en-US" w:eastAsia="zh-CN" w:bidi="ar-SA"/>
        </w:rPr>
        <w:t>....</w:t>
      </w:r>
      <w:r>
        <w:rPr>
          <w:rFonts w:hint="eastAsia" w:eastAsia="黑体" w:cs="黑体"/>
          <w:color w:val="auto"/>
          <w:kern w:val="2"/>
          <w:sz w:val="32"/>
          <w:szCs w:val="32"/>
          <w:highlight w:val="none"/>
          <w:lang w:val="en-US" w:eastAsia="zh-CN" w:bidi="ar-SA"/>
        </w:rPr>
        <w:t>..............</w:t>
      </w:r>
      <w:r>
        <w:rPr>
          <w:rFonts w:hint="eastAsia" w:ascii="Times New Roman" w:hAnsi="Times New Roman" w:eastAsia="黑体" w:cs="黑体"/>
          <w:color w:val="auto"/>
          <w:kern w:val="2"/>
          <w:sz w:val="32"/>
          <w:szCs w:val="32"/>
          <w:highlight w:val="none"/>
          <w:lang w:val="en-US" w:eastAsia="zh-CN" w:bidi="ar-SA"/>
        </w:rPr>
        <w:t>...........6</w:t>
      </w:r>
    </w:p>
    <w:p w14:paraId="5EA191E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六、一般公共预算财政拨款基本支出决算情况说明</w:t>
      </w:r>
      <w:r>
        <w:rPr>
          <w:rFonts w:hint="eastAsia" w:eastAsia="黑体" w:cs="黑体"/>
          <w:color w:val="auto"/>
          <w:kern w:val="2"/>
          <w:sz w:val="32"/>
          <w:szCs w:val="32"/>
          <w:highlight w:val="none"/>
          <w:lang w:val="en-US" w:eastAsia="zh-CN" w:bidi="ar-SA"/>
        </w:rPr>
        <w:t>.......................9</w:t>
      </w:r>
    </w:p>
    <w:p w14:paraId="07A6952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七、财政拨款</w:t>
      </w:r>
      <w:r>
        <w:rPr>
          <w:rFonts w:hint="eastAsia" w:ascii="Times New Roman" w:hAnsi="Times New Roman" w:eastAsia="仿宋_GB2312" w:cs="仿宋_GB2312"/>
          <w:color w:val="auto"/>
          <w:sz w:val="24"/>
          <w:szCs w:val="24"/>
          <w:highlight w:val="none"/>
          <w:lang w:eastAsia="zh-CN"/>
        </w:rPr>
        <w:t>“</w:t>
      </w:r>
      <w:r>
        <w:rPr>
          <w:rFonts w:hint="eastAsia" w:ascii="Times New Roman" w:hAnsi="Times New Roman" w:eastAsia="仿宋_GB2312" w:cs="仿宋_GB2312"/>
          <w:color w:val="auto"/>
          <w:sz w:val="24"/>
          <w:szCs w:val="24"/>
          <w:highlight w:val="none"/>
        </w:rPr>
        <w:t>三公”经费支出决算情况说明</w:t>
      </w:r>
      <w:r>
        <w:rPr>
          <w:rFonts w:hint="eastAsia" w:eastAsia="黑体" w:cs="黑体"/>
          <w:color w:val="auto"/>
          <w:kern w:val="2"/>
          <w:sz w:val="32"/>
          <w:szCs w:val="32"/>
          <w:highlight w:val="none"/>
          <w:lang w:val="en-US" w:eastAsia="zh-CN" w:bidi="ar-SA"/>
        </w:rPr>
        <w:t>............................10</w:t>
      </w:r>
    </w:p>
    <w:p w14:paraId="134C8A6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eastAsia="黑体" w:cs="黑体"/>
          <w:color w:val="auto"/>
          <w:kern w:val="2"/>
          <w:sz w:val="32"/>
          <w:szCs w:val="32"/>
          <w:highlight w:val="none"/>
          <w:lang w:val="en-US" w:eastAsia="zh-CN" w:bidi="ar-SA"/>
        </w:rPr>
      </w:pPr>
      <w:r>
        <w:rPr>
          <w:rFonts w:hint="eastAsia" w:ascii="Times New Roman" w:hAnsi="Times New Roman" w:eastAsia="仿宋_GB2312" w:cs="仿宋_GB2312"/>
          <w:color w:val="auto"/>
          <w:sz w:val="24"/>
          <w:szCs w:val="24"/>
          <w:highlight w:val="none"/>
        </w:rPr>
        <w:t>八、政府性基金预算支出决算情况说明</w:t>
      </w:r>
      <w:r>
        <w:rPr>
          <w:rFonts w:hint="eastAsia" w:eastAsia="黑体" w:cs="黑体"/>
          <w:color w:val="auto"/>
          <w:kern w:val="2"/>
          <w:sz w:val="32"/>
          <w:szCs w:val="32"/>
          <w:highlight w:val="none"/>
          <w:lang w:val="en-US" w:eastAsia="zh-CN" w:bidi="ar-SA"/>
        </w:rPr>
        <w:t>.....................................11</w:t>
      </w:r>
    </w:p>
    <w:p w14:paraId="03647BC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仿宋_GB2312" w:cs="仿宋_GB2312"/>
          <w:color w:val="auto"/>
          <w:sz w:val="28"/>
          <w:szCs w:val="28"/>
          <w:highlight w:val="none"/>
          <w:lang w:val="en-US" w:eastAsia="zh-CN"/>
        </w:rPr>
      </w:pPr>
      <w:r>
        <w:rPr>
          <w:rFonts w:hint="eastAsia" w:ascii="Times New Roman" w:hAnsi="Times New Roman" w:eastAsia="仿宋_GB2312" w:cs="仿宋_GB2312"/>
          <w:color w:val="auto"/>
          <w:sz w:val="24"/>
          <w:szCs w:val="24"/>
          <w:highlight w:val="none"/>
        </w:rPr>
        <w:t>九、</w:t>
      </w:r>
      <w:r>
        <w:rPr>
          <w:rFonts w:hint="eastAsia" w:ascii="Times New Roman" w:hAnsi="Times New Roman" w:eastAsia="仿宋_GB2312" w:cs="仿宋_GB2312"/>
          <w:color w:val="auto"/>
          <w:sz w:val="24"/>
          <w:szCs w:val="24"/>
          <w:highlight w:val="none"/>
          <w:lang w:eastAsia="zh-CN"/>
        </w:rPr>
        <w:t>国</w:t>
      </w:r>
      <w:r>
        <w:rPr>
          <w:rFonts w:hint="eastAsia" w:ascii="Times New Roman" w:hAnsi="Times New Roman" w:eastAsia="仿宋_GB2312" w:cs="仿宋_GB2312"/>
          <w:color w:val="auto"/>
          <w:sz w:val="24"/>
          <w:szCs w:val="24"/>
          <w:highlight w:val="none"/>
        </w:rPr>
        <w:t>有资本经营预算支出决算情况说明</w:t>
      </w:r>
      <w:r>
        <w:rPr>
          <w:rFonts w:hint="eastAsia" w:eastAsia="黑体" w:cs="黑体"/>
          <w:color w:val="auto"/>
          <w:kern w:val="2"/>
          <w:sz w:val="32"/>
          <w:szCs w:val="32"/>
          <w:highlight w:val="none"/>
          <w:lang w:val="en-US" w:eastAsia="zh-CN" w:bidi="ar-SA"/>
        </w:rPr>
        <w:t>..................................11</w:t>
      </w:r>
    </w:p>
    <w:p w14:paraId="0D20C0B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24"/>
          <w:szCs w:val="24"/>
          <w:highlight w:val="none"/>
          <w:lang w:eastAsia="zh-CN"/>
        </w:rPr>
        <w:t>十</w:t>
      </w:r>
      <w:r>
        <w:rPr>
          <w:rFonts w:hint="eastAsia" w:ascii="Times New Roman" w:hAnsi="Times New Roman" w:eastAsia="仿宋_GB2312" w:cs="仿宋_GB2312"/>
          <w:color w:val="auto"/>
          <w:sz w:val="24"/>
          <w:szCs w:val="24"/>
          <w:highlight w:val="none"/>
        </w:rPr>
        <w:t>、</w:t>
      </w:r>
      <w:r>
        <w:rPr>
          <w:rFonts w:hint="eastAsia" w:eastAsia="仿宋_GB2312" w:cs="仿宋_GB2312"/>
          <w:color w:val="auto"/>
          <w:sz w:val="24"/>
          <w:szCs w:val="24"/>
          <w:highlight w:val="none"/>
          <w:lang w:val="en-US" w:eastAsia="zh-CN"/>
        </w:rPr>
        <w:t>预算绩效</w:t>
      </w:r>
      <w:r>
        <w:rPr>
          <w:rFonts w:hint="eastAsia" w:ascii="Times New Roman" w:hAnsi="Times New Roman" w:eastAsia="仿宋_GB2312" w:cs="仿宋_GB2312"/>
          <w:color w:val="auto"/>
          <w:sz w:val="24"/>
          <w:szCs w:val="24"/>
          <w:highlight w:val="none"/>
        </w:rPr>
        <w:t>情况说明</w:t>
      </w:r>
      <w:r>
        <w:rPr>
          <w:rFonts w:hint="eastAsia" w:eastAsia="黑体" w:cs="黑体"/>
          <w:color w:val="auto"/>
          <w:kern w:val="2"/>
          <w:sz w:val="32"/>
          <w:szCs w:val="32"/>
          <w:highlight w:val="none"/>
          <w:lang w:val="en-US" w:eastAsia="zh-CN" w:bidi="ar-SA"/>
        </w:rPr>
        <w:t>..........................................................11</w:t>
      </w:r>
    </w:p>
    <w:p w14:paraId="47BC3ABA">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............................................................1</w:t>
      </w:r>
      <w:r>
        <w:rPr>
          <w:rFonts w:hint="eastAsia" w:ascii="Times New Roman" w:eastAsia="黑体" w:cs="黑体"/>
          <w:color w:val="auto"/>
          <w:sz w:val="32"/>
          <w:szCs w:val="32"/>
          <w:highlight w:val="none"/>
          <w:lang w:val="en-US" w:eastAsia="zh-CN"/>
        </w:rPr>
        <w:t>2</w:t>
      </w:r>
    </w:p>
    <w:p w14:paraId="3CD34CAA">
      <w:pPr>
        <w:pStyle w:val="12"/>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color w:val="000000"/>
          <w:sz w:val="24"/>
          <w:lang w:val="en-US"/>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w:t>
      </w:r>
      <w:r>
        <w:rPr>
          <w:rFonts w:hint="eastAsia" w:ascii="Times New Roman" w:eastAsia="黑体" w:cs="黑体"/>
          <w:color w:val="auto"/>
          <w:sz w:val="32"/>
          <w:szCs w:val="32"/>
          <w:highlight w:val="none"/>
          <w:lang w:val="en-US" w:eastAsia="zh-CN"/>
        </w:rPr>
        <w:t>25</w:t>
      </w:r>
    </w:p>
    <w:p w14:paraId="42A298C1">
      <w:pPr>
        <w:rPr>
          <w:rFonts w:hint="default" w:eastAsia="黑体" w:cs="黑体"/>
          <w:sz w:val="32"/>
          <w:szCs w:val="32"/>
          <w:lang w:val="en-US"/>
        </w:rPr>
      </w:pPr>
      <w:r>
        <w:rPr>
          <w:rFonts w:hint="eastAsia" w:eastAsia="黑体" w:cs="黑体"/>
          <w:sz w:val="32"/>
          <w:szCs w:val="32"/>
        </w:rPr>
        <w:t>第五部分  附表</w:t>
      </w:r>
      <w:r>
        <w:rPr>
          <w:rFonts w:hint="eastAsia" w:ascii="Times New Roman" w:hAnsi="Times New Roman" w:eastAsia="黑体" w:cs="黑体"/>
          <w:color w:val="auto"/>
          <w:sz w:val="32"/>
          <w:szCs w:val="32"/>
          <w:highlight w:val="none"/>
          <w:lang w:val="en-US" w:eastAsia="zh-CN"/>
        </w:rPr>
        <w:t>...........................................................</w:t>
      </w:r>
      <w:r>
        <w:rPr>
          <w:rFonts w:hint="eastAsia" w:eastAsia="黑体" w:cs="黑体"/>
          <w:color w:val="auto"/>
          <w:sz w:val="32"/>
          <w:szCs w:val="32"/>
          <w:highlight w:val="none"/>
          <w:lang w:val="en-US" w:eastAsia="zh-CN"/>
        </w:rPr>
        <w:t>.</w:t>
      </w:r>
      <w:r>
        <w:rPr>
          <w:rFonts w:hint="eastAsia" w:ascii="Times New Roman" w:hAnsi="Times New Roman" w:eastAsia="黑体" w:cs="黑体"/>
          <w:color w:val="auto"/>
          <w:sz w:val="32"/>
          <w:szCs w:val="32"/>
          <w:highlight w:val="none"/>
          <w:lang w:val="en-US" w:eastAsia="zh-CN"/>
        </w:rPr>
        <w:t>......</w:t>
      </w:r>
      <w:r>
        <w:rPr>
          <w:rFonts w:hint="eastAsia" w:eastAsia="黑体" w:cs="黑体"/>
          <w:color w:val="auto"/>
          <w:sz w:val="32"/>
          <w:szCs w:val="32"/>
          <w:highlight w:val="none"/>
          <w:lang w:val="en-US" w:eastAsia="zh-CN"/>
        </w:rPr>
        <w:t>37</w:t>
      </w:r>
    </w:p>
    <w:p w14:paraId="0504CD6E">
      <w:pPr>
        <w:pStyle w:val="13"/>
        <w:rPr>
          <w:color w:val="000000"/>
          <w:sz w:val="24"/>
        </w:rPr>
      </w:pPr>
    </w:p>
    <w:p w14:paraId="06E39D5F">
      <w:pPr>
        <w:pStyle w:val="9"/>
        <w:rPr>
          <w:color w:val="000000"/>
          <w:sz w:val="24"/>
        </w:rPr>
      </w:pPr>
    </w:p>
    <w:p w14:paraId="70C1B8E3">
      <w:pPr>
        <w:pStyle w:val="9"/>
        <w:rPr>
          <w:color w:val="000000"/>
          <w:sz w:val="24"/>
        </w:rPr>
      </w:pPr>
    </w:p>
    <w:p w14:paraId="3F39E884">
      <w:pPr>
        <w:pStyle w:val="9"/>
        <w:rPr>
          <w:color w:val="000000"/>
          <w:sz w:val="24"/>
        </w:rPr>
      </w:pPr>
    </w:p>
    <w:p w14:paraId="1F4DA5D6">
      <w:pPr>
        <w:pStyle w:val="9"/>
        <w:ind w:left="0" w:leftChars="0" w:firstLine="0" w:firstLineChars="0"/>
        <w:rPr>
          <w:color w:val="000000"/>
          <w:sz w:val="24"/>
        </w:rPr>
      </w:pPr>
    </w:p>
    <w:p w14:paraId="6BA41370">
      <w:pPr>
        <w:pStyle w:val="3"/>
        <w:jc w:val="center"/>
        <w:rPr>
          <w:rFonts w:ascii="黑体" w:eastAsia="黑体"/>
          <w:color w:val="000000"/>
          <w:sz w:val="32"/>
          <w:szCs w:val="32"/>
        </w:rPr>
      </w:pPr>
      <w:bookmarkStart w:id="16" w:name="_Toc27352"/>
      <w:r>
        <w:rPr>
          <w:rFonts w:hint="eastAsia" w:ascii="黑体" w:eastAsia="黑体"/>
          <w:b w:val="0"/>
        </w:rPr>
        <w:t xml:space="preserve">第一部分 </w:t>
      </w:r>
      <w:r>
        <w:rPr>
          <w:rStyle w:val="21"/>
          <w:rFonts w:hint="eastAsia" w:ascii="黑体" w:eastAsia="黑体"/>
          <w:b w:val="0"/>
          <w:bCs w:val="0"/>
        </w:rPr>
        <w:t>部门概况</w:t>
      </w:r>
      <w:bookmarkEnd w:id="15"/>
      <w:bookmarkEnd w:id="16"/>
    </w:p>
    <w:p w14:paraId="2B892DEB">
      <w:pPr>
        <w:pStyle w:val="4"/>
        <w:spacing w:before="0" w:after="0" w:line="240" w:lineRule="auto"/>
        <w:ind w:left="640" w:hanging="640" w:hangingChars="200"/>
        <w:rPr>
          <w:rStyle w:val="22"/>
          <w:rFonts w:ascii="黑体" w:eastAsia="黑体"/>
          <w:b w:val="0"/>
          <w:bCs w:val="0"/>
        </w:rPr>
      </w:pPr>
      <w:bookmarkStart w:id="17" w:name="_Toc20678"/>
      <w:bookmarkStart w:id="18" w:name="_Toc15377197"/>
      <w:r>
        <w:rPr>
          <w:rFonts w:hint="eastAsia" w:ascii="黑体" w:eastAsia="黑体"/>
          <w:b w:val="0"/>
          <w:color w:val="000000"/>
        </w:rPr>
        <w:t>一、</w:t>
      </w:r>
      <w:bookmarkEnd w:id="17"/>
      <w:bookmarkEnd w:id="18"/>
      <w:bookmarkStart w:id="19" w:name="_Toc15378445"/>
      <w:bookmarkStart w:id="20" w:name="_Toc15377198"/>
      <w:r>
        <w:rPr>
          <w:rFonts w:hint="eastAsia" w:ascii="黑体" w:eastAsia="黑体"/>
          <w:b w:val="0"/>
          <w:color w:val="000000"/>
          <w:lang w:eastAsia="zh-CN"/>
        </w:rPr>
        <w:t>部门职责</w:t>
      </w:r>
    </w:p>
    <w:bookmarkEnd w:id="19"/>
    <w:bookmarkEnd w:id="20"/>
    <w:p w14:paraId="06FAEC74">
      <w:pPr>
        <w:keepNext w:val="0"/>
        <w:keepLines w:val="0"/>
        <w:pageBreakBefore w:val="0"/>
        <w:widowControl w:val="0"/>
        <w:pBdr>
          <w:bottom w:val="single" w:color="FFFFFF" w:sz="4" w:space="29"/>
        </w:pBdr>
        <w:tabs>
          <w:tab w:val="left" w:pos="1440"/>
        </w:tabs>
        <w:kinsoku/>
        <w:wordWrap/>
        <w:overflowPunct w:val="0"/>
        <w:topLinePunct w:val="0"/>
        <w:autoSpaceDE/>
        <w:autoSpaceDN/>
        <w:bidi w:val="0"/>
        <w:adjustRightInd w:val="0"/>
        <w:snapToGrid w:val="0"/>
        <w:spacing w:line="576" w:lineRule="exact"/>
        <w:ind w:left="0" w:right="0" w:firstLine="640" w:firstLineChars="200"/>
        <w:jc w:val="both"/>
        <w:textAlignment w:val="auto"/>
        <w:outlineLvl w:val="9"/>
        <w:rPr>
          <w:rFonts w:ascii="Times New Roman" w:hAnsi="Times New Roman" w:eastAsia="仿宋_GB2312" w:cs="Times New Roman"/>
          <w:sz w:val="32"/>
          <w:szCs w:val="32"/>
          <w:lang w:val="en-US" w:eastAsia="zh-CN"/>
        </w:rPr>
      </w:pPr>
      <w:bookmarkStart w:id="21" w:name="_Toc21487"/>
      <w:bookmarkStart w:id="22" w:name="_Toc15377200"/>
      <w:bookmarkStart w:id="23" w:name="_Toc15978"/>
      <w:r>
        <w:rPr>
          <w:rFonts w:ascii="Times New Roman" w:hAnsi="Times New Roman" w:eastAsia="仿宋_GB2312" w:cs="Times New Roman"/>
          <w:sz w:val="32"/>
          <w:szCs w:val="32"/>
          <w:lang w:val="en-US" w:eastAsia="zh-CN"/>
        </w:rPr>
        <w:t>2024年是新中国成立75周年，是全面贯彻落实党的二十大精神的关键之年，是实施“十四五”规划的攻坚之年，也是全乡加压奋进、追赶跨越的重要之年。今年以来，在</w:t>
      </w:r>
      <w:r>
        <w:rPr>
          <w:rFonts w:hint="eastAsia" w:ascii="Times New Roman" w:hAnsi="Times New Roman" w:eastAsia="仿宋_GB2312" w:cs="Times New Roman"/>
          <w:sz w:val="32"/>
          <w:szCs w:val="32"/>
          <w:lang w:val="en-US" w:eastAsia="zh-CN"/>
        </w:rPr>
        <w:t>乡</w:t>
      </w:r>
      <w:r>
        <w:rPr>
          <w:rFonts w:ascii="Times New Roman" w:hAnsi="Times New Roman" w:eastAsia="仿宋_GB2312" w:cs="Times New Roman"/>
          <w:sz w:val="32"/>
          <w:szCs w:val="32"/>
          <w:lang w:val="en-US" w:eastAsia="zh-CN"/>
        </w:rPr>
        <w:t>党委的坚强领导下，在</w:t>
      </w:r>
      <w:r>
        <w:rPr>
          <w:rFonts w:hint="eastAsia" w:ascii="Times New Roman" w:hAnsi="Times New Roman" w:eastAsia="仿宋_GB2312" w:cs="Times New Roman"/>
          <w:sz w:val="32"/>
          <w:szCs w:val="32"/>
          <w:lang w:val="en-US" w:eastAsia="zh-CN"/>
        </w:rPr>
        <w:t>乡</w:t>
      </w:r>
      <w:r>
        <w:rPr>
          <w:rFonts w:ascii="Times New Roman" w:hAnsi="Times New Roman" w:eastAsia="仿宋_GB2312" w:cs="Times New Roman"/>
          <w:sz w:val="32"/>
          <w:szCs w:val="32"/>
          <w:lang w:val="en-US" w:eastAsia="zh-CN"/>
        </w:rPr>
        <w:t>人大主席团的监督支持下，</w:t>
      </w:r>
      <w:r>
        <w:rPr>
          <w:rFonts w:hint="eastAsia" w:ascii="Times New Roman" w:hAnsi="Times New Roman" w:eastAsia="仿宋_GB2312" w:cs="Times New Roman"/>
          <w:sz w:val="32"/>
          <w:szCs w:val="32"/>
          <w:lang w:val="en-US" w:eastAsia="zh-CN"/>
        </w:rPr>
        <w:t>乡</w:t>
      </w:r>
      <w:r>
        <w:rPr>
          <w:rFonts w:ascii="Times New Roman" w:hAnsi="Times New Roman" w:eastAsia="仿宋_GB2312" w:cs="Times New Roman"/>
          <w:sz w:val="32"/>
          <w:szCs w:val="32"/>
          <w:lang w:val="en-US" w:eastAsia="zh-CN"/>
        </w:rPr>
        <w:t>人民政府</w:t>
      </w:r>
      <w:r>
        <w:rPr>
          <w:rFonts w:hint="eastAsia" w:ascii="Times New Roman" w:hAnsi="Times New Roman" w:eastAsia="仿宋_GB2312" w:cs="Times New Roman"/>
          <w:sz w:val="32"/>
          <w:szCs w:val="32"/>
          <w:lang w:val="en-US" w:eastAsia="zh-CN"/>
        </w:rPr>
        <w:t>深入学习贯彻党的二十届三中全会</w:t>
      </w:r>
      <w:r>
        <w:rPr>
          <w:rFonts w:hint="eastAsia" w:ascii="Times New Roman" w:hAnsi="Times New Roman" w:eastAsia="方正仿宋_GBK" w:cs="Times New Roman"/>
          <w:b/>
          <w:bCs/>
          <w:color w:val="auto"/>
          <w:sz w:val="32"/>
          <w:szCs w:val="32"/>
          <w:lang w:val="en-US" w:eastAsia="zh-CN"/>
        </w:rPr>
        <w:t>，</w:t>
      </w:r>
      <w:r>
        <w:rPr>
          <w:rFonts w:hint="eastAsia" w:ascii="Times New Roman" w:hAnsi="Times New Roman" w:eastAsia="仿宋_GB2312" w:cs="Times New Roman"/>
          <w:sz w:val="32"/>
          <w:szCs w:val="32"/>
          <w:lang w:val="en-US" w:eastAsia="zh-CN"/>
        </w:rPr>
        <w:t>省委十二届五次、六次全会，州委十二届五次、六次精神和县委十三届五次全会精神</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紧紧围绕州委“1610”系统部署和县委</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1266</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发展路径</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认真履职尽责、主动担当作为</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加快推动庆宁</w:t>
      </w:r>
      <w:r>
        <w:rPr>
          <w:rFonts w:ascii="Times New Roman" w:hAnsi="Times New Roman" w:eastAsia="仿宋_GB2312" w:cs="Times New Roman"/>
          <w:sz w:val="32"/>
          <w:szCs w:val="32"/>
          <w:lang w:val="en-US" w:eastAsia="zh-CN"/>
        </w:rPr>
        <w:t>高质量发展</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en-US" w:eastAsia="zh-CN"/>
        </w:rPr>
        <w:t>各项事业取得新的可喜成绩。</w:t>
      </w:r>
    </w:p>
    <w:p w14:paraId="7BF239E4">
      <w:pPr>
        <w:keepNext w:val="0"/>
        <w:keepLines w:val="0"/>
        <w:pageBreakBefore w:val="0"/>
        <w:widowControl w:val="0"/>
        <w:pBdr>
          <w:bottom w:val="single" w:color="FFFFFF" w:sz="4" w:space="29"/>
        </w:pBdr>
        <w:tabs>
          <w:tab w:val="left" w:pos="1440"/>
        </w:tabs>
        <w:kinsoku/>
        <w:wordWrap/>
        <w:overflowPunct w:val="0"/>
        <w:topLinePunct w:val="0"/>
        <w:autoSpaceDE/>
        <w:autoSpaceDN/>
        <w:bidi w:val="0"/>
        <w:adjustRightInd w:val="0"/>
        <w:snapToGrid w:val="0"/>
        <w:spacing w:line="576" w:lineRule="exact"/>
        <w:ind w:left="0" w:right="0" w:firstLine="640" w:firstLineChars="200"/>
        <w:jc w:val="both"/>
        <w:textAlignment w:val="auto"/>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进一步强化社会管理职能，加强辖区内的社会治安综合管理。建立村、企业及单位治安综合治理网络，实行群防群治。加强法制宣传教育，积极做好平安</w:t>
      </w:r>
      <w:r>
        <w:rPr>
          <w:rFonts w:hint="eastAsia" w:eastAsia="仿宋_GB2312" w:cs="Times New Roman"/>
          <w:sz w:val="32"/>
          <w:szCs w:val="32"/>
          <w:lang w:eastAsia="zh-CN"/>
        </w:rPr>
        <w:t>乡</w:t>
      </w:r>
      <w:r>
        <w:rPr>
          <w:rFonts w:hint="eastAsia" w:eastAsia="仿宋_GB2312" w:cs="Times New Roman"/>
          <w:sz w:val="32"/>
          <w:szCs w:val="32"/>
          <w:lang w:val="en-US" w:eastAsia="zh-CN"/>
        </w:rPr>
        <w:t>镇</w:t>
      </w:r>
      <w:r>
        <w:rPr>
          <w:rFonts w:ascii="Times New Roman" w:hAnsi="Times New Roman" w:eastAsia="仿宋_GB2312" w:cs="Times New Roman"/>
          <w:sz w:val="32"/>
          <w:szCs w:val="32"/>
        </w:rPr>
        <w:t>、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14:paraId="4B013C53">
      <w:pPr>
        <w:snapToGrid w:val="0"/>
        <w:spacing w:line="560" w:lineRule="exact"/>
        <w:ind w:firstLine="640" w:firstLineChars="200"/>
        <w:rPr>
          <w:rFonts w:ascii="Times New Roman" w:hAnsi="Times New Roman" w:cs="Times New Roman"/>
          <w:bCs/>
          <w:color w:val="000000"/>
          <w:sz w:val="32"/>
          <w:szCs w:val="32"/>
          <w:highlight w:val="yellow"/>
        </w:rPr>
      </w:pPr>
      <w:r>
        <w:rPr>
          <w:rFonts w:ascii="Times New Roman" w:hAnsi="Times New Roman" w:eastAsia="仿宋_GB2312" w:cs="Times New Roman"/>
          <w:sz w:val="32"/>
          <w:szCs w:val="32"/>
        </w:rPr>
        <w:t>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bookmarkEnd w:id="21"/>
    <w:p w14:paraId="4080116A">
      <w:pPr>
        <w:snapToGrid w:val="0"/>
        <w:spacing w:line="560" w:lineRule="exact"/>
        <w:ind w:firstLine="640" w:firstLineChars="200"/>
        <w:rPr>
          <w:rFonts w:ascii="Times New Roman" w:hAnsi="Times New Roman" w:eastAsia="仿宋_GB2312" w:cs="Times New Roman"/>
          <w:sz w:val="32"/>
          <w:szCs w:val="32"/>
        </w:rPr>
      </w:pPr>
    </w:p>
    <w:p w14:paraId="2AC05574">
      <w:pPr>
        <w:spacing w:line="578" w:lineRule="exact"/>
        <w:rPr>
          <w:rStyle w:val="22"/>
          <w:b w:val="0"/>
          <w:bCs w:val="0"/>
        </w:rPr>
      </w:pPr>
      <w:r>
        <w:rPr>
          <w:rStyle w:val="22"/>
          <w:rFonts w:hint="eastAsia" w:ascii="黑体" w:eastAsia="黑体"/>
          <w:b w:val="0"/>
          <w:bCs w:val="0"/>
        </w:rPr>
        <w:t>二、机构设置</w:t>
      </w:r>
      <w:bookmarkEnd w:id="22"/>
    </w:p>
    <w:bookmarkEnd w:id="23"/>
    <w:p w14:paraId="654074C3">
      <w:pPr>
        <w:ind w:firstLine="800" w:firstLineChars="250"/>
        <w:rPr>
          <w:rFonts w:hint="eastAsia" w:ascii="Times New Roman" w:hAnsi="Times New Roman" w:eastAsia="仿宋_GB2312" w:cs="仿宋_GB2312"/>
          <w:color w:val="auto"/>
          <w:sz w:val="32"/>
          <w:szCs w:val="32"/>
          <w:highlight w:val="none"/>
        </w:rPr>
      </w:pPr>
      <w:bookmarkStart w:id="24" w:name="_Toc15377204"/>
      <w:r>
        <w:rPr>
          <w:rFonts w:hint="eastAsia" w:ascii="仿宋_GB2312" w:eastAsia="仿宋_GB2312" w:cs="仿宋_GB2312"/>
          <w:color w:val="auto"/>
          <w:sz w:val="32"/>
          <w:szCs w:val="32"/>
          <w:highlight w:val="none"/>
        </w:rPr>
        <w:t>金川县</w:t>
      </w:r>
      <w:r>
        <w:rPr>
          <w:rFonts w:hint="eastAsia" w:ascii="仿宋_GB2312" w:eastAsia="仿宋_GB2312" w:cs="仿宋_GB2312"/>
          <w:color w:val="auto"/>
          <w:sz w:val="32"/>
          <w:szCs w:val="32"/>
          <w:highlight w:val="none"/>
          <w:lang w:eastAsia="zh-CN"/>
        </w:rPr>
        <w:t>河西乡</w:t>
      </w:r>
      <w:r>
        <w:rPr>
          <w:rFonts w:hint="eastAsia" w:ascii="仿宋_GB2312" w:eastAsia="仿宋_GB2312" w:cs="仿宋_GB2312"/>
          <w:color w:val="auto"/>
          <w:sz w:val="32"/>
          <w:szCs w:val="32"/>
          <w:highlight w:val="none"/>
        </w:rPr>
        <w:t>人民政府</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14:paraId="2D26D9F8">
      <w:pPr>
        <w:ind w:firstLine="800" w:firstLineChars="250"/>
        <w:rPr>
          <w:rFonts w:hint="eastAsia" w:ascii="Times New Roman" w:hAnsi="Times New Roman" w:eastAsia="仿宋_GB2312" w:cs="仿宋_GB2312"/>
          <w:color w:val="auto"/>
          <w:sz w:val="32"/>
          <w:szCs w:val="32"/>
          <w:highlight w:val="none"/>
        </w:rPr>
      </w:pPr>
      <w:r>
        <w:rPr>
          <w:rFonts w:hint="eastAsia" w:ascii="仿宋_GB2312" w:eastAsia="仿宋_GB2312" w:cs="仿宋_GB2312"/>
          <w:color w:val="auto"/>
          <w:sz w:val="32"/>
          <w:szCs w:val="32"/>
          <w:highlight w:val="none"/>
        </w:rPr>
        <w:t>纳入</w:t>
      </w:r>
      <w:r>
        <w:rPr>
          <w:rFonts w:hint="eastAsia" w:ascii="仿宋_GB2312" w:eastAsia="仿宋_GB2312" w:cs="仿宋_GB2312"/>
          <w:sz w:val="32"/>
          <w:szCs w:val="32"/>
        </w:rPr>
        <w:t>金川县</w:t>
      </w:r>
      <w:r>
        <w:rPr>
          <w:rFonts w:hint="eastAsia" w:ascii="仿宋_GB2312" w:eastAsia="仿宋_GB2312" w:cs="仿宋_GB2312"/>
          <w:sz w:val="32"/>
          <w:szCs w:val="32"/>
          <w:lang w:eastAsia="zh-CN"/>
        </w:rPr>
        <w:t>河西乡</w:t>
      </w:r>
      <w:r>
        <w:rPr>
          <w:rFonts w:hint="eastAsia" w:ascii="仿宋_GB2312" w:eastAsia="仿宋_GB2312" w:cs="仿宋_GB2312"/>
          <w:sz w:val="32"/>
          <w:szCs w:val="32"/>
        </w:rPr>
        <w:t>人民政府</w:t>
      </w:r>
      <w:r>
        <w:rPr>
          <w:rFonts w:hint="eastAsia" w:ascii="仿宋_GB2312" w:eastAsia="仿宋_GB2312" w:cs="仿宋_GB2312"/>
          <w:color w:val="auto"/>
          <w:sz w:val="32"/>
          <w:szCs w:val="32"/>
          <w:highlight w:val="none"/>
          <w:lang w:eastAsia="zh-CN"/>
        </w:rPr>
        <w:t>2024年度</w:t>
      </w:r>
      <w:r>
        <w:rPr>
          <w:rFonts w:hint="eastAsia" w:ascii="仿宋_GB2312" w:eastAsia="仿宋_GB2312" w:cs="仿宋_GB2312"/>
          <w:color w:val="auto"/>
          <w:sz w:val="32"/>
          <w:szCs w:val="32"/>
          <w:highlight w:val="none"/>
        </w:rPr>
        <w:t>部门决算编制范</w:t>
      </w:r>
      <w:r>
        <w:rPr>
          <w:rFonts w:hint="eastAsia" w:ascii="Times New Roman" w:hAnsi="Times New Roman" w:eastAsia="仿宋_GB2312" w:cs="仿宋_GB2312"/>
          <w:color w:val="auto"/>
          <w:sz w:val="32"/>
          <w:szCs w:val="32"/>
          <w:highlight w:val="none"/>
        </w:rPr>
        <w:t>围的二级预算单位包括：</w:t>
      </w:r>
    </w:p>
    <w:p w14:paraId="403A76AB">
      <w:pPr>
        <w:ind w:firstLine="800" w:firstLineChars="250"/>
        <w:rPr>
          <w:rFonts w:hint="eastAsia" w:ascii="仿宋_GB2312" w:eastAsia="仿宋_GB2312" w:cs="仿宋_GB2312"/>
          <w:sz w:val="32"/>
          <w:szCs w:val="32"/>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lang w:eastAsia="zh-CN"/>
        </w:rPr>
        <w:t>河西乡</w:t>
      </w:r>
      <w:r>
        <w:rPr>
          <w:rFonts w:hint="eastAsia" w:ascii="仿宋_GB2312" w:eastAsia="仿宋_GB2312" w:cs="仿宋_GB2312"/>
          <w:sz w:val="32"/>
          <w:szCs w:val="32"/>
        </w:rPr>
        <w:t>人民政府办公室</w:t>
      </w:r>
    </w:p>
    <w:p w14:paraId="6E48FD1C">
      <w:pPr>
        <w:ind w:firstLine="800" w:firstLineChars="250"/>
        <w:rPr>
          <w:rFonts w:hint="eastAsia" w:ascii="仿宋_GB2312" w:eastAsia="仿宋_GB2312" w:cs="仿宋_GB2312"/>
          <w:sz w:val="32"/>
          <w:szCs w:val="32"/>
          <w:lang w:eastAsia="zh-CN"/>
        </w:rPr>
      </w:pPr>
      <w:bookmarkStart w:id="25" w:name="_Toc32723"/>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河西乡党委办公室</w:t>
      </w:r>
    </w:p>
    <w:p w14:paraId="23804D97">
      <w:pPr>
        <w:ind w:firstLine="800" w:firstLineChars="25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3.河西乡人大办公室</w:t>
      </w:r>
    </w:p>
    <w:p w14:paraId="214B50F9">
      <w:pPr>
        <w:ind w:firstLine="800" w:firstLineChars="250"/>
        <w:rPr>
          <w:rFonts w:hint="eastAsia" w:ascii="黑体" w:eastAsia="黑体"/>
          <w:b w:val="0"/>
          <w:color w:val="000000"/>
        </w:rPr>
      </w:pPr>
      <w:r>
        <w:rPr>
          <w:rFonts w:hint="eastAsia" w:ascii="仿宋_GB2312" w:eastAsia="仿宋_GB2312" w:cs="仿宋_GB2312"/>
          <w:sz w:val="32"/>
          <w:szCs w:val="32"/>
          <w:lang w:val="en-US" w:eastAsia="zh-CN"/>
        </w:rPr>
        <w:t>4.河西乡综合服务中心</w:t>
      </w:r>
      <w:r>
        <w:rPr>
          <w:rFonts w:hint="eastAsia" w:ascii="黑体" w:eastAsia="黑体"/>
          <w:b w:val="0"/>
          <w:color w:val="000000"/>
        </w:rPr>
        <w:br w:type="page"/>
      </w:r>
    </w:p>
    <w:p w14:paraId="68B7943E">
      <w:pPr>
        <w:pStyle w:val="3"/>
        <w:ind w:right="440"/>
        <w:jc w:val="right"/>
      </w:pPr>
      <w:r>
        <w:rPr>
          <w:rFonts w:hint="eastAsia" w:ascii="黑体" w:eastAsia="黑体"/>
          <w:b w:val="0"/>
          <w:color w:val="000000"/>
        </w:rPr>
        <w:t>第二部分</w:t>
      </w:r>
      <w:r>
        <w:rPr>
          <w:rFonts w:hint="eastAsia" w:ascii="黑体" w:eastAsia="黑体"/>
          <w:color w:val="000000"/>
        </w:rPr>
        <w:t xml:space="preserve"> </w:t>
      </w:r>
      <w:r>
        <w:rPr>
          <w:rStyle w:val="21"/>
          <w:rFonts w:hint="eastAsia" w:ascii="黑体" w:eastAsia="黑体"/>
          <w:b w:val="0"/>
          <w:bCs w:val="0"/>
          <w:lang w:eastAsia="zh-CN"/>
        </w:rPr>
        <w:t>2024</w:t>
      </w:r>
      <w:r>
        <w:rPr>
          <w:rStyle w:val="21"/>
          <w:rFonts w:hint="eastAsia" w:ascii="黑体" w:eastAsia="黑体"/>
          <w:b w:val="0"/>
          <w:bCs w:val="0"/>
        </w:rPr>
        <w:t>年度部门决算情况说明</w:t>
      </w:r>
      <w:bookmarkEnd w:id="24"/>
      <w:bookmarkEnd w:id="25"/>
    </w:p>
    <w:p w14:paraId="3F7305DB">
      <w:pPr>
        <w:pStyle w:val="24"/>
        <w:numPr>
          <w:ilvl w:val="0"/>
          <w:numId w:val="1"/>
        </w:numPr>
        <w:ind w:left="0" w:firstLine="0" w:firstLineChars="0"/>
        <w:outlineLvl w:val="1"/>
        <w:rPr>
          <w:rStyle w:val="22"/>
          <w:rFonts w:ascii="黑体" w:eastAsia="黑体"/>
          <w:b w:val="0"/>
        </w:rPr>
      </w:pPr>
      <w:bookmarkStart w:id="26" w:name="_Toc14461"/>
      <w:bookmarkStart w:id="27" w:name="_Toc15377205"/>
      <w:r>
        <w:rPr>
          <w:rFonts w:hint="eastAsia" w:ascii="黑体" w:eastAsia="黑体"/>
          <w:color w:val="000000"/>
          <w:sz w:val="32"/>
          <w:szCs w:val="32"/>
        </w:rPr>
        <w:t>收</w:t>
      </w:r>
      <w:r>
        <w:rPr>
          <w:rStyle w:val="22"/>
          <w:rFonts w:hint="eastAsia" w:ascii="黑体" w:eastAsia="黑体"/>
          <w:b w:val="0"/>
        </w:rPr>
        <w:t>入支出决算总体情况说明</w:t>
      </w:r>
      <w:bookmarkEnd w:id="26"/>
      <w:bookmarkEnd w:id="27"/>
    </w:p>
    <w:p w14:paraId="5DCF1433">
      <w:pPr>
        <w:snapToGrid w:val="0"/>
        <w:spacing w:line="520" w:lineRule="exact"/>
        <w:ind w:firstLine="632" w:firstLineChars="200"/>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eastAsia="zh-CN"/>
        </w:rPr>
        <w:t>2024</w:t>
      </w:r>
      <w:r>
        <w:rPr>
          <w:rFonts w:hint="eastAsia" w:ascii="仿宋_GB2312" w:eastAsia="仿宋_GB2312"/>
          <w:color w:val="000000"/>
          <w:spacing w:val="-2"/>
          <w:sz w:val="32"/>
          <w:szCs w:val="32"/>
        </w:rPr>
        <w:t>年度总收入</w:t>
      </w:r>
      <w:r>
        <w:rPr>
          <w:rFonts w:hint="eastAsia" w:ascii="仿宋_GB2312" w:eastAsia="仿宋_GB2312"/>
          <w:color w:val="000000"/>
          <w:spacing w:val="-2"/>
          <w:sz w:val="32"/>
          <w:szCs w:val="32"/>
          <w:lang w:val="en-US" w:eastAsia="zh-CN"/>
        </w:rPr>
        <w:t>1154.84</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val="en-US" w:eastAsia="zh-CN"/>
        </w:rPr>
        <w:t>。</w:t>
      </w:r>
    </w:p>
    <w:p w14:paraId="50A7862A">
      <w:pPr>
        <w:spacing w:line="600" w:lineRule="exact"/>
        <w:rPr>
          <w:rStyle w:val="22"/>
          <w:rFonts w:ascii="黑体" w:eastAsia="黑体"/>
          <w:b w:val="0"/>
        </w:rPr>
      </w:pPr>
      <w:bookmarkStart w:id="28" w:name="_Toc15377206"/>
      <w:r>
        <w:rPr>
          <w:rFonts w:hint="eastAsia" w:ascii="黑体" w:eastAsia="黑体"/>
          <w:color w:val="000000"/>
          <w:sz w:val="32"/>
          <w:szCs w:val="32"/>
        </w:rPr>
        <w:t>二、收入决</w:t>
      </w:r>
      <w:r>
        <w:rPr>
          <w:rStyle w:val="22"/>
          <w:rFonts w:hint="eastAsia" w:ascii="黑体" w:eastAsia="黑体"/>
          <w:b w:val="0"/>
        </w:rPr>
        <w:t>算情况说明</w:t>
      </w:r>
      <w:bookmarkEnd w:id="28"/>
    </w:p>
    <w:p w14:paraId="3D78EB9E">
      <w:pPr>
        <w:snapToGrid w:val="0"/>
        <w:spacing w:line="520" w:lineRule="exact"/>
        <w:ind w:firstLine="632" w:firstLineChars="200"/>
        <w:rPr>
          <w:rFonts w:hint="eastAsia" w:ascii="仿宋_GB2312" w:eastAsia="仿宋_GB2312"/>
          <w:color w:val="000000"/>
          <w:spacing w:val="-2"/>
          <w:sz w:val="32"/>
          <w:szCs w:val="32"/>
        </w:rPr>
      </w:pPr>
      <w:bookmarkStart w:id="29" w:name="_Toc22912"/>
      <w:r>
        <w:rPr>
          <w:rFonts w:hint="eastAsia" w:ascii="仿宋_GB2312" w:eastAsia="仿宋_GB2312"/>
          <w:color w:val="000000"/>
          <w:spacing w:val="-2"/>
          <w:sz w:val="32"/>
          <w:szCs w:val="32"/>
          <w:lang w:eastAsia="zh-CN"/>
        </w:rPr>
        <w:t>2024</w:t>
      </w:r>
      <w:r>
        <w:rPr>
          <w:rFonts w:hint="eastAsia" w:ascii="仿宋_GB2312" w:eastAsia="仿宋_GB2312"/>
          <w:color w:val="000000"/>
          <w:spacing w:val="-2"/>
          <w:sz w:val="32"/>
          <w:szCs w:val="32"/>
        </w:rPr>
        <w:t>年总收入</w:t>
      </w:r>
      <w:r>
        <w:rPr>
          <w:rFonts w:hint="eastAsia" w:ascii="仿宋_GB2312" w:eastAsia="仿宋_GB2312"/>
          <w:color w:val="000000"/>
          <w:spacing w:val="-2"/>
          <w:sz w:val="32"/>
          <w:szCs w:val="32"/>
          <w:lang w:val="en-US" w:eastAsia="zh-CN"/>
        </w:rPr>
        <w:t>1154.84</w:t>
      </w:r>
      <w:r>
        <w:rPr>
          <w:rFonts w:hint="eastAsia" w:ascii="仿宋_GB2312" w:eastAsia="仿宋_GB2312"/>
          <w:color w:val="000000"/>
          <w:spacing w:val="-2"/>
          <w:sz w:val="32"/>
          <w:szCs w:val="32"/>
        </w:rPr>
        <w:t>万元，其中：一般公共预算财政拨款收入</w:t>
      </w:r>
      <w:r>
        <w:rPr>
          <w:rFonts w:hint="eastAsia" w:ascii="仿宋_GB2312" w:eastAsia="仿宋_GB2312"/>
          <w:color w:val="000000"/>
          <w:spacing w:val="-2"/>
          <w:sz w:val="32"/>
          <w:szCs w:val="32"/>
          <w:lang w:val="en-US" w:eastAsia="zh-CN"/>
        </w:rPr>
        <w:t>1154.84</w:t>
      </w:r>
      <w:r>
        <w:rPr>
          <w:rFonts w:hint="eastAsia" w:ascii="仿宋_GB2312" w:eastAsia="仿宋_GB2312"/>
          <w:color w:val="000000"/>
          <w:spacing w:val="-2"/>
          <w:sz w:val="32"/>
          <w:szCs w:val="32"/>
        </w:rPr>
        <w:t>万元，占100%；政府性基金预算财政拨款收入0万元，占0%；国有资本经营预算财政拨款收入0万元，占0%；事业收入0万元，占0%；经营收入0万元，占0%；附属单位上缴收入0万元，占0%；其他收入0万元，占0%。</w:t>
      </w:r>
      <w:bookmarkEnd w:id="29"/>
    </w:p>
    <w:p w14:paraId="00237711">
      <w:pPr>
        <w:spacing w:line="600" w:lineRule="exact"/>
        <w:outlineLvl w:val="1"/>
        <w:rPr>
          <w:rStyle w:val="22"/>
          <w:rFonts w:ascii="黑体" w:eastAsia="黑体"/>
          <w:b w:val="0"/>
        </w:rPr>
      </w:pPr>
      <w:bookmarkStart w:id="30" w:name="_Toc4194"/>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243840</wp:posOffset>
            </wp:positionH>
            <wp:positionV relativeFrom="paragraph">
              <wp:posOffset>134620</wp:posOffset>
            </wp:positionV>
            <wp:extent cx="5373370" cy="2648585"/>
            <wp:effectExtent l="0" t="0" r="0" b="0"/>
            <wp:wrapTopAndBottom/>
            <wp:docPr id="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bookmarkStart w:id="31" w:name="_Toc15377207"/>
      <w:r>
        <w:rPr>
          <w:rFonts w:hint="eastAsia" w:ascii="黑体" w:eastAsia="黑体"/>
          <w:color w:val="000000"/>
          <w:sz w:val="32"/>
          <w:szCs w:val="32"/>
        </w:rPr>
        <w:t>三、支出决</w:t>
      </w:r>
      <w:r>
        <w:rPr>
          <w:rStyle w:val="22"/>
          <w:rFonts w:hint="eastAsia" w:ascii="黑体" w:eastAsia="黑体"/>
          <w:b w:val="0"/>
        </w:rPr>
        <w:t>算情况说明</w:t>
      </w:r>
      <w:bookmarkEnd w:id="30"/>
      <w:bookmarkEnd w:id="31"/>
    </w:p>
    <w:p w14:paraId="6A12E324">
      <w:pPr>
        <w:snapToGrid w:val="0"/>
        <w:spacing w:line="520" w:lineRule="exact"/>
        <w:ind w:firstLine="632" w:firstLineChars="200"/>
        <w:rPr>
          <w:lang w:val="en-US"/>
        </w:rPr>
      </w:pPr>
      <w:r>
        <w:rPr>
          <w:rFonts w:hint="eastAsia" w:ascii="仿宋_GB2312" w:eastAsia="仿宋_GB2312"/>
          <w:color w:val="000000"/>
          <w:spacing w:val="-2"/>
          <w:sz w:val="32"/>
          <w:szCs w:val="32"/>
          <w:lang w:eastAsia="zh-CN"/>
        </w:rPr>
        <w:t>2024年本年总支出</w:t>
      </w:r>
      <w:r>
        <w:rPr>
          <w:rFonts w:hint="eastAsia" w:ascii="仿宋_GB2312" w:eastAsia="仿宋_GB2312"/>
          <w:color w:val="000000"/>
          <w:spacing w:val="-2"/>
          <w:sz w:val="32"/>
          <w:szCs w:val="32"/>
          <w:lang w:val="en-US" w:eastAsia="zh-CN"/>
        </w:rPr>
        <w:t>1154.84</w:t>
      </w:r>
      <w:r>
        <w:rPr>
          <w:rFonts w:hint="eastAsia" w:ascii="仿宋_GB2312" w:eastAsia="仿宋_GB2312"/>
          <w:color w:val="000000"/>
          <w:spacing w:val="-2"/>
          <w:sz w:val="32"/>
          <w:szCs w:val="32"/>
          <w:lang w:eastAsia="zh-CN"/>
        </w:rPr>
        <w:t>万元，其中：基本支出</w:t>
      </w:r>
      <w:r>
        <w:rPr>
          <w:rFonts w:hint="eastAsia" w:ascii="仿宋_GB2312" w:eastAsia="仿宋_GB2312"/>
          <w:color w:val="000000"/>
          <w:spacing w:val="-2"/>
          <w:sz w:val="32"/>
          <w:szCs w:val="32"/>
          <w:lang w:val="en-US" w:eastAsia="zh-CN"/>
        </w:rPr>
        <w:t>951.97</w:t>
      </w:r>
      <w:r>
        <w:rPr>
          <w:rFonts w:hint="eastAsia" w:ascii="仿宋_GB2312" w:eastAsia="仿宋_GB2312"/>
          <w:color w:val="000000"/>
          <w:spacing w:val="-2"/>
          <w:sz w:val="32"/>
          <w:szCs w:val="32"/>
          <w:lang w:eastAsia="zh-CN"/>
        </w:rPr>
        <w:t>万元，占</w:t>
      </w:r>
      <w:r>
        <w:rPr>
          <w:rFonts w:hint="eastAsia" w:ascii="仿宋_GB2312" w:eastAsia="仿宋_GB2312"/>
          <w:color w:val="000000"/>
          <w:spacing w:val="-2"/>
          <w:sz w:val="32"/>
          <w:szCs w:val="32"/>
          <w:lang w:val="en-US" w:eastAsia="zh-CN"/>
        </w:rPr>
        <w:t>82.43</w:t>
      </w:r>
      <w:r>
        <w:rPr>
          <w:rFonts w:hint="eastAsia" w:ascii="仿宋_GB2312" w:eastAsia="仿宋_GB2312"/>
          <w:color w:val="000000"/>
          <w:spacing w:val="-2"/>
          <w:sz w:val="32"/>
          <w:szCs w:val="32"/>
          <w:lang w:eastAsia="zh-CN"/>
        </w:rPr>
        <w:t>%；项目支出</w:t>
      </w:r>
      <w:r>
        <w:rPr>
          <w:rFonts w:hint="eastAsia" w:ascii="仿宋_GB2312" w:eastAsia="仿宋_GB2312"/>
          <w:color w:val="000000"/>
          <w:spacing w:val="-2"/>
          <w:sz w:val="32"/>
          <w:szCs w:val="32"/>
          <w:lang w:val="en-US" w:eastAsia="zh-CN"/>
        </w:rPr>
        <w:t>202.87</w:t>
      </w:r>
      <w:r>
        <w:rPr>
          <w:rFonts w:hint="eastAsia" w:ascii="仿宋_GB2312" w:eastAsia="仿宋_GB2312"/>
          <w:color w:val="000000"/>
          <w:spacing w:val="-2"/>
          <w:sz w:val="32"/>
          <w:szCs w:val="32"/>
          <w:lang w:eastAsia="zh-CN"/>
        </w:rPr>
        <w:t>万元，占</w:t>
      </w:r>
      <w:r>
        <w:rPr>
          <w:rFonts w:hint="eastAsia" w:ascii="仿宋_GB2312" w:eastAsia="仿宋_GB2312"/>
          <w:color w:val="000000"/>
          <w:spacing w:val="-2"/>
          <w:sz w:val="32"/>
          <w:szCs w:val="32"/>
          <w:lang w:val="en-US" w:eastAsia="zh-CN"/>
        </w:rPr>
        <w:t>17.57</w:t>
      </w:r>
      <w:r>
        <w:rPr>
          <w:rFonts w:hint="eastAsia" w:ascii="仿宋_GB2312" w:eastAsia="仿宋_GB2312"/>
          <w:color w:val="000000"/>
          <w:spacing w:val="-2"/>
          <w:sz w:val="32"/>
          <w:szCs w:val="32"/>
          <w:lang w:eastAsia="zh-CN"/>
        </w:rPr>
        <w:t>%。</w:t>
      </w:r>
    </w:p>
    <w:p w14:paraId="1FAA0B30">
      <w:pPr>
        <w:pStyle w:val="9"/>
        <w:rPr>
          <w:lang w:val="en-US"/>
        </w:rPr>
      </w:pPr>
    </w:p>
    <w:p w14:paraId="7A8152BD">
      <w:pPr>
        <w:pStyle w:val="9"/>
        <w:rPr>
          <w:lang w:val="en-US"/>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-271780</wp:posOffset>
            </wp:positionH>
            <wp:positionV relativeFrom="paragraph">
              <wp:posOffset>629920</wp:posOffset>
            </wp:positionV>
            <wp:extent cx="5467985" cy="27247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3492D85D">
      <w:pPr>
        <w:pStyle w:val="9"/>
        <w:ind w:left="0" w:leftChars="0" w:firstLine="0" w:firstLineChars="0"/>
        <w:rPr>
          <w:lang w:val="en-US"/>
        </w:rPr>
      </w:pPr>
    </w:p>
    <w:p w14:paraId="59BAC35E">
      <w:pPr>
        <w:pStyle w:val="10"/>
        <w:rPr>
          <w:lang w:val="en-US"/>
        </w:rPr>
      </w:pPr>
    </w:p>
    <w:p w14:paraId="7D7E43C4">
      <w:pPr>
        <w:spacing w:line="600" w:lineRule="exact"/>
        <w:ind w:firstLine="640" w:firstLineChars="200"/>
        <w:outlineLvl w:val="1"/>
        <w:rPr>
          <w:rStyle w:val="22"/>
          <w:rFonts w:ascii="黑体" w:eastAsia="黑体"/>
          <w:b w:val="0"/>
        </w:rPr>
      </w:pPr>
      <w:bookmarkStart w:id="32" w:name="_Toc15377208"/>
      <w:bookmarkStart w:id="33" w:name="_Toc27948"/>
      <w:r>
        <w:rPr>
          <w:rFonts w:hint="eastAsia" w:ascii="黑体" w:eastAsia="黑体"/>
          <w:color w:val="000000"/>
          <w:sz w:val="32"/>
          <w:szCs w:val="32"/>
        </w:rPr>
        <w:t>四、财</w:t>
      </w:r>
      <w:r>
        <w:rPr>
          <w:rStyle w:val="22"/>
          <w:rFonts w:hint="eastAsia" w:ascii="黑体" w:eastAsia="黑体"/>
          <w:b w:val="0"/>
        </w:rPr>
        <w:t>政拨款收入支出决算总体情况说明</w:t>
      </w:r>
      <w:bookmarkEnd w:id="32"/>
      <w:bookmarkEnd w:id="33"/>
    </w:p>
    <w:p w14:paraId="7F77832F">
      <w:pPr>
        <w:snapToGrid w:val="0"/>
        <w:spacing w:line="520" w:lineRule="exact"/>
        <w:ind w:firstLine="632" w:firstLineChars="200"/>
        <w:rPr>
          <w:rFonts w:ascii="仿宋_GB2312" w:eastAsia="仿宋_GB2312"/>
          <w:color w:val="000000"/>
          <w:spacing w:val="-2"/>
          <w:sz w:val="32"/>
          <w:szCs w:val="32"/>
          <w:lang w:val="en-US" w:eastAsia="zh-CN"/>
        </w:rPr>
      </w:pPr>
      <w:r>
        <w:rPr>
          <w:rFonts w:hint="eastAsia" w:ascii="仿宋_GB2312" w:eastAsia="仿宋_GB2312"/>
          <w:color w:val="000000"/>
          <w:spacing w:val="-2"/>
          <w:sz w:val="32"/>
          <w:szCs w:val="32"/>
          <w:lang w:eastAsia="zh-CN"/>
        </w:rPr>
        <w:t>2024年财政拨款收入</w:t>
      </w:r>
      <w:r>
        <w:rPr>
          <w:rFonts w:hint="eastAsia" w:ascii="仿宋_GB2312" w:eastAsia="仿宋_GB2312"/>
          <w:color w:val="000000"/>
          <w:spacing w:val="-2"/>
          <w:sz w:val="32"/>
          <w:szCs w:val="32"/>
          <w:lang w:val="en-US" w:eastAsia="zh-CN"/>
        </w:rPr>
        <w:t>1154.84</w:t>
      </w:r>
      <w:r>
        <w:rPr>
          <w:rFonts w:hint="eastAsia" w:ascii="仿宋_GB2312" w:eastAsia="仿宋_GB2312"/>
          <w:color w:val="000000"/>
          <w:spacing w:val="-2"/>
          <w:sz w:val="32"/>
          <w:szCs w:val="32"/>
          <w:lang w:eastAsia="zh-CN"/>
        </w:rPr>
        <w:t>万元。与</w:t>
      </w:r>
      <w:r>
        <w:rPr>
          <w:rFonts w:hint="eastAsia" w:ascii="仿宋_GB2312" w:eastAsia="仿宋_GB2312"/>
          <w:color w:val="000000"/>
          <w:spacing w:val="-2"/>
          <w:sz w:val="32"/>
          <w:szCs w:val="32"/>
          <w:lang w:val="en-US" w:eastAsia="zh-CN"/>
        </w:rPr>
        <w:t>2023</w:t>
      </w:r>
      <w:r>
        <w:rPr>
          <w:rFonts w:hint="eastAsia" w:ascii="仿宋_GB2312" w:eastAsia="仿宋_GB2312"/>
          <w:color w:val="000000"/>
          <w:spacing w:val="-2"/>
          <w:sz w:val="32"/>
          <w:szCs w:val="32"/>
          <w:lang w:eastAsia="zh-CN"/>
        </w:rPr>
        <w:t>年相比，一般公共预算财政拨款收入较上年收入</w:t>
      </w:r>
      <w:r>
        <w:rPr>
          <w:rFonts w:hint="eastAsia" w:ascii="仿宋_GB2312" w:eastAsia="仿宋_GB2312"/>
          <w:color w:val="000000"/>
          <w:spacing w:val="-2"/>
          <w:sz w:val="32"/>
          <w:szCs w:val="32"/>
          <w:lang w:val="en-US" w:eastAsia="zh-CN"/>
        </w:rPr>
        <w:t>增加1.89</w:t>
      </w:r>
      <w:r>
        <w:rPr>
          <w:rFonts w:hint="eastAsia" w:ascii="仿宋_GB2312" w:eastAsia="仿宋_GB2312"/>
          <w:color w:val="000000"/>
          <w:spacing w:val="-2"/>
          <w:sz w:val="32"/>
          <w:szCs w:val="32"/>
          <w:lang w:eastAsia="zh-CN"/>
        </w:rPr>
        <w:t>万元，</w:t>
      </w:r>
      <w:r>
        <w:rPr>
          <w:rFonts w:hint="eastAsia" w:ascii="仿宋_GB2312" w:eastAsia="仿宋_GB2312"/>
          <w:color w:val="000000"/>
          <w:spacing w:val="-2"/>
          <w:sz w:val="32"/>
          <w:szCs w:val="32"/>
          <w:lang w:val="en-US" w:eastAsia="zh-CN"/>
        </w:rPr>
        <w:t>原因为有人员工资变动。</w:t>
      </w:r>
    </w:p>
    <w:p w14:paraId="041CA067">
      <w:pPr>
        <w:snapToGrid w:val="0"/>
        <w:spacing w:line="520" w:lineRule="exact"/>
        <w:ind w:firstLine="632" w:firstLineChars="200"/>
        <w:rPr>
          <w:rFonts w:ascii="仿宋_GB2312" w:eastAsia="仿宋_GB2312"/>
          <w:color w:val="000000"/>
          <w:spacing w:val="-2"/>
          <w:sz w:val="32"/>
          <w:szCs w:val="32"/>
          <w:lang w:val="en-US" w:eastAsia="zh-CN"/>
        </w:rPr>
      </w:pPr>
      <w:r>
        <w:rPr>
          <w:rFonts w:hint="eastAsia" w:ascii="仿宋_GB2312" w:eastAsia="仿宋_GB2312"/>
          <w:color w:val="000000"/>
          <w:spacing w:val="-2"/>
          <w:sz w:val="32"/>
          <w:szCs w:val="32"/>
          <w:lang w:eastAsia="zh-CN"/>
        </w:rPr>
        <w:t>2024年财政拨款</w:t>
      </w:r>
      <w:r>
        <w:rPr>
          <w:rFonts w:hint="eastAsia" w:ascii="仿宋_GB2312" w:eastAsia="仿宋_GB2312"/>
          <w:color w:val="000000"/>
          <w:spacing w:val="-2"/>
          <w:sz w:val="32"/>
          <w:szCs w:val="32"/>
          <w:lang w:val="en-US" w:eastAsia="zh-CN"/>
        </w:rPr>
        <w:t>支出1154.84</w:t>
      </w:r>
      <w:r>
        <w:rPr>
          <w:rFonts w:hint="eastAsia" w:ascii="仿宋_GB2312" w:eastAsia="仿宋_GB2312"/>
          <w:color w:val="000000"/>
          <w:spacing w:val="-2"/>
          <w:sz w:val="32"/>
          <w:szCs w:val="32"/>
          <w:lang w:eastAsia="zh-CN"/>
        </w:rPr>
        <w:t>万元，较上年收入</w:t>
      </w:r>
      <w:r>
        <w:rPr>
          <w:rFonts w:hint="eastAsia" w:ascii="仿宋_GB2312" w:eastAsia="仿宋_GB2312"/>
          <w:color w:val="000000"/>
          <w:spacing w:val="-2"/>
          <w:sz w:val="32"/>
          <w:szCs w:val="32"/>
          <w:lang w:val="en-US" w:eastAsia="zh-CN"/>
        </w:rPr>
        <w:t>增加1.89</w:t>
      </w:r>
      <w:r>
        <w:rPr>
          <w:rFonts w:hint="eastAsia" w:ascii="仿宋_GB2312" w:eastAsia="仿宋_GB2312"/>
          <w:color w:val="000000"/>
          <w:spacing w:val="-2"/>
          <w:sz w:val="32"/>
          <w:szCs w:val="32"/>
          <w:lang w:eastAsia="zh-CN"/>
        </w:rPr>
        <w:t>万元，</w:t>
      </w:r>
      <w:r>
        <w:rPr>
          <w:rFonts w:hint="eastAsia" w:ascii="仿宋_GB2312" w:eastAsia="仿宋_GB2312"/>
          <w:color w:val="000000"/>
          <w:spacing w:val="-2"/>
          <w:sz w:val="32"/>
          <w:szCs w:val="32"/>
          <w:lang w:val="en-US" w:eastAsia="zh-CN"/>
        </w:rPr>
        <w:t>原因为有人员工资变动。</w:t>
      </w:r>
    </w:p>
    <w:p w14:paraId="16AEB2FD">
      <w:pPr>
        <w:spacing w:line="600" w:lineRule="exact"/>
        <w:ind w:firstLine="640" w:firstLineChars="200"/>
        <w:rPr>
          <w:rStyle w:val="22"/>
          <w:rFonts w:ascii="黑体" w:eastAsia="黑体"/>
          <w:b w:val="0"/>
        </w:rPr>
      </w:pPr>
      <w:bookmarkStart w:id="34" w:name="_Toc15377209"/>
      <w:r>
        <w:rPr>
          <w:rFonts w:hint="eastAsia" w:ascii="黑体" w:eastAsia="黑体"/>
          <w:color w:val="000000"/>
          <w:sz w:val="32"/>
          <w:szCs w:val="32"/>
        </w:rPr>
        <w:t>五、</w:t>
      </w:r>
      <w:r>
        <w:rPr>
          <w:rFonts w:hint="eastAsia" w:ascii="黑体" w:eastAsia="黑体"/>
          <w:b/>
          <w:color w:val="000000"/>
          <w:sz w:val="32"/>
          <w:szCs w:val="32"/>
        </w:rPr>
        <w:t>一</w:t>
      </w:r>
      <w:r>
        <w:rPr>
          <w:rStyle w:val="22"/>
          <w:rFonts w:hint="eastAsia" w:ascii="黑体" w:eastAsia="黑体"/>
          <w:b w:val="0"/>
        </w:rPr>
        <w:t>般公共预算财政拨款支出决算情况说明</w:t>
      </w:r>
      <w:bookmarkEnd w:id="34"/>
    </w:p>
    <w:p w14:paraId="2AA553E9">
      <w:pPr>
        <w:spacing w:line="600" w:lineRule="exact"/>
        <w:ind w:firstLine="643" w:firstLineChars="200"/>
        <w:outlineLvl w:val="2"/>
        <w:rPr>
          <w:rFonts w:ascii="仿宋" w:eastAsia="仿宋"/>
          <w:b/>
          <w:color w:val="000000"/>
          <w:sz w:val="32"/>
          <w:szCs w:val="32"/>
        </w:rPr>
      </w:pPr>
      <w:bookmarkStart w:id="35" w:name="_Toc15377210"/>
      <w:r>
        <w:rPr>
          <w:rFonts w:hint="eastAsia" w:ascii="仿宋" w:eastAsia="仿宋"/>
          <w:b/>
          <w:color w:val="000000"/>
          <w:sz w:val="32"/>
          <w:szCs w:val="32"/>
        </w:rPr>
        <w:t>（一）一般公共预算财政拨款支出决算总体情况</w:t>
      </w:r>
      <w:bookmarkEnd w:id="35"/>
    </w:p>
    <w:p w14:paraId="3084DBCA">
      <w:pPr>
        <w:snapToGrid w:val="0"/>
        <w:spacing w:line="520" w:lineRule="exact"/>
        <w:ind w:firstLine="632" w:firstLineChars="200"/>
        <w:rPr>
          <w:rFonts w:hint="eastAsia" w:ascii="仿宋_GB2312" w:eastAsia="仿宋_GB2312"/>
          <w:color w:val="000000"/>
          <w:spacing w:val="-2"/>
          <w:sz w:val="32"/>
          <w:szCs w:val="32"/>
          <w:lang w:eastAsia="zh-CN"/>
        </w:rPr>
      </w:pPr>
      <w:r>
        <w:rPr>
          <w:rFonts w:hint="eastAsia" w:ascii="仿宋_GB2312" w:eastAsia="仿宋_GB2312"/>
          <w:color w:val="000000"/>
          <w:spacing w:val="-2"/>
          <w:sz w:val="32"/>
          <w:szCs w:val="32"/>
          <w:lang w:eastAsia="zh-CN"/>
        </w:rPr>
        <w:t>2024年一般公共预算财政拨款支出</w:t>
      </w:r>
      <w:r>
        <w:rPr>
          <w:rFonts w:hint="eastAsia" w:ascii="仿宋_GB2312" w:eastAsia="仿宋_GB2312"/>
          <w:color w:val="000000"/>
          <w:spacing w:val="-2"/>
          <w:sz w:val="32"/>
          <w:szCs w:val="32"/>
          <w:lang w:val="en-US" w:eastAsia="zh-CN"/>
        </w:rPr>
        <w:t>1154.84</w:t>
      </w:r>
      <w:r>
        <w:rPr>
          <w:rFonts w:hint="eastAsia" w:ascii="仿宋_GB2312" w:eastAsia="仿宋_GB2312"/>
          <w:color w:val="000000"/>
          <w:spacing w:val="-2"/>
          <w:sz w:val="32"/>
          <w:szCs w:val="32"/>
          <w:lang w:eastAsia="zh-CN"/>
        </w:rPr>
        <w:t>万元，占本年总支出的100%。与</w:t>
      </w:r>
      <w:r>
        <w:rPr>
          <w:rFonts w:hint="eastAsia" w:ascii="仿宋_GB2312" w:eastAsia="仿宋_GB2312"/>
          <w:color w:val="000000"/>
          <w:spacing w:val="-2"/>
          <w:sz w:val="32"/>
          <w:szCs w:val="32"/>
          <w:lang w:val="en-US" w:eastAsia="zh-CN"/>
        </w:rPr>
        <w:t>2023</w:t>
      </w:r>
      <w:r>
        <w:rPr>
          <w:rFonts w:hint="eastAsia" w:ascii="仿宋_GB2312" w:eastAsia="仿宋_GB2312"/>
          <w:color w:val="000000"/>
          <w:spacing w:val="-2"/>
          <w:sz w:val="32"/>
          <w:szCs w:val="32"/>
          <w:lang w:eastAsia="zh-CN"/>
        </w:rPr>
        <w:t>年相比，一般公共预算财政拨款支出收入</w:t>
      </w:r>
      <w:r>
        <w:rPr>
          <w:rFonts w:hint="eastAsia" w:ascii="仿宋_GB2312" w:eastAsia="仿宋_GB2312"/>
          <w:color w:val="000000"/>
          <w:spacing w:val="-2"/>
          <w:sz w:val="32"/>
          <w:szCs w:val="32"/>
          <w:lang w:val="en-US" w:eastAsia="zh-CN"/>
        </w:rPr>
        <w:t>增加1.89</w:t>
      </w:r>
      <w:r>
        <w:rPr>
          <w:rFonts w:hint="eastAsia" w:ascii="仿宋_GB2312" w:eastAsia="仿宋_GB2312"/>
          <w:color w:val="000000"/>
          <w:spacing w:val="-2"/>
          <w:sz w:val="32"/>
          <w:szCs w:val="32"/>
          <w:lang w:eastAsia="zh-CN"/>
        </w:rPr>
        <w:t>万元，</w:t>
      </w:r>
      <w:r>
        <w:rPr>
          <w:rFonts w:hint="eastAsia" w:ascii="仿宋_GB2312" w:eastAsia="仿宋_GB2312"/>
          <w:color w:val="000000"/>
          <w:spacing w:val="-2"/>
          <w:sz w:val="32"/>
          <w:szCs w:val="32"/>
          <w:lang w:val="en-US" w:eastAsia="zh-CN"/>
        </w:rPr>
        <w:t>增加0.16</w:t>
      </w:r>
      <w:r>
        <w:rPr>
          <w:rFonts w:hint="eastAsia" w:ascii="仿宋_GB2312" w:eastAsia="仿宋_GB2312"/>
          <w:color w:val="000000"/>
          <w:spacing w:val="-2"/>
          <w:sz w:val="32"/>
          <w:szCs w:val="32"/>
          <w:lang w:eastAsia="zh-CN"/>
        </w:rPr>
        <w:t>%。</w:t>
      </w:r>
      <w:r>
        <w:rPr>
          <w:rFonts w:hint="eastAsia" w:ascii="仿宋_GB2312" w:eastAsia="仿宋_GB2312"/>
          <w:color w:val="000000"/>
          <w:spacing w:val="-2"/>
          <w:sz w:val="32"/>
          <w:szCs w:val="32"/>
          <w:lang w:val="en-US" w:eastAsia="zh-CN"/>
        </w:rPr>
        <w:t>原因为有人员工资变动。</w:t>
      </w:r>
    </w:p>
    <w:p w14:paraId="7A1772BC">
      <w:pPr>
        <w:numPr>
          <w:ilvl w:val="0"/>
          <w:numId w:val="2"/>
        </w:numPr>
        <w:spacing w:line="600" w:lineRule="exact"/>
        <w:ind w:left="0" w:firstLine="643" w:firstLineChars="200"/>
        <w:outlineLvl w:val="2"/>
        <w:rPr>
          <w:rFonts w:ascii="仿宋" w:eastAsia="仿宋"/>
          <w:b/>
          <w:color w:val="000000"/>
          <w:sz w:val="32"/>
          <w:szCs w:val="32"/>
        </w:rPr>
      </w:pPr>
      <w:bookmarkStart w:id="36" w:name="_Toc15377211"/>
      <w:r>
        <w:rPr>
          <w:rFonts w:hint="eastAsia" w:ascii="仿宋" w:eastAsia="仿宋"/>
          <w:b/>
          <w:color w:val="000000"/>
          <w:sz w:val="32"/>
          <w:szCs w:val="32"/>
        </w:rPr>
        <w:t>一般公共预算财政拨款支出决算结构情况</w:t>
      </w:r>
      <w:bookmarkEnd w:id="36"/>
    </w:p>
    <w:p w14:paraId="0395A0BD">
      <w:pPr>
        <w:spacing w:line="600" w:lineRule="exact"/>
        <w:ind w:firstLine="632" w:firstLineChars="200"/>
        <w:outlineLvl w:val="2"/>
        <w:rPr>
          <w:rFonts w:ascii="仿宋" w:eastAsia="仿宋"/>
          <w:bCs/>
          <w:color w:val="000000"/>
          <w:sz w:val="32"/>
          <w:szCs w:val="32"/>
          <w:lang w:val="en-US" w:eastAsia="zh-CN"/>
        </w:rPr>
      </w:pPr>
      <w:r>
        <w:rPr>
          <w:rFonts w:hint="eastAsia" w:ascii="仿宋_GB2312" w:eastAsia="仿宋_GB2312"/>
          <w:color w:val="000000"/>
          <w:spacing w:val="-2"/>
          <w:sz w:val="32"/>
          <w:szCs w:val="32"/>
          <w:lang w:eastAsia="zh-CN"/>
        </w:rPr>
        <w:t>2024年一般公共预算财政拨款支出为</w:t>
      </w:r>
      <w:r>
        <w:rPr>
          <w:rFonts w:hint="eastAsia" w:ascii="仿宋_GB2312" w:eastAsia="仿宋_GB2312"/>
          <w:color w:val="000000"/>
          <w:spacing w:val="-2"/>
          <w:sz w:val="32"/>
          <w:szCs w:val="32"/>
          <w:lang w:val="en-US" w:eastAsia="zh-CN"/>
        </w:rPr>
        <w:t>1154.84</w:t>
      </w:r>
      <w:r>
        <w:rPr>
          <w:rFonts w:hint="eastAsia" w:ascii="仿宋_GB2312" w:eastAsia="仿宋_GB2312"/>
          <w:color w:val="000000"/>
          <w:spacing w:val="-2"/>
          <w:sz w:val="32"/>
          <w:szCs w:val="32"/>
          <w:lang w:eastAsia="zh-CN"/>
        </w:rPr>
        <w:t>万元。其中：一般公共服务支出为</w:t>
      </w:r>
      <w:r>
        <w:rPr>
          <w:rFonts w:hint="eastAsia" w:ascii="仿宋_GB2312" w:eastAsia="仿宋_GB2312"/>
          <w:color w:val="000000"/>
          <w:spacing w:val="-2"/>
          <w:sz w:val="32"/>
          <w:szCs w:val="32"/>
          <w:lang w:val="en-US" w:eastAsia="zh-CN"/>
        </w:rPr>
        <w:t>382.46</w:t>
      </w:r>
      <w:r>
        <w:rPr>
          <w:rFonts w:hint="eastAsia" w:ascii="仿宋_GB2312"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33.12</w:t>
      </w:r>
      <w:r>
        <w:rPr>
          <w:rFonts w:hint="eastAsia" w:ascii="仿宋_GB2312" w:eastAsia="仿宋_GB2312"/>
          <w:color w:val="000000"/>
          <w:spacing w:val="-2"/>
          <w:sz w:val="32"/>
          <w:szCs w:val="32"/>
          <w:lang w:eastAsia="zh-CN"/>
        </w:rPr>
        <w:t>%；社会保障和就业支出为</w:t>
      </w:r>
      <w:r>
        <w:rPr>
          <w:rFonts w:hint="eastAsia" w:ascii="仿宋_GB2312" w:eastAsia="仿宋_GB2312"/>
          <w:color w:val="000000"/>
          <w:spacing w:val="-2"/>
          <w:sz w:val="32"/>
          <w:szCs w:val="32"/>
          <w:lang w:val="en-US" w:eastAsia="zh-CN"/>
        </w:rPr>
        <w:t>107.31</w:t>
      </w:r>
      <w:r>
        <w:rPr>
          <w:rFonts w:hint="eastAsia" w:ascii="仿宋_GB2312"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9.29</w:t>
      </w:r>
      <w:r>
        <w:rPr>
          <w:rFonts w:hint="eastAsia" w:ascii="仿宋_GB2312" w:eastAsia="仿宋_GB2312"/>
          <w:color w:val="000000"/>
          <w:spacing w:val="-2"/>
          <w:sz w:val="32"/>
          <w:szCs w:val="32"/>
          <w:lang w:eastAsia="zh-CN"/>
        </w:rPr>
        <w:t>%；卫生健康支出为</w:t>
      </w:r>
      <w:r>
        <w:rPr>
          <w:rFonts w:hint="eastAsia" w:ascii="仿宋_GB2312" w:eastAsia="仿宋_GB2312"/>
          <w:color w:val="000000"/>
          <w:spacing w:val="-2"/>
          <w:sz w:val="32"/>
          <w:szCs w:val="32"/>
          <w:lang w:val="en-US" w:eastAsia="zh-CN"/>
        </w:rPr>
        <w:t>47.73</w:t>
      </w:r>
      <w:r>
        <w:rPr>
          <w:rFonts w:hint="eastAsia" w:ascii="仿宋_GB2312"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4.13</w:t>
      </w:r>
      <w:r>
        <w:rPr>
          <w:rFonts w:hint="eastAsia" w:ascii="仿宋_GB2312" w:eastAsia="仿宋_GB2312"/>
          <w:color w:val="000000"/>
          <w:spacing w:val="-2"/>
          <w:sz w:val="32"/>
          <w:szCs w:val="32"/>
          <w:lang w:eastAsia="zh-CN"/>
        </w:rPr>
        <w:t>%；</w:t>
      </w:r>
      <w:r>
        <w:rPr>
          <w:rFonts w:hint="eastAsia" w:ascii="仿宋_GB2312" w:eastAsia="仿宋_GB2312"/>
          <w:color w:val="000000"/>
          <w:spacing w:val="-2"/>
          <w:sz w:val="32"/>
          <w:szCs w:val="32"/>
          <w:lang w:val="en-US" w:eastAsia="zh-CN"/>
        </w:rPr>
        <w:t>农林水支出553.35万元，占比47.92%；</w:t>
      </w:r>
      <w:r>
        <w:rPr>
          <w:rFonts w:hint="eastAsia" w:ascii="仿宋_GB2312" w:eastAsia="仿宋_GB2312"/>
          <w:color w:val="000000"/>
          <w:spacing w:val="-2"/>
          <w:sz w:val="32"/>
          <w:szCs w:val="32"/>
          <w:lang w:eastAsia="zh-CN"/>
        </w:rPr>
        <w:t>住房保障支出为</w:t>
      </w:r>
      <w:r>
        <w:rPr>
          <w:rFonts w:hint="eastAsia" w:ascii="仿宋_GB2312" w:eastAsia="仿宋_GB2312"/>
          <w:color w:val="000000"/>
          <w:spacing w:val="-2"/>
          <w:sz w:val="32"/>
          <w:szCs w:val="32"/>
          <w:lang w:val="en-US" w:eastAsia="zh-CN"/>
        </w:rPr>
        <w:t>63.95</w:t>
      </w:r>
      <w:r>
        <w:rPr>
          <w:rFonts w:hint="eastAsia" w:ascii="仿宋_GB2312"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5.54</w:t>
      </w:r>
      <w:r>
        <w:rPr>
          <w:rFonts w:hint="eastAsia" w:ascii="仿宋_GB2312" w:eastAsia="仿宋_GB2312"/>
          <w:color w:val="000000"/>
          <w:spacing w:val="-2"/>
          <w:sz w:val="32"/>
          <w:szCs w:val="32"/>
          <w:lang w:eastAsia="zh-CN"/>
        </w:rPr>
        <w:t>%；国有资本经营预算支出</w:t>
      </w:r>
      <w:r>
        <w:rPr>
          <w:rFonts w:hint="eastAsia" w:ascii="仿宋_GB2312" w:eastAsia="仿宋_GB2312"/>
          <w:color w:val="000000"/>
          <w:spacing w:val="-2"/>
          <w:sz w:val="32"/>
          <w:szCs w:val="32"/>
          <w:lang w:val="en-US" w:eastAsia="zh-CN"/>
        </w:rPr>
        <w:t>0.05万元，占比0.004%；</w:t>
      </w:r>
      <w:r>
        <w:rPr>
          <w:rFonts w:hint="eastAsia" w:ascii="仿宋_GB2312" w:eastAsia="仿宋_GB2312"/>
          <w:color w:val="000000"/>
          <w:spacing w:val="-2"/>
          <w:sz w:val="32"/>
          <w:szCs w:val="32"/>
          <w:lang w:eastAsia="zh-CN"/>
        </w:rPr>
        <w:t>其他支出</w:t>
      </w:r>
      <w:r>
        <w:rPr>
          <w:rFonts w:hint="eastAsia" w:ascii="仿宋_GB2312" w:eastAsia="仿宋_GB2312"/>
          <w:color w:val="000000"/>
          <w:spacing w:val="-2"/>
          <w:sz w:val="32"/>
          <w:szCs w:val="32"/>
          <w:lang w:val="en-US" w:eastAsia="zh-CN"/>
        </w:rPr>
        <w:t>0</w:t>
      </w:r>
      <w:r>
        <w:rPr>
          <w:rFonts w:hint="eastAsia" w:ascii="仿宋_GB2312"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0%。</w:t>
      </w:r>
    </w:p>
    <w:p w14:paraId="6458CC09">
      <w:pPr>
        <w:pStyle w:val="23"/>
        <w:rPr>
          <w:rFonts w:ascii="仿宋" w:eastAsia="仿宋"/>
          <w:b/>
          <w:color w:val="000000"/>
          <w:sz w:val="32"/>
          <w:szCs w:val="32"/>
        </w:rPr>
      </w:pPr>
      <w:bookmarkStart w:id="37" w:name="_Toc15377213"/>
      <w:bookmarkStart w:id="38" w:name="_Toc15378460"/>
      <w:bookmarkStart w:id="39" w:name="_Toc15377444"/>
      <w:r>
        <w:rPr>
          <w:rFonts w:hint="eastAsia" w:ascii="仿宋" w:eastAsia="仿宋"/>
          <w:bCs/>
          <w:color w:val="000000"/>
          <w:sz w:val="32"/>
          <w:szCs w:val="32"/>
          <w:lang w:eastAsia="zh-CN"/>
        </w:rPr>
        <w:drawing>
          <wp:inline distT="0" distB="0" distL="114300" distR="114300">
            <wp:extent cx="5079365" cy="3810000"/>
            <wp:effectExtent l="0" t="0" r="0" b="0"/>
            <wp:docPr id="3"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9526AF7">
      <w:pPr>
        <w:spacing w:line="600" w:lineRule="exact"/>
        <w:ind w:firstLine="643" w:firstLineChars="200"/>
        <w:outlineLvl w:val="2"/>
        <w:rPr>
          <w:rFonts w:ascii="仿宋" w:eastAsia="仿宋"/>
          <w:b/>
          <w:color w:val="000000"/>
          <w:sz w:val="32"/>
          <w:szCs w:val="32"/>
        </w:rPr>
      </w:pPr>
      <w:bookmarkStart w:id="40" w:name="_Toc15377212"/>
      <w:r>
        <w:rPr>
          <w:rFonts w:hint="eastAsia" w:ascii="仿宋" w:eastAsia="仿宋"/>
          <w:b/>
          <w:color w:val="000000"/>
          <w:sz w:val="32"/>
          <w:szCs w:val="32"/>
        </w:rPr>
        <w:t>（三）一般公共预算财政拨款支出决算具体情况</w:t>
      </w:r>
      <w:bookmarkEnd w:id="40"/>
    </w:p>
    <w:p w14:paraId="0748F3F4">
      <w:pPr>
        <w:spacing w:line="600" w:lineRule="exact"/>
        <w:outlineLvl w:val="2"/>
        <w:rPr>
          <w:rFonts w:hint="eastAsia" w:ascii="仿宋_GB2312" w:eastAsia="仿宋_GB2312"/>
          <w:color w:val="000000"/>
          <w:spacing w:val="-2"/>
          <w:sz w:val="32"/>
          <w:szCs w:val="32"/>
          <w:lang w:eastAsia="zh-CN"/>
        </w:rPr>
      </w:pPr>
      <w:r>
        <w:rPr>
          <w:rFonts w:hint="eastAsia" w:ascii="仿宋" w:eastAsia="仿宋"/>
          <w:bCs/>
          <w:color w:val="000000"/>
          <w:sz w:val="32"/>
          <w:szCs w:val="32"/>
        </w:rPr>
        <w:t xml:space="preserve">    </w:t>
      </w:r>
      <w:r>
        <w:rPr>
          <w:rFonts w:hint="eastAsia" w:ascii="仿宋_GB2312" w:eastAsia="仿宋_GB2312"/>
          <w:color w:val="000000"/>
          <w:spacing w:val="-2"/>
          <w:sz w:val="32"/>
          <w:szCs w:val="32"/>
          <w:lang w:eastAsia="zh-CN"/>
        </w:rPr>
        <w:t>2024年一般公共预算数为</w:t>
      </w:r>
      <w:r>
        <w:rPr>
          <w:rFonts w:hint="eastAsia" w:ascii="仿宋_GB2312" w:eastAsia="仿宋_GB2312"/>
          <w:color w:val="000000"/>
          <w:spacing w:val="-2"/>
          <w:sz w:val="32"/>
          <w:szCs w:val="32"/>
          <w:lang w:val="en-US" w:eastAsia="zh-CN"/>
        </w:rPr>
        <w:t>1154.84</w:t>
      </w:r>
      <w:r>
        <w:rPr>
          <w:rFonts w:hint="eastAsia" w:ascii="仿宋_GB2312" w:eastAsia="仿宋_GB2312"/>
          <w:color w:val="000000"/>
          <w:spacing w:val="-2"/>
          <w:sz w:val="32"/>
          <w:szCs w:val="32"/>
          <w:lang w:eastAsia="zh-CN"/>
        </w:rPr>
        <w:t>万元，支出决算数为</w:t>
      </w:r>
      <w:r>
        <w:rPr>
          <w:rFonts w:hint="eastAsia" w:ascii="仿宋_GB2312" w:eastAsia="仿宋_GB2312"/>
          <w:color w:val="000000"/>
          <w:spacing w:val="-2"/>
          <w:sz w:val="32"/>
          <w:szCs w:val="32"/>
          <w:lang w:val="en-US" w:eastAsia="zh-CN"/>
        </w:rPr>
        <w:t>1154.84</w:t>
      </w:r>
      <w:r>
        <w:rPr>
          <w:rFonts w:hint="eastAsia" w:ascii="仿宋_GB2312" w:eastAsia="仿宋_GB2312"/>
          <w:color w:val="000000"/>
          <w:spacing w:val="-2"/>
          <w:sz w:val="32"/>
          <w:szCs w:val="32"/>
          <w:lang w:eastAsia="zh-CN"/>
        </w:rPr>
        <w:t>万元，完成预算</w:t>
      </w:r>
      <w:r>
        <w:rPr>
          <w:rFonts w:hint="eastAsia" w:ascii="仿宋_GB2312" w:eastAsia="仿宋_GB2312"/>
          <w:color w:val="000000"/>
          <w:spacing w:val="-2"/>
          <w:sz w:val="32"/>
          <w:szCs w:val="32"/>
          <w:lang w:val="en-US" w:eastAsia="zh-CN"/>
        </w:rPr>
        <w:t>100</w:t>
      </w:r>
      <w:r>
        <w:rPr>
          <w:rFonts w:hint="eastAsia" w:ascii="仿宋_GB2312" w:eastAsia="仿宋_GB2312"/>
          <w:color w:val="000000"/>
          <w:spacing w:val="-2"/>
          <w:sz w:val="32"/>
          <w:szCs w:val="32"/>
          <w:lang w:eastAsia="zh-CN"/>
        </w:rPr>
        <w:t>%，其中：</w:t>
      </w:r>
      <w:bookmarkEnd w:id="37"/>
      <w:bookmarkEnd w:id="38"/>
      <w:bookmarkEnd w:id="39"/>
      <w:bookmarkStart w:id="41" w:name="_Toc15377214"/>
    </w:p>
    <w:p w14:paraId="423225BD">
      <w:pPr>
        <w:spacing w:line="600" w:lineRule="exact"/>
        <w:ind w:firstLine="643" w:firstLineChars="200"/>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1</w:t>
      </w:r>
      <w:r>
        <w:rPr>
          <w:rStyle w:val="19"/>
          <w:rFonts w:ascii="仿宋" w:eastAsia="仿宋"/>
          <w:bCs/>
          <w:color w:val="000000"/>
          <w:sz w:val="32"/>
          <w:szCs w:val="32"/>
        </w:rPr>
        <w:t>.</w:t>
      </w:r>
      <w:r>
        <w:rPr>
          <w:rStyle w:val="19"/>
          <w:rFonts w:hint="eastAsia" w:ascii="仿宋" w:eastAsia="仿宋"/>
          <w:bCs/>
          <w:color w:val="000000"/>
          <w:sz w:val="32"/>
          <w:szCs w:val="32"/>
        </w:rPr>
        <w:t>一般公共服务（类）</w:t>
      </w:r>
      <w:r>
        <w:rPr>
          <w:rStyle w:val="19"/>
          <w:rFonts w:hint="eastAsia" w:ascii="仿宋" w:eastAsia="仿宋"/>
          <w:bCs/>
          <w:color w:val="000000"/>
          <w:sz w:val="32"/>
          <w:szCs w:val="32"/>
          <w:lang w:val="en-US" w:eastAsia="zh-CN"/>
        </w:rPr>
        <w:t>政府</w:t>
      </w:r>
      <w:r>
        <w:rPr>
          <w:rStyle w:val="19"/>
          <w:rFonts w:hint="eastAsia" w:ascii="仿宋" w:eastAsia="仿宋"/>
          <w:bCs/>
          <w:color w:val="000000"/>
          <w:sz w:val="32"/>
          <w:szCs w:val="32"/>
        </w:rPr>
        <w:t>办公室（室）及相关机构事务（款）</w:t>
      </w:r>
      <w:r>
        <w:rPr>
          <w:rStyle w:val="19"/>
          <w:rFonts w:hint="eastAsia" w:ascii="仿宋" w:eastAsia="仿宋"/>
          <w:bCs/>
          <w:color w:val="000000"/>
          <w:sz w:val="32"/>
          <w:szCs w:val="32"/>
          <w:lang w:eastAsia="zh-CN"/>
        </w:rPr>
        <w:t>行政运行</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297.58</w:t>
      </w:r>
      <w:r>
        <w:rPr>
          <w:rFonts w:hint="eastAsia" w:ascii="仿宋_GB2312" w:eastAsia="仿宋_GB2312"/>
          <w:color w:val="000000"/>
          <w:spacing w:val="-2"/>
          <w:sz w:val="32"/>
          <w:szCs w:val="32"/>
          <w:lang w:eastAsia="zh-CN"/>
        </w:rPr>
        <w:t>万元，完成预算100%。结转下年0万元。</w:t>
      </w:r>
    </w:p>
    <w:p w14:paraId="1E2CC0D6">
      <w:pPr>
        <w:spacing w:line="600" w:lineRule="exact"/>
        <w:ind w:firstLine="643" w:firstLineChars="200"/>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2</w:t>
      </w:r>
      <w:r>
        <w:rPr>
          <w:rStyle w:val="19"/>
          <w:rFonts w:ascii="仿宋" w:eastAsia="仿宋"/>
          <w:bCs/>
          <w:color w:val="000000"/>
          <w:sz w:val="32"/>
          <w:szCs w:val="32"/>
        </w:rPr>
        <w:t>.</w:t>
      </w:r>
      <w:r>
        <w:rPr>
          <w:rStyle w:val="19"/>
          <w:rFonts w:hint="eastAsia" w:ascii="仿宋" w:eastAsia="仿宋"/>
          <w:bCs/>
          <w:color w:val="000000"/>
          <w:sz w:val="32"/>
          <w:szCs w:val="32"/>
        </w:rPr>
        <w:t>一般公共服务（类）</w:t>
      </w:r>
      <w:r>
        <w:rPr>
          <w:rStyle w:val="19"/>
          <w:rFonts w:hint="eastAsia" w:ascii="仿宋" w:eastAsia="仿宋"/>
          <w:bCs/>
          <w:color w:val="000000"/>
          <w:sz w:val="32"/>
          <w:szCs w:val="32"/>
          <w:lang w:eastAsia="zh-CN"/>
        </w:rPr>
        <w:t>人大事务（</w:t>
      </w:r>
      <w:r>
        <w:rPr>
          <w:rStyle w:val="19"/>
          <w:rFonts w:hint="eastAsia" w:ascii="仿宋" w:eastAsia="仿宋"/>
          <w:bCs/>
          <w:color w:val="000000"/>
          <w:sz w:val="32"/>
          <w:szCs w:val="32"/>
        </w:rPr>
        <w:t>款）</w:t>
      </w:r>
      <w:r>
        <w:rPr>
          <w:rStyle w:val="19"/>
          <w:rFonts w:hint="eastAsia" w:ascii="仿宋" w:eastAsia="仿宋"/>
          <w:bCs/>
          <w:color w:val="000000"/>
          <w:sz w:val="32"/>
          <w:szCs w:val="32"/>
          <w:lang w:eastAsia="zh-CN"/>
        </w:rPr>
        <w:t>行政运行</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20.01</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。结转下年0万元。</w:t>
      </w:r>
    </w:p>
    <w:p w14:paraId="338BB5A3">
      <w:pPr>
        <w:spacing w:line="600" w:lineRule="exact"/>
        <w:ind w:firstLine="643" w:firstLineChars="200"/>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3</w:t>
      </w:r>
      <w:r>
        <w:rPr>
          <w:rStyle w:val="19"/>
          <w:rFonts w:ascii="仿宋" w:eastAsia="仿宋"/>
          <w:bCs/>
          <w:color w:val="000000"/>
          <w:sz w:val="32"/>
          <w:szCs w:val="32"/>
        </w:rPr>
        <w:t>.</w:t>
      </w:r>
      <w:r>
        <w:rPr>
          <w:rStyle w:val="19"/>
          <w:rFonts w:hint="eastAsia" w:ascii="仿宋" w:eastAsia="仿宋"/>
          <w:bCs/>
          <w:color w:val="000000"/>
          <w:sz w:val="32"/>
          <w:szCs w:val="32"/>
        </w:rPr>
        <w:t>一般公共服务（类）</w:t>
      </w:r>
      <w:r>
        <w:rPr>
          <w:rStyle w:val="19"/>
          <w:rFonts w:hint="eastAsia" w:ascii="仿宋" w:eastAsia="仿宋"/>
          <w:bCs/>
          <w:color w:val="000000"/>
          <w:sz w:val="32"/>
          <w:szCs w:val="32"/>
          <w:lang w:val="en-US" w:eastAsia="zh-CN"/>
        </w:rPr>
        <w:t>党委</w:t>
      </w:r>
      <w:r>
        <w:rPr>
          <w:rStyle w:val="19"/>
          <w:rFonts w:hint="eastAsia" w:ascii="仿宋" w:eastAsia="仿宋"/>
          <w:bCs/>
          <w:color w:val="000000"/>
          <w:sz w:val="32"/>
          <w:szCs w:val="32"/>
        </w:rPr>
        <w:t>办公室（室）及相关机构事务（款）</w:t>
      </w:r>
      <w:r>
        <w:rPr>
          <w:rStyle w:val="19"/>
          <w:rFonts w:hint="eastAsia" w:ascii="仿宋" w:eastAsia="仿宋"/>
          <w:bCs/>
          <w:color w:val="000000"/>
          <w:sz w:val="32"/>
          <w:szCs w:val="32"/>
          <w:lang w:eastAsia="zh-CN"/>
        </w:rPr>
        <w:t>行政运行</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64.86</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。结转下年0万元。</w:t>
      </w:r>
    </w:p>
    <w:p w14:paraId="169F6626">
      <w:pPr>
        <w:spacing w:line="600" w:lineRule="exact"/>
        <w:ind w:firstLine="643" w:firstLineChars="200"/>
        <w:rPr>
          <w:rFonts w:hint="eastAsia" w:ascii="仿宋_GB2312" w:eastAsia="仿宋_GB2312"/>
          <w:color w:val="000000"/>
          <w:spacing w:val="-2"/>
          <w:sz w:val="32"/>
          <w:szCs w:val="32"/>
          <w:lang w:eastAsia="zh-CN"/>
        </w:rPr>
      </w:pPr>
      <w:r>
        <w:rPr>
          <w:rStyle w:val="19"/>
          <w:rFonts w:hint="eastAsia" w:ascii="仿宋" w:eastAsia="仿宋"/>
          <w:bCs/>
          <w:color w:val="000000"/>
          <w:sz w:val="32"/>
          <w:szCs w:val="32"/>
          <w:lang w:val="en-US" w:eastAsia="zh-CN"/>
        </w:rPr>
        <w:t>4</w:t>
      </w:r>
      <w:r>
        <w:rPr>
          <w:rStyle w:val="19"/>
          <w:rFonts w:ascii="仿宋" w:eastAsia="仿宋"/>
          <w:bCs/>
          <w:color w:val="000000"/>
          <w:sz w:val="32"/>
          <w:szCs w:val="32"/>
        </w:rPr>
        <w:t>.</w:t>
      </w:r>
      <w:r>
        <w:rPr>
          <w:rStyle w:val="19"/>
          <w:rFonts w:hint="eastAsia" w:ascii="仿宋" w:eastAsia="仿宋"/>
          <w:bCs/>
          <w:color w:val="000000"/>
          <w:sz w:val="32"/>
          <w:szCs w:val="32"/>
        </w:rPr>
        <w:t>社会保障和就业（类）行政事业单位</w:t>
      </w:r>
      <w:r>
        <w:rPr>
          <w:rStyle w:val="19"/>
          <w:rFonts w:hint="eastAsia" w:ascii="仿宋" w:eastAsia="仿宋"/>
          <w:bCs/>
          <w:color w:val="000000"/>
          <w:sz w:val="32"/>
          <w:szCs w:val="32"/>
          <w:lang w:eastAsia="zh-CN"/>
        </w:rPr>
        <w:t>养老支出</w:t>
      </w:r>
      <w:r>
        <w:rPr>
          <w:rStyle w:val="19"/>
          <w:rFonts w:hint="eastAsia" w:ascii="仿宋" w:eastAsia="仿宋"/>
          <w:bCs/>
          <w:color w:val="000000"/>
          <w:sz w:val="32"/>
          <w:szCs w:val="32"/>
        </w:rPr>
        <w:t>（款）机关事业单位基本养老保险缴费支出（项）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71.58</w:t>
      </w:r>
      <w:r>
        <w:rPr>
          <w:rFonts w:hint="eastAsia" w:ascii="仿宋_GB2312" w:eastAsia="仿宋_GB2312"/>
          <w:color w:val="000000"/>
          <w:spacing w:val="-2"/>
          <w:sz w:val="32"/>
          <w:szCs w:val="32"/>
          <w:lang w:eastAsia="zh-CN"/>
        </w:rPr>
        <w:t>万元，完成预算100%，决算数等于预算数。</w:t>
      </w:r>
    </w:p>
    <w:p w14:paraId="76ECEE61">
      <w:pPr>
        <w:spacing w:line="600" w:lineRule="exact"/>
        <w:ind w:firstLine="643" w:firstLineChars="200"/>
        <w:rPr>
          <w:rFonts w:ascii="仿宋" w:eastAsia="仿宋"/>
          <w:b/>
          <w:color w:val="000000"/>
          <w:sz w:val="32"/>
          <w:szCs w:val="32"/>
        </w:rPr>
      </w:pPr>
      <w:r>
        <w:rPr>
          <w:rStyle w:val="19"/>
          <w:rFonts w:hint="eastAsia" w:ascii="仿宋" w:eastAsia="仿宋"/>
          <w:bCs/>
          <w:color w:val="000000"/>
          <w:sz w:val="32"/>
          <w:szCs w:val="32"/>
          <w:lang w:val="en-US" w:eastAsia="zh-CN"/>
        </w:rPr>
        <w:t>5</w:t>
      </w:r>
      <w:r>
        <w:rPr>
          <w:rStyle w:val="19"/>
          <w:rFonts w:ascii="仿宋" w:eastAsia="仿宋"/>
          <w:bCs/>
          <w:color w:val="000000"/>
          <w:sz w:val="32"/>
          <w:szCs w:val="32"/>
        </w:rPr>
        <w:t>.</w:t>
      </w:r>
      <w:r>
        <w:rPr>
          <w:rStyle w:val="19"/>
          <w:rFonts w:hint="eastAsia" w:ascii="仿宋" w:eastAsia="仿宋"/>
          <w:bCs/>
          <w:color w:val="000000"/>
          <w:sz w:val="32"/>
          <w:szCs w:val="32"/>
        </w:rPr>
        <w:t>社会保障和就业（类）行政事业单位</w:t>
      </w:r>
      <w:r>
        <w:rPr>
          <w:rStyle w:val="19"/>
          <w:rFonts w:hint="eastAsia" w:ascii="仿宋" w:eastAsia="仿宋"/>
          <w:bCs/>
          <w:color w:val="000000"/>
          <w:sz w:val="32"/>
          <w:szCs w:val="32"/>
          <w:lang w:eastAsia="zh-CN"/>
        </w:rPr>
        <w:t>养老支出</w:t>
      </w:r>
      <w:r>
        <w:rPr>
          <w:rStyle w:val="19"/>
          <w:rFonts w:hint="eastAsia" w:ascii="仿宋" w:eastAsia="仿宋"/>
          <w:bCs/>
          <w:color w:val="000000"/>
          <w:sz w:val="32"/>
          <w:szCs w:val="32"/>
        </w:rPr>
        <w:t>（款）机关事业单位基本职业年金缴费支出（项）</w:t>
      </w:r>
      <w:r>
        <w:rPr>
          <w:rStyle w:val="19"/>
          <w:rFonts w:ascii="仿宋" w:eastAsia="仿宋"/>
          <w:bCs/>
          <w:color w:val="000000"/>
          <w:sz w:val="32"/>
          <w:szCs w:val="32"/>
        </w:rPr>
        <w:t>:</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35.73</w:t>
      </w:r>
      <w:r>
        <w:rPr>
          <w:rFonts w:hint="eastAsia" w:ascii="仿宋_GB2312" w:eastAsia="仿宋_GB2312"/>
          <w:color w:val="000000"/>
          <w:spacing w:val="-2"/>
          <w:sz w:val="32"/>
          <w:szCs w:val="32"/>
          <w:lang w:eastAsia="zh-CN"/>
        </w:rPr>
        <w:t>万元，完成预算100%，决算数等于预算数。</w:t>
      </w:r>
    </w:p>
    <w:p w14:paraId="4615A762">
      <w:pPr>
        <w:spacing w:line="600" w:lineRule="exact"/>
        <w:ind w:firstLine="643" w:firstLineChars="200"/>
        <w:rPr>
          <w:rFonts w:hint="eastAsia" w:ascii="仿宋_GB2312" w:eastAsia="仿宋_GB2312"/>
          <w:color w:val="000000"/>
          <w:spacing w:val="-2"/>
          <w:sz w:val="32"/>
          <w:szCs w:val="32"/>
          <w:lang w:eastAsia="zh-CN"/>
        </w:rPr>
      </w:pPr>
      <w:r>
        <w:rPr>
          <w:rStyle w:val="19"/>
          <w:rFonts w:hint="eastAsia" w:ascii="仿宋" w:eastAsia="仿宋"/>
          <w:bCs/>
          <w:color w:val="000000"/>
          <w:sz w:val="32"/>
          <w:szCs w:val="32"/>
          <w:lang w:val="en-US" w:eastAsia="zh-CN"/>
        </w:rPr>
        <w:t>6.</w:t>
      </w:r>
      <w:r>
        <w:rPr>
          <w:rStyle w:val="19"/>
          <w:rFonts w:hint="eastAsia" w:ascii="仿宋" w:eastAsia="仿宋"/>
          <w:bCs/>
          <w:color w:val="000000"/>
          <w:sz w:val="32"/>
          <w:szCs w:val="32"/>
        </w:rPr>
        <w:t>卫生健康支出（类）行政事业单位医疗（款）行政单位医疗（项）</w:t>
      </w:r>
      <w:r>
        <w:rPr>
          <w:rStyle w:val="19"/>
          <w:rFonts w:ascii="仿宋" w:eastAsia="仿宋"/>
          <w:bCs/>
          <w:color w:val="000000"/>
          <w:sz w:val="32"/>
          <w:szCs w:val="32"/>
        </w:rPr>
        <w:t>:</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25.28</w:t>
      </w:r>
      <w:r>
        <w:rPr>
          <w:rFonts w:hint="eastAsia" w:ascii="仿宋_GB2312" w:eastAsia="仿宋_GB2312"/>
          <w:color w:val="000000"/>
          <w:spacing w:val="-2"/>
          <w:sz w:val="32"/>
          <w:szCs w:val="32"/>
          <w:lang w:eastAsia="zh-CN"/>
        </w:rPr>
        <w:t>万元，完成预算100%，决算数等于预算数。</w:t>
      </w:r>
    </w:p>
    <w:p w14:paraId="2A8F8B47">
      <w:pPr>
        <w:spacing w:line="600" w:lineRule="exact"/>
        <w:ind w:firstLine="643" w:firstLineChars="200"/>
      </w:pPr>
      <w:r>
        <w:rPr>
          <w:rStyle w:val="19"/>
          <w:rFonts w:hint="eastAsia" w:ascii="仿宋" w:eastAsia="仿宋"/>
          <w:bCs/>
          <w:color w:val="000000"/>
          <w:sz w:val="32"/>
          <w:szCs w:val="32"/>
          <w:lang w:val="en-US" w:eastAsia="zh-CN"/>
        </w:rPr>
        <w:t>7.</w:t>
      </w:r>
      <w:r>
        <w:rPr>
          <w:rStyle w:val="19"/>
          <w:rFonts w:hint="eastAsia" w:ascii="仿宋" w:eastAsia="仿宋"/>
          <w:bCs/>
          <w:color w:val="000000"/>
          <w:sz w:val="32"/>
          <w:szCs w:val="32"/>
        </w:rPr>
        <w:t>卫生健康支出（类）行政事业单位医疗（款）</w:t>
      </w:r>
      <w:r>
        <w:rPr>
          <w:rStyle w:val="19"/>
          <w:rFonts w:hint="eastAsia" w:ascii="仿宋" w:eastAsia="仿宋"/>
          <w:bCs/>
          <w:color w:val="000000"/>
          <w:sz w:val="32"/>
          <w:szCs w:val="32"/>
          <w:lang w:eastAsia="zh-CN"/>
        </w:rPr>
        <w:t>事业</w:t>
      </w:r>
      <w:r>
        <w:rPr>
          <w:rStyle w:val="19"/>
          <w:rFonts w:hint="eastAsia" w:ascii="仿宋" w:eastAsia="仿宋"/>
          <w:bCs/>
          <w:color w:val="000000"/>
          <w:sz w:val="32"/>
          <w:szCs w:val="32"/>
        </w:rPr>
        <w:t>单位医疗（项）</w:t>
      </w:r>
      <w:r>
        <w:rPr>
          <w:rStyle w:val="19"/>
          <w:rFonts w:ascii="仿宋" w:eastAsia="仿宋"/>
          <w:bCs/>
          <w:color w:val="000000"/>
          <w:sz w:val="32"/>
          <w:szCs w:val="32"/>
        </w:rPr>
        <w:t>:</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13.41</w:t>
      </w:r>
      <w:r>
        <w:rPr>
          <w:rFonts w:hint="eastAsia" w:ascii="仿宋_GB2312" w:eastAsia="仿宋_GB2312"/>
          <w:color w:val="000000"/>
          <w:spacing w:val="-2"/>
          <w:sz w:val="32"/>
          <w:szCs w:val="32"/>
          <w:lang w:eastAsia="zh-CN"/>
        </w:rPr>
        <w:t>万元，完成预算100%，决算数等于预算数。</w:t>
      </w:r>
    </w:p>
    <w:p w14:paraId="384F8FEC">
      <w:pPr>
        <w:spacing w:line="600" w:lineRule="exact"/>
        <w:ind w:firstLine="643" w:firstLineChars="200"/>
        <w:rPr>
          <w:rFonts w:hint="eastAsia" w:ascii="仿宋_GB2312" w:eastAsia="仿宋_GB2312"/>
          <w:color w:val="000000"/>
          <w:spacing w:val="-2"/>
          <w:sz w:val="32"/>
          <w:szCs w:val="32"/>
          <w:lang w:eastAsia="zh-CN"/>
        </w:rPr>
      </w:pPr>
      <w:r>
        <w:rPr>
          <w:rStyle w:val="19"/>
          <w:rFonts w:hint="eastAsia" w:ascii="仿宋" w:eastAsia="仿宋"/>
          <w:bCs/>
          <w:color w:val="000000"/>
          <w:sz w:val="32"/>
          <w:szCs w:val="32"/>
          <w:lang w:val="en-US" w:eastAsia="zh-CN"/>
        </w:rPr>
        <w:t>8</w:t>
      </w:r>
      <w:r>
        <w:rPr>
          <w:rStyle w:val="19"/>
          <w:rFonts w:hint="eastAsia" w:ascii="仿宋" w:eastAsia="仿宋"/>
          <w:bCs/>
          <w:color w:val="000000"/>
          <w:sz w:val="32"/>
          <w:szCs w:val="32"/>
        </w:rPr>
        <w:t>.卫生健康支出（类）行政事业单位医疗（款）公务员医疗补助（项）</w:t>
      </w:r>
      <w:r>
        <w:rPr>
          <w:rStyle w:val="19"/>
          <w:rFonts w:ascii="仿宋" w:eastAsia="仿宋"/>
          <w:bCs/>
          <w:color w:val="000000"/>
          <w:sz w:val="32"/>
          <w:szCs w:val="32"/>
        </w:rPr>
        <w:t>:</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6.24</w:t>
      </w:r>
      <w:r>
        <w:rPr>
          <w:rFonts w:hint="eastAsia" w:ascii="仿宋_GB2312" w:eastAsia="仿宋_GB2312"/>
          <w:color w:val="000000"/>
          <w:spacing w:val="-2"/>
          <w:sz w:val="32"/>
          <w:szCs w:val="32"/>
          <w:lang w:eastAsia="zh-CN"/>
        </w:rPr>
        <w:t>万元，完成预算100%，决算数等于预算数。</w:t>
      </w:r>
    </w:p>
    <w:p w14:paraId="60FD8AEB">
      <w:pPr>
        <w:spacing w:line="600" w:lineRule="exact"/>
        <w:ind w:firstLine="643" w:firstLineChars="200"/>
        <w:rPr>
          <w:rFonts w:hint="eastAsia" w:ascii="仿宋_GB2312" w:eastAsia="仿宋_GB2312"/>
          <w:color w:val="000000"/>
          <w:spacing w:val="-2"/>
          <w:sz w:val="32"/>
          <w:szCs w:val="32"/>
          <w:lang w:eastAsia="zh-CN"/>
        </w:rPr>
      </w:pPr>
      <w:r>
        <w:rPr>
          <w:rStyle w:val="19"/>
          <w:rFonts w:hint="eastAsia" w:ascii="仿宋" w:eastAsia="仿宋"/>
          <w:bCs/>
          <w:color w:val="000000"/>
          <w:sz w:val="32"/>
          <w:szCs w:val="32"/>
          <w:lang w:val="en-US" w:eastAsia="zh-CN"/>
        </w:rPr>
        <w:t>9</w:t>
      </w:r>
      <w:r>
        <w:rPr>
          <w:rStyle w:val="19"/>
          <w:rFonts w:hint="eastAsia" w:ascii="仿宋" w:eastAsia="仿宋"/>
          <w:bCs/>
          <w:color w:val="000000"/>
          <w:sz w:val="32"/>
          <w:szCs w:val="32"/>
        </w:rPr>
        <w:t>.卫生健康支出（类）行政事业单位医疗（款）</w:t>
      </w:r>
      <w:r>
        <w:rPr>
          <w:rStyle w:val="19"/>
          <w:rFonts w:hint="eastAsia" w:ascii="仿宋" w:eastAsia="仿宋" w:cs="Times New Roman"/>
          <w:bCs/>
          <w:color w:val="000000"/>
          <w:sz w:val="32"/>
          <w:szCs w:val="32"/>
        </w:rPr>
        <w:t>其他行政事业单位医疗支出</w:t>
      </w:r>
      <w:r>
        <w:rPr>
          <w:rStyle w:val="19"/>
          <w:rFonts w:hint="eastAsia" w:ascii="仿宋" w:eastAsia="仿宋"/>
          <w:bCs/>
          <w:color w:val="000000"/>
          <w:sz w:val="32"/>
          <w:szCs w:val="32"/>
        </w:rPr>
        <w:t>（项）</w:t>
      </w:r>
      <w:r>
        <w:rPr>
          <w:rStyle w:val="19"/>
          <w:rFonts w:ascii="仿宋" w:eastAsia="仿宋"/>
          <w:bCs/>
          <w:color w:val="000000"/>
          <w:sz w:val="32"/>
          <w:szCs w:val="32"/>
        </w:rPr>
        <w:t>:</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2.79</w:t>
      </w:r>
      <w:r>
        <w:rPr>
          <w:rFonts w:hint="eastAsia" w:ascii="仿宋_GB2312" w:eastAsia="仿宋_GB2312"/>
          <w:color w:val="000000"/>
          <w:spacing w:val="-2"/>
          <w:sz w:val="32"/>
          <w:szCs w:val="32"/>
          <w:lang w:eastAsia="zh-CN"/>
        </w:rPr>
        <w:t>万元，完成预算100%，决算数等于预算数。</w:t>
      </w:r>
    </w:p>
    <w:p w14:paraId="658C7074">
      <w:pPr>
        <w:spacing w:line="600" w:lineRule="exact"/>
        <w:ind w:firstLine="643" w:firstLineChars="200"/>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10</w:t>
      </w:r>
      <w:r>
        <w:rPr>
          <w:rStyle w:val="19"/>
          <w:rFonts w:hint="eastAsia" w:ascii="仿宋" w:eastAsia="仿宋"/>
          <w:bCs/>
          <w:color w:val="000000"/>
          <w:sz w:val="32"/>
          <w:szCs w:val="32"/>
        </w:rPr>
        <w:t>.农林水支出（类）农业农村（款）</w:t>
      </w:r>
      <w:r>
        <w:rPr>
          <w:rStyle w:val="19"/>
          <w:rFonts w:hint="eastAsia" w:ascii="仿宋" w:eastAsia="仿宋"/>
          <w:bCs/>
          <w:color w:val="000000"/>
          <w:sz w:val="32"/>
          <w:szCs w:val="32"/>
          <w:lang w:eastAsia="zh-CN"/>
        </w:rPr>
        <w:t>事业运行</w:t>
      </w:r>
      <w:r>
        <w:rPr>
          <w:rStyle w:val="19"/>
          <w:rFonts w:hint="eastAsia" w:ascii="仿宋" w:eastAsia="仿宋"/>
          <w:bCs/>
          <w:color w:val="000000"/>
          <w:sz w:val="32"/>
          <w:szCs w:val="32"/>
        </w:rPr>
        <w:t>（项）：</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222.67</w:t>
      </w:r>
      <w:r>
        <w:rPr>
          <w:rFonts w:hint="eastAsia" w:ascii="仿宋_GB2312" w:eastAsia="仿宋_GB2312"/>
          <w:color w:val="000000"/>
          <w:spacing w:val="-2"/>
          <w:sz w:val="32"/>
          <w:szCs w:val="32"/>
          <w:lang w:eastAsia="zh-CN"/>
        </w:rPr>
        <w:t>万元，完成预算100%，决算数等于预算数。</w:t>
      </w:r>
    </w:p>
    <w:p w14:paraId="7C635BA7">
      <w:pPr>
        <w:spacing w:line="600" w:lineRule="exact"/>
        <w:ind w:firstLine="643" w:firstLineChars="200"/>
        <w:rPr>
          <w:rFonts w:hint="eastAsia" w:ascii="仿宋_GB2312" w:eastAsia="仿宋_GB2312"/>
          <w:color w:val="000000"/>
          <w:spacing w:val="-2"/>
          <w:sz w:val="32"/>
          <w:szCs w:val="32"/>
          <w:lang w:eastAsia="zh-CN"/>
        </w:rPr>
      </w:pPr>
      <w:r>
        <w:rPr>
          <w:rStyle w:val="19"/>
          <w:rFonts w:hint="eastAsia" w:ascii="仿宋" w:eastAsia="仿宋"/>
          <w:bCs/>
          <w:color w:val="000000"/>
          <w:sz w:val="32"/>
          <w:szCs w:val="32"/>
          <w:lang w:val="en-US" w:eastAsia="zh-CN"/>
        </w:rPr>
        <w:t>11</w:t>
      </w:r>
      <w:r>
        <w:rPr>
          <w:rStyle w:val="19"/>
          <w:rFonts w:hint="eastAsia" w:ascii="仿宋" w:eastAsia="仿宋"/>
          <w:bCs/>
          <w:color w:val="000000"/>
          <w:sz w:val="32"/>
          <w:szCs w:val="32"/>
        </w:rPr>
        <w:t>.农林水支出（类）巩固脱贫攻坚成果衔接乡村振兴（款）</w:t>
      </w:r>
      <w:r>
        <w:rPr>
          <w:rStyle w:val="19"/>
          <w:rFonts w:hint="eastAsia" w:ascii="仿宋" w:eastAsia="仿宋"/>
          <w:bCs/>
          <w:color w:val="000000"/>
          <w:sz w:val="32"/>
          <w:szCs w:val="32"/>
          <w:lang w:eastAsia="zh-CN"/>
        </w:rPr>
        <w:t>农村基础设施建设</w:t>
      </w:r>
      <w:r>
        <w:rPr>
          <w:rStyle w:val="19"/>
          <w:rFonts w:hint="eastAsia" w:ascii="仿宋" w:eastAsia="仿宋"/>
          <w:bCs/>
          <w:color w:val="000000"/>
          <w:sz w:val="32"/>
          <w:szCs w:val="32"/>
        </w:rPr>
        <w:t>（项）：</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26.76</w:t>
      </w:r>
      <w:r>
        <w:rPr>
          <w:rFonts w:hint="eastAsia" w:ascii="仿宋_GB2312" w:eastAsia="仿宋_GB2312"/>
          <w:color w:val="000000"/>
          <w:spacing w:val="-2"/>
          <w:sz w:val="32"/>
          <w:szCs w:val="32"/>
          <w:lang w:eastAsia="zh-CN"/>
        </w:rPr>
        <w:t>万元，完成预算100%，决算数等于预算数。</w:t>
      </w:r>
    </w:p>
    <w:p w14:paraId="5D222BD0">
      <w:pPr>
        <w:spacing w:line="600" w:lineRule="exact"/>
        <w:ind w:firstLine="643" w:firstLineChars="200"/>
        <w:rPr>
          <w:rStyle w:val="19"/>
          <w:rFonts w:hint="eastAsia" w:ascii="仿宋" w:eastAsia="仿宋" w:cs="Times New Roman"/>
          <w:bCs/>
          <w:color w:val="000000"/>
          <w:sz w:val="32"/>
          <w:szCs w:val="32"/>
          <w:lang w:val="en-US" w:eastAsia="zh-CN"/>
        </w:rPr>
      </w:pPr>
      <w:r>
        <w:rPr>
          <w:rStyle w:val="19"/>
          <w:rFonts w:hint="eastAsia" w:ascii="仿宋" w:eastAsia="仿宋"/>
          <w:bCs/>
          <w:color w:val="000000"/>
          <w:sz w:val="32"/>
          <w:szCs w:val="32"/>
          <w:lang w:val="en-US" w:eastAsia="zh-CN"/>
        </w:rPr>
        <w:t>12</w:t>
      </w:r>
      <w:r>
        <w:rPr>
          <w:rStyle w:val="19"/>
          <w:rFonts w:hint="eastAsia" w:ascii="仿宋" w:eastAsia="仿宋"/>
          <w:bCs/>
          <w:color w:val="000000"/>
          <w:sz w:val="32"/>
          <w:szCs w:val="32"/>
        </w:rPr>
        <w:t>.农林水支出（类）巩固脱贫攻坚成果衔接乡村振兴（款）</w:t>
      </w:r>
      <w:r>
        <w:rPr>
          <w:rStyle w:val="19"/>
          <w:rFonts w:hint="eastAsia" w:ascii="仿宋" w:eastAsia="仿宋"/>
          <w:bCs/>
          <w:color w:val="000000"/>
          <w:sz w:val="32"/>
          <w:szCs w:val="32"/>
          <w:lang w:eastAsia="zh-CN"/>
        </w:rPr>
        <w:t>其他巩固脱贫攻坚成果衔接乡村振兴支出</w:t>
      </w:r>
      <w:r>
        <w:rPr>
          <w:rStyle w:val="19"/>
          <w:rFonts w:hint="eastAsia" w:ascii="仿宋" w:eastAsia="仿宋"/>
          <w:bCs/>
          <w:color w:val="000000"/>
          <w:sz w:val="32"/>
          <w:szCs w:val="32"/>
        </w:rPr>
        <w:t>（项）：</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100.06</w:t>
      </w:r>
      <w:r>
        <w:rPr>
          <w:rFonts w:hint="eastAsia" w:ascii="仿宋_GB2312" w:eastAsia="仿宋_GB2312"/>
          <w:color w:val="000000"/>
          <w:spacing w:val="-2"/>
          <w:sz w:val="32"/>
          <w:szCs w:val="32"/>
          <w:lang w:eastAsia="zh-CN"/>
        </w:rPr>
        <w:t>万元，完成预算100%，决算数等于预算数。</w:t>
      </w:r>
      <w:r>
        <w:rPr>
          <w:rFonts w:hint="eastAsia" w:ascii="仿宋_GB2312" w:eastAsia="仿宋_GB2312"/>
          <w:color w:val="000000"/>
          <w:spacing w:val="-2"/>
          <w:sz w:val="32"/>
          <w:szCs w:val="32"/>
          <w:lang w:val="en-US" w:eastAsia="zh-CN"/>
        </w:rPr>
        <w:t xml:space="preserve">                     </w:t>
      </w:r>
      <w:r>
        <w:rPr>
          <w:rStyle w:val="19"/>
          <w:rFonts w:hint="eastAsia" w:ascii="仿宋" w:eastAsia="仿宋" w:cs="Times New Roman"/>
          <w:bCs/>
          <w:color w:val="000000"/>
          <w:sz w:val="32"/>
          <w:szCs w:val="32"/>
          <w:lang w:val="en-US" w:eastAsia="zh-CN"/>
        </w:rPr>
        <w:t xml:space="preserve">       </w:t>
      </w:r>
    </w:p>
    <w:p w14:paraId="6B048FA7">
      <w:pPr>
        <w:spacing w:line="600" w:lineRule="exact"/>
        <w:ind w:firstLine="643" w:firstLineChars="200"/>
        <w:rPr>
          <w:rStyle w:val="19"/>
          <w:rFonts w:hint="eastAsia" w:ascii="仿宋" w:eastAsia="仿宋"/>
          <w:b w:val="0"/>
          <w:bCs/>
          <w:color w:val="000000"/>
          <w:sz w:val="32"/>
          <w:szCs w:val="32"/>
          <w:lang w:eastAsia="zh-CN"/>
        </w:rPr>
      </w:pPr>
      <w:r>
        <w:rPr>
          <w:rStyle w:val="19"/>
          <w:rFonts w:hint="eastAsia" w:ascii="仿宋" w:eastAsia="仿宋"/>
          <w:bCs/>
          <w:color w:val="000000"/>
          <w:sz w:val="32"/>
          <w:szCs w:val="32"/>
          <w:lang w:val="en-US" w:eastAsia="zh-CN"/>
        </w:rPr>
        <w:t>13</w:t>
      </w:r>
      <w:r>
        <w:rPr>
          <w:rStyle w:val="19"/>
          <w:rFonts w:hint="eastAsia" w:ascii="仿宋" w:eastAsia="仿宋"/>
          <w:bCs/>
          <w:color w:val="000000"/>
          <w:sz w:val="32"/>
          <w:szCs w:val="32"/>
        </w:rPr>
        <w:t>.农林水支出（类）</w:t>
      </w:r>
      <w:r>
        <w:rPr>
          <w:rStyle w:val="19"/>
          <w:rFonts w:hint="eastAsia" w:ascii="仿宋" w:eastAsia="仿宋"/>
          <w:bCs/>
          <w:color w:val="000000"/>
          <w:sz w:val="32"/>
          <w:szCs w:val="32"/>
          <w:lang w:eastAsia="zh-CN"/>
        </w:rPr>
        <w:t>农村综合改革</w:t>
      </w:r>
      <w:r>
        <w:rPr>
          <w:rStyle w:val="19"/>
          <w:rFonts w:hint="eastAsia" w:ascii="仿宋" w:eastAsia="仿宋"/>
          <w:bCs/>
          <w:color w:val="000000"/>
          <w:sz w:val="32"/>
          <w:szCs w:val="32"/>
        </w:rPr>
        <w:t>（款）</w:t>
      </w:r>
      <w:r>
        <w:rPr>
          <w:rStyle w:val="19"/>
          <w:rFonts w:hint="eastAsia" w:ascii="仿宋" w:eastAsia="仿宋"/>
          <w:bCs/>
          <w:color w:val="000000"/>
          <w:sz w:val="32"/>
          <w:szCs w:val="32"/>
          <w:lang w:eastAsia="zh-CN"/>
        </w:rPr>
        <w:t>对村民委员会和村党支部的补助</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203.87</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，决算数等于预算数</w:t>
      </w:r>
      <w:r>
        <w:rPr>
          <w:rStyle w:val="19"/>
          <w:rFonts w:hint="eastAsia" w:ascii="仿宋" w:eastAsia="仿宋"/>
          <w:b w:val="0"/>
          <w:bCs/>
          <w:color w:val="000000"/>
          <w:sz w:val="32"/>
          <w:szCs w:val="32"/>
          <w:lang w:eastAsia="zh-CN"/>
        </w:rPr>
        <w:t>。</w:t>
      </w:r>
    </w:p>
    <w:p w14:paraId="1F420962">
      <w:pPr>
        <w:pStyle w:val="10"/>
        <w:ind w:firstLine="643" w:firstLineChars="200"/>
        <w:rPr>
          <w:rFonts w:hint="eastAsia" w:ascii="仿宋_GB2312" w:eastAsia="仿宋_GB2312"/>
          <w:color w:val="000000"/>
          <w:spacing w:val="-2"/>
          <w:sz w:val="32"/>
          <w:szCs w:val="32"/>
          <w:lang w:eastAsia="zh-CN"/>
        </w:rPr>
      </w:pPr>
      <w:r>
        <w:rPr>
          <w:rStyle w:val="19"/>
          <w:rFonts w:hint="eastAsia" w:ascii="仿宋" w:eastAsia="仿宋" w:cs="Times New Roman"/>
          <w:bCs/>
          <w:color w:val="000000"/>
          <w:kern w:val="2"/>
          <w:sz w:val="32"/>
          <w:szCs w:val="32"/>
          <w:lang w:val="en-US" w:eastAsia="zh-CN" w:bidi="ar-SA"/>
        </w:rPr>
        <w:t>14.住房保障支出（类）住房改革支出（款）住房公积金（项）</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63.95</w:t>
      </w:r>
      <w:r>
        <w:rPr>
          <w:rFonts w:hint="eastAsia" w:ascii="仿宋_GB2312" w:eastAsia="仿宋_GB2312"/>
          <w:color w:val="000000"/>
          <w:spacing w:val="-2"/>
          <w:sz w:val="32"/>
          <w:szCs w:val="32"/>
          <w:lang w:eastAsia="zh-CN"/>
        </w:rPr>
        <w:t>万元，完成预算100%，决算数等于预算数。</w:t>
      </w:r>
    </w:p>
    <w:p w14:paraId="07532FFD">
      <w:pPr>
        <w:spacing w:line="600" w:lineRule="exact"/>
        <w:ind w:firstLine="643" w:firstLineChars="200"/>
        <w:rPr>
          <w:rFonts w:hint="eastAsia"/>
          <w:lang w:eastAsia="zh-CN"/>
        </w:rPr>
      </w:pPr>
      <w:r>
        <w:rPr>
          <w:rStyle w:val="19"/>
          <w:rFonts w:hint="eastAsia" w:ascii="仿宋" w:eastAsia="仿宋"/>
          <w:bCs/>
          <w:color w:val="000000"/>
          <w:sz w:val="32"/>
          <w:szCs w:val="32"/>
          <w:lang w:val="en-US" w:eastAsia="zh-CN"/>
        </w:rPr>
        <w:t>15</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国有资本经营预算支出</w:t>
      </w:r>
      <w:r>
        <w:rPr>
          <w:rStyle w:val="19"/>
          <w:rFonts w:hint="eastAsia" w:ascii="仿宋" w:eastAsia="仿宋"/>
          <w:bCs/>
          <w:color w:val="000000"/>
          <w:sz w:val="32"/>
          <w:szCs w:val="32"/>
        </w:rPr>
        <w:t>（类）</w:t>
      </w:r>
      <w:r>
        <w:rPr>
          <w:rStyle w:val="19"/>
          <w:rFonts w:hint="eastAsia" w:ascii="仿宋" w:eastAsia="仿宋"/>
          <w:bCs/>
          <w:color w:val="000000"/>
          <w:sz w:val="32"/>
          <w:szCs w:val="32"/>
          <w:lang w:val="en-US" w:eastAsia="zh-CN"/>
        </w:rPr>
        <w:t>解决历史遗留问题及改革成本支出</w:t>
      </w:r>
      <w:r>
        <w:rPr>
          <w:rStyle w:val="19"/>
          <w:rFonts w:hint="eastAsia" w:ascii="仿宋" w:eastAsia="仿宋"/>
          <w:bCs/>
          <w:color w:val="000000"/>
          <w:sz w:val="32"/>
          <w:szCs w:val="32"/>
        </w:rPr>
        <w:t>（款）</w:t>
      </w:r>
      <w:r>
        <w:rPr>
          <w:rStyle w:val="19"/>
          <w:rFonts w:hint="eastAsia" w:ascii="仿宋" w:eastAsia="仿宋"/>
          <w:bCs/>
          <w:color w:val="000000"/>
          <w:sz w:val="32"/>
          <w:szCs w:val="32"/>
          <w:lang w:val="en-US" w:eastAsia="zh-CN"/>
        </w:rPr>
        <w:t>国有企业退休人员社会化管理补助支出</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0.05</w:t>
      </w:r>
      <w:r>
        <w:rPr>
          <w:rStyle w:val="19"/>
          <w:rFonts w:hint="eastAsia" w:ascii="仿宋" w:eastAsia="仿宋"/>
          <w:b w:val="0"/>
          <w:bCs/>
          <w:color w:val="000000"/>
          <w:sz w:val="32"/>
          <w:szCs w:val="32"/>
        </w:rPr>
        <w:t>万元，完成预算100</w:t>
      </w:r>
      <w:r>
        <w:rPr>
          <w:rStyle w:val="19"/>
          <w:rFonts w:ascii="仿宋" w:eastAsia="仿宋"/>
          <w:b w:val="0"/>
          <w:bCs/>
          <w:color w:val="000000"/>
          <w:sz w:val="32"/>
          <w:szCs w:val="32"/>
        </w:rPr>
        <w:t>%</w:t>
      </w:r>
      <w:r>
        <w:rPr>
          <w:rStyle w:val="19"/>
          <w:rFonts w:hint="eastAsia" w:ascii="仿宋" w:eastAsia="仿宋"/>
          <w:b w:val="0"/>
          <w:bCs/>
          <w:color w:val="000000"/>
          <w:sz w:val="32"/>
          <w:szCs w:val="32"/>
        </w:rPr>
        <w:t>，决算数等于预算数</w:t>
      </w:r>
      <w:r>
        <w:rPr>
          <w:rStyle w:val="19"/>
          <w:rFonts w:hint="eastAsia" w:ascii="仿宋" w:eastAsia="仿宋"/>
          <w:b w:val="0"/>
          <w:bCs/>
          <w:color w:val="000000"/>
          <w:sz w:val="32"/>
          <w:szCs w:val="32"/>
          <w:lang w:eastAsia="zh-CN"/>
        </w:rPr>
        <w:t>。</w:t>
      </w:r>
    </w:p>
    <w:p w14:paraId="34D5D54A">
      <w:pPr>
        <w:spacing w:line="600" w:lineRule="exact"/>
        <w:ind w:firstLine="640" w:firstLineChars="200"/>
        <w:rPr>
          <w:rStyle w:val="22"/>
        </w:rPr>
      </w:pPr>
      <w:r>
        <w:rPr>
          <w:rFonts w:hint="eastAsia" w:ascii="黑体" w:eastAsia="黑体"/>
          <w:color w:val="000000"/>
          <w:sz w:val="32"/>
          <w:szCs w:val="32"/>
        </w:rPr>
        <w:t>六</w:t>
      </w:r>
      <w:r>
        <w:rPr>
          <w:rFonts w:hint="eastAsia" w:ascii="黑体" w:eastAsia="黑体"/>
          <w:b/>
          <w:color w:val="000000"/>
          <w:sz w:val="32"/>
          <w:szCs w:val="32"/>
        </w:rPr>
        <w:t>、一</w:t>
      </w:r>
      <w:r>
        <w:rPr>
          <w:rStyle w:val="22"/>
          <w:rFonts w:hint="eastAsia" w:ascii="黑体" w:eastAsia="黑体"/>
          <w:b w:val="0"/>
        </w:rPr>
        <w:t>般公共预算财政拨款基本支出决算情况说明</w:t>
      </w:r>
      <w:bookmarkEnd w:id="41"/>
      <w:r>
        <w:rPr>
          <w:rStyle w:val="22"/>
          <w:rFonts w:ascii="黑体" w:eastAsia="黑体"/>
          <w:b w:val="0"/>
        </w:rPr>
        <w:tab/>
      </w:r>
    </w:p>
    <w:p w14:paraId="29FDEBD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2024年一般公共预算财政拨款支出</w:t>
      </w:r>
      <w:r>
        <w:rPr>
          <w:rFonts w:hint="eastAsia" w:eastAsia="仿宋_GB2312" w:cs="仿宋_GB2312"/>
          <w:color w:val="auto"/>
          <w:kern w:val="2"/>
          <w:sz w:val="32"/>
          <w:szCs w:val="32"/>
          <w:highlight w:val="none"/>
          <w:lang w:val="en-US" w:eastAsia="zh-CN" w:bidi="ar-SA"/>
        </w:rPr>
        <w:t>1154.84</w:t>
      </w:r>
      <w:r>
        <w:rPr>
          <w:rFonts w:hint="eastAsia" w:ascii="Times New Roman" w:hAnsi="Times New Roman" w:eastAsia="仿宋_GB2312" w:cs="仿宋_GB2312"/>
          <w:color w:val="auto"/>
          <w:kern w:val="2"/>
          <w:sz w:val="32"/>
          <w:szCs w:val="32"/>
          <w:highlight w:val="none"/>
          <w:lang w:val="en-US" w:eastAsia="zh-CN" w:bidi="ar-SA"/>
        </w:rPr>
        <w:t>万元</w:t>
      </w:r>
      <w:bookmarkStart w:id="42" w:name="_Toc15377215"/>
      <w:r>
        <w:rPr>
          <w:rFonts w:hint="eastAsia" w:ascii="Times New Roman" w:hAnsi="Times New Roman" w:eastAsia="仿宋_GB2312" w:cs="仿宋_GB2312"/>
          <w:color w:val="auto"/>
          <w:kern w:val="2"/>
          <w:sz w:val="32"/>
          <w:szCs w:val="32"/>
          <w:highlight w:val="none"/>
          <w:lang w:val="en-US" w:eastAsia="zh-CN" w:bidi="ar-SA"/>
        </w:rPr>
        <w:t>。</w:t>
      </w:r>
    </w:p>
    <w:p w14:paraId="7937CE8D">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w:t>
      </w:r>
      <w:r>
        <w:rPr>
          <w:rFonts w:ascii="Times New Roman" w:hAnsi="Times New Roman" w:eastAsia="仿宋_GB2312" w:cs="仿宋_GB2312"/>
          <w:color w:val="auto"/>
          <w:kern w:val="2"/>
          <w:sz w:val="32"/>
          <w:szCs w:val="32"/>
          <w:highlight w:val="none"/>
          <w:lang w:val="en-US" w:eastAsia="zh-CN" w:bidi="ar-SA"/>
        </w:rPr>
        <w:t>工资福利支出：</w:t>
      </w:r>
      <w:r>
        <w:rPr>
          <w:rFonts w:hint="eastAsia" w:eastAsia="仿宋_GB2312" w:cs="仿宋_GB2312"/>
          <w:color w:val="auto"/>
          <w:kern w:val="2"/>
          <w:sz w:val="32"/>
          <w:szCs w:val="32"/>
          <w:highlight w:val="none"/>
          <w:lang w:val="en-US" w:eastAsia="zh-CN" w:bidi="ar-SA"/>
        </w:rPr>
        <w:t>782.04</w:t>
      </w:r>
      <w:r>
        <w:rPr>
          <w:rFonts w:ascii="Times New Roman" w:hAnsi="Times New Roman" w:eastAsia="仿宋_GB2312" w:cs="仿宋_GB2312"/>
          <w:color w:val="auto"/>
          <w:kern w:val="2"/>
          <w:sz w:val="32"/>
          <w:szCs w:val="32"/>
          <w:highlight w:val="none"/>
          <w:lang w:val="en-US" w:eastAsia="zh-CN" w:bidi="ar-SA"/>
        </w:rPr>
        <w:t>万元，主要包括：基本工资</w:t>
      </w:r>
      <w:r>
        <w:rPr>
          <w:rFonts w:hint="eastAsia" w:eastAsia="仿宋_GB2312" w:cs="仿宋_GB2312"/>
          <w:color w:val="auto"/>
          <w:kern w:val="2"/>
          <w:sz w:val="32"/>
          <w:szCs w:val="32"/>
          <w:highlight w:val="none"/>
          <w:lang w:val="en-US" w:eastAsia="zh-CN" w:bidi="ar-SA"/>
        </w:rPr>
        <w:t>141.76</w:t>
      </w:r>
      <w:r>
        <w:rPr>
          <w:rFonts w:ascii="Times New Roman" w:hAnsi="Times New Roman" w:eastAsia="仿宋_GB2312" w:cs="仿宋_GB2312"/>
          <w:color w:val="auto"/>
          <w:kern w:val="2"/>
          <w:sz w:val="32"/>
          <w:szCs w:val="32"/>
          <w:highlight w:val="none"/>
          <w:lang w:val="en-US" w:eastAsia="zh-CN" w:bidi="ar-SA"/>
        </w:rPr>
        <w:t>万元、津贴补贴</w:t>
      </w:r>
      <w:r>
        <w:rPr>
          <w:rFonts w:hint="eastAsia" w:eastAsia="仿宋_GB2312" w:cs="仿宋_GB2312"/>
          <w:color w:val="auto"/>
          <w:kern w:val="2"/>
          <w:sz w:val="32"/>
          <w:szCs w:val="32"/>
          <w:highlight w:val="none"/>
          <w:lang w:val="en-US" w:eastAsia="zh-CN" w:bidi="ar-SA"/>
        </w:rPr>
        <w:t>175.38</w:t>
      </w:r>
      <w:r>
        <w:rPr>
          <w:rFonts w:ascii="Times New Roman" w:hAnsi="Times New Roman" w:eastAsia="仿宋_GB2312" w:cs="仿宋_GB2312"/>
          <w:color w:val="auto"/>
          <w:kern w:val="2"/>
          <w:sz w:val="32"/>
          <w:szCs w:val="32"/>
          <w:highlight w:val="none"/>
          <w:lang w:val="en-US" w:eastAsia="zh-CN" w:bidi="ar-SA"/>
        </w:rPr>
        <w:t>万元、奖金</w:t>
      </w:r>
      <w:r>
        <w:rPr>
          <w:rFonts w:hint="eastAsia" w:eastAsia="仿宋_GB2312" w:cs="仿宋_GB2312"/>
          <w:color w:val="auto"/>
          <w:kern w:val="2"/>
          <w:sz w:val="32"/>
          <w:szCs w:val="32"/>
          <w:highlight w:val="none"/>
          <w:lang w:val="en-US" w:eastAsia="zh-CN" w:bidi="ar-SA"/>
        </w:rPr>
        <w:t>193.72</w:t>
      </w:r>
      <w:r>
        <w:rPr>
          <w:rFonts w:hint="eastAsia" w:ascii="Times New Roman" w:hAnsi="Times New Roman" w:eastAsia="仿宋_GB2312" w:cs="仿宋_GB2312"/>
          <w:color w:val="auto"/>
          <w:kern w:val="2"/>
          <w:sz w:val="32"/>
          <w:szCs w:val="32"/>
          <w:highlight w:val="none"/>
          <w:lang w:val="en-US" w:eastAsia="zh-CN" w:bidi="ar-SA"/>
        </w:rPr>
        <w:t>万</w:t>
      </w:r>
      <w:r>
        <w:rPr>
          <w:rFonts w:ascii="Times New Roman" w:hAnsi="Times New Roman" w:eastAsia="仿宋_GB2312" w:cs="仿宋_GB2312"/>
          <w:color w:val="auto"/>
          <w:kern w:val="2"/>
          <w:sz w:val="32"/>
          <w:szCs w:val="32"/>
          <w:highlight w:val="none"/>
          <w:lang w:val="en-US" w:eastAsia="zh-CN" w:bidi="ar-SA"/>
        </w:rPr>
        <w:t>元、绩效工资</w:t>
      </w:r>
      <w:r>
        <w:rPr>
          <w:rFonts w:hint="eastAsia" w:eastAsia="仿宋_GB2312" w:cs="仿宋_GB2312"/>
          <w:color w:val="auto"/>
          <w:kern w:val="2"/>
          <w:sz w:val="32"/>
          <w:szCs w:val="32"/>
          <w:highlight w:val="none"/>
          <w:lang w:val="en-US" w:eastAsia="zh-CN" w:bidi="ar-SA"/>
        </w:rPr>
        <w:t>42.91</w:t>
      </w:r>
      <w:r>
        <w:rPr>
          <w:rFonts w:ascii="Times New Roman" w:hAnsi="Times New Roman" w:eastAsia="仿宋_GB2312" w:cs="仿宋_GB2312"/>
          <w:color w:val="auto"/>
          <w:kern w:val="2"/>
          <w:sz w:val="32"/>
          <w:szCs w:val="32"/>
          <w:highlight w:val="none"/>
          <w:lang w:val="en-US" w:eastAsia="zh-CN" w:bidi="ar-SA"/>
        </w:rPr>
        <w:t>万元，机关事业单位基本养老保险缴费</w:t>
      </w:r>
      <w:r>
        <w:rPr>
          <w:rFonts w:hint="eastAsia" w:eastAsia="仿宋_GB2312" w:cs="仿宋_GB2312"/>
          <w:color w:val="auto"/>
          <w:kern w:val="2"/>
          <w:sz w:val="32"/>
          <w:szCs w:val="32"/>
          <w:highlight w:val="none"/>
          <w:lang w:val="en-US" w:eastAsia="zh-CN" w:bidi="ar-SA"/>
        </w:rPr>
        <w:t>71.58</w:t>
      </w:r>
      <w:r>
        <w:rPr>
          <w:rFonts w:ascii="Times New Roman" w:hAnsi="Times New Roman" w:eastAsia="仿宋_GB2312" w:cs="仿宋_GB2312"/>
          <w:color w:val="auto"/>
          <w:kern w:val="2"/>
          <w:sz w:val="32"/>
          <w:szCs w:val="32"/>
          <w:highlight w:val="none"/>
          <w:lang w:val="en-US" w:eastAsia="zh-CN" w:bidi="ar-SA"/>
        </w:rPr>
        <w:t>万元、职业年金缴费</w:t>
      </w:r>
      <w:r>
        <w:rPr>
          <w:rFonts w:hint="eastAsia" w:eastAsia="仿宋_GB2312" w:cs="仿宋_GB2312"/>
          <w:color w:val="auto"/>
          <w:kern w:val="2"/>
          <w:sz w:val="32"/>
          <w:szCs w:val="32"/>
          <w:highlight w:val="none"/>
          <w:lang w:val="en-US" w:eastAsia="zh-CN" w:bidi="ar-SA"/>
        </w:rPr>
        <w:t>35.73</w:t>
      </w:r>
      <w:r>
        <w:rPr>
          <w:rFonts w:ascii="Times New Roman" w:hAnsi="Times New Roman" w:eastAsia="仿宋_GB2312" w:cs="仿宋_GB2312"/>
          <w:color w:val="auto"/>
          <w:kern w:val="2"/>
          <w:sz w:val="32"/>
          <w:szCs w:val="32"/>
          <w:highlight w:val="none"/>
          <w:lang w:val="en-US" w:eastAsia="zh-CN" w:bidi="ar-SA"/>
        </w:rPr>
        <w:t>万元、其他社会保障缴费</w:t>
      </w:r>
      <w:r>
        <w:rPr>
          <w:rFonts w:hint="eastAsia" w:eastAsia="仿宋_GB2312" w:cs="仿宋_GB2312"/>
          <w:color w:val="auto"/>
          <w:kern w:val="2"/>
          <w:sz w:val="32"/>
          <w:szCs w:val="32"/>
          <w:highlight w:val="none"/>
          <w:lang w:val="en-US" w:eastAsia="zh-CN" w:bidi="ar-SA"/>
        </w:rPr>
        <w:t>12.09</w:t>
      </w:r>
      <w:r>
        <w:rPr>
          <w:rFonts w:ascii="Times New Roman" w:hAnsi="Times New Roman" w:eastAsia="仿宋_GB2312" w:cs="仿宋_GB2312"/>
          <w:color w:val="auto"/>
          <w:kern w:val="2"/>
          <w:sz w:val="32"/>
          <w:szCs w:val="32"/>
          <w:highlight w:val="none"/>
          <w:lang w:val="en-US" w:eastAsia="zh-CN" w:bidi="ar-SA"/>
        </w:rPr>
        <w:t>万元、住房公积金</w:t>
      </w:r>
      <w:r>
        <w:rPr>
          <w:rFonts w:hint="eastAsia" w:eastAsia="仿宋_GB2312" w:cs="仿宋_GB2312"/>
          <w:color w:val="auto"/>
          <w:kern w:val="2"/>
          <w:sz w:val="32"/>
          <w:szCs w:val="32"/>
          <w:highlight w:val="none"/>
          <w:lang w:val="en-US" w:eastAsia="zh-CN" w:bidi="ar-SA"/>
        </w:rPr>
        <w:t>63.95</w:t>
      </w:r>
      <w:r>
        <w:rPr>
          <w:rFonts w:ascii="Times New Roman" w:hAnsi="Times New Roman" w:eastAsia="仿宋_GB2312" w:cs="仿宋_GB2312"/>
          <w:color w:val="auto"/>
          <w:kern w:val="2"/>
          <w:sz w:val="32"/>
          <w:szCs w:val="32"/>
          <w:highlight w:val="none"/>
          <w:lang w:val="en-US" w:eastAsia="zh-CN" w:bidi="ar-SA"/>
        </w:rPr>
        <w:t>万元、职工基本医疗保险缴费</w:t>
      </w:r>
      <w:r>
        <w:rPr>
          <w:rFonts w:hint="eastAsia" w:eastAsia="仿宋_GB2312" w:cs="仿宋_GB2312"/>
          <w:color w:val="auto"/>
          <w:kern w:val="2"/>
          <w:sz w:val="32"/>
          <w:szCs w:val="32"/>
          <w:highlight w:val="none"/>
          <w:lang w:val="en-US" w:eastAsia="zh-CN" w:bidi="ar-SA"/>
        </w:rPr>
        <w:t>38.69</w:t>
      </w:r>
      <w:r>
        <w:rPr>
          <w:rFonts w:hint="eastAsia" w:ascii="Times New Roman" w:hAnsi="Times New Roman" w:eastAsia="仿宋_GB2312" w:cs="仿宋_GB2312"/>
          <w:color w:val="auto"/>
          <w:kern w:val="2"/>
          <w:sz w:val="32"/>
          <w:szCs w:val="32"/>
          <w:highlight w:val="none"/>
          <w:lang w:val="en-US" w:eastAsia="zh-CN" w:bidi="ar-SA"/>
        </w:rPr>
        <w:t>万</w:t>
      </w:r>
      <w:r>
        <w:rPr>
          <w:rFonts w:ascii="Times New Roman" w:hAnsi="Times New Roman" w:eastAsia="仿宋_GB2312" w:cs="仿宋_GB2312"/>
          <w:color w:val="auto"/>
          <w:kern w:val="2"/>
          <w:sz w:val="32"/>
          <w:szCs w:val="32"/>
          <w:highlight w:val="none"/>
          <w:lang w:val="en-US" w:eastAsia="zh-CN" w:bidi="ar-SA"/>
        </w:rPr>
        <w:t>元、公务员医疗补助</w:t>
      </w:r>
      <w:r>
        <w:rPr>
          <w:rFonts w:hint="eastAsia" w:eastAsia="仿宋_GB2312" w:cs="仿宋_GB2312"/>
          <w:color w:val="auto"/>
          <w:kern w:val="2"/>
          <w:sz w:val="32"/>
          <w:szCs w:val="32"/>
          <w:highlight w:val="none"/>
          <w:lang w:val="en-US" w:eastAsia="zh-CN" w:bidi="ar-SA"/>
        </w:rPr>
        <w:t>6.24</w:t>
      </w:r>
      <w:r>
        <w:rPr>
          <w:rFonts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w:t>
      </w:r>
    </w:p>
    <w:p w14:paraId="067A3F1C">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对家庭和个人补助</w:t>
      </w:r>
      <w:r>
        <w:rPr>
          <w:rFonts w:hint="eastAsia" w:eastAsia="仿宋_GB2312" w:cs="仿宋_GB2312"/>
          <w:color w:val="auto"/>
          <w:kern w:val="2"/>
          <w:sz w:val="32"/>
          <w:szCs w:val="32"/>
          <w:highlight w:val="none"/>
          <w:lang w:val="en-US" w:eastAsia="zh-CN" w:bidi="ar-SA"/>
        </w:rPr>
        <w:t>138.8</w:t>
      </w:r>
      <w:r>
        <w:rPr>
          <w:rFonts w:hint="eastAsia" w:ascii="Times New Roman" w:hAnsi="Times New Roman" w:eastAsia="仿宋_GB2312" w:cs="仿宋_GB2312"/>
          <w:color w:val="auto"/>
          <w:kern w:val="2"/>
          <w:sz w:val="32"/>
          <w:szCs w:val="32"/>
          <w:highlight w:val="none"/>
          <w:lang w:val="en-US" w:eastAsia="zh-CN" w:bidi="ar-SA"/>
        </w:rPr>
        <w:t>,生活补助</w:t>
      </w:r>
      <w:r>
        <w:rPr>
          <w:rFonts w:hint="eastAsia" w:eastAsia="仿宋_GB2312" w:cs="仿宋_GB2312"/>
          <w:color w:val="auto"/>
          <w:kern w:val="2"/>
          <w:sz w:val="32"/>
          <w:szCs w:val="32"/>
          <w:highlight w:val="none"/>
          <w:lang w:val="en-US" w:eastAsia="zh-CN" w:bidi="ar-SA"/>
        </w:rPr>
        <w:t>138.8</w:t>
      </w:r>
      <w:r>
        <w:rPr>
          <w:rFonts w:hint="eastAsia" w:ascii="Times New Roman" w:hAnsi="Times New Roman" w:eastAsia="仿宋_GB2312" w:cs="仿宋_GB2312"/>
          <w:color w:val="auto"/>
          <w:kern w:val="2"/>
          <w:sz w:val="32"/>
          <w:szCs w:val="32"/>
          <w:highlight w:val="none"/>
          <w:lang w:val="en-US" w:eastAsia="zh-CN" w:bidi="ar-SA"/>
        </w:rPr>
        <w:t>万元。</w:t>
      </w:r>
    </w:p>
    <w:p w14:paraId="6D7644D1">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ascii="Times New Roman" w:hAnsi="Times New Roman" w:eastAsia="仿宋_GB2312" w:cs="仿宋_GB2312"/>
          <w:color w:val="auto"/>
          <w:kern w:val="2"/>
          <w:sz w:val="32"/>
          <w:szCs w:val="32"/>
          <w:highlight w:val="none"/>
          <w:lang w:val="en-US" w:eastAsia="zh-CN" w:bidi="ar-SA"/>
        </w:rPr>
        <w:t>日常公用经费支出：</w:t>
      </w:r>
      <w:r>
        <w:rPr>
          <w:rFonts w:hint="eastAsia" w:eastAsia="仿宋_GB2312" w:cs="仿宋_GB2312"/>
          <w:color w:val="auto"/>
          <w:kern w:val="2"/>
          <w:sz w:val="32"/>
          <w:szCs w:val="32"/>
          <w:highlight w:val="none"/>
          <w:lang w:val="en-US" w:eastAsia="zh-CN" w:bidi="ar-SA"/>
        </w:rPr>
        <w:t>107.13</w:t>
      </w:r>
      <w:r>
        <w:rPr>
          <w:rFonts w:ascii="Times New Roman" w:hAnsi="Times New Roman" w:eastAsia="仿宋_GB2312" w:cs="仿宋_GB2312"/>
          <w:color w:val="auto"/>
          <w:kern w:val="2"/>
          <w:sz w:val="32"/>
          <w:szCs w:val="32"/>
          <w:highlight w:val="none"/>
          <w:lang w:val="en-US" w:eastAsia="zh-CN" w:bidi="ar-SA"/>
        </w:rPr>
        <w:t>万元，主要包括：办公费</w:t>
      </w:r>
      <w:r>
        <w:rPr>
          <w:rFonts w:hint="eastAsia" w:eastAsia="仿宋_GB2312" w:cs="仿宋_GB2312"/>
          <w:color w:val="auto"/>
          <w:kern w:val="2"/>
          <w:sz w:val="32"/>
          <w:szCs w:val="32"/>
          <w:highlight w:val="none"/>
          <w:lang w:val="en-US" w:eastAsia="zh-CN" w:bidi="ar-SA"/>
        </w:rPr>
        <w:t>35.08</w:t>
      </w:r>
      <w:r>
        <w:rPr>
          <w:rFonts w:ascii="Times New Roman" w:hAnsi="Times New Roman" w:eastAsia="仿宋_GB2312" w:cs="仿宋_GB2312"/>
          <w:color w:val="auto"/>
          <w:kern w:val="2"/>
          <w:sz w:val="32"/>
          <w:szCs w:val="32"/>
          <w:highlight w:val="none"/>
          <w:lang w:val="en-US" w:eastAsia="zh-CN" w:bidi="ar-SA"/>
        </w:rPr>
        <w:t>万元、印刷费</w:t>
      </w:r>
      <w:r>
        <w:rPr>
          <w:rFonts w:hint="eastAsia" w:ascii="Times New Roman" w:hAnsi="Times New Roman" w:eastAsia="仿宋_GB2312" w:cs="仿宋_GB2312"/>
          <w:color w:val="auto"/>
          <w:kern w:val="2"/>
          <w:sz w:val="32"/>
          <w:szCs w:val="32"/>
          <w:highlight w:val="none"/>
          <w:lang w:val="en-US" w:eastAsia="zh-CN" w:bidi="ar-SA"/>
        </w:rPr>
        <w:t>0</w:t>
      </w:r>
      <w:r>
        <w:rPr>
          <w:rFonts w:ascii="Times New Roman" w:hAnsi="Times New Roman" w:eastAsia="仿宋_GB2312" w:cs="仿宋_GB2312"/>
          <w:color w:val="auto"/>
          <w:kern w:val="2"/>
          <w:sz w:val="32"/>
          <w:szCs w:val="32"/>
          <w:highlight w:val="none"/>
          <w:lang w:val="en-US" w:eastAsia="zh-CN" w:bidi="ar-SA"/>
        </w:rPr>
        <w:t>万元、手续费0</w:t>
      </w:r>
      <w:r>
        <w:rPr>
          <w:rFonts w:hint="eastAsia" w:ascii="Times New Roman" w:hAnsi="Times New Roman" w:eastAsia="仿宋_GB2312" w:cs="仿宋_GB2312"/>
          <w:color w:val="auto"/>
          <w:kern w:val="2"/>
          <w:sz w:val="32"/>
          <w:szCs w:val="32"/>
          <w:highlight w:val="none"/>
          <w:lang w:val="en-US" w:eastAsia="zh-CN" w:bidi="ar-SA"/>
        </w:rPr>
        <w:t>万</w:t>
      </w:r>
      <w:r>
        <w:rPr>
          <w:rFonts w:ascii="Times New Roman" w:hAnsi="Times New Roman" w:eastAsia="仿宋_GB2312" w:cs="仿宋_GB2312"/>
          <w:color w:val="auto"/>
          <w:kern w:val="2"/>
          <w:sz w:val="32"/>
          <w:szCs w:val="32"/>
          <w:highlight w:val="none"/>
          <w:lang w:val="en-US" w:eastAsia="zh-CN" w:bidi="ar-SA"/>
        </w:rPr>
        <w:t>元、电费</w:t>
      </w: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3</w:t>
      </w:r>
      <w:r>
        <w:rPr>
          <w:rFonts w:ascii="Times New Roman" w:hAnsi="Times New Roman" w:eastAsia="仿宋_GB2312" w:cs="仿宋_GB2312"/>
          <w:color w:val="auto"/>
          <w:kern w:val="2"/>
          <w:sz w:val="32"/>
          <w:szCs w:val="32"/>
          <w:highlight w:val="none"/>
          <w:lang w:val="en-US" w:eastAsia="zh-CN" w:bidi="ar-SA"/>
        </w:rPr>
        <w:t>万元、邮电费2.</w:t>
      </w:r>
      <w:r>
        <w:rPr>
          <w:rFonts w:hint="eastAsia" w:eastAsia="仿宋_GB2312" w:cs="仿宋_GB2312"/>
          <w:color w:val="auto"/>
          <w:kern w:val="2"/>
          <w:sz w:val="32"/>
          <w:szCs w:val="32"/>
          <w:highlight w:val="none"/>
          <w:lang w:val="en-US" w:eastAsia="zh-CN" w:bidi="ar-SA"/>
        </w:rPr>
        <w:t>48</w:t>
      </w:r>
      <w:r>
        <w:rPr>
          <w:rFonts w:ascii="Times New Roman" w:hAnsi="Times New Roman" w:eastAsia="仿宋_GB2312" w:cs="仿宋_GB2312"/>
          <w:color w:val="auto"/>
          <w:kern w:val="2"/>
          <w:sz w:val="32"/>
          <w:szCs w:val="32"/>
          <w:highlight w:val="none"/>
          <w:lang w:val="en-US" w:eastAsia="zh-CN" w:bidi="ar-SA"/>
        </w:rPr>
        <w:t>万元、福利费</w:t>
      </w:r>
      <w:r>
        <w:rPr>
          <w:rFonts w:hint="eastAsia" w:eastAsia="仿宋_GB2312" w:cs="仿宋_GB2312"/>
          <w:color w:val="auto"/>
          <w:kern w:val="2"/>
          <w:sz w:val="32"/>
          <w:szCs w:val="32"/>
          <w:highlight w:val="none"/>
          <w:lang w:val="en-US" w:eastAsia="zh-CN" w:bidi="ar-SA"/>
        </w:rPr>
        <w:t>0</w:t>
      </w:r>
      <w:r>
        <w:rPr>
          <w:rFonts w:ascii="Times New Roman" w:hAnsi="Times New Roman" w:eastAsia="仿宋_GB2312" w:cs="仿宋_GB2312"/>
          <w:color w:val="auto"/>
          <w:kern w:val="2"/>
          <w:sz w:val="32"/>
          <w:szCs w:val="32"/>
          <w:highlight w:val="none"/>
          <w:lang w:val="en-US" w:eastAsia="zh-CN" w:bidi="ar-SA"/>
        </w:rPr>
        <w:t>万元、差旅费</w:t>
      </w:r>
      <w:r>
        <w:rPr>
          <w:rFonts w:hint="eastAsia" w:eastAsia="仿宋_GB2312" w:cs="仿宋_GB2312"/>
          <w:color w:val="auto"/>
          <w:kern w:val="2"/>
          <w:sz w:val="32"/>
          <w:szCs w:val="32"/>
          <w:highlight w:val="none"/>
          <w:lang w:val="en-US" w:eastAsia="zh-CN" w:bidi="ar-SA"/>
        </w:rPr>
        <w:t>3.99</w:t>
      </w:r>
      <w:r>
        <w:rPr>
          <w:rFonts w:hint="eastAsia" w:ascii="Times New Roman" w:hAnsi="Times New Roman" w:eastAsia="仿宋_GB2312" w:cs="仿宋_GB2312"/>
          <w:color w:val="auto"/>
          <w:kern w:val="2"/>
          <w:sz w:val="32"/>
          <w:szCs w:val="32"/>
          <w:highlight w:val="none"/>
          <w:lang w:val="en-US" w:eastAsia="zh-CN" w:bidi="ar-SA"/>
        </w:rPr>
        <w:t>万</w:t>
      </w:r>
      <w:r>
        <w:rPr>
          <w:rFonts w:ascii="Times New Roman" w:hAnsi="Times New Roman" w:eastAsia="仿宋_GB2312" w:cs="仿宋_GB2312"/>
          <w:color w:val="auto"/>
          <w:kern w:val="2"/>
          <w:sz w:val="32"/>
          <w:szCs w:val="32"/>
          <w:highlight w:val="none"/>
          <w:lang w:val="en-US" w:eastAsia="zh-CN" w:bidi="ar-SA"/>
        </w:rPr>
        <w:t>元、劳务费</w:t>
      </w:r>
      <w:r>
        <w:rPr>
          <w:rFonts w:hint="eastAsia" w:eastAsia="仿宋_GB2312" w:cs="仿宋_GB2312"/>
          <w:color w:val="auto"/>
          <w:kern w:val="2"/>
          <w:sz w:val="32"/>
          <w:szCs w:val="32"/>
          <w:highlight w:val="none"/>
          <w:lang w:val="en-US" w:eastAsia="zh-CN" w:bidi="ar-SA"/>
        </w:rPr>
        <w:t>7.68</w:t>
      </w:r>
      <w:r>
        <w:rPr>
          <w:rFonts w:ascii="Times New Roman" w:hAnsi="Times New Roman" w:eastAsia="仿宋_GB2312" w:cs="仿宋_GB2312"/>
          <w:color w:val="auto"/>
          <w:kern w:val="2"/>
          <w:sz w:val="32"/>
          <w:szCs w:val="32"/>
          <w:highlight w:val="none"/>
          <w:lang w:val="en-US" w:eastAsia="zh-CN" w:bidi="ar-SA"/>
        </w:rPr>
        <w:t>万元、其他交通费</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w:t>
      </w:r>
      <w:r>
        <w:rPr>
          <w:rFonts w:ascii="Times New Roman" w:hAnsi="Times New Roman" w:eastAsia="仿宋_GB2312" w:cs="仿宋_GB2312"/>
          <w:color w:val="auto"/>
          <w:kern w:val="2"/>
          <w:sz w:val="32"/>
          <w:szCs w:val="32"/>
          <w:highlight w:val="none"/>
          <w:lang w:val="en-US" w:eastAsia="zh-CN" w:bidi="ar-SA"/>
        </w:rPr>
        <w:t>元、</w:t>
      </w:r>
      <w:r>
        <w:rPr>
          <w:rFonts w:hint="eastAsia" w:ascii="Times New Roman" w:hAnsi="Times New Roman" w:eastAsia="仿宋_GB2312" w:cs="仿宋_GB2312"/>
          <w:color w:val="auto"/>
          <w:kern w:val="2"/>
          <w:sz w:val="32"/>
          <w:szCs w:val="32"/>
          <w:highlight w:val="none"/>
          <w:lang w:val="en-US" w:eastAsia="zh-CN" w:bidi="ar-SA"/>
        </w:rPr>
        <w:t>维修维护</w:t>
      </w:r>
      <w:r>
        <w:rPr>
          <w:rFonts w:hint="eastAsia" w:eastAsia="仿宋_GB2312" w:cs="仿宋_GB2312"/>
          <w:color w:val="auto"/>
          <w:kern w:val="2"/>
          <w:sz w:val="32"/>
          <w:szCs w:val="32"/>
          <w:highlight w:val="none"/>
          <w:lang w:val="en-US" w:eastAsia="zh-CN" w:bidi="ar-SA"/>
        </w:rPr>
        <w:t>48</w:t>
      </w:r>
      <w:r>
        <w:rPr>
          <w:rFonts w:hint="eastAsia" w:ascii="Times New Roman" w:hAnsi="Times New Roman" w:eastAsia="仿宋_GB2312" w:cs="仿宋_GB2312"/>
          <w:color w:val="auto"/>
          <w:kern w:val="2"/>
          <w:sz w:val="32"/>
          <w:szCs w:val="32"/>
          <w:highlight w:val="none"/>
          <w:lang w:val="en-US" w:eastAsia="zh-CN" w:bidi="ar-SA"/>
        </w:rPr>
        <w:t>万元、</w:t>
      </w:r>
      <w:r>
        <w:rPr>
          <w:rFonts w:ascii="Times New Roman" w:hAnsi="Times New Roman" w:eastAsia="仿宋_GB2312" w:cs="仿宋_GB2312"/>
          <w:color w:val="auto"/>
          <w:kern w:val="2"/>
          <w:sz w:val="32"/>
          <w:szCs w:val="32"/>
          <w:highlight w:val="none"/>
          <w:lang w:val="en-US" w:eastAsia="zh-CN" w:bidi="ar-SA"/>
        </w:rPr>
        <w:t>公务用车运行维护费</w:t>
      </w:r>
      <w:r>
        <w:rPr>
          <w:rFonts w:hint="eastAsia" w:eastAsia="仿宋_GB2312" w:cs="仿宋_GB2312"/>
          <w:color w:val="auto"/>
          <w:kern w:val="2"/>
          <w:sz w:val="32"/>
          <w:szCs w:val="32"/>
          <w:highlight w:val="none"/>
          <w:lang w:val="en-US" w:eastAsia="zh-CN" w:bidi="ar-SA"/>
        </w:rPr>
        <w:t>7.6</w:t>
      </w:r>
      <w:r>
        <w:rPr>
          <w:rFonts w:ascii="Times New Roman" w:hAnsi="Times New Roman" w:eastAsia="仿宋_GB2312" w:cs="仿宋_GB2312"/>
          <w:color w:val="auto"/>
          <w:kern w:val="2"/>
          <w:sz w:val="32"/>
          <w:szCs w:val="32"/>
          <w:highlight w:val="none"/>
          <w:lang w:val="en-US" w:eastAsia="zh-CN" w:bidi="ar-SA"/>
        </w:rPr>
        <w:t>万元。</w:t>
      </w:r>
    </w:p>
    <w:p w14:paraId="014673EA">
      <w:pPr>
        <w:spacing w:line="600" w:lineRule="exact"/>
        <w:ind w:firstLine="640"/>
        <w:rPr>
          <w:rFonts w:ascii="Times New Roman" w:hAnsi="Times New Roman" w:eastAsia="仿宋_GB2312" w:cs="仿宋_GB2312"/>
          <w:color w:val="auto"/>
          <w:kern w:val="2"/>
          <w:sz w:val="32"/>
          <w:szCs w:val="32"/>
          <w:highlight w:val="none"/>
          <w:lang w:val="en-US" w:eastAsia="zh-CN" w:bidi="ar-SA"/>
        </w:rPr>
      </w:pPr>
      <w:bookmarkStart w:id="43" w:name="_Toc9449"/>
      <w:r>
        <w:rPr>
          <w:rFonts w:ascii="Times New Roman" w:hAnsi="Times New Roman" w:eastAsia="仿宋_GB2312" w:cs="仿宋_GB2312"/>
          <w:color w:val="auto"/>
          <w:kern w:val="2"/>
          <w:sz w:val="32"/>
          <w:szCs w:val="32"/>
          <w:highlight w:val="none"/>
          <w:lang w:val="en-US" w:eastAsia="zh-CN" w:bidi="ar-SA"/>
        </w:rPr>
        <w:t>项目支出：</w:t>
      </w:r>
      <w:r>
        <w:rPr>
          <w:rFonts w:hint="eastAsia" w:eastAsia="仿宋_GB2312" w:cs="仿宋_GB2312"/>
          <w:color w:val="auto"/>
          <w:kern w:val="2"/>
          <w:sz w:val="32"/>
          <w:szCs w:val="32"/>
          <w:highlight w:val="none"/>
          <w:lang w:val="en-US" w:eastAsia="zh-CN" w:bidi="ar-SA"/>
        </w:rPr>
        <w:t>126.87</w:t>
      </w:r>
      <w:r>
        <w:rPr>
          <w:rFonts w:ascii="Times New Roman" w:hAnsi="Times New Roman" w:eastAsia="仿宋_GB2312" w:cs="仿宋_GB2312"/>
          <w:color w:val="auto"/>
          <w:kern w:val="2"/>
          <w:sz w:val="32"/>
          <w:szCs w:val="32"/>
          <w:highlight w:val="none"/>
          <w:lang w:val="en-US" w:eastAsia="zh-CN" w:bidi="ar-SA"/>
        </w:rPr>
        <w:t>万元，主要包括</w:t>
      </w:r>
      <w:r>
        <w:rPr>
          <w:rFonts w:hint="eastAsia" w:ascii="Times New Roman" w:hAnsi="Times New Roman" w:eastAsia="仿宋_GB2312" w:cs="仿宋_GB2312"/>
          <w:color w:val="auto"/>
          <w:kern w:val="2"/>
          <w:sz w:val="32"/>
          <w:szCs w:val="32"/>
          <w:highlight w:val="none"/>
          <w:lang w:val="en-US" w:eastAsia="zh-CN" w:bidi="ar-SA"/>
        </w:rPr>
        <w:t>其他巩固脱贫攻坚成果衔接乡村振兴支出</w:t>
      </w:r>
      <w:r>
        <w:rPr>
          <w:rFonts w:hint="eastAsia" w:eastAsia="仿宋_GB2312" w:cs="仿宋_GB2312"/>
          <w:color w:val="auto"/>
          <w:kern w:val="2"/>
          <w:sz w:val="32"/>
          <w:szCs w:val="32"/>
          <w:highlight w:val="none"/>
          <w:lang w:val="en-US" w:eastAsia="zh-CN" w:bidi="ar-SA"/>
        </w:rPr>
        <w:t>100.06</w:t>
      </w:r>
      <w:r>
        <w:rPr>
          <w:rFonts w:hint="eastAsia" w:ascii="Times New Roman" w:hAnsi="Times New Roman" w:eastAsia="仿宋_GB2312" w:cs="仿宋_GB2312"/>
          <w:color w:val="auto"/>
          <w:kern w:val="2"/>
          <w:sz w:val="32"/>
          <w:szCs w:val="32"/>
          <w:highlight w:val="none"/>
          <w:lang w:val="en-US" w:eastAsia="zh-CN" w:bidi="ar-SA"/>
        </w:rPr>
        <w:t>万元，农村综合改革对村民委员会和村党支部的补助</w:t>
      </w:r>
      <w:r>
        <w:rPr>
          <w:rFonts w:hint="eastAsia" w:eastAsia="仿宋_GB2312" w:cs="仿宋_GB2312"/>
          <w:color w:val="auto"/>
          <w:kern w:val="2"/>
          <w:sz w:val="32"/>
          <w:szCs w:val="32"/>
          <w:highlight w:val="none"/>
          <w:lang w:val="en-US" w:eastAsia="zh-CN" w:bidi="ar-SA"/>
        </w:rPr>
        <w:t>76</w:t>
      </w:r>
      <w:r>
        <w:rPr>
          <w:rFonts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村级维修维护费、办公费、党建费</w:t>
      </w:r>
      <w:r>
        <w:rPr>
          <w:rFonts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，国有企业退休人员社会化管理补助支出0.05万元。</w:t>
      </w:r>
    </w:p>
    <w:p w14:paraId="132BCD34">
      <w:pPr>
        <w:spacing w:line="600" w:lineRule="exact"/>
        <w:ind w:firstLine="640" w:firstLineChars="200"/>
        <w:outlineLvl w:val="1"/>
        <w:rPr>
          <w:rStyle w:val="22"/>
          <w:rFonts w:ascii="黑体" w:eastAsia="黑体"/>
          <w:b w:val="0"/>
        </w:rPr>
      </w:pPr>
      <w:r>
        <w:rPr>
          <w:rFonts w:hint="eastAsia" w:ascii="黑体" w:eastAsia="黑体"/>
          <w:color w:val="000000"/>
          <w:sz w:val="32"/>
          <w:szCs w:val="32"/>
        </w:rPr>
        <w:t>七、</w:t>
      </w:r>
      <w:r>
        <w:rPr>
          <w:rStyle w:val="22"/>
          <w:rFonts w:hint="eastAsia" w:ascii="黑体" w:eastAsia="黑体"/>
        </w:rPr>
        <w:t>“</w:t>
      </w:r>
      <w:r>
        <w:rPr>
          <w:rStyle w:val="22"/>
          <w:rFonts w:hint="eastAsia" w:ascii="黑体" w:eastAsia="黑体"/>
          <w:b w:val="0"/>
        </w:rPr>
        <w:t>三公”经费财政拨款支出决算情况说明</w:t>
      </w:r>
      <w:bookmarkEnd w:id="42"/>
      <w:bookmarkEnd w:id="43"/>
    </w:p>
    <w:p w14:paraId="13EEE08B">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14:paraId="7E666CE0">
      <w:pPr>
        <w:spacing w:line="600" w:lineRule="exact"/>
        <w:ind w:firstLine="640"/>
        <w:rPr>
          <w:rFonts w:ascii="仿宋" w:eastAsia="仿宋"/>
          <w:color w:val="000000"/>
          <w:sz w:val="32"/>
          <w:szCs w:val="32"/>
        </w:rPr>
      </w:pPr>
      <w:r>
        <w:rPr>
          <w:rFonts w:hint="eastAsia" w:ascii="仿宋_GB2312" w:eastAsia="仿宋_GB2312"/>
          <w:color w:val="000000"/>
          <w:spacing w:val="-2"/>
          <w:sz w:val="32"/>
          <w:szCs w:val="32"/>
          <w:lang w:eastAsia="zh-CN"/>
        </w:rPr>
        <w:t>2024年“三公”经费财政拨款</w:t>
      </w:r>
      <w:r>
        <w:rPr>
          <w:rFonts w:hint="eastAsia" w:ascii="仿宋_GB2312" w:eastAsia="仿宋_GB2312"/>
          <w:color w:val="000000"/>
          <w:spacing w:val="-2"/>
          <w:sz w:val="32"/>
          <w:szCs w:val="32"/>
          <w:lang w:val="en-US" w:eastAsia="zh-CN"/>
        </w:rPr>
        <w:t>预算数7.6万元，</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7.6</w:t>
      </w:r>
      <w:r>
        <w:rPr>
          <w:rFonts w:hint="eastAsia" w:ascii="仿宋_GB2312" w:eastAsia="仿宋_GB2312"/>
          <w:color w:val="000000"/>
          <w:spacing w:val="-2"/>
          <w:sz w:val="32"/>
          <w:szCs w:val="32"/>
          <w:lang w:eastAsia="zh-CN"/>
        </w:rPr>
        <w:t>万元。</w:t>
      </w:r>
    </w:p>
    <w:p w14:paraId="6E65A43D">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w:t>
      </w:r>
      <w:bookmarkStart w:id="73" w:name="_GoBack"/>
      <w:bookmarkEnd w:id="73"/>
      <w:r>
        <w:rPr>
          <w:rFonts w:hint="eastAsia" w:ascii="仿宋" w:eastAsia="仿宋"/>
          <w:b/>
          <w:color w:val="000000"/>
          <w:sz w:val="32"/>
          <w:szCs w:val="32"/>
        </w:rPr>
        <w:t>支出决算具体情况说明</w:t>
      </w:r>
      <w:bookmarkEnd w:id="45"/>
    </w:p>
    <w:p w14:paraId="7C23FC0E">
      <w:pPr>
        <w:spacing w:line="600" w:lineRule="exact"/>
        <w:ind w:firstLine="632" w:firstLineChars="200"/>
        <w:rPr>
          <w:rFonts w:hint="eastAsia" w:ascii="仿宋_GB2312" w:eastAsia="仿宋_GB2312"/>
          <w:color w:val="000000"/>
          <w:spacing w:val="-2"/>
          <w:sz w:val="32"/>
          <w:szCs w:val="32"/>
          <w:lang w:eastAsia="zh-CN"/>
        </w:rPr>
      </w:pPr>
      <w:r>
        <w:rPr>
          <w:rFonts w:hint="eastAsia" w:ascii="仿宋_GB2312" w:eastAsia="仿宋_GB2312"/>
          <w:color w:val="000000"/>
          <w:spacing w:val="-2"/>
          <w:sz w:val="32"/>
          <w:szCs w:val="32"/>
          <w:lang w:eastAsia="zh-CN"/>
        </w:rPr>
        <w:t>2024年“三公”经费财政拨款支出决算</w:t>
      </w:r>
      <w:r>
        <w:rPr>
          <w:rFonts w:hint="eastAsia" w:ascii="仿宋_GB2312" w:eastAsia="仿宋_GB2312"/>
          <w:color w:val="000000"/>
          <w:spacing w:val="-2"/>
          <w:sz w:val="32"/>
          <w:szCs w:val="32"/>
          <w:lang w:val="en-US" w:eastAsia="zh-CN"/>
        </w:rPr>
        <w:t>7.6</w:t>
      </w:r>
      <w:r>
        <w:rPr>
          <w:rFonts w:hint="eastAsia" w:ascii="仿宋_GB2312" w:eastAsia="仿宋_GB2312"/>
          <w:color w:val="000000"/>
          <w:spacing w:val="-2"/>
          <w:sz w:val="32"/>
          <w:szCs w:val="32"/>
          <w:lang w:eastAsia="zh-CN"/>
        </w:rPr>
        <w:t>万元，其中：公务用车购置及运行维护费支出决算</w:t>
      </w:r>
      <w:r>
        <w:rPr>
          <w:rFonts w:hint="eastAsia" w:ascii="仿宋_GB2312" w:eastAsia="仿宋_GB2312"/>
          <w:color w:val="000000"/>
          <w:spacing w:val="-2"/>
          <w:sz w:val="32"/>
          <w:szCs w:val="32"/>
          <w:lang w:val="en-US" w:eastAsia="zh-CN"/>
        </w:rPr>
        <w:t>0</w:t>
      </w:r>
      <w:r>
        <w:rPr>
          <w:rFonts w:hint="eastAsia" w:ascii="仿宋_GB2312" w:eastAsia="仿宋_GB2312"/>
          <w:color w:val="000000"/>
          <w:spacing w:val="-2"/>
          <w:sz w:val="32"/>
          <w:szCs w:val="32"/>
          <w:lang w:eastAsia="zh-CN"/>
        </w:rPr>
        <w:t>万元</w:t>
      </w:r>
      <w:r>
        <w:rPr>
          <w:rFonts w:hint="eastAsia" w:ascii="仿宋_GB2312" w:eastAsia="仿宋_GB2312"/>
          <w:color w:val="000000"/>
          <w:spacing w:val="-2"/>
          <w:sz w:val="32"/>
          <w:szCs w:val="32"/>
          <w:lang w:val="en-US" w:eastAsia="zh-CN"/>
        </w:rPr>
        <w:t>.</w:t>
      </w:r>
    </w:p>
    <w:p w14:paraId="591278EB">
      <w:pPr>
        <w:spacing w:line="600" w:lineRule="exact"/>
        <w:ind w:firstLine="640"/>
        <w:rPr>
          <w:rFonts w:ascii="仿宋_GB2312" w:eastAsia="仿宋_GB2312"/>
          <w:b/>
          <w:sz w:val="32"/>
          <w:szCs w:val="32"/>
          <w:lang w:val="en-US" w:eastAsia="zh-CN"/>
        </w:rPr>
      </w:pPr>
      <w:r>
        <w:rPr>
          <w:rFonts w:hint="eastAsia" w:ascii="仿宋_GB2312" w:eastAsia="仿宋_GB2312" w:cs="Times New Roman"/>
          <w:color w:val="000000"/>
          <w:kern w:val="2"/>
          <w:sz w:val="32"/>
          <w:szCs w:val="32"/>
          <w:lang w:val="en-US" w:eastAsia="zh-CN" w:bidi="ar-SA"/>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运行维护费支出</w:t>
      </w:r>
      <w:r>
        <w:rPr>
          <w:rFonts w:hint="eastAsia" w:ascii="仿宋_GB2312" w:eastAsia="仿宋_GB2312"/>
          <w:b/>
          <w:color w:val="000000"/>
          <w:sz w:val="32"/>
          <w:szCs w:val="32"/>
          <w:lang w:val="en-US" w:eastAsia="zh-CN"/>
        </w:rPr>
        <w:t>7.6</w:t>
      </w:r>
      <w:r>
        <w:rPr>
          <w:rFonts w:hint="eastAsia" w:ascii="仿宋_GB2312" w:eastAsia="仿宋_GB2312"/>
          <w:color w:val="000000"/>
          <w:spacing w:val="-2"/>
          <w:sz w:val="32"/>
          <w:szCs w:val="32"/>
          <w:lang w:eastAsia="zh-CN"/>
        </w:rPr>
        <w:t>万元</w:t>
      </w:r>
      <w:r>
        <w:rPr>
          <w:rFonts w:hint="eastAsia" w:ascii="仿宋_GB2312" w:eastAsia="仿宋_GB2312"/>
          <w:color w:val="000000"/>
          <w:spacing w:val="-2"/>
          <w:sz w:val="32"/>
          <w:szCs w:val="32"/>
          <w:lang w:val="en-US" w:eastAsia="zh-CN"/>
        </w:rPr>
        <w:t>。</w:t>
      </w:r>
    </w:p>
    <w:p w14:paraId="5B0C0471">
      <w:pPr>
        <w:autoSpaceDE w:val="0"/>
        <w:autoSpaceDN w:val="0"/>
        <w:adjustRightInd w:val="0"/>
        <w:spacing w:line="600" w:lineRule="exact"/>
        <w:ind w:firstLine="640" w:firstLineChars="200"/>
        <w:jc w:val="left"/>
        <w:rPr>
          <w:rFonts w:hint="eastAsia" w:ascii="仿宋_GB2312" w:eastAsia="仿宋_GB2312"/>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pacing w:val="-2"/>
          <w:sz w:val="32"/>
          <w:szCs w:val="32"/>
          <w:lang w:eastAsia="zh-CN"/>
        </w:rPr>
        <w:t>0万元。全年按规定更新购置公务用车0辆。</w:t>
      </w:r>
      <w:r>
        <w:rPr>
          <w:rFonts w:hint="eastAsia" w:ascii="仿宋_GB2312" w:eastAsia="仿宋_GB2312"/>
          <w:color w:val="000000"/>
          <w:sz w:val="32"/>
          <w:szCs w:val="32"/>
        </w:rPr>
        <w:t>全年按规定更新购置公务用车0辆。截至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辆，其中：部级领导干部用车0辆、主要领导干部用车0辆、机要通信用车0辆、应急保障用车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辆、执法执勤用车0辆、特种专业技术用车0辆、离退休干部用车0辆、其他用车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pacing w:val="-2"/>
          <w:sz w:val="32"/>
          <w:szCs w:val="32"/>
          <w:lang w:eastAsia="zh-CN"/>
        </w:rPr>
        <w:t>截至2024年12月31日，共有车辆</w:t>
      </w:r>
      <w:r>
        <w:rPr>
          <w:rFonts w:hint="eastAsia" w:ascii="仿宋_GB2312" w:eastAsia="仿宋_GB2312"/>
          <w:color w:val="000000"/>
          <w:spacing w:val="-2"/>
          <w:sz w:val="32"/>
          <w:szCs w:val="32"/>
          <w:lang w:val="en-US" w:eastAsia="zh-CN"/>
        </w:rPr>
        <w:t>0</w:t>
      </w:r>
      <w:r>
        <w:rPr>
          <w:rFonts w:hint="eastAsia" w:ascii="仿宋_GB2312" w:eastAsia="仿宋_GB2312"/>
          <w:color w:val="000000"/>
          <w:spacing w:val="-2"/>
          <w:sz w:val="32"/>
          <w:szCs w:val="32"/>
          <w:lang w:eastAsia="zh-CN"/>
        </w:rPr>
        <w:t>辆；</w:t>
      </w:r>
      <w:r>
        <w:rPr>
          <w:rFonts w:hint="eastAsia" w:ascii="仿宋_GB2312" w:eastAsia="仿宋_GB2312"/>
          <w:b/>
          <w:color w:val="000000"/>
          <w:sz w:val="32"/>
          <w:szCs w:val="32"/>
        </w:rPr>
        <w:t>公务用车运行维护费支出</w:t>
      </w:r>
      <w:r>
        <w:rPr>
          <w:rFonts w:hint="eastAsia" w:ascii="仿宋_GB2312" w:eastAsia="仿宋_GB2312"/>
          <w:color w:val="000000"/>
          <w:spacing w:val="-2"/>
          <w:sz w:val="32"/>
          <w:szCs w:val="32"/>
          <w:lang w:val="en-US" w:eastAsia="zh-CN"/>
        </w:rPr>
        <w:t>7.6</w:t>
      </w:r>
      <w:r>
        <w:rPr>
          <w:rFonts w:hint="eastAsia" w:ascii="仿宋_GB2312" w:eastAsia="仿宋_GB2312"/>
          <w:color w:val="000000"/>
          <w:spacing w:val="-2"/>
          <w:sz w:val="32"/>
          <w:szCs w:val="32"/>
          <w:lang w:eastAsia="zh-CN"/>
        </w:rPr>
        <w:t>万元。</w:t>
      </w:r>
    </w:p>
    <w:p w14:paraId="397CA035">
      <w:pPr>
        <w:spacing w:line="600" w:lineRule="exact"/>
        <w:ind w:firstLine="632" w:firstLineChars="200"/>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2.公务接待费支出0万元。</w:t>
      </w:r>
    </w:p>
    <w:p w14:paraId="3FE1E7A2">
      <w:pPr>
        <w:spacing w:line="600" w:lineRule="exact"/>
        <w:ind w:firstLine="632" w:firstLineChars="200"/>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lang w:val="en-US" w:eastAsia="zh-CN"/>
        </w:rPr>
        <w:t>3.因公出国（境）费支出0万元。</w:t>
      </w:r>
    </w:p>
    <w:p w14:paraId="08D5CB42">
      <w:pPr>
        <w:spacing w:line="600" w:lineRule="exact"/>
        <w:ind w:firstLine="640"/>
        <w:outlineLvl w:val="1"/>
        <w:rPr>
          <w:rStyle w:val="22"/>
          <w:rFonts w:ascii="黑体" w:eastAsia="黑体"/>
        </w:rPr>
      </w:pPr>
      <w:bookmarkStart w:id="46" w:name="_Toc23573"/>
      <w:bookmarkStart w:id="47" w:name="_Toc15377218"/>
      <w:r>
        <w:rPr>
          <w:rFonts w:hint="eastAsia" w:ascii="黑体" w:eastAsia="黑体"/>
          <w:color w:val="000000"/>
          <w:sz w:val="32"/>
          <w:szCs w:val="32"/>
        </w:rPr>
        <w:t>八、</w:t>
      </w:r>
      <w:r>
        <w:rPr>
          <w:rStyle w:val="22"/>
          <w:rFonts w:hint="eastAsia" w:ascii="黑体" w:eastAsia="黑体"/>
          <w:b w:val="0"/>
        </w:rPr>
        <w:t>政府性基金预算支出决算情况说明</w:t>
      </w:r>
      <w:bookmarkEnd w:id="46"/>
      <w:bookmarkEnd w:id="47"/>
    </w:p>
    <w:p w14:paraId="71B56B45">
      <w:pPr>
        <w:ind w:firstLine="640" w:firstLineChars="200"/>
        <w:rPr>
          <w:rFonts w:hint="eastAsia"/>
          <w:lang w:val="en-US" w:eastAsia="zh-CN"/>
        </w:rPr>
      </w:pPr>
      <w:bookmarkStart w:id="48" w:name="_Toc351"/>
      <w:bookmarkStart w:id="49" w:name="_Toc15377219"/>
      <w:r>
        <w:rPr>
          <w:rFonts w:hint="eastAsia" w:ascii="仿宋_GB2312" w:eastAsia="仿宋_GB2312"/>
          <w:color w:val="000000"/>
          <w:sz w:val="32"/>
          <w:szCs w:val="32"/>
          <w:lang w:val="en-US" w:eastAsia="zh-CN"/>
        </w:rPr>
        <w:t>2024年度政府性基金预算财政拨款支出</w:t>
      </w:r>
      <w:r>
        <w:rPr>
          <w:rFonts w:hint="eastAsia" w:ascii="仿宋_GB2312" w:eastAsia="仿宋_GB2312"/>
          <w:color w:val="000000"/>
          <w:sz w:val="32"/>
          <w:szCs w:val="32"/>
        </w:rPr>
        <w:t>0</w:t>
      </w:r>
      <w:r>
        <w:rPr>
          <w:rFonts w:hint="eastAsia" w:ascii="仿宋_GB2312" w:eastAsia="仿宋_GB2312"/>
          <w:color w:val="000000"/>
          <w:sz w:val="32"/>
          <w:szCs w:val="32"/>
          <w:lang w:val="en-US" w:eastAsia="zh-CN"/>
        </w:rPr>
        <w:t>万元，占本年支出合计的0%。与2023年度相比，政府性基金预算财政拨款支出增加/减少0万元，增长/下降0%。</w:t>
      </w:r>
    </w:p>
    <w:p w14:paraId="2EF5F7A5">
      <w:pPr>
        <w:tabs>
          <w:tab w:val="left" w:pos="0"/>
        </w:tabs>
        <w:spacing w:line="600" w:lineRule="exact"/>
        <w:ind w:left="640"/>
        <w:outlineLvl w:val="1"/>
        <w:rPr>
          <w:rStyle w:val="22"/>
          <w:rFonts w:ascii="黑体" w:eastAsia="黑体"/>
          <w:b w:val="0"/>
        </w:rPr>
      </w:pPr>
      <w:r>
        <w:rPr>
          <w:rStyle w:val="22"/>
          <w:rFonts w:hint="eastAsia" w:ascii="黑体" w:eastAsia="黑体"/>
          <w:b w:val="0"/>
          <w:lang w:val="en-US" w:eastAsia="zh-CN"/>
        </w:rPr>
        <w:t>九、</w:t>
      </w:r>
      <w:r>
        <w:rPr>
          <w:rStyle w:val="22"/>
          <w:rFonts w:hint="eastAsia" w:ascii="黑体" w:eastAsia="黑体"/>
          <w:b w:val="0"/>
        </w:rPr>
        <w:t>国有资本经营预算支出决算情况说明</w:t>
      </w:r>
      <w:bookmarkEnd w:id="48"/>
      <w:bookmarkEnd w:id="49"/>
    </w:p>
    <w:p w14:paraId="7C063DDB">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2024年度国有资本经营预算财政拨款支出0.05万元，占本年支出合计的</w:t>
      </w:r>
      <w:r>
        <w:rPr>
          <w:rFonts w:hint="eastAsia" w:ascii="仿宋_GB2312" w:eastAsia="仿宋_GB2312"/>
          <w:color w:val="000000"/>
          <w:sz w:val="32"/>
          <w:szCs w:val="32"/>
          <w:lang w:val="en-US" w:eastAsia="zh-CN"/>
        </w:rPr>
        <w:t>0.005</w:t>
      </w:r>
      <w:r>
        <w:rPr>
          <w:rFonts w:hint="eastAsia" w:ascii="仿宋_GB2312" w:eastAsia="仿宋_GB2312"/>
          <w:color w:val="000000"/>
          <w:sz w:val="32"/>
          <w:szCs w:val="32"/>
          <w:lang w:eastAsia="zh-CN"/>
        </w:rPr>
        <w:t>%。与2023年度相比，国有资本经营预算财政拨款支出增加/减少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lang w:eastAsia="zh-CN"/>
        </w:rPr>
        <w:t>万元，增长/下降</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增加</w:t>
      </w:r>
      <w:r>
        <w:rPr>
          <w:rFonts w:hint="eastAsia" w:ascii="仿宋_GB2312" w:eastAsia="仿宋_GB2312"/>
          <w:color w:val="000000"/>
          <w:sz w:val="32"/>
          <w:szCs w:val="32"/>
        </w:rPr>
        <w:t>国有企业退休人员社会化管理</w:t>
      </w:r>
      <w:r>
        <w:rPr>
          <w:rFonts w:hint="eastAsia" w:ascii="仿宋_GB2312" w:eastAsia="仿宋_GB2312"/>
          <w:color w:val="000000"/>
          <w:sz w:val="32"/>
          <w:szCs w:val="32"/>
          <w:lang w:eastAsia="zh-CN"/>
        </w:rPr>
        <w:t>补助支出。</w:t>
      </w:r>
    </w:p>
    <w:p w14:paraId="721F5B97">
      <w:pPr>
        <w:pStyle w:val="4"/>
        <w:numPr>
          <w:ilvl w:val="0"/>
          <w:numId w:val="3"/>
        </w:numPr>
        <w:bidi w:val="0"/>
        <w:rPr>
          <w:rStyle w:val="22"/>
          <w:rFonts w:ascii="黑体" w:eastAsia="黑体"/>
          <w:b w:val="0"/>
          <w:bCs/>
        </w:rPr>
      </w:pPr>
      <w:bookmarkStart w:id="50" w:name="_Toc16199"/>
      <w:r>
        <w:rPr>
          <w:rStyle w:val="22"/>
          <w:rFonts w:hint="eastAsia" w:ascii="黑体" w:eastAsia="黑体"/>
          <w:b w:val="0"/>
          <w:bCs/>
        </w:rPr>
        <w:t>预算绩效情况说明</w:t>
      </w:r>
    </w:p>
    <w:bookmarkEnd w:id="50"/>
    <w:p w14:paraId="3BD6B0C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1" w:name="_Toc15377222"/>
      <w:r>
        <w:rPr>
          <w:rFonts w:hint="eastAsia" w:ascii="Times New Roman" w:hAnsi="Times New Roman" w:eastAsia="楷体_GB2312" w:cs="楷体_GB2312"/>
          <w:b/>
          <w:color w:val="auto"/>
          <w:sz w:val="32"/>
          <w:szCs w:val="32"/>
          <w:highlight w:val="none"/>
        </w:rPr>
        <w:t>（一）机关运行经费支出情况</w:t>
      </w:r>
      <w:bookmarkEnd w:id="51"/>
    </w:p>
    <w:p w14:paraId="41ECF5A1">
      <w:pPr>
        <w:autoSpaceDE w:val="0"/>
        <w:autoSpaceDN w:val="0"/>
        <w:adjustRightInd w:val="0"/>
        <w:spacing w:line="600" w:lineRule="exact"/>
        <w:ind w:firstLine="640" w:firstLineChars="200"/>
        <w:jc w:val="left"/>
        <w:outlineLvl w:val="2"/>
        <w:rPr>
          <w:rFonts w:hint="eastAsia" w:ascii="仿宋_GB2312" w:eastAsia="仿宋_GB2312"/>
          <w:color w:val="000000"/>
          <w:sz w:val="32"/>
          <w:szCs w:val="32"/>
          <w:lang w:eastAsia="zh-CN"/>
        </w:rPr>
      </w:pPr>
      <w:bookmarkStart w:id="52" w:name="_Toc15377224"/>
      <w:r>
        <w:rPr>
          <w:rFonts w:hint="eastAsia" w:ascii="仿宋_GB2312" w:eastAsia="仿宋_GB2312"/>
          <w:color w:val="000000"/>
          <w:sz w:val="32"/>
          <w:szCs w:val="32"/>
          <w:lang w:eastAsia="zh-CN"/>
        </w:rPr>
        <w:t>2024年度，金川县河西乡人民政府机关运行经费支出</w:t>
      </w:r>
      <w:r>
        <w:rPr>
          <w:rFonts w:hint="eastAsia" w:ascii="仿宋_GB2312" w:eastAsia="仿宋_GB2312"/>
          <w:color w:val="000000"/>
          <w:sz w:val="32"/>
          <w:szCs w:val="32"/>
          <w:lang w:val="en-US" w:eastAsia="zh-CN"/>
        </w:rPr>
        <w:t>31.13</w:t>
      </w:r>
      <w:r>
        <w:rPr>
          <w:rFonts w:hint="eastAsia" w:ascii="仿宋_GB2312" w:eastAsia="仿宋_GB2312"/>
          <w:color w:val="000000"/>
          <w:sz w:val="32"/>
          <w:szCs w:val="32"/>
          <w:lang w:eastAsia="zh-CN"/>
        </w:rPr>
        <w:t>万元，比2023年度增加</w:t>
      </w:r>
      <w:r>
        <w:rPr>
          <w:rFonts w:hint="eastAsia" w:ascii="仿宋_GB2312" w:eastAsia="仿宋_GB2312"/>
          <w:color w:val="000000"/>
          <w:sz w:val="32"/>
          <w:szCs w:val="32"/>
          <w:lang w:val="en-US" w:eastAsia="zh-CN"/>
        </w:rPr>
        <w:t>0.51</w:t>
      </w:r>
      <w:r>
        <w:rPr>
          <w:rFonts w:hint="eastAsia" w:ascii="仿宋_GB2312" w:eastAsia="仿宋_GB2312"/>
          <w:color w:val="000000"/>
          <w:sz w:val="32"/>
          <w:szCs w:val="32"/>
          <w:lang w:eastAsia="zh-CN"/>
        </w:rPr>
        <w:t>万元，增长</w:t>
      </w:r>
      <w:r>
        <w:rPr>
          <w:rFonts w:hint="eastAsia" w:ascii="仿宋_GB2312" w:eastAsia="仿宋_GB2312"/>
          <w:color w:val="000000"/>
          <w:sz w:val="32"/>
          <w:szCs w:val="32"/>
          <w:lang w:val="en-US" w:eastAsia="zh-CN"/>
        </w:rPr>
        <w:t>1.67</w:t>
      </w:r>
      <w:r>
        <w:rPr>
          <w:rFonts w:hint="eastAsia" w:ascii="仿宋_GB2312" w:eastAsia="仿宋_GB2312"/>
          <w:color w:val="000000"/>
          <w:sz w:val="32"/>
          <w:szCs w:val="32"/>
          <w:lang w:eastAsia="zh-CN"/>
        </w:rPr>
        <w:t>%。主要原因是人员变动。</w:t>
      </w:r>
    </w:p>
    <w:p w14:paraId="00FD88B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（二）政府采购支出情况</w:t>
      </w:r>
    </w:p>
    <w:p w14:paraId="6AED7BB0">
      <w:pPr>
        <w:autoSpaceDE w:val="0"/>
        <w:autoSpaceDN w:val="0"/>
        <w:adjustRightInd w:val="0"/>
        <w:spacing w:line="600" w:lineRule="exact"/>
        <w:ind w:firstLine="640" w:firstLineChars="200"/>
        <w:jc w:val="left"/>
        <w:outlineLvl w:val="2"/>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2024年度，金川县河西乡人民政府政府采购支出总额0万元，其中：政府采购货物支出0万元、政府采购工程支出0万元、政府采购服务支出0万元。主要用于……（具体工作）。授予中小企业合同金额0万元，占政府采购支出总额的0%，其中：授予小微企业合同金额0万元，占政府采购支出总额的0%。</w:t>
      </w:r>
    </w:p>
    <w:p w14:paraId="7EAC30C2">
      <w:pPr>
        <w:spacing w:line="600" w:lineRule="exact"/>
        <w:ind w:firstLine="643" w:firstLineChars="200"/>
        <w:outlineLvl w:val="2"/>
        <w:rPr>
          <w:rFonts w:hint="eastAsia" w:ascii="Times New Roman" w:hAnsi="Times New Roman" w:eastAsia="楷体_GB2312" w:cs="楷体_GB2312"/>
          <w:b/>
          <w:color w:val="auto"/>
          <w:sz w:val="32"/>
          <w:szCs w:val="32"/>
          <w:highlight w:val="none"/>
          <w:lang w:eastAsia="zh-CN"/>
        </w:rPr>
      </w:pPr>
      <w:r>
        <w:rPr>
          <w:rFonts w:hint="eastAsia" w:ascii="Times New Roman" w:hAnsi="Times New Roman" w:eastAsia="楷体_GB2312" w:cs="楷体_GB2312"/>
          <w:b/>
          <w:color w:val="auto"/>
          <w:sz w:val="32"/>
          <w:szCs w:val="32"/>
          <w:highlight w:val="none"/>
          <w:lang w:eastAsia="zh-CN"/>
        </w:rPr>
        <w:t>（三）国有资产占有使用情况</w:t>
      </w:r>
      <w:bookmarkEnd w:id="52"/>
    </w:p>
    <w:p w14:paraId="10B73F62">
      <w:pPr>
        <w:widowControl/>
        <w:tabs>
          <w:tab w:val="left" w:pos="0"/>
        </w:tabs>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截至2024年12月31日，金川县</w:t>
      </w:r>
      <w:r>
        <w:rPr>
          <w:rFonts w:hint="eastAsia" w:ascii="仿宋_GB2312" w:eastAsia="仿宋_GB2312"/>
          <w:color w:val="000000"/>
          <w:sz w:val="32"/>
          <w:szCs w:val="32"/>
          <w:lang w:eastAsia="zh-CN"/>
        </w:rPr>
        <w:t>河西乡</w:t>
      </w:r>
      <w:r>
        <w:rPr>
          <w:rFonts w:hint="eastAsia" w:ascii="仿宋_GB2312" w:eastAsia="仿宋_GB2312"/>
          <w:color w:val="000000"/>
          <w:sz w:val="32"/>
          <w:szCs w:val="32"/>
        </w:rPr>
        <w:t>人民政府共有车辆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辆，其中：主要负责人用车0辆、机要通信用车0辆、应急保障用车1辆、其他用车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辆，其他用车主要是用于……。单价100万元（含）以上设备（不含车辆）0台（套）。</w:t>
      </w:r>
    </w:p>
    <w:p w14:paraId="4CF7220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1555B3B6">
      <w:pPr>
        <w:widowControl/>
        <w:tabs>
          <w:tab w:val="left" w:pos="0"/>
        </w:tabs>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根据预算绩效管理要求，河西乡在2024年度预算编制阶段，组织对金川县河西乡甲咱村村集体经济建设等4个项目开展了预算事前绩效评估，对4个项目编制了绩效目标，预算执行过程中，选取4个项目开展绩效监控。</w:t>
      </w:r>
    </w:p>
    <w:p w14:paraId="7F69BF0F">
      <w:pPr>
        <w:widowControl/>
        <w:tabs>
          <w:tab w:val="left" w:pos="0"/>
        </w:tabs>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组织对2024年度一般公共预算、政府性基金预算、国有资本经营预算、社会保险基金预算以及资本资产、债券资金等全面开展绩效自评，形成河西乡部门整体（含部门预算项目）绩效自评报告、河西乡等专项预算项目绩效自评报告，其中，河西乡部门整体（含部门预算项目）绩效自评得分为95分，绩效自评综述</w:t>
      </w:r>
      <w:r>
        <w:rPr>
          <w:rFonts w:ascii="Times New Roman" w:hAnsi="Times New Roman" w:eastAsia="仿宋_GB2312" w:cs="Times New Roman"/>
          <w:bCs/>
          <w:kern w:val="0"/>
          <w:sz w:val="32"/>
          <w:szCs w:val="32"/>
          <w:shd w:val="clear" w:color="auto" w:fill="FFFFFF"/>
          <w:lang w:val="zh-CN" w:eastAsia="zh-CN"/>
        </w:rPr>
        <w:t>全年整体支出较优，实现了年初绩效目标</w:t>
      </w:r>
      <w:r>
        <w:rPr>
          <w:rFonts w:hint="eastAsia" w:ascii="仿宋_GB2312" w:eastAsia="仿宋_GB2312"/>
          <w:color w:val="000000"/>
          <w:sz w:val="32"/>
          <w:szCs w:val="32"/>
          <w:lang w:val="en-US" w:eastAsia="zh-CN"/>
        </w:rPr>
        <w:t>；3个专项预算项目绩效自评得分为95分，绩效自评综述</w:t>
      </w:r>
      <w:r>
        <w:rPr>
          <w:rFonts w:ascii="Times New Roman" w:hAnsi="Times New Roman" w:eastAsia="仿宋_GB2312" w:cs="Times New Roman"/>
          <w:bCs/>
          <w:kern w:val="0"/>
          <w:sz w:val="32"/>
          <w:szCs w:val="32"/>
          <w:shd w:val="clear" w:color="auto" w:fill="FFFFFF"/>
          <w:lang w:val="zh-CN" w:eastAsia="zh-CN"/>
        </w:rPr>
        <w:t>全年整体支出较优，实现了年初绩效目标</w:t>
      </w:r>
      <w:r>
        <w:rPr>
          <w:rFonts w:hint="eastAsia" w:ascii="仿宋_GB2312" w:eastAsia="仿宋_GB2312"/>
          <w:color w:val="000000"/>
          <w:sz w:val="32"/>
          <w:szCs w:val="32"/>
          <w:lang w:val="en-US" w:eastAsia="zh-CN"/>
        </w:rPr>
        <w:t>。绩效自评报告详见附件。</w:t>
      </w:r>
    </w:p>
    <w:p w14:paraId="34803A4C">
      <w:pPr>
        <w:rPr>
          <w:rStyle w:val="21"/>
          <w:rFonts w:ascii="黑体" w:eastAsia="黑体"/>
          <w:b w:val="0"/>
        </w:rPr>
      </w:pPr>
      <w:bookmarkStart w:id="53" w:name="_Toc15377225"/>
      <w:bookmarkStart w:id="54" w:name="_Toc30760"/>
      <w:r>
        <w:rPr>
          <w:rFonts w:hint="eastAsia" w:ascii="黑体" w:eastAsia="黑体"/>
          <w:b/>
          <w:color w:val="000000"/>
          <w:sz w:val="44"/>
          <w:szCs w:val="44"/>
        </w:rPr>
        <w:br w:type="page"/>
      </w:r>
    </w:p>
    <w:bookmarkEnd w:id="1"/>
    <w:bookmarkEnd w:id="53"/>
    <w:bookmarkEnd w:id="54"/>
    <w:p w14:paraId="3584542C">
      <w:pPr>
        <w:spacing w:line="600" w:lineRule="exact"/>
        <w:jc w:val="center"/>
        <w:outlineLvl w:val="0"/>
        <w:rPr>
          <w:rFonts w:hint="eastAsia" w:ascii="Times New Roman" w:hAnsi="Times New Roman" w:eastAsia="黑体"/>
          <w:color w:val="auto"/>
          <w:sz w:val="44"/>
          <w:szCs w:val="44"/>
          <w:highlight w:val="none"/>
        </w:rPr>
      </w:pPr>
      <w:bookmarkStart w:id="55"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5"/>
    </w:p>
    <w:p w14:paraId="49E3362A">
      <w:pPr>
        <w:spacing w:line="600" w:lineRule="exact"/>
        <w:jc w:val="left"/>
        <w:rPr>
          <w:rFonts w:ascii="Times New Roman" w:hAnsi="Times New Roman"/>
          <w:b/>
          <w:color w:val="auto"/>
          <w:sz w:val="44"/>
          <w:szCs w:val="44"/>
          <w:highlight w:val="none"/>
        </w:rPr>
      </w:pPr>
    </w:p>
    <w:p w14:paraId="2A7917E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7B313E5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14:paraId="5FDB7D4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3.经营收入：指事业单位在专业业务活动及其辅助活动之外开展非独立核算经营活动取得的收入。4.其他收入：指单位取得的除上述收入以外的各项收入。5.使用非财政拨款结余（含专用结余）：指事业单位使用以前年度积累的非财政拨款结余弥补当年收支差额的金额。 </w:t>
      </w:r>
    </w:p>
    <w:p w14:paraId="32AA865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14:paraId="33C2DCD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14:paraId="1EAB85D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14:paraId="60F7C8C5">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8.一般公共服务（类）政府办公厅（室）及相关机构事务（款）行政运行（项）：指行政单位的基本支出。</w:t>
      </w:r>
    </w:p>
    <w:p w14:paraId="66726C5B">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9.一般公共服务（类）政府办公厅（室）及相关机构事务（款）一般行政管理事务（项）：指反映行政单位未单独设置顶级科目的其他项目支出。</w:t>
      </w:r>
    </w:p>
    <w:p w14:paraId="3BAEFF87">
      <w:pPr>
        <w:spacing w:line="600" w:lineRule="exact"/>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10.教育（类）其他教育支出（款）其他教育支出（项）：除上诉项目以外用于教育管理事务方面的支出。</w:t>
      </w:r>
    </w:p>
    <w:p w14:paraId="100AC917">
      <w:pPr>
        <w:spacing w:line="600" w:lineRule="exact"/>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11.社会保障和就业（类）行政事业单位离退休（款）机关事业单位基本养老保险缴费支出（项）：指单位为职工缴纳的基本养老保险费。</w:t>
      </w:r>
    </w:p>
    <w:p w14:paraId="57CD3B76">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12.社会保障和就业（类）行政事业单位离退休（款）机关事业单位基本职业年金缴费支出（项）：指单位为职工实际缴纳的职业年金。</w:t>
      </w:r>
    </w:p>
    <w:p w14:paraId="4D20EA0A">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13.医疗卫生与计划生育（类）行政事业单位医疗（款）行政单位医疗（项）：指反映职工缴纳的基本医疗保险费。</w:t>
      </w:r>
    </w:p>
    <w:p w14:paraId="058C792D">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14.医疗卫生与计划生育（类）行政事业单位医疗（款）公务员医疗补助（项）：指按规定可享受公务员医疗补助单位为职工缴纳的公务员医疗补助费。</w:t>
      </w:r>
    </w:p>
    <w:p w14:paraId="7DC27417">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15.住房保障（类）住房改革支出（款）住房公积金（项）：指单位按规定为职工缴纳的住房公积金。</w:t>
      </w:r>
    </w:p>
    <w:p w14:paraId="64C8B74C">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16.基本支出：指为保障机构正常运转、完成日常工作任务而发生的人员支出和公用支出。</w:t>
      </w:r>
    </w:p>
    <w:p w14:paraId="37DCF7A7">
      <w:pPr>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 xml:space="preserve">17.项目支出：指在基本支出之外为完成特定行政任务和事业发展目标所发生的支出。 </w:t>
      </w:r>
    </w:p>
    <w:p w14:paraId="6264A02A">
      <w:pPr>
        <w:pStyle w:val="25"/>
        <w:spacing w:line="560" w:lineRule="exact"/>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CB3EAB6">
      <w:pPr>
        <w:pStyle w:val="25"/>
        <w:spacing w:line="560" w:lineRule="exact"/>
        <w:ind w:firstLine="632"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 w:hAnsi="Times New Roman" w:eastAsia="仿宋_GB2312" w:cstheme="minorBidi"/>
          <w:color w:val="auto"/>
          <w:spacing w:val="-2"/>
          <w:kern w:val="2"/>
          <w:sz w:val="32"/>
          <w:szCs w:val="32"/>
          <w:lang w:val="en-US" w:eastAsia="zh-CN" w:bidi="ar-SA"/>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C424F26">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14:paraId="2DF646A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21</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14:paraId="58FEF493">
      <w:pPr>
        <w:spacing w:line="600" w:lineRule="exact"/>
        <w:ind w:firstLine="640"/>
        <w:rPr>
          <w:rFonts w:hint="eastAsia" w:ascii="仿宋_GB2312" w:hAnsi="Times New Roman" w:eastAsia="仿宋_GB2312" w:cstheme="minorBidi"/>
          <w:color w:val="auto"/>
          <w:spacing w:val="-2"/>
          <w:kern w:val="2"/>
          <w:sz w:val="32"/>
          <w:szCs w:val="32"/>
          <w:lang w:val="en-US" w:eastAsia="zh-CN" w:bidi="ar-SA"/>
        </w:rPr>
      </w:pPr>
      <w:r>
        <w:rPr>
          <w:rFonts w:hint="eastAsia" w:eastAsia="仿宋_GB2312" w:cs="仿宋_GB2312"/>
          <w:color w:val="auto"/>
          <w:kern w:val="2"/>
          <w:sz w:val="32"/>
          <w:szCs w:val="32"/>
          <w:highlight w:val="none"/>
          <w:lang w:val="en-US" w:eastAsia="zh-CN" w:bidi="ar-SA"/>
        </w:rPr>
        <w:t>22</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14:paraId="6FDADA4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23“</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716EE5E">
      <w:pPr>
        <w:pStyle w:val="25"/>
        <w:spacing w:line="560" w:lineRule="exact"/>
        <w:ind w:firstLine="632" w:firstLineChars="200"/>
        <w:rPr>
          <w:rFonts w:hint="eastAsia" w:ascii="仿宋_GB2312" w:hAnsi="Times New Roman" w:eastAsia="仿宋_GB2312" w:cstheme="minorBidi"/>
          <w:color w:val="auto"/>
          <w:spacing w:val="-2"/>
          <w:kern w:val="2"/>
          <w:sz w:val="32"/>
          <w:szCs w:val="32"/>
          <w:lang w:val="en-US" w:eastAsia="zh-CN" w:bidi="ar-SA"/>
        </w:rPr>
        <w:sectPr>
          <w:headerReference r:id="rId3" w:type="default"/>
          <w:pgSz w:w="11906" w:h="16838"/>
          <w:pgMar w:top="1440" w:right="1800" w:bottom="1440" w:left="1800" w:header="851" w:footer="992" w:gutter="0"/>
          <w:cols w:space="720" w:num="1"/>
          <w:docGrid w:type="lines" w:linePitch="312" w:charSpace="0"/>
        </w:sectPr>
      </w:pPr>
    </w:p>
    <w:p w14:paraId="6BB8C380">
      <w:pPr>
        <w:pStyle w:val="14"/>
        <w:numPr>
          <w:ilvl w:val="0"/>
          <w:numId w:val="4"/>
        </w:numPr>
        <w:ind w:left="0" w:leftChars="0" w:firstLine="0" w:firstLineChars="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6402C01">
      <w:pPr>
        <w:widowControl w:val="0"/>
        <w:numPr>
          <w:ilvl w:val="0"/>
          <w:numId w:val="0"/>
        </w:numPr>
        <w:jc w:val="both"/>
      </w:pPr>
    </w:p>
    <w:p w14:paraId="228436D8">
      <w:pPr>
        <w:pStyle w:val="2"/>
      </w:pPr>
    </w:p>
    <w:p w14:paraId="72ABB5FB"/>
    <w:p w14:paraId="1F8483EA">
      <w:pPr>
        <w:pStyle w:val="2"/>
      </w:pPr>
    </w:p>
    <w:p w14:paraId="1ECB6DF1"/>
    <w:p w14:paraId="20929290">
      <w:pPr>
        <w:pStyle w:val="2"/>
      </w:pPr>
    </w:p>
    <w:p w14:paraId="0979EF7D"/>
    <w:p w14:paraId="60A6579E">
      <w:pPr>
        <w:pStyle w:val="2"/>
      </w:pPr>
    </w:p>
    <w:p w14:paraId="70B546A8"/>
    <w:p w14:paraId="2ED8F927">
      <w:pPr>
        <w:pStyle w:val="2"/>
      </w:pPr>
    </w:p>
    <w:p w14:paraId="56A20028"/>
    <w:p w14:paraId="736C1104">
      <w:pPr>
        <w:pStyle w:val="2"/>
      </w:pPr>
    </w:p>
    <w:p w14:paraId="347342B5"/>
    <w:p w14:paraId="73C6BCFF">
      <w:pPr>
        <w:pStyle w:val="2"/>
      </w:pPr>
    </w:p>
    <w:p w14:paraId="45E10A7D"/>
    <w:p w14:paraId="1FF143E3">
      <w:pPr>
        <w:pStyle w:val="2"/>
      </w:pPr>
    </w:p>
    <w:p w14:paraId="25B3B8E5"/>
    <w:p w14:paraId="0C5F00EF">
      <w:pPr>
        <w:spacing w:line="600" w:lineRule="exact"/>
        <w:jc w:val="center"/>
        <w:rPr>
          <w:rStyle w:val="21"/>
          <w:rFonts w:hint="eastAsia" w:ascii="Times New Roman" w:hAnsi="Times New Roman" w:eastAsia="黑体"/>
          <w:b w:val="0"/>
          <w:color w:val="auto"/>
          <w:highlight w:val="none"/>
          <w:lang w:eastAsia="zh-CN"/>
        </w:rPr>
      </w:pPr>
      <w:bookmarkStart w:id="56"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6"/>
    </w:p>
    <w:p w14:paraId="7EE0F135">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331EE233">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3B511184">
      <w:pPr>
        <w:spacing w:line="576" w:lineRule="exact"/>
        <w:jc w:val="both"/>
        <w:rPr>
          <w:rFonts w:hint="eastAsia" w:ascii="Times New Roman" w:hAnsi="Times New Roman" w:eastAsia="方正小标宋_GBK"/>
          <w:sz w:val="44"/>
          <w:szCs w:val="44"/>
          <w:lang w:eastAsia="zh-CN"/>
        </w:rPr>
      </w:pPr>
    </w:p>
    <w:p w14:paraId="74E1DD8D">
      <w:pPr>
        <w:spacing w:line="576" w:lineRule="exact"/>
        <w:jc w:val="center"/>
        <w:rPr>
          <w:rFonts w:hint="eastAsia" w:ascii="Times New Roman" w:hAnsi="Times New Roman" w:eastAsia="方正小标宋_GBK"/>
          <w:sz w:val="44"/>
          <w:szCs w:val="44"/>
          <w:lang w:val="en-US" w:eastAsia="zh-CN"/>
        </w:rPr>
      </w:pPr>
      <w:r>
        <w:rPr>
          <w:rFonts w:hint="eastAsia" w:ascii="Times New Roman" w:hAnsi="Times New Roman" w:eastAsia="方正小标宋_GBK"/>
          <w:sz w:val="44"/>
          <w:szCs w:val="44"/>
          <w:lang w:eastAsia="zh-CN"/>
        </w:rPr>
        <w:t>金川</w:t>
      </w:r>
      <w:r>
        <w:rPr>
          <w:rFonts w:hint="eastAsia" w:eastAsia="方正小标宋_GBK"/>
          <w:sz w:val="44"/>
          <w:szCs w:val="44"/>
          <w:lang w:eastAsia="zh-CN"/>
        </w:rPr>
        <w:t>县河西乡人民政府</w:t>
      </w:r>
    </w:p>
    <w:p w14:paraId="1A3DA2E1">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hAnsi="Times New Roman" w:eastAsia="方正小标宋_GBK"/>
          <w:sz w:val="44"/>
          <w:szCs w:val="44"/>
        </w:rPr>
      </w:pPr>
      <w:r>
        <w:rPr>
          <w:rFonts w:hint="eastAsia" w:ascii="Times New Roman" w:hAnsi="Times New Roman" w:eastAsia="方正小标宋_GBK"/>
          <w:sz w:val="44"/>
          <w:szCs w:val="44"/>
          <w:lang w:eastAsia="zh-CN"/>
        </w:rPr>
        <w:t>20</w:t>
      </w:r>
      <w:r>
        <w:rPr>
          <w:rFonts w:hint="eastAsia" w:ascii="Times New Roman" w:hAnsi="Times New Roman" w:eastAsia="方正小标宋_GBK"/>
          <w:sz w:val="44"/>
          <w:szCs w:val="44"/>
          <w:lang w:val="en-US" w:eastAsia="zh-CN"/>
        </w:rPr>
        <w:t>2</w:t>
      </w:r>
      <w:r>
        <w:rPr>
          <w:rFonts w:hint="eastAsia" w:eastAsia="方正小标宋_GBK"/>
          <w:sz w:val="44"/>
          <w:szCs w:val="44"/>
          <w:lang w:val="en-US" w:eastAsia="zh-CN"/>
        </w:rPr>
        <w:t>4</w:t>
      </w:r>
      <w:r>
        <w:rPr>
          <w:rFonts w:hint="eastAsia" w:ascii="Times New Roman" w:hAnsi="Times New Roman" w:eastAsia="方正小标宋_GBK"/>
          <w:sz w:val="44"/>
          <w:szCs w:val="44"/>
          <w:lang w:eastAsia="zh-CN"/>
        </w:rPr>
        <w:t>年</w:t>
      </w:r>
      <w:r>
        <w:rPr>
          <w:rFonts w:ascii="Times New Roman" w:hAnsi="Times New Roman" w:eastAsia="方正小标宋_GBK"/>
          <w:sz w:val="44"/>
          <w:szCs w:val="44"/>
          <w:lang w:eastAsia="zh-CN"/>
        </w:rPr>
        <w:t>部门预算</w:t>
      </w:r>
      <w:r>
        <w:rPr>
          <w:rFonts w:ascii="Times New Roman" w:hAnsi="Times New Roman" w:eastAsia="方正小标宋_GBK"/>
          <w:sz w:val="44"/>
          <w:szCs w:val="44"/>
        </w:rPr>
        <w:t>绩效</w:t>
      </w:r>
      <w:r>
        <w:rPr>
          <w:rFonts w:hint="eastAsia" w:ascii="Times New Roman" w:hAnsi="Times New Roman" w:eastAsia="方正小标宋_GBK"/>
          <w:sz w:val="44"/>
          <w:szCs w:val="44"/>
          <w:lang w:eastAsia="zh-CN"/>
        </w:rPr>
        <w:t>评价</w:t>
      </w:r>
      <w:r>
        <w:rPr>
          <w:rFonts w:ascii="Times New Roman" w:hAnsi="Times New Roman" w:eastAsia="方正小标宋_GBK"/>
          <w:sz w:val="44"/>
          <w:szCs w:val="44"/>
        </w:rPr>
        <w:t>报告</w:t>
      </w:r>
    </w:p>
    <w:p w14:paraId="33A9815D">
      <w:pPr>
        <w:pStyle w:val="23"/>
      </w:pPr>
    </w:p>
    <w:p w14:paraId="736015AC">
      <w:pPr>
        <w:rPr>
          <w:rFonts w:hint="eastAsia" w:ascii="仿宋" w:eastAsia="仿宋" w:cs="仿宋"/>
          <w:sz w:val="32"/>
          <w:szCs w:val="32"/>
        </w:rPr>
      </w:pPr>
      <w:r>
        <w:rPr>
          <w:rFonts w:hint="eastAsia" w:ascii="仿宋" w:eastAsia="仿宋" w:cs="仿宋"/>
          <w:sz w:val="32"/>
          <w:szCs w:val="32"/>
        </w:rPr>
        <w:t>金川县财政局:</w:t>
      </w:r>
    </w:p>
    <w:p w14:paraId="0AA4B243">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pPr>
      <w:r>
        <w:rPr>
          <w:rFonts w:hint="eastAsia" w:ascii="仿宋" w:eastAsia="仿宋" w:cs="仿宋"/>
          <w:sz w:val="32"/>
          <w:szCs w:val="32"/>
        </w:rPr>
        <w:t>根据《金川县财政局关于</w:t>
      </w:r>
      <w:r>
        <w:rPr>
          <w:rFonts w:hint="eastAsia" w:ascii="仿宋" w:eastAsia="仿宋" w:cs="仿宋"/>
          <w:sz w:val="32"/>
          <w:szCs w:val="32"/>
          <w:lang w:val="en-US" w:eastAsia="zh-CN"/>
        </w:rPr>
        <w:t>2024年县级部门绩效自评工作</w:t>
      </w:r>
      <w:r>
        <w:rPr>
          <w:rFonts w:hint="eastAsia" w:ascii="仿宋" w:eastAsia="仿宋" w:cs="仿宋"/>
          <w:sz w:val="32"/>
          <w:szCs w:val="32"/>
        </w:rPr>
        <w:t>的通知》的通知(金财</w:t>
      </w:r>
      <w:r>
        <w:rPr>
          <w:rFonts w:hint="eastAsia" w:ascii="仿宋" w:eastAsia="仿宋" w:cs="仿宋"/>
          <w:sz w:val="32"/>
          <w:szCs w:val="32"/>
          <w:lang w:val="en-US" w:eastAsia="zh-CN"/>
        </w:rPr>
        <w:t>监绩</w:t>
      </w:r>
      <w:r>
        <w:rPr>
          <w:rFonts w:hint="eastAsia" w:ascii="仿宋" w:eastAsia="仿宋" w:cs="仿宋"/>
          <w:sz w:val="32"/>
          <w:szCs w:val="32"/>
        </w:rPr>
        <w:t>〔202</w:t>
      </w:r>
      <w:r>
        <w:rPr>
          <w:rFonts w:hint="eastAsia" w:ascii="仿宋" w:eastAsia="仿宋" w:cs="仿宋"/>
          <w:sz w:val="32"/>
          <w:szCs w:val="32"/>
          <w:lang w:val="en-US" w:eastAsia="zh-CN"/>
        </w:rPr>
        <w:t>5</w:t>
      </w:r>
      <w:r>
        <w:rPr>
          <w:rFonts w:hint="eastAsia" w:ascii="仿宋" w:eastAsia="仿宋" w:cs="仿宋"/>
          <w:sz w:val="32"/>
          <w:szCs w:val="32"/>
        </w:rPr>
        <w:t>〕</w:t>
      </w:r>
      <w:r>
        <w:rPr>
          <w:rFonts w:hint="eastAsia" w:ascii="仿宋" w:eastAsia="仿宋" w:cs="仿宋"/>
          <w:sz w:val="32"/>
          <w:szCs w:val="32"/>
          <w:lang w:val="en-US" w:eastAsia="zh-CN"/>
        </w:rPr>
        <w:t>35</w:t>
      </w:r>
      <w:r>
        <w:rPr>
          <w:rFonts w:hint="eastAsia" w:ascii="仿宋" w:eastAsia="仿宋" w:cs="仿宋"/>
          <w:sz w:val="32"/>
          <w:szCs w:val="32"/>
        </w:rPr>
        <w:t>号)文件要求，我</w:t>
      </w:r>
      <w:r>
        <w:rPr>
          <w:rFonts w:hint="eastAsia" w:ascii="仿宋" w:eastAsia="仿宋" w:cs="仿宋"/>
          <w:sz w:val="32"/>
          <w:szCs w:val="32"/>
          <w:lang w:eastAsia="zh-CN"/>
        </w:rPr>
        <w:t>乡</w:t>
      </w:r>
      <w:r>
        <w:rPr>
          <w:rFonts w:hint="eastAsia" w:ascii="仿宋" w:eastAsia="仿宋" w:cs="仿宋"/>
          <w:sz w:val="32"/>
          <w:szCs w:val="32"/>
        </w:rPr>
        <w:t>高度重视，赓即对</w:t>
      </w:r>
      <w:r>
        <w:rPr>
          <w:rFonts w:hint="eastAsia" w:ascii="仿宋" w:eastAsia="仿宋" w:cs="仿宋"/>
          <w:sz w:val="32"/>
          <w:szCs w:val="32"/>
          <w:lang w:eastAsia="zh-CN"/>
        </w:rPr>
        <w:t>乡政府20</w:t>
      </w:r>
      <w:r>
        <w:rPr>
          <w:rFonts w:hint="eastAsia" w:ascii="仿宋" w:eastAsia="仿宋" w:cs="仿宋"/>
          <w:sz w:val="32"/>
          <w:szCs w:val="32"/>
          <w:lang w:val="en-US" w:eastAsia="zh-CN"/>
        </w:rPr>
        <w:t>24</w:t>
      </w:r>
      <w:r>
        <w:rPr>
          <w:rFonts w:hint="eastAsia" w:ascii="仿宋" w:eastAsia="仿宋" w:cs="仿宋"/>
          <w:sz w:val="32"/>
          <w:szCs w:val="32"/>
          <w:lang w:eastAsia="zh-CN"/>
        </w:rPr>
        <w:t>年</w:t>
      </w:r>
      <w:r>
        <w:rPr>
          <w:rFonts w:ascii="仿宋" w:eastAsia="仿宋" w:cs="仿宋"/>
          <w:sz w:val="32"/>
          <w:szCs w:val="32"/>
          <w:lang w:eastAsia="zh-CN"/>
        </w:rPr>
        <w:t>部门预算</w:t>
      </w:r>
      <w:r>
        <w:rPr>
          <w:rFonts w:ascii="仿宋" w:eastAsia="仿宋" w:cs="仿宋"/>
          <w:sz w:val="32"/>
          <w:szCs w:val="32"/>
        </w:rPr>
        <w:t>绩效</w:t>
      </w:r>
      <w:r>
        <w:rPr>
          <w:rFonts w:hint="eastAsia" w:ascii="仿宋" w:eastAsia="仿宋" w:cs="仿宋"/>
          <w:sz w:val="32"/>
          <w:szCs w:val="32"/>
          <w:lang w:val="en-US" w:eastAsia="zh-CN"/>
        </w:rPr>
        <w:t>开展自评工作，</w:t>
      </w:r>
      <w:r>
        <w:rPr>
          <w:rFonts w:hint="eastAsia" w:ascii="仿宋" w:eastAsia="仿宋" w:cs="仿宋"/>
          <w:sz w:val="32"/>
          <w:szCs w:val="32"/>
          <w:lang w:eastAsia="zh-CN"/>
        </w:rPr>
        <w:t>评价</w:t>
      </w:r>
      <w:r>
        <w:rPr>
          <w:rFonts w:ascii="仿宋" w:eastAsia="仿宋" w:cs="仿宋"/>
          <w:sz w:val="32"/>
          <w:szCs w:val="32"/>
        </w:rPr>
        <w:t>报告</w:t>
      </w:r>
      <w:r>
        <w:rPr>
          <w:rFonts w:hint="eastAsia" w:ascii="仿宋" w:eastAsia="仿宋" w:cs="仿宋"/>
          <w:sz w:val="32"/>
          <w:szCs w:val="32"/>
        </w:rPr>
        <w:t>情况如下。</w:t>
      </w:r>
    </w:p>
    <w:p w14:paraId="142AF1AB">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Style w:val="22"/>
          <w:rFonts w:ascii="黑体" w:eastAsia="黑体" w:cs="Times New Roman"/>
          <w:b w:val="0"/>
          <w:kern w:val="2"/>
          <w:lang w:val="en-US" w:eastAsia="zh-CN" w:bidi="ar-SA"/>
        </w:rPr>
      </w:pPr>
      <w:r>
        <w:rPr>
          <w:rStyle w:val="22"/>
          <w:rFonts w:hint="eastAsia" w:ascii="黑体" w:eastAsia="黑体" w:cs="Times New Roman"/>
          <w:b w:val="0"/>
          <w:kern w:val="2"/>
          <w:lang w:val="zh-CN" w:eastAsia="zh-CN" w:bidi="ar-SA"/>
        </w:rPr>
        <w:t>一、</w:t>
      </w:r>
      <w:r>
        <w:rPr>
          <w:rStyle w:val="22"/>
          <w:rFonts w:ascii="黑体" w:eastAsia="黑体" w:cs="Times New Roman"/>
          <w:b w:val="0"/>
          <w:kern w:val="2"/>
          <w:lang w:val="zh-CN" w:eastAsia="zh-CN" w:bidi="ar-SA"/>
        </w:rPr>
        <w:t>部门（单位）基本情况</w:t>
      </w:r>
    </w:p>
    <w:p w14:paraId="35803993">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（一）</w:t>
      </w:r>
      <w:r>
        <w:rPr>
          <w:rFonts w:ascii="Times New Roman" w:hAnsi="Times New Roman" w:eastAsia="楷体_GB2312" w:cs="Times New Roman"/>
          <w:b/>
          <w:bCs/>
          <w:color w:val="000000"/>
          <w:kern w:val="0"/>
          <w:sz w:val="32"/>
          <w:szCs w:val="32"/>
          <w:highlight w:val="none"/>
          <w:shd w:val="clear" w:color="auto" w:fill="FFFFFF"/>
          <w:lang w:val="zh-CN"/>
        </w:rPr>
        <w:t>机构组成。</w:t>
      </w:r>
    </w:p>
    <w:p w14:paraId="02EBBE3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rPr>
      </w:pPr>
      <w:r>
        <w:rPr>
          <w:rFonts w:hint="eastAsia" w:ascii="仿宋" w:eastAsia="仿宋" w:cs="仿宋"/>
          <w:sz w:val="32"/>
          <w:szCs w:val="32"/>
          <w:lang w:val="zh-CN"/>
        </w:rPr>
        <w:t>本部门预算单位</w:t>
      </w:r>
      <w:r>
        <w:rPr>
          <w:rFonts w:hint="eastAsia" w:ascii="仿宋" w:eastAsia="仿宋" w:cs="仿宋"/>
          <w:sz w:val="32"/>
          <w:szCs w:val="32"/>
          <w:lang w:val="en-US" w:eastAsia="zh-CN"/>
        </w:rPr>
        <w:t>1</w:t>
      </w:r>
      <w:r>
        <w:rPr>
          <w:rFonts w:hint="eastAsia" w:ascii="仿宋" w:eastAsia="仿宋" w:cs="仿宋"/>
          <w:sz w:val="32"/>
          <w:szCs w:val="32"/>
          <w:lang w:val="zh-CN"/>
        </w:rPr>
        <w:t>个，其中内设机构</w:t>
      </w:r>
      <w:r>
        <w:rPr>
          <w:rFonts w:hint="eastAsia" w:ascii="仿宋" w:eastAsia="仿宋" w:cs="仿宋"/>
          <w:sz w:val="32"/>
          <w:szCs w:val="32"/>
          <w:lang w:val="en-US" w:eastAsia="zh-CN"/>
        </w:rPr>
        <w:t>4</w:t>
      </w:r>
      <w:r>
        <w:rPr>
          <w:rFonts w:hint="eastAsia" w:ascii="仿宋" w:eastAsia="仿宋" w:cs="仿宋"/>
          <w:sz w:val="32"/>
          <w:szCs w:val="32"/>
          <w:lang w:val="zh-CN"/>
        </w:rPr>
        <w:t>个，分别是金川县河西乡人民政府办公室、河西乡党委办公室、河西乡人大办公室、河西乡综合服务中心。</w:t>
      </w:r>
    </w:p>
    <w:p w14:paraId="5AE809C4">
      <w:pPr>
        <w:keepNext w:val="0"/>
        <w:keepLines w:val="0"/>
        <w:pageBreakBefore w:val="0"/>
        <w:widowControl/>
        <w:numPr>
          <w:ilvl w:val="0"/>
          <w:numId w:val="5"/>
        </w:numPr>
        <w:kinsoku w:val="0"/>
        <w:overflowPunct w:val="0"/>
        <w:autoSpaceDE w:val="0"/>
        <w:autoSpaceDN w:val="0"/>
        <w:bidi w:val="0"/>
        <w:spacing w:line="600" w:lineRule="exact"/>
        <w:ind w:left="0" w:firstLine="643" w:firstLineChars="200"/>
        <w:jc w:val="left"/>
        <w:textAlignment w:val="auto"/>
        <w:rPr>
          <w:rFonts w:hint="eastAsia"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机构职能</w:t>
      </w:r>
      <w:r>
        <w:rPr>
          <w:rFonts w:hint="eastAsia" w:eastAsia="楷体_GB2312" w:cs="Times New Roman"/>
          <w:b/>
          <w:bCs/>
          <w:color w:val="000000"/>
          <w:kern w:val="0"/>
          <w:sz w:val="32"/>
          <w:szCs w:val="32"/>
          <w:highlight w:val="none"/>
          <w:shd w:val="clear" w:color="auto" w:fill="FFFFFF"/>
          <w:lang w:val="zh-CN"/>
        </w:rPr>
        <w:t>。</w:t>
      </w:r>
    </w:p>
    <w:p w14:paraId="579BF105">
      <w:pPr>
        <w:keepNext w:val="0"/>
        <w:keepLines w:val="0"/>
        <w:pageBreakBefore w:val="0"/>
        <w:widowControl/>
        <w:kinsoku/>
        <w:wordWrap/>
        <w:overflowPunct/>
        <w:topLinePunct w:val="0"/>
        <w:autoSpaceDE/>
        <w:autoSpaceDN/>
        <w:bidi w:val="0"/>
        <w:adjustRightInd w:val="0"/>
        <w:snapToGrid w:val="0"/>
        <w:spacing w:line="578" w:lineRule="exact"/>
        <w:ind w:firstLine="420" w:firstLineChars="200"/>
        <w:contextualSpacing/>
        <w:jc w:val="left"/>
        <w:textAlignment w:val="auto"/>
        <w:outlineLvl w:val="9"/>
        <w:rPr>
          <w:rFonts w:hint="eastAsia" w:ascii="仿宋" w:eastAsia="仿宋" w:cs="仿宋"/>
          <w:sz w:val="32"/>
          <w:szCs w:val="32"/>
          <w:lang w:val="zh-CN" w:eastAsia="zh-CN"/>
        </w:rPr>
      </w:pPr>
      <w:r>
        <w:rPr>
          <w:rFonts w:hint="eastAsia"/>
          <w:lang w:val="zh-CN"/>
        </w:rPr>
        <w:t xml:space="preserve"> </w:t>
      </w:r>
      <w:r>
        <w:rPr>
          <w:rFonts w:hint="eastAsia" w:ascii="仿宋" w:eastAsia="仿宋" w:cs="仿宋"/>
          <w:sz w:val="32"/>
          <w:szCs w:val="32"/>
          <w:lang w:val="zh-CN" w:eastAsia="zh-CN"/>
        </w:rPr>
        <w:t xml:space="preserve">1.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p>
    <w:p w14:paraId="6344A61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lang w:val="zh-CN" w:eastAsia="zh-CN"/>
        </w:rPr>
        <w:t xml:space="preserve">2.制定并组织实施村镇建设规划，部署重点工程建设，地方道路建设及公共设施，水利设施的管理，负责土地、林木、水等自然资源和生态环境的保护，做好护林防火工作。 </w:t>
      </w:r>
    </w:p>
    <w:p w14:paraId="4954FB69">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lang w:val="zh-CN" w:eastAsia="zh-CN"/>
        </w:rPr>
        <w:t xml:space="preserve">3.负责本行政区域内的民政、计划生育、文化教育、卫生、体育等社会公益事业的综合性工作，维护一切经济单位和个人的正当经济权益，取缔非法经济活动，调解和处理民事纠纷，打击刑事犯罪维护社会稳定。 </w:t>
      </w:r>
    </w:p>
    <w:p w14:paraId="297D065E">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lang w:val="zh-CN" w:eastAsia="zh-CN"/>
        </w:rPr>
        <w:t xml:space="preserve">4.按计划组织本级财政收入和地方税的征收，完成国家财政计划，不断培植税源，管好财政资金，增强财政实力。 </w:t>
      </w:r>
    </w:p>
    <w:p w14:paraId="49D56FF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lang w:val="zh-CN"/>
        </w:rPr>
      </w:pPr>
      <w:r>
        <w:rPr>
          <w:rFonts w:hint="eastAsia" w:ascii="仿宋" w:eastAsia="仿宋" w:cs="仿宋"/>
          <w:sz w:val="32"/>
          <w:szCs w:val="32"/>
          <w:lang w:val="zh-CN" w:eastAsia="zh-CN"/>
        </w:rPr>
        <w:t>5.抓好精神文明建设，丰富群众文化生活，提倡移风易俗，反对封建迷信，破除陈规陋习，树立社会主义新风尚</w:t>
      </w:r>
      <w:r>
        <w:rPr>
          <w:rFonts w:hint="eastAsia" w:ascii="仿宋" w:eastAsia="仿宋" w:cs="仿宋"/>
          <w:sz w:val="32"/>
          <w:szCs w:val="32"/>
          <w:lang w:val="en-US" w:eastAsia="zh-CN"/>
        </w:rPr>
        <w:t>。</w:t>
      </w:r>
    </w:p>
    <w:p w14:paraId="7B341718">
      <w:pPr>
        <w:keepNext w:val="0"/>
        <w:keepLines w:val="0"/>
        <w:pageBreakBefore w:val="0"/>
        <w:widowControl w:val="0"/>
        <w:kinsoku/>
        <w:wordWrap w:val="0"/>
        <w:overflowPunct/>
        <w:autoSpaceDE/>
        <w:autoSpaceDN/>
        <w:bidi w:val="0"/>
        <w:spacing w:line="560" w:lineRule="exact"/>
        <w:ind w:firstLine="643" w:firstLineChars="200"/>
        <w:jc w:val="left"/>
        <w:textAlignment w:val="auto"/>
        <w:rPr>
          <w:rFonts w:hint="eastAsia"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三</w:t>
      </w:r>
      <w:r>
        <w:rPr>
          <w:rFonts w:ascii="Times New Roman" w:hAnsi="Times New Roman" w:eastAsia="楷体_GB2312" w:cs="Times New Roman"/>
          <w:b/>
          <w:bCs/>
          <w:color w:val="000000"/>
          <w:kern w:val="0"/>
          <w:sz w:val="32"/>
          <w:szCs w:val="32"/>
          <w:highlight w:val="none"/>
          <w:shd w:val="clear" w:color="auto" w:fill="FFFFFF"/>
          <w:lang w:val="zh-CN"/>
        </w:rPr>
        <w:t>）人员概况</w:t>
      </w:r>
      <w:r>
        <w:rPr>
          <w:rFonts w:hint="eastAsia" w:eastAsia="楷体_GB2312" w:cs="Times New Roman"/>
          <w:b/>
          <w:bCs/>
          <w:color w:val="000000"/>
          <w:kern w:val="0"/>
          <w:sz w:val="32"/>
          <w:szCs w:val="32"/>
          <w:highlight w:val="none"/>
          <w:shd w:val="clear" w:color="auto" w:fill="FFFFFF"/>
          <w:lang w:val="zh-CN"/>
        </w:rPr>
        <w:t>。</w:t>
      </w:r>
    </w:p>
    <w:p w14:paraId="7CF8D743">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en-US" w:eastAsia="zh-CN"/>
        </w:rPr>
        <w:t>截至2024年末，金川县河西乡人民政府只有一个行政核算机构。</w:t>
      </w:r>
      <w:r>
        <w:rPr>
          <w:rFonts w:hint="eastAsia" w:ascii="仿宋" w:eastAsia="仿宋" w:cs="仿宋"/>
          <w:sz w:val="32"/>
          <w:szCs w:val="32"/>
          <w:lang w:val="zh-CN" w:eastAsia="zh-CN"/>
        </w:rPr>
        <w:t>单位编制数</w:t>
      </w:r>
      <w:r>
        <w:rPr>
          <w:rFonts w:hint="eastAsia" w:ascii="仿宋" w:eastAsia="仿宋" w:cs="仿宋"/>
          <w:sz w:val="32"/>
          <w:szCs w:val="32"/>
          <w:lang w:val="en-US" w:eastAsia="zh-CN"/>
        </w:rPr>
        <w:t>35</w:t>
      </w:r>
      <w:r>
        <w:rPr>
          <w:rFonts w:hint="eastAsia" w:ascii="仿宋" w:eastAsia="仿宋" w:cs="仿宋"/>
          <w:sz w:val="32"/>
          <w:szCs w:val="32"/>
          <w:lang w:val="zh-CN" w:eastAsia="zh-CN"/>
        </w:rPr>
        <w:t>个，其中：公务员编制</w:t>
      </w:r>
      <w:r>
        <w:rPr>
          <w:rFonts w:hint="eastAsia" w:ascii="仿宋" w:eastAsia="仿宋" w:cs="仿宋"/>
          <w:sz w:val="32"/>
          <w:szCs w:val="32"/>
          <w:lang w:val="en-US" w:eastAsia="zh-CN"/>
        </w:rPr>
        <w:t>19个</w:t>
      </w:r>
      <w:r>
        <w:rPr>
          <w:rFonts w:hint="eastAsia" w:ascii="仿宋" w:eastAsia="仿宋" w:cs="仿宋"/>
          <w:sz w:val="32"/>
          <w:szCs w:val="32"/>
          <w:lang w:val="zh-CN" w:eastAsia="zh-CN"/>
        </w:rPr>
        <w:t>、行政工勤编制</w:t>
      </w:r>
      <w:r>
        <w:rPr>
          <w:rFonts w:hint="eastAsia" w:ascii="仿宋" w:eastAsia="仿宋" w:cs="仿宋"/>
          <w:sz w:val="32"/>
          <w:szCs w:val="32"/>
          <w:lang w:val="en-US" w:eastAsia="zh-CN"/>
        </w:rPr>
        <w:t>2</w:t>
      </w:r>
      <w:r>
        <w:rPr>
          <w:rFonts w:hint="eastAsia" w:ascii="仿宋" w:eastAsia="仿宋" w:cs="仿宋"/>
          <w:sz w:val="32"/>
          <w:szCs w:val="32"/>
          <w:lang w:val="zh-CN" w:eastAsia="zh-CN"/>
        </w:rPr>
        <w:t>个，</w:t>
      </w:r>
      <w:r>
        <w:rPr>
          <w:rFonts w:hint="eastAsia" w:ascii="仿宋" w:eastAsia="仿宋" w:cs="仿宋"/>
          <w:sz w:val="32"/>
          <w:szCs w:val="32"/>
          <w:lang w:val="en-US" w:eastAsia="zh-CN"/>
        </w:rPr>
        <w:t>事业编制14名</w:t>
      </w:r>
      <w:r>
        <w:rPr>
          <w:rFonts w:hint="eastAsia" w:ascii="仿宋" w:eastAsia="仿宋" w:cs="仿宋"/>
          <w:sz w:val="32"/>
          <w:szCs w:val="32"/>
          <w:lang w:val="zh-CN" w:eastAsia="zh-CN"/>
        </w:rPr>
        <w:t>。截止20</w:t>
      </w:r>
      <w:r>
        <w:rPr>
          <w:rFonts w:hint="eastAsia" w:ascii="仿宋" w:eastAsia="仿宋" w:cs="仿宋"/>
          <w:sz w:val="32"/>
          <w:szCs w:val="32"/>
          <w:lang w:val="en-US" w:eastAsia="zh-CN"/>
        </w:rPr>
        <w:t>24</w:t>
      </w:r>
      <w:r>
        <w:rPr>
          <w:rFonts w:hint="eastAsia" w:ascii="仿宋" w:eastAsia="仿宋" w:cs="仿宋"/>
          <w:sz w:val="32"/>
          <w:szCs w:val="32"/>
          <w:lang w:val="zh-CN" w:eastAsia="zh-CN"/>
        </w:rPr>
        <w:t>年</w:t>
      </w:r>
      <w:r>
        <w:rPr>
          <w:rFonts w:hint="eastAsia" w:ascii="仿宋" w:eastAsia="仿宋" w:cs="仿宋"/>
          <w:sz w:val="32"/>
          <w:szCs w:val="32"/>
          <w:lang w:val="en-US" w:eastAsia="zh-CN"/>
        </w:rPr>
        <w:t>12月</w:t>
      </w:r>
      <w:r>
        <w:rPr>
          <w:rFonts w:hint="eastAsia" w:ascii="仿宋" w:eastAsia="仿宋" w:cs="仿宋"/>
          <w:sz w:val="32"/>
          <w:szCs w:val="32"/>
          <w:lang w:val="zh-CN" w:eastAsia="zh-CN"/>
        </w:rPr>
        <w:t>，单位实有人数</w:t>
      </w:r>
      <w:r>
        <w:rPr>
          <w:rFonts w:hint="eastAsia" w:ascii="仿宋" w:eastAsia="仿宋" w:cs="仿宋"/>
          <w:sz w:val="32"/>
          <w:szCs w:val="32"/>
          <w:lang w:val="en-US" w:eastAsia="zh-CN"/>
        </w:rPr>
        <w:t>35</w:t>
      </w:r>
      <w:r>
        <w:rPr>
          <w:rFonts w:hint="eastAsia" w:ascii="仿宋" w:eastAsia="仿宋" w:cs="仿宋"/>
          <w:sz w:val="32"/>
          <w:szCs w:val="32"/>
          <w:lang w:val="zh-CN" w:eastAsia="zh-CN"/>
        </w:rPr>
        <w:t>人，其中：在职人</w:t>
      </w:r>
      <w:r>
        <w:rPr>
          <w:rFonts w:hint="eastAsia" w:ascii="仿宋" w:eastAsia="仿宋" w:cs="仿宋"/>
          <w:sz w:val="32"/>
          <w:szCs w:val="32"/>
          <w:lang w:val="en-US" w:eastAsia="zh-CN"/>
        </w:rPr>
        <w:t>数</w:t>
      </w:r>
      <w:r>
        <w:rPr>
          <w:rFonts w:hint="eastAsia" w:ascii="仿宋" w:eastAsia="仿宋" w:cs="仿宋"/>
          <w:sz w:val="32"/>
          <w:szCs w:val="32"/>
          <w:lang w:val="zh-CN" w:eastAsia="zh-CN"/>
        </w:rPr>
        <w:t>（公务员</w:t>
      </w:r>
      <w:r>
        <w:rPr>
          <w:rFonts w:hint="eastAsia" w:ascii="仿宋" w:eastAsia="仿宋" w:cs="仿宋"/>
          <w:sz w:val="32"/>
          <w:szCs w:val="32"/>
          <w:lang w:val="en-US" w:eastAsia="zh-CN"/>
        </w:rPr>
        <w:t>20个</w:t>
      </w:r>
      <w:r>
        <w:rPr>
          <w:rFonts w:hint="eastAsia" w:ascii="仿宋" w:eastAsia="仿宋" w:cs="仿宋"/>
          <w:sz w:val="32"/>
          <w:szCs w:val="32"/>
          <w:lang w:val="zh-CN" w:eastAsia="zh-CN"/>
        </w:rPr>
        <w:t>、行政工勤</w:t>
      </w:r>
      <w:r>
        <w:rPr>
          <w:rFonts w:hint="eastAsia" w:ascii="仿宋" w:eastAsia="仿宋" w:cs="仿宋"/>
          <w:sz w:val="32"/>
          <w:szCs w:val="32"/>
          <w:lang w:val="en-US" w:eastAsia="zh-CN"/>
        </w:rPr>
        <w:t>2</w:t>
      </w:r>
      <w:r>
        <w:rPr>
          <w:rFonts w:hint="eastAsia" w:ascii="仿宋" w:eastAsia="仿宋" w:cs="仿宋"/>
          <w:sz w:val="32"/>
          <w:szCs w:val="32"/>
          <w:lang w:val="zh-CN" w:eastAsia="zh-CN"/>
        </w:rPr>
        <w:t>个，</w:t>
      </w:r>
      <w:r>
        <w:rPr>
          <w:rFonts w:hint="eastAsia" w:ascii="仿宋" w:eastAsia="仿宋" w:cs="仿宋"/>
          <w:sz w:val="32"/>
          <w:szCs w:val="32"/>
          <w:lang w:val="en-US" w:eastAsia="zh-CN"/>
        </w:rPr>
        <w:t>事业13名</w:t>
      </w:r>
      <w:r>
        <w:rPr>
          <w:rFonts w:hint="eastAsia" w:ascii="仿宋" w:eastAsia="仿宋" w:cs="仿宋"/>
          <w:sz w:val="32"/>
          <w:szCs w:val="32"/>
          <w:lang w:val="zh-CN" w:eastAsia="zh-CN"/>
        </w:rPr>
        <w:t>），退休</w:t>
      </w:r>
      <w:r>
        <w:rPr>
          <w:rFonts w:hint="eastAsia" w:ascii="仿宋" w:eastAsia="仿宋" w:cs="仿宋"/>
          <w:sz w:val="32"/>
          <w:szCs w:val="32"/>
          <w:lang w:val="en-US" w:eastAsia="zh-CN"/>
        </w:rPr>
        <w:t>6</w:t>
      </w:r>
      <w:r>
        <w:rPr>
          <w:rFonts w:hint="eastAsia" w:ascii="仿宋" w:eastAsia="仿宋" w:cs="仿宋"/>
          <w:sz w:val="32"/>
          <w:szCs w:val="32"/>
          <w:lang w:val="zh-CN" w:eastAsia="zh-CN"/>
        </w:rPr>
        <w:t>人，工资转由社保部门发放。</w:t>
      </w:r>
    </w:p>
    <w:p w14:paraId="1DB7290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rPr>
      </w:pPr>
      <w:r>
        <w:rPr>
          <w:rFonts w:ascii="Times New Roman" w:hAnsi="Times New Roman" w:eastAsia="黑体" w:cs="Times New Roman"/>
          <w:color w:val="000000"/>
          <w:kern w:val="0"/>
          <w:sz w:val="32"/>
          <w:szCs w:val="32"/>
          <w:highlight w:val="none"/>
          <w:shd w:val="clear" w:color="auto" w:fill="FFFFFF"/>
        </w:rPr>
        <w:t>二、</w:t>
      </w:r>
      <w:r>
        <w:rPr>
          <w:rFonts w:ascii="Times New Roman" w:hAnsi="Times New Roman" w:eastAsia="黑体" w:cs="Times New Roman"/>
          <w:color w:val="000000"/>
          <w:kern w:val="0"/>
          <w:sz w:val="32"/>
          <w:szCs w:val="32"/>
          <w:highlight w:val="none"/>
          <w:shd w:val="clear" w:color="auto" w:fill="FFFFFF"/>
          <w:lang w:eastAsia="zh-CN"/>
        </w:rPr>
        <w:t>部门</w:t>
      </w:r>
      <w:r>
        <w:rPr>
          <w:rFonts w:ascii="Times New Roman" w:hAnsi="Times New Roman" w:eastAsia="黑体" w:cs="Times New Roman"/>
          <w:color w:val="000000"/>
          <w:kern w:val="0"/>
          <w:sz w:val="32"/>
          <w:szCs w:val="32"/>
          <w:highlight w:val="none"/>
          <w:shd w:val="clear" w:color="auto" w:fill="FFFFFF"/>
        </w:rPr>
        <w:t>资金收支情况</w:t>
      </w:r>
    </w:p>
    <w:p w14:paraId="49E4B755">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en-US" w:eastAsia="zh-CN"/>
        </w:rPr>
      </w:pPr>
      <w:r>
        <w:rPr>
          <w:rFonts w:ascii="Times New Roman" w:hAnsi="Times New Roman" w:eastAsia="楷体_GB2312" w:cs="Times New Roman"/>
          <w:b/>
          <w:bCs/>
          <w:color w:val="000000"/>
          <w:kern w:val="0"/>
          <w:sz w:val="32"/>
          <w:szCs w:val="32"/>
          <w:highlight w:val="none"/>
          <w:shd w:val="clear" w:color="auto" w:fill="FFFFFF"/>
          <w:lang w:val="zh-CN"/>
        </w:rPr>
        <w:t>（一）</w:t>
      </w:r>
      <w:r>
        <w:rPr>
          <w:rFonts w:hint="eastAsia" w:eastAsia="楷体_GB2312" w:cs="Times New Roman"/>
          <w:b/>
          <w:bCs/>
          <w:color w:val="000000"/>
          <w:kern w:val="0"/>
          <w:sz w:val="32"/>
          <w:szCs w:val="32"/>
          <w:highlight w:val="none"/>
          <w:shd w:val="clear" w:color="auto" w:fill="FFFFFF"/>
          <w:lang w:val="zh-CN"/>
        </w:rPr>
        <w:t>收入情况</w:t>
      </w:r>
      <w:r>
        <w:rPr>
          <w:rFonts w:ascii="Times New Roman" w:hAnsi="Times New Roman" w:eastAsia="楷体_GB2312" w:cs="Times New Roman"/>
          <w:b/>
          <w:bCs/>
          <w:color w:val="000000"/>
          <w:kern w:val="0"/>
          <w:sz w:val="32"/>
          <w:szCs w:val="32"/>
          <w:highlight w:val="none"/>
          <w:shd w:val="clear" w:color="auto" w:fill="FFFFFF"/>
          <w:lang w:val="zh-CN"/>
        </w:rPr>
        <w:t>。</w:t>
      </w:r>
    </w:p>
    <w:p w14:paraId="02A7D2A7">
      <w:pPr>
        <w:snapToGrid w:val="0"/>
        <w:spacing w:line="520" w:lineRule="exact"/>
        <w:ind w:firstLine="640" w:firstLineChars="200"/>
        <w:rPr>
          <w:rFonts w:hint="eastAsia" w:ascii="仿宋" w:eastAsia="仿宋" w:cs="仿宋"/>
          <w:sz w:val="32"/>
          <w:szCs w:val="32"/>
          <w:lang w:val="en-US" w:eastAsia="zh-CN"/>
        </w:rPr>
      </w:pPr>
      <w:r>
        <w:rPr>
          <w:rFonts w:hint="eastAsia" w:ascii="仿宋" w:eastAsia="仿宋" w:cs="仿宋"/>
          <w:sz w:val="32"/>
          <w:szCs w:val="32"/>
          <w:lang w:val="en-US" w:eastAsia="zh-CN"/>
        </w:rPr>
        <w:t>2024年度收入总计1154.84万元。</w:t>
      </w:r>
      <w:bookmarkStart w:id="57" w:name="_Toc26843610"/>
      <w:bookmarkStart w:id="58" w:name="_Toc18400"/>
      <w:r>
        <w:rPr>
          <w:rFonts w:hint="eastAsia" w:ascii="仿宋_GB2312" w:eastAsia="仿宋_GB2312"/>
          <w:color w:val="000000"/>
          <w:spacing w:val="-2"/>
          <w:sz w:val="32"/>
          <w:szCs w:val="32"/>
          <w:lang w:eastAsia="zh-CN"/>
        </w:rPr>
        <w:t>与</w:t>
      </w:r>
      <w:r>
        <w:rPr>
          <w:rFonts w:hint="eastAsia" w:ascii="仿宋_GB2312" w:eastAsia="仿宋_GB2312"/>
          <w:color w:val="000000"/>
          <w:spacing w:val="-2"/>
          <w:sz w:val="32"/>
          <w:szCs w:val="32"/>
          <w:lang w:val="en-US" w:eastAsia="zh-CN"/>
        </w:rPr>
        <w:t>2023</w:t>
      </w:r>
      <w:r>
        <w:rPr>
          <w:rFonts w:hint="eastAsia" w:ascii="仿宋_GB2312" w:eastAsia="仿宋_GB2312"/>
          <w:color w:val="000000"/>
          <w:spacing w:val="-2"/>
          <w:sz w:val="32"/>
          <w:szCs w:val="32"/>
          <w:lang w:eastAsia="zh-CN"/>
        </w:rPr>
        <w:t>年相比，一般公共预算财政拨款支出收入</w:t>
      </w:r>
      <w:r>
        <w:rPr>
          <w:rFonts w:hint="eastAsia" w:ascii="仿宋_GB2312" w:eastAsia="仿宋_GB2312"/>
          <w:color w:val="000000"/>
          <w:spacing w:val="-2"/>
          <w:sz w:val="32"/>
          <w:szCs w:val="32"/>
          <w:lang w:val="en-US" w:eastAsia="zh-CN"/>
        </w:rPr>
        <w:t>增加1.89</w:t>
      </w:r>
      <w:r>
        <w:rPr>
          <w:rFonts w:hint="eastAsia" w:ascii="仿宋_GB2312" w:eastAsia="仿宋_GB2312"/>
          <w:color w:val="000000"/>
          <w:spacing w:val="-2"/>
          <w:sz w:val="32"/>
          <w:szCs w:val="32"/>
          <w:lang w:eastAsia="zh-CN"/>
        </w:rPr>
        <w:t>万元，</w:t>
      </w:r>
      <w:r>
        <w:rPr>
          <w:rFonts w:hint="eastAsia" w:ascii="仿宋_GB2312" w:eastAsia="仿宋_GB2312"/>
          <w:color w:val="000000"/>
          <w:spacing w:val="-2"/>
          <w:sz w:val="32"/>
          <w:szCs w:val="32"/>
          <w:lang w:val="en-US" w:eastAsia="zh-CN"/>
        </w:rPr>
        <w:t>增加0.16</w:t>
      </w:r>
      <w:r>
        <w:rPr>
          <w:rFonts w:hint="eastAsia" w:ascii="仿宋_GB2312" w:eastAsia="仿宋_GB2312"/>
          <w:color w:val="000000"/>
          <w:spacing w:val="-2"/>
          <w:sz w:val="32"/>
          <w:szCs w:val="32"/>
          <w:lang w:eastAsia="zh-CN"/>
        </w:rPr>
        <w:t>%。</w:t>
      </w:r>
      <w:r>
        <w:rPr>
          <w:rFonts w:hint="eastAsia" w:ascii="仿宋_GB2312" w:eastAsia="仿宋_GB2312"/>
          <w:color w:val="000000"/>
          <w:spacing w:val="-2"/>
          <w:sz w:val="32"/>
          <w:szCs w:val="32"/>
          <w:lang w:val="en-US" w:eastAsia="zh-CN"/>
        </w:rPr>
        <w:t>原因为有人员工资变动。</w:t>
      </w:r>
      <w:r>
        <w:rPr>
          <w:rFonts w:hint="eastAsia" w:ascii="仿宋" w:eastAsia="仿宋" w:cs="仿宋"/>
          <w:sz w:val="32"/>
          <w:szCs w:val="32"/>
          <w:lang w:val="en-US" w:eastAsia="zh-CN"/>
        </w:rPr>
        <w:t>其中：一般公共预算财政拨款收入1154.84万元，占100%政府性基金预算财政拨款收入0万元，占0%；国有资本经营预算财政拨款收入0万元，占0%；上级补助收入0万元，占0%；事业收入0万元，占0%；经营收入0万元，占0%；附属单位上缴收入0万元，占0%；其他收入0万元，占0%。</w:t>
      </w:r>
      <w:bookmarkEnd w:id="57"/>
      <w:r>
        <w:rPr>
          <w:rFonts w:hint="eastAsia" w:ascii="仿宋" w:eastAsia="仿宋" w:cs="仿宋"/>
          <w:sz w:val="32"/>
          <w:szCs w:val="32"/>
          <w:lang w:val="en-US" w:eastAsia="zh-CN"/>
        </w:rPr>
        <w:t>本年度财政应返还额度0万元。</w:t>
      </w:r>
      <w:bookmarkEnd w:id="58"/>
    </w:p>
    <w:p w14:paraId="3B2B147A">
      <w:pPr>
        <w:keepNext w:val="0"/>
        <w:keepLines w:val="0"/>
        <w:pageBreakBefore w:val="0"/>
        <w:widowControl/>
        <w:numPr>
          <w:ilvl w:val="0"/>
          <w:numId w:val="5"/>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支出情况</w:t>
      </w:r>
      <w:r>
        <w:rPr>
          <w:rFonts w:ascii="Times New Roman" w:hAnsi="Times New Roman" w:eastAsia="楷体_GB2312" w:cs="Times New Roman"/>
          <w:b/>
          <w:bCs/>
          <w:color w:val="000000"/>
          <w:kern w:val="0"/>
          <w:sz w:val="32"/>
          <w:szCs w:val="32"/>
          <w:highlight w:val="none"/>
          <w:shd w:val="clear" w:color="auto" w:fill="FFFFFF"/>
          <w:lang w:val="zh-CN"/>
        </w:rPr>
        <w:t>。</w:t>
      </w:r>
    </w:p>
    <w:p w14:paraId="6B41ACE0">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hint="eastAsia" w:ascii="仿宋" w:eastAsia="仿宋" w:cs="仿宋"/>
          <w:sz w:val="32"/>
          <w:szCs w:val="32"/>
          <w:lang w:val="en-US" w:eastAsia="zh-CN"/>
        </w:rPr>
        <w:t>2024</w:t>
      </w:r>
      <w:r>
        <w:rPr>
          <w:rFonts w:ascii="仿宋" w:eastAsia="仿宋" w:cs="仿宋"/>
          <w:sz w:val="32"/>
          <w:szCs w:val="32"/>
          <w:lang w:val="en-US" w:eastAsia="zh-CN"/>
        </w:rPr>
        <w:t>年一般公共预算财政拨款支出</w:t>
      </w:r>
      <w:r>
        <w:rPr>
          <w:rFonts w:hint="eastAsia" w:ascii="仿宋" w:eastAsia="仿宋" w:cs="仿宋"/>
          <w:sz w:val="32"/>
          <w:szCs w:val="32"/>
          <w:lang w:val="en-US" w:eastAsia="zh-CN"/>
        </w:rPr>
        <w:t>1154.84</w:t>
      </w:r>
      <w:r>
        <w:rPr>
          <w:rFonts w:ascii="仿宋" w:eastAsia="仿宋" w:cs="仿宋"/>
          <w:sz w:val="32"/>
          <w:szCs w:val="32"/>
          <w:lang w:val="en-US" w:eastAsia="zh-CN"/>
        </w:rPr>
        <w:t>万元，占本年支出合计的100%。</w:t>
      </w:r>
      <w:r>
        <w:rPr>
          <w:rFonts w:hint="eastAsia" w:ascii="仿宋_GB2312" w:eastAsia="仿宋_GB2312"/>
          <w:color w:val="000000"/>
          <w:spacing w:val="-2"/>
          <w:sz w:val="32"/>
          <w:szCs w:val="32"/>
          <w:lang w:eastAsia="zh-CN"/>
        </w:rPr>
        <w:t>与</w:t>
      </w:r>
      <w:r>
        <w:rPr>
          <w:rFonts w:hint="eastAsia" w:ascii="仿宋_GB2312" w:eastAsia="仿宋_GB2312"/>
          <w:color w:val="000000"/>
          <w:spacing w:val="-2"/>
          <w:sz w:val="32"/>
          <w:szCs w:val="32"/>
          <w:lang w:val="en-US" w:eastAsia="zh-CN"/>
        </w:rPr>
        <w:t>2023</w:t>
      </w:r>
      <w:r>
        <w:rPr>
          <w:rFonts w:hint="eastAsia" w:ascii="仿宋_GB2312" w:eastAsia="仿宋_GB2312"/>
          <w:color w:val="000000"/>
          <w:spacing w:val="-2"/>
          <w:sz w:val="32"/>
          <w:szCs w:val="32"/>
          <w:lang w:eastAsia="zh-CN"/>
        </w:rPr>
        <w:t>年相比，一般公共预算财政拨款支出收入</w:t>
      </w:r>
      <w:r>
        <w:rPr>
          <w:rFonts w:hint="eastAsia" w:ascii="仿宋_GB2312" w:eastAsia="仿宋_GB2312"/>
          <w:color w:val="000000"/>
          <w:spacing w:val="-2"/>
          <w:sz w:val="32"/>
          <w:szCs w:val="32"/>
          <w:lang w:val="en-US" w:eastAsia="zh-CN"/>
        </w:rPr>
        <w:t>增加1.89</w:t>
      </w:r>
      <w:r>
        <w:rPr>
          <w:rFonts w:hint="eastAsia" w:ascii="仿宋_GB2312" w:eastAsia="仿宋_GB2312"/>
          <w:color w:val="000000"/>
          <w:spacing w:val="-2"/>
          <w:sz w:val="32"/>
          <w:szCs w:val="32"/>
          <w:lang w:eastAsia="zh-CN"/>
        </w:rPr>
        <w:t>万元，</w:t>
      </w:r>
      <w:r>
        <w:rPr>
          <w:rFonts w:hint="eastAsia" w:ascii="仿宋_GB2312" w:eastAsia="仿宋_GB2312"/>
          <w:color w:val="000000"/>
          <w:spacing w:val="-2"/>
          <w:sz w:val="32"/>
          <w:szCs w:val="32"/>
          <w:lang w:val="en-US" w:eastAsia="zh-CN"/>
        </w:rPr>
        <w:t>增加0.16</w:t>
      </w:r>
      <w:r>
        <w:rPr>
          <w:rFonts w:hint="eastAsia" w:ascii="仿宋_GB2312" w:eastAsia="仿宋_GB2312"/>
          <w:color w:val="000000"/>
          <w:spacing w:val="-2"/>
          <w:sz w:val="32"/>
          <w:szCs w:val="32"/>
          <w:lang w:eastAsia="zh-CN"/>
        </w:rPr>
        <w:t>%。</w:t>
      </w:r>
      <w:r>
        <w:rPr>
          <w:rFonts w:hint="eastAsia" w:ascii="仿宋_GB2312" w:eastAsia="仿宋_GB2312"/>
          <w:color w:val="000000"/>
          <w:spacing w:val="-2"/>
          <w:sz w:val="32"/>
          <w:szCs w:val="32"/>
          <w:lang w:val="en-US" w:eastAsia="zh-CN"/>
        </w:rPr>
        <w:t>原因为有人员工资变动。</w:t>
      </w:r>
      <w:r>
        <w:rPr>
          <w:rFonts w:hint="eastAsia" w:ascii="仿宋" w:eastAsia="仿宋" w:cs="仿宋"/>
          <w:sz w:val="32"/>
          <w:szCs w:val="32"/>
          <w:lang w:val="en-US" w:eastAsia="zh-CN"/>
        </w:rPr>
        <w:t>其中：基本支出951.97万元，基本支出中人员经费支出为782.04万元，</w:t>
      </w:r>
      <w:r>
        <w:rPr>
          <w:rFonts w:ascii="Times New Roman" w:hAnsi="Times New Roman" w:eastAsia="仿宋_GB2312" w:cs="仿宋_GB2312"/>
          <w:color w:val="auto"/>
          <w:kern w:val="2"/>
          <w:sz w:val="32"/>
          <w:szCs w:val="32"/>
          <w:highlight w:val="none"/>
          <w:lang w:val="en-US" w:eastAsia="zh-CN" w:bidi="ar-SA"/>
        </w:rPr>
        <w:t>主要包括：基本工资</w:t>
      </w:r>
      <w:r>
        <w:rPr>
          <w:rFonts w:hint="eastAsia" w:eastAsia="仿宋_GB2312" w:cs="仿宋_GB2312"/>
          <w:color w:val="auto"/>
          <w:kern w:val="2"/>
          <w:sz w:val="32"/>
          <w:szCs w:val="32"/>
          <w:highlight w:val="none"/>
          <w:lang w:val="en-US" w:eastAsia="zh-CN" w:bidi="ar-SA"/>
        </w:rPr>
        <w:t>141.76</w:t>
      </w:r>
      <w:r>
        <w:rPr>
          <w:rFonts w:ascii="Times New Roman" w:hAnsi="Times New Roman" w:eastAsia="仿宋_GB2312" w:cs="仿宋_GB2312"/>
          <w:color w:val="auto"/>
          <w:kern w:val="2"/>
          <w:sz w:val="32"/>
          <w:szCs w:val="32"/>
          <w:highlight w:val="none"/>
          <w:lang w:val="en-US" w:eastAsia="zh-CN" w:bidi="ar-SA"/>
        </w:rPr>
        <w:t>万元、津贴补贴</w:t>
      </w:r>
      <w:r>
        <w:rPr>
          <w:rFonts w:hint="eastAsia" w:eastAsia="仿宋_GB2312" w:cs="仿宋_GB2312"/>
          <w:color w:val="auto"/>
          <w:kern w:val="2"/>
          <w:sz w:val="32"/>
          <w:szCs w:val="32"/>
          <w:highlight w:val="none"/>
          <w:lang w:val="en-US" w:eastAsia="zh-CN" w:bidi="ar-SA"/>
        </w:rPr>
        <w:t>175.38</w:t>
      </w:r>
      <w:r>
        <w:rPr>
          <w:rFonts w:ascii="Times New Roman" w:hAnsi="Times New Roman" w:eastAsia="仿宋_GB2312" w:cs="仿宋_GB2312"/>
          <w:color w:val="auto"/>
          <w:kern w:val="2"/>
          <w:sz w:val="32"/>
          <w:szCs w:val="32"/>
          <w:highlight w:val="none"/>
          <w:lang w:val="en-US" w:eastAsia="zh-CN" w:bidi="ar-SA"/>
        </w:rPr>
        <w:t>万元、奖金</w:t>
      </w:r>
      <w:r>
        <w:rPr>
          <w:rFonts w:hint="eastAsia" w:eastAsia="仿宋_GB2312" w:cs="仿宋_GB2312"/>
          <w:color w:val="auto"/>
          <w:kern w:val="2"/>
          <w:sz w:val="32"/>
          <w:szCs w:val="32"/>
          <w:highlight w:val="none"/>
          <w:lang w:val="en-US" w:eastAsia="zh-CN" w:bidi="ar-SA"/>
        </w:rPr>
        <w:t>193.72</w:t>
      </w:r>
      <w:r>
        <w:rPr>
          <w:rFonts w:hint="eastAsia" w:ascii="Times New Roman" w:hAnsi="Times New Roman" w:eastAsia="仿宋_GB2312" w:cs="仿宋_GB2312"/>
          <w:color w:val="auto"/>
          <w:kern w:val="2"/>
          <w:sz w:val="32"/>
          <w:szCs w:val="32"/>
          <w:highlight w:val="none"/>
          <w:lang w:val="en-US" w:eastAsia="zh-CN" w:bidi="ar-SA"/>
        </w:rPr>
        <w:t>万</w:t>
      </w:r>
      <w:r>
        <w:rPr>
          <w:rFonts w:ascii="Times New Roman" w:hAnsi="Times New Roman" w:eastAsia="仿宋_GB2312" w:cs="仿宋_GB2312"/>
          <w:color w:val="auto"/>
          <w:kern w:val="2"/>
          <w:sz w:val="32"/>
          <w:szCs w:val="32"/>
          <w:highlight w:val="none"/>
          <w:lang w:val="en-US" w:eastAsia="zh-CN" w:bidi="ar-SA"/>
        </w:rPr>
        <w:t>元、绩效工资</w:t>
      </w:r>
      <w:r>
        <w:rPr>
          <w:rFonts w:hint="eastAsia" w:eastAsia="仿宋_GB2312" w:cs="仿宋_GB2312"/>
          <w:color w:val="auto"/>
          <w:kern w:val="2"/>
          <w:sz w:val="32"/>
          <w:szCs w:val="32"/>
          <w:highlight w:val="none"/>
          <w:lang w:val="en-US" w:eastAsia="zh-CN" w:bidi="ar-SA"/>
        </w:rPr>
        <w:t>42.91</w:t>
      </w:r>
      <w:r>
        <w:rPr>
          <w:rFonts w:ascii="Times New Roman" w:hAnsi="Times New Roman" w:eastAsia="仿宋_GB2312" w:cs="仿宋_GB2312"/>
          <w:color w:val="auto"/>
          <w:kern w:val="2"/>
          <w:sz w:val="32"/>
          <w:szCs w:val="32"/>
          <w:highlight w:val="none"/>
          <w:lang w:val="en-US" w:eastAsia="zh-CN" w:bidi="ar-SA"/>
        </w:rPr>
        <w:t>万元，机关事业单位基本养老保险缴费</w:t>
      </w:r>
      <w:r>
        <w:rPr>
          <w:rFonts w:hint="eastAsia" w:eastAsia="仿宋_GB2312" w:cs="仿宋_GB2312"/>
          <w:color w:val="auto"/>
          <w:kern w:val="2"/>
          <w:sz w:val="32"/>
          <w:szCs w:val="32"/>
          <w:highlight w:val="none"/>
          <w:lang w:val="en-US" w:eastAsia="zh-CN" w:bidi="ar-SA"/>
        </w:rPr>
        <w:t>71.58</w:t>
      </w:r>
      <w:r>
        <w:rPr>
          <w:rFonts w:ascii="Times New Roman" w:hAnsi="Times New Roman" w:eastAsia="仿宋_GB2312" w:cs="仿宋_GB2312"/>
          <w:color w:val="auto"/>
          <w:kern w:val="2"/>
          <w:sz w:val="32"/>
          <w:szCs w:val="32"/>
          <w:highlight w:val="none"/>
          <w:lang w:val="en-US" w:eastAsia="zh-CN" w:bidi="ar-SA"/>
        </w:rPr>
        <w:t>万元、职业年金缴费</w:t>
      </w:r>
      <w:r>
        <w:rPr>
          <w:rFonts w:hint="eastAsia" w:eastAsia="仿宋_GB2312" w:cs="仿宋_GB2312"/>
          <w:color w:val="auto"/>
          <w:kern w:val="2"/>
          <w:sz w:val="32"/>
          <w:szCs w:val="32"/>
          <w:highlight w:val="none"/>
          <w:lang w:val="en-US" w:eastAsia="zh-CN" w:bidi="ar-SA"/>
        </w:rPr>
        <w:t>35.73</w:t>
      </w:r>
      <w:r>
        <w:rPr>
          <w:rFonts w:ascii="Times New Roman" w:hAnsi="Times New Roman" w:eastAsia="仿宋_GB2312" w:cs="仿宋_GB2312"/>
          <w:color w:val="auto"/>
          <w:kern w:val="2"/>
          <w:sz w:val="32"/>
          <w:szCs w:val="32"/>
          <w:highlight w:val="none"/>
          <w:lang w:val="en-US" w:eastAsia="zh-CN" w:bidi="ar-SA"/>
        </w:rPr>
        <w:t>万元、其他社会保障缴费</w:t>
      </w:r>
      <w:r>
        <w:rPr>
          <w:rFonts w:hint="eastAsia" w:eastAsia="仿宋_GB2312" w:cs="仿宋_GB2312"/>
          <w:color w:val="auto"/>
          <w:kern w:val="2"/>
          <w:sz w:val="32"/>
          <w:szCs w:val="32"/>
          <w:highlight w:val="none"/>
          <w:lang w:val="en-US" w:eastAsia="zh-CN" w:bidi="ar-SA"/>
        </w:rPr>
        <w:t>12.09</w:t>
      </w:r>
      <w:r>
        <w:rPr>
          <w:rFonts w:ascii="Times New Roman" w:hAnsi="Times New Roman" w:eastAsia="仿宋_GB2312" w:cs="仿宋_GB2312"/>
          <w:color w:val="auto"/>
          <w:kern w:val="2"/>
          <w:sz w:val="32"/>
          <w:szCs w:val="32"/>
          <w:highlight w:val="none"/>
          <w:lang w:val="en-US" w:eastAsia="zh-CN" w:bidi="ar-SA"/>
        </w:rPr>
        <w:t>万元、住房公积金</w:t>
      </w:r>
      <w:r>
        <w:rPr>
          <w:rFonts w:hint="eastAsia" w:eastAsia="仿宋_GB2312" w:cs="仿宋_GB2312"/>
          <w:color w:val="auto"/>
          <w:kern w:val="2"/>
          <w:sz w:val="32"/>
          <w:szCs w:val="32"/>
          <w:highlight w:val="none"/>
          <w:lang w:val="en-US" w:eastAsia="zh-CN" w:bidi="ar-SA"/>
        </w:rPr>
        <w:t>63.95</w:t>
      </w:r>
      <w:r>
        <w:rPr>
          <w:rFonts w:ascii="Times New Roman" w:hAnsi="Times New Roman" w:eastAsia="仿宋_GB2312" w:cs="仿宋_GB2312"/>
          <w:color w:val="auto"/>
          <w:kern w:val="2"/>
          <w:sz w:val="32"/>
          <w:szCs w:val="32"/>
          <w:highlight w:val="none"/>
          <w:lang w:val="en-US" w:eastAsia="zh-CN" w:bidi="ar-SA"/>
        </w:rPr>
        <w:t>万元、职工基本医疗保险缴费</w:t>
      </w:r>
      <w:r>
        <w:rPr>
          <w:rFonts w:hint="eastAsia" w:eastAsia="仿宋_GB2312" w:cs="仿宋_GB2312"/>
          <w:color w:val="auto"/>
          <w:kern w:val="2"/>
          <w:sz w:val="32"/>
          <w:szCs w:val="32"/>
          <w:highlight w:val="none"/>
          <w:lang w:val="en-US" w:eastAsia="zh-CN" w:bidi="ar-SA"/>
        </w:rPr>
        <w:t>38.69</w:t>
      </w:r>
      <w:r>
        <w:rPr>
          <w:rFonts w:hint="eastAsia" w:ascii="Times New Roman" w:hAnsi="Times New Roman" w:eastAsia="仿宋_GB2312" w:cs="仿宋_GB2312"/>
          <w:color w:val="auto"/>
          <w:kern w:val="2"/>
          <w:sz w:val="32"/>
          <w:szCs w:val="32"/>
          <w:highlight w:val="none"/>
          <w:lang w:val="en-US" w:eastAsia="zh-CN" w:bidi="ar-SA"/>
        </w:rPr>
        <w:t>万</w:t>
      </w:r>
      <w:r>
        <w:rPr>
          <w:rFonts w:ascii="Times New Roman" w:hAnsi="Times New Roman" w:eastAsia="仿宋_GB2312" w:cs="仿宋_GB2312"/>
          <w:color w:val="auto"/>
          <w:kern w:val="2"/>
          <w:sz w:val="32"/>
          <w:szCs w:val="32"/>
          <w:highlight w:val="none"/>
          <w:lang w:val="en-US" w:eastAsia="zh-CN" w:bidi="ar-SA"/>
        </w:rPr>
        <w:t>元、公务员医疗补助</w:t>
      </w:r>
      <w:r>
        <w:rPr>
          <w:rFonts w:hint="eastAsia" w:eastAsia="仿宋_GB2312" w:cs="仿宋_GB2312"/>
          <w:color w:val="auto"/>
          <w:kern w:val="2"/>
          <w:sz w:val="32"/>
          <w:szCs w:val="32"/>
          <w:highlight w:val="none"/>
          <w:lang w:val="en-US" w:eastAsia="zh-CN" w:bidi="ar-SA"/>
        </w:rPr>
        <w:t>6.24</w:t>
      </w:r>
      <w:r>
        <w:rPr>
          <w:rFonts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w:t>
      </w:r>
    </w:p>
    <w:p w14:paraId="2BFE8448">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hint="eastAsia" w:ascii="仿宋" w:eastAsia="仿宋" w:cs="仿宋"/>
          <w:sz w:val="32"/>
          <w:szCs w:val="32"/>
          <w:lang w:val="en-US" w:eastAsia="zh-CN"/>
        </w:rPr>
        <w:t>公用经费支出为31.13万元，</w:t>
      </w:r>
      <w:r>
        <w:rPr>
          <w:rFonts w:ascii="Times New Roman" w:hAnsi="Times New Roman" w:eastAsia="仿宋_GB2312" w:cs="仿宋_GB2312"/>
          <w:color w:val="auto"/>
          <w:kern w:val="2"/>
          <w:sz w:val="32"/>
          <w:szCs w:val="32"/>
          <w:highlight w:val="none"/>
          <w:lang w:val="en-US" w:eastAsia="zh-CN" w:bidi="ar-SA"/>
        </w:rPr>
        <w:t>主要包括：办公费</w:t>
      </w:r>
      <w:r>
        <w:rPr>
          <w:rFonts w:hint="eastAsia" w:eastAsia="仿宋_GB2312" w:cs="仿宋_GB2312"/>
          <w:color w:val="auto"/>
          <w:kern w:val="2"/>
          <w:sz w:val="32"/>
          <w:szCs w:val="32"/>
          <w:highlight w:val="none"/>
          <w:lang w:val="en-US" w:eastAsia="zh-CN" w:bidi="ar-SA"/>
        </w:rPr>
        <w:t>7.08</w:t>
      </w:r>
      <w:r>
        <w:rPr>
          <w:rFonts w:ascii="Times New Roman" w:hAnsi="Times New Roman" w:eastAsia="仿宋_GB2312" w:cs="仿宋_GB2312"/>
          <w:color w:val="auto"/>
          <w:kern w:val="2"/>
          <w:sz w:val="32"/>
          <w:szCs w:val="32"/>
          <w:highlight w:val="none"/>
          <w:lang w:val="en-US" w:eastAsia="zh-CN" w:bidi="ar-SA"/>
        </w:rPr>
        <w:t>万元、印刷费</w:t>
      </w:r>
      <w:r>
        <w:rPr>
          <w:rFonts w:hint="eastAsia" w:ascii="Times New Roman" w:hAnsi="Times New Roman" w:eastAsia="仿宋_GB2312" w:cs="仿宋_GB2312"/>
          <w:color w:val="auto"/>
          <w:kern w:val="2"/>
          <w:sz w:val="32"/>
          <w:szCs w:val="32"/>
          <w:highlight w:val="none"/>
          <w:lang w:val="en-US" w:eastAsia="zh-CN" w:bidi="ar-SA"/>
        </w:rPr>
        <w:t>0</w:t>
      </w:r>
      <w:r>
        <w:rPr>
          <w:rFonts w:ascii="Times New Roman" w:hAnsi="Times New Roman" w:eastAsia="仿宋_GB2312" w:cs="仿宋_GB2312"/>
          <w:color w:val="auto"/>
          <w:kern w:val="2"/>
          <w:sz w:val="32"/>
          <w:szCs w:val="32"/>
          <w:highlight w:val="none"/>
          <w:lang w:val="en-US" w:eastAsia="zh-CN" w:bidi="ar-SA"/>
        </w:rPr>
        <w:t>万元、手续费0</w:t>
      </w:r>
      <w:r>
        <w:rPr>
          <w:rFonts w:hint="eastAsia" w:ascii="Times New Roman" w:hAnsi="Times New Roman" w:eastAsia="仿宋_GB2312" w:cs="仿宋_GB2312"/>
          <w:color w:val="auto"/>
          <w:kern w:val="2"/>
          <w:sz w:val="32"/>
          <w:szCs w:val="32"/>
          <w:highlight w:val="none"/>
          <w:lang w:val="en-US" w:eastAsia="zh-CN" w:bidi="ar-SA"/>
        </w:rPr>
        <w:t>万</w:t>
      </w:r>
      <w:r>
        <w:rPr>
          <w:rFonts w:ascii="Times New Roman" w:hAnsi="Times New Roman" w:eastAsia="仿宋_GB2312" w:cs="仿宋_GB2312"/>
          <w:color w:val="auto"/>
          <w:kern w:val="2"/>
          <w:sz w:val="32"/>
          <w:szCs w:val="32"/>
          <w:highlight w:val="none"/>
          <w:lang w:val="en-US" w:eastAsia="zh-CN" w:bidi="ar-SA"/>
        </w:rPr>
        <w:t>元、电费</w:t>
      </w: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3</w:t>
      </w:r>
      <w:r>
        <w:rPr>
          <w:rFonts w:ascii="Times New Roman" w:hAnsi="Times New Roman" w:eastAsia="仿宋_GB2312" w:cs="仿宋_GB2312"/>
          <w:color w:val="auto"/>
          <w:kern w:val="2"/>
          <w:sz w:val="32"/>
          <w:szCs w:val="32"/>
          <w:highlight w:val="none"/>
          <w:lang w:val="en-US" w:eastAsia="zh-CN" w:bidi="ar-SA"/>
        </w:rPr>
        <w:t>万元、邮电费2.</w:t>
      </w:r>
      <w:r>
        <w:rPr>
          <w:rFonts w:hint="eastAsia" w:eastAsia="仿宋_GB2312" w:cs="仿宋_GB2312"/>
          <w:color w:val="auto"/>
          <w:kern w:val="2"/>
          <w:sz w:val="32"/>
          <w:szCs w:val="32"/>
          <w:highlight w:val="none"/>
          <w:lang w:val="en-US" w:eastAsia="zh-CN" w:bidi="ar-SA"/>
        </w:rPr>
        <w:t>48</w:t>
      </w:r>
      <w:r>
        <w:rPr>
          <w:rFonts w:ascii="Times New Roman" w:hAnsi="Times New Roman" w:eastAsia="仿宋_GB2312" w:cs="仿宋_GB2312"/>
          <w:color w:val="auto"/>
          <w:kern w:val="2"/>
          <w:sz w:val="32"/>
          <w:szCs w:val="32"/>
          <w:highlight w:val="none"/>
          <w:lang w:val="en-US" w:eastAsia="zh-CN" w:bidi="ar-SA"/>
        </w:rPr>
        <w:t>万元、福利费</w:t>
      </w:r>
      <w:r>
        <w:rPr>
          <w:rFonts w:hint="eastAsia" w:eastAsia="仿宋_GB2312" w:cs="仿宋_GB2312"/>
          <w:color w:val="auto"/>
          <w:kern w:val="2"/>
          <w:sz w:val="32"/>
          <w:szCs w:val="32"/>
          <w:highlight w:val="none"/>
          <w:lang w:val="en-US" w:eastAsia="zh-CN" w:bidi="ar-SA"/>
        </w:rPr>
        <w:t>0</w:t>
      </w:r>
      <w:r>
        <w:rPr>
          <w:rFonts w:ascii="Times New Roman" w:hAnsi="Times New Roman" w:eastAsia="仿宋_GB2312" w:cs="仿宋_GB2312"/>
          <w:color w:val="auto"/>
          <w:kern w:val="2"/>
          <w:sz w:val="32"/>
          <w:szCs w:val="32"/>
          <w:highlight w:val="none"/>
          <w:lang w:val="en-US" w:eastAsia="zh-CN" w:bidi="ar-SA"/>
        </w:rPr>
        <w:t>万元、差旅费</w:t>
      </w:r>
      <w:r>
        <w:rPr>
          <w:rFonts w:hint="eastAsia" w:eastAsia="仿宋_GB2312" w:cs="仿宋_GB2312"/>
          <w:color w:val="auto"/>
          <w:kern w:val="2"/>
          <w:sz w:val="32"/>
          <w:szCs w:val="32"/>
          <w:highlight w:val="none"/>
          <w:lang w:val="en-US" w:eastAsia="zh-CN" w:bidi="ar-SA"/>
        </w:rPr>
        <w:t>3.99</w:t>
      </w:r>
      <w:r>
        <w:rPr>
          <w:rFonts w:hint="eastAsia" w:ascii="Times New Roman" w:hAnsi="Times New Roman" w:eastAsia="仿宋_GB2312" w:cs="仿宋_GB2312"/>
          <w:color w:val="auto"/>
          <w:kern w:val="2"/>
          <w:sz w:val="32"/>
          <w:szCs w:val="32"/>
          <w:highlight w:val="none"/>
          <w:lang w:val="en-US" w:eastAsia="zh-CN" w:bidi="ar-SA"/>
        </w:rPr>
        <w:t>万</w:t>
      </w:r>
      <w:r>
        <w:rPr>
          <w:rFonts w:ascii="Times New Roman" w:hAnsi="Times New Roman" w:eastAsia="仿宋_GB2312" w:cs="仿宋_GB2312"/>
          <w:color w:val="auto"/>
          <w:kern w:val="2"/>
          <w:sz w:val="32"/>
          <w:szCs w:val="32"/>
          <w:highlight w:val="none"/>
          <w:lang w:val="en-US" w:eastAsia="zh-CN" w:bidi="ar-SA"/>
        </w:rPr>
        <w:t>元、劳务费</w:t>
      </w:r>
      <w:r>
        <w:rPr>
          <w:rFonts w:hint="eastAsia" w:eastAsia="仿宋_GB2312" w:cs="仿宋_GB2312"/>
          <w:color w:val="auto"/>
          <w:kern w:val="2"/>
          <w:sz w:val="32"/>
          <w:szCs w:val="32"/>
          <w:highlight w:val="none"/>
          <w:lang w:val="en-US" w:eastAsia="zh-CN" w:bidi="ar-SA"/>
        </w:rPr>
        <w:t>7.68</w:t>
      </w:r>
      <w:r>
        <w:rPr>
          <w:rFonts w:ascii="Times New Roman" w:hAnsi="Times New Roman" w:eastAsia="仿宋_GB2312" w:cs="仿宋_GB2312"/>
          <w:color w:val="auto"/>
          <w:kern w:val="2"/>
          <w:sz w:val="32"/>
          <w:szCs w:val="32"/>
          <w:highlight w:val="none"/>
          <w:lang w:val="en-US" w:eastAsia="zh-CN" w:bidi="ar-SA"/>
        </w:rPr>
        <w:t>万元、其他交通费</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w:t>
      </w:r>
      <w:r>
        <w:rPr>
          <w:rFonts w:ascii="Times New Roman" w:hAnsi="Times New Roman" w:eastAsia="仿宋_GB2312" w:cs="仿宋_GB2312"/>
          <w:color w:val="auto"/>
          <w:kern w:val="2"/>
          <w:sz w:val="32"/>
          <w:szCs w:val="32"/>
          <w:highlight w:val="none"/>
          <w:lang w:val="en-US" w:eastAsia="zh-CN" w:bidi="ar-SA"/>
        </w:rPr>
        <w:t>元、公务用车运行维护费</w:t>
      </w:r>
      <w:r>
        <w:rPr>
          <w:rFonts w:hint="eastAsia" w:eastAsia="仿宋_GB2312" w:cs="仿宋_GB2312"/>
          <w:color w:val="auto"/>
          <w:kern w:val="2"/>
          <w:sz w:val="32"/>
          <w:szCs w:val="32"/>
          <w:highlight w:val="none"/>
          <w:lang w:val="en-US" w:eastAsia="zh-CN" w:bidi="ar-SA"/>
        </w:rPr>
        <w:t>7.6</w:t>
      </w:r>
      <w:r>
        <w:rPr>
          <w:rFonts w:ascii="Times New Roman" w:hAnsi="Times New Roman" w:eastAsia="仿宋_GB2312" w:cs="仿宋_GB2312"/>
          <w:color w:val="auto"/>
          <w:kern w:val="2"/>
          <w:sz w:val="32"/>
          <w:szCs w:val="32"/>
          <w:highlight w:val="none"/>
          <w:lang w:val="en-US" w:eastAsia="zh-CN" w:bidi="ar-SA"/>
        </w:rPr>
        <w:t>万元。</w:t>
      </w:r>
    </w:p>
    <w:p w14:paraId="0BC1645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 w:eastAsia="仿宋" w:cs="仿宋"/>
          <w:sz w:val="32"/>
          <w:szCs w:val="32"/>
          <w:lang w:val="en-US" w:eastAsia="zh-CN"/>
        </w:rPr>
      </w:pPr>
      <w:r>
        <w:rPr>
          <w:rFonts w:hint="eastAsia" w:ascii="仿宋" w:eastAsia="仿宋" w:cs="仿宋"/>
          <w:sz w:val="32"/>
          <w:szCs w:val="32"/>
          <w:lang w:val="en-US" w:eastAsia="zh-CN"/>
        </w:rPr>
        <w:t>项目支出为341.67万元，主要包括：金川县河西乡巩固脱贫攻坚成果衔接乡村振兴项目126.82万元、金川县河西乡国有企业退休人员社会化管理补助支出0.05万元、村级运维费、村干部生活补助、保险、三老干部生活补助214.8万元。</w:t>
      </w:r>
    </w:p>
    <w:p w14:paraId="2F496C22">
      <w:pPr>
        <w:keepNext w:val="0"/>
        <w:keepLines w:val="0"/>
        <w:pageBreakBefore w:val="0"/>
        <w:widowControl/>
        <w:numPr>
          <w:ilvl w:val="0"/>
          <w:numId w:val="5"/>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hint="eastAsia" w:ascii="Times New Roman" w:hAnsi="Times New Roman" w:eastAsia="楷体_GB2312" w:cs="Times New Roman"/>
          <w:b/>
          <w:sz w:val="32"/>
          <w:szCs w:val="32"/>
          <w:lang w:eastAsia="zh-CN"/>
        </w:rPr>
      </w:pPr>
      <w:r>
        <w:rPr>
          <w:rFonts w:ascii="Times New Roman" w:hAnsi="Times New Roman" w:eastAsia="楷体_GB2312" w:cs="Times New Roman"/>
          <w:b/>
          <w:sz w:val="32"/>
          <w:szCs w:val="32"/>
        </w:rPr>
        <w:t>结余分配和结转结余情况</w:t>
      </w:r>
      <w:r>
        <w:rPr>
          <w:rFonts w:hint="eastAsia" w:ascii="Times New Roman" w:hAnsi="Times New Roman" w:eastAsia="楷体_GB2312" w:cs="Times New Roman"/>
          <w:b/>
          <w:sz w:val="32"/>
          <w:szCs w:val="32"/>
          <w:lang w:eastAsia="zh-CN"/>
        </w:rPr>
        <w:t>。</w:t>
      </w:r>
    </w:p>
    <w:p w14:paraId="61CFDF0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 w:eastAsia="仿宋" w:cs="仿宋"/>
          <w:sz w:val="32"/>
          <w:szCs w:val="32"/>
          <w:lang w:val="zh-CN" w:eastAsia="zh-CN"/>
        </w:rPr>
      </w:pPr>
      <w:r>
        <w:rPr>
          <w:rFonts w:hint="eastAsia" w:ascii="仿宋" w:eastAsia="仿宋" w:cs="仿宋"/>
          <w:sz w:val="32"/>
          <w:szCs w:val="32"/>
          <w:lang w:val="en-US" w:eastAsia="zh-CN"/>
        </w:rPr>
        <w:t>本单位2024年决算报表无</w:t>
      </w:r>
      <w:r>
        <w:rPr>
          <w:rFonts w:ascii="仿宋" w:eastAsia="仿宋" w:cs="仿宋"/>
          <w:sz w:val="32"/>
          <w:szCs w:val="32"/>
          <w:lang w:val="en-US" w:eastAsia="zh-CN"/>
        </w:rPr>
        <w:t>结转结余</w:t>
      </w:r>
      <w:r>
        <w:rPr>
          <w:rFonts w:hint="eastAsia" w:ascii="仿宋" w:eastAsia="仿宋" w:cs="仿宋"/>
          <w:sz w:val="32"/>
          <w:szCs w:val="32"/>
          <w:lang w:val="en-US" w:eastAsia="zh-CN"/>
        </w:rPr>
        <w:t>情况</w:t>
      </w:r>
      <w:r>
        <w:rPr>
          <w:rFonts w:ascii="仿宋" w:eastAsia="仿宋" w:cs="仿宋"/>
          <w:sz w:val="32"/>
          <w:szCs w:val="32"/>
          <w:lang w:val="en-US" w:eastAsia="zh-CN"/>
        </w:rPr>
        <w:t>。</w:t>
      </w:r>
    </w:p>
    <w:p w14:paraId="2355215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rPr>
      </w:pPr>
      <w:r>
        <w:rPr>
          <w:rFonts w:ascii="Times New Roman" w:hAnsi="Times New Roman" w:eastAsia="黑体" w:cs="Times New Roman"/>
          <w:color w:val="auto"/>
          <w:kern w:val="0"/>
          <w:sz w:val="32"/>
          <w:szCs w:val="32"/>
          <w:highlight w:val="none"/>
          <w:shd w:val="clear" w:color="auto" w:fill="FFFFFF"/>
        </w:rPr>
        <w:t>三</w:t>
      </w:r>
      <w:r>
        <w:rPr>
          <w:rFonts w:ascii="Times New Roman" w:hAnsi="Times New Roman" w:eastAsia="黑体" w:cs="Times New Roman"/>
          <w:color w:val="000000"/>
          <w:kern w:val="0"/>
          <w:sz w:val="32"/>
          <w:szCs w:val="32"/>
          <w:highlight w:val="none"/>
          <w:shd w:val="clear" w:color="auto" w:fill="FFFFFF"/>
        </w:rPr>
        <w:t>、</w:t>
      </w:r>
      <w:r>
        <w:rPr>
          <w:rFonts w:ascii="Times New Roman" w:hAnsi="Times New Roman" w:eastAsia="黑体" w:cs="Times New Roman"/>
          <w:color w:val="000000"/>
          <w:kern w:val="0"/>
          <w:sz w:val="32"/>
          <w:szCs w:val="32"/>
          <w:highlight w:val="none"/>
          <w:u w:val="none"/>
          <w:shd w:val="clear" w:color="auto" w:fill="FFFFFF"/>
        </w:rPr>
        <w:t>部门</w:t>
      </w:r>
      <w:r>
        <w:rPr>
          <w:rFonts w:ascii="Times New Roman" w:hAnsi="Times New Roman" w:eastAsia="黑体" w:cs="Times New Roman"/>
          <w:color w:val="000000"/>
          <w:kern w:val="0"/>
          <w:sz w:val="32"/>
          <w:szCs w:val="32"/>
          <w:highlight w:val="none"/>
          <w:u w:val="none"/>
          <w:shd w:val="clear" w:color="auto" w:fill="FFFFFF"/>
          <w:lang w:eastAsia="zh-CN"/>
        </w:rPr>
        <w:t>预算</w:t>
      </w:r>
      <w:r>
        <w:rPr>
          <w:rFonts w:ascii="Times New Roman" w:hAnsi="Times New Roman" w:eastAsia="黑体" w:cs="Times New Roman"/>
          <w:color w:val="000000"/>
          <w:kern w:val="0"/>
          <w:sz w:val="32"/>
          <w:szCs w:val="32"/>
          <w:highlight w:val="none"/>
          <w:u w:val="none"/>
          <w:shd w:val="clear" w:color="auto" w:fill="FFFFFF"/>
        </w:rPr>
        <w:t>绩效</w:t>
      </w:r>
      <w:r>
        <w:rPr>
          <w:rFonts w:ascii="Times New Roman" w:hAnsi="Times New Roman" w:eastAsia="黑体" w:cs="Times New Roman"/>
          <w:color w:val="000000"/>
          <w:kern w:val="0"/>
          <w:sz w:val="32"/>
          <w:szCs w:val="32"/>
          <w:highlight w:val="none"/>
          <w:u w:val="none"/>
          <w:shd w:val="clear" w:color="auto" w:fill="FFFFFF"/>
          <w:lang w:eastAsia="zh-CN"/>
        </w:rPr>
        <w:t>分析</w:t>
      </w:r>
    </w:p>
    <w:p w14:paraId="4DEEB288">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（一）</w:t>
      </w:r>
      <w:r>
        <w:rPr>
          <w:rFonts w:hint="eastAsia" w:eastAsia="楷体_GB2312" w:cs="Times New Roman"/>
          <w:b/>
          <w:bCs/>
          <w:color w:val="000000"/>
          <w:kern w:val="0"/>
          <w:sz w:val="32"/>
          <w:szCs w:val="32"/>
          <w:highlight w:val="none"/>
          <w:shd w:val="clear" w:color="auto" w:fill="FFFFFF"/>
          <w:lang w:val="zh-CN"/>
        </w:rPr>
        <w:t>部门预算</w:t>
      </w:r>
      <w:r>
        <w:rPr>
          <w:rFonts w:ascii="Times New Roman" w:hAnsi="Times New Roman" w:eastAsia="楷体_GB2312" w:cs="Times New Roman"/>
          <w:b/>
          <w:bCs/>
          <w:color w:val="000000"/>
          <w:kern w:val="0"/>
          <w:sz w:val="32"/>
          <w:szCs w:val="32"/>
          <w:highlight w:val="none"/>
          <w:shd w:val="clear" w:color="auto" w:fill="FFFFFF"/>
          <w:lang w:val="zh-CN"/>
        </w:rPr>
        <w:t>总体绩效分析。</w:t>
      </w:r>
    </w:p>
    <w:p w14:paraId="3E76F285">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 w:eastAsia="仿宋" w:cs="仿宋"/>
          <w:sz w:val="32"/>
          <w:szCs w:val="32"/>
          <w:lang w:val="zh-CN" w:eastAsia="zh-CN"/>
        </w:rPr>
      </w:pPr>
      <w:r>
        <w:rPr>
          <w:rFonts w:hint="eastAsia" w:ascii="仿宋" w:eastAsia="仿宋" w:cs="仿宋"/>
          <w:sz w:val="32"/>
          <w:szCs w:val="32"/>
          <w:lang w:val="zh-CN" w:eastAsia="zh-CN"/>
        </w:rPr>
        <w:t>我乡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00A9974B">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楷体_GB2312" w:eastAsia="楷体_GB2312" w:cs="楷体_GB2312"/>
          <w:color w:val="000000"/>
          <w:kern w:val="0"/>
          <w:sz w:val="32"/>
          <w:szCs w:val="32"/>
          <w:highlight w:val="none"/>
          <w:shd w:val="clear" w:color="auto" w:fill="FFFFFF"/>
          <w:lang w:val="zh-CN"/>
        </w:rPr>
      </w:pPr>
      <w:r>
        <w:rPr>
          <w:rFonts w:hint="eastAsia" w:ascii="楷体_GB2312" w:eastAsia="楷体_GB2312" w:cs="楷体_GB2312"/>
          <w:color w:val="000000"/>
          <w:kern w:val="0"/>
          <w:sz w:val="32"/>
          <w:szCs w:val="32"/>
          <w:highlight w:val="none"/>
          <w:shd w:val="clear" w:color="auto" w:fill="FFFFFF"/>
          <w:lang w:val="en-US" w:eastAsia="zh-CN"/>
        </w:rPr>
        <w:t>1.</w:t>
      </w:r>
      <w:r>
        <w:rPr>
          <w:rFonts w:hint="eastAsia" w:ascii="楷体_GB2312" w:eastAsia="楷体_GB2312" w:cs="楷体_GB2312"/>
          <w:color w:val="000000"/>
          <w:kern w:val="0"/>
          <w:sz w:val="32"/>
          <w:szCs w:val="32"/>
          <w:highlight w:val="none"/>
          <w:shd w:val="clear" w:color="auto" w:fill="FFFFFF"/>
          <w:lang w:val="zh-CN"/>
        </w:rPr>
        <w:t>履职效能。</w:t>
      </w:r>
    </w:p>
    <w:p w14:paraId="17D2CC04">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zh-CN" w:eastAsia="zh-CN"/>
        </w:rPr>
      </w:pPr>
      <w:r>
        <w:rPr>
          <w:rFonts w:hint="eastAsia" w:ascii="仿宋" w:eastAsia="仿宋" w:cs="仿宋"/>
          <w:sz w:val="32"/>
          <w:szCs w:val="32"/>
          <w:lang w:val="zh-CN" w:eastAsia="zh-CN"/>
        </w:rPr>
        <w:t>数量指标履职效果</w:t>
      </w:r>
      <w:r>
        <w:rPr>
          <w:rFonts w:hint="eastAsia" w:ascii="仿宋" w:eastAsia="仿宋" w:cs="仿宋"/>
          <w:sz w:val="32"/>
          <w:szCs w:val="32"/>
          <w:lang w:val="en-US" w:eastAsia="zh-CN"/>
        </w:rPr>
        <w:t>:严格控制数量确保无遗漏无浪费，厉行节约</w:t>
      </w:r>
      <w:r>
        <w:rPr>
          <w:rFonts w:hint="eastAsia" w:ascii="仿宋" w:eastAsia="仿宋" w:cs="仿宋"/>
          <w:sz w:val="32"/>
          <w:szCs w:val="32"/>
          <w:lang w:val="zh-CN" w:eastAsia="zh-CN"/>
        </w:rPr>
        <w:t>。</w:t>
      </w:r>
    </w:p>
    <w:p w14:paraId="15DA1C5C">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zh-CN" w:eastAsia="zh-CN"/>
        </w:rPr>
        <w:t>质量指标履职效果：</w:t>
      </w:r>
      <w:r>
        <w:rPr>
          <w:rFonts w:hint="eastAsia" w:ascii="仿宋" w:eastAsia="仿宋" w:cs="仿宋"/>
          <w:sz w:val="32"/>
          <w:szCs w:val="32"/>
          <w:lang w:val="en-US" w:eastAsia="zh-CN"/>
        </w:rPr>
        <w:t>严格把控质量关，确保与采购文件相匹配。</w:t>
      </w:r>
    </w:p>
    <w:p w14:paraId="143DB3FD">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hint="eastAsia" w:ascii="仿宋" w:eastAsia="仿宋" w:cs="仿宋"/>
          <w:sz w:val="32"/>
          <w:szCs w:val="32"/>
          <w:lang w:val="en-US" w:eastAsia="zh-CN"/>
        </w:rPr>
        <w:t>社会效益指标履职效果：确保每一项采购项目都能实现单位职能，提高社会效益，促进社会发展。</w:t>
      </w:r>
    </w:p>
    <w:p w14:paraId="63C00026">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eastAsia="仿宋" w:cs="仿宋"/>
          <w:sz w:val="32"/>
          <w:szCs w:val="32"/>
          <w:lang w:val="en-US" w:eastAsia="zh-CN"/>
        </w:rPr>
      </w:pPr>
      <w:r>
        <w:rPr>
          <w:rFonts w:ascii="仿宋" w:eastAsia="仿宋" w:cs="仿宋"/>
          <w:sz w:val="32"/>
          <w:szCs w:val="32"/>
          <w:lang w:val="en-US" w:eastAsia="zh-CN"/>
        </w:rPr>
        <w:t>服务对象满意度</w:t>
      </w:r>
      <w:r>
        <w:rPr>
          <w:rFonts w:hint="eastAsia" w:ascii="仿宋" w:eastAsia="仿宋" w:cs="仿宋"/>
          <w:sz w:val="32"/>
          <w:szCs w:val="32"/>
          <w:lang w:val="en-US" w:eastAsia="zh-CN"/>
        </w:rPr>
        <w:t>指标</w:t>
      </w:r>
      <w:r>
        <w:rPr>
          <w:rFonts w:ascii="仿宋" w:eastAsia="仿宋" w:cs="仿宋"/>
          <w:sz w:val="32"/>
          <w:szCs w:val="32"/>
          <w:lang w:val="en-US" w:eastAsia="zh-CN"/>
        </w:rPr>
        <w:t>履职效果</w:t>
      </w:r>
      <w:r>
        <w:rPr>
          <w:rFonts w:hint="eastAsia" w:ascii="仿宋" w:eastAsia="仿宋" w:cs="仿宋"/>
          <w:sz w:val="32"/>
          <w:szCs w:val="32"/>
          <w:lang w:val="en-US" w:eastAsia="zh-CN"/>
        </w:rPr>
        <w:t>：以高质量、高标准、高要求实施采购项目，确保受益对象满意度。</w:t>
      </w:r>
    </w:p>
    <w:p w14:paraId="0BE43FE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 w:eastAsia="仿宋" w:cs="仿宋"/>
          <w:sz w:val="32"/>
          <w:szCs w:val="32"/>
          <w:lang w:val="en-US" w:eastAsia="zh-CN"/>
        </w:rPr>
      </w:pPr>
      <w:r>
        <w:rPr>
          <w:rFonts w:ascii="仿宋" w:eastAsia="仿宋" w:cs="仿宋"/>
          <w:sz w:val="32"/>
          <w:szCs w:val="32"/>
          <w:lang w:val="en-US" w:eastAsia="zh-CN"/>
        </w:rPr>
        <w:t>经济成本指标履职效果</w:t>
      </w:r>
      <w:r>
        <w:rPr>
          <w:rFonts w:hint="eastAsia" w:ascii="仿宋" w:eastAsia="仿宋" w:cs="仿宋"/>
          <w:sz w:val="32"/>
          <w:szCs w:val="32"/>
          <w:lang w:val="en-US" w:eastAsia="zh-CN"/>
        </w:rPr>
        <w:t>：经过专业评估，以合理的经济成本实现项目价值。</w:t>
      </w:r>
    </w:p>
    <w:p w14:paraId="472A5F19">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楷体_GB2312" w:eastAsia="楷体_GB2312" w:cs="楷体_GB2312"/>
          <w:color w:val="000000"/>
          <w:kern w:val="0"/>
          <w:sz w:val="32"/>
          <w:szCs w:val="32"/>
          <w:highlight w:val="none"/>
          <w:shd w:val="clear" w:color="auto" w:fill="FFFFFF"/>
          <w:lang w:val="zh-CN"/>
        </w:rPr>
      </w:pPr>
      <w:r>
        <w:rPr>
          <w:rFonts w:hint="eastAsia" w:ascii="楷体_GB2312" w:eastAsia="楷体_GB2312" w:cs="楷体_GB2312"/>
          <w:color w:val="000000"/>
          <w:kern w:val="0"/>
          <w:sz w:val="32"/>
          <w:szCs w:val="32"/>
          <w:highlight w:val="none"/>
          <w:shd w:val="clear" w:color="auto" w:fill="FFFFFF"/>
          <w:lang w:val="en-US" w:eastAsia="zh-CN"/>
        </w:rPr>
        <w:t>2.</w:t>
      </w:r>
      <w:r>
        <w:rPr>
          <w:rFonts w:ascii="楷体_GB2312" w:eastAsia="楷体_GB2312" w:cs="楷体_GB2312"/>
          <w:color w:val="000000"/>
          <w:kern w:val="0"/>
          <w:sz w:val="32"/>
          <w:szCs w:val="32"/>
          <w:highlight w:val="none"/>
          <w:shd w:val="clear" w:color="auto" w:fill="FFFFFF"/>
          <w:lang w:val="zh-CN"/>
        </w:rPr>
        <w:t>预算管理</w:t>
      </w:r>
      <w:r>
        <w:rPr>
          <w:rFonts w:hint="eastAsia" w:ascii="楷体_GB2312" w:eastAsia="楷体_GB2312" w:cs="楷体_GB2312"/>
          <w:color w:val="000000"/>
          <w:kern w:val="0"/>
          <w:sz w:val="32"/>
          <w:szCs w:val="32"/>
          <w:highlight w:val="none"/>
          <w:shd w:val="clear" w:color="auto" w:fill="FFFFFF"/>
          <w:lang w:val="zh-CN"/>
        </w:rPr>
        <w:t>。</w:t>
      </w:r>
    </w:p>
    <w:p w14:paraId="65C7CF90">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s="仿宋_GB2312"/>
          <w:color w:val="000000"/>
          <w:sz w:val="32"/>
          <w:szCs w:val="32"/>
          <w:lang w:val="zh-CN"/>
        </w:rPr>
      </w:pPr>
      <w:r>
        <w:rPr>
          <w:rFonts w:hint="eastAsia" w:ascii="仿宋" w:eastAsia="仿宋" w:cs="仿宋_GB2312"/>
          <w:color w:val="000000"/>
          <w:sz w:val="32"/>
          <w:szCs w:val="32"/>
          <w:lang w:val="zh-CN" w:eastAsia="zh-CN"/>
        </w:rPr>
        <w:t>严格按照县级部门预算编制通知和有关要求，按时完成基础库、项目库报送工作，按时完成2024年预算编制工作，并按时提交部门预算草案。预算编制全面、科学。2024年实际支出和部门决算一致，绩效目标填报及年末结余结转都是严格按照县财政局的要求认真完成，不存在违规违纪使用资金的情况并按时完成202</w:t>
      </w:r>
      <w:r>
        <w:rPr>
          <w:rFonts w:hint="eastAsia" w:ascii="仿宋" w:eastAsia="仿宋" w:cs="仿宋_GB2312"/>
          <w:color w:val="000000"/>
          <w:sz w:val="32"/>
          <w:szCs w:val="32"/>
          <w:lang w:val="en-US" w:eastAsia="zh-CN"/>
        </w:rPr>
        <w:t>4</w:t>
      </w:r>
      <w:r>
        <w:rPr>
          <w:rFonts w:hint="eastAsia" w:ascii="仿宋" w:eastAsia="仿宋" w:cs="仿宋_GB2312"/>
          <w:color w:val="000000"/>
          <w:sz w:val="32"/>
          <w:szCs w:val="32"/>
          <w:lang w:val="zh-CN" w:eastAsia="zh-CN"/>
        </w:rPr>
        <w:t>年预算编制工作，及时提交了部门预算草案。</w:t>
      </w:r>
    </w:p>
    <w:p w14:paraId="4C9C6208">
      <w:pPr>
        <w:pageBreakBefore w:val="0"/>
        <w:widowControl/>
        <w:numPr>
          <w:ilvl w:val="0"/>
          <w:numId w:val="6"/>
        </w:numPr>
        <w:kinsoku/>
        <w:wordWrap/>
        <w:overflowPunct/>
        <w:topLinePunct w:val="0"/>
        <w:bidi w:val="0"/>
        <w:adjustRightInd w:val="0"/>
        <w:snapToGrid w:val="0"/>
        <w:spacing w:line="576" w:lineRule="exact"/>
        <w:ind w:left="0" w:firstLine="640" w:firstLineChars="200"/>
        <w:contextualSpacing/>
        <w:jc w:val="left"/>
        <w:rPr>
          <w:rFonts w:hint="eastAsia" w:ascii="楷体_GB2312" w:eastAsia="楷体_GB2312" w:cs="楷体_GB2312"/>
          <w:color w:val="000000"/>
          <w:kern w:val="0"/>
          <w:sz w:val="32"/>
          <w:szCs w:val="32"/>
          <w:highlight w:val="none"/>
          <w:shd w:val="clear" w:color="auto" w:fill="FFFFFF"/>
          <w:lang w:val="zh-CN"/>
        </w:rPr>
      </w:pPr>
      <w:r>
        <w:rPr>
          <w:rFonts w:ascii="楷体_GB2312" w:eastAsia="楷体_GB2312" w:cs="楷体_GB2312"/>
          <w:color w:val="000000"/>
          <w:kern w:val="0"/>
          <w:sz w:val="32"/>
          <w:szCs w:val="32"/>
          <w:highlight w:val="none"/>
          <w:shd w:val="clear" w:color="auto" w:fill="FFFFFF"/>
          <w:lang w:val="zh-CN"/>
        </w:rPr>
        <w:t>财务管理</w:t>
      </w:r>
      <w:r>
        <w:rPr>
          <w:rFonts w:hint="eastAsia" w:ascii="楷体_GB2312" w:eastAsia="楷体_GB2312" w:cs="楷体_GB2312"/>
          <w:color w:val="000000"/>
          <w:kern w:val="0"/>
          <w:sz w:val="32"/>
          <w:szCs w:val="32"/>
          <w:highlight w:val="none"/>
          <w:shd w:val="clear" w:color="auto" w:fill="FFFFFF"/>
          <w:lang w:val="zh-CN"/>
        </w:rPr>
        <w:t>。</w:t>
      </w:r>
    </w:p>
    <w:p w14:paraId="388C80B6">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zh-CN" w:eastAsia="zh-CN"/>
        </w:rPr>
        <w:t>根据相关要求，单位使用预算资金基本符合相关的预算财务管理制度。我乡在财政批复后20日内在指定网站公开预决算信息。按照相关要求进行绩效自我评价，按要求及时上报，对发现的问题提出整改措施，并整改落实到位。绩效评价及依法接受财政监督情况等。</w:t>
      </w:r>
    </w:p>
    <w:p w14:paraId="6E714192">
      <w:pPr>
        <w:numPr>
          <w:ilvl w:val="0"/>
          <w:numId w:val="6"/>
        </w:numPr>
        <w:spacing w:before="0" w:after="0"/>
        <w:ind w:left="0" w:firstLine="640" w:firstLineChars="200"/>
        <w:jc w:val="both"/>
        <w:rPr>
          <w:rFonts w:hint="eastAsia" w:ascii="楷体_GB2312" w:eastAsia="楷体_GB2312" w:cs="楷体_GB2312"/>
          <w:color w:val="000000"/>
          <w:kern w:val="0"/>
          <w:sz w:val="32"/>
          <w:szCs w:val="32"/>
          <w:highlight w:val="none"/>
          <w:shd w:val="clear" w:color="auto" w:fill="FFFFFF"/>
          <w:lang w:val="zh-CN"/>
        </w:rPr>
      </w:pPr>
      <w:r>
        <w:rPr>
          <w:rFonts w:ascii="楷体_GB2312" w:eastAsia="楷体_GB2312" w:cs="楷体_GB2312"/>
          <w:color w:val="000000"/>
          <w:kern w:val="0"/>
          <w:sz w:val="32"/>
          <w:szCs w:val="32"/>
          <w:highlight w:val="none"/>
          <w:shd w:val="clear" w:color="auto" w:fill="FFFFFF"/>
          <w:lang w:val="zh-CN"/>
        </w:rPr>
        <w:t>资产管理</w:t>
      </w:r>
      <w:r>
        <w:rPr>
          <w:rFonts w:hint="eastAsia" w:ascii="楷体_GB2312" w:eastAsia="楷体_GB2312" w:cs="楷体_GB2312"/>
          <w:color w:val="000000"/>
          <w:kern w:val="0"/>
          <w:sz w:val="32"/>
          <w:szCs w:val="32"/>
          <w:highlight w:val="none"/>
          <w:shd w:val="clear" w:color="auto" w:fill="FFFFFF"/>
          <w:lang w:val="zh-CN"/>
        </w:rPr>
        <w:t>。</w:t>
      </w:r>
    </w:p>
    <w:p w14:paraId="78594ECF">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ascii="仿宋" w:eastAsia="仿宋" w:cs="仿宋_GB2312"/>
          <w:color w:val="000000"/>
          <w:sz w:val="32"/>
          <w:szCs w:val="32"/>
          <w:lang w:val="en-US" w:eastAsia="zh-CN"/>
        </w:rPr>
      </w:pPr>
      <w:r>
        <w:rPr>
          <w:rFonts w:hint="eastAsia" w:ascii="仿宋" w:eastAsia="仿宋" w:cs="仿宋_GB2312"/>
          <w:color w:val="000000"/>
          <w:sz w:val="32"/>
          <w:szCs w:val="32"/>
          <w:lang w:val="zh-CN" w:eastAsia="zh-CN"/>
        </w:rPr>
        <w:t>我乡2024年所有国有资产纳入资产管理系统，及时准确上报并做好资产的管理工作，</w:t>
      </w:r>
      <w:r>
        <w:rPr>
          <w:rFonts w:hint="eastAsia" w:ascii="仿宋" w:eastAsia="仿宋" w:cs="仿宋_GB2312"/>
          <w:color w:val="000000"/>
          <w:sz w:val="32"/>
          <w:szCs w:val="32"/>
          <w:lang w:val="en-US" w:eastAsia="zh-CN"/>
        </w:rPr>
        <w:t>无闲置资产。</w:t>
      </w:r>
    </w:p>
    <w:p w14:paraId="4D886CF9">
      <w:pPr>
        <w:keepNext w:val="0"/>
        <w:keepLines w:val="0"/>
        <w:pageBreakBefore w:val="0"/>
        <w:widowControl w:val="0"/>
        <w:numPr>
          <w:ilvl w:val="0"/>
          <w:numId w:val="6"/>
        </w:numPr>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楷体_GB2312" w:eastAsia="楷体_GB2312" w:cs="楷体_GB2312"/>
          <w:color w:val="000000"/>
          <w:kern w:val="0"/>
          <w:sz w:val="32"/>
          <w:szCs w:val="32"/>
          <w:highlight w:val="none"/>
          <w:shd w:val="clear" w:color="auto" w:fill="FFFFFF"/>
          <w:lang w:val="zh-CN"/>
        </w:rPr>
      </w:pPr>
      <w:r>
        <w:rPr>
          <w:rFonts w:ascii="楷体_GB2312" w:eastAsia="楷体_GB2312" w:cs="楷体_GB2312"/>
          <w:color w:val="000000"/>
          <w:kern w:val="0"/>
          <w:sz w:val="32"/>
          <w:szCs w:val="32"/>
          <w:highlight w:val="none"/>
          <w:shd w:val="clear" w:color="auto" w:fill="FFFFFF"/>
          <w:lang w:val="zh-CN"/>
        </w:rPr>
        <w:t>采购管理</w:t>
      </w:r>
      <w:r>
        <w:rPr>
          <w:rFonts w:hint="eastAsia" w:ascii="楷体_GB2312" w:eastAsia="楷体_GB2312" w:cs="楷体_GB2312"/>
          <w:color w:val="000000"/>
          <w:kern w:val="0"/>
          <w:sz w:val="32"/>
          <w:szCs w:val="32"/>
          <w:highlight w:val="none"/>
          <w:shd w:val="clear" w:color="auto" w:fill="FFFFFF"/>
          <w:lang w:val="zh-CN"/>
        </w:rPr>
        <w:t>。</w:t>
      </w:r>
    </w:p>
    <w:p w14:paraId="51D63786">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en-US" w:eastAsia="zh-CN"/>
        </w:rPr>
        <w:t>为保障单位正常运转，实现机构只能，根据实际需求按照程序实施政府采购</w:t>
      </w:r>
      <w:r>
        <w:rPr>
          <w:rFonts w:hint="eastAsia" w:ascii="仿宋" w:eastAsia="仿宋" w:cs="仿宋_GB2312"/>
          <w:color w:val="000000"/>
          <w:sz w:val="32"/>
          <w:szCs w:val="32"/>
          <w:lang w:val="zh-CN" w:eastAsia="zh-CN"/>
        </w:rPr>
        <w:t>、采购</w:t>
      </w:r>
      <w:r>
        <w:rPr>
          <w:rFonts w:hint="eastAsia" w:ascii="仿宋" w:eastAsia="仿宋" w:cs="仿宋_GB2312"/>
          <w:color w:val="000000"/>
          <w:sz w:val="32"/>
          <w:szCs w:val="32"/>
          <w:lang w:val="en-US" w:eastAsia="zh-CN"/>
        </w:rPr>
        <w:t>项目</w:t>
      </w:r>
      <w:r>
        <w:rPr>
          <w:rFonts w:hint="eastAsia" w:ascii="仿宋" w:eastAsia="仿宋" w:cs="仿宋_GB2312"/>
          <w:color w:val="000000"/>
          <w:sz w:val="32"/>
          <w:szCs w:val="32"/>
          <w:lang w:val="zh-CN" w:eastAsia="zh-CN"/>
        </w:rPr>
        <w:t>执行率</w:t>
      </w:r>
      <w:r>
        <w:rPr>
          <w:rFonts w:hint="eastAsia" w:ascii="仿宋" w:eastAsia="仿宋" w:cs="仿宋_GB2312"/>
          <w:color w:val="000000"/>
          <w:sz w:val="32"/>
          <w:szCs w:val="32"/>
          <w:lang w:val="en-US" w:eastAsia="zh-CN"/>
        </w:rPr>
        <w:t>达100%，采购结果与预期目标相匹配，通过科学合理的评价方法和标准，提高采购质量和效益</w:t>
      </w:r>
      <w:r>
        <w:rPr>
          <w:rFonts w:hint="eastAsia" w:ascii="仿宋" w:eastAsia="仿宋" w:cs="仿宋_GB2312"/>
          <w:color w:val="000000"/>
          <w:sz w:val="32"/>
          <w:szCs w:val="32"/>
          <w:lang w:val="zh-CN" w:eastAsia="zh-CN"/>
        </w:rPr>
        <w:t>。</w:t>
      </w:r>
    </w:p>
    <w:p w14:paraId="7146402D">
      <w:pPr>
        <w:keepNext w:val="0"/>
        <w:keepLines w:val="0"/>
        <w:pageBreakBefore w:val="0"/>
        <w:widowControl/>
        <w:wordWrap w:val="0"/>
        <w:topLinePunct/>
        <w:bidi w:val="0"/>
        <w:adjustRightInd w:val="0"/>
        <w:snapToGrid w:val="0"/>
        <w:spacing w:line="600" w:lineRule="exact"/>
        <w:ind w:firstLine="643" w:firstLineChars="200"/>
        <w:jc w:val="left"/>
        <w:textAlignment w:val="auto"/>
        <w:rPr>
          <w:rFonts w:ascii="仿宋" w:eastAsia="仿宋" w:cs="仿宋_GB2312"/>
          <w:color w:val="000000"/>
          <w:sz w:val="32"/>
          <w:szCs w:val="32"/>
          <w:lang w:val="en-US" w:eastAsia="zh-CN"/>
        </w:rPr>
      </w:pPr>
      <w:r>
        <w:rPr>
          <w:rFonts w:ascii="Times New Roman" w:hAnsi="Times New Roman" w:eastAsia="楷体_GB2312" w:cs="Times New Roman"/>
          <w:b/>
          <w:bCs/>
          <w:color w:val="000000"/>
          <w:kern w:val="0"/>
          <w:sz w:val="32"/>
          <w:szCs w:val="32"/>
          <w:highlight w:val="none"/>
          <w:shd w:val="clear" w:color="auto" w:fill="FFFFFF"/>
          <w:lang w:val="zh-CN"/>
        </w:rPr>
        <w:t>（二）部门预算项目绩效分析。</w:t>
      </w:r>
      <w:r>
        <w:rPr>
          <w:rFonts w:hint="eastAsia" w:ascii="仿宋" w:eastAsia="仿宋" w:cs="仿宋_GB2312"/>
          <w:color w:val="000000"/>
          <w:sz w:val="32"/>
          <w:szCs w:val="32"/>
          <w:lang w:val="zh-CN" w:eastAsia="zh-CN"/>
        </w:rPr>
        <w:t>填报以下数据，并</w:t>
      </w:r>
      <w:r>
        <w:rPr>
          <w:rFonts w:ascii="仿宋" w:eastAsia="仿宋" w:cs="仿宋_GB2312"/>
          <w:color w:val="000000"/>
          <w:sz w:val="32"/>
          <w:szCs w:val="32"/>
          <w:lang w:val="zh-CN" w:eastAsia="zh-CN"/>
        </w:rPr>
        <w:t>根据部门预算绩效评价指标体系“项目绩效”涉及</w:t>
      </w:r>
      <w:r>
        <w:rPr>
          <w:rFonts w:hint="eastAsia" w:ascii="仿宋" w:eastAsia="仿宋" w:cs="仿宋_GB2312"/>
          <w:color w:val="000000"/>
          <w:sz w:val="32"/>
          <w:szCs w:val="32"/>
          <w:lang w:val="zh-CN" w:eastAsia="zh-CN"/>
        </w:rPr>
        <w:t>二、三级</w:t>
      </w:r>
      <w:r>
        <w:rPr>
          <w:rFonts w:ascii="仿宋" w:eastAsia="仿宋" w:cs="仿宋_GB2312"/>
          <w:color w:val="000000"/>
          <w:sz w:val="32"/>
          <w:szCs w:val="32"/>
          <w:lang w:val="zh-CN" w:eastAsia="zh-CN"/>
        </w:rPr>
        <w:t>指标进行</w:t>
      </w:r>
      <w:r>
        <w:rPr>
          <w:rFonts w:hint="eastAsia" w:ascii="仿宋" w:eastAsia="仿宋" w:cs="仿宋_GB2312"/>
          <w:color w:val="000000"/>
          <w:sz w:val="32"/>
          <w:szCs w:val="32"/>
          <w:lang w:val="zh-CN" w:eastAsia="zh-CN"/>
        </w:rPr>
        <w:t>逐项</w:t>
      </w:r>
      <w:r>
        <w:rPr>
          <w:rFonts w:ascii="仿宋" w:eastAsia="仿宋" w:cs="仿宋_GB2312"/>
          <w:color w:val="000000"/>
          <w:sz w:val="32"/>
          <w:szCs w:val="32"/>
          <w:lang w:val="zh-CN" w:eastAsia="zh-CN"/>
        </w:rPr>
        <w:t>绩效分析</w:t>
      </w:r>
      <w:r>
        <w:rPr>
          <w:rFonts w:hint="eastAsia" w:ascii="仿宋" w:eastAsia="仿宋" w:cs="仿宋_GB2312"/>
          <w:color w:val="000000"/>
          <w:sz w:val="32"/>
          <w:szCs w:val="32"/>
          <w:lang w:val="zh-CN" w:eastAsia="zh-CN"/>
        </w:rPr>
        <w:t>并评分</w:t>
      </w:r>
      <w:r>
        <w:rPr>
          <w:rFonts w:ascii="仿宋" w:eastAsia="仿宋" w:cs="仿宋_GB2312"/>
          <w:color w:val="000000"/>
          <w:sz w:val="32"/>
          <w:szCs w:val="32"/>
          <w:lang w:val="zh-CN" w:eastAsia="zh-CN"/>
        </w:rPr>
        <w:t>，依次包括项目</w:t>
      </w:r>
      <w:r>
        <w:rPr>
          <w:rFonts w:ascii="仿宋" w:eastAsia="仿宋" w:cs="仿宋_GB2312"/>
          <w:color w:val="000000"/>
          <w:sz w:val="32"/>
          <w:szCs w:val="32"/>
          <w:lang w:val="en-US" w:eastAsia="zh-CN"/>
        </w:rPr>
        <w:t>决策、项目执行、目标实现等情况</w:t>
      </w:r>
      <w:r>
        <w:rPr>
          <w:rFonts w:hint="eastAsia" w:ascii="仿宋" w:eastAsia="仿宋" w:cs="仿宋_GB2312"/>
          <w:color w:val="000000"/>
          <w:sz w:val="32"/>
          <w:szCs w:val="32"/>
          <w:lang w:val="en-US" w:eastAsia="zh-CN"/>
        </w:rPr>
        <w:t>。</w:t>
      </w:r>
    </w:p>
    <w:p w14:paraId="6C5B129A">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ascii="仿宋" w:eastAsia="仿宋" w:cs="仿宋_GB2312"/>
          <w:color w:val="000000"/>
          <w:sz w:val="32"/>
          <w:szCs w:val="32"/>
          <w:lang w:val="zh-CN" w:eastAsia="zh-CN"/>
        </w:rPr>
      </w:pPr>
      <w:r>
        <w:rPr>
          <w:rFonts w:ascii="仿宋" w:eastAsia="仿宋" w:cs="仿宋_GB2312"/>
          <w:color w:val="000000"/>
          <w:sz w:val="32"/>
          <w:szCs w:val="32"/>
          <w:lang w:val="en-US" w:eastAsia="zh-CN"/>
        </w:rPr>
        <w:t>常年项目绩效分析。</w:t>
      </w:r>
      <w:r>
        <w:rPr>
          <w:rFonts w:ascii="仿宋" w:eastAsia="仿宋" w:cs="仿宋_GB2312"/>
          <w:color w:val="000000"/>
          <w:sz w:val="32"/>
          <w:szCs w:val="32"/>
          <w:lang w:val="zh-CN" w:eastAsia="zh-CN"/>
        </w:rPr>
        <w:t>该类项目总数</w:t>
      </w:r>
      <w:r>
        <w:rPr>
          <w:rFonts w:hint="eastAsia" w:ascii="仿宋" w:eastAsia="仿宋" w:cs="仿宋_GB2312"/>
          <w:color w:val="000000"/>
          <w:sz w:val="32"/>
          <w:szCs w:val="32"/>
          <w:lang w:val="en-US" w:eastAsia="zh-CN"/>
        </w:rPr>
        <w:t>77</w:t>
      </w:r>
      <w:r>
        <w:rPr>
          <w:rFonts w:ascii="仿宋" w:eastAsia="仿宋" w:cs="仿宋_GB2312"/>
          <w:color w:val="000000"/>
          <w:sz w:val="32"/>
          <w:szCs w:val="32"/>
          <w:lang w:val="zh-CN" w:eastAsia="zh-CN"/>
        </w:rPr>
        <w:t>个，涉及预算总金额</w:t>
      </w:r>
      <w:r>
        <w:rPr>
          <w:rFonts w:hint="eastAsia" w:ascii="仿宋" w:eastAsia="仿宋" w:cs="仿宋_GB2312"/>
          <w:color w:val="000000"/>
          <w:sz w:val="32"/>
          <w:szCs w:val="32"/>
          <w:lang w:val="en-US" w:eastAsia="zh-CN"/>
        </w:rPr>
        <w:t>1028.03</w:t>
      </w:r>
      <w:r>
        <w:rPr>
          <w:rFonts w:ascii="仿宋" w:eastAsia="仿宋" w:cs="仿宋_GB2312"/>
          <w:color w:val="000000"/>
          <w:sz w:val="32"/>
          <w:szCs w:val="32"/>
          <w:lang w:val="zh-CN" w:eastAsia="zh-CN"/>
        </w:rPr>
        <w:t>万元，1</w:t>
      </w:r>
      <w:r>
        <w:rPr>
          <w:rFonts w:hint="eastAsia" w:ascii="仿宋" w:eastAsia="仿宋" w:cs="仿宋_GB2312"/>
          <w:color w:val="000000"/>
          <w:sz w:val="32"/>
          <w:szCs w:val="32"/>
          <w:lang w:val="zh-CN" w:eastAsia="zh-CN"/>
        </w:rPr>
        <w:t>—</w:t>
      </w:r>
      <w:r>
        <w:rPr>
          <w:rFonts w:ascii="仿宋" w:eastAsia="仿宋" w:cs="仿宋_GB2312"/>
          <w:color w:val="000000"/>
          <w:sz w:val="32"/>
          <w:szCs w:val="32"/>
          <w:lang w:val="zh-CN" w:eastAsia="zh-CN"/>
        </w:rPr>
        <w:t>1</w:t>
      </w:r>
      <w:r>
        <w:rPr>
          <w:rFonts w:ascii="仿宋" w:eastAsia="仿宋" w:cs="仿宋_GB2312"/>
          <w:color w:val="000000"/>
          <w:sz w:val="32"/>
          <w:szCs w:val="32"/>
          <w:lang w:val="en-US" w:eastAsia="zh-CN"/>
        </w:rPr>
        <w:t>2</w:t>
      </w:r>
      <w:r>
        <w:rPr>
          <w:rFonts w:ascii="仿宋" w:eastAsia="仿宋" w:cs="仿宋_GB2312"/>
          <w:color w:val="000000"/>
          <w:sz w:val="32"/>
          <w:szCs w:val="32"/>
          <w:lang w:val="zh-CN" w:eastAsia="zh-CN"/>
        </w:rPr>
        <w:t>月预算执行总体进度为</w:t>
      </w:r>
      <w:r>
        <w:rPr>
          <w:rFonts w:hint="eastAsia" w:ascii="仿宋" w:eastAsia="仿宋" w:cs="仿宋_GB2312"/>
          <w:color w:val="000000"/>
          <w:sz w:val="32"/>
          <w:szCs w:val="32"/>
          <w:lang w:val="en-US" w:eastAsia="zh-CN"/>
        </w:rPr>
        <w:t>100</w:t>
      </w:r>
      <w:r>
        <w:rPr>
          <w:rFonts w:ascii="仿宋" w:eastAsia="仿宋" w:cs="仿宋_GB2312"/>
          <w:color w:val="000000"/>
          <w:sz w:val="32"/>
          <w:szCs w:val="32"/>
          <w:lang w:val="zh-CN" w:eastAsia="zh-CN"/>
        </w:rPr>
        <w:t>%，其中：预算结余率大于</w:t>
      </w:r>
      <w:r>
        <w:rPr>
          <w:rFonts w:ascii="仿宋" w:eastAsia="仿宋" w:cs="仿宋_GB2312"/>
          <w:color w:val="000000"/>
          <w:sz w:val="32"/>
          <w:szCs w:val="32"/>
          <w:lang w:val="en-US" w:eastAsia="zh-CN"/>
        </w:rPr>
        <w:t>10%</w:t>
      </w:r>
      <w:r>
        <w:rPr>
          <w:rFonts w:ascii="仿宋" w:eastAsia="仿宋" w:cs="仿宋_GB2312"/>
          <w:color w:val="000000"/>
          <w:sz w:val="32"/>
          <w:szCs w:val="32"/>
          <w:lang w:val="zh-CN" w:eastAsia="zh-CN"/>
        </w:rPr>
        <w:t>的项目共计</w:t>
      </w:r>
      <w:r>
        <w:rPr>
          <w:rFonts w:hint="eastAsia" w:ascii="仿宋" w:eastAsia="仿宋" w:cs="仿宋_GB2312"/>
          <w:color w:val="000000"/>
          <w:sz w:val="32"/>
          <w:szCs w:val="32"/>
          <w:lang w:val="en-US" w:eastAsia="zh-CN"/>
        </w:rPr>
        <w:t>0</w:t>
      </w:r>
      <w:r>
        <w:rPr>
          <w:rFonts w:ascii="仿宋" w:eastAsia="仿宋" w:cs="仿宋_GB2312"/>
          <w:color w:val="000000"/>
          <w:sz w:val="32"/>
          <w:szCs w:val="32"/>
          <w:lang w:val="en-US" w:eastAsia="zh-CN"/>
        </w:rPr>
        <w:t xml:space="preserve"> </w:t>
      </w:r>
      <w:r>
        <w:rPr>
          <w:rFonts w:ascii="仿宋" w:eastAsia="仿宋" w:cs="仿宋_GB2312"/>
          <w:color w:val="000000"/>
          <w:sz w:val="32"/>
          <w:szCs w:val="32"/>
          <w:lang w:val="zh-CN" w:eastAsia="zh-CN"/>
        </w:rPr>
        <w:t>个。</w:t>
      </w:r>
    </w:p>
    <w:p w14:paraId="48271EC6">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ascii="仿宋" w:eastAsia="仿宋" w:cs="仿宋_GB2312"/>
          <w:color w:val="000000"/>
          <w:sz w:val="32"/>
          <w:szCs w:val="32"/>
          <w:lang w:val="zh-CN" w:eastAsia="zh-CN"/>
        </w:rPr>
      </w:pPr>
      <w:r>
        <w:rPr>
          <w:rFonts w:ascii="仿宋" w:eastAsia="仿宋" w:cs="仿宋_GB2312"/>
          <w:color w:val="000000"/>
          <w:sz w:val="32"/>
          <w:szCs w:val="32"/>
          <w:lang w:val="en-US" w:eastAsia="zh-CN"/>
        </w:rPr>
        <w:t>阶段</w:t>
      </w:r>
      <w:r>
        <w:rPr>
          <w:rFonts w:hint="eastAsia" w:ascii="仿宋" w:eastAsia="仿宋" w:cs="仿宋_GB2312"/>
          <w:color w:val="000000"/>
          <w:sz w:val="32"/>
          <w:szCs w:val="32"/>
          <w:lang w:val="en-US" w:eastAsia="zh-CN"/>
        </w:rPr>
        <w:t>（</w:t>
      </w:r>
      <w:r>
        <w:rPr>
          <w:rFonts w:ascii="仿宋" w:eastAsia="仿宋" w:cs="仿宋_GB2312"/>
          <w:color w:val="000000"/>
          <w:sz w:val="32"/>
          <w:szCs w:val="32"/>
          <w:lang w:val="en-US" w:eastAsia="zh-CN"/>
        </w:rPr>
        <w:t>一次性</w:t>
      </w:r>
      <w:r>
        <w:rPr>
          <w:rFonts w:hint="eastAsia" w:ascii="仿宋" w:eastAsia="仿宋" w:cs="仿宋_GB2312"/>
          <w:color w:val="000000"/>
          <w:sz w:val="32"/>
          <w:szCs w:val="32"/>
          <w:lang w:val="en-US" w:eastAsia="zh-CN"/>
        </w:rPr>
        <w:t>）</w:t>
      </w:r>
      <w:r>
        <w:rPr>
          <w:rFonts w:ascii="仿宋" w:eastAsia="仿宋" w:cs="仿宋_GB2312"/>
          <w:color w:val="000000"/>
          <w:sz w:val="32"/>
          <w:szCs w:val="32"/>
          <w:lang w:val="en-US" w:eastAsia="zh-CN"/>
        </w:rPr>
        <w:t>项目绩效分析。</w:t>
      </w:r>
      <w:r>
        <w:rPr>
          <w:rFonts w:ascii="仿宋" w:eastAsia="仿宋" w:cs="仿宋_GB2312"/>
          <w:color w:val="000000"/>
          <w:sz w:val="32"/>
          <w:szCs w:val="32"/>
          <w:lang w:val="zh-CN" w:eastAsia="zh-CN"/>
        </w:rPr>
        <w:t>该类项目总数</w:t>
      </w:r>
      <w:r>
        <w:rPr>
          <w:rFonts w:hint="eastAsia" w:ascii="仿宋" w:eastAsia="仿宋" w:cs="仿宋_GB2312"/>
          <w:color w:val="000000"/>
          <w:sz w:val="32"/>
          <w:szCs w:val="32"/>
          <w:lang w:val="en-US" w:eastAsia="zh-CN"/>
        </w:rPr>
        <w:t>4</w:t>
      </w:r>
      <w:r>
        <w:rPr>
          <w:rFonts w:ascii="仿宋" w:eastAsia="仿宋" w:cs="仿宋_GB2312"/>
          <w:color w:val="000000"/>
          <w:sz w:val="32"/>
          <w:szCs w:val="32"/>
          <w:lang w:val="en-US" w:eastAsia="zh-CN"/>
        </w:rPr>
        <w:t xml:space="preserve"> </w:t>
      </w:r>
      <w:r>
        <w:rPr>
          <w:rFonts w:ascii="仿宋" w:eastAsia="仿宋" w:cs="仿宋_GB2312"/>
          <w:color w:val="000000"/>
          <w:sz w:val="32"/>
          <w:szCs w:val="32"/>
          <w:lang w:val="zh-CN" w:eastAsia="zh-CN"/>
        </w:rPr>
        <w:t>个，涉及预算总金额</w:t>
      </w:r>
      <w:r>
        <w:rPr>
          <w:rFonts w:hint="eastAsia" w:ascii="仿宋" w:eastAsia="仿宋" w:cs="仿宋_GB2312"/>
          <w:color w:val="000000"/>
          <w:sz w:val="32"/>
          <w:szCs w:val="32"/>
          <w:lang w:val="en-US" w:eastAsia="zh-CN"/>
        </w:rPr>
        <w:t>181.32</w:t>
      </w:r>
      <w:r>
        <w:rPr>
          <w:rFonts w:ascii="仿宋" w:eastAsia="仿宋" w:cs="仿宋_GB2312"/>
          <w:color w:val="000000"/>
          <w:sz w:val="32"/>
          <w:szCs w:val="32"/>
          <w:lang w:val="zh-CN" w:eastAsia="zh-CN"/>
        </w:rPr>
        <w:t>万元，1</w:t>
      </w:r>
      <w:r>
        <w:rPr>
          <w:rFonts w:hint="eastAsia" w:ascii="仿宋" w:eastAsia="仿宋" w:cs="仿宋_GB2312"/>
          <w:color w:val="000000"/>
          <w:sz w:val="32"/>
          <w:szCs w:val="32"/>
          <w:lang w:val="zh-CN" w:eastAsia="zh-CN"/>
        </w:rPr>
        <w:t>—</w:t>
      </w:r>
      <w:r>
        <w:rPr>
          <w:rFonts w:ascii="仿宋" w:eastAsia="仿宋" w:cs="仿宋_GB2312"/>
          <w:color w:val="000000"/>
          <w:sz w:val="32"/>
          <w:szCs w:val="32"/>
          <w:lang w:val="zh-CN" w:eastAsia="zh-CN"/>
        </w:rPr>
        <w:t>1</w:t>
      </w:r>
      <w:r>
        <w:rPr>
          <w:rFonts w:ascii="仿宋" w:eastAsia="仿宋" w:cs="仿宋_GB2312"/>
          <w:color w:val="000000"/>
          <w:sz w:val="32"/>
          <w:szCs w:val="32"/>
          <w:lang w:val="en-US" w:eastAsia="zh-CN"/>
        </w:rPr>
        <w:t>2</w:t>
      </w:r>
      <w:r>
        <w:rPr>
          <w:rFonts w:ascii="仿宋" w:eastAsia="仿宋" w:cs="仿宋_GB2312"/>
          <w:color w:val="000000"/>
          <w:sz w:val="32"/>
          <w:szCs w:val="32"/>
          <w:lang w:val="zh-CN" w:eastAsia="zh-CN"/>
        </w:rPr>
        <w:t>月预算执行总体进度为</w:t>
      </w:r>
      <w:r>
        <w:rPr>
          <w:rFonts w:hint="eastAsia" w:ascii="仿宋" w:eastAsia="仿宋" w:cs="仿宋_GB2312"/>
          <w:color w:val="000000"/>
          <w:sz w:val="32"/>
          <w:szCs w:val="32"/>
          <w:lang w:val="en-US" w:eastAsia="zh-CN"/>
        </w:rPr>
        <w:t>70</w:t>
      </w:r>
      <w:r>
        <w:rPr>
          <w:rFonts w:ascii="仿宋" w:eastAsia="仿宋" w:cs="仿宋_GB2312"/>
          <w:color w:val="000000"/>
          <w:sz w:val="32"/>
          <w:szCs w:val="32"/>
          <w:lang w:val="zh-CN" w:eastAsia="zh-CN"/>
        </w:rPr>
        <w:t>%，其中：预算结余率大于</w:t>
      </w:r>
      <w:r>
        <w:rPr>
          <w:rFonts w:ascii="仿宋" w:eastAsia="仿宋" w:cs="仿宋_GB2312"/>
          <w:color w:val="000000"/>
          <w:sz w:val="32"/>
          <w:szCs w:val="32"/>
          <w:lang w:val="en-US" w:eastAsia="zh-CN"/>
        </w:rPr>
        <w:t>10%</w:t>
      </w:r>
      <w:r>
        <w:rPr>
          <w:rFonts w:ascii="仿宋" w:eastAsia="仿宋" w:cs="仿宋_GB2312"/>
          <w:color w:val="000000"/>
          <w:sz w:val="32"/>
          <w:szCs w:val="32"/>
          <w:lang w:val="zh-CN" w:eastAsia="zh-CN"/>
        </w:rPr>
        <w:t>的项目共计</w:t>
      </w:r>
      <w:r>
        <w:rPr>
          <w:rFonts w:hint="eastAsia" w:ascii="仿宋" w:eastAsia="仿宋" w:cs="仿宋_GB2312"/>
          <w:color w:val="000000"/>
          <w:sz w:val="32"/>
          <w:szCs w:val="32"/>
          <w:lang w:val="en-US" w:eastAsia="zh-CN"/>
        </w:rPr>
        <w:t>1</w:t>
      </w:r>
      <w:r>
        <w:rPr>
          <w:rFonts w:ascii="仿宋" w:eastAsia="仿宋" w:cs="仿宋_GB2312"/>
          <w:color w:val="000000"/>
          <w:sz w:val="32"/>
          <w:szCs w:val="32"/>
          <w:lang w:val="en-US" w:eastAsia="zh-CN"/>
        </w:rPr>
        <w:t xml:space="preserve"> </w:t>
      </w:r>
      <w:r>
        <w:rPr>
          <w:rFonts w:ascii="仿宋" w:eastAsia="仿宋" w:cs="仿宋_GB2312"/>
          <w:color w:val="000000"/>
          <w:sz w:val="32"/>
          <w:szCs w:val="32"/>
          <w:lang w:val="zh-CN" w:eastAsia="zh-CN"/>
        </w:rPr>
        <w:t>个。</w:t>
      </w:r>
    </w:p>
    <w:p w14:paraId="0A4CA27E">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楷体_GB2312" w:eastAsia="楷体_GB2312" w:cs="楷体_GB2312"/>
          <w:color w:val="000000"/>
          <w:kern w:val="0"/>
          <w:sz w:val="32"/>
          <w:szCs w:val="32"/>
          <w:highlight w:val="none"/>
          <w:shd w:val="clear" w:color="auto" w:fill="FFFFFF"/>
          <w:lang w:val="zh-CN"/>
        </w:rPr>
      </w:pPr>
      <w:r>
        <w:rPr>
          <w:rFonts w:hint="eastAsia" w:ascii="楷体_GB2312" w:eastAsia="楷体_GB2312" w:cs="楷体_GB2312"/>
          <w:color w:val="000000"/>
          <w:kern w:val="0"/>
          <w:sz w:val="32"/>
          <w:szCs w:val="32"/>
          <w:highlight w:val="none"/>
          <w:shd w:val="clear" w:color="auto" w:fill="FFFFFF"/>
          <w:lang w:val="en-US" w:eastAsia="zh-CN"/>
        </w:rPr>
        <w:t>1.</w:t>
      </w:r>
      <w:r>
        <w:rPr>
          <w:rFonts w:hint="eastAsia" w:ascii="楷体_GB2312" w:eastAsia="楷体_GB2312" w:cs="楷体_GB2312"/>
          <w:color w:val="000000"/>
          <w:kern w:val="0"/>
          <w:sz w:val="32"/>
          <w:szCs w:val="32"/>
          <w:highlight w:val="none"/>
          <w:shd w:val="clear" w:color="auto" w:fill="FFFFFF"/>
          <w:lang w:val="zh-CN"/>
        </w:rPr>
        <w:t>项目决策。</w:t>
      </w:r>
    </w:p>
    <w:p w14:paraId="3BC40FF6">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en-US" w:eastAsia="zh-CN"/>
        </w:rPr>
        <w:t>本单位</w:t>
      </w:r>
      <w:r>
        <w:rPr>
          <w:rFonts w:hint="eastAsia" w:ascii="仿宋" w:eastAsia="仿宋" w:cs="仿宋_GB2312"/>
          <w:color w:val="000000"/>
          <w:sz w:val="32"/>
          <w:szCs w:val="32"/>
          <w:lang w:val="zh-CN" w:eastAsia="zh-CN"/>
        </w:rPr>
        <w:t>预算项目设立</w:t>
      </w:r>
      <w:r>
        <w:rPr>
          <w:rFonts w:hint="eastAsia" w:ascii="仿宋" w:eastAsia="仿宋" w:cs="仿宋_GB2312"/>
          <w:color w:val="000000"/>
          <w:sz w:val="32"/>
          <w:szCs w:val="32"/>
          <w:lang w:val="en-US" w:eastAsia="zh-CN"/>
        </w:rPr>
        <w:t>都</w:t>
      </w:r>
      <w:r>
        <w:rPr>
          <w:rFonts w:hint="eastAsia" w:ascii="仿宋" w:eastAsia="仿宋" w:cs="仿宋_GB2312"/>
          <w:color w:val="000000"/>
          <w:sz w:val="32"/>
          <w:szCs w:val="32"/>
          <w:lang w:val="zh-CN" w:eastAsia="zh-CN"/>
        </w:rPr>
        <w:t>按规定履行评估论证、按程序申报、预算项目绩效目标与计划期内的任务量、预算安排的资金量匹配情况，绩效目标设置科学合理、规范完整、量化细化、预算匹配、预算项目在规定时间</w:t>
      </w:r>
      <w:r>
        <w:rPr>
          <w:rFonts w:hint="eastAsia" w:ascii="仿宋" w:eastAsia="仿宋" w:cs="仿宋_GB2312"/>
          <w:color w:val="000000"/>
          <w:sz w:val="32"/>
          <w:szCs w:val="32"/>
          <w:lang w:val="en-US" w:eastAsia="zh-CN"/>
        </w:rPr>
        <w:t>内</w:t>
      </w:r>
      <w:r>
        <w:rPr>
          <w:rFonts w:hint="eastAsia" w:ascii="仿宋" w:eastAsia="仿宋" w:cs="仿宋_GB2312"/>
          <w:color w:val="000000"/>
          <w:sz w:val="32"/>
          <w:szCs w:val="32"/>
          <w:lang w:val="zh-CN" w:eastAsia="zh-CN"/>
        </w:rPr>
        <w:t>完成项目入库，</w:t>
      </w:r>
      <w:r>
        <w:rPr>
          <w:rFonts w:hint="eastAsia" w:ascii="仿宋" w:eastAsia="仿宋" w:cs="仿宋_GB2312"/>
          <w:color w:val="000000"/>
          <w:sz w:val="32"/>
          <w:szCs w:val="32"/>
          <w:lang w:val="en-US" w:eastAsia="zh-CN"/>
        </w:rPr>
        <w:t>明确绩效目标，控制支行成本，提高项目发挥作用。</w:t>
      </w:r>
    </w:p>
    <w:p w14:paraId="7262AAB0">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楷体_GB2312" w:eastAsia="楷体_GB2312" w:cs="楷体_GB2312"/>
          <w:color w:val="000000"/>
          <w:kern w:val="0"/>
          <w:sz w:val="32"/>
          <w:szCs w:val="32"/>
          <w:highlight w:val="none"/>
          <w:shd w:val="clear" w:color="auto" w:fill="FFFFFF"/>
          <w:lang w:val="zh-CN"/>
        </w:rPr>
      </w:pPr>
      <w:r>
        <w:rPr>
          <w:rFonts w:hint="eastAsia" w:ascii="楷体_GB2312" w:eastAsia="楷体_GB2312" w:cs="楷体_GB2312"/>
          <w:color w:val="000000"/>
          <w:kern w:val="0"/>
          <w:sz w:val="32"/>
          <w:szCs w:val="32"/>
          <w:highlight w:val="none"/>
          <w:shd w:val="clear" w:color="auto" w:fill="FFFFFF"/>
          <w:lang w:val="en-US" w:eastAsia="zh-CN"/>
        </w:rPr>
        <w:t>2.项目执行</w:t>
      </w:r>
      <w:r>
        <w:rPr>
          <w:rFonts w:hint="eastAsia" w:ascii="楷体_GB2312" w:eastAsia="楷体_GB2312" w:cs="楷体_GB2312"/>
          <w:color w:val="000000"/>
          <w:kern w:val="0"/>
          <w:sz w:val="32"/>
          <w:szCs w:val="32"/>
          <w:highlight w:val="none"/>
          <w:shd w:val="clear" w:color="auto" w:fill="FFFFFF"/>
          <w:lang w:val="zh-CN"/>
        </w:rPr>
        <w:t>。</w:t>
      </w:r>
    </w:p>
    <w:p w14:paraId="2E23A7C4">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zh-CN" w:eastAsia="zh-CN"/>
        </w:rPr>
        <w:t>预算项目实际列支内容与绩效目标设置方向相符、预算项目采取对应调整措施，</w:t>
      </w:r>
      <w:r>
        <w:rPr>
          <w:rFonts w:hint="eastAsia" w:ascii="仿宋" w:eastAsia="仿宋" w:cs="仿宋_GB2312"/>
          <w:color w:val="000000"/>
          <w:sz w:val="32"/>
          <w:szCs w:val="32"/>
          <w:lang w:val="en-US" w:eastAsia="zh-CN"/>
        </w:rPr>
        <w:t>按程序调整</w:t>
      </w:r>
      <w:r>
        <w:rPr>
          <w:rFonts w:hint="eastAsia" w:ascii="仿宋" w:eastAsia="仿宋" w:cs="仿宋_GB2312"/>
          <w:color w:val="000000"/>
          <w:sz w:val="32"/>
          <w:szCs w:val="32"/>
          <w:lang w:val="zh-CN" w:eastAsia="zh-CN"/>
        </w:rPr>
        <w:t>、预算项目</w:t>
      </w:r>
      <w:r>
        <w:rPr>
          <w:rFonts w:hint="eastAsia" w:ascii="仿宋" w:eastAsia="仿宋" w:cs="仿宋_GB2312"/>
          <w:color w:val="000000"/>
          <w:sz w:val="32"/>
          <w:szCs w:val="32"/>
          <w:lang w:val="en-US" w:eastAsia="zh-CN"/>
        </w:rPr>
        <w:t>按照文件时间节点有序推进，按时完成并</w:t>
      </w:r>
      <w:r>
        <w:rPr>
          <w:rFonts w:hint="eastAsia" w:ascii="仿宋" w:eastAsia="仿宋" w:cs="仿宋_GB2312"/>
          <w:color w:val="000000"/>
          <w:sz w:val="32"/>
          <w:szCs w:val="32"/>
          <w:lang w:val="zh-CN" w:eastAsia="zh-CN"/>
        </w:rPr>
        <w:t>根据财政局统一要求编制了我办整体绩效目标报告及项目整体绩效目标表，并报县财政局。</w:t>
      </w:r>
    </w:p>
    <w:p w14:paraId="0E9C4619">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楷体_GB2312" w:eastAsia="楷体_GB2312" w:cs="楷体_GB2312"/>
          <w:color w:val="000000"/>
          <w:kern w:val="0"/>
          <w:sz w:val="32"/>
          <w:szCs w:val="32"/>
          <w:highlight w:val="none"/>
          <w:shd w:val="clear" w:color="auto" w:fill="FFFFFF"/>
          <w:lang w:val="zh-CN"/>
        </w:rPr>
      </w:pPr>
      <w:r>
        <w:rPr>
          <w:rFonts w:hint="eastAsia" w:ascii="楷体_GB2312" w:eastAsia="楷体_GB2312" w:cs="楷体_GB2312"/>
          <w:color w:val="000000"/>
          <w:kern w:val="0"/>
          <w:sz w:val="32"/>
          <w:szCs w:val="32"/>
          <w:highlight w:val="none"/>
          <w:shd w:val="clear" w:color="auto" w:fill="FFFFFF"/>
          <w:lang w:val="en-US" w:eastAsia="zh-CN"/>
        </w:rPr>
        <w:t>3.</w:t>
      </w:r>
      <w:r>
        <w:rPr>
          <w:rFonts w:hint="eastAsia" w:ascii="楷体_GB2312" w:eastAsia="楷体_GB2312" w:cs="楷体_GB2312"/>
          <w:color w:val="000000"/>
          <w:kern w:val="0"/>
          <w:sz w:val="32"/>
          <w:szCs w:val="32"/>
          <w:highlight w:val="none"/>
          <w:shd w:val="clear" w:color="auto" w:fill="FFFFFF"/>
          <w:lang w:val="zh-CN"/>
        </w:rPr>
        <w:t>目标实现。</w:t>
      </w:r>
    </w:p>
    <w:p w14:paraId="2358EF6B">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zh-CN" w:eastAsia="zh-CN"/>
        </w:rPr>
        <w:t>根据预算绩效管理要求，我单位在年初预算编制阶段，组织对项目开展了预算事前绩效评估，本部门按要求对2024年部门整体支出开展绩效自评，我单位深入贯彻落实</w:t>
      </w:r>
      <w:r>
        <w:rPr>
          <w:rFonts w:hint="eastAsia" w:ascii="仿宋" w:eastAsia="仿宋" w:cs="仿宋_GB2312"/>
          <w:color w:val="000000"/>
          <w:sz w:val="32"/>
          <w:szCs w:val="32"/>
          <w:lang w:val="en-US" w:eastAsia="zh-CN"/>
        </w:rPr>
        <w:t>二十</w:t>
      </w:r>
      <w:r>
        <w:rPr>
          <w:rFonts w:hint="eastAsia" w:ascii="仿宋" w:eastAsia="仿宋" w:cs="仿宋_GB2312"/>
          <w:color w:val="000000"/>
          <w:sz w:val="32"/>
          <w:szCs w:val="32"/>
          <w:lang w:val="zh-CN" w:eastAsia="zh-CN"/>
        </w:rPr>
        <w:t>大关于“全面实施绩效管理”的要求，努力提升本单位绩效预算管理业务水平。主动公开绩效结果，加大资金使用效率，提升政府管理水平。及时告知各部门（科室）部门预算及项目支出进度。</w:t>
      </w:r>
    </w:p>
    <w:p w14:paraId="249703A8">
      <w:pPr>
        <w:keepNext w:val="0"/>
        <w:keepLines w:val="0"/>
        <w:pageBreakBefore w:val="0"/>
        <w:widowControl/>
        <w:numPr>
          <w:ilvl w:val="0"/>
          <w:numId w:val="7"/>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eastAsia="zh-CN"/>
        </w:rPr>
      </w:pPr>
      <w:r>
        <w:rPr>
          <w:rFonts w:ascii="Times New Roman" w:hAnsi="Times New Roman" w:eastAsia="楷体_GB2312" w:cs="Times New Roman"/>
          <w:b/>
          <w:bCs/>
          <w:color w:val="000000"/>
          <w:kern w:val="0"/>
          <w:sz w:val="32"/>
          <w:szCs w:val="32"/>
          <w:highlight w:val="none"/>
          <w:shd w:val="clear" w:color="auto" w:fill="FFFFFF"/>
          <w:lang w:val="zh-CN" w:eastAsia="zh-CN"/>
        </w:rPr>
        <w:t>重点领域</w:t>
      </w:r>
      <w:r>
        <w:rPr>
          <w:rFonts w:ascii="Times New Roman" w:hAnsi="Times New Roman" w:eastAsia="楷体_GB2312" w:cs="Times New Roman"/>
          <w:b/>
          <w:bCs/>
          <w:color w:val="000000"/>
          <w:kern w:val="0"/>
          <w:sz w:val="32"/>
          <w:szCs w:val="32"/>
          <w:highlight w:val="none"/>
          <w:shd w:val="clear" w:color="auto" w:fill="FFFFFF"/>
          <w:lang w:val="zh-CN"/>
        </w:rPr>
        <w:t>绩效分析</w:t>
      </w:r>
      <w:r>
        <w:rPr>
          <w:rFonts w:ascii="Times New Roman" w:hAnsi="Times New Roman" w:eastAsia="楷体_GB2312" w:cs="Times New Roman"/>
          <w:b/>
          <w:bCs/>
          <w:color w:val="000000"/>
          <w:kern w:val="0"/>
          <w:sz w:val="32"/>
          <w:szCs w:val="32"/>
          <w:highlight w:val="none"/>
          <w:shd w:val="clear" w:color="auto" w:fill="FFFFFF"/>
          <w:lang w:val="zh-CN" w:eastAsia="zh-CN"/>
        </w:rPr>
        <w:t>。</w:t>
      </w:r>
    </w:p>
    <w:p w14:paraId="5CED4707">
      <w:pPr>
        <w:spacing w:line="540" w:lineRule="exact"/>
        <w:ind w:firstLine="640" w:firstLineChars="200"/>
        <w:rPr>
          <w:rFonts w:ascii="Times New Roman" w:hAnsi="Times New Roman" w:cs="Times New Roman"/>
          <w:color w:val="000000"/>
          <w:kern w:val="0"/>
          <w:szCs w:val="32"/>
          <w:highlight w:val="none"/>
          <w:shd w:val="clear" w:color="auto" w:fill="FFFFFF"/>
          <w:lang w:val="en-US" w:eastAsia="zh-CN"/>
        </w:rPr>
      </w:pPr>
      <w:r>
        <w:rPr>
          <w:rFonts w:hint="eastAsia" w:ascii="仿宋" w:eastAsia="仿宋" w:cs="仿宋_GB2312"/>
          <w:color w:val="000000"/>
          <w:sz w:val="32"/>
          <w:szCs w:val="32"/>
          <w:lang w:val="zh-CN"/>
        </w:rPr>
        <w:t>我</w:t>
      </w:r>
      <w:r>
        <w:rPr>
          <w:rFonts w:hint="eastAsia" w:ascii="仿宋" w:eastAsia="仿宋" w:cs="仿宋_GB2312"/>
          <w:color w:val="000000"/>
          <w:sz w:val="32"/>
          <w:szCs w:val="32"/>
          <w:lang w:val="zh-CN" w:eastAsia="zh-CN"/>
        </w:rPr>
        <w:t>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0E4056F7">
      <w:pPr>
        <w:keepNext w:val="0"/>
        <w:keepLines w:val="0"/>
        <w:pageBreakBefore w:val="0"/>
        <w:widowControl w:val="0"/>
        <w:numPr>
          <w:ilvl w:val="0"/>
          <w:numId w:val="7"/>
        </w:numPr>
        <w:kinsoku/>
        <w:wordWrap/>
        <w:overflowPunct/>
        <w:topLinePunct w:val="0"/>
        <w:autoSpaceDE/>
        <w:autoSpaceDN/>
        <w:bidi w:val="0"/>
        <w:snapToGrid w:val="0"/>
        <w:spacing w:line="600" w:lineRule="exact"/>
        <w:ind w:left="0" w:firstLine="643" w:firstLineChars="200"/>
        <w:textAlignment w:val="auto"/>
        <w:rPr>
          <w:rFonts w:hint="eastAsia" w:ascii="Times New Roman" w:hAnsi="Times New Roman" w:eastAsia="楷体_GB2312" w:cs="Times New Roman"/>
          <w:b/>
          <w:bCs/>
          <w:sz w:val="32"/>
          <w:szCs w:val="32"/>
          <w:lang w:val="zh-CN"/>
        </w:rPr>
      </w:pPr>
      <w:r>
        <w:rPr>
          <w:rFonts w:ascii="Times New Roman" w:hAnsi="Times New Roman" w:eastAsia="楷体_GB2312" w:cs="Times New Roman"/>
          <w:b/>
          <w:bCs/>
          <w:sz w:val="32"/>
          <w:szCs w:val="32"/>
          <w:lang w:val="zh-CN"/>
        </w:rPr>
        <w:t>绩效结果应用情况</w:t>
      </w:r>
      <w:r>
        <w:rPr>
          <w:rFonts w:hint="eastAsia" w:ascii="Times New Roman" w:hAnsi="Times New Roman" w:eastAsia="楷体_GB2312" w:cs="Times New Roman"/>
          <w:b/>
          <w:bCs/>
          <w:sz w:val="32"/>
          <w:szCs w:val="32"/>
          <w:lang w:val="zh-CN"/>
        </w:rPr>
        <w:t>。</w:t>
      </w:r>
    </w:p>
    <w:p w14:paraId="3D912845">
      <w:pPr>
        <w:spacing w:line="580" w:lineRule="exact"/>
        <w:ind w:firstLine="640" w:firstLineChars="200"/>
        <w:rPr>
          <w:rFonts w:ascii="Times New Roman" w:hAnsi="Times New Roman" w:cs="Times New Roman"/>
          <w:color w:val="000000"/>
          <w:kern w:val="0"/>
          <w:szCs w:val="32"/>
          <w:highlight w:val="none"/>
          <w:shd w:val="clear" w:color="auto" w:fill="FFFFFF"/>
          <w:lang w:val="en-US"/>
        </w:rPr>
      </w:pPr>
      <w:r>
        <w:rPr>
          <w:rFonts w:hint="eastAsia" w:ascii="仿宋_GB2312" w:eastAsia="仿宋_GB2312" w:cs="仿宋_GB2312"/>
          <w:sz w:val="32"/>
          <w:szCs w:val="32"/>
        </w:rPr>
        <w:t>根据预算绩效管理要求，我单位在年初预算编制阶段，组织对项目开展了预算事前绩效评估，本部门按要求对</w:t>
      </w:r>
      <w:r>
        <w:rPr>
          <w:rFonts w:hint="eastAsia" w:ascii="仿宋_GB2312" w:hAnsi="仿宋_GB2312" w:cs="仿宋_GB2312"/>
          <w:sz w:val="32"/>
          <w:szCs w:val="32"/>
          <w:lang w:eastAsia="zh-CN"/>
        </w:rPr>
        <w:t>2024</w:t>
      </w:r>
      <w:r>
        <w:rPr>
          <w:rFonts w:hint="eastAsia" w:ascii="仿宋_GB2312" w:eastAsia="仿宋_GB2312" w:cs="仿宋_GB2312"/>
          <w:sz w:val="32"/>
          <w:szCs w:val="32"/>
        </w:rPr>
        <w:t>年部门整体支出开展绩效自评，</w:t>
      </w:r>
      <w:r>
        <w:rPr>
          <w:rFonts w:hint="eastAsia" w:ascii="仿宋_GB2312" w:eastAsia="仿宋_GB2312"/>
          <w:sz w:val="32"/>
          <w:szCs w:val="32"/>
        </w:rPr>
        <w:t>我单位深入贯彻落实</w:t>
      </w:r>
      <w:r>
        <w:rPr>
          <w:rFonts w:hint="eastAsia" w:ascii="仿宋_GB2312" w:eastAsia="仿宋_GB2312"/>
          <w:sz w:val="32"/>
          <w:szCs w:val="32"/>
          <w:lang w:val="en-US" w:eastAsia="zh-CN"/>
        </w:rPr>
        <w:t>二十</w:t>
      </w:r>
      <w:r>
        <w:rPr>
          <w:rFonts w:hint="eastAsia" w:ascii="仿宋_GB2312" w:eastAsia="仿宋_GB2312"/>
          <w:sz w:val="32"/>
          <w:szCs w:val="32"/>
        </w:rPr>
        <w:t>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14:paraId="54D055AD">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lang w:eastAsia="zh-CN"/>
        </w:rPr>
      </w:pPr>
    </w:p>
    <w:p w14:paraId="3C04C46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rPr>
      </w:pPr>
      <w:r>
        <w:rPr>
          <w:rFonts w:ascii="Times New Roman" w:hAnsi="Times New Roman" w:eastAsia="黑体" w:cs="Times New Roman"/>
          <w:color w:val="000000"/>
          <w:kern w:val="0"/>
          <w:sz w:val="32"/>
          <w:szCs w:val="32"/>
          <w:highlight w:val="none"/>
          <w:shd w:val="clear" w:color="auto" w:fill="FFFFFF"/>
          <w:lang w:eastAsia="zh-CN"/>
        </w:rPr>
        <w:t>四、</w:t>
      </w:r>
      <w:r>
        <w:rPr>
          <w:rFonts w:ascii="Times New Roman" w:hAnsi="Times New Roman" w:eastAsia="黑体" w:cs="Times New Roman"/>
          <w:color w:val="000000"/>
          <w:kern w:val="0"/>
          <w:sz w:val="32"/>
          <w:szCs w:val="32"/>
          <w:highlight w:val="none"/>
          <w:shd w:val="clear" w:color="auto" w:fill="FFFFFF"/>
        </w:rPr>
        <w:t>评价结论及建议</w:t>
      </w:r>
    </w:p>
    <w:p w14:paraId="05FC16F5">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（一）评价结论。</w:t>
      </w:r>
    </w:p>
    <w:p w14:paraId="703E83AB">
      <w:pPr>
        <w:spacing w:line="58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eastAsia="zh-CN"/>
        </w:rPr>
        <w:t>我乡对2024年度整体支出情况开展自评，得分</w:t>
      </w:r>
      <w:r>
        <w:rPr>
          <w:rFonts w:hint="eastAsia" w:ascii="仿宋_GB2312" w:eastAsia="仿宋_GB2312"/>
          <w:sz w:val="32"/>
          <w:szCs w:val="32"/>
          <w:lang w:val="en-US" w:eastAsia="zh-CN"/>
        </w:rPr>
        <w:t>95</w:t>
      </w:r>
      <w:r>
        <w:rPr>
          <w:rFonts w:hint="eastAsia" w:ascii="仿宋_GB2312" w:eastAsia="仿宋_GB2312"/>
          <w:sz w:val="32"/>
          <w:szCs w:val="32"/>
          <w:lang w:val="zh-CN" w:eastAsia="zh-CN"/>
        </w:rPr>
        <w:t>分。从总体性分析评价，全年整体支出较优，实现了年初绩效目标。从结构性分析评价，一般公共预算基本支出完成预算的</w:t>
      </w:r>
      <w:r>
        <w:rPr>
          <w:rFonts w:hint="eastAsia" w:ascii="仿宋_GB2312" w:eastAsia="仿宋_GB2312"/>
          <w:sz w:val="32"/>
          <w:szCs w:val="32"/>
          <w:lang w:val="en-US" w:eastAsia="zh-CN"/>
        </w:rPr>
        <w:t>100</w:t>
      </w:r>
      <w:r>
        <w:rPr>
          <w:rFonts w:hint="eastAsia" w:ascii="仿宋_GB2312" w:eastAsia="仿宋_GB2312"/>
          <w:sz w:val="32"/>
          <w:szCs w:val="32"/>
          <w:lang w:val="zh-CN" w:eastAsia="zh-CN"/>
        </w:rPr>
        <w:t>%，绩效目标实际实现程度与预期目标的偏离度为持平，整体绩效管理合理合规；一般公共预算项目支出完成预算的</w:t>
      </w:r>
      <w:r>
        <w:rPr>
          <w:rFonts w:hint="eastAsia" w:ascii="仿宋_GB2312" w:eastAsia="仿宋_GB2312"/>
          <w:sz w:val="32"/>
          <w:szCs w:val="32"/>
          <w:lang w:val="en-US" w:eastAsia="zh-CN"/>
        </w:rPr>
        <w:t>100</w:t>
      </w:r>
      <w:r>
        <w:rPr>
          <w:rFonts w:hint="eastAsia" w:ascii="仿宋_GB2312" w:eastAsia="仿宋_GB2312"/>
          <w:sz w:val="32"/>
          <w:szCs w:val="32"/>
          <w:lang w:val="zh-CN" w:eastAsia="zh-CN"/>
        </w:rPr>
        <w:t>%，绩效目标实际实现程度与预期目标的偏离度为持平，整体绩效管理合理合规。2024年度整体支出绩效评价优好，无违纪违规问题，预算编制、预算执行、完成结果等均达到既定目标管理。</w:t>
      </w:r>
    </w:p>
    <w:p w14:paraId="0D981E7A">
      <w:pPr>
        <w:keepNext w:val="0"/>
        <w:keepLines w:val="0"/>
        <w:pageBreakBefore w:val="0"/>
        <w:widowControl/>
        <w:numPr>
          <w:ilvl w:val="0"/>
          <w:numId w:val="8"/>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存在问题。</w:t>
      </w:r>
    </w:p>
    <w:p w14:paraId="372CB8C9">
      <w:pPr>
        <w:spacing w:line="580" w:lineRule="exact"/>
        <w:ind w:firstLine="640" w:firstLineChars="200"/>
        <w:rPr>
          <w:rFonts w:hint="eastAsia" w:ascii="仿宋_GB2312" w:eastAsia="仿宋_GB2312"/>
          <w:sz w:val="32"/>
          <w:szCs w:val="32"/>
          <w:lang w:val="zh-CN" w:eastAsia="zh-CN"/>
        </w:rPr>
      </w:pPr>
      <w:r>
        <w:rPr>
          <w:rFonts w:hint="eastAsia" w:ascii="仿宋_GB2312" w:eastAsia="仿宋_GB2312"/>
          <w:sz w:val="32"/>
          <w:szCs w:val="32"/>
          <w:lang w:val="zh-CN" w:eastAsia="zh-CN"/>
        </w:rPr>
        <w:t>个别人员经费和公用经费测算标准及套用公式不够科学精准，部分经济科目在预算执行中存在较早亮红灯，预算经费支出进度较快。</w:t>
      </w:r>
    </w:p>
    <w:p w14:paraId="2D7BCDCA">
      <w:pPr>
        <w:pageBreakBefore w:val="0"/>
        <w:widowControl/>
        <w:numPr>
          <w:ilvl w:val="0"/>
          <w:numId w:val="8"/>
        </w:numPr>
        <w:kinsoku/>
        <w:wordWrap/>
        <w:overflowPunct/>
        <w:topLinePunct w:val="0"/>
        <w:bidi w:val="0"/>
        <w:adjustRightInd w:val="0"/>
        <w:snapToGrid w:val="0"/>
        <w:spacing w:line="576" w:lineRule="exact"/>
        <w:ind w:left="0" w:firstLine="643" w:firstLineChars="200"/>
        <w:contextualSpacing/>
        <w:jc w:val="left"/>
        <w:rPr>
          <w:rFonts w:ascii="Times New Roman" w:hAnsi="Times New Roman" w:eastAsia="楷体_GB2312" w:cs="Times New Roman"/>
          <w:b/>
          <w:bCs/>
          <w:color w:val="000000"/>
          <w:kern w:val="0"/>
          <w:sz w:val="32"/>
          <w:szCs w:val="32"/>
          <w:highlight w:val="none"/>
          <w:shd w:val="clear" w:color="auto" w:fill="FFFFFF"/>
          <w:lang w:val="zh-CN" w:eastAsia="zh-CN"/>
        </w:rPr>
      </w:pPr>
      <w:r>
        <w:rPr>
          <w:rFonts w:ascii="Times New Roman" w:hAnsi="Times New Roman" w:eastAsia="楷体_GB2312" w:cs="Times New Roman"/>
          <w:b/>
          <w:bCs/>
          <w:color w:val="000000"/>
          <w:kern w:val="0"/>
          <w:sz w:val="32"/>
          <w:szCs w:val="32"/>
          <w:highlight w:val="none"/>
          <w:shd w:val="clear" w:color="auto" w:fill="FFFFFF"/>
          <w:lang w:val="zh-CN" w:eastAsia="zh-CN"/>
        </w:rPr>
        <w:t>改进建议。</w:t>
      </w:r>
      <w:bookmarkStart w:id="59" w:name="_Hlk110546638"/>
    </w:p>
    <w:p w14:paraId="59B92281">
      <w:pPr>
        <w:spacing w:line="580" w:lineRule="exact"/>
        <w:ind w:firstLine="640" w:firstLineChars="200"/>
        <w:rPr>
          <w:rFonts w:hint="eastAsia"/>
          <w:lang w:val="en-US" w:eastAsia="zh-CN"/>
        </w:rPr>
      </w:pPr>
      <w:r>
        <w:rPr>
          <w:rFonts w:hint="eastAsia" w:ascii="仿宋_GB2312" w:eastAsia="仿宋_GB2312"/>
          <w:sz w:val="32"/>
          <w:szCs w:val="32"/>
          <w:lang w:val="zh-CN" w:eastAsia="zh-CN"/>
        </w:rPr>
        <w:t>我乡将积极对接财政部门作出技术调整，优化预算测算标准，科学审批年度预算汇编，使资金真正能够因地制宜，发挥实效。进一步做好预算编制前提调研准备工作，根据实际需要积极评估测算，尽量减少减轻资金闲置或低使用率现象，启用预算执行绩效监控机制，及时提示项目管理部门按照绩效目标开展实施。</w:t>
      </w:r>
    </w:p>
    <w:p w14:paraId="5A70F72D">
      <w:pPr>
        <w:pageBreakBefore w:val="0"/>
        <w:widowControl/>
        <w:kinsoku/>
        <w:wordWrap/>
        <w:overflowPunct/>
        <w:topLinePunct w:val="0"/>
        <w:bidi w:val="0"/>
        <w:adjustRightInd w:val="0"/>
        <w:snapToGrid w:val="0"/>
        <w:spacing w:line="576" w:lineRule="exact"/>
        <w:ind w:firstLine="4800" w:firstLineChars="1500"/>
        <w:contextualSpacing/>
        <w:jc w:val="left"/>
        <w:rPr>
          <w:rFonts w:hint="eastAsia" w:ascii="Times New Roman" w:hAnsi="Times New Roman" w:eastAsia="仿宋_GB2312" w:cs="Times New Roman"/>
          <w:bCs/>
          <w:kern w:val="0"/>
          <w:sz w:val="32"/>
          <w:szCs w:val="32"/>
          <w:shd w:val="clear" w:color="auto" w:fill="FFFFFF"/>
          <w:lang w:val="en-US" w:eastAsia="zh-CN"/>
        </w:rPr>
      </w:pPr>
    </w:p>
    <w:p w14:paraId="28ECA934">
      <w:pPr>
        <w:pageBreakBefore w:val="0"/>
        <w:widowControl/>
        <w:kinsoku/>
        <w:wordWrap/>
        <w:overflowPunct/>
        <w:topLinePunct w:val="0"/>
        <w:bidi w:val="0"/>
        <w:adjustRightInd w:val="0"/>
        <w:snapToGrid w:val="0"/>
        <w:spacing w:line="576" w:lineRule="exact"/>
        <w:ind w:firstLine="4800" w:firstLineChars="1500"/>
        <w:contextualSpacing/>
        <w:jc w:val="left"/>
        <w:rPr>
          <w:rFonts w:hint="eastAsia" w:ascii="Times New Roman" w:hAnsi="Times New Roman" w:eastAsia="仿宋_GB2312" w:cs="Times New Roman"/>
          <w:bCs/>
          <w:kern w:val="0"/>
          <w:sz w:val="32"/>
          <w:szCs w:val="32"/>
          <w:shd w:val="clear" w:color="auto" w:fill="FFFFFF"/>
          <w:lang w:val="en-US" w:eastAsia="zh-CN"/>
        </w:rPr>
      </w:pPr>
      <w:r>
        <w:rPr>
          <w:rFonts w:hint="eastAsia" w:ascii="Times New Roman" w:hAnsi="Times New Roman" w:eastAsia="仿宋_GB2312" w:cs="Times New Roman"/>
          <w:bCs/>
          <w:kern w:val="0"/>
          <w:sz w:val="32"/>
          <w:szCs w:val="32"/>
          <w:shd w:val="clear" w:color="auto" w:fill="FFFFFF"/>
          <w:lang w:val="en-US" w:eastAsia="zh-CN"/>
        </w:rPr>
        <w:t>金川县</w:t>
      </w:r>
      <w:r>
        <w:rPr>
          <w:rFonts w:hint="eastAsia" w:cs="Times New Roman"/>
          <w:bCs/>
          <w:kern w:val="0"/>
          <w:sz w:val="32"/>
          <w:szCs w:val="32"/>
          <w:shd w:val="clear" w:color="auto" w:fill="FFFFFF"/>
          <w:lang w:val="en-US" w:eastAsia="zh-CN"/>
        </w:rPr>
        <w:t>河西乡</w:t>
      </w:r>
      <w:r>
        <w:rPr>
          <w:rFonts w:hint="eastAsia" w:ascii="Times New Roman" w:hAnsi="Times New Roman" w:eastAsia="仿宋_GB2312" w:cs="Times New Roman"/>
          <w:bCs/>
          <w:kern w:val="0"/>
          <w:sz w:val="32"/>
          <w:szCs w:val="32"/>
          <w:shd w:val="clear" w:color="auto" w:fill="FFFFFF"/>
          <w:lang w:val="en-US" w:eastAsia="zh-CN"/>
        </w:rPr>
        <w:t>人民政府</w:t>
      </w:r>
    </w:p>
    <w:p w14:paraId="513457C7">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en-US" w:eastAsia="zh-CN"/>
        </w:rPr>
      </w:pPr>
      <w:r>
        <w:rPr>
          <w:rFonts w:hint="eastAsia" w:ascii="Times New Roman" w:hAnsi="Times New Roman" w:eastAsia="仿宋_GB2312" w:cs="Times New Roman"/>
          <w:bCs/>
          <w:kern w:val="0"/>
          <w:sz w:val="32"/>
          <w:szCs w:val="32"/>
          <w:shd w:val="clear" w:color="auto" w:fill="FFFFFF"/>
          <w:lang w:val="en-US" w:eastAsia="zh-CN"/>
        </w:rPr>
        <w:t xml:space="preserve">                             2025年</w:t>
      </w:r>
      <w:r>
        <w:rPr>
          <w:rFonts w:hint="eastAsia" w:eastAsia="仿宋_GB2312" w:cs="Times New Roman"/>
          <w:bCs/>
          <w:kern w:val="0"/>
          <w:sz w:val="32"/>
          <w:szCs w:val="32"/>
          <w:shd w:val="clear" w:color="auto" w:fill="FFFFFF"/>
          <w:lang w:val="en-US" w:eastAsia="zh-CN"/>
        </w:rPr>
        <w:t>8</w:t>
      </w:r>
      <w:r>
        <w:rPr>
          <w:rFonts w:hint="eastAsia" w:ascii="Times New Roman" w:hAnsi="Times New Roman" w:eastAsia="仿宋_GB2312" w:cs="Times New Roman"/>
          <w:bCs/>
          <w:kern w:val="0"/>
          <w:sz w:val="32"/>
          <w:szCs w:val="32"/>
          <w:shd w:val="clear" w:color="auto" w:fill="FFFFFF"/>
          <w:lang w:val="en-US" w:eastAsia="zh-CN"/>
        </w:rPr>
        <w:t>月</w:t>
      </w:r>
      <w:r>
        <w:rPr>
          <w:rFonts w:hint="eastAsia" w:cs="Times New Roman"/>
          <w:bCs/>
          <w:kern w:val="0"/>
          <w:sz w:val="32"/>
          <w:szCs w:val="32"/>
          <w:shd w:val="clear" w:color="auto" w:fill="FFFFFF"/>
          <w:lang w:val="en-US" w:eastAsia="zh-CN"/>
        </w:rPr>
        <w:t>25</w:t>
      </w:r>
      <w:r>
        <w:rPr>
          <w:rFonts w:hint="eastAsia" w:ascii="Times New Roman" w:hAnsi="Times New Roman" w:eastAsia="仿宋_GB2312" w:cs="Times New Roman"/>
          <w:bCs/>
          <w:kern w:val="0"/>
          <w:sz w:val="32"/>
          <w:szCs w:val="32"/>
          <w:shd w:val="clear" w:color="auto" w:fill="FFFFFF"/>
          <w:lang w:val="en-US" w:eastAsia="zh-CN"/>
        </w:rPr>
        <w:t>日</w:t>
      </w:r>
    </w:p>
    <w:bookmarkEnd w:id="59"/>
    <w:p w14:paraId="1C8BC963">
      <w:pPr>
        <w:rPr>
          <w:lang w:val="en-US" w:eastAsia="zh-CN"/>
        </w:rPr>
      </w:pPr>
    </w:p>
    <w:p w14:paraId="1CD3415F">
      <w:pPr>
        <w:pStyle w:val="13"/>
        <w:rPr>
          <w:lang w:val="en-US" w:eastAsia="zh-CN"/>
        </w:rPr>
      </w:pPr>
    </w:p>
    <w:p w14:paraId="0B04D86B">
      <w:pPr>
        <w:keepNext w:val="0"/>
        <w:keepLines w:val="0"/>
        <w:pageBreakBefore w:val="0"/>
        <w:widowControl w:val="0"/>
        <w:numPr>
          <w:ilvl w:val="0"/>
          <w:numId w:val="9"/>
        </w:numPr>
        <w:kinsoku/>
        <w:wordWrap/>
        <w:overflowPunct/>
        <w:topLinePunct w:val="0"/>
        <w:autoSpaceDE/>
        <w:autoSpaceDN/>
        <w:bidi w:val="0"/>
        <w:spacing w:line="572" w:lineRule="exact"/>
        <w:jc w:val="center"/>
        <w:textAlignment w:val="auto"/>
        <w:outlineLvl w:val="0"/>
        <w:rPr>
          <w:rFonts w:hint="eastAsia" w:ascii="Times New Roman" w:hAnsi="Times New Roman" w:eastAsia="黑体"/>
          <w:color w:val="auto"/>
          <w:sz w:val="44"/>
          <w:szCs w:val="44"/>
          <w:highlight w:val="none"/>
        </w:rPr>
      </w:pPr>
      <w:r>
        <w:rPr>
          <w:rFonts w:hint="eastAsia" w:eastAsia="黑体"/>
          <w:color w:val="auto"/>
          <w:sz w:val="44"/>
          <w:szCs w:val="44"/>
          <w:highlight w:val="none"/>
          <w:lang w:eastAsia="zh-CN"/>
        </w:rPr>
        <w:t>附件</w:t>
      </w:r>
    </w:p>
    <w:p w14:paraId="34EA4EBA">
      <w:pPr>
        <w:keepNext w:val="0"/>
        <w:keepLines w:val="0"/>
        <w:pageBreakBefore w:val="0"/>
        <w:widowControl w:val="0"/>
        <w:kinsoku/>
        <w:wordWrap/>
        <w:overflowPunct/>
        <w:topLinePunct w:val="0"/>
        <w:autoSpaceDE/>
        <w:autoSpaceDN/>
        <w:bidi w:val="0"/>
        <w:spacing w:line="572" w:lineRule="exact"/>
        <w:jc w:val="left"/>
        <w:textAlignment w:val="auto"/>
        <w:outlineLvl w:val="0"/>
        <w:rPr>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556D49F0">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rPr>
      </w:pPr>
      <w:r>
        <w:rPr>
          <w:rFonts w:hint="eastAsia" w:ascii="Times New Roman" w:hAnsi="Times New Roman" w:eastAsia="方正小标宋简体" w:cs="Times New Roman"/>
          <w:i w:val="0"/>
          <w:color w:val="000000"/>
          <w:kern w:val="0"/>
          <w:sz w:val="44"/>
          <w:szCs w:val="44"/>
          <w:u w:val="none"/>
          <w:lang w:val="en-US" w:eastAsia="zh-CN"/>
        </w:rPr>
        <w:t>部门预算绩效自评打分表</w:t>
      </w:r>
    </w:p>
    <w:tbl>
      <w:tblPr>
        <w:tblStyle w:val="17"/>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1"/>
        <w:gridCol w:w="1151"/>
        <w:gridCol w:w="1312"/>
        <w:gridCol w:w="567"/>
        <w:gridCol w:w="3729"/>
        <w:gridCol w:w="595"/>
        <w:gridCol w:w="377"/>
      </w:tblGrid>
      <w:tr w14:paraId="1DDCD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821" w:type="dxa"/>
            <w:gridSpan w:val="4"/>
            <w:tcBorders>
              <w:top w:val="single" w:color="000000" w:sz="4" w:space="0"/>
              <w:left w:val="single" w:color="000000" w:sz="4" w:space="0"/>
              <w:bottom w:val="single" w:color="000000" w:sz="4" w:space="0"/>
              <w:right w:val="single" w:color="000000" w:sz="4" w:space="0"/>
            </w:tcBorders>
            <w:noWrap/>
            <w:vAlign w:val="center"/>
          </w:tcPr>
          <w:p w14:paraId="580AA6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绩效评价指标指标分值</w:t>
            </w:r>
          </w:p>
        </w:tc>
        <w:tc>
          <w:tcPr>
            <w:tcW w:w="3729" w:type="dxa"/>
            <w:vMerge w:val="restart"/>
            <w:tcBorders>
              <w:top w:val="single" w:color="000000" w:sz="4" w:space="0"/>
              <w:left w:val="single" w:color="000000" w:sz="4" w:space="0"/>
              <w:bottom w:val="single" w:color="000000" w:sz="4" w:space="0"/>
              <w:right w:val="single" w:color="000000" w:sz="4" w:space="0"/>
            </w:tcBorders>
            <w:noWrap/>
            <w:vAlign w:val="center"/>
          </w:tcPr>
          <w:p w14:paraId="284330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指标解释</w:t>
            </w:r>
          </w:p>
        </w:tc>
        <w:tc>
          <w:tcPr>
            <w:tcW w:w="595" w:type="dxa"/>
            <w:vMerge w:val="restart"/>
            <w:tcBorders>
              <w:top w:val="single" w:color="000000" w:sz="4" w:space="0"/>
              <w:left w:val="single" w:color="000000" w:sz="4" w:space="0"/>
              <w:bottom w:val="nil"/>
              <w:right w:val="single" w:color="000000" w:sz="4" w:space="0"/>
            </w:tcBorders>
            <w:noWrap/>
            <w:vAlign w:val="center"/>
          </w:tcPr>
          <w:p w14:paraId="3B512D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kern w:val="0"/>
                <w:sz w:val="24"/>
                <w:szCs w:val="24"/>
                <w:u w:val="none"/>
                <w:lang w:val="en-US" w:eastAsia="zh-CN"/>
              </w:rPr>
            </w:pPr>
            <w:r>
              <w:rPr>
                <w:rFonts w:hint="eastAsia" w:ascii="黑体" w:eastAsia="黑体" w:cs="黑体"/>
                <w:i w:val="0"/>
                <w:color w:val="000000"/>
                <w:kern w:val="0"/>
                <w:sz w:val="24"/>
                <w:szCs w:val="24"/>
                <w:u w:val="none"/>
                <w:lang w:val="en-US" w:eastAsia="zh-CN"/>
              </w:rPr>
              <w:t>自评得分</w:t>
            </w:r>
          </w:p>
        </w:tc>
        <w:tc>
          <w:tcPr>
            <w:tcW w:w="377" w:type="dxa"/>
            <w:vMerge w:val="restart"/>
            <w:tcBorders>
              <w:top w:val="single" w:color="000000" w:sz="4" w:space="0"/>
              <w:left w:val="single" w:color="000000" w:sz="4" w:space="0"/>
              <w:bottom w:val="nil"/>
              <w:right w:val="single" w:color="000000" w:sz="4" w:space="0"/>
            </w:tcBorders>
            <w:noWrap/>
            <w:vAlign w:val="center"/>
          </w:tcPr>
          <w:p w14:paraId="5DDAE6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kern w:val="0"/>
                <w:sz w:val="24"/>
                <w:szCs w:val="24"/>
                <w:u w:val="none"/>
                <w:lang w:val="en-US" w:eastAsia="zh-CN"/>
              </w:rPr>
            </w:pPr>
            <w:r>
              <w:rPr>
                <w:rFonts w:hint="eastAsia" w:ascii="黑体" w:eastAsia="黑体" w:cs="黑体"/>
                <w:i w:val="0"/>
                <w:color w:val="000000"/>
                <w:kern w:val="0"/>
                <w:sz w:val="24"/>
                <w:szCs w:val="24"/>
                <w:u w:val="none"/>
                <w:lang w:val="en-US" w:eastAsia="zh-CN"/>
              </w:rPr>
              <w:t>备注</w:t>
            </w:r>
          </w:p>
        </w:tc>
      </w:tr>
      <w:tr w14:paraId="3D84A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tcBorders>
              <w:top w:val="single" w:color="000000" w:sz="4" w:space="0"/>
              <w:left w:val="single" w:color="000000" w:sz="4" w:space="0"/>
              <w:bottom w:val="single" w:color="000000" w:sz="4" w:space="0"/>
              <w:right w:val="nil"/>
            </w:tcBorders>
            <w:noWrap/>
            <w:vAlign w:val="center"/>
          </w:tcPr>
          <w:p w14:paraId="124DBF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一级指标</w:t>
            </w:r>
          </w:p>
        </w:tc>
        <w:tc>
          <w:tcPr>
            <w:tcW w:w="1151" w:type="dxa"/>
            <w:tcBorders>
              <w:top w:val="single" w:color="000000" w:sz="4" w:space="0"/>
              <w:left w:val="single" w:color="000000" w:sz="4" w:space="0"/>
              <w:bottom w:val="single" w:color="000000" w:sz="4" w:space="0"/>
              <w:right w:val="single" w:color="000000" w:sz="4" w:space="0"/>
            </w:tcBorders>
            <w:noWrap/>
            <w:vAlign w:val="center"/>
          </w:tcPr>
          <w:p w14:paraId="6A1520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二级指标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3CF283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三级指标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6D50D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指标</w:t>
            </w:r>
            <w:r>
              <w:rPr>
                <w:rFonts w:hint="eastAsia" w:ascii="黑体" w:eastAsia="黑体" w:cs="黑体"/>
                <w:i w:val="0"/>
                <w:color w:val="000000"/>
                <w:kern w:val="0"/>
                <w:sz w:val="24"/>
                <w:szCs w:val="24"/>
                <w:u w:val="none"/>
                <w:lang w:val="en-US" w:eastAsia="zh-CN"/>
              </w:rPr>
              <w:br w:type="textWrapping"/>
            </w:r>
            <w:r>
              <w:rPr>
                <w:rFonts w:hint="eastAsia" w:ascii="黑体" w:eastAsia="黑体" w:cs="黑体"/>
                <w:i w:val="0"/>
                <w:color w:val="000000"/>
                <w:kern w:val="0"/>
                <w:sz w:val="24"/>
                <w:szCs w:val="24"/>
                <w:u w:val="none"/>
                <w:lang w:val="en-US" w:eastAsia="zh-CN"/>
              </w:rPr>
              <w:t>分值</w:t>
            </w:r>
          </w:p>
        </w:tc>
        <w:tc>
          <w:tcPr>
            <w:tcW w:w="3729" w:type="dxa"/>
            <w:vMerge w:val="continue"/>
            <w:tcBorders>
              <w:top w:val="single" w:color="000000" w:sz="4" w:space="0"/>
              <w:left w:val="single" w:color="000000" w:sz="4" w:space="0"/>
              <w:bottom w:val="single" w:color="000000" w:sz="4" w:space="0"/>
              <w:right w:val="single" w:color="000000" w:sz="4" w:space="0"/>
            </w:tcBorders>
            <w:noWrap/>
            <w:vAlign w:val="center"/>
          </w:tcPr>
          <w:p w14:paraId="3F26D088"/>
        </w:tc>
        <w:tc>
          <w:tcPr>
            <w:tcW w:w="595" w:type="dxa"/>
            <w:vMerge w:val="continue"/>
            <w:tcBorders>
              <w:top w:val="nil"/>
              <w:left w:val="single" w:color="000000" w:sz="4" w:space="0"/>
              <w:bottom w:val="single" w:color="000000" w:sz="4" w:space="0"/>
              <w:right w:val="single" w:color="000000" w:sz="4" w:space="0"/>
            </w:tcBorders>
            <w:noWrap/>
            <w:vAlign w:val="center"/>
          </w:tcPr>
          <w:p w14:paraId="5465FDD3"/>
        </w:tc>
        <w:tc>
          <w:tcPr>
            <w:tcW w:w="377" w:type="dxa"/>
            <w:vMerge w:val="continue"/>
            <w:tcBorders>
              <w:top w:val="nil"/>
              <w:left w:val="single" w:color="000000" w:sz="4" w:space="0"/>
              <w:bottom w:val="single" w:color="000000" w:sz="4" w:space="0"/>
              <w:right w:val="single" w:color="000000" w:sz="4" w:space="0"/>
            </w:tcBorders>
            <w:noWrap/>
            <w:vAlign w:val="center"/>
          </w:tcPr>
          <w:p w14:paraId="743A837D"/>
        </w:tc>
      </w:tr>
      <w:tr w14:paraId="27E97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restart"/>
            <w:tcBorders>
              <w:top w:val="single" w:color="000000" w:sz="4" w:space="0"/>
              <w:left w:val="single" w:color="000000" w:sz="4" w:space="0"/>
              <w:bottom w:val="single" w:color="000000" w:sz="4" w:space="0"/>
              <w:right w:val="single" w:color="000000" w:sz="4" w:space="0"/>
            </w:tcBorders>
            <w:noWrap/>
            <w:vAlign w:val="center"/>
          </w:tcPr>
          <w:p w14:paraId="188AAF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总体绩效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（65分）</w:t>
            </w:r>
          </w:p>
        </w:tc>
        <w:tc>
          <w:tcPr>
            <w:tcW w:w="1151" w:type="dxa"/>
            <w:vMerge w:val="restart"/>
            <w:tcBorders>
              <w:top w:val="single" w:color="000000" w:sz="4" w:space="0"/>
              <w:left w:val="single" w:color="000000" w:sz="4" w:space="0"/>
              <w:bottom w:val="nil"/>
              <w:right w:val="single" w:color="000000" w:sz="4" w:space="0"/>
            </w:tcBorders>
            <w:noWrap/>
            <w:vAlign w:val="center"/>
          </w:tcPr>
          <w:p w14:paraId="713426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履职效能</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（15分）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9A0F2B9">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数量指标履职效果</w:t>
            </w:r>
          </w:p>
        </w:tc>
        <w:tc>
          <w:tcPr>
            <w:tcW w:w="567" w:type="dxa"/>
            <w:tcBorders>
              <w:top w:val="nil"/>
              <w:left w:val="single" w:color="000000" w:sz="4" w:space="0"/>
              <w:bottom w:val="single" w:color="000000" w:sz="4" w:space="0"/>
              <w:right w:val="single" w:color="000000" w:sz="4" w:space="0"/>
            </w:tcBorders>
            <w:noWrap/>
            <w:vAlign w:val="center"/>
          </w:tcPr>
          <w:p w14:paraId="17FB9F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w:t>
            </w:r>
          </w:p>
        </w:tc>
        <w:tc>
          <w:tcPr>
            <w:tcW w:w="3729" w:type="dxa"/>
            <w:vMerge w:val="restart"/>
            <w:tcBorders>
              <w:top w:val="single" w:color="000000" w:sz="4" w:space="0"/>
              <w:left w:val="single" w:color="000000" w:sz="4" w:space="0"/>
              <w:bottom w:val="nil"/>
              <w:right w:val="single" w:color="000000" w:sz="4" w:space="0"/>
            </w:tcBorders>
            <w:noWrap/>
            <w:vAlign w:val="center"/>
          </w:tcPr>
          <w:p w14:paraId="43FEE6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部门整体绩效目标中选定3-5个核心职能目标，反映该项职能目标完成效果情况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907F7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DE72B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5B481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nil"/>
              <w:left w:val="single" w:color="000000" w:sz="4" w:space="0"/>
              <w:bottom w:val="nil"/>
              <w:right w:val="single" w:color="000000" w:sz="4" w:space="0"/>
            </w:tcBorders>
            <w:noWrap/>
            <w:vAlign w:val="center"/>
          </w:tcPr>
          <w:p w14:paraId="3CF7CC09"/>
        </w:tc>
        <w:tc>
          <w:tcPr>
            <w:tcW w:w="1151" w:type="dxa"/>
            <w:vMerge w:val="continue"/>
            <w:tcBorders>
              <w:top w:val="nil"/>
              <w:left w:val="single" w:color="000000" w:sz="4" w:space="0"/>
              <w:bottom w:val="nil"/>
              <w:right w:val="single" w:color="000000" w:sz="4" w:space="0"/>
            </w:tcBorders>
            <w:noWrap/>
            <w:vAlign w:val="center"/>
          </w:tcPr>
          <w:p w14:paraId="60C351EF"/>
        </w:tc>
        <w:tc>
          <w:tcPr>
            <w:tcW w:w="1312" w:type="dxa"/>
            <w:tcBorders>
              <w:top w:val="single" w:color="000000" w:sz="4" w:space="0"/>
              <w:left w:val="single" w:color="000000" w:sz="4" w:space="0"/>
              <w:bottom w:val="single" w:color="000000" w:sz="4" w:space="0"/>
              <w:right w:val="single" w:color="000000" w:sz="4" w:space="0"/>
            </w:tcBorders>
            <w:noWrap/>
            <w:vAlign w:val="center"/>
          </w:tcPr>
          <w:p w14:paraId="69BF1CAB">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质量指标履职效果</w:t>
            </w:r>
          </w:p>
        </w:tc>
        <w:tc>
          <w:tcPr>
            <w:tcW w:w="567" w:type="dxa"/>
            <w:tcBorders>
              <w:top w:val="nil"/>
              <w:left w:val="single" w:color="000000" w:sz="4" w:space="0"/>
              <w:bottom w:val="single" w:color="000000" w:sz="4" w:space="0"/>
              <w:right w:val="single" w:color="000000" w:sz="4" w:space="0"/>
            </w:tcBorders>
            <w:noWrap/>
            <w:vAlign w:val="center"/>
          </w:tcPr>
          <w:p w14:paraId="2B6983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29" w:type="dxa"/>
            <w:vMerge w:val="continue"/>
            <w:tcBorders>
              <w:top w:val="nil"/>
              <w:left w:val="single" w:color="000000" w:sz="4" w:space="0"/>
              <w:bottom w:val="nil"/>
              <w:right w:val="single" w:color="000000" w:sz="4" w:space="0"/>
            </w:tcBorders>
            <w:noWrap/>
            <w:vAlign w:val="center"/>
          </w:tcPr>
          <w:p w14:paraId="590F74AB"/>
        </w:tc>
        <w:tc>
          <w:tcPr>
            <w:tcW w:w="595" w:type="dxa"/>
            <w:tcBorders>
              <w:top w:val="single" w:color="000000" w:sz="4" w:space="0"/>
              <w:left w:val="single" w:color="000000" w:sz="4" w:space="0"/>
              <w:bottom w:val="single" w:color="000000" w:sz="4" w:space="0"/>
              <w:right w:val="single" w:color="000000" w:sz="4" w:space="0"/>
            </w:tcBorders>
            <w:noWrap/>
            <w:vAlign w:val="center"/>
          </w:tcPr>
          <w:p w14:paraId="32E564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29CE92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6B3C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nil"/>
              <w:left w:val="single" w:color="000000" w:sz="4" w:space="0"/>
              <w:bottom w:val="nil"/>
              <w:right w:val="single" w:color="000000" w:sz="4" w:space="0"/>
            </w:tcBorders>
            <w:noWrap/>
            <w:vAlign w:val="center"/>
          </w:tcPr>
          <w:p w14:paraId="48AAA414"/>
        </w:tc>
        <w:tc>
          <w:tcPr>
            <w:tcW w:w="1151" w:type="dxa"/>
            <w:vMerge w:val="continue"/>
            <w:tcBorders>
              <w:top w:val="nil"/>
              <w:left w:val="single" w:color="000000" w:sz="4" w:space="0"/>
              <w:bottom w:val="single" w:color="000000" w:sz="4" w:space="0"/>
              <w:right w:val="single" w:color="000000" w:sz="4" w:space="0"/>
            </w:tcBorders>
            <w:noWrap/>
            <w:vAlign w:val="center"/>
          </w:tcPr>
          <w:p w14:paraId="1FF09C17"/>
        </w:tc>
        <w:tc>
          <w:tcPr>
            <w:tcW w:w="1312" w:type="dxa"/>
            <w:tcBorders>
              <w:top w:val="single" w:color="000000" w:sz="4" w:space="0"/>
              <w:left w:val="single" w:color="000000" w:sz="4" w:space="0"/>
              <w:bottom w:val="single" w:color="000000" w:sz="4" w:space="0"/>
              <w:right w:val="single" w:color="000000" w:sz="4" w:space="0"/>
            </w:tcBorders>
            <w:noWrap/>
            <w:vAlign w:val="center"/>
          </w:tcPr>
          <w:p w14:paraId="1739D9BC">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社会效益指标履职效果</w:t>
            </w:r>
          </w:p>
        </w:tc>
        <w:tc>
          <w:tcPr>
            <w:tcW w:w="567" w:type="dxa"/>
            <w:tcBorders>
              <w:top w:val="nil"/>
              <w:left w:val="single" w:color="000000" w:sz="4" w:space="0"/>
              <w:bottom w:val="single" w:color="000000" w:sz="4" w:space="0"/>
              <w:right w:val="single" w:color="000000" w:sz="4" w:space="0"/>
            </w:tcBorders>
            <w:noWrap/>
            <w:vAlign w:val="center"/>
          </w:tcPr>
          <w:p w14:paraId="180B6B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29" w:type="dxa"/>
            <w:vMerge w:val="continue"/>
            <w:tcBorders>
              <w:top w:val="nil"/>
              <w:left w:val="single" w:color="000000" w:sz="4" w:space="0"/>
              <w:bottom w:val="single" w:color="000000" w:sz="4" w:space="0"/>
              <w:right w:val="single" w:color="000000" w:sz="4" w:space="0"/>
            </w:tcBorders>
            <w:noWrap/>
            <w:vAlign w:val="center"/>
          </w:tcPr>
          <w:p w14:paraId="0622C0BE"/>
        </w:tc>
        <w:tc>
          <w:tcPr>
            <w:tcW w:w="595" w:type="dxa"/>
            <w:tcBorders>
              <w:top w:val="single" w:color="000000" w:sz="4" w:space="0"/>
              <w:left w:val="single" w:color="000000" w:sz="4" w:space="0"/>
              <w:bottom w:val="single" w:color="000000" w:sz="4" w:space="0"/>
              <w:right w:val="single" w:color="000000" w:sz="4" w:space="0"/>
            </w:tcBorders>
            <w:noWrap/>
            <w:vAlign w:val="center"/>
          </w:tcPr>
          <w:p w14:paraId="25F5F6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36570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5294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CFA4737"/>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1328B2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预算管理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（25分）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2EA21B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预算编制质量</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25D1CA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8</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7ADE6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部门是否严格按要求编制年初部门预算，年初预算编制的科学性和准确性</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1A1580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7</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815E3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CC03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D73152E"/>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521B64D4"/>
        </w:tc>
        <w:tc>
          <w:tcPr>
            <w:tcW w:w="1312" w:type="dxa"/>
            <w:tcBorders>
              <w:top w:val="single" w:color="000000" w:sz="4" w:space="0"/>
              <w:left w:val="single" w:color="000000" w:sz="4" w:space="0"/>
              <w:bottom w:val="single" w:color="000000" w:sz="4" w:space="0"/>
              <w:right w:val="single" w:color="000000" w:sz="4" w:space="0"/>
            </w:tcBorders>
            <w:noWrap/>
            <w:vAlign w:val="center"/>
          </w:tcPr>
          <w:p w14:paraId="34A226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单位收入统筹</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469C3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00698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部门统筹自有收入程度</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16F678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1C45A8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7CDF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5CD3815A"/>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7ADD5A60"/>
        </w:tc>
        <w:tc>
          <w:tcPr>
            <w:tcW w:w="1312" w:type="dxa"/>
            <w:tcBorders>
              <w:top w:val="single" w:color="000000" w:sz="4" w:space="0"/>
              <w:left w:val="single" w:color="000000" w:sz="4" w:space="0"/>
              <w:bottom w:val="single" w:color="000000" w:sz="4" w:space="0"/>
              <w:right w:val="single" w:color="000000" w:sz="4" w:space="0"/>
            </w:tcBorders>
            <w:noWrap/>
            <w:vAlign w:val="center"/>
          </w:tcPr>
          <w:p w14:paraId="4EE392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支出执行进度</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396FFD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6</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159CC4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部门1至6月、1至10月预算执行情况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5DF519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26D992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89D5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11241239"/>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00C962FF"/>
        </w:tc>
        <w:tc>
          <w:tcPr>
            <w:tcW w:w="1312" w:type="dxa"/>
            <w:tcBorders>
              <w:top w:val="single" w:color="000000" w:sz="4" w:space="0"/>
              <w:left w:val="single" w:color="000000" w:sz="4" w:space="0"/>
              <w:bottom w:val="single" w:color="000000" w:sz="4" w:space="0"/>
              <w:right w:val="single" w:color="000000" w:sz="4" w:space="0"/>
            </w:tcBorders>
            <w:noWrap/>
            <w:vAlign w:val="center"/>
          </w:tcPr>
          <w:p w14:paraId="0A058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预算年终结余</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7A79E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46F1A5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部门整体年终预算结余情况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6655B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2</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E5B91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28A2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3468CFD"/>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59EB701B"/>
        </w:tc>
        <w:tc>
          <w:tcPr>
            <w:tcW w:w="1312" w:type="dxa"/>
            <w:tcBorders>
              <w:top w:val="single" w:color="000000" w:sz="4" w:space="0"/>
              <w:left w:val="single" w:color="000000" w:sz="4" w:space="0"/>
              <w:bottom w:val="single" w:color="000000" w:sz="4" w:space="0"/>
              <w:right w:val="single" w:color="000000" w:sz="4" w:space="0"/>
            </w:tcBorders>
            <w:noWrap/>
            <w:vAlign w:val="center"/>
          </w:tcPr>
          <w:p w14:paraId="6F4078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严控一般性支出</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2BE03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6098AC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部门严控“三公”经费、会议、培训、差旅、办节办展、办公设备购置、信息网络及软件购置更新、课题经费等8项一般性支出情况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33523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C19C2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A7B9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3DC3DC7"/>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22921F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财务管理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（10分）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12180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财务管理制度</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CD477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52153C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部门财务管理制度建立情况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0C9CE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44D990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19DE5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64EFC5A"/>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68619C8E"/>
        </w:tc>
        <w:tc>
          <w:tcPr>
            <w:tcW w:w="1312" w:type="dxa"/>
            <w:tcBorders>
              <w:top w:val="single" w:color="000000" w:sz="4" w:space="0"/>
              <w:left w:val="single" w:color="000000" w:sz="4" w:space="0"/>
              <w:bottom w:val="single" w:color="000000" w:sz="4" w:space="0"/>
              <w:right w:val="single" w:color="000000" w:sz="4" w:space="0"/>
            </w:tcBorders>
            <w:noWrap/>
            <w:vAlign w:val="center"/>
          </w:tcPr>
          <w:p w14:paraId="3A7502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财务岗位设置</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7B0D73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4E2D0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部门财务岗位设置是否符合相关财务管理制度要求</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B5695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2</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A82B9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5E0E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DDA86D6"/>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4E1BD34D"/>
        </w:tc>
        <w:tc>
          <w:tcPr>
            <w:tcW w:w="1312" w:type="dxa"/>
            <w:tcBorders>
              <w:top w:val="single" w:color="000000" w:sz="4" w:space="0"/>
              <w:left w:val="single" w:color="000000" w:sz="4" w:space="0"/>
              <w:bottom w:val="single" w:color="000000" w:sz="4" w:space="0"/>
              <w:right w:val="single" w:color="000000" w:sz="4" w:space="0"/>
            </w:tcBorders>
            <w:noWrap/>
            <w:vAlign w:val="center"/>
          </w:tcPr>
          <w:p w14:paraId="421D7A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资金使用规范</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2A7C8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543A0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部门资金使用是否符合相关财务管理制度规定</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3B4E40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67094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80AE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0373DF35"/>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292B0C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资产管理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（9分）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42A84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人均资产变化率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2AAB77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4BD8A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部门人均资产变化情况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765EA1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61C12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16148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0ABF484"/>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39CB97C6"/>
        </w:tc>
        <w:tc>
          <w:tcPr>
            <w:tcW w:w="1312" w:type="dxa"/>
            <w:tcBorders>
              <w:top w:val="single" w:color="000000" w:sz="4" w:space="0"/>
              <w:left w:val="single" w:color="000000" w:sz="4" w:space="0"/>
              <w:bottom w:val="single" w:color="000000" w:sz="4" w:space="0"/>
              <w:right w:val="single" w:color="000000" w:sz="4" w:space="0"/>
            </w:tcBorders>
            <w:noWrap/>
            <w:vAlign w:val="center"/>
          </w:tcPr>
          <w:p w14:paraId="1C12FC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资产利用率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921A6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2A2159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部门资产超最低使用年限情况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31EF96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79826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C0C4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restart"/>
            <w:tcBorders>
              <w:top w:val="single" w:color="000000" w:sz="4" w:space="0"/>
              <w:left w:val="single" w:color="000000" w:sz="4" w:space="0"/>
              <w:bottom w:val="single" w:color="000000" w:sz="4" w:space="0"/>
              <w:right w:val="single" w:color="000000" w:sz="4" w:space="0"/>
            </w:tcBorders>
            <w:noWrap/>
            <w:vAlign w:val="center"/>
          </w:tcPr>
          <w:p w14:paraId="58234E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总体绩效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（65分）</w:t>
            </w:r>
          </w:p>
        </w:tc>
        <w:tc>
          <w:tcPr>
            <w:tcW w:w="1151" w:type="dxa"/>
            <w:tcBorders>
              <w:top w:val="single" w:color="000000" w:sz="4" w:space="0"/>
              <w:left w:val="single" w:color="000000" w:sz="4" w:space="0"/>
              <w:bottom w:val="single" w:color="000000" w:sz="4" w:space="0"/>
              <w:right w:val="single" w:color="000000" w:sz="4" w:space="0"/>
            </w:tcBorders>
            <w:noWrap/>
            <w:vAlign w:val="center"/>
          </w:tcPr>
          <w:p w14:paraId="64B68C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资产管理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（9分）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35A98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资产盘活率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184CD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47FFF5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部门闲置一年以上的资产盘活情况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7AF2C9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E475B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8D87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57FF735F"/>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038F42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采购管理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220E3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支持中小企业发展</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65F33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49250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部门是否严格执行政府采购促进中小企业发展相关管理办法</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D628B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84179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346A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157603A"/>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4FD438EA"/>
        </w:tc>
        <w:tc>
          <w:tcPr>
            <w:tcW w:w="1312" w:type="dxa"/>
            <w:tcBorders>
              <w:top w:val="single" w:color="000000" w:sz="4" w:space="0"/>
              <w:left w:val="single" w:color="000000" w:sz="4" w:space="0"/>
              <w:bottom w:val="single" w:color="000000" w:sz="4" w:space="0"/>
              <w:right w:val="single" w:color="000000" w:sz="4" w:space="0"/>
            </w:tcBorders>
            <w:noWrap/>
            <w:vAlign w:val="center"/>
          </w:tcPr>
          <w:p w14:paraId="2AEC00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采购执行率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6AC07A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BE34C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部门政府采购项目资金支付比例情况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35B2B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0D451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5809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restart"/>
            <w:tcBorders>
              <w:top w:val="single" w:color="000000" w:sz="4" w:space="0"/>
              <w:left w:val="single" w:color="000000" w:sz="4" w:space="0"/>
              <w:bottom w:val="single" w:color="000000" w:sz="4" w:space="0"/>
              <w:right w:val="single" w:color="000000" w:sz="4" w:space="0"/>
            </w:tcBorders>
            <w:noWrap/>
            <w:vAlign w:val="center"/>
          </w:tcPr>
          <w:p w14:paraId="3457E3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（35分）</w:t>
            </w:r>
          </w:p>
        </w:tc>
        <w:tc>
          <w:tcPr>
            <w:tcW w:w="1151" w:type="dxa"/>
            <w:vMerge w:val="restart"/>
            <w:tcBorders>
              <w:top w:val="single" w:color="000000" w:sz="4" w:space="0"/>
              <w:left w:val="single" w:color="000000" w:sz="4" w:space="0"/>
              <w:bottom w:val="nil"/>
              <w:right w:val="single" w:color="000000" w:sz="4" w:space="0"/>
            </w:tcBorders>
            <w:noWrap/>
            <w:vAlign w:val="center"/>
          </w:tcPr>
          <w:p w14:paraId="40C276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项目决策</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（12分）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D48DB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决策程序</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21B9F9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BCD9A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部门预算项目设立是否按规定履行评估论证、申报程序</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41998B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10C550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4ED6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2FAACE7"/>
        </w:tc>
        <w:tc>
          <w:tcPr>
            <w:tcW w:w="1151" w:type="dxa"/>
            <w:vMerge w:val="continue"/>
            <w:tcBorders>
              <w:top w:val="single" w:color="000000" w:sz="4" w:space="0"/>
              <w:left w:val="single" w:color="000000" w:sz="4" w:space="0"/>
              <w:bottom w:val="nil"/>
              <w:right w:val="single" w:color="000000" w:sz="4" w:space="0"/>
            </w:tcBorders>
            <w:noWrap/>
            <w:vAlign w:val="center"/>
          </w:tcPr>
          <w:p w14:paraId="13154F2D"/>
        </w:tc>
        <w:tc>
          <w:tcPr>
            <w:tcW w:w="1312" w:type="dxa"/>
            <w:tcBorders>
              <w:top w:val="single" w:color="000000" w:sz="4" w:space="0"/>
              <w:left w:val="single" w:color="000000" w:sz="4" w:space="0"/>
              <w:bottom w:val="single" w:color="000000" w:sz="4" w:space="0"/>
              <w:right w:val="single" w:color="000000" w:sz="4" w:space="0"/>
            </w:tcBorders>
            <w:noWrap/>
            <w:vAlign w:val="center"/>
          </w:tcPr>
          <w:p w14:paraId="194FD5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目标设置</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2E9AA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19525C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部门预算项目绩效目标与计划期内的任务量、预算安排的资金量匹配情况，绩效目标设置是否科学合理、规范完整、量化细化、预算匹配</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4AE0B5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154DD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CB41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5B11DBFF"/>
        </w:tc>
        <w:tc>
          <w:tcPr>
            <w:tcW w:w="1151" w:type="dxa"/>
            <w:vMerge w:val="continue"/>
            <w:tcBorders>
              <w:top w:val="single" w:color="000000" w:sz="4" w:space="0"/>
              <w:left w:val="single" w:color="000000" w:sz="4" w:space="0"/>
              <w:bottom w:val="nil"/>
              <w:right w:val="single" w:color="000000" w:sz="4" w:space="0"/>
            </w:tcBorders>
            <w:noWrap/>
            <w:vAlign w:val="center"/>
          </w:tcPr>
          <w:p w14:paraId="333DEF0F"/>
        </w:tc>
        <w:tc>
          <w:tcPr>
            <w:tcW w:w="1312" w:type="dxa"/>
            <w:tcBorders>
              <w:top w:val="single" w:color="000000" w:sz="4" w:space="0"/>
              <w:left w:val="single" w:color="000000" w:sz="4" w:space="0"/>
              <w:bottom w:val="single" w:color="000000" w:sz="4" w:space="0"/>
              <w:right w:val="single" w:color="000000" w:sz="4" w:space="0"/>
            </w:tcBorders>
            <w:noWrap/>
            <w:vAlign w:val="center"/>
          </w:tcPr>
          <w:p w14:paraId="690579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项目入库</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78917E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9DD1D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部门预算项目是否在规定时间完成项目入库</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EE8AC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7159F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6D8EF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439AD801"/>
        </w:tc>
        <w:tc>
          <w:tcPr>
            <w:tcW w:w="1151" w:type="dxa"/>
            <w:vMerge w:val="restart"/>
            <w:tcBorders>
              <w:top w:val="single" w:color="000000" w:sz="4" w:space="0"/>
              <w:left w:val="single" w:color="000000" w:sz="4" w:space="0"/>
              <w:bottom w:val="nil"/>
              <w:right w:val="single" w:color="000000" w:sz="4" w:space="0"/>
            </w:tcBorders>
            <w:noWrap/>
            <w:vAlign w:val="center"/>
          </w:tcPr>
          <w:p w14:paraId="56C996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项目执行</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（12分）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DAAD7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执行同向</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63E11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198D70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部门预算项目实际列支内容是否与绩效目标设置方向相符</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FF63F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041A9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5E57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0B6F8854"/>
        </w:tc>
        <w:tc>
          <w:tcPr>
            <w:tcW w:w="1151" w:type="dxa"/>
            <w:vMerge w:val="continue"/>
            <w:tcBorders>
              <w:top w:val="single" w:color="000000" w:sz="4" w:space="0"/>
              <w:left w:val="single" w:color="000000" w:sz="4" w:space="0"/>
              <w:bottom w:val="nil"/>
              <w:right w:val="single" w:color="000000" w:sz="4" w:space="0"/>
            </w:tcBorders>
            <w:noWrap/>
            <w:vAlign w:val="center"/>
          </w:tcPr>
          <w:p w14:paraId="1A446394"/>
        </w:tc>
        <w:tc>
          <w:tcPr>
            <w:tcW w:w="1312" w:type="dxa"/>
            <w:tcBorders>
              <w:top w:val="single" w:color="000000" w:sz="4" w:space="0"/>
              <w:left w:val="single" w:color="000000" w:sz="4" w:space="0"/>
              <w:bottom w:val="nil"/>
              <w:right w:val="single" w:color="000000" w:sz="4" w:space="0"/>
            </w:tcBorders>
            <w:noWrap/>
            <w:vAlign w:val="center"/>
          </w:tcPr>
          <w:p w14:paraId="7CF7CB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项目调整</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4A6FD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45353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部门预算项目是否采取对应调整措施</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8D7C8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F8976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C8A8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78238881"/>
        </w:tc>
        <w:tc>
          <w:tcPr>
            <w:tcW w:w="1151" w:type="dxa"/>
            <w:vMerge w:val="continue"/>
            <w:tcBorders>
              <w:top w:val="single" w:color="000000" w:sz="4" w:space="0"/>
              <w:left w:val="single" w:color="000000" w:sz="4" w:space="0"/>
              <w:bottom w:val="nil"/>
              <w:right w:val="single" w:color="000000" w:sz="4" w:space="0"/>
            </w:tcBorders>
            <w:noWrap/>
            <w:vAlign w:val="center"/>
          </w:tcPr>
          <w:p w14:paraId="1E1C627D"/>
        </w:tc>
        <w:tc>
          <w:tcPr>
            <w:tcW w:w="1312" w:type="dxa"/>
            <w:tcBorders>
              <w:top w:val="single" w:color="000000" w:sz="4" w:space="0"/>
              <w:left w:val="single" w:color="000000" w:sz="4" w:space="0"/>
              <w:bottom w:val="single" w:color="000000" w:sz="4" w:space="0"/>
              <w:right w:val="single" w:color="000000" w:sz="4" w:space="0"/>
            </w:tcBorders>
            <w:noWrap/>
            <w:vAlign w:val="center"/>
          </w:tcPr>
          <w:p w14:paraId="3762E2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执行结果</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09902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4401E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部门预算项目预算执行情况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2AE8F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061986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7979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0E942538"/>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26268C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目标实现</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（11分）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149B21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目标完成</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673387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8523F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部门预算项目绩效目标数量指标完成情况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1A72C9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3AD80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6102C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0D898162"/>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14BF27EE"/>
        </w:tc>
        <w:tc>
          <w:tcPr>
            <w:tcW w:w="1312" w:type="dxa"/>
            <w:tcBorders>
              <w:top w:val="single" w:color="000000" w:sz="4" w:space="0"/>
              <w:left w:val="single" w:color="000000" w:sz="4" w:space="0"/>
              <w:bottom w:val="single" w:color="000000" w:sz="4" w:space="0"/>
              <w:right w:val="single" w:color="000000" w:sz="4" w:space="0"/>
            </w:tcBorders>
            <w:noWrap/>
            <w:vAlign w:val="center"/>
          </w:tcPr>
          <w:p w14:paraId="2898D9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目标偏离</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0D8AAA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6AA4EC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部门预算项目绩效目标数量指标实现程度与预期目标的偏离情况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F4CF8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770DB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1C4B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0A2C5A9"/>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7AA1545E"/>
        </w:tc>
        <w:tc>
          <w:tcPr>
            <w:tcW w:w="1312" w:type="dxa"/>
            <w:tcBorders>
              <w:top w:val="single" w:color="000000" w:sz="4" w:space="0"/>
              <w:left w:val="single" w:color="000000" w:sz="4" w:space="0"/>
              <w:bottom w:val="single" w:color="000000" w:sz="4" w:space="0"/>
              <w:right w:val="single" w:color="000000" w:sz="4" w:space="0"/>
            </w:tcBorders>
            <w:noWrap/>
            <w:vAlign w:val="center"/>
          </w:tcPr>
          <w:p w14:paraId="3FB67F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实现效果</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662CDE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52019D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部门预算项目绩效目标效益指标实施效果</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7A5D15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0C141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D2A3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tcBorders>
              <w:top w:val="single" w:color="000000" w:sz="4" w:space="0"/>
              <w:left w:val="single" w:color="000000" w:sz="4" w:space="0"/>
              <w:bottom w:val="single" w:color="000000" w:sz="4" w:space="0"/>
              <w:right w:val="single" w:color="000000" w:sz="4" w:space="0"/>
            </w:tcBorders>
            <w:noWrap/>
            <w:vAlign w:val="center"/>
          </w:tcPr>
          <w:p w14:paraId="26FF85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扣分项</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（10分）</w:t>
            </w:r>
          </w:p>
        </w:tc>
        <w:tc>
          <w:tcPr>
            <w:tcW w:w="2463" w:type="dxa"/>
            <w:gridSpan w:val="2"/>
            <w:tcBorders>
              <w:top w:val="single" w:color="000000" w:sz="4" w:space="0"/>
              <w:left w:val="single" w:color="000000" w:sz="4" w:space="0"/>
              <w:bottom w:val="single" w:color="000000" w:sz="4" w:space="0"/>
              <w:right w:val="single" w:color="000000" w:sz="4" w:space="0"/>
            </w:tcBorders>
            <w:noWrap/>
            <w:vAlign w:val="center"/>
          </w:tcPr>
          <w:p w14:paraId="12871B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被评价部门配合度</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7B2666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FF4D7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被评价对象工作配合情况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65C6B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1ACCD6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bl>
    <w:p w14:paraId="34D0E9C3">
      <w:pPr>
        <w:rPr>
          <w:lang w:val="en-US" w:eastAsia="zh-CN"/>
        </w:rPr>
      </w:pPr>
    </w:p>
    <w:p w14:paraId="0877DBE3">
      <w:pPr>
        <w:pStyle w:val="26"/>
        <w:rPr>
          <w:lang w:val="en-US" w:eastAsia="zh-CN"/>
        </w:rPr>
      </w:pPr>
    </w:p>
    <w:p w14:paraId="69E21563">
      <w:pPr>
        <w:rPr>
          <w:lang w:val="en-US" w:eastAsia="zh-CN"/>
        </w:rPr>
      </w:pPr>
    </w:p>
    <w:p w14:paraId="2591CE3F">
      <w:pPr>
        <w:pStyle w:val="26"/>
        <w:rPr>
          <w:lang w:val="en-US" w:eastAsia="zh-CN"/>
        </w:rPr>
      </w:pPr>
    </w:p>
    <w:p w14:paraId="49E2D47A">
      <w:pPr>
        <w:rPr>
          <w:lang w:val="en-US" w:eastAsia="zh-CN"/>
        </w:rPr>
      </w:pPr>
    </w:p>
    <w:p w14:paraId="450CDDD0">
      <w:pPr>
        <w:pStyle w:val="26"/>
        <w:rPr>
          <w:lang w:val="en-US" w:eastAsia="zh-CN"/>
        </w:rPr>
      </w:pPr>
    </w:p>
    <w:p w14:paraId="114CBF52">
      <w:pPr>
        <w:rPr>
          <w:lang w:val="en-US" w:eastAsia="zh-CN"/>
        </w:rPr>
      </w:pPr>
    </w:p>
    <w:p w14:paraId="7EE97B04">
      <w:pPr>
        <w:pStyle w:val="26"/>
        <w:rPr>
          <w:lang w:val="en-US" w:eastAsia="zh-CN"/>
        </w:rPr>
      </w:pPr>
    </w:p>
    <w:p w14:paraId="4664D773">
      <w:pPr>
        <w:rPr>
          <w:lang w:val="en-US" w:eastAsia="zh-CN"/>
        </w:rPr>
      </w:pPr>
    </w:p>
    <w:p w14:paraId="3ACFA633">
      <w:pPr>
        <w:pStyle w:val="26"/>
        <w:rPr>
          <w:lang w:val="en-US" w:eastAsia="zh-CN"/>
        </w:rPr>
      </w:pPr>
    </w:p>
    <w:p w14:paraId="7036DBFB">
      <w:pPr>
        <w:rPr>
          <w:lang w:val="en-US" w:eastAsia="zh-CN"/>
        </w:rPr>
      </w:pPr>
    </w:p>
    <w:p w14:paraId="071A9EBE">
      <w:pPr>
        <w:pStyle w:val="26"/>
        <w:rPr>
          <w:lang w:val="en-US" w:eastAsia="zh-CN"/>
        </w:rPr>
      </w:pPr>
    </w:p>
    <w:p w14:paraId="58490875">
      <w:pPr>
        <w:pStyle w:val="26"/>
        <w:rPr>
          <w:lang w:val="en-US" w:eastAsia="zh-CN"/>
        </w:rPr>
      </w:pPr>
    </w:p>
    <w:p w14:paraId="366AABBC">
      <w:pPr>
        <w:rPr>
          <w:lang w:val="en-US" w:eastAsia="zh-CN"/>
        </w:rPr>
      </w:pPr>
    </w:p>
    <w:tbl>
      <w:tblPr>
        <w:tblStyle w:val="17"/>
        <w:tblW w:w="83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33"/>
        <w:gridCol w:w="1063"/>
        <w:gridCol w:w="1005"/>
        <w:gridCol w:w="1"/>
        <w:gridCol w:w="868"/>
        <w:gridCol w:w="904"/>
        <w:gridCol w:w="1017"/>
        <w:gridCol w:w="835"/>
        <w:gridCol w:w="731"/>
        <w:gridCol w:w="879"/>
      </w:tblGrid>
      <w:tr w14:paraId="2E365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8336" w:type="dxa"/>
            <w:gridSpan w:val="10"/>
            <w:tcBorders>
              <w:top w:val="nil"/>
              <w:left w:val="nil"/>
              <w:bottom w:val="nil"/>
              <w:right w:val="nil"/>
            </w:tcBorders>
            <w:shd w:val="clear" w:color="auto" w:fill="auto"/>
            <w:noWrap/>
            <w:vAlign w:val="center"/>
          </w:tcPr>
          <w:p w14:paraId="2784B82F">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hAnsi="Times New Roman" w:eastAsia="黑体" w:cs="Times New Roman"/>
                <w:i w:val="0"/>
                <w:color w:val="000000"/>
                <w:sz w:val="28"/>
                <w:szCs w:val="28"/>
                <w:u w:val="none"/>
              </w:rPr>
            </w:pPr>
            <w:r>
              <w:rPr>
                <w:rFonts w:ascii="Times New Roman" w:hAnsi="Times New Roman" w:eastAsia="方正小标宋简体" w:cs="Times New Roman"/>
                <w:i w:val="0"/>
                <w:color w:val="000000"/>
                <w:kern w:val="0"/>
                <w:sz w:val="44"/>
                <w:szCs w:val="44"/>
                <w:u w:val="none"/>
                <w:lang w:val="en-US" w:eastAsia="zh-CN"/>
              </w:rPr>
              <w:t>部门整体绩效目标完成情况自评表</w:t>
            </w:r>
          </w:p>
        </w:tc>
      </w:tr>
      <w:tr w14:paraId="75383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8336" w:type="dxa"/>
            <w:gridSpan w:val="10"/>
            <w:tcBorders>
              <w:top w:val="nil"/>
              <w:left w:val="nil"/>
              <w:bottom w:val="nil"/>
              <w:right w:val="nil"/>
            </w:tcBorders>
            <w:shd w:val="clear" w:color="auto" w:fill="auto"/>
            <w:noWrap/>
            <w:vAlign w:val="center"/>
          </w:tcPr>
          <w:p w14:paraId="21C981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8"/>
                <w:szCs w:val="28"/>
                <w:u w:val="none"/>
              </w:rPr>
            </w:pPr>
            <w:r>
              <w:rPr>
                <w:rFonts w:ascii="Times New Roman" w:hAnsi="Times New Roman" w:eastAsia="宋体" w:cs="Times New Roman"/>
                <w:i w:val="0"/>
                <w:color w:val="000000"/>
                <w:kern w:val="0"/>
                <w:sz w:val="28"/>
                <w:szCs w:val="28"/>
                <w:u w:val="none"/>
                <w:lang w:val="en-US" w:eastAsia="zh-CN"/>
              </w:rPr>
              <w:t>（202</w:t>
            </w:r>
            <w:r>
              <w:rPr>
                <w:rFonts w:hint="eastAsia" w:eastAsia="宋体" w:cs="Times New Roman"/>
                <w:i w:val="0"/>
                <w:color w:val="000000"/>
                <w:kern w:val="0"/>
                <w:sz w:val="28"/>
                <w:szCs w:val="28"/>
                <w:u w:val="none"/>
                <w:lang w:val="en-US" w:eastAsia="zh-CN"/>
              </w:rPr>
              <w:t>4</w:t>
            </w:r>
            <w:r>
              <w:rPr>
                <w:rFonts w:ascii="Times New Roman" w:hAnsi="Times New Roman" w:eastAsia="宋体" w:cs="Times New Roman"/>
                <w:i w:val="0"/>
                <w:color w:val="000000"/>
                <w:kern w:val="0"/>
                <w:sz w:val="28"/>
                <w:szCs w:val="28"/>
                <w:u w:val="none"/>
                <w:lang w:val="en-US" w:eastAsia="zh-CN"/>
              </w:rPr>
              <w:t>年度）</w:t>
            </w:r>
          </w:p>
        </w:tc>
      </w:tr>
      <w:tr w14:paraId="6EEC3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8336" w:type="dxa"/>
            <w:gridSpan w:val="10"/>
            <w:tcBorders>
              <w:top w:val="nil"/>
              <w:left w:val="nil"/>
              <w:bottom w:val="single" w:color="000000" w:sz="4" w:space="0"/>
              <w:right w:val="nil"/>
            </w:tcBorders>
            <w:shd w:val="clear" w:color="auto" w:fill="auto"/>
            <w:noWrap/>
            <w:vAlign w:val="center"/>
          </w:tcPr>
          <w:p w14:paraId="1CF4272F">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hAnsi="Times New Roman" w:eastAsia="宋体" w:cs="Times New Roman"/>
                <w:i w:val="0"/>
                <w:color w:val="000000"/>
                <w:sz w:val="21"/>
                <w:szCs w:val="21"/>
                <w:u w:val="none"/>
              </w:rPr>
            </w:pPr>
            <w:r>
              <w:rPr>
                <w:rFonts w:ascii="Times New Roman" w:hAnsi="Times New Roman" w:eastAsia="宋体" w:cs="Times New Roman"/>
                <w:i w:val="0"/>
                <w:color w:val="000000"/>
                <w:kern w:val="0"/>
                <w:sz w:val="21"/>
                <w:szCs w:val="21"/>
                <w:u w:val="none"/>
                <w:lang w:val="en-US" w:eastAsia="zh-CN"/>
              </w:rPr>
              <w:t>单位：万元</w:t>
            </w:r>
          </w:p>
        </w:tc>
      </w:tr>
      <w:tr w14:paraId="4C355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10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AE5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部门名称</w:t>
            </w:r>
          </w:p>
        </w:tc>
        <w:tc>
          <w:tcPr>
            <w:tcW w:w="523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94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rPr>
              <w:t>金川县</w:t>
            </w:r>
            <w:r>
              <w:rPr>
                <w:rFonts w:hint="eastAsia" w:cs="Times New Roman"/>
                <w:i w:val="0"/>
                <w:color w:val="000000"/>
                <w:kern w:val="0"/>
                <w:sz w:val="24"/>
                <w:szCs w:val="24"/>
                <w:u w:val="none"/>
                <w:lang w:val="en-US" w:eastAsia="zh-CN"/>
              </w:rPr>
              <w:t>河西乡</w:t>
            </w:r>
            <w:r>
              <w:rPr>
                <w:rFonts w:hint="eastAsia" w:eastAsia="宋体" w:cs="Times New Roman"/>
                <w:i w:val="0"/>
                <w:color w:val="000000"/>
                <w:kern w:val="0"/>
                <w:sz w:val="24"/>
                <w:szCs w:val="24"/>
                <w:u w:val="none"/>
                <w:lang w:val="en-US" w:eastAsia="zh-CN"/>
              </w:rPr>
              <w:t>人民政府</w:t>
            </w:r>
          </w:p>
        </w:tc>
      </w:tr>
      <w:tr w14:paraId="7E5EA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BE7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年度部门整体支出预算</w:t>
            </w:r>
          </w:p>
        </w:tc>
        <w:tc>
          <w:tcPr>
            <w:tcW w:w="206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83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资金总额</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FF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财政拨款</w:t>
            </w:r>
          </w:p>
        </w:tc>
        <w:tc>
          <w:tcPr>
            <w:tcW w:w="346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9C5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其他资金</w:t>
            </w:r>
          </w:p>
        </w:tc>
      </w:tr>
      <w:tr w14:paraId="6453A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91A2"/>
        </w:tc>
        <w:tc>
          <w:tcPr>
            <w:tcW w:w="206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4D6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ascii="宋体" w:cs="宋体"/>
                <w:sz w:val="24"/>
                <w:szCs w:val="24"/>
                <w:lang w:val="en-US" w:eastAsia="zh-CN"/>
              </w:rPr>
              <w:t>1154.84</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AB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ascii="宋体" w:cs="宋体"/>
                <w:sz w:val="24"/>
                <w:szCs w:val="24"/>
                <w:lang w:val="en-US" w:eastAsia="zh-CN"/>
              </w:rPr>
              <w:t>1154.84</w:t>
            </w:r>
          </w:p>
        </w:tc>
        <w:tc>
          <w:tcPr>
            <w:tcW w:w="346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3BD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rPr>
              <w:t>0</w:t>
            </w:r>
          </w:p>
        </w:tc>
      </w:tr>
      <w:tr w14:paraId="74EC1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C4D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年度总体</w:t>
            </w:r>
          </w:p>
          <w:p w14:paraId="77D546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目标</w:t>
            </w:r>
          </w:p>
        </w:tc>
        <w:tc>
          <w:tcPr>
            <w:tcW w:w="7303"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A7D6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 xml:space="preserve">贯彻执行党和国家及省、市、县关于扶贫开发工作方针、政策和法律、法规，一是深入开展机关效能建设活动，二是加强党建工作。三是加强乡村振兴工作。四是切实加强维稳工作。五是进一步加大农业产业结构调整力度，千方百计增加农牧民收入；继续关注民生，全力申报项目；培育壮大各村产业基地，争取更多的惠民政策提高农牧民生产生活水平；六是抓好了其他目标工作。 </w:t>
            </w:r>
          </w:p>
        </w:tc>
      </w:tr>
      <w:tr w14:paraId="54E07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4" w:hRule="atLeast"/>
          <w:jc w:val="center"/>
        </w:trPr>
        <w:tc>
          <w:tcPr>
            <w:tcW w:w="1033" w:type="dxa"/>
            <w:vMerge w:val="restart"/>
            <w:tcBorders>
              <w:top w:val="single" w:color="000000" w:sz="4" w:space="0"/>
              <w:left w:val="single" w:color="000000" w:sz="4" w:space="0"/>
              <w:bottom w:val="nil"/>
              <w:right w:val="single" w:color="000000" w:sz="4" w:space="0"/>
            </w:tcBorders>
            <w:shd w:val="clear" w:color="auto" w:fill="auto"/>
            <w:noWrap/>
            <w:vAlign w:val="center"/>
          </w:tcPr>
          <w:p w14:paraId="5D3A7B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年度主要</w:t>
            </w:r>
          </w:p>
          <w:p w14:paraId="1EECD3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任务</w:t>
            </w:r>
          </w:p>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B48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任务名称</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2B7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主要内容</w:t>
            </w:r>
          </w:p>
        </w:tc>
      </w:tr>
      <w:tr w14:paraId="2EE47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4C48CB5D"/>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4AE5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便民服务中心</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6F25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ascii="Times New Roman" w:hAnsi="Times New Roman" w:eastAsia="宋体" w:cs="Times New Roman"/>
                <w:i w:val="0"/>
                <w:color w:val="000000"/>
                <w:kern w:val="0"/>
                <w:sz w:val="24"/>
                <w:szCs w:val="24"/>
                <w:u w:val="none"/>
                <w:lang w:val="en-US" w:eastAsia="zh-CN"/>
              </w:rPr>
              <w:t>贯彻执行党和国家的法律、法规和方针、政策; 加强政治理论和业务学习，及时掌握新的政策、法规及办事程序; 负责规范化服务的宣传、培训管理工作; 负责政府网站的管理和内容的更新工作; 撰写、编制、报送相关的各种信息、资料、报表; 完成党委、政府安排的其他工作。</w:t>
            </w:r>
          </w:p>
        </w:tc>
      </w:tr>
      <w:tr w14:paraId="2F42E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1B519EAF"/>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A7E0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农业农村服务中心</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3757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负责涉农法规的宣传、贯彻、执行，编制农业技术推广计划; 对农村土地承包、农村集体资产、农民负担进行监督、审计和管理; 宣传贯彻执行森林法和林业工作的方针、政策、法律、法规; 协助政府制定全镇林业发展规划和年度计划，保护和管理辖区林业资源; 负责本镇境内的水土保持、监督、预防及水土流失的治理工作; 负责本镇的农田水利基本建设规划、勘测设计、组织施工、技术指导、质量管理工作。</w:t>
            </w:r>
          </w:p>
        </w:tc>
      </w:tr>
      <w:tr w14:paraId="112AE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34FD81EE"/>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01C5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经济发展服务中心</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81C5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负责全镇辖区内畜牧生产统计工作；负责全镇辖区内重大动物疫病强制免疫的免疫质量、疫病监测，消毒工作和病死畜禽无害化处理的技术指导，规模畜禽养殖场动物防疫监控，疫情报告工作；负责全镇辖区内兽医新技术推广和村级动物防疫员的业务培训、指导、监督管理；</w:t>
            </w:r>
          </w:p>
        </w:tc>
      </w:tr>
      <w:tr w14:paraId="0CEF5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39C4733C"/>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2C5E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退役军人服务站</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51D9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做好关系转移、联络接待、困难帮扶、信息采集、情况反映、立功喜报、悬挂光荣牌和“八一”、春节等重要节日及重大变故走访慰问等具体事务</w:t>
            </w:r>
          </w:p>
        </w:tc>
      </w:tr>
      <w:tr w14:paraId="59376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21DD0AF9"/>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9A6C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行政机构工作职责</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250E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宣传落实好党的路线、方针、政策和国家的法律、法规，极高、培育村民委员会自制能力。</w:t>
            </w:r>
          </w:p>
        </w:tc>
      </w:tr>
      <w:tr w14:paraId="53AF9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6FC73D59"/>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B251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党政办公室</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DCC6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检查和督促党的方针政策及重要工作计划的贯彻实施情况，负责起草党委、政府文件及各种文稿，负责做好重大问题归口报告，认真做好上情下达、下情上达；负责来文来电办理，及时、准确、保密；</w:t>
            </w:r>
          </w:p>
        </w:tc>
      </w:tr>
      <w:tr w14:paraId="19BA6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4ACDA32E"/>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9A3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综合发展办公室</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461F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负责贯彻执行党和国家及省、市、县关于扶贫开发工作方针、政策和法律、法规；研究制定和草拟镇扶贫开发中长期规划和年度计划，并组织实施；</w:t>
            </w:r>
          </w:p>
        </w:tc>
      </w:tr>
      <w:tr w14:paraId="10921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752579F4"/>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FB8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维护稳定办公室</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CF5A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ascii="Times New Roman" w:hAnsi="Times New Roman" w:eastAsia="宋体" w:cs="Times New Roman"/>
                <w:i w:val="0"/>
                <w:color w:val="000000"/>
                <w:kern w:val="0"/>
                <w:sz w:val="24"/>
                <w:szCs w:val="24"/>
                <w:u w:val="none"/>
                <w:lang w:val="en-US" w:eastAsia="zh-CN"/>
              </w:rPr>
              <w:t>宣传党和政府的方针、政策和法律、法规，做好群众的思想工作；落实上级有关群众工作的部署，负责本镇群众工作的综合管理、协调服务工作，解决群众诉求；做好人民调解工作，防止民间纠纷激化；协助政法部门加强对外来人口的管理，严厉打击各种犯罪活动，维护社会稳定；建立健全治安防范组织；搞好社会治安综合治理工作；积极创建文明安全村（社区）；对群众关心的热难点问题和不稳定隐患定期排查；开展信访和群众工作调查研究，贯彻执行有关社会治安综合治理的法律、法规和方针、政策。</w:t>
            </w:r>
          </w:p>
        </w:tc>
      </w:tr>
      <w:tr w14:paraId="6935A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7530760A"/>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94A3">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财政所</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0783D">
            <w:pPr>
              <w:keepNext w:val="0"/>
              <w:keepLines w:val="0"/>
              <w:pageBreakBefore w:val="0"/>
              <w:widowControl/>
              <w:suppressLineNumbers w:val="0"/>
              <w:tabs>
                <w:tab w:val="left" w:pos="2276"/>
              </w:tabs>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ascii="Times New Roman" w:hAnsi="Times New Roman" w:eastAsia="宋体" w:cs="Times New Roman"/>
                <w:i w:val="0"/>
                <w:color w:val="000000"/>
                <w:kern w:val="0"/>
                <w:sz w:val="24"/>
                <w:szCs w:val="24"/>
                <w:u w:val="none"/>
                <w:lang w:val="en-US" w:eastAsia="zh-CN"/>
              </w:rPr>
              <w:t>负责组织和管理镇财政收入和支出；编制年度预决算，执行镇人代会批准的财政预算，对镇财力进行综合平衡；配合上级财政及有关部门组织项目实施及相关工作；负责管理镇行政事业单位和其他组织的预算外资金；负责管理镇政府债务、管理镇资产；加强财务管理，提高理财水平，建立严格的财务管理制度，量财办事，勤俭节约，做好政府后勤工作；坚持“以人为本、从严理财”的原则，规范财务管理制度。</w:t>
            </w:r>
          </w:p>
        </w:tc>
      </w:tr>
      <w:tr w14:paraId="0E79D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17B5BC19"/>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EA2DD">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事业机构主要职责</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E118">
            <w:pPr>
              <w:keepNext w:val="0"/>
              <w:keepLines w:val="0"/>
              <w:pageBreakBefore w:val="0"/>
              <w:widowControl/>
              <w:suppressLineNumbers w:val="0"/>
              <w:tabs>
                <w:tab w:val="left" w:pos="2276"/>
              </w:tabs>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ascii="Times New Roman" w:hAnsi="Times New Roman" w:eastAsia="宋体" w:cs="Times New Roman"/>
                <w:i w:val="0"/>
                <w:color w:val="000000"/>
                <w:kern w:val="0"/>
                <w:sz w:val="24"/>
                <w:szCs w:val="24"/>
                <w:u w:val="none"/>
                <w:lang w:val="en-US" w:eastAsia="zh-CN"/>
              </w:rPr>
              <w:t>宣传落实好党的路线、方针、政策和国家的法律、法规，极高、培育村民委员会自制能力。</w:t>
            </w:r>
          </w:p>
        </w:tc>
      </w:tr>
      <w:tr w14:paraId="7FC69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03EDB5C9"/>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A7931">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综合文化中心</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C7B28">
            <w:pPr>
              <w:keepNext w:val="0"/>
              <w:keepLines w:val="0"/>
              <w:pageBreakBefore w:val="0"/>
              <w:widowControl/>
              <w:suppressLineNumbers w:val="0"/>
              <w:tabs>
                <w:tab w:val="left" w:pos="792"/>
              </w:tabs>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eastAsia="宋体" w:cs="Times New Roman"/>
                <w:i w:val="0"/>
                <w:color w:val="000000"/>
                <w:kern w:val="0"/>
                <w:sz w:val="24"/>
                <w:szCs w:val="24"/>
                <w:u w:val="none"/>
                <w:lang w:val="en-US" w:eastAsia="zh-CN"/>
              </w:rPr>
              <w:t>开展宣传教育活动，宣传党和国家方针政策，开展普法教育，传播科技文化知识；组织开展公益性文化体育活动，为当地群众提供广播、电影放映等文化服务；开展图书借阅和读书指导活动</w:t>
            </w:r>
          </w:p>
        </w:tc>
      </w:tr>
      <w:tr w14:paraId="75D6D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nil"/>
              <w:right w:val="single" w:color="000000" w:sz="4" w:space="0"/>
            </w:tcBorders>
            <w:shd w:val="clear" w:color="auto" w:fill="auto"/>
            <w:noWrap/>
            <w:vAlign w:val="center"/>
          </w:tcPr>
          <w:p w14:paraId="254C36B2"/>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2D05">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城镇工作办公室</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7BDF">
            <w:pPr>
              <w:keepNext w:val="0"/>
              <w:keepLines w:val="0"/>
              <w:pageBreakBefore w:val="0"/>
              <w:widowControl/>
              <w:suppressLineNumbers w:val="0"/>
              <w:tabs>
                <w:tab w:val="left" w:pos="792"/>
              </w:tabs>
              <w:kinsoku/>
              <w:wordWrap/>
              <w:overflowPunct/>
              <w:topLinePunct w:val="0"/>
              <w:autoSpaceDE/>
              <w:autoSpaceDN/>
              <w:bidi w:val="0"/>
              <w:adjustRightInd/>
              <w:snapToGrid/>
              <w:spacing w:line="300" w:lineRule="exact"/>
              <w:jc w:val="left"/>
              <w:textAlignment w:val="center"/>
              <w:outlineLvl w:val="9"/>
              <w:rPr>
                <w:rFonts w:hint="eastAsia" w:eastAsia="宋体" w:cs="Times New Roman"/>
                <w:i w:val="0"/>
                <w:color w:val="000000"/>
                <w:kern w:val="0"/>
                <w:sz w:val="24"/>
                <w:szCs w:val="24"/>
                <w:u w:val="none"/>
                <w:lang w:val="en-US" w:eastAsia="zh-CN"/>
              </w:rPr>
            </w:pPr>
            <w:r>
              <w:rPr>
                <w:rFonts w:hint="eastAsia" w:eastAsia="宋体" w:cs="Times New Roman"/>
                <w:i w:val="0"/>
                <w:color w:val="000000"/>
                <w:kern w:val="0"/>
                <w:sz w:val="24"/>
                <w:szCs w:val="24"/>
                <w:u w:val="none"/>
                <w:lang w:val="en-US" w:eastAsia="zh-CN"/>
              </w:rPr>
              <w:t>负责本辖区内土地出让、村居民建房手续的初核上报工作；负责配合上级部门搞好辖区内各村（居）委土地利用总体规划；协同村（社区）搞好本辖区内的土地纠纷的调处工作；负责上级主管部门开展辖区内的市政建设等基础设施工作；负责配合协调上级部门搞好本区域内涉及的征地拆迁和安置工作；协同上级部门搞好经济适用房、廉租房等的统计、核实、上报工作；负责配合、协调上级部门搞好城镇建设的其他相关工作。</w:t>
            </w:r>
          </w:p>
        </w:tc>
      </w:tr>
      <w:tr w14:paraId="297B0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7A2ECDB"/>
        </w:tc>
        <w:tc>
          <w:tcPr>
            <w:tcW w:w="2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9C78B">
            <w:pPr>
              <w:keepNext w:val="0"/>
              <w:keepLines w:val="0"/>
              <w:pageBreakBefore w:val="0"/>
              <w:widowControl/>
              <w:tabs>
                <w:tab w:val="right" w:pos="2590"/>
              </w:tabs>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社会事业服务中心</w:t>
            </w:r>
          </w:p>
        </w:tc>
        <w:tc>
          <w:tcPr>
            <w:tcW w:w="523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B5FE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eastAsia="宋体" w:cs="Times New Roman"/>
                <w:i w:val="0"/>
                <w:color w:val="000000"/>
                <w:kern w:val="0"/>
                <w:sz w:val="24"/>
                <w:szCs w:val="24"/>
                <w:u w:val="none"/>
                <w:lang w:val="en-US" w:eastAsia="zh-CN"/>
              </w:rPr>
              <w:t>贯彻执行党和国家的方针、政策和民政工作的有关政策、法律、法规，制定年度民政工作计划并组织实施，协助镇党政府搞好民政工作；贯彻执行城镇居民和农村居民最低生活保障制度，申报、发放最低生活保障金，实行动态管理，落实好农村五保供养政策，使鳏寡孤独人员、孤儿应保尽保;做好敬老院的监督、管理工作；准确调查、掌握残疾人的状况和需求，建档立卡; 密切联系残疾人，听取残疾人意见，反映残疾人需求，维护残疾人权益，为残疾人服务;</w:t>
            </w:r>
          </w:p>
        </w:tc>
      </w:tr>
      <w:tr w14:paraId="433F0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96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年度绩效</w:t>
            </w:r>
          </w:p>
          <w:p w14:paraId="449807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E06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一级指标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CE6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二级指标</w:t>
            </w:r>
          </w:p>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4B5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三级指标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8C1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绩效指标</w:t>
            </w:r>
          </w:p>
          <w:p w14:paraId="5C80DE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性质</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94E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绩效指标值</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BA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绩效度量单位</w:t>
            </w:r>
          </w:p>
        </w:tc>
        <w:tc>
          <w:tcPr>
            <w:tcW w:w="731" w:type="dxa"/>
            <w:tcBorders>
              <w:top w:val="single" w:color="000000" w:sz="4" w:space="0"/>
              <w:left w:val="single" w:color="000000" w:sz="4" w:space="0"/>
              <w:bottom w:val="single" w:color="000000" w:sz="4" w:space="0"/>
              <w:right w:val="nil"/>
            </w:tcBorders>
            <w:shd w:val="clear" w:color="auto" w:fill="auto"/>
            <w:noWrap/>
            <w:vAlign w:val="center"/>
          </w:tcPr>
          <w:p w14:paraId="56AE82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权重</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68E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实际完成</w:t>
            </w:r>
          </w:p>
          <w:p w14:paraId="142228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指标值</w:t>
            </w:r>
          </w:p>
        </w:tc>
      </w:tr>
      <w:tr w14:paraId="74665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3E35"/>
        </w:tc>
        <w:tc>
          <w:tcPr>
            <w:tcW w:w="106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5C5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产出指标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D88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数量指标</w:t>
            </w:r>
          </w:p>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544E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全年调整次数</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2095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177D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rPr>
              <w:t>5</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2FB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次</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4E84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rPr>
              <w:t>20</w:t>
            </w:r>
            <w:r>
              <w:rPr>
                <w:rFonts w:ascii="Times New Roman" w:hAnsi="Times New Roman" w:eastAsia="宋体" w:cs="Times New Roman"/>
                <w:i w:val="0"/>
                <w:color w:val="000000"/>
                <w:kern w:val="0"/>
                <w:sz w:val="24"/>
                <w:szCs w:val="24"/>
                <w:u w:val="none"/>
                <w:lang w:val="en-US" w:eastAsia="zh-CN"/>
              </w:rPr>
              <w:t>%</w:t>
            </w:r>
          </w:p>
        </w:tc>
        <w:tc>
          <w:tcPr>
            <w:tcW w:w="879" w:type="dxa"/>
            <w:tcBorders>
              <w:top w:val="nil"/>
              <w:left w:val="single" w:color="000000" w:sz="4" w:space="0"/>
              <w:bottom w:val="single" w:color="000000" w:sz="4" w:space="0"/>
              <w:right w:val="single" w:color="000000" w:sz="4" w:space="0"/>
            </w:tcBorders>
            <w:shd w:val="clear" w:color="auto" w:fill="auto"/>
            <w:noWrap/>
            <w:vAlign w:val="center"/>
          </w:tcPr>
          <w:p w14:paraId="4AFB6D9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r>
      <w:tr w14:paraId="77B36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523CD"/>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5508A"/>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7DA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质量指标</w:t>
            </w:r>
          </w:p>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D8747">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预算编制准确率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6AC01">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1CA1">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95</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809C5">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6D46F">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A3C6">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95%</w:t>
            </w:r>
          </w:p>
        </w:tc>
      </w:tr>
      <w:tr w14:paraId="7B1D6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1424"/>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BB7E"/>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22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时效指标</w:t>
            </w:r>
          </w:p>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12B72">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按时发放率相应经费</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F7D4E">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DB6F2">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B0F9F">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76A3">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7841">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4BFBD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500B"/>
        </w:tc>
        <w:tc>
          <w:tcPr>
            <w:tcW w:w="1063" w:type="dxa"/>
            <w:vMerge w:val="restart"/>
            <w:tcBorders>
              <w:top w:val="single" w:color="000000" w:sz="4" w:space="0"/>
              <w:left w:val="single" w:color="000000" w:sz="4" w:space="0"/>
              <w:bottom w:val="nil"/>
              <w:right w:val="single" w:color="000000" w:sz="4" w:space="0"/>
            </w:tcBorders>
            <w:shd w:val="clear" w:color="auto" w:fill="auto"/>
            <w:noWrap/>
            <w:vAlign w:val="center"/>
          </w:tcPr>
          <w:p w14:paraId="2C920D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效益指标</w:t>
            </w:r>
          </w:p>
        </w:tc>
        <w:tc>
          <w:tcPr>
            <w:tcW w:w="1005" w:type="dxa"/>
            <w:vMerge w:val="restart"/>
            <w:tcBorders>
              <w:top w:val="single" w:color="000000" w:sz="4" w:space="0"/>
              <w:left w:val="single" w:color="000000" w:sz="4" w:space="0"/>
              <w:bottom w:val="nil"/>
              <w:right w:val="single" w:color="000000" w:sz="4" w:space="0"/>
            </w:tcBorders>
            <w:shd w:val="clear" w:color="auto" w:fill="auto"/>
            <w:noWrap/>
            <w:vAlign w:val="center"/>
          </w:tcPr>
          <w:p w14:paraId="29CD24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eastAsia="宋体" w:cs="Times New Roman"/>
                <w:i w:val="0"/>
                <w:color w:val="000000"/>
                <w:kern w:val="0"/>
                <w:sz w:val="24"/>
                <w:szCs w:val="24"/>
                <w:u w:val="none"/>
                <w:lang w:val="en-US" w:eastAsia="zh-CN"/>
              </w:rPr>
              <w:t>经济</w:t>
            </w:r>
            <w:r>
              <w:rPr>
                <w:rFonts w:ascii="Times New Roman" w:hAnsi="Times New Roman" w:eastAsia="宋体" w:cs="Times New Roman"/>
                <w:i w:val="0"/>
                <w:color w:val="000000"/>
                <w:kern w:val="0"/>
                <w:sz w:val="24"/>
                <w:szCs w:val="24"/>
                <w:u w:val="none"/>
                <w:lang w:val="en-US" w:eastAsia="zh-CN"/>
              </w:rPr>
              <w:t>效益</w:t>
            </w:r>
          </w:p>
          <w:p w14:paraId="291FC9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w:t>
            </w:r>
          </w:p>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EB9EB">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三公经费控制率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57D5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3CF1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E9D43">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E6E02">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918C">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71D23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44003"/>
        </w:tc>
        <w:tc>
          <w:tcPr>
            <w:tcW w:w="1063" w:type="dxa"/>
            <w:vMerge w:val="continue"/>
            <w:tcBorders>
              <w:top w:val="nil"/>
              <w:left w:val="single" w:color="000000" w:sz="4" w:space="0"/>
              <w:bottom w:val="nil"/>
              <w:right w:val="single" w:color="000000" w:sz="4" w:space="0"/>
            </w:tcBorders>
            <w:shd w:val="clear" w:color="auto" w:fill="auto"/>
            <w:noWrap/>
            <w:vAlign w:val="center"/>
          </w:tcPr>
          <w:p w14:paraId="3672FBB9"/>
        </w:tc>
        <w:tc>
          <w:tcPr>
            <w:tcW w:w="1005" w:type="dxa"/>
            <w:vMerge w:val="continue"/>
            <w:tcBorders>
              <w:top w:val="nil"/>
              <w:left w:val="single" w:color="000000" w:sz="4" w:space="0"/>
              <w:bottom w:val="nil"/>
              <w:right w:val="single" w:color="000000" w:sz="4" w:space="0"/>
            </w:tcBorders>
            <w:shd w:val="clear" w:color="auto" w:fill="auto"/>
            <w:noWrap/>
            <w:vAlign w:val="center"/>
          </w:tcPr>
          <w:p w14:paraId="6F7F9281"/>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E31B">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运转保障率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675FB">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32BC6">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63D28">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005FE">
            <w:pPr>
              <w:keepNext w:val="0"/>
              <w:keepLines w:val="0"/>
              <w:pageBreakBefore w:val="0"/>
              <w:widowControl/>
              <w:kinsoku/>
              <w:wordWrap/>
              <w:overflowPunct/>
              <w:topLinePunct w:val="0"/>
              <w:autoSpaceDE/>
              <w:autoSpaceDN/>
              <w:bidi w:val="0"/>
              <w:adjustRightInd/>
              <w:snapToGrid/>
              <w:spacing w:line="300" w:lineRule="exact"/>
              <w:jc w:val="left"/>
              <w:outlineLvl w:val="9"/>
              <w:rPr>
                <w:rFonts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41F09">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hint="eastAsia" w:eastAsia="宋体" w:cs="Times New Roman"/>
                <w:i w:val="0"/>
                <w:color w:val="000000"/>
                <w:sz w:val="24"/>
                <w:szCs w:val="24"/>
                <w:u w:val="none"/>
                <w:lang w:val="en-US" w:eastAsia="zh-CN"/>
              </w:rPr>
              <w:t>100%</w:t>
            </w:r>
          </w:p>
        </w:tc>
      </w:tr>
      <w:tr w14:paraId="01E7D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E54F"/>
        </w:tc>
        <w:tc>
          <w:tcPr>
            <w:tcW w:w="1063" w:type="dxa"/>
            <w:vMerge w:val="continue"/>
            <w:tcBorders>
              <w:top w:val="nil"/>
              <w:left w:val="single" w:color="000000" w:sz="4" w:space="0"/>
              <w:bottom w:val="nil"/>
              <w:right w:val="single" w:color="000000" w:sz="4" w:space="0"/>
            </w:tcBorders>
            <w:shd w:val="clear" w:color="auto" w:fill="auto"/>
            <w:noWrap/>
            <w:vAlign w:val="center"/>
          </w:tcPr>
          <w:p w14:paraId="56EA89BD"/>
        </w:tc>
        <w:tc>
          <w:tcPr>
            <w:tcW w:w="1005"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147ACC6"/>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7008D">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预算结余率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DCEE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A7CC">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5</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47201">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F6654">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9248A">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r>
      <w:tr w14:paraId="753C7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99641"/>
        </w:tc>
        <w:tc>
          <w:tcPr>
            <w:tcW w:w="1063" w:type="dxa"/>
            <w:vMerge w:val="continue"/>
            <w:tcBorders>
              <w:top w:val="nil"/>
              <w:left w:val="single" w:color="000000" w:sz="4" w:space="0"/>
              <w:bottom w:val="nil"/>
              <w:right w:val="single" w:color="000000" w:sz="4" w:space="0"/>
            </w:tcBorders>
            <w:shd w:val="clear" w:color="auto" w:fill="auto"/>
            <w:noWrap/>
            <w:vAlign w:val="center"/>
          </w:tcPr>
          <w:p w14:paraId="618FE841"/>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43A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eastAsia="宋体" w:cs="Times New Roman"/>
                <w:i w:val="0"/>
                <w:color w:val="000000"/>
                <w:kern w:val="0"/>
                <w:sz w:val="24"/>
                <w:szCs w:val="24"/>
                <w:u w:val="none"/>
                <w:lang w:val="en-US" w:eastAsia="zh-CN"/>
              </w:rPr>
            </w:pPr>
            <w:r>
              <w:rPr>
                <w:rFonts w:hint="eastAsia" w:eastAsia="宋体" w:cs="Times New Roman"/>
                <w:i w:val="0"/>
                <w:color w:val="000000"/>
                <w:kern w:val="0"/>
                <w:sz w:val="24"/>
                <w:szCs w:val="24"/>
                <w:u w:val="none"/>
                <w:lang w:val="en-US" w:eastAsia="zh-CN"/>
              </w:rPr>
              <w:t>社会效益指标</w:t>
            </w:r>
          </w:p>
        </w:tc>
        <w:tc>
          <w:tcPr>
            <w:tcW w:w="8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345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eastAsia="宋体" w:cs="Times New Roman"/>
                <w:i w:val="0"/>
                <w:color w:val="000000"/>
                <w:kern w:val="0"/>
                <w:sz w:val="24"/>
                <w:szCs w:val="24"/>
                <w:u w:val="none"/>
                <w:lang w:val="en-US" w:eastAsia="zh-CN"/>
              </w:rPr>
            </w:pPr>
            <w:r>
              <w:rPr>
                <w:rFonts w:eastAsia="宋体" w:cs="Times New Roman"/>
                <w:i w:val="0"/>
                <w:color w:val="000000"/>
                <w:kern w:val="0"/>
                <w:sz w:val="24"/>
                <w:szCs w:val="24"/>
                <w:u w:val="none"/>
                <w:lang w:val="en-US" w:eastAsia="zh-CN"/>
              </w:rPr>
              <w:t>保障全乡人民幸福率</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F4EF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3D92">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FD162">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sz w:val="24"/>
                <w:szCs w:val="24"/>
                <w:u w:val="none"/>
              </w:rPr>
              <w:t>%</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FEDBD">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D8A88">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hAnsi="Times New Roman" w:eastAsia="宋体" w:cs="Times New Roman"/>
                <w:i w:val="0"/>
                <w:color w:val="000000"/>
                <w:sz w:val="24"/>
                <w:szCs w:val="24"/>
                <w:u w:val="none"/>
              </w:rPr>
            </w:pPr>
            <w:r>
              <w:rPr>
                <w:rFonts w:hint="eastAsia" w:eastAsia="宋体" w:cs="Times New Roman"/>
                <w:i w:val="0"/>
                <w:color w:val="000000"/>
                <w:sz w:val="24"/>
                <w:szCs w:val="24"/>
                <w:u w:val="none"/>
                <w:lang w:val="en-US" w:eastAsia="zh-CN"/>
              </w:rPr>
              <w:t>100%</w:t>
            </w:r>
          </w:p>
        </w:tc>
      </w:tr>
    </w:tbl>
    <w:p w14:paraId="2B0E7506">
      <w:pPr>
        <w:pStyle w:val="13"/>
        <w:jc w:val="center"/>
      </w:pPr>
    </w:p>
    <w:p w14:paraId="7A936685">
      <w:pPr>
        <w:pStyle w:val="9"/>
      </w:pPr>
    </w:p>
    <w:p w14:paraId="62E0B937">
      <w:pPr>
        <w:pStyle w:val="9"/>
      </w:pPr>
    </w:p>
    <w:p w14:paraId="5BE869A0">
      <w:pPr>
        <w:pStyle w:val="9"/>
      </w:pPr>
    </w:p>
    <w:p w14:paraId="3F5507E4">
      <w:pPr>
        <w:pStyle w:val="9"/>
      </w:pPr>
    </w:p>
    <w:p w14:paraId="7DC33B63">
      <w:pPr>
        <w:pStyle w:val="9"/>
      </w:pPr>
    </w:p>
    <w:p w14:paraId="76C469B9">
      <w:pPr>
        <w:pStyle w:val="9"/>
      </w:pPr>
    </w:p>
    <w:p w14:paraId="6CC83D7D">
      <w:pPr>
        <w:pStyle w:val="9"/>
      </w:pPr>
    </w:p>
    <w:p w14:paraId="705A1506">
      <w:pPr>
        <w:pStyle w:val="9"/>
      </w:pPr>
    </w:p>
    <w:p w14:paraId="28570A0D">
      <w:pPr>
        <w:pStyle w:val="9"/>
      </w:pPr>
    </w:p>
    <w:p w14:paraId="127FCD0F">
      <w:pPr>
        <w:pStyle w:val="9"/>
        <w:ind w:left="0" w:leftChars="0" w:firstLine="0" w:firstLineChars="0"/>
      </w:pPr>
    </w:p>
    <w:p w14:paraId="7BBEE01F">
      <w:pPr>
        <w:pStyle w:val="9"/>
        <w:ind w:left="0" w:leftChars="0" w:firstLine="0" w:firstLineChars="0"/>
      </w:pPr>
    </w:p>
    <w:p w14:paraId="6DFE4B4A">
      <w:pPr>
        <w:pStyle w:val="9"/>
        <w:ind w:left="0" w:leftChars="0" w:firstLine="0" w:firstLineChars="0"/>
      </w:pPr>
    </w:p>
    <w:p w14:paraId="477A49C9">
      <w:pPr>
        <w:pStyle w:val="6"/>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20BE2782">
      <w:pPr>
        <w:pStyle w:val="27"/>
        <w:keepNext w:val="0"/>
        <w:keepLines w:val="0"/>
        <w:pageBreakBefore w:val="0"/>
        <w:widowControl w:val="0"/>
        <w:kinsoku/>
        <w:wordWrap/>
        <w:overflowPunct/>
        <w:topLinePunct w:val="0"/>
        <w:autoSpaceDE/>
        <w:autoSpaceDN/>
        <w:bidi w:val="0"/>
        <w:spacing w:line="578" w:lineRule="exact"/>
        <w:ind w:left="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54B43F71">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2640" w:firstLineChars="600"/>
        <w:jc w:val="both"/>
        <w:textAlignment w:val="auto"/>
        <w:rPr>
          <w:rFonts w:hint="eastAsia" w:ascii="Times New Roman" w:hAnsi="Times New Roman" w:eastAsia="方正小标宋简体" w:cs="方正小标宋简体"/>
          <w:color w:val="auto"/>
          <w:kern w:val="2"/>
          <w:sz w:val="44"/>
          <w:szCs w:val="44"/>
          <w:highlight w:val="none"/>
          <w:lang w:val="en-US" w:eastAsia="zh-CN" w:bidi="ar-SA"/>
        </w:rPr>
      </w:pPr>
      <w:r>
        <w:rPr>
          <w:rFonts w:hint="eastAsia" w:eastAsia="方正小标宋简体" w:cs="方正小标宋简体"/>
          <w:color w:val="auto"/>
          <w:kern w:val="2"/>
          <w:sz w:val="44"/>
          <w:szCs w:val="44"/>
          <w:highlight w:val="none"/>
          <w:lang w:val="en-US" w:eastAsia="zh-CN" w:bidi="ar-SA"/>
        </w:rPr>
        <w:t>河西乡</w:t>
      </w:r>
      <w:r>
        <w:rPr>
          <w:rFonts w:hint="eastAsia" w:ascii="Times New Roman" w:hAnsi="Times New Roman" w:eastAsia="方正小标宋简体" w:cs="方正小标宋简体"/>
          <w:color w:val="auto"/>
          <w:kern w:val="2"/>
          <w:sz w:val="44"/>
          <w:szCs w:val="44"/>
          <w:highlight w:val="none"/>
          <w:lang w:val="en-US" w:eastAsia="zh-CN" w:bidi="ar-SA"/>
        </w:rPr>
        <w:t>人民政府</w:t>
      </w:r>
    </w:p>
    <w:p w14:paraId="2EE4A56D">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2200" w:firstLineChars="500"/>
        <w:jc w:val="both"/>
        <w:textAlignment w:val="auto"/>
        <w:rPr>
          <w:rFonts w:ascii="Times New Roman" w:hAnsi="Times New Roman" w:eastAsia="方正小标宋简体" w:cs="方正小标宋简体"/>
          <w:color w:val="auto"/>
          <w:kern w:val="2"/>
          <w:sz w:val="44"/>
          <w:szCs w:val="44"/>
          <w:highlight w:val="none"/>
          <w:lang w:val="en-US" w:eastAsia="zh-CN" w:bidi="ar-SA"/>
        </w:rPr>
      </w:pPr>
      <w:r>
        <w:rPr>
          <w:rFonts w:ascii="Times New Roman" w:hAnsi="Times New Roman" w:eastAsia="方正小标宋简体" w:cs="方正小标宋简体"/>
          <w:color w:val="auto"/>
          <w:kern w:val="2"/>
          <w:sz w:val="44"/>
          <w:szCs w:val="44"/>
          <w:highlight w:val="none"/>
          <w:lang w:val="en-US" w:eastAsia="zh-CN" w:bidi="ar-SA"/>
        </w:rPr>
        <w:t>专项预算绩效自评报告</w:t>
      </w:r>
    </w:p>
    <w:p w14:paraId="708051E6">
      <w:pPr>
        <w:pStyle w:val="27"/>
        <w:keepNext w:val="0"/>
        <w:keepLines w:val="0"/>
        <w:pageBreakBefore w:val="0"/>
        <w:widowControl w:val="0"/>
        <w:kinsoku/>
        <w:wordWrap/>
        <w:overflowPunct/>
        <w:topLinePunct w:val="0"/>
        <w:autoSpaceDE/>
        <w:autoSpaceDN/>
        <w:bidi w:val="0"/>
        <w:spacing w:line="578" w:lineRule="exact"/>
        <w:ind w:left="0" w:firstLine="640"/>
        <w:jc w:val="center"/>
        <w:textAlignment w:val="auto"/>
        <w:rPr>
          <w:rFonts w:ascii="Times New Roman" w:hAnsi="Times New Roman" w:cs="Times New Roman"/>
          <w:color w:val="auto"/>
          <w:kern w:val="2"/>
          <w:sz w:val="32"/>
          <w:szCs w:val="32"/>
          <w:highlight w:val="none"/>
        </w:rPr>
      </w:pPr>
    </w:p>
    <w:p w14:paraId="56FF1706">
      <w:pPr>
        <w:keepNext w:val="0"/>
        <w:keepLines w:val="0"/>
        <w:pageBreakBefore w:val="0"/>
        <w:widowControl w:val="0"/>
        <w:kinsoku/>
        <w:wordWrap/>
        <w:overflowPunct/>
        <w:topLinePunct w:val="0"/>
        <w:autoSpaceDE/>
        <w:autoSpaceDN/>
        <w:bidi w:val="0"/>
        <w:adjustRightInd w:val="0"/>
        <w:snapToGrid w:val="0"/>
        <w:spacing w:line="578" w:lineRule="exact"/>
        <w:textAlignment w:val="auto"/>
        <w:rPr>
          <w:rFonts w:ascii="Times New Roman" w:hAnsi="Times New Roman" w:eastAsia="黑体"/>
          <w:sz w:val="32"/>
          <w:szCs w:val="32"/>
          <w:highlight w:val="none"/>
          <w:lang w:val="zh-CN"/>
        </w:rPr>
      </w:pPr>
      <w:r>
        <w:rPr>
          <w:rFonts w:ascii="Times New Roman" w:hAnsi="Times New Roman" w:eastAsia="黑体"/>
          <w:sz w:val="32"/>
          <w:szCs w:val="32"/>
          <w:highlight w:val="none"/>
        </w:rPr>
        <w:t>一、</w:t>
      </w:r>
      <w:r>
        <w:rPr>
          <w:rFonts w:ascii="Times New Roman" w:hAnsi="Times New Roman" w:eastAsia="黑体"/>
          <w:sz w:val="32"/>
          <w:szCs w:val="32"/>
          <w:highlight w:val="none"/>
          <w:lang w:val="zh-CN"/>
        </w:rPr>
        <w:t>项目概况</w:t>
      </w:r>
    </w:p>
    <w:p w14:paraId="3AC45A66">
      <w:pPr>
        <w:ind w:firstLine="321" w:firstLineChars="100"/>
        <w:rPr>
          <w:rFonts w:ascii="Times New Roman" w:hAnsi="Times New Roman" w:eastAsia="楷体_GB2312" w:cs="Times New Roman"/>
          <w:b/>
          <w:color w:val="auto"/>
          <w:sz w:val="32"/>
          <w:szCs w:val="32"/>
          <w:highlight w:val="none"/>
          <w:u w:val="none"/>
          <w:lang w:val="zh-CN"/>
        </w:rPr>
      </w:pPr>
      <w:r>
        <w:rPr>
          <w:rFonts w:ascii="Times New Roman" w:hAnsi="Times New Roman" w:eastAsia="楷体_GB2312" w:cs="Times New Roman"/>
          <w:b/>
          <w:color w:val="auto"/>
          <w:sz w:val="32"/>
          <w:szCs w:val="32"/>
          <w:highlight w:val="none"/>
          <w:u w:val="none"/>
          <w:lang w:val="zh-CN"/>
        </w:rPr>
        <w:t>（一）设立背景及基本情况。</w:t>
      </w:r>
    </w:p>
    <w:p w14:paraId="228C2E79">
      <w:pPr>
        <w:ind w:firstLine="640" w:firstLineChars="200"/>
        <w:rPr>
          <w:rFonts w:hint="eastAsia" w:ascii="仿宋" w:eastAsia="仿宋" w:cs="仿宋"/>
          <w:color w:val="auto"/>
          <w:kern w:val="0"/>
          <w:sz w:val="32"/>
          <w:szCs w:val="32"/>
          <w:highlight w:val="none"/>
          <w:u w:val="none"/>
          <w:shd w:val="clear" w:color="auto" w:fill="FFFFFF"/>
          <w:lang w:val="zh-CN"/>
        </w:rPr>
      </w:pPr>
      <w:r>
        <w:rPr>
          <w:rFonts w:hint="eastAsia" w:ascii="仿宋_GB2312" w:eastAsia="仿宋_GB2312"/>
          <w:sz w:val="32"/>
          <w:szCs w:val="32"/>
          <w:lang w:eastAsia="zh-CN"/>
        </w:rPr>
        <w:t>河西乡</w:t>
      </w:r>
      <w:r>
        <w:rPr>
          <w:rFonts w:hint="eastAsia" w:ascii="仿宋_GB2312" w:eastAsia="仿宋_GB2312"/>
          <w:sz w:val="32"/>
          <w:szCs w:val="32"/>
        </w:rPr>
        <w:t>位于</w:t>
      </w:r>
      <w:r>
        <w:rPr>
          <w:rFonts w:hint="eastAsia" w:ascii="仿宋_GB2312" w:eastAsia="仿宋_GB2312" w:cs="仿宋_GB2312"/>
          <w:sz w:val="32"/>
          <w:szCs w:val="32"/>
          <w:lang w:bidi="ar-SA"/>
        </w:rPr>
        <w:t>毗邻G248线，位于县城西南部，幅员面积8.4平方公里。全村下辖</w:t>
      </w:r>
      <w:r>
        <w:rPr>
          <w:rFonts w:hint="eastAsia" w:ascii="仿宋_GB2312" w:eastAsia="仿宋_GB2312" w:cs="仿宋_GB2312"/>
          <w:sz w:val="32"/>
          <w:szCs w:val="32"/>
          <w:lang w:val="en-US" w:eastAsia="zh-CN" w:bidi="ar-SA"/>
        </w:rPr>
        <w:t>5</w:t>
      </w:r>
      <w:r>
        <w:rPr>
          <w:rFonts w:hint="eastAsia" w:ascii="仿宋_GB2312" w:eastAsia="仿宋_GB2312" w:cs="仿宋_GB2312"/>
          <w:sz w:val="32"/>
          <w:szCs w:val="32"/>
          <w:lang w:bidi="ar-SA"/>
        </w:rPr>
        <w:t>个村</w:t>
      </w:r>
      <w:r>
        <w:rPr>
          <w:rFonts w:hint="eastAsia" w:ascii="仿宋_GB2312" w:eastAsia="仿宋_GB2312"/>
          <w:sz w:val="32"/>
          <w:szCs w:val="32"/>
          <w:lang w:eastAsia="zh-CN"/>
        </w:rPr>
        <w:t>、</w:t>
      </w:r>
      <w:r>
        <w:rPr>
          <w:rFonts w:hint="eastAsia" w:ascii="仿宋_GB2312" w:eastAsia="仿宋_GB2312"/>
          <w:sz w:val="32"/>
          <w:szCs w:val="32"/>
        </w:rPr>
        <w:t>结合</w:t>
      </w:r>
      <w:r>
        <w:rPr>
          <w:rFonts w:hint="eastAsia" w:ascii="仿宋_GB2312" w:eastAsia="仿宋_GB2312"/>
          <w:sz w:val="32"/>
          <w:szCs w:val="32"/>
          <w:lang w:eastAsia="zh-CN"/>
        </w:rPr>
        <w:t>河西乡</w:t>
      </w:r>
      <w:r>
        <w:rPr>
          <w:rFonts w:hint="eastAsia" w:ascii="仿宋_GB2312" w:eastAsia="仿宋_GB2312"/>
          <w:sz w:val="32"/>
          <w:szCs w:val="32"/>
        </w:rPr>
        <w:t>乡村振兴发展目标。坚持统筹发展的原则，坚持因地制宜，科学规划的原则，坚持政府主导，通过</w:t>
      </w:r>
      <w:r>
        <w:rPr>
          <w:rFonts w:hint="eastAsia" w:ascii="仿宋_GB2312" w:eastAsia="仿宋_GB2312"/>
          <w:sz w:val="32"/>
          <w:szCs w:val="32"/>
          <w:lang w:val="en-US" w:eastAsia="zh-CN"/>
        </w:rPr>
        <w:t>金川县河西乡甲咱村村集体经济建设、乃当村冻库建设项目、杨家湾村村道维修提升项目</w:t>
      </w:r>
      <w:r>
        <w:rPr>
          <w:rFonts w:hint="eastAsia" w:ascii="仿宋_GB2312" w:eastAsia="仿宋_GB2312"/>
          <w:sz w:val="32"/>
          <w:szCs w:val="32"/>
        </w:rPr>
        <w:t>进一步完善</w:t>
      </w:r>
      <w:r>
        <w:rPr>
          <w:rFonts w:hint="eastAsia" w:ascii="仿宋_GB2312" w:eastAsia="仿宋_GB2312"/>
          <w:sz w:val="32"/>
          <w:szCs w:val="32"/>
          <w:lang w:eastAsia="zh-CN"/>
        </w:rPr>
        <w:t>河西乡</w:t>
      </w:r>
      <w:r>
        <w:rPr>
          <w:rFonts w:hint="eastAsia" w:ascii="仿宋_GB2312" w:eastAsia="仿宋_GB2312"/>
          <w:sz w:val="32"/>
          <w:szCs w:val="32"/>
        </w:rPr>
        <w:t>基础设施建设，</w:t>
      </w:r>
      <w:r>
        <w:rPr>
          <w:rFonts w:hint="eastAsia" w:ascii="仿宋_GB2312" w:eastAsia="仿宋_GB2312"/>
          <w:sz w:val="32"/>
          <w:szCs w:val="32"/>
          <w:lang w:val="en-US" w:eastAsia="zh-CN"/>
        </w:rPr>
        <w:t>确保全乡村民生活安全，解决其后顾之忧；</w:t>
      </w:r>
      <w:r>
        <w:rPr>
          <w:rFonts w:hint="eastAsia" w:ascii="仿宋_GB2312" w:eastAsia="仿宋_GB2312"/>
          <w:sz w:val="32"/>
          <w:szCs w:val="32"/>
        </w:rPr>
        <w:t>金川县河西乡甲咱村村集体经济建设</w:t>
      </w:r>
      <w:r>
        <w:rPr>
          <w:rFonts w:hint="eastAsia" w:ascii="仿宋_GB2312" w:eastAsia="仿宋_GB2312"/>
          <w:sz w:val="32"/>
          <w:szCs w:val="32"/>
          <w:lang w:val="en-US" w:eastAsia="zh-CN"/>
        </w:rPr>
        <w:t>项目，</w:t>
      </w:r>
      <w:r>
        <w:rPr>
          <w:rFonts w:hint="eastAsia" w:ascii="仿宋_GB2312" w:eastAsia="仿宋_GB2312"/>
          <w:sz w:val="32"/>
          <w:szCs w:val="32"/>
        </w:rPr>
        <w:t>计划投资</w:t>
      </w:r>
      <w:r>
        <w:rPr>
          <w:rFonts w:hint="eastAsia" w:ascii="仿宋_GB2312" w:eastAsia="仿宋_GB2312"/>
          <w:sz w:val="32"/>
          <w:szCs w:val="32"/>
          <w:lang w:val="en-US" w:eastAsia="zh-CN"/>
        </w:rPr>
        <w:t>46.64</w:t>
      </w:r>
      <w:r>
        <w:rPr>
          <w:rFonts w:hint="eastAsia" w:ascii="仿宋_GB2312" w:eastAsia="仿宋_GB2312"/>
          <w:sz w:val="32"/>
          <w:szCs w:val="32"/>
        </w:rPr>
        <w:t>万元，项目实施主要内容包括：厂房建设120㎡，灵芝包9000坨。通过项目的实施可以带动当地10余名群众务工就业，增加群众务工收入，增加甲咱村集体经济收入。资金来源为中央和省级衔接资金</w:t>
      </w:r>
      <w:r>
        <w:rPr>
          <w:rFonts w:hint="eastAsia" w:ascii="仿宋_GB2312" w:eastAsia="仿宋_GB2312"/>
          <w:sz w:val="32"/>
          <w:szCs w:val="32"/>
          <w:lang w:val="en-US" w:eastAsia="zh-CN"/>
        </w:rPr>
        <w:t>46.64</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以</w:t>
      </w:r>
      <w:r>
        <w:rPr>
          <w:rFonts w:hint="eastAsia" w:ascii="仿宋_GB2312" w:eastAsia="仿宋_GB2312"/>
          <w:sz w:val="32"/>
          <w:szCs w:val="32"/>
          <w:lang w:eastAsia="zh-CN"/>
        </w:rPr>
        <w:t>河西乡杨家湾村村道维修提升项目</w:t>
      </w:r>
      <w:r>
        <w:rPr>
          <w:rFonts w:hint="eastAsia" w:ascii="仿宋_GB2312" w:eastAsia="仿宋_GB2312"/>
          <w:sz w:val="32"/>
          <w:szCs w:val="32"/>
          <w:lang w:val="en-US" w:eastAsia="zh-CN"/>
        </w:rPr>
        <w:t>及</w:t>
      </w:r>
      <w:r>
        <w:rPr>
          <w:rFonts w:hint="eastAsia" w:ascii="仿宋_GB2312" w:eastAsia="仿宋_GB2312"/>
          <w:sz w:val="32"/>
          <w:szCs w:val="32"/>
        </w:rPr>
        <w:t>金川县河西乡乃当村冻库建设项目为契机进一步完善</w:t>
      </w:r>
      <w:r>
        <w:rPr>
          <w:rFonts w:hint="eastAsia" w:ascii="仿宋_GB2312" w:eastAsia="仿宋_GB2312"/>
          <w:sz w:val="32"/>
          <w:szCs w:val="32"/>
          <w:lang w:eastAsia="zh-CN"/>
        </w:rPr>
        <w:t>河西乡</w:t>
      </w:r>
      <w:r>
        <w:rPr>
          <w:rFonts w:hint="eastAsia" w:ascii="仿宋_GB2312" w:eastAsia="仿宋_GB2312"/>
          <w:sz w:val="32"/>
          <w:szCs w:val="32"/>
        </w:rPr>
        <w:t>基础设施建设，助力</w:t>
      </w:r>
      <w:r>
        <w:rPr>
          <w:rFonts w:hint="eastAsia" w:ascii="仿宋_GB2312" w:eastAsia="仿宋_GB2312"/>
          <w:sz w:val="32"/>
          <w:szCs w:val="32"/>
          <w:lang w:eastAsia="zh-CN"/>
        </w:rPr>
        <w:t>河西乡</w:t>
      </w:r>
      <w:r>
        <w:rPr>
          <w:rFonts w:hint="eastAsia" w:ascii="仿宋_GB2312" w:eastAsia="仿宋_GB2312"/>
          <w:sz w:val="32"/>
          <w:szCs w:val="32"/>
        </w:rPr>
        <w:t>经济、社会统一发展，更好的提高老百姓生产生活水平，助力乡村振兴，为深入挖掘</w:t>
      </w:r>
      <w:r>
        <w:rPr>
          <w:rFonts w:hint="eastAsia" w:ascii="仿宋_GB2312" w:eastAsia="仿宋_GB2312"/>
          <w:sz w:val="32"/>
          <w:szCs w:val="32"/>
          <w:lang w:eastAsia="zh-CN"/>
        </w:rPr>
        <w:t>河西乡</w:t>
      </w:r>
      <w:r>
        <w:rPr>
          <w:rFonts w:hint="eastAsia" w:ascii="仿宋_GB2312" w:eastAsia="仿宋_GB2312"/>
          <w:sz w:val="32"/>
          <w:szCs w:val="32"/>
        </w:rPr>
        <w:t>优势资源奠定坚实基础、拓展全乡群众增收渠道。</w:t>
      </w:r>
    </w:p>
    <w:p w14:paraId="29AABE8E">
      <w:pPr>
        <w:numPr>
          <w:ilvl w:val="0"/>
          <w:numId w:val="10"/>
        </w:numPr>
        <w:snapToGrid w:val="0"/>
        <w:spacing w:line="600" w:lineRule="exact"/>
        <w:ind w:left="0" w:firstLine="643" w:firstLineChars="200"/>
        <w:rPr>
          <w:rFonts w:ascii="Times New Roman" w:hAnsi="Times New Roman" w:eastAsia="楷体_GB2312" w:cs="Times New Roman"/>
          <w:b/>
          <w:color w:val="auto"/>
          <w:sz w:val="32"/>
          <w:szCs w:val="32"/>
          <w:highlight w:val="none"/>
          <w:u w:val="none"/>
          <w:lang w:val="en-US" w:eastAsia="zh-CN"/>
        </w:rPr>
      </w:pPr>
      <w:r>
        <w:rPr>
          <w:rFonts w:ascii="Times New Roman" w:hAnsi="Times New Roman" w:eastAsia="楷体_GB2312" w:cs="Times New Roman"/>
          <w:b/>
          <w:color w:val="auto"/>
          <w:sz w:val="32"/>
          <w:szCs w:val="32"/>
          <w:highlight w:val="none"/>
          <w:u w:val="none"/>
          <w:lang w:val="en-US" w:eastAsia="zh-CN"/>
        </w:rPr>
        <w:t>实施目的及支持方向。</w:t>
      </w:r>
    </w:p>
    <w:p w14:paraId="0502B996">
      <w:pPr>
        <w:ind w:firstLine="640" w:firstLineChars="200"/>
        <w:rPr>
          <w:rFonts w:hint="eastAsia" w:ascii="仿宋_GB2312" w:eastAsia="仿宋_GB2312"/>
          <w:sz w:val="32"/>
          <w:szCs w:val="32"/>
        </w:rPr>
      </w:pPr>
      <w:r>
        <w:rPr>
          <w:rFonts w:hint="eastAsia" w:ascii="仿宋_GB2312" w:eastAsia="仿宋_GB2312"/>
          <w:sz w:val="32"/>
          <w:szCs w:val="32"/>
        </w:rPr>
        <w:t>按照有关规定和工作安排，我单位</w:t>
      </w:r>
      <w:r>
        <w:rPr>
          <w:rFonts w:hint="eastAsia" w:ascii="仿宋_GB2312" w:eastAsia="仿宋_GB2312"/>
          <w:sz w:val="32"/>
          <w:szCs w:val="32"/>
          <w:lang w:eastAsia="zh-CN"/>
        </w:rPr>
        <w:t>对该</w:t>
      </w:r>
      <w:r>
        <w:rPr>
          <w:rFonts w:hint="eastAsia" w:ascii="仿宋_GB2312" w:eastAsia="仿宋_GB2312"/>
          <w:sz w:val="32"/>
          <w:szCs w:val="32"/>
          <w:lang w:val="en-US" w:eastAsia="zh-CN"/>
        </w:rPr>
        <w:t>4个</w:t>
      </w:r>
      <w:r>
        <w:rPr>
          <w:rFonts w:hint="eastAsia" w:ascii="仿宋_GB2312" w:eastAsia="仿宋_GB2312"/>
          <w:sz w:val="32"/>
          <w:szCs w:val="32"/>
          <w:lang w:eastAsia="zh-CN"/>
        </w:rPr>
        <w:t>项目</w:t>
      </w:r>
      <w:r>
        <w:rPr>
          <w:rFonts w:hint="eastAsia" w:ascii="仿宋_GB2312" w:eastAsia="仿宋_GB2312"/>
          <w:sz w:val="32"/>
          <w:szCs w:val="32"/>
        </w:rPr>
        <w:t>开展</w:t>
      </w:r>
      <w:r>
        <w:rPr>
          <w:rFonts w:hint="eastAsia" w:ascii="仿宋_GB2312" w:eastAsia="仿宋_GB2312"/>
          <w:sz w:val="32"/>
          <w:szCs w:val="32"/>
          <w:lang w:eastAsia="zh-CN"/>
        </w:rPr>
        <w:t>了</w:t>
      </w:r>
      <w:r>
        <w:rPr>
          <w:rFonts w:hint="eastAsia" w:ascii="仿宋_GB2312" w:eastAsia="仿宋_GB2312"/>
          <w:sz w:val="32"/>
          <w:szCs w:val="32"/>
        </w:rPr>
        <w:t>自行评估，通过召开</w:t>
      </w:r>
      <w:r>
        <w:rPr>
          <w:rFonts w:hint="eastAsia" w:ascii="仿宋_GB2312" w:eastAsia="仿宋_GB2312"/>
          <w:sz w:val="32"/>
          <w:szCs w:val="32"/>
          <w:lang w:eastAsia="zh-CN"/>
        </w:rPr>
        <w:t>会议</w:t>
      </w:r>
      <w:r>
        <w:rPr>
          <w:rFonts w:hint="eastAsia" w:ascii="仿宋_GB2312" w:eastAsia="仿宋_GB2312"/>
          <w:sz w:val="32"/>
          <w:szCs w:val="32"/>
          <w:lang w:val="en-US" w:eastAsia="zh-CN"/>
        </w:rPr>
        <w:t>、</w:t>
      </w:r>
      <w:r>
        <w:rPr>
          <w:rFonts w:hint="eastAsia" w:ascii="仿宋_GB2312" w:eastAsia="仿宋_GB2312"/>
          <w:sz w:val="32"/>
          <w:szCs w:val="32"/>
        </w:rPr>
        <w:t>问卷调查</w:t>
      </w:r>
      <w:r>
        <w:rPr>
          <w:rFonts w:hint="eastAsia" w:ascii="仿宋_GB2312" w:eastAsia="仿宋_GB2312"/>
          <w:sz w:val="32"/>
          <w:szCs w:val="32"/>
          <w:lang w:eastAsia="zh-CN"/>
        </w:rPr>
        <w:t>、</w:t>
      </w:r>
      <w:r>
        <w:rPr>
          <w:rFonts w:hint="eastAsia" w:ascii="仿宋_GB2312" w:eastAsia="仿宋_GB2312"/>
          <w:sz w:val="32"/>
          <w:szCs w:val="32"/>
        </w:rPr>
        <w:t>人大代表和政协委员参与等方式</w:t>
      </w:r>
      <w:r>
        <w:rPr>
          <w:rFonts w:hint="eastAsia" w:ascii="仿宋_GB2312" w:eastAsia="仿宋_GB2312"/>
          <w:sz w:val="32"/>
          <w:szCs w:val="32"/>
          <w:lang w:eastAsia="zh-CN"/>
        </w:rPr>
        <w:t>，</w:t>
      </w:r>
      <w:r>
        <w:rPr>
          <w:rFonts w:hint="eastAsia" w:ascii="仿宋_GB2312" w:eastAsia="仿宋_GB2312"/>
          <w:sz w:val="32"/>
          <w:szCs w:val="32"/>
        </w:rPr>
        <w:t>收集被评估项目相关基础资料，查阅资料、收集数据信息等，深入论证分析后，形成绩效评估报告。</w:t>
      </w:r>
    </w:p>
    <w:p w14:paraId="17221EC2">
      <w:pPr>
        <w:pStyle w:val="16"/>
        <w:keepNext w:val="0"/>
        <w:keepLines w:val="0"/>
        <w:widowControl/>
        <w:numPr>
          <w:ilvl w:val="0"/>
          <w:numId w:val="10"/>
        </w:numPr>
        <w:suppressLineNumbers w:val="0"/>
        <w:ind w:left="0" w:firstLine="643" w:firstLineChars="200"/>
        <w:jc w:val="left"/>
        <w:rPr>
          <w:rFonts w:ascii="Times New Roman" w:hAnsi="Times New Roman" w:eastAsia="楷体_GB2312" w:cs="Times New Roman"/>
          <w:b/>
          <w:color w:val="auto"/>
          <w:sz w:val="32"/>
          <w:szCs w:val="32"/>
          <w:highlight w:val="none"/>
          <w:u w:val="none"/>
          <w:lang w:val="zh-CN" w:eastAsia="zh-CN"/>
        </w:rPr>
      </w:pPr>
      <w:r>
        <w:rPr>
          <w:rFonts w:ascii="Times New Roman" w:hAnsi="Times New Roman" w:eastAsia="楷体_GB2312" w:cs="Times New Roman"/>
          <w:b/>
          <w:color w:val="auto"/>
          <w:sz w:val="32"/>
          <w:szCs w:val="32"/>
          <w:highlight w:val="none"/>
          <w:u w:val="none"/>
          <w:lang w:val="en-US" w:eastAsia="zh-CN"/>
        </w:rPr>
        <w:t>预算安排及分配管理</w:t>
      </w:r>
      <w:r>
        <w:rPr>
          <w:rFonts w:ascii="Times New Roman" w:hAnsi="Times New Roman" w:eastAsia="楷体_GB2312" w:cs="Times New Roman"/>
          <w:b/>
          <w:color w:val="auto"/>
          <w:sz w:val="32"/>
          <w:szCs w:val="32"/>
          <w:highlight w:val="none"/>
          <w:u w:val="none"/>
          <w:lang w:val="zh-CN" w:eastAsia="zh-CN"/>
        </w:rPr>
        <w:t>。</w:t>
      </w:r>
    </w:p>
    <w:p w14:paraId="07626F0E">
      <w:pPr>
        <w:ind w:firstLine="640" w:firstLineChars="200"/>
        <w:rPr>
          <w:rFonts w:ascii="Times New Roman" w:hAnsi="Times New Roman" w:cs="Times New Roman"/>
          <w:color w:val="auto"/>
          <w:kern w:val="0"/>
          <w:sz w:val="32"/>
          <w:szCs w:val="32"/>
          <w:highlight w:val="none"/>
          <w:u w:val="none"/>
          <w:shd w:val="clear" w:color="auto" w:fill="FFFFFF"/>
          <w:lang w:val="zh-CN"/>
        </w:rPr>
      </w:pPr>
      <w:r>
        <w:rPr>
          <w:rFonts w:hint="eastAsia" w:ascii="仿宋_GB2312" w:eastAsia="仿宋_GB2312"/>
          <w:sz w:val="32"/>
          <w:szCs w:val="32"/>
        </w:rPr>
        <w:t>项目申报预算</w:t>
      </w:r>
      <w:r>
        <w:rPr>
          <w:rFonts w:hint="eastAsia" w:ascii="仿宋_GB2312" w:eastAsia="仿宋_GB2312"/>
          <w:sz w:val="32"/>
          <w:szCs w:val="32"/>
          <w:lang w:val="en-US" w:eastAsia="zh-CN"/>
        </w:rPr>
        <w:t>181.32</w:t>
      </w:r>
      <w:r>
        <w:rPr>
          <w:rFonts w:hint="eastAsia" w:ascii="仿宋_GB2312" w:eastAsia="仿宋_GB2312"/>
          <w:sz w:val="32"/>
          <w:szCs w:val="32"/>
        </w:rPr>
        <w:t>万元，</w:t>
      </w:r>
      <w:r>
        <w:rPr>
          <w:rFonts w:hint="eastAsia" w:ascii="仿宋_GB2312" w:eastAsia="仿宋_GB2312"/>
          <w:sz w:val="32"/>
          <w:szCs w:val="32"/>
          <w:lang w:val="en-US" w:eastAsia="zh-CN"/>
        </w:rPr>
        <w:t>2024年度</w:t>
      </w:r>
      <w:r>
        <w:rPr>
          <w:rFonts w:hint="eastAsia" w:ascii="仿宋_GB2312" w:eastAsia="仿宋_GB2312"/>
          <w:sz w:val="32"/>
          <w:szCs w:val="32"/>
        </w:rPr>
        <w:t>申报金额为</w:t>
      </w:r>
      <w:r>
        <w:rPr>
          <w:rFonts w:hint="eastAsia" w:ascii="仿宋_GB2312" w:eastAsia="仿宋_GB2312"/>
          <w:sz w:val="32"/>
          <w:szCs w:val="32"/>
          <w:lang w:val="en-US" w:eastAsia="zh-CN"/>
        </w:rPr>
        <w:t>126.82</w:t>
      </w:r>
      <w:r>
        <w:rPr>
          <w:rFonts w:hint="eastAsia" w:ascii="仿宋_GB2312" w:eastAsia="仿宋_GB2312"/>
          <w:sz w:val="32"/>
          <w:szCs w:val="32"/>
        </w:rPr>
        <w:t>万元，资金来源为</w:t>
      </w:r>
      <w:r>
        <w:rPr>
          <w:rFonts w:hint="eastAsia" w:ascii="仿宋_GB2312" w:eastAsia="仿宋_GB2312"/>
          <w:sz w:val="32"/>
          <w:szCs w:val="32"/>
          <w:lang w:val="en-US" w:eastAsia="zh-CN"/>
        </w:rPr>
        <w:t>巩固脱贫攻坚成果衔接乡村振兴126.82万元项目、</w:t>
      </w:r>
      <w:r>
        <w:rPr>
          <w:rFonts w:hint="eastAsia" w:ascii="仿宋_GB2312" w:eastAsia="仿宋_GB2312"/>
          <w:sz w:val="32"/>
          <w:szCs w:val="32"/>
        </w:rPr>
        <w:t>本次对项目投入经济性的评估是在项目事前绩效评估、预算测算的基础上，按照厉行节约的要求，结合项目202</w:t>
      </w:r>
      <w:r>
        <w:rPr>
          <w:rFonts w:hint="eastAsia" w:ascii="仿宋_GB2312" w:eastAsia="仿宋_GB2312"/>
          <w:sz w:val="32"/>
          <w:szCs w:val="32"/>
          <w:lang w:val="en-US" w:eastAsia="zh-CN"/>
        </w:rPr>
        <w:t>4</w:t>
      </w:r>
      <w:r>
        <w:rPr>
          <w:rFonts w:hint="eastAsia" w:ascii="仿宋_GB2312" w:eastAsia="仿宋_GB2312"/>
          <w:sz w:val="32"/>
          <w:szCs w:val="32"/>
        </w:rPr>
        <w:t>年开支情况</w:t>
      </w:r>
      <w:r>
        <w:rPr>
          <w:rFonts w:hint="eastAsia" w:ascii="仿宋_GB2312" w:eastAsia="仿宋_GB2312"/>
          <w:sz w:val="32"/>
          <w:szCs w:val="32"/>
          <w:lang w:eastAsia="zh-CN"/>
        </w:rPr>
        <w:t>，</w:t>
      </w:r>
      <w:r>
        <w:rPr>
          <w:rFonts w:hint="eastAsia" w:ascii="仿宋_GB2312" w:eastAsia="仿宋_GB2312"/>
          <w:sz w:val="32"/>
          <w:szCs w:val="32"/>
        </w:rPr>
        <w:t>结合202</w:t>
      </w:r>
      <w:r>
        <w:rPr>
          <w:rFonts w:hint="eastAsia" w:ascii="仿宋_GB2312" w:eastAsia="仿宋_GB2312"/>
          <w:sz w:val="32"/>
          <w:szCs w:val="32"/>
          <w:lang w:val="en-US" w:eastAsia="zh-CN"/>
        </w:rPr>
        <w:t>4</w:t>
      </w:r>
      <w:r>
        <w:rPr>
          <w:rFonts w:hint="eastAsia" w:ascii="仿宋_GB2312" w:eastAsia="仿宋_GB2312"/>
          <w:sz w:val="32"/>
          <w:szCs w:val="32"/>
        </w:rPr>
        <w:t>年实际需求、相关费用标准及市场价格水平，重点对数量是否合理、投入是否经济、预算测算是否准确、测算过程是否详细、测算依据是否充分等方面进行了评估。评估认为，该项目任务数量基本合理、预算测算过程较为详细、测算依据基本充分、有一定的经济性。</w:t>
      </w:r>
    </w:p>
    <w:p w14:paraId="45FD609F">
      <w:pPr>
        <w:keepNext w:val="0"/>
        <w:keepLines w:val="0"/>
        <w:pageBreakBefore w:val="0"/>
        <w:widowControl w:val="0"/>
        <w:numPr>
          <w:ilvl w:val="0"/>
          <w:numId w:val="10"/>
        </w:numPr>
        <w:kinsoku/>
        <w:wordWrap/>
        <w:overflowPunct/>
        <w:topLinePunct w:val="0"/>
        <w:autoSpaceDE/>
        <w:autoSpaceDN/>
        <w:bidi w:val="0"/>
        <w:adjustRightInd w:val="0"/>
        <w:snapToGrid w:val="0"/>
        <w:spacing w:line="578" w:lineRule="exact"/>
        <w:ind w:left="0" w:firstLine="643" w:firstLineChars="200"/>
        <w:textAlignment w:val="auto"/>
        <w:rPr>
          <w:rFonts w:ascii="Times New Roman" w:hAnsi="Times New Roman" w:eastAsia="楷体_GB2312" w:cs="Times New Roman"/>
          <w:b/>
          <w:color w:val="auto"/>
          <w:sz w:val="32"/>
          <w:szCs w:val="32"/>
          <w:highlight w:val="none"/>
          <w:u w:val="none"/>
          <w:lang w:val="zh-CN" w:eastAsia="zh-CN"/>
        </w:rPr>
      </w:pPr>
      <w:r>
        <w:rPr>
          <w:rFonts w:ascii="Times New Roman" w:hAnsi="Times New Roman" w:eastAsia="楷体_GB2312" w:cs="Times New Roman"/>
          <w:b/>
          <w:color w:val="auto"/>
          <w:sz w:val="32"/>
          <w:szCs w:val="32"/>
          <w:highlight w:val="none"/>
          <w:u w:val="none"/>
          <w:lang w:val="zh-CN" w:eastAsia="zh-CN"/>
        </w:rPr>
        <w:t>项目绩效目标设置。</w:t>
      </w:r>
    </w:p>
    <w:p w14:paraId="581C4C8F">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textAlignment w:val="auto"/>
        <w:rPr>
          <w:rFonts w:ascii="仿宋_GB2312" w:eastAsia="仿宋_GB2312"/>
          <w:sz w:val="32"/>
          <w:szCs w:val="32"/>
          <w:lang w:val="zh-CN" w:eastAsia="zh-CN"/>
        </w:rPr>
      </w:pPr>
      <w:r>
        <w:rPr>
          <w:rFonts w:hint="eastAsia" w:ascii="仿宋_GB2312" w:eastAsia="仿宋_GB2312"/>
          <w:sz w:val="32"/>
          <w:szCs w:val="32"/>
        </w:rPr>
        <w:t>根据20</w:t>
      </w:r>
      <w:r>
        <w:rPr>
          <w:rFonts w:hint="eastAsia" w:ascii="仿宋_GB2312" w:eastAsia="仿宋_GB2312"/>
          <w:sz w:val="32"/>
          <w:szCs w:val="32"/>
          <w:lang w:val="en-US" w:eastAsia="zh-CN"/>
        </w:rPr>
        <w:t>24</w:t>
      </w:r>
      <w:r>
        <w:rPr>
          <w:rFonts w:hint="eastAsia" w:ascii="仿宋_GB2312" w:eastAsia="仿宋_GB2312"/>
          <w:sz w:val="32"/>
          <w:szCs w:val="32"/>
        </w:rPr>
        <w:t>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仿宋_GB2312" w:eastAsia="仿宋_GB2312"/>
          <w:sz w:val="32"/>
          <w:szCs w:val="32"/>
          <w:lang w:val="zh-CN" w:eastAsia="zh-CN"/>
        </w:rPr>
        <w:t>。</w:t>
      </w:r>
    </w:p>
    <w:p w14:paraId="318A57D8">
      <w:pPr>
        <w:keepNext w:val="0"/>
        <w:keepLines w:val="0"/>
        <w:pageBreakBefore w:val="0"/>
        <w:widowControl w:val="0"/>
        <w:kinsoku/>
        <w:wordWrap/>
        <w:overflowPunct/>
        <w:topLinePunct w:val="0"/>
        <w:autoSpaceDE/>
        <w:autoSpaceDN/>
        <w:bidi w:val="0"/>
        <w:adjustRightInd w:val="0"/>
        <w:snapToGrid w:val="0"/>
        <w:spacing w:line="578" w:lineRule="exact"/>
        <w:textAlignment w:val="auto"/>
        <w:rPr>
          <w:rFonts w:ascii="Times New Roman" w:hAnsi="Times New Roman" w:eastAsia="黑体"/>
          <w:sz w:val="32"/>
          <w:szCs w:val="32"/>
          <w:highlight w:val="none"/>
          <w:lang w:val="zh-CN" w:eastAsia="zh-CN"/>
        </w:rPr>
      </w:pPr>
      <w:r>
        <w:rPr>
          <w:rFonts w:ascii="Times New Roman" w:hAnsi="Times New Roman" w:eastAsia="黑体"/>
          <w:sz w:val="32"/>
          <w:szCs w:val="32"/>
          <w:highlight w:val="none"/>
          <w:lang w:val="zh-CN"/>
        </w:rPr>
        <w:t>二、</w:t>
      </w:r>
      <w:r>
        <w:rPr>
          <w:rFonts w:ascii="Times New Roman" w:hAnsi="Times New Roman" w:eastAsia="黑体"/>
          <w:sz w:val="32"/>
          <w:szCs w:val="32"/>
          <w:highlight w:val="none"/>
          <w:lang w:val="zh-CN" w:eastAsia="zh-CN"/>
        </w:rPr>
        <w:t>评价实施</w:t>
      </w:r>
    </w:p>
    <w:p w14:paraId="6AD4ED58">
      <w:pPr>
        <w:snapToGrid w:val="0"/>
        <w:spacing w:line="600" w:lineRule="exact"/>
        <w:ind w:firstLine="643" w:firstLineChars="200"/>
        <w:rPr>
          <w:rFonts w:ascii="Times New Roman" w:hAnsi="Times New Roman" w:eastAsia="楷体_GB2312" w:cs="Times New Roman"/>
          <w:b/>
          <w:color w:val="auto"/>
          <w:sz w:val="32"/>
          <w:szCs w:val="32"/>
          <w:highlight w:val="none"/>
          <w:u w:val="none"/>
          <w:lang w:val="zh-CN"/>
        </w:rPr>
      </w:pPr>
      <w:r>
        <w:rPr>
          <w:rFonts w:ascii="Times New Roman" w:hAnsi="Times New Roman" w:eastAsia="楷体_GB2312" w:cs="Times New Roman"/>
          <w:b/>
          <w:color w:val="auto"/>
          <w:sz w:val="32"/>
          <w:szCs w:val="32"/>
          <w:highlight w:val="none"/>
          <w:u w:val="none"/>
          <w:lang w:val="zh-CN"/>
        </w:rPr>
        <w:t>（一）评价目的。</w:t>
      </w:r>
    </w:p>
    <w:p w14:paraId="705D537B">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textAlignment w:val="auto"/>
        <w:rPr>
          <w:rFonts w:hint="eastAsia" w:ascii="仿宋_GB2312" w:eastAsia="仿宋_GB2312"/>
          <w:sz w:val="32"/>
          <w:szCs w:val="32"/>
        </w:rPr>
      </w:pPr>
      <w:r>
        <w:rPr>
          <w:rFonts w:hint="eastAsia" w:ascii="仿宋_GB2312" w:eastAsia="仿宋_GB2312"/>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58B40013">
      <w:pPr>
        <w:keepNext w:val="0"/>
        <w:keepLines w:val="0"/>
        <w:pageBreakBefore w:val="0"/>
        <w:widowControl w:val="0"/>
        <w:numPr>
          <w:ilvl w:val="0"/>
          <w:numId w:val="2"/>
        </w:numPr>
        <w:kinsoku/>
        <w:wordWrap/>
        <w:overflowPunct/>
        <w:topLinePunct w:val="0"/>
        <w:autoSpaceDE/>
        <w:autoSpaceDN/>
        <w:bidi w:val="0"/>
        <w:adjustRightInd w:val="0"/>
        <w:snapToGrid w:val="0"/>
        <w:spacing w:line="578" w:lineRule="exact"/>
        <w:ind w:left="0" w:firstLine="643" w:firstLineChars="200"/>
        <w:textAlignment w:val="auto"/>
        <w:rPr>
          <w:rFonts w:ascii="Times New Roman" w:hAnsi="Times New Roman" w:eastAsia="楷体_GB2312" w:cs="Times New Roman"/>
          <w:b/>
          <w:color w:val="auto"/>
          <w:sz w:val="32"/>
          <w:szCs w:val="32"/>
          <w:highlight w:val="none"/>
          <w:u w:val="none"/>
          <w:lang w:val="zh-CN"/>
        </w:rPr>
      </w:pPr>
      <w:r>
        <w:rPr>
          <w:rFonts w:ascii="Times New Roman" w:hAnsi="Times New Roman" w:eastAsia="楷体_GB2312" w:cs="Times New Roman"/>
          <w:b/>
          <w:color w:val="auto"/>
          <w:sz w:val="32"/>
          <w:szCs w:val="32"/>
          <w:highlight w:val="none"/>
          <w:u w:val="none"/>
          <w:lang w:val="zh-CN"/>
        </w:rPr>
        <w:t>预设问题及评价重点。</w:t>
      </w:r>
    </w:p>
    <w:p w14:paraId="12C23131">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Times New Roman" w:hAnsi="Times New Roman"/>
          <w:szCs w:val="32"/>
          <w:lang w:val="zh-CN"/>
        </w:rPr>
      </w:pPr>
      <w:r>
        <w:rPr>
          <w:rFonts w:hint="eastAsia" w:ascii="仿宋_GB2312" w:eastAsia="仿宋_GB2312"/>
          <w:sz w:val="32"/>
          <w:szCs w:val="32"/>
          <w:lang w:val="en-US" w:eastAsia="zh-CN"/>
        </w:rPr>
        <w:t>1、项目决策：</w:t>
      </w:r>
      <w:r>
        <w:rPr>
          <w:rFonts w:hint="eastAsia" w:ascii="仿宋_GB2312" w:eastAsia="仿宋_GB2312"/>
          <w:sz w:val="32"/>
          <w:szCs w:val="32"/>
          <w:lang w:val="zh-CN"/>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77C897F1">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仿宋_GB2312" w:eastAsia="仿宋_GB2312"/>
          <w:sz w:val="32"/>
          <w:szCs w:val="32"/>
          <w:lang w:val="zh-CN"/>
        </w:rPr>
      </w:pPr>
      <w:r>
        <w:rPr>
          <w:rFonts w:hint="eastAsia" w:ascii="仿宋_GB2312" w:eastAsia="仿宋_GB2312"/>
          <w:sz w:val="32"/>
          <w:szCs w:val="32"/>
          <w:lang w:val="en-US" w:eastAsia="zh-CN"/>
        </w:rPr>
        <w:t>2、项目管理：</w:t>
      </w:r>
      <w:r>
        <w:rPr>
          <w:rFonts w:hint="eastAsia" w:ascii="仿宋_GB2312" w:eastAsia="仿宋_GB2312"/>
          <w:sz w:val="32"/>
          <w:szCs w:val="32"/>
          <w:lang w:val="zh-CN"/>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54E15653">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仿宋_GB2312" w:eastAsia="仿宋_GB2312"/>
          <w:sz w:val="32"/>
          <w:szCs w:val="32"/>
          <w:lang w:val="zh-CN"/>
        </w:rPr>
      </w:pPr>
      <w:r>
        <w:rPr>
          <w:rFonts w:hint="eastAsia" w:ascii="仿宋_GB2312" w:eastAsia="仿宋_GB2312"/>
          <w:sz w:val="32"/>
          <w:szCs w:val="32"/>
          <w:lang w:val="en-US" w:eastAsia="zh-CN"/>
        </w:rPr>
        <w:t>3、项目实施：</w:t>
      </w:r>
      <w:r>
        <w:rPr>
          <w:rFonts w:hint="eastAsia" w:ascii="仿宋_GB2312" w:eastAsia="仿宋_GB2312"/>
          <w:sz w:val="32"/>
          <w:szCs w:val="32"/>
          <w:lang w:val="zh-CN"/>
        </w:rPr>
        <w:t>项目资金财政拨付按时完成率</w:t>
      </w:r>
      <w:r>
        <w:rPr>
          <w:rFonts w:hint="eastAsia" w:ascii="仿宋_GB2312" w:eastAsia="仿宋_GB2312"/>
          <w:sz w:val="32"/>
          <w:szCs w:val="32"/>
          <w:lang w:val="en-US" w:eastAsia="zh-CN"/>
        </w:rPr>
        <w:t>100%</w:t>
      </w:r>
      <w:r>
        <w:rPr>
          <w:rFonts w:hint="eastAsia" w:ascii="仿宋_GB2312" w:eastAsia="仿宋_GB2312"/>
          <w:sz w:val="32"/>
          <w:szCs w:val="32"/>
          <w:lang w:val="zh-CN"/>
        </w:rPr>
        <w:t>、单位执行资金使用率为</w:t>
      </w:r>
      <w:r>
        <w:rPr>
          <w:rFonts w:hint="eastAsia" w:ascii="仿宋_GB2312" w:eastAsia="仿宋_GB2312"/>
          <w:sz w:val="32"/>
          <w:szCs w:val="32"/>
          <w:lang w:val="en-US" w:eastAsia="zh-CN"/>
        </w:rPr>
        <w:t>100%</w:t>
      </w:r>
      <w:r>
        <w:rPr>
          <w:rFonts w:hint="eastAsia" w:ascii="仿宋_GB2312" w:eastAsia="仿宋_GB2312"/>
          <w:sz w:val="32"/>
          <w:szCs w:val="32"/>
          <w:lang w:val="zh-CN"/>
        </w:rPr>
        <w:t>和地方配套资金到位率</w:t>
      </w:r>
      <w:r>
        <w:rPr>
          <w:rFonts w:hint="eastAsia" w:ascii="仿宋_GB2312" w:eastAsia="仿宋_GB2312"/>
          <w:sz w:val="32"/>
          <w:szCs w:val="32"/>
          <w:lang w:val="en-US" w:eastAsia="zh-CN"/>
        </w:rPr>
        <w:t>100%</w:t>
      </w:r>
      <w:r>
        <w:rPr>
          <w:rFonts w:hint="eastAsia" w:ascii="仿宋_GB2312" w:eastAsia="仿宋_GB2312"/>
          <w:sz w:val="32"/>
          <w:szCs w:val="32"/>
          <w:lang w:val="zh-CN"/>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6E8862EB">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Times New Roman" w:hAnsi="Times New Roman"/>
          <w:szCs w:val="32"/>
          <w:lang w:eastAsia="zh-CN"/>
        </w:rPr>
      </w:pPr>
      <w:r>
        <w:rPr>
          <w:rFonts w:hint="eastAsia" w:ascii="仿宋_GB2312" w:eastAsia="仿宋_GB2312"/>
          <w:sz w:val="32"/>
          <w:szCs w:val="32"/>
          <w:lang w:val="en-US" w:eastAsia="zh-CN"/>
        </w:rPr>
        <w:t>4、项目结果：</w:t>
      </w:r>
      <w:r>
        <w:rPr>
          <w:rFonts w:hint="eastAsia" w:ascii="仿宋_GB2312" w:eastAsia="仿宋_GB2312"/>
          <w:sz w:val="32"/>
          <w:szCs w:val="32"/>
          <w:lang w:val="zh-CN"/>
        </w:rPr>
        <w:t>项目完成预期目标，实施结果与绩效目标相匹配，反映目标实现率</w:t>
      </w:r>
      <w:r>
        <w:rPr>
          <w:rFonts w:hint="eastAsia" w:ascii="仿宋_GB2312" w:eastAsia="仿宋_GB2312"/>
          <w:sz w:val="32"/>
          <w:szCs w:val="32"/>
          <w:lang w:val="en-US" w:eastAsia="zh-CN"/>
        </w:rPr>
        <w:t>100%</w:t>
      </w:r>
      <w:r>
        <w:rPr>
          <w:rFonts w:hint="eastAsia" w:ascii="仿宋_GB2312" w:eastAsia="仿宋_GB2312"/>
          <w:sz w:val="32"/>
          <w:szCs w:val="32"/>
          <w:lang w:val="zh-CN"/>
        </w:rPr>
        <w:t>，项目实际完成时间与计划完成时间的比较差异率为</w:t>
      </w:r>
      <w:r>
        <w:rPr>
          <w:rFonts w:hint="eastAsia" w:ascii="仿宋_GB2312" w:eastAsia="仿宋_GB2312"/>
          <w:sz w:val="32"/>
          <w:szCs w:val="32"/>
          <w:lang w:val="en-US" w:eastAsia="zh-CN"/>
        </w:rPr>
        <w:t>0%</w:t>
      </w:r>
      <w:r>
        <w:rPr>
          <w:rFonts w:hint="eastAsia" w:ascii="仿宋_GB2312" w:eastAsia="仿宋_GB2312"/>
          <w:sz w:val="32"/>
          <w:szCs w:val="32"/>
          <w:lang w:val="zh-CN" w:eastAsia="zh-CN"/>
        </w:rPr>
        <w:t>。</w:t>
      </w:r>
    </w:p>
    <w:p w14:paraId="6F39598A">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auto"/>
        <w:outlineLvl w:val="9"/>
        <w:rPr>
          <w:rFonts w:ascii="Times New Roman" w:hAnsi="Times New Roman" w:eastAsia="楷体_GB2312" w:cs="Times New Roman"/>
          <w:b/>
          <w:color w:val="000000"/>
          <w:sz w:val="32"/>
          <w:szCs w:val="32"/>
          <w:highlight w:val="none"/>
          <w:u w:val="none"/>
          <w:lang w:val="zh-CN"/>
        </w:rPr>
      </w:pPr>
      <w:r>
        <w:rPr>
          <w:rFonts w:ascii="Times New Roman" w:hAnsi="Times New Roman" w:eastAsia="楷体_GB2312" w:cs="Times New Roman"/>
          <w:b/>
          <w:color w:val="000000"/>
          <w:sz w:val="32"/>
          <w:szCs w:val="32"/>
          <w:highlight w:val="none"/>
          <w:u w:val="none"/>
          <w:lang w:val="zh-CN"/>
        </w:rPr>
        <w:t>（三）评价选点。</w:t>
      </w:r>
    </w:p>
    <w:p w14:paraId="57E2EF68">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ascii="仿宋_GB2312" w:eastAsia="仿宋_GB2312"/>
          <w:sz w:val="32"/>
          <w:szCs w:val="32"/>
          <w:lang w:val="zh-CN" w:eastAsia="zh-CN"/>
        </w:rPr>
      </w:pPr>
      <w:r>
        <w:rPr>
          <w:rFonts w:ascii="仿宋_GB2312" w:eastAsia="仿宋_GB2312"/>
          <w:sz w:val="32"/>
          <w:szCs w:val="32"/>
          <w:lang w:val="zh-CN" w:eastAsia="zh-CN"/>
        </w:rPr>
        <w:t>项目绩效自评所抽样点位情况。每个专项预算项目</w:t>
      </w:r>
      <w:r>
        <w:rPr>
          <w:rFonts w:ascii="仿宋_GB2312" w:eastAsia="仿宋_GB2312"/>
          <w:sz w:val="32"/>
          <w:szCs w:val="32"/>
          <w:lang w:val="en-US" w:eastAsia="zh-CN"/>
        </w:rPr>
        <w:t>应选取</w:t>
      </w:r>
      <w:r>
        <w:rPr>
          <w:rFonts w:hint="eastAsia" w:ascii="仿宋_GB2312" w:eastAsia="仿宋_GB2312"/>
          <w:sz w:val="32"/>
          <w:szCs w:val="32"/>
          <w:lang w:val="en-US" w:eastAsia="zh-CN"/>
        </w:rPr>
        <w:t>专项资金分配涉及点位总数的20%</w:t>
      </w:r>
      <w:r>
        <w:rPr>
          <w:rFonts w:ascii="仿宋_GB2312" w:eastAsia="仿宋_GB2312"/>
          <w:sz w:val="32"/>
          <w:szCs w:val="32"/>
          <w:lang w:val="en-US" w:eastAsia="zh-CN"/>
        </w:rPr>
        <w:t>进行实地踏勘，且点位清单应作为自评附</w:t>
      </w:r>
      <w:r>
        <w:rPr>
          <w:rFonts w:hint="eastAsia" w:ascii="仿宋_GB2312" w:eastAsia="仿宋_GB2312"/>
          <w:sz w:val="32"/>
          <w:szCs w:val="32"/>
          <w:lang w:val="en-US" w:eastAsia="zh-CN"/>
        </w:rPr>
        <w:t>表</w:t>
      </w:r>
      <w:r>
        <w:rPr>
          <w:rFonts w:ascii="仿宋_GB2312" w:eastAsia="仿宋_GB2312"/>
          <w:sz w:val="32"/>
          <w:szCs w:val="32"/>
          <w:lang w:val="en-US" w:eastAsia="zh-CN"/>
        </w:rPr>
        <w:t>。</w:t>
      </w:r>
    </w:p>
    <w:p w14:paraId="15CE9674">
      <w:pPr>
        <w:numPr>
          <w:ilvl w:val="0"/>
          <w:numId w:val="2"/>
        </w:numPr>
        <w:snapToGrid w:val="0"/>
        <w:spacing w:line="600" w:lineRule="exact"/>
        <w:ind w:left="0" w:firstLine="643" w:firstLineChars="200"/>
        <w:rPr>
          <w:rFonts w:ascii="Times New Roman" w:hAnsi="Times New Roman" w:eastAsia="楷体_GB2312" w:cs="Times New Roman"/>
          <w:b/>
          <w:color w:val="auto"/>
          <w:sz w:val="32"/>
          <w:szCs w:val="32"/>
          <w:highlight w:val="none"/>
          <w:u w:val="none"/>
          <w:lang w:val="zh-CN"/>
        </w:rPr>
      </w:pPr>
      <w:r>
        <w:rPr>
          <w:rFonts w:ascii="Times New Roman" w:hAnsi="Times New Roman" w:eastAsia="楷体_GB2312" w:cs="Times New Roman"/>
          <w:b/>
          <w:color w:val="auto"/>
          <w:sz w:val="32"/>
          <w:szCs w:val="32"/>
          <w:highlight w:val="none"/>
          <w:u w:val="none"/>
          <w:lang w:val="zh-CN"/>
        </w:rPr>
        <w:t>评价方法。</w:t>
      </w:r>
    </w:p>
    <w:p w14:paraId="55C0F904">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ascii="仿宋_GB2312" w:eastAsia="仿宋_GB2312"/>
          <w:sz w:val="32"/>
          <w:szCs w:val="32"/>
          <w:lang w:val="zh-CN" w:eastAsia="zh-CN"/>
        </w:rPr>
      </w:pPr>
      <w:r>
        <w:rPr>
          <w:rFonts w:hint="eastAsia" w:ascii="仿宋_GB2312" w:eastAsia="仿宋_GB2312"/>
          <w:sz w:val="32"/>
          <w:szCs w:val="32"/>
          <w:lang w:val="zh-CN" w:eastAsia="zh-CN"/>
        </w:rPr>
        <w:t>按照有关规定和工作安排，我单位对该项目开展了自行评估，通过召开会议</w:t>
      </w:r>
      <w:r>
        <w:rPr>
          <w:rFonts w:hint="eastAsia" w:ascii="仿宋_GB2312" w:eastAsia="仿宋_GB2312"/>
          <w:sz w:val="32"/>
          <w:szCs w:val="32"/>
          <w:lang w:val="en-US" w:eastAsia="zh-CN"/>
        </w:rPr>
        <w:t>、</w:t>
      </w:r>
      <w:r>
        <w:rPr>
          <w:rFonts w:hint="eastAsia" w:ascii="仿宋_GB2312" w:eastAsia="仿宋_GB2312"/>
          <w:sz w:val="32"/>
          <w:szCs w:val="32"/>
          <w:lang w:val="zh-CN" w:eastAsia="zh-CN"/>
        </w:rPr>
        <w:t>问卷调查、人大代表和政协委员参与等方式，收集被评估</w:t>
      </w:r>
      <w:r>
        <w:rPr>
          <w:rFonts w:ascii="仿宋_GB2312" w:eastAsia="仿宋_GB2312"/>
          <w:sz w:val="32"/>
          <w:szCs w:val="32"/>
          <w:lang w:val="zh-CN" w:eastAsia="zh-CN"/>
        </w:rPr>
        <w:t>项目</w:t>
      </w:r>
      <w:r>
        <w:rPr>
          <w:rFonts w:hint="eastAsia" w:ascii="仿宋_GB2312" w:eastAsia="仿宋_GB2312"/>
          <w:sz w:val="32"/>
          <w:szCs w:val="32"/>
          <w:lang w:val="zh-CN" w:eastAsia="zh-CN"/>
        </w:rPr>
        <w:t>相关</w:t>
      </w:r>
      <w:r>
        <w:rPr>
          <w:rFonts w:ascii="仿宋_GB2312" w:eastAsia="仿宋_GB2312"/>
          <w:sz w:val="32"/>
          <w:szCs w:val="32"/>
          <w:lang w:val="zh-CN" w:eastAsia="zh-CN"/>
        </w:rPr>
        <w:t>基础资料，查阅资料、</w:t>
      </w:r>
      <w:r>
        <w:rPr>
          <w:rFonts w:hint="eastAsia" w:ascii="仿宋_GB2312" w:eastAsia="仿宋_GB2312"/>
          <w:sz w:val="32"/>
          <w:szCs w:val="32"/>
          <w:lang w:val="zh-CN" w:eastAsia="zh-CN"/>
        </w:rPr>
        <w:t>收集数据信息</w:t>
      </w:r>
      <w:r>
        <w:rPr>
          <w:rFonts w:ascii="仿宋_GB2312" w:eastAsia="仿宋_GB2312"/>
          <w:sz w:val="32"/>
          <w:szCs w:val="32"/>
          <w:lang w:val="zh-CN" w:eastAsia="zh-CN"/>
        </w:rPr>
        <w:t>等</w:t>
      </w:r>
      <w:r>
        <w:rPr>
          <w:rFonts w:hint="eastAsia" w:ascii="仿宋_GB2312" w:eastAsia="仿宋_GB2312"/>
          <w:sz w:val="32"/>
          <w:szCs w:val="32"/>
          <w:lang w:val="zh-CN" w:eastAsia="zh-CN"/>
        </w:rPr>
        <w:t>，深入论证</w:t>
      </w:r>
      <w:r>
        <w:rPr>
          <w:rFonts w:ascii="仿宋_GB2312" w:eastAsia="仿宋_GB2312"/>
          <w:sz w:val="32"/>
          <w:szCs w:val="32"/>
          <w:lang w:val="zh-CN" w:eastAsia="zh-CN"/>
        </w:rPr>
        <w:t>分析后，形成绩效评估报告。</w:t>
      </w:r>
    </w:p>
    <w:p w14:paraId="41ECDAD9">
      <w:pPr>
        <w:keepNext w:val="0"/>
        <w:keepLines w:val="0"/>
        <w:pageBreakBefore w:val="0"/>
        <w:widowControl w:val="0"/>
        <w:numPr>
          <w:ilvl w:val="0"/>
          <w:numId w:val="2"/>
        </w:numPr>
        <w:kinsoku/>
        <w:wordWrap/>
        <w:overflowPunct/>
        <w:topLinePunct w:val="0"/>
        <w:autoSpaceDE/>
        <w:autoSpaceDN/>
        <w:bidi w:val="0"/>
        <w:spacing w:line="578" w:lineRule="exact"/>
        <w:ind w:left="0" w:firstLine="643" w:firstLineChars="200"/>
        <w:textAlignment w:val="auto"/>
        <w:outlineLvl w:val="9"/>
        <w:rPr>
          <w:rFonts w:ascii="Times New Roman" w:hAnsi="Times New Roman" w:eastAsia="楷体_GB2312" w:cs="Times New Roman"/>
          <w:b/>
          <w:color w:val="auto"/>
          <w:sz w:val="32"/>
          <w:szCs w:val="32"/>
          <w:highlight w:val="none"/>
          <w:u w:val="none"/>
          <w:lang w:val="zh-CN"/>
        </w:rPr>
      </w:pPr>
      <w:r>
        <w:rPr>
          <w:rFonts w:ascii="Times New Roman" w:hAnsi="Times New Roman" w:eastAsia="楷体_GB2312" w:cs="Times New Roman"/>
          <w:b/>
          <w:color w:val="auto"/>
          <w:sz w:val="32"/>
          <w:szCs w:val="32"/>
          <w:highlight w:val="none"/>
          <w:u w:val="none"/>
          <w:lang w:val="zh-CN"/>
        </w:rPr>
        <w:t>评价组织。</w:t>
      </w:r>
    </w:p>
    <w:p w14:paraId="28F105DA">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ascii="仿宋_GB2312" w:eastAsia="仿宋_GB2312"/>
          <w:sz w:val="32"/>
          <w:szCs w:val="32"/>
          <w:lang w:val="zh-CN" w:eastAsia="zh-CN"/>
        </w:rPr>
      </w:pPr>
      <w:r>
        <w:rPr>
          <w:rFonts w:hint="eastAsia" w:ascii="仿宋_GB2312" w:eastAsia="仿宋_GB2312"/>
          <w:sz w:val="32"/>
          <w:szCs w:val="32"/>
          <w:lang w:val="zh-CN" w:eastAsia="zh-CN"/>
        </w:rPr>
        <w:t>评价组人员由人大代表和政协委员共同进行。</w:t>
      </w:r>
    </w:p>
    <w:p w14:paraId="58F1FCD9">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cs="Times New Roman"/>
          <w:color w:val="auto"/>
          <w:sz w:val="32"/>
          <w:szCs w:val="32"/>
          <w:highlight w:val="none"/>
          <w:u w:val="none"/>
          <w:lang w:val="zh-CN"/>
        </w:rPr>
      </w:pPr>
      <w:r>
        <w:rPr>
          <w:rFonts w:ascii="Times New Roman" w:hAnsi="Times New Roman" w:eastAsia="黑体" w:cs="Times New Roman"/>
          <w:color w:val="auto"/>
          <w:sz w:val="32"/>
          <w:szCs w:val="32"/>
          <w:highlight w:val="none"/>
          <w:u w:val="none"/>
        </w:rPr>
        <w:t>三、</w:t>
      </w:r>
      <w:r>
        <w:rPr>
          <w:rFonts w:ascii="Times New Roman" w:hAnsi="Times New Roman" w:eastAsia="黑体" w:cs="Times New Roman"/>
          <w:color w:val="auto"/>
          <w:sz w:val="32"/>
          <w:szCs w:val="32"/>
          <w:highlight w:val="none"/>
          <w:u w:val="none"/>
          <w:lang w:eastAsia="zh-CN"/>
        </w:rPr>
        <w:t>绩效分析</w:t>
      </w:r>
      <w:r>
        <w:rPr>
          <w:rFonts w:ascii="Times New Roman" w:hAnsi="Times New Roman" w:cs="Times New Roman"/>
          <w:color w:val="auto"/>
          <w:sz w:val="32"/>
          <w:szCs w:val="32"/>
          <w:highlight w:val="none"/>
          <w:u w:val="none"/>
          <w:lang w:val="zh-CN"/>
        </w:rPr>
        <w:tab/>
      </w:r>
    </w:p>
    <w:p w14:paraId="3D57C4CE">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该项目评估总得分90分、评估等级优</w:t>
      </w:r>
      <w:r>
        <w:rPr>
          <w:rFonts w:hint="eastAsia" w:ascii="仿宋_GB2312" w:hAnsi="仿宋_GB2312" w:cs="Times New Roman"/>
          <w:kern w:val="2"/>
          <w:sz w:val="32"/>
          <w:szCs w:val="32"/>
          <w:lang w:val="en-US" w:eastAsia="zh-CN" w:bidi="ar-SA"/>
        </w:rPr>
        <w:t>。</w:t>
      </w:r>
    </w:p>
    <w:p w14:paraId="765CC6EF">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Times New Roman" w:hAnsi="Times New Roman" w:eastAsia="楷体_GB2312" w:cs="Times New Roman"/>
          <w:b/>
          <w:color w:val="auto"/>
          <w:sz w:val="32"/>
          <w:szCs w:val="32"/>
          <w:highlight w:val="none"/>
          <w:u w:val="none"/>
          <w:lang w:val="en-US" w:eastAsia="zh-CN"/>
        </w:rPr>
      </w:pPr>
      <w:r>
        <w:rPr>
          <w:rFonts w:ascii="Times New Roman" w:hAnsi="Times New Roman" w:eastAsia="楷体_GB2312" w:cs="Times New Roman"/>
          <w:b/>
          <w:color w:val="auto"/>
          <w:sz w:val="32"/>
          <w:szCs w:val="32"/>
          <w:highlight w:val="none"/>
          <w:u w:val="none"/>
          <w:lang w:val="zh-CN" w:eastAsia="zh-CN"/>
        </w:rPr>
        <w:t>（一）</w:t>
      </w:r>
      <w:r>
        <w:rPr>
          <w:rFonts w:ascii="Times New Roman" w:hAnsi="Times New Roman" w:eastAsia="楷体_GB2312" w:cs="Times New Roman"/>
          <w:b/>
          <w:color w:val="auto"/>
          <w:sz w:val="32"/>
          <w:szCs w:val="32"/>
          <w:highlight w:val="none"/>
          <w:u w:val="none"/>
          <w:lang w:val="en-US" w:eastAsia="zh-CN"/>
        </w:rPr>
        <w:t>通用指标</w:t>
      </w:r>
      <w:r>
        <w:rPr>
          <w:rFonts w:ascii="Times New Roman" w:hAnsi="Times New Roman" w:eastAsia="楷体_GB2312" w:cs="Times New Roman"/>
          <w:b/>
          <w:color w:val="auto"/>
          <w:sz w:val="32"/>
          <w:szCs w:val="32"/>
          <w:highlight w:val="none"/>
          <w:u w:val="none"/>
          <w:lang w:val="zh-CN" w:eastAsia="zh-CN"/>
        </w:rPr>
        <w:t>绩效分析。</w:t>
      </w:r>
    </w:p>
    <w:p w14:paraId="59CAAD8E">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1.项目决策。</w:t>
      </w:r>
      <w:r>
        <w:rPr>
          <w:rFonts w:hint="eastAsia" w:ascii="仿宋_GB2312" w:eastAsia="仿宋_GB2312" w:cs="Times New Roman"/>
          <w:kern w:val="2"/>
          <w:sz w:val="32"/>
          <w:szCs w:val="32"/>
          <w:lang w:val="zh-CN" w:eastAsia="zh-CN" w:bidi="ar-SA"/>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4FDFDCE6">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2.项目管理。</w:t>
      </w:r>
      <w:r>
        <w:rPr>
          <w:rFonts w:hint="eastAsia" w:ascii="仿宋_GB2312" w:eastAsia="仿宋_GB2312" w:cs="Times New Roman"/>
          <w:kern w:val="2"/>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57D0EF33">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3.项目实施。</w:t>
      </w:r>
      <w:r>
        <w:rPr>
          <w:rFonts w:hint="eastAsia" w:ascii="仿宋_GB2312" w:eastAsia="仿宋_GB2312" w:cs="Times New Roman"/>
          <w:kern w:val="2"/>
          <w:sz w:val="32"/>
          <w:szCs w:val="32"/>
          <w:lang w:val="zh-CN" w:eastAsia="zh-CN" w:bidi="ar-SA"/>
        </w:rPr>
        <w:t>项目资金财政拨付按时完成率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、单位执行资金使用率为</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和地方配套资金到位率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314157CA">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4.项目结果。</w:t>
      </w:r>
      <w:r>
        <w:rPr>
          <w:rFonts w:hint="eastAsia" w:ascii="仿宋_GB2312" w:eastAsia="仿宋_GB2312" w:cs="Times New Roman"/>
          <w:kern w:val="2"/>
          <w:sz w:val="32"/>
          <w:szCs w:val="32"/>
          <w:lang w:val="zh-CN" w:eastAsia="zh-CN" w:bidi="ar-SA"/>
        </w:rPr>
        <w:t>项目完成预期目标，实施结果与绩效目标相匹配，反映目标实现率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，项目实际完成时间与计划完成时间的比较差异率为</w:t>
      </w:r>
      <w:r>
        <w:rPr>
          <w:rFonts w:hint="eastAsia" w:ascii="仿宋_GB2312" w:eastAsia="仿宋_GB2312" w:cs="Times New Roman"/>
          <w:kern w:val="2"/>
          <w:sz w:val="32"/>
          <w:szCs w:val="32"/>
          <w:lang w:val="en-US" w:eastAsia="zh-CN" w:bidi="ar-SA"/>
        </w:rPr>
        <w:t>0%</w:t>
      </w:r>
      <w:r>
        <w:rPr>
          <w:rFonts w:hint="eastAsia" w:ascii="仿宋_GB2312" w:eastAsia="仿宋_GB2312" w:cs="Times New Roman"/>
          <w:kern w:val="2"/>
          <w:sz w:val="32"/>
          <w:szCs w:val="32"/>
          <w:lang w:val="zh-CN" w:eastAsia="zh-CN" w:bidi="ar-SA"/>
        </w:rPr>
        <w:t>。</w:t>
      </w:r>
    </w:p>
    <w:p w14:paraId="1E9D190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outlineLvl w:val="9"/>
        <w:rPr>
          <w:rFonts w:ascii="Times New Roman" w:hAnsi="Times New Roman" w:eastAsia="楷体_GB2312" w:cs="Times New Roman"/>
          <w:b/>
          <w:color w:val="auto"/>
          <w:sz w:val="32"/>
          <w:szCs w:val="32"/>
          <w:highlight w:val="none"/>
          <w:u w:val="none"/>
          <w:lang w:val="zh-CN" w:eastAsia="zh-CN"/>
        </w:rPr>
      </w:pPr>
      <w:r>
        <w:rPr>
          <w:rFonts w:ascii="Times New Roman" w:hAnsi="Times New Roman" w:eastAsia="楷体_GB2312" w:cs="Times New Roman"/>
          <w:b/>
          <w:color w:val="auto"/>
          <w:sz w:val="32"/>
          <w:szCs w:val="32"/>
          <w:highlight w:val="none"/>
          <w:u w:val="none"/>
          <w:lang w:val="zh-CN" w:eastAsia="zh-CN"/>
        </w:rPr>
        <w:t>（二）</w:t>
      </w:r>
      <w:r>
        <w:rPr>
          <w:rFonts w:ascii="Times New Roman" w:hAnsi="Times New Roman" w:eastAsia="楷体_GB2312" w:cs="Times New Roman"/>
          <w:b/>
          <w:color w:val="auto"/>
          <w:sz w:val="32"/>
          <w:szCs w:val="32"/>
          <w:highlight w:val="none"/>
          <w:u w:val="none"/>
          <w:lang w:val="en-US" w:eastAsia="zh-CN"/>
        </w:rPr>
        <w:t>专用指标</w:t>
      </w:r>
      <w:r>
        <w:rPr>
          <w:rFonts w:ascii="Times New Roman" w:hAnsi="Times New Roman" w:eastAsia="楷体_GB2312" w:cs="Times New Roman"/>
          <w:b/>
          <w:color w:val="auto"/>
          <w:sz w:val="32"/>
          <w:szCs w:val="32"/>
          <w:highlight w:val="none"/>
          <w:u w:val="none"/>
          <w:lang w:val="zh-CN" w:eastAsia="zh-CN"/>
        </w:rPr>
        <w:t>绩效分析。</w:t>
      </w:r>
    </w:p>
    <w:p w14:paraId="02316002">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zh-CN" w:eastAsia="zh-CN" w:bidi="ar-SA"/>
        </w:rPr>
        <w:t>资金按规定用途、适用范围进行本地区专项资金分配，资金管理程序符合专项资金管理要求，资金分配标准符合专项资金管理要求。</w:t>
      </w:r>
    </w:p>
    <w:p w14:paraId="146B3286">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en-US" w:eastAsia="zh-CN" w:bidi="ar-SA"/>
        </w:rPr>
      </w:pPr>
      <w:r>
        <w:rPr>
          <w:rFonts w:ascii="仿宋_GB2312" w:eastAsia="仿宋_GB2312" w:cs="Times New Roman"/>
          <w:kern w:val="2"/>
          <w:sz w:val="32"/>
          <w:szCs w:val="32"/>
          <w:lang w:val="en-US" w:eastAsia="zh-CN" w:bidi="ar-SA"/>
        </w:rPr>
        <w:t>1.产业发展类。</w:t>
      </w:r>
      <w:r>
        <w:rPr>
          <w:rFonts w:ascii="仿宋_GB2312" w:eastAsia="仿宋_GB2312" w:cs="Times New Roman"/>
          <w:kern w:val="2"/>
          <w:sz w:val="32"/>
          <w:szCs w:val="32"/>
          <w:lang w:val="zh-CN" w:eastAsia="zh-CN" w:bidi="ar-SA"/>
        </w:rPr>
        <w:t>围绕符合性、成长性、经济性进行绩效分析。</w:t>
      </w:r>
    </w:p>
    <w:p w14:paraId="32C87A1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en-US" w:eastAsia="zh-CN" w:bidi="ar-SA"/>
        </w:rPr>
      </w:pPr>
      <w:r>
        <w:rPr>
          <w:rFonts w:ascii="仿宋_GB2312" w:eastAsia="仿宋_GB2312" w:cs="Times New Roman"/>
          <w:kern w:val="2"/>
          <w:sz w:val="32"/>
          <w:szCs w:val="32"/>
          <w:lang w:val="en-US" w:eastAsia="zh-CN" w:bidi="ar-SA"/>
        </w:rPr>
        <w:t>2.</w:t>
      </w:r>
      <w:r>
        <w:rPr>
          <w:rFonts w:ascii="仿宋_GB2312" w:eastAsia="仿宋_GB2312" w:cs="Times New Roman"/>
          <w:kern w:val="2"/>
          <w:sz w:val="32"/>
          <w:szCs w:val="32"/>
          <w:lang w:val="zh-CN" w:eastAsia="zh-CN" w:bidi="ar-SA"/>
        </w:rPr>
        <w:t>民生保障</w:t>
      </w:r>
      <w:r>
        <w:rPr>
          <w:rFonts w:ascii="仿宋_GB2312" w:eastAsia="仿宋_GB2312" w:cs="Times New Roman"/>
          <w:kern w:val="2"/>
          <w:sz w:val="32"/>
          <w:szCs w:val="32"/>
          <w:lang w:val="en-US" w:eastAsia="zh-CN" w:bidi="ar-SA"/>
        </w:rPr>
        <w:t>类</w:t>
      </w:r>
      <w:r>
        <w:rPr>
          <w:rFonts w:ascii="仿宋_GB2312" w:eastAsia="仿宋_GB2312" w:cs="Times New Roman"/>
          <w:kern w:val="2"/>
          <w:sz w:val="32"/>
          <w:szCs w:val="32"/>
          <w:lang w:val="zh-CN" w:eastAsia="zh-CN" w:bidi="ar-SA"/>
        </w:rPr>
        <w:t>。围绕区域均衡性、对象精准性、标准合理性、群众满意度进行绩效分析。</w:t>
      </w:r>
    </w:p>
    <w:p w14:paraId="210D620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en-US" w:eastAsia="zh-CN" w:bidi="ar-SA"/>
        </w:rPr>
      </w:pPr>
      <w:r>
        <w:rPr>
          <w:rFonts w:ascii="仿宋_GB2312" w:eastAsia="仿宋_GB2312" w:cs="Times New Roman"/>
          <w:kern w:val="2"/>
          <w:sz w:val="32"/>
          <w:szCs w:val="32"/>
          <w:lang w:val="en-US" w:eastAsia="zh-CN" w:bidi="ar-SA"/>
        </w:rPr>
        <w:t>3.基础设施类。</w:t>
      </w:r>
      <w:r>
        <w:rPr>
          <w:rFonts w:ascii="仿宋_GB2312" w:eastAsia="仿宋_GB2312" w:cs="Times New Roman"/>
          <w:kern w:val="2"/>
          <w:sz w:val="32"/>
          <w:szCs w:val="32"/>
          <w:lang w:val="zh-CN" w:eastAsia="zh-CN" w:bidi="ar-SA"/>
        </w:rPr>
        <w:t>在建项目围绕工程进度和资金拨付进行绩效分析；建成项目围绕项目验收、功能实现、后续管护进行绩效分析。</w:t>
      </w:r>
    </w:p>
    <w:p w14:paraId="65BCD531">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en-US" w:eastAsia="zh-CN" w:bidi="ar-SA"/>
        </w:rPr>
      </w:pPr>
      <w:r>
        <w:rPr>
          <w:rFonts w:ascii="仿宋_GB2312" w:eastAsia="仿宋_GB2312" w:cs="Times New Roman"/>
          <w:kern w:val="2"/>
          <w:sz w:val="32"/>
          <w:szCs w:val="32"/>
          <w:lang w:val="en-US" w:eastAsia="zh-CN" w:bidi="ar-SA"/>
        </w:rPr>
        <w:t>4.</w:t>
      </w:r>
      <w:r>
        <w:rPr>
          <w:rFonts w:ascii="仿宋_GB2312" w:eastAsia="仿宋_GB2312" w:cs="Times New Roman"/>
          <w:kern w:val="2"/>
          <w:sz w:val="32"/>
          <w:szCs w:val="32"/>
          <w:lang w:val="zh-CN" w:eastAsia="zh-CN" w:bidi="ar-SA"/>
        </w:rPr>
        <w:t>行政运转</w:t>
      </w:r>
      <w:r>
        <w:rPr>
          <w:rFonts w:ascii="仿宋_GB2312" w:eastAsia="仿宋_GB2312" w:cs="Times New Roman"/>
          <w:kern w:val="2"/>
          <w:sz w:val="32"/>
          <w:szCs w:val="32"/>
          <w:lang w:val="en-US" w:eastAsia="zh-CN" w:bidi="ar-SA"/>
        </w:rPr>
        <w:t>类</w:t>
      </w:r>
      <w:r>
        <w:rPr>
          <w:rFonts w:ascii="仿宋_GB2312" w:eastAsia="仿宋_GB2312" w:cs="Times New Roman"/>
          <w:kern w:val="2"/>
          <w:sz w:val="32"/>
          <w:szCs w:val="32"/>
          <w:lang w:val="zh-CN" w:eastAsia="zh-CN" w:bidi="ar-SA"/>
        </w:rPr>
        <w:t>。围绕用途合规性、程序合规性、标准合规性进行绩效分析。</w:t>
      </w:r>
    </w:p>
    <w:p w14:paraId="433E006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Times New Roman" w:hAnsi="Times New Roman" w:eastAsia="楷体_GB2312" w:cs="Times New Roman"/>
          <w:b/>
          <w:color w:val="auto"/>
          <w:sz w:val="32"/>
          <w:szCs w:val="32"/>
          <w:highlight w:val="none"/>
          <w:u w:val="none"/>
          <w:lang w:val="zh-CN" w:eastAsia="zh-CN"/>
        </w:rPr>
      </w:pPr>
      <w:r>
        <w:rPr>
          <w:rFonts w:ascii="Times New Roman" w:hAnsi="Times New Roman" w:eastAsia="楷体_GB2312" w:cs="Times New Roman"/>
          <w:b/>
          <w:color w:val="auto"/>
          <w:sz w:val="32"/>
          <w:szCs w:val="32"/>
          <w:highlight w:val="none"/>
          <w:u w:val="none"/>
          <w:lang w:val="zh-CN" w:eastAsia="zh-CN"/>
        </w:rPr>
        <w:t>（三）</w:t>
      </w:r>
      <w:r>
        <w:rPr>
          <w:rFonts w:ascii="Times New Roman" w:hAnsi="Times New Roman" w:eastAsia="楷体_GB2312" w:cs="Times New Roman"/>
          <w:b/>
          <w:color w:val="auto"/>
          <w:sz w:val="32"/>
          <w:szCs w:val="32"/>
          <w:highlight w:val="none"/>
          <w:u w:val="none"/>
          <w:lang w:val="en-US" w:eastAsia="zh-CN"/>
        </w:rPr>
        <w:t>个性指标</w:t>
      </w:r>
      <w:r>
        <w:rPr>
          <w:rFonts w:ascii="Times New Roman" w:hAnsi="Times New Roman" w:eastAsia="楷体_GB2312" w:cs="Times New Roman"/>
          <w:b/>
          <w:color w:val="auto"/>
          <w:sz w:val="32"/>
          <w:szCs w:val="32"/>
          <w:highlight w:val="none"/>
          <w:u w:val="none"/>
          <w:lang w:val="zh-CN" w:eastAsia="zh-CN"/>
        </w:rPr>
        <w:t>绩效分析。</w:t>
      </w:r>
    </w:p>
    <w:p w14:paraId="0A649251">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Times New Roman" w:hAnsi="Times New Roman" w:cs="Times New Roman"/>
          <w:color w:val="auto"/>
          <w:szCs w:val="32"/>
          <w:lang w:val="en-US" w:eastAsia="zh-CN"/>
        </w:rPr>
      </w:pPr>
      <w:r>
        <w:rPr>
          <w:rFonts w:hint="eastAsia" w:ascii="仿宋_GB2312" w:eastAsia="仿宋_GB2312"/>
          <w:sz w:val="32"/>
          <w:szCs w:val="32"/>
          <w:lang w:val="en-US" w:eastAsia="zh-CN"/>
        </w:rPr>
        <w:t>为河西乡旅游发展奠定坚实基础</w:t>
      </w:r>
      <w:r>
        <w:rPr>
          <w:rFonts w:ascii="Times New Roman" w:hAnsi="Times New Roman" w:cs="Times New Roman"/>
          <w:color w:val="auto"/>
          <w:szCs w:val="32"/>
          <w:lang w:val="zh-CN" w:eastAsia="zh-CN"/>
        </w:rPr>
        <w:t>。</w:t>
      </w:r>
    </w:p>
    <w:p w14:paraId="520A8E0D">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ascii="Times New Roman" w:hAnsi="Times New Roman" w:eastAsia="黑体" w:cs="Times New Roman"/>
          <w:color w:val="auto"/>
          <w:sz w:val="32"/>
          <w:szCs w:val="32"/>
          <w:highlight w:val="none"/>
          <w:u w:val="none"/>
        </w:rPr>
      </w:pPr>
      <w:r>
        <w:rPr>
          <w:rFonts w:ascii="Times New Roman" w:hAnsi="Times New Roman" w:eastAsia="黑体" w:cs="Times New Roman"/>
          <w:color w:val="auto"/>
          <w:sz w:val="32"/>
          <w:szCs w:val="32"/>
          <w:highlight w:val="none"/>
          <w:u w:val="none"/>
          <w:lang w:eastAsia="zh-CN"/>
        </w:rPr>
        <w:t>四</w:t>
      </w:r>
      <w:r>
        <w:rPr>
          <w:rFonts w:ascii="Times New Roman" w:hAnsi="Times New Roman" w:eastAsia="黑体" w:cs="Times New Roman"/>
          <w:color w:val="auto"/>
          <w:sz w:val="32"/>
          <w:szCs w:val="32"/>
          <w:highlight w:val="none"/>
          <w:u w:val="none"/>
        </w:rPr>
        <w:t>、评价结论</w:t>
      </w:r>
    </w:p>
    <w:p w14:paraId="5CF23B05">
      <w:pPr>
        <w:snapToGrid w:val="0"/>
        <w:spacing w:line="600" w:lineRule="exact"/>
        <w:ind w:firstLine="640" w:firstLineChars="200"/>
        <w:rPr>
          <w:rFonts w:ascii="Times New Roman" w:hAnsi="Times New Roman" w:cs="Times New Roman"/>
          <w:b w:val="0"/>
          <w:bCs w:val="0"/>
          <w:kern w:val="2"/>
          <w:position w:val="0"/>
          <w:sz w:val="32"/>
          <w:szCs w:val="32"/>
          <w:highlight w:val="none"/>
          <w:lang w:val="en-US" w:eastAsia="zh-CN" w:bidi="ar-SA"/>
        </w:rPr>
      </w:pPr>
      <w:r>
        <w:rPr>
          <w:rFonts w:hint="eastAsia" w:ascii="仿宋" w:eastAsia="仿宋"/>
          <w:sz w:val="32"/>
          <w:szCs w:val="32"/>
        </w:rPr>
        <w:t>本项目的</w:t>
      </w:r>
      <w:r>
        <w:rPr>
          <w:rFonts w:hint="eastAsia" w:ascii="仿宋" w:eastAsia="仿宋"/>
          <w:sz w:val="32"/>
          <w:szCs w:val="32"/>
          <w:lang w:val="en-US" w:eastAsia="zh-CN"/>
        </w:rPr>
        <w:t>该项目总体</w:t>
      </w:r>
      <w:r>
        <w:rPr>
          <w:rFonts w:hint="eastAsia" w:ascii="Times New Roman" w:hAnsi="Times New Roman" w:eastAsia="仿宋_GB2312" w:cs="Times New Roman"/>
          <w:kern w:val="2"/>
          <w:position w:val="0"/>
          <w:sz w:val="32"/>
          <w:szCs w:val="32"/>
          <w:lang w:val="en-US" w:eastAsia="zh-CN" w:bidi="ar-SA"/>
        </w:rPr>
        <w:t>评分</w:t>
      </w:r>
      <w:r>
        <w:rPr>
          <w:rFonts w:hint="eastAsia" w:cs="Times New Roman"/>
          <w:kern w:val="2"/>
          <w:position w:val="0"/>
          <w:sz w:val="32"/>
          <w:szCs w:val="32"/>
          <w:lang w:val="en-US" w:eastAsia="zh-CN" w:bidi="ar-SA"/>
        </w:rPr>
        <w:t>90</w:t>
      </w:r>
      <w:r>
        <w:rPr>
          <w:rFonts w:hint="eastAsia" w:ascii="Times New Roman" w:hAnsi="Times New Roman" w:eastAsia="仿宋_GB2312" w:cs="Times New Roman"/>
          <w:kern w:val="2"/>
          <w:position w:val="0"/>
          <w:sz w:val="32"/>
          <w:szCs w:val="32"/>
          <w:lang w:val="en-US" w:eastAsia="zh-CN" w:bidi="ar-SA"/>
        </w:rPr>
        <w:t>分，</w:t>
      </w:r>
      <w:r>
        <w:rPr>
          <w:rFonts w:hint="eastAsia" w:ascii="仿宋_GB2312" w:hAnsi="仿宋_GB2312" w:cs="仿宋_GB2312"/>
          <w:bCs/>
          <w:color w:val="auto"/>
          <w:sz w:val="32"/>
          <w:szCs w:val="32"/>
          <w:lang w:val="en-US" w:eastAsia="zh-CN"/>
        </w:rPr>
        <w:t>项目</w:t>
      </w:r>
      <w:r>
        <w:rPr>
          <w:rFonts w:hint="eastAsia" w:ascii="仿宋_GB2312" w:eastAsia="仿宋_GB2312" w:cs="仿宋_GB2312"/>
          <w:bCs/>
          <w:color w:val="auto"/>
          <w:sz w:val="32"/>
          <w:szCs w:val="32"/>
        </w:rPr>
        <w:t>评</w:t>
      </w:r>
      <w:r>
        <w:rPr>
          <w:rFonts w:hint="eastAsia" w:ascii="仿宋_GB2312" w:eastAsia="仿宋_GB2312" w:cs="仿宋_GB2312"/>
          <w:bCs/>
          <w:color w:val="auto"/>
          <w:sz w:val="32"/>
          <w:szCs w:val="32"/>
          <w:lang w:eastAsia="zh-CN"/>
        </w:rPr>
        <w:t>估等级</w:t>
      </w:r>
      <w:r>
        <w:rPr>
          <w:rFonts w:hint="eastAsia" w:ascii="仿宋_GB2312" w:hAnsi="仿宋_GB2312" w:cs="仿宋_GB2312"/>
          <w:bCs/>
          <w:color w:val="auto"/>
          <w:sz w:val="32"/>
          <w:szCs w:val="32"/>
          <w:lang w:eastAsia="zh-CN"/>
        </w:rPr>
        <w:t>优秀</w:t>
      </w:r>
      <w:r>
        <w:rPr>
          <w:rFonts w:hint="eastAsia" w:ascii="仿宋_GB2312" w:eastAsia="仿宋_GB2312" w:cs="仿宋_GB2312"/>
          <w:bCs/>
          <w:color w:val="auto"/>
          <w:sz w:val="32"/>
          <w:szCs w:val="32"/>
          <w:lang w:eastAsia="zh-CN"/>
        </w:rPr>
        <w:t>、</w:t>
      </w:r>
      <w:r>
        <w:rPr>
          <w:rFonts w:hint="eastAsia" w:ascii="仿宋" w:eastAsia="仿宋"/>
          <w:sz w:val="32"/>
          <w:szCs w:val="32"/>
        </w:rPr>
        <w:t>结合</w:t>
      </w:r>
      <w:r>
        <w:rPr>
          <w:rFonts w:hint="eastAsia" w:ascii="仿宋" w:eastAsia="仿宋"/>
          <w:sz w:val="32"/>
          <w:szCs w:val="32"/>
          <w:lang w:eastAsia="zh-CN"/>
        </w:rPr>
        <w:t>河西乡</w:t>
      </w:r>
      <w:r>
        <w:rPr>
          <w:rFonts w:hint="eastAsia" w:ascii="仿宋" w:eastAsia="仿宋"/>
          <w:sz w:val="32"/>
          <w:szCs w:val="32"/>
        </w:rPr>
        <w:t>乡村振兴发展目标。坚持统筹发展的原则，坚持因地制宜，科学规划的原则，坚持政府主导</w:t>
      </w:r>
      <w:r>
        <w:rPr>
          <w:rFonts w:hint="eastAsia" w:ascii="仿宋_GB2312" w:eastAsia="仿宋_GB2312" w:cs="仿宋_GB2312"/>
          <w:b/>
          <w:bCs/>
          <w:kern w:val="0"/>
          <w:szCs w:val="32"/>
        </w:rPr>
        <w:t>，</w:t>
      </w:r>
      <w:r>
        <w:rPr>
          <w:rFonts w:hint="eastAsia" w:ascii="仿宋" w:eastAsia="仿宋"/>
          <w:sz w:val="32"/>
          <w:szCs w:val="32"/>
        </w:rPr>
        <w:t>通过</w:t>
      </w:r>
      <w:r>
        <w:rPr>
          <w:rFonts w:hint="eastAsia" w:ascii="仿宋" w:eastAsia="仿宋" w:cs="Times New Roman"/>
          <w:sz w:val="32"/>
          <w:szCs w:val="32"/>
          <w:lang w:val="en-US" w:eastAsia="zh-CN"/>
        </w:rPr>
        <w:t>以上3个项目</w:t>
      </w:r>
      <w:r>
        <w:rPr>
          <w:rFonts w:hint="eastAsia" w:ascii="仿宋" w:eastAsia="仿宋"/>
          <w:sz w:val="32"/>
          <w:szCs w:val="32"/>
        </w:rPr>
        <w:t>进一步完善</w:t>
      </w:r>
      <w:r>
        <w:rPr>
          <w:rFonts w:hint="eastAsia" w:ascii="仿宋" w:eastAsia="仿宋"/>
          <w:sz w:val="32"/>
          <w:szCs w:val="32"/>
          <w:lang w:eastAsia="zh-CN"/>
        </w:rPr>
        <w:t>河西乡</w:t>
      </w:r>
      <w:r>
        <w:rPr>
          <w:rFonts w:hint="eastAsia" w:ascii="仿宋" w:eastAsia="仿宋"/>
          <w:sz w:val="32"/>
          <w:szCs w:val="32"/>
        </w:rPr>
        <w:t>基础设施建设，助力</w:t>
      </w:r>
      <w:r>
        <w:rPr>
          <w:rFonts w:hint="eastAsia" w:ascii="仿宋" w:eastAsia="仿宋"/>
          <w:sz w:val="32"/>
          <w:szCs w:val="32"/>
          <w:lang w:eastAsia="zh-CN"/>
        </w:rPr>
        <w:t>河西乡</w:t>
      </w:r>
      <w:r>
        <w:rPr>
          <w:rFonts w:hint="eastAsia" w:ascii="仿宋" w:eastAsia="仿宋"/>
          <w:sz w:val="32"/>
          <w:szCs w:val="32"/>
        </w:rPr>
        <w:t>经济、社会统一发展，更好的提高老百姓生产生活水平，助力乡村振兴，为深入挖掘</w:t>
      </w:r>
      <w:r>
        <w:rPr>
          <w:rFonts w:hint="eastAsia" w:ascii="仿宋" w:eastAsia="仿宋"/>
          <w:sz w:val="32"/>
          <w:szCs w:val="32"/>
          <w:lang w:eastAsia="zh-CN"/>
        </w:rPr>
        <w:t>河西乡</w:t>
      </w:r>
      <w:r>
        <w:rPr>
          <w:rFonts w:hint="eastAsia" w:ascii="仿宋" w:eastAsia="仿宋"/>
          <w:sz w:val="32"/>
          <w:szCs w:val="32"/>
        </w:rPr>
        <w:t>优势旅游资源奠定坚实基础、拓展全乡群众增收渠道。</w:t>
      </w:r>
    </w:p>
    <w:p w14:paraId="77B42E15">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ascii="Times New Roman" w:hAnsi="Times New Roman" w:eastAsia="黑体" w:cs="Times New Roman"/>
          <w:color w:val="auto"/>
          <w:sz w:val="32"/>
          <w:szCs w:val="32"/>
          <w:highlight w:val="none"/>
          <w:u w:val="none"/>
          <w:lang w:eastAsia="zh-CN"/>
        </w:rPr>
      </w:pPr>
      <w:r>
        <w:rPr>
          <w:rFonts w:ascii="Times New Roman" w:hAnsi="Times New Roman" w:eastAsia="黑体" w:cs="Times New Roman"/>
          <w:color w:val="auto"/>
          <w:sz w:val="32"/>
          <w:szCs w:val="32"/>
          <w:highlight w:val="none"/>
          <w:u w:val="none"/>
          <w:lang w:eastAsia="zh-CN"/>
        </w:rPr>
        <w:t>五、存在主要问题</w:t>
      </w:r>
    </w:p>
    <w:p w14:paraId="7EC42481">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ascii="Times New Roman" w:hAnsi="Times New Roman" w:cs="Times New Roman"/>
          <w:b w:val="0"/>
          <w:bCs w:val="0"/>
          <w:kern w:val="2"/>
          <w:position w:val="0"/>
          <w:sz w:val="32"/>
          <w:szCs w:val="32"/>
          <w:highlight w:val="none"/>
          <w:lang w:val="en-US" w:eastAsia="zh-CN" w:bidi="ar-SA"/>
        </w:rPr>
      </w:pPr>
      <w:r>
        <w:rPr>
          <w:rFonts w:hint="eastAsia" w:ascii="Times New Roman" w:hAnsi="Times New Roman" w:eastAsia="仿宋_GB2312" w:cs="Times New Roman"/>
          <w:b w:val="0"/>
          <w:bCs w:val="0"/>
          <w:kern w:val="0"/>
          <w:position w:val="0"/>
          <w:sz w:val="32"/>
          <w:szCs w:val="32"/>
          <w:highlight w:val="none"/>
          <w:lang w:val="en-US" w:eastAsia="zh-CN" w:bidi="ar-SA"/>
        </w:rPr>
        <w:t>无</w:t>
      </w:r>
      <w:r>
        <w:rPr>
          <w:rFonts w:ascii="Times New Roman" w:hAnsi="Times New Roman" w:eastAsia="仿宋_GB2312" w:cs="Times New Roman"/>
          <w:b w:val="0"/>
          <w:bCs w:val="0"/>
          <w:kern w:val="0"/>
          <w:position w:val="0"/>
          <w:sz w:val="32"/>
          <w:szCs w:val="32"/>
          <w:highlight w:val="none"/>
          <w:lang w:val="en-US" w:eastAsia="zh-CN" w:bidi="ar-SA"/>
        </w:rPr>
        <w:t>。</w:t>
      </w:r>
    </w:p>
    <w:p w14:paraId="49C16334">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ascii="Times New Roman" w:hAnsi="Times New Roman" w:eastAsia="黑体" w:cs="Times New Roman"/>
          <w:color w:val="auto"/>
          <w:kern w:val="0"/>
          <w:position w:val="3"/>
          <w:sz w:val="32"/>
          <w:szCs w:val="32"/>
          <w:highlight w:val="none"/>
          <w:u w:val="none"/>
          <w:lang w:val="zh-CN" w:eastAsia="zh-CN" w:bidi="ar-SA"/>
        </w:rPr>
      </w:pPr>
      <w:r>
        <w:rPr>
          <w:rFonts w:ascii="Times New Roman" w:hAnsi="Times New Roman" w:eastAsia="黑体" w:cs="Times New Roman"/>
          <w:color w:val="auto"/>
          <w:kern w:val="0"/>
          <w:position w:val="3"/>
          <w:sz w:val="32"/>
          <w:szCs w:val="32"/>
          <w:highlight w:val="none"/>
          <w:u w:val="none"/>
          <w:lang w:val="zh-CN" w:eastAsia="zh-CN" w:bidi="ar-SA"/>
        </w:rPr>
        <w:t>六、改进建议</w:t>
      </w:r>
    </w:p>
    <w:p w14:paraId="3A7E44BA">
      <w:pPr>
        <w:tabs>
          <w:tab w:val="left" w:pos="1911"/>
        </w:tabs>
        <w:jc w:val="left"/>
        <w:rPr>
          <w:rFonts w:ascii="Times New Roman" w:hAnsi="Times New Roman" w:eastAsia="仿宋_GB2312" w:cs="Times New Roman"/>
          <w:b w:val="0"/>
          <w:bCs w:val="0"/>
          <w:kern w:val="0"/>
          <w:position w:val="0"/>
          <w:sz w:val="32"/>
          <w:szCs w:val="32"/>
          <w:highlight w:val="none"/>
          <w:lang w:eastAsia="zh-CN" w:bidi="ar-SA"/>
        </w:rPr>
      </w:pPr>
      <w:r>
        <w:rPr>
          <w:rFonts w:ascii="Times New Roman" w:hAnsi="Times New Roman" w:eastAsia="仿宋_GB2312" w:cs="Times New Roman"/>
          <w:color w:val="auto"/>
          <w:kern w:val="0"/>
          <w:sz w:val="32"/>
          <w:szCs w:val="32"/>
          <w:highlight w:val="none"/>
          <w:u w:val="none"/>
          <w:shd w:val="clear" w:color="auto" w:fill="FFFFFF"/>
          <w:lang w:val="zh-CN" w:eastAsia="zh-CN"/>
        </w:rPr>
        <w:t xml:space="preserve"> </w:t>
      </w:r>
      <w:r>
        <w:rPr>
          <w:rFonts w:ascii="Times New Roman" w:hAnsi="Times New Roman" w:cs="Times New Roman"/>
          <w:b w:val="0"/>
          <w:bCs w:val="0"/>
          <w:kern w:val="0"/>
          <w:position w:val="0"/>
          <w:sz w:val="32"/>
          <w:szCs w:val="32"/>
          <w:highlight w:val="none"/>
          <w:lang w:val="en-US" w:eastAsia="zh-CN" w:bidi="ar-SA"/>
        </w:rPr>
        <w:t xml:space="preserve">   </w:t>
      </w:r>
      <w:r>
        <w:rPr>
          <w:rFonts w:hint="eastAsia" w:cs="Times New Roman"/>
          <w:b w:val="0"/>
          <w:bCs w:val="0"/>
          <w:kern w:val="0"/>
          <w:position w:val="0"/>
          <w:sz w:val="32"/>
          <w:szCs w:val="32"/>
          <w:highlight w:val="none"/>
          <w:lang w:val="en-US" w:eastAsia="zh-CN" w:bidi="ar-SA"/>
        </w:rPr>
        <w:t>无</w:t>
      </w:r>
      <w:r>
        <w:rPr>
          <w:rFonts w:ascii="Times New Roman" w:hAnsi="Times New Roman" w:cs="Times New Roman"/>
          <w:b w:val="0"/>
          <w:bCs w:val="0"/>
          <w:kern w:val="0"/>
          <w:position w:val="0"/>
          <w:sz w:val="32"/>
          <w:szCs w:val="32"/>
          <w:highlight w:val="none"/>
          <w:lang w:val="en-US" w:eastAsia="zh-CN" w:bidi="ar-SA"/>
        </w:rPr>
        <w:t>。</w:t>
      </w:r>
    </w:p>
    <w:p w14:paraId="681B8B69">
      <w:pPr>
        <w:pStyle w:val="9"/>
        <w:rPr>
          <w:rFonts w:ascii="Times New Roman" w:hAnsi="Times New Roman" w:eastAsia="方正小标宋简体" w:cs="方正小标宋简体"/>
          <w:color w:val="auto"/>
          <w:kern w:val="2"/>
          <w:sz w:val="44"/>
          <w:szCs w:val="44"/>
          <w:highlight w:val="none"/>
          <w:lang w:val="en-US" w:eastAsia="zh-CN"/>
        </w:rPr>
      </w:pPr>
    </w:p>
    <w:p w14:paraId="7FBB7D18">
      <w:pPr>
        <w:pStyle w:val="9"/>
        <w:rPr>
          <w:rFonts w:ascii="Times New Roman" w:hAnsi="Times New Roman" w:eastAsia="方正小标宋简体" w:cs="方正小标宋简体"/>
          <w:color w:val="auto"/>
          <w:kern w:val="2"/>
          <w:sz w:val="44"/>
          <w:szCs w:val="44"/>
          <w:highlight w:val="none"/>
          <w:lang w:val="en-US" w:eastAsia="zh-CN"/>
        </w:rPr>
      </w:pPr>
    </w:p>
    <w:p w14:paraId="3575CE80">
      <w:pPr>
        <w:pStyle w:val="9"/>
        <w:rPr>
          <w:rFonts w:ascii="Times New Roman" w:hAnsi="Times New Roman" w:eastAsia="方正小标宋简体" w:cs="方正小标宋简体"/>
          <w:color w:val="auto"/>
          <w:kern w:val="2"/>
          <w:sz w:val="44"/>
          <w:szCs w:val="44"/>
          <w:highlight w:val="none"/>
          <w:lang w:val="en-US" w:eastAsia="zh-CN"/>
        </w:rPr>
      </w:pPr>
    </w:p>
    <w:p w14:paraId="488AB748">
      <w:pPr>
        <w:pStyle w:val="9"/>
        <w:rPr>
          <w:rFonts w:ascii="Times New Roman" w:hAnsi="Times New Roman" w:eastAsia="方正小标宋简体" w:cs="方正小标宋简体"/>
          <w:color w:val="auto"/>
          <w:kern w:val="2"/>
          <w:sz w:val="44"/>
          <w:szCs w:val="44"/>
          <w:highlight w:val="none"/>
          <w:lang w:val="en-US" w:eastAsia="zh-CN"/>
        </w:rPr>
      </w:pPr>
    </w:p>
    <w:p w14:paraId="34269675">
      <w:pPr>
        <w:pStyle w:val="9"/>
        <w:rPr>
          <w:rFonts w:ascii="Times New Roman" w:hAnsi="Times New Roman" w:eastAsia="方正小标宋简体" w:cs="方正小标宋简体"/>
          <w:color w:val="auto"/>
          <w:kern w:val="2"/>
          <w:sz w:val="44"/>
          <w:szCs w:val="44"/>
          <w:highlight w:val="none"/>
          <w:lang w:val="en-US" w:eastAsia="zh-CN"/>
        </w:rPr>
      </w:pPr>
    </w:p>
    <w:p w14:paraId="002D689F">
      <w:pPr>
        <w:pStyle w:val="9"/>
        <w:rPr>
          <w:rFonts w:ascii="Times New Roman" w:hAnsi="Times New Roman" w:eastAsia="方正小标宋简体" w:cs="方正小标宋简体"/>
          <w:color w:val="auto"/>
          <w:kern w:val="2"/>
          <w:sz w:val="44"/>
          <w:szCs w:val="44"/>
          <w:highlight w:val="none"/>
          <w:lang w:val="en-US" w:eastAsia="zh-CN"/>
        </w:rPr>
      </w:pPr>
    </w:p>
    <w:p w14:paraId="75DF0BB3">
      <w:pPr>
        <w:pStyle w:val="9"/>
        <w:rPr>
          <w:rFonts w:ascii="Times New Roman" w:hAnsi="Times New Roman" w:eastAsia="方正小标宋简体" w:cs="方正小标宋简体"/>
          <w:color w:val="auto"/>
          <w:kern w:val="2"/>
          <w:sz w:val="44"/>
          <w:szCs w:val="44"/>
          <w:highlight w:val="none"/>
          <w:lang w:val="en-US" w:eastAsia="zh-CN"/>
        </w:rPr>
      </w:pPr>
    </w:p>
    <w:p w14:paraId="15EF08AD">
      <w:pPr>
        <w:pStyle w:val="9"/>
        <w:rPr>
          <w:rFonts w:ascii="Times New Roman" w:hAnsi="Times New Roman" w:eastAsia="方正小标宋简体" w:cs="方正小标宋简体"/>
          <w:color w:val="auto"/>
          <w:kern w:val="2"/>
          <w:sz w:val="44"/>
          <w:szCs w:val="44"/>
          <w:highlight w:val="none"/>
          <w:lang w:val="en-US" w:eastAsia="zh-CN"/>
        </w:rPr>
      </w:pPr>
    </w:p>
    <w:p w14:paraId="7184E48F">
      <w:pPr>
        <w:pStyle w:val="9"/>
        <w:rPr>
          <w:rFonts w:ascii="Times New Roman" w:hAnsi="Times New Roman" w:eastAsia="方正小标宋简体" w:cs="方正小标宋简体"/>
          <w:color w:val="auto"/>
          <w:kern w:val="2"/>
          <w:sz w:val="44"/>
          <w:szCs w:val="44"/>
          <w:highlight w:val="none"/>
          <w:lang w:val="en-US" w:eastAsia="zh-CN"/>
        </w:rPr>
      </w:pPr>
    </w:p>
    <w:p w14:paraId="16AAF9CA">
      <w:pPr>
        <w:pStyle w:val="9"/>
        <w:rPr>
          <w:rFonts w:ascii="Times New Roman" w:hAnsi="Times New Roman" w:eastAsia="方正小标宋简体" w:cs="方正小标宋简体"/>
          <w:color w:val="auto"/>
          <w:kern w:val="2"/>
          <w:sz w:val="44"/>
          <w:szCs w:val="44"/>
          <w:highlight w:val="none"/>
          <w:lang w:val="en-US" w:eastAsia="zh-CN"/>
        </w:rPr>
      </w:pPr>
    </w:p>
    <w:p w14:paraId="3B04347F">
      <w:pPr>
        <w:pStyle w:val="3"/>
        <w:jc w:val="center"/>
        <w:rPr>
          <w:rFonts w:hint="eastAsia" w:ascii="方正小标宋_GBK" w:eastAsia="方正小标宋_GBK" w:cs="方正小标宋_GBK"/>
          <w:b w:val="0"/>
        </w:rPr>
      </w:pPr>
      <w:r>
        <w:rPr>
          <w:rFonts w:hint="eastAsia" w:ascii="方正小标宋_GBK" w:eastAsia="方正小标宋_GBK" w:cs="方正小标宋_GBK"/>
          <w:b w:val="0"/>
        </w:rPr>
        <w:t>第五部分 附表</w:t>
      </w:r>
      <w:bookmarkStart w:id="60" w:name="_Toc15396619"/>
    </w:p>
    <w:p w14:paraId="674A0A73">
      <w:pPr>
        <w:pStyle w:val="15"/>
        <w:adjustRightInd w:val="0"/>
        <w:snapToGrid w:val="0"/>
        <w:spacing w:line="560" w:lineRule="exact"/>
        <w:jc w:val="left"/>
        <w:rPr>
          <w:rFonts w:eastAsia="仿宋_GB2312" w:cs="仿宋_GB2312"/>
          <w:sz w:val="32"/>
          <w:szCs w:val="32"/>
        </w:rPr>
      </w:pPr>
    </w:p>
    <w:p w14:paraId="2AC47FC2">
      <w:pPr>
        <w:pStyle w:val="15"/>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一、收入支出决算总表</w:t>
      </w:r>
      <w:bookmarkEnd w:id="60"/>
    </w:p>
    <w:p w14:paraId="0C7F8E51">
      <w:pPr>
        <w:pStyle w:val="15"/>
        <w:adjustRightInd w:val="0"/>
        <w:snapToGrid w:val="0"/>
        <w:spacing w:line="560" w:lineRule="exact"/>
        <w:jc w:val="left"/>
        <w:rPr>
          <w:rFonts w:ascii="Times New Roman" w:hAnsi="Times New Roman" w:eastAsia="方正仿宋_GBK" w:cs="Times New Roman"/>
          <w:sz w:val="32"/>
          <w:szCs w:val="32"/>
        </w:rPr>
      </w:pPr>
      <w:bookmarkStart w:id="61" w:name="_Toc15396620"/>
      <w:r>
        <w:rPr>
          <w:rFonts w:ascii="Times New Roman" w:hAnsi="Times New Roman" w:eastAsia="方正仿宋_GBK" w:cs="Times New Roman"/>
          <w:sz w:val="32"/>
          <w:szCs w:val="32"/>
        </w:rPr>
        <w:t>二、收入决算表</w:t>
      </w:r>
      <w:bookmarkEnd w:id="61"/>
    </w:p>
    <w:p w14:paraId="7EFEDD62">
      <w:pPr>
        <w:pStyle w:val="15"/>
        <w:adjustRightInd w:val="0"/>
        <w:snapToGrid w:val="0"/>
        <w:spacing w:line="560" w:lineRule="exact"/>
        <w:jc w:val="left"/>
        <w:rPr>
          <w:rFonts w:ascii="Times New Roman" w:hAnsi="Times New Roman" w:eastAsia="方正仿宋_GBK" w:cs="Times New Roman"/>
          <w:sz w:val="32"/>
          <w:szCs w:val="32"/>
        </w:rPr>
      </w:pPr>
      <w:bookmarkStart w:id="62" w:name="_Toc15396621"/>
      <w:r>
        <w:rPr>
          <w:rFonts w:ascii="Times New Roman" w:hAnsi="Times New Roman" w:eastAsia="方正仿宋_GBK" w:cs="Times New Roman"/>
          <w:sz w:val="32"/>
          <w:szCs w:val="32"/>
        </w:rPr>
        <w:t>三、支出决算表</w:t>
      </w:r>
      <w:bookmarkEnd w:id="62"/>
    </w:p>
    <w:p w14:paraId="34DF4BCF">
      <w:pPr>
        <w:pStyle w:val="15"/>
        <w:adjustRightInd w:val="0"/>
        <w:snapToGrid w:val="0"/>
        <w:spacing w:line="560" w:lineRule="exact"/>
        <w:jc w:val="left"/>
        <w:rPr>
          <w:rFonts w:ascii="Times New Roman" w:hAnsi="Times New Roman" w:eastAsia="方正仿宋_GBK" w:cs="Times New Roman"/>
          <w:sz w:val="32"/>
          <w:szCs w:val="32"/>
        </w:rPr>
      </w:pPr>
      <w:bookmarkStart w:id="63" w:name="_Toc15396622"/>
      <w:r>
        <w:rPr>
          <w:rFonts w:ascii="Times New Roman" w:hAnsi="Times New Roman" w:eastAsia="方正仿宋_GBK" w:cs="Times New Roman"/>
          <w:sz w:val="32"/>
          <w:szCs w:val="32"/>
        </w:rPr>
        <w:t>四、财政拨款收入支出决算总表</w:t>
      </w:r>
      <w:bookmarkEnd w:id="63"/>
    </w:p>
    <w:p w14:paraId="14197E19">
      <w:pPr>
        <w:pStyle w:val="15"/>
        <w:adjustRightInd w:val="0"/>
        <w:snapToGrid w:val="0"/>
        <w:spacing w:line="560" w:lineRule="exact"/>
        <w:jc w:val="left"/>
        <w:rPr>
          <w:rFonts w:ascii="Times New Roman" w:hAnsi="Times New Roman" w:eastAsia="方正仿宋_GBK" w:cs="Times New Roman"/>
          <w:sz w:val="32"/>
          <w:szCs w:val="32"/>
        </w:rPr>
      </w:pPr>
      <w:bookmarkStart w:id="64" w:name="_Toc15396623"/>
      <w:r>
        <w:rPr>
          <w:rFonts w:ascii="Times New Roman" w:hAnsi="Times New Roman" w:eastAsia="方正仿宋_GBK" w:cs="Times New Roman"/>
          <w:sz w:val="32"/>
          <w:szCs w:val="32"/>
        </w:rPr>
        <w:t>五、财政拨款支出决算明细表</w:t>
      </w:r>
      <w:bookmarkEnd w:id="64"/>
      <w:bookmarkStart w:id="65" w:name="_Toc15396624"/>
    </w:p>
    <w:p w14:paraId="6BD53AC8">
      <w:pPr>
        <w:pStyle w:val="15"/>
        <w:adjustRightInd w:val="0"/>
        <w:snapToGrid w:val="0"/>
        <w:spacing w:line="560" w:lineRule="exact"/>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六、一般公共预算财政拨款支出决算表</w:t>
      </w:r>
      <w:bookmarkEnd w:id="65"/>
    </w:p>
    <w:p w14:paraId="3CF89DA4">
      <w:pPr>
        <w:pStyle w:val="15"/>
        <w:adjustRightInd w:val="0"/>
        <w:snapToGrid w:val="0"/>
        <w:spacing w:line="560" w:lineRule="exact"/>
        <w:jc w:val="left"/>
        <w:rPr>
          <w:rFonts w:ascii="Times New Roman" w:hAnsi="Times New Roman" w:eastAsia="方正仿宋_GBK" w:cs="Times New Roman"/>
          <w:sz w:val="32"/>
          <w:szCs w:val="32"/>
        </w:rPr>
      </w:pPr>
      <w:bookmarkStart w:id="66" w:name="_Toc15396625"/>
      <w:r>
        <w:rPr>
          <w:rFonts w:ascii="Times New Roman" w:hAnsi="Times New Roman" w:eastAsia="方正仿宋_GBK" w:cs="Times New Roman"/>
          <w:sz w:val="32"/>
          <w:szCs w:val="32"/>
        </w:rPr>
        <w:t>七、一般公共预算财政拨款支出决算明细表</w:t>
      </w:r>
      <w:bookmarkEnd w:id="66"/>
    </w:p>
    <w:p w14:paraId="183B193F">
      <w:pPr>
        <w:pStyle w:val="15"/>
        <w:adjustRightInd w:val="0"/>
        <w:snapToGrid w:val="0"/>
        <w:spacing w:line="560" w:lineRule="exact"/>
        <w:jc w:val="left"/>
        <w:rPr>
          <w:rFonts w:ascii="Times New Roman" w:hAnsi="Times New Roman" w:eastAsia="方正仿宋_GBK" w:cs="Times New Roman"/>
          <w:sz w:val="32"/>
          <w:szCs w:val="32"/>
        </w:rPr>
      </w:pPr>
      <w:bookmarkStart w:id="67" w:name="_Toc15396626"/>
      <w:r>
        <w:rPr>
          <w:rFonts w:ascii="Times New Roman" w:hAnsi="Times New Roman" w:eastAsia="方正仿宋_GBK" w:cs="Times New Roman"/>
          <w:sz w:val="32"/>
          <w:szCs w:val="32"/>
        </w:rPr>
        <w:t>八、一般公共预算财政拨款基本支出决算表</w:t>
      </w:r>
      <w:bookmarkEnd w:id="67"/>
    </w:p>
    <w:p w14:paraId="3D38C92F">
      <w:pPr>
        <w:pStyle w:val="15"/>
        <w:adjustRightInd w:val="0"/>
        <w:snapToGrid w:val="0"/>
        <w:spacing w:line="560" w:lineRule="exact"/>
        <w:jc w:val="left"/>
        <w:rPr>
          <w:rFonts w:ascii="Times New Roman" w:hAnsi="Times New Roman" w:eastAsia="方正仿宋_GBK" w:cs="Times New Roman"/>
          <w:sz w:val="32"/>
          <w:szCs w:val="32"/>
        </w:rPr>
      </w:pPr>
      <w:bookmarkStart w:id="68" w:name="_Toc15396627"/>
      <w:r>
        <w:rPr>
          <w:rFonts w:ascii="Times New Roman" w:hAnsi="Times New Roman" w:eastAsia="方正仿宋_GBK" w:cs="Times New Roman"/>
          <w:sz w:val="32"/>
          <w:szCs w:val="32"/>
        </w:rPr>
        <w:t>九、一般公共预算财政拨款项目支出决算表</w:t>
      </w:r>
      <w:bookmarkEnd w:id="68"/>
    </w:p>
    <w:p w14:paraId="2C264FA4">
      <w:pPr>
        <w:pStyle w:val="15"/>
        <w:adjustRightInd w:val="0"/>
        <w:snapToGrid w:val="0"/>
        <w:spacing w:line="560" w:lineRule="exact"/>
        <w:jc w:val="left"/>
        <w:rPr>
          <w:rFonts w:ascii="Times New Roman" w:hAnsi="Times New Roman" w:eastAsia="方正仿宋_GBK" w:cs="Times New Roman"/>
          <w:sz w:val="32"/>
          <w:szCs w:val="32"/>
        </w:rPr>
      </w:pPr>
      <w:bookmarkStart w:id="69" w:name="_Toc15396628"/>
      <w:r>
        <w:rPr>
          <w:rFonts w:ascii="Times New Roman" w:hAnsi="Times New Roman" w:eastAsia="方正仿宋_GBK" w:cs="Times New Roman"/>
          <w:sz w:val="32"/>
          <w:szCs w:val="32"/>
        </w:rPr>
        <w:t>十、</w:t>
      </w:r>
      <w:bookmarkEnd w:id="69"/>
      <w:r>
        <w:rPr>
          <w:rFonts w:ascii="Times New Roman" w:hAnsi="Times New Roman" w:eastAsia="方正仿宋_GBK" w:cs="Times New Roman"/>
          <w:sz w:val="32"/>
          <w:szCs w:val="32"/>
        </w:rPr>
        <w:t>政府性基金预算财政拨款收入支出决算表</w:t>
      </w:r>
    </w:p>
    <w:p w14:paraId="4A1F11B7">
      <w:pPr>
        <w:pStyle w:val="15"/>
        <w:adjustRightInd w:val="0"/>
        <w:snapToGrid w:val="0"/>
        <w:spacing w:line="560" w:lineRule="exact"/>
        <w:jc w:val="left"/>
        <w:rPr>
          <w:rFonts w:ascii="Times New Roman" w:hAnsi="Times New Roman" w:eastAsia="方正仿宋_GBK" w:cs="Times New Roman"/>
          <w:sz w:val="32"/>
          <w:szCs w:val="32"/>
        </w:rPr>
      </w:pPr>
      <w:bookmarkStart w:id="70" w:name="_Toc15396629"/>
      <w:r>
        <w:rPr>
          <w:rFonts w:ascii="Times New Roman" w:hAnsi="Times New Roman" w:eastAsia="方正仿宋_GBK" w:cs="Times New Roman"/>
          <w:sz w:val="32"/>
          <w:szCs w:val="32"/>
        </w:rPr>
        <w:t>十一、</w:t>
      </w:r>
      <w:bookmarkEnd w:id="70"/>
      <w:r>
        <w:rPr>
          <w:rFonts w:ascii="Times New Roman" w:hAnsi="Times New Roman" w:eastAsia="方正仿宋_GBK" w:cs="Times New Roman"/>
          <w:sz w:val="32"/>
          <w:szCs w:val="32"/>
        </w:rPr>
        <w:t>国有资本经营预算财政拨款收入支出决算表</w:t>
      </w:r>
    </w:p>
    <w:p w14:paraId="1D423DAD">
      <w:pPr>
        <w:pStyle w:val="15"/>
        <w:adjustRightInd w:val="0"/>
        <w:snapToGrid w:val="0"/>
        <w:spacing w:line="560" w:lineRule="exact"/>
        <w:jc w:val="left"/>
        <w:rPr>
          <w:rFonts w:ascii="Times New Roman" w:hAnsi="Times New Roman" w:eastAsia="方正仿宋_GBK" w:cs="Times New Roman"/>
          <w:sz w:val="32"/>
          <w:szCs w:val="32"/>
        </w:rPr>
      </w:pPr>
      <w:bookmarkStart w:id="71" w:name="_Toc15396630"/>
      <w:r>
        <w:rPr>
          <w:rFonts w:ascii="Times New Roman" w:hAnsi="Times New Roman" w:eastAsia="方正仿宋_GBK" w:cs="Times New Roman"/>
          <w:sz w:val="32"/>
          <w:szCs w:val="32"/>
        </w:rPr>
        <w:t>十二、</w:t>
      </w:r>
      <w:bookmarkEnd w:id="71"/>
      <w:r>
        <w:rPr>
          <w:rFonts w:ascii="Times New Roman" w:hAnsi="Times New Roman" w:eastAsia="方正仿宋_GBK" w:cs="Times New Roman"/>
          <w:sz w:val="32"/>
          <w:szCs w:val="32"/>
        </w:rPr>
        <w:t>国有资本经营预算财政拨款支出决算表</w:t>
      </w:r>
    </w:p>
    <w:p w14:paraId="2248E799">
      <w:pPr>
        <w:pStyle w:val="15"/>
        <w:adjustRightInd w:val="0"/>
        <w:snapToGrid w:val="0"/>
        <w:spacing w:line="560" w:lineRule="exact"/>
        <w:jc w:val="left"/>
        <w:rPr>
          <w:rFonts w:ascii="Times New Roman" w:hAnsi="Times New Roman" w:eastAsia="方正仿宋_GBK" w:cs="Times New Roman"/>
          <w:sz w:val="32"/>
          <w:szCs w:val="32"/>
        </w:rPr>
      </w:pPr>
      <w:bookmarkStart w:id="72" w:name="_Toc15396631"/>
      <w:r>
        <w:rPr>
          <w:rFonts w:ascii="Times New Roman" w:hAnsi="Times New Roman" w:eastAsia="方正仿宋_GBK" w:cs="Times New Roman"/>
          <w:sz w:val="32"/>
          <w:szCs w:val="32"/>
        </w:rPr>
        <w:t>十三、</w:t>
      </w:r>
      <w:bookmarkEnd w:id="72"/>
      <w:r>
        <w:rPr>
          <w:rFonts w:ascii="Times New Roman" w:hAnsi="Times New Roman" w:eastAsia="方正仿宋_GBK" w:cs="Times New Roman"/>
          <w:sz w:val="32"/>
          <w:szCs w:val="32"/>
        </w:rPr>
        <w:t>财政拨款“三公”经费支出决算表</w:t>
      </w:r>
    </w:p>
    <w:p w14:paraId="7B263C4D"/>
    <w:p w14:paraId="36275B9B">
      <w:pPr>
        <w:pStyle w:val="9"/>
        <w:rPr>
          <w:rFonts w:hint="eastAsia" w:ascii="Times New Roman" w:hAnsi="Times New Roman" w:eastAsia="方正小标宋简体" w:cs="方正小标宋简体"/>
          <w:color w:val="auto"/>
          <w:kern w:val="2"/>
          <w:sz w:val="44"/>
          <w:szCs w:val="44"/>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Arial Unicode MS"/>
    <w:panose1 w:val="02010601030101010101"/>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auto"/>
    <w:pitch w:val="default"/>
    <w:sig w:usb0="00000000" w:usb1="00000000" w:usb2="0000000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panose1 w:val="020B0602030504020204"/>
    <w:charset w:val="01"/>
    <w:family w:val="auto"/>
    <w:pitch w:val="default"/>
    <w:sig w:usb0="00000003" w:usb1="00000000" w:usb2="00000000" w:usb3="00000000" w:csb0="2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AF2E3">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1DC5B6"/>
    <w:multiLevelType w:val="singleLevel"/>
    <w:tmpl w:val="D41DC5B6"/>
    <w:lvl w:ilvl="0" w:tentative="0">
      <w:start w:val="3"/>
      <w:numFmt w:val="decimal"/>
      <w:lvlText w:val="%1."/>
      <w:lvlJc w:val="left"/>
      <w:pPr>
        <w:tabs>
          <w:tab w:val="left" w:pos="0"/>
        </w:tabs>
        <w:ind w:left="0" w:firstLine="0"/>
      </w:pPr>
    </w:lvl>
  </w:abstractNum>
  <w:abstractNum w:abstractNumId="1">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2">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3">
    <w:nsid w:val="1A05F136"/>
    <w:multiLevelType w:val="singleLevel"/>
    <w:tmpl w:val="1A05F136"/>
    <w:lvl w:ilvl="0" w:tentative="0">
      <w:start w:val="4"/>
      <w:numFmt w:val="chineseCounting"/>
      <w:suff w:val="space"/>
      <w:lvlText w:val="第%1部分"/>
      <w:lvlJc w:val="left"/>
      <w:pPr>
        <w:tabs>
          <w:tab w:val="left" w:pos="0"/>
        </w:tabs>
        <w:ind w:left="0" w:firstLine="0"/>
      </w:pPr>
      <w:rPr>
        <w:rFonts w:hint="eastAsia"/>
      </w:rPr>
    </w:lvl>
  </w:abstractNum>
  <w:abstractNum w:abstractNumId="4">
    <w:nsid w:val="1FF3B277"/>
    <w:multiLevelType w:val="singleLevel"/>
    <w:tmpl w:val="1FF3B277"/>
    <w:lvl w:ilvl="0" w:tentative="0">
      <w:start w:val="2"/>
      <w:numFmt w:val="chineseCounting"/>
      <w:suff w:val="nothing"/>
      <w:lvlText w:val="（%1）"/>
      <w:lvlJc w:val="left"/>
      <w:pPr>
        <w:tabs>
          <w:tab w:val="left" w:pos="0"/>
        </w:tabs>
        <w:ind w:left="0" w:firstLine="0"/>
      </w:pPr>
      <w:rPr>
        <w:rFonts w:hint="eastAsia"/>
      </w:rPr>
    </w:lvl>
  </w:abstractNum>
  <w:abstractNum w:abstractNumId="5">
    <w:nsid w:val="21B58365"/>
    <w:multiLevelType w:val="singleLevel"/>
    <w:tmpl w:val="21B58365"/>
    <w:lvl w:ilvl="0" w:tentative="0">
      <w:start w:val="2"/>
      <w:numFmt w:val="chineseCounting"/>
      <w:suff w:val="nothing"/>
      <w:lvlText w:val="（%1）"/>
      <w:lvlJc w:val="left"/>
      <w:pPr>
        <w:tabs>
          <w:tab w:val="left" w:pos="0"/>
        </w:tabs>
        <w:ind w:left="0" w:firstLine="0"/>
      </w:pPr>
      <w:rPr>
        <w:rFonts w:hint="eastAsia"/>
      </w:rPr>
    </w:lvl>
  </w:abstractNum>
  <w:abstractNum w:abstractNumId="6">
    <w:nsid w:val="2F8588C4"/>
    <w:multiLevelType w:val="singleLevel"/>
    <w:tmpl w:val="2F8588C4"/>
    <w:lvl w:ilvl="0" w:tentative="0">
      <w:start w:val="2"/>
      <w:numFmt w:val="chineseCounting"/>
      <w:suff w:val="nothing"/>
      <w:lvlText w:val="（%1）"/>
      <w:lvlJc w:val="left"/>
      <w:pPr>
        <w:tabs>
          <w:tab w:val="left" w:pos="0"/>
        </w:tabs>
        <w:ind w:left="0" w:firstLine="0"/>
      </w:pPr>
      <w:rPr>
        <w:rFonts w:hint="eastAsia"/>
      </w:rPr>
    </w:lvl>
  </w:abstractNum>
  <w:abstractNum w:abstractNumId="7">
    <w:nsid w:val="4F4784CD"/>
    <w:multiLevelType w:val="singleLevel"/>
    <w:tmpl w:val="4F4784CD"/>
    <w:lvl w:ilvl="0" w:tentative="0">
      <w:start w:val="3"/>
      <w:numFmt w:val="chineseCounting"/>
      <w:suff w:val="nothing"/>
      <w:lvlText w:val="（%1）"/>
      <w:lvlJc w:val="left"/>
      <w:pPr>
        <w:tabs>
          <w:tab w:val="left" w:pos="0"/>
        </w:tabs>
        <w:ind w:left="0" w:firstLine="0"/>
      </w:pPr>
      <w:rPr>
        <w:rFonts w:hint="eastAsia"/>
      </w:rPr>
    </w:lvl>
  </w:abstractNum>
  <w:abstractNum w:abstractNumId="8">
    <w:nsid w:val="615F0E73"/>
    <w:multiLevelType w:val="singleLevel"/>
    <w:tmpl w:val="615F0E73"/>
    <w:lvl w:ilvl="0" w:tentative="0">
      <w:start w:val="2"/>
      <w:numFmt w:val="chineseCounting"/>
      <w:suff w:val="nothing"/>
      <w:lvlText w:val="（%1）"/>
      <w:lvlJc w:val="left"/>
      <w:pPr>
        <w:tabs>
          <w:tab w:val="left" w:pos="0"/>
        </w:tabs>
        <w:ind w:left="0" w:firstLine="0"/>
      </w:pPr>
      <w:rPr>
        <w:rFonts w:hint="eastAsia"/>
      </w:rPr>
    </w:lvl>
  </w:abstractNum>
  <w:abstractNum w:abstractNumId="9">
    <w:nsid w:val="621EAD22"/>
    <w:multiLevelType w:val="singleLevel"/>
    <w:tmpl w:val="621EAD22"/>
    <w:lvl w:ilvl="0" w:tentative="0">
      <w:start w:val="24"/>
      <w:numFmt w:val="decimal"/>
      <w:lvlText w:val="%1."/>
      <w:lvlJc w:val="left"/>
      <w:pPr>
        <w:tabs>
          <w:tab w:val="left" w:pos="312"/>
        </w:tabs>
      </w:pPr>
    </w:lvl>
  </w:abstractNum>
  <w:num w:numId="1">
    <w:abstractNumId w:val="1"/>
  </w:num>
  <w:num w:numId="2">
    <w:abstractNumId w:val="5"/>
  </w:num>
  <w:num w:numId="3">
    <w:abstractNumId w:val="2"/>
  </w:num>
  <w:num w:numId="4">
    <w:abstractNumId w:val="9"/>
  </w:num>
  <w:num w:numId="5">
    <w:abstractNumId w:val="4"/>
  </w:num>
  <w:num w:numId="6">
    <w:abstractNumId w:val="0"/>
  </w:num>
  <w:num w:numId="7">
    <w:abstractNumId w:val="7"/>
  </w:num>
  <w:num w:numId="8">
    <w:abstractNumId w:val="8"/>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docVars>
    <w:docVar w:name="commondata" w:val="eyJoZGlkIjoiZjVhNGJiMWVmZTg4ZjFhYWZhYWFiMzBkODkwYWRkZmUifQ=="/>
  </w:docVars>
  <w:rsids>
    <w:rsidRoot w:val="00000000"/>
    <w:rsid w:val="2477530F"/>
    <w:rsid w:val="2AB5124D"/>
    <w:rsid w:val="4F0F45A5"/>
    <w:rsid w:val="6A62327C"/>
    <w:rsid w:val="740C2788"/>
    <w:rsid w:val="763C27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Arial"/>
      <w:kern w:val="2"/>
      <w:sz w:val="21"/>
      <w:szCs w:val="24"/>
      <w:lang w:val="en-US" w:eastAsia="zh-CN" w:bidi="ar-SA"/>
    </w:rPr>
  </w:style>
  <w:style w:type="paragraph" w:styleId="3">
    <w:name w:val="heading 1"/>
    <w:basedOn w:val="1"/>
    <w:next w:val="1"/>
    <w:link w:val="21"/>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2"/>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8">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table of figures1"/>
    <w:basedOn w:val="1"/>
    <w:next w:val="1"/>
    <w:qFormat/>
    <w:uiPriority w:val="0"/>
    <w:pPr>
      <w:spacing w:before="100" w:beforeAutospacing="1" w:after="100" w:afterAutospacing="1"/>
      <w:ind w:left="400" w:leftChars="200" w:hanging="200" w:hangingChars="200"/>
    </w:pPr>
  </w:style>
  <w:style w:type="paragraph" w:styleId="6">
    <w:name w:val="Body Text"/>
    <w:basedOn w:val="1"/>
    <w:next w:val="7"/>
    <w:qFormat/>
    <w:uiPriority w:val="0"/>
    <w:pPr>
      <w:spacing w:before="30" w:beforeLines="30"/>
    </w:pPr>
    <w:rPr>
      <w:rFonts w:ascii="仿宋_GB2312" w:eastAsia="仿宋_GB2312"/>
      <w:kern w:val="0"/>
      <w:sz w:val="30"/>
    </w:rPr>
  </w:style>
  <w:style w:type="paragraph" w:styleId="7">
    <w:name w:val="Subtitle"/>
    <w:basedOn w:val="1"/>
    <w:next w:val="1"/>
    <w:qFormat/>
    <w:uiPriority w:val="0"/>
    <w:pPr>
      <w:spacing w:before="240" w:after="60" w:line="312" w:lineRule="auto"/>
      <w:jc w:val="center"/>
      <w:outlineLvl w:val="1"/>
    </w:pPr>
    <w:rPr>
      <w:rFonts w:ascii="Cambria" w:hAnsi="Cambria" w:eastAsia="宋体" w:cs="Times New Roman"/>
      <w:b/>
      <w:kern w:val="28"/>
      <w:sz w:val="32"/>
      <w:szCs w:val="20"/>
    </w:rPr>
  </w:style>
  <w:style w:type="paragraph" w:styleId="8">
    <w:name w:val="Body Text Indent"/>
    <w:basedOn w:val="1"/>
    <w:next w:val="9"/>
    <w:qFormat/>
    <w:uiPriority w:val="0"/>
    <w:pPr>
      <w:spacing w:after="120"/>
      <w:ind w:left="200" w:leftChars="200"/>
    </w:pPr>
    <w:rPr>
      <w:rFonts w:ascii="仿宋_GB2312" w:hAnsi="仿宋_GB2312"/>
      <w:szCs w:val="32"/>
    </w:rPr>
  </w:style>
  <w:style w:type="paragraph" w:styleId="9">
    <w:name w:val="Body Text First Indent 2"/>
    <w:basedOn w:val="8"/>
    <w:qFormat/>
    <w:uiPriority w:val="0"/>
    <w:pPr>
      <w:ind w:firstLine="200" w:firstLineChars="200"/>
    </w:p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footnote text"/>
    <w:basedOn w:val="1"/>
    <w:next w:val="9"/>
    <w:qFormat/>
    <w:uiPriority w:val="0"/>
    <w:pPr>
      <w:snapToGrid w:val="0"/>
      <w:jc w:val="left"/>
    </w:pPr>
    <w:rPr>
      <w:sz w:val="18"/>
      <w:szCs w:val="18"/>
    </w:rPr>
  </w:style>
  <w:style w:type="paragraph" w:styleId="14">
    <w:name w:val="table of figures"/>
    <w:basedOn w:val="1"/>
    <w:next w:val="1"/>
    <w:qFormat/>
    <w:uiPriority w:val="0"/>
    <w:pPr>
      <w:ind w:left="400" w:leftChars="200" w:hanging="200" w:hangingChars="200"/>
    </w:pPr>
  </w:style>
  <w:style w:type="paragraph" w:styleId="15">
    <w:name w:val="toc 2"/>
    <w:basedOn w:val="1"/>
    <w:next w:val="1"/>
    <w:qFormat/>
    <w:uiPriority w:val="0"/>
    <w:pPr>
      <w:tabs>
        <w:tab w:val="right" w:leader="dot" w:pos="8296"/>
      </w:tabs>
      <w:ind w:left="200" w:leftChars="200"/>
    </w:p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character" w:customStyle="1" w:styleId="21">
    <w:name w:val="heading 1 Char"/>
    <w:basedOn w:val="18"/>
    <w:link w:val="3"/>
    <w:qFormat/>
    <w:uiPriority w:val="0"/>
    <w:rPr>
      <w:rFonts w:ascii="Times New Roman" w:hAnsi="Times New Roman" w:eastAsia="宋体" w:cs="Arial"/>
      <w:b/>
      <w:bCs/>
      <w:kern w:val="44"/>
      <w:sz w:val="44"/>
      <w:szCs w:val="44"/>
      <w:lang w:val="en-US" w:eastAsia="zh-CN" w:bidi="ar-SA"/>
    </w:rPr>
  </w:style>
  <w:style w:type="character" w:customStyle="1" w:styleId="22">
    <w:name w:val="heading 2 Char"/>
    <w:basedOn w:val="18"/>
    <w:link w:val="4"/>
    <w:qFormat/>
    <w:uiPriority w:val="0"/>
    <w:rPr>
      <w:rFonts w:ascii="Cambria" w:hAnsi="Cambria" w:eastAsia="宋体" w:cs="Arial"/>
      <w:b/>
      <w:bCs/>
      <w:kern w:val="2"/>
      <w:sz w:val="32"/>
      <w:szCs w:val="32"/>
      <w:lang w:val="en-US" w:eastAsia="zh-CN" w:bidi="ar-SA"/>
    </w:rPr>
  </w:style>
  <w:style w:type="paragraph" w:customStyle="1" w:styleId="23">
    <w:name w:val="table of figures"/>
    <w:basedOn w:val="1"/>
    <w:next w:val="1"/>
    <w:qFormat/>
    <w:uiPriority w:val="0"/>
    <w:pPr>
      <w:spacing w:before="100" w:beforeAutospacing="1" w:after="100" w:afterAutospacing="1"/>
      <w:ind w:left="400" w:leftChars="200" w:hanging="200" w:hangingChars="200"/>
    </w:pPr>
  </w:style>
  <w:style w:type="paragraph" w:styleId="24">
    <w:name w:val="List Paragraph"/>
    <w:basedOn w:val="1"/>
    <w:qFormat/>
    <w:uiPriority w:val="0"/>
    <w:pPr>
      <w:ind w:firstLine="200" w:firstLineChars="200"/>
    </w:p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6">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27">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delete val="1"/>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zh-CN"/>
                      <a:t>100%</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val>
            <c:numRef>
              <c:f>'Sheet1 (2)'!$B$2:$B$3</c:f>
              <c:numCache>
                <c:formatCode>General</c:formatCode>
                <c:ptCount val="2"/>
                <c:pt idx="0">
                  <c:v>1154.84</c:v>
                </c:pt>
                <c:pt idx="1">
                  <c:v>0</c:v>
                </c:pt>
              </c:numCache>
            </c:numRef>
          </c:val>
        </c:ser>
        <c:dLbls>
          <c:showLegendKey val="0"/>
          <c:showVal val="1"/>
          <c:showCatName val="0"/>
          <c:showSerName val="0"/>
          <c:showPercent val="0"/>
          <c:showBubbleSize val="0"/>
          <c:showLeaderLines val="1"/>
        </c:dLbls>
        <c:firstSliceAng val="0"/>
      </c:pieChart>
      <c:spPr>
        <a:noFill/>
        <a:ln>
          <a:noFill/>
        </a:ln>
      </c:spPr>
    </c:plotArea>
    <c:plotVisOnly val="1"/>
    <c:dispBlanksAs val="zero"/>
    <c:showDLblsOverMax val="0"/>
    <c:extLst>
      <c:ext uri="{0b15fc19-7d7d-44ad-8c2d-2c3a37ce22c3}">
        <chartProps xmlns="https://web.wps.cn/et/2018/main" chartId="{bf03f688-6436-452c-bd7b-b48e281d5eae}"/>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explosion val="9"/>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基本支出</c:v>
                </c:pt>
                <c:pt idx="1">
                  <c:v>项目支出</c:v>
                </c:pt>
              </c:strCache>
            </c:strRef>
          </c:cat>
          <c:val>
            <c:numRef>
              <c:f>'Sheet1 (3)'!$B$2:$B$3</c:f>
              <c:numCache>
                <c:formatCode>General</c:formatCode>
                <c:ptCount val="2"/>
                <c:pt idx="0">
                  <c:v>951.97</c:v>
                </c:pt>
                <c:pt idx="1">
                  <c:v>202.87</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fea2537a-1607-4b84-8ae0-9b81476e5cb5}"/>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支出结构表</a:t>
            </a:r>
            <a:endParaRPr lang="zh-CN"/>
          </a:p>
        </c:rich>
      </c:tx>
      <c:layout/>
      <c:overlay val="0"/>
      <c:spPr>
        <a:noFill/>
        <a:ln>
          <a:noFill/>
        </a:ln>
      </c:spPr>
    </c:title>
    <c:autoTitleDeleted val="0"/>
    <c:plotArea>
      <c:layout/>
      <c:pieChart>
        <c:varyColors val="1"/>
        <c:ser>
          <c:idx val="0"/>
          <c:order val="0"/>
          <c:tx>
            <c:strRef>
              <c:f>'Sheet1 (5)'!$B$1</c:f>
              <c:strCache>
                <c:ptCount val="1"/>
                <c:pt idx="0">
                  <c:v>支出结构表</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5B9BD5"/>
              </a:solidFill>
              <a:ln>
                <a:noFill/>
              </a:ln>
            </c:spPr>
          </c:dPt>
          <c:dPt>
            <c:idx val="5"/>
            <c:bubble3D val="0"/>
            <c:spPr>
              <a:solidFill>
                <a:srgbClr val="5B9BD5"/>
              </a:solidFill>
              <a:ln>
                <a:noFill/>
              </a:ln>
            </c:spPr>
          </c:dPt>
          <c:dPt>
            <c:idx val="6"/>
            <c:bubble3D val="0"/>
            <c:spPr>
              <a:solidFill>
                <a:srgbClr val="5B9BD5"/>
              </a:solidFill>
              <a:ln>
                <a:noFill/>
              </a:ln>
            </c:spPr>
          </c:dPt>
          <c:dPt>
            <c:idx val="7"/>
            <c:bubble3D val="0"/>
            <c:spPr>
              <a:solidFill>
                <a:srgbClr val="5B9BD5"/>
              </a:solidFill>
              <a:ln>
                <a:noFill/>
              </a:ln>
            </c:spPr>
          </c:dPt>
          <c:dLbls>
            <c:dLbl>
              <c:idx val="3"/>
              <c:layout>
                <c:manualLayout>
                  <c:x val="-0.056333438"/>
                  <c:y val="-0.0452152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(5)'!$A$2:$A$9</c:f>
              <c:strCache>
                <c:ptCount val="8"/>
                <c:pt idx="0">
                  <c:v>一般公共服务支出</c:v>
                </c:pt>
                <c:pt idx="1">
                  <c:v>社会保障和就业支出</c:v>
                </c:pt>
                <c:pt idx="2">
                  <c:v>卫生健康支出</c:v>
                </c:pt>
                <c:pt idx="3">
                  <c:v>节能环保支出</c:v>
                </c:pt>
                <c:pt idx="4">
                  <c:v>农林水支出</c:v>
                </c:pt>
                <c:pt idx="5">
                  <c:v>住房保障支出</c:v>
                </c:pt>
                <c:pt idx="6">
                  <c:v>灾害防治及应急管理支出</c:v>
                </c:pt>
                <c:pt idx="7">
                  <c:v>国有资本经营预算支出</c:v>
                </c:pt>
              </c:strCache>
            </c:strRef>
          </c:cat>
          <c:val>
            <c:numRef>
              <c:f>'Sheet1 (5)'!$B$2:$B$9</c:f>
              <c:numCache>
                <c:formatCode>General</c:formatCode>
                <c:ptCount val="8"/>
                <c:pt idx="0">
                  <c:v>382.46</c:v>
                </c:pt>
                <c:pt idx="1">
                  <c:v>107.31</c:v>
                </c:pt>
                <c:pt idx="2">
                  <c:v>47.73</c:v>
                </c:pt>
                <c:pt idx="3">
                  <c:v>0</c:v>
                </c:pt>
                <c:pt idx="4">
                  <c:v>553.35</c:v>
                </c:pt>
                <c:pt idx="5">
                  <c:v>63.95</c:v>
                </c:pt>
                <c:pt idx="6">
                  <c:v>0</c:v>
                </c:pt>
                <c:pt idx="7">
                  <c:v>0.05</c:v>
                </c:pt>
              </c:numCache>
            </c:numRef>
          </c:val>
        </c:ser>
        <c:dLbls>
          <c:showLegendKey val="0"/>
          <c:showVal val="0"/>
          <c:showCatName val="0"/>
          <c:showSerName val="0"/>
          <c:showPercent val="1"/>
          <c:showBubbleSize val="0"/>
          <c:showLeaderLines val="1"/>
        </c:dLbls>
        <c:firstSliceAng val="0"/>
      </c:pieChart>
      <c:spPr>
        <a:no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e60672ba-52bc-4000-be82-9026dc3dd5e8}"/>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38</Pages>
  <Words>12604</Words>
  <Characters>14347</Characters>
  <Lines>1151</Lines>
  <Paragraphs>490</Paragraphs>
  <TotalTime>5</TotalTime>
  <ScaleCrop>false</ScaleCrop>
  <LinksUpToDate>false</LinksUpToDate>
  <CharactersWithSpaces>14453</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2024-01-17T09:00:00Z</dcterms:created>
  <dc:creator>Administrator</dc:creator>
  <cp:lastModifiedBy>立正会计(杨野）</cp:lastModifiedBy>
  <dcterms:modified xsi:type="dcterms:W3CDTF">2025-08-27T04:34:16Z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7E1F2D3B74864E4FA46F22B683051BC3_13</vt:lpwstr>
  </property>
  <property fmtid="{D5CDD505-2E9C-101B-9397-08002B2CF9AE}" pid="4" name="KSOTemplateDocerSaveRecord">
    <vt:lpwstr>eyJoZGlkIjoiMDIwYTEyYzgwNzMwODdmYjBjMzcxNzI5YTZhZjQzZTciLCJ1c2VySWQiOiIzNTU0NzI0NDEifQ==</vt:lpwstr>
  </property>
</Properties>
</file>