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spacing w:line="560" w:lineRule="exact"/>
        <w:jc w:val="center"/>
        <w:rPr>
          <w:rFonts w:ascii="方正小标宋_GBK" w:eastAsia="方正小标宋_GBK" w:cs="方正小标宋_GBK" w:hint="eastAsia"/>
          <w:sz w:val="44"/>
          <w:szCs w:val="44"/>
          <w:lang w:val="en-US" w:eastAsia="zh-CN"/>
        </w:rPr>
      </w:pPr>
      <w:r>
        <w:rPr>
          <w:rFonts w:ascii="方正小标宋_GBK" w:eastAsia="方正小标宋_GBK" w:cs="方正小标宋_GBK"/>
          <w:sz w:val="44"/>
          <w:szCs w:val="44"/>
          <w:lang w:val="en-US" w:eastAsia="zh-CN"/>
        </w:rPr>
        <w:t>金川县</w:t>
      </w:r>
      <w:r>
        <w:rPr>
          <w:rFonts w:ascii="方正小标宋_GBK" w:eastAsia="方正小标宋_GBK" w:cs="方正小标宋_GBK" w:hint="eastAsia"/>
          <w:sz w:val="44"/>
          <w:szCs w:val="44"/>
          <w:lang w:val="en-US" w:eastAsia="zh-CN"/>
        </w:rPr>
        <w:t>2024年人民政府</w:t>
      </w:r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  <w:lang w:eastAsia="zh-CN"/>
        </w:rPr>
      </w:pPr>
      <w:r>
        <w:rPr>
          <w:rFonts w:ascii="方正小标宋_GBK" w:eastAsia="方正小标宋_GBK" w:cs="方正小标宋_GBK" w:hint="eastAsia"/>
          <w:sz w:val="44"/>
          <w:szCs w:val="44"/>
          <w:lang w:val="en-US" w:eastAsia="zh-CN"/>
        </w:rPr>
        <w:t>部门</w:t>
      </w:r>
      <w:r>
        <w:rPr>
          <w:rFonts w:ascii="方正小标宋_GBK" w:eastAsia="方正小标宋_GBK" w:cs="方正小标宋_GBK" w:hint="eastAsia"/>
          <w:sz w:val="44"/>
          <w:szCs w:val="44"/>
        </w:rPr>
        <w:t>预算绩效目标情况说明</w:t>
      </w:r>
    </w:p>
    <w:p>
      <w:pPr>
        <w:pStyle w:val="15"/>
        <w:tabs>
          <w:tab w:val="center" w:pos="4153"/>
          <w:tab w:val="right" w:pos="8306"/>
        </w:tabs>
        <w:jc w:val="left"/>
      </w:pP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2024年，我单位部门预算947.08万元 ，均严格按绩效管理要求实现项目绩效目标管理，其中重点项目预算5个，现将情况说明如下：</w:t>
      </w:r>
    </w:p>
    <w:p>
      <w:pPr>
        <w:spacing w:line="560" w:lineRule="exact"/>
        <w:ind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一、单位预算绩效管理工作开展情况。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 xml:space="preserve"> 完成了2024年本级部门预算整体绩效目标申报和5个项目预算绩效目标申报，并编报5个项目预算事前绩效评估报告。</w:t>
      </w:r>
    </w:p>
    <w:p>
      <w:pPr>
        <w:numPr>
          <w:ilvl w:val="0"/>
          <w:numId w:val="1"/>
        </w:numPr>
        <w:spacing w:line="560" w:lineRule="exact"/>
        <w:ind w:left="0"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单位整体绩效目标。</w:t>
      </w:r>
    </w:p>
    <w:p>
      <w:pPr>
        <w:spacing w:line="560" w:lineRule="exact"/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在县委、县政府和乡党委的坚强领导下，乡人民政府坚持以习近平新时代中国特色社会主义思想为指导，认真贯彻落实中央大政方针和省委、州委、县委重大决策部署，坚持科学发展、高质量发展理念，积极应对脱贫攻坚、新冠肺炎、抢险救灾等复杂严峻的发展形势，统筹推进经济建设、政治建设、文化建设、社会建设和生态文明建设，全面压实主体责任、转变干部作风、细化工作措施，全乡呈现出经济持续稳定发展、民生持续改善、社会和谐稳定、干群奋发有为的良好局面。曾先后荣获“四川省脱贫攻坚先进集体”、“阿坝州脱贫攻坚先进集体”、“金川县先进党组织”等殊荣。</w:t>
      </w:r>
    </w:p>
    <w:p>
      <w:pPr>
        <w:spacing w:line="560" w:lineRule="exact"/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一是紧紧围绕影响经济发展和社会稳定的源头性、苗头性、基础性问题，突出重点、综合施策，进一步优化社会环境，促进社会和谐稳定。</w:t>
      </w:r>
    </w:p>
    <w:p>
      <w:pPr>
        <w:spacing w:line="560" w:lineRule="exact"/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二是始终坚持以习近平生态文明思想为指引，认真践行“绿水青山就是金山银山”“重在保护、要在治理、高质量发展”理念，切实把生态环境保护摆在压倒性位置，共抓大保护、不搞大开发。</w:t>
      </w:r>
    </w:p>
    <w:p>
      <w:pPr>
        <w:spacing w:line="560" w:lineRule="exact"/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三是坚定贯彻总体国家安全观，旗帜鲜明开展反分维稳斗争，扫黑除恶</w:t>
      </w:r>
      <w:bookmarkStart w:id="0" w:name="_GoBack"/>
      <w:bookmarkEnd w:id="0"/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专项斗争强力推进，“天网”“雪亮”工程拓展延伸，平安防线牢不可破，“两项”改革调整优化4个村。</w:t>
      </w:r>
    </w:p>
    <w:p>
      <w:pPr>
        <w:spacing w:line="560" w:lineRule="exact"/>
        <w:ind w:left="0"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三、重点项目绩效目标。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重点项目1：人民政府办公室日常公用经费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重点项目2：基层组织活动和公共服务运行经费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根据《四川省财政厅关于印发《四川省基层组织活动和公共服务运行维护费使用管理办法》的通知》的要求，村级经费补助分配基层活动和运行经费（阿坝州、甘孜州、凉山木里县）平均每村不低于11万元/年、社区不低于6万元/年。现申请我乡5个村（其中两个为合并村）的公务运行维护费7万元/年/村，合并村14万元/年/村，共计49万元；党建费2万元/年/村，合并村4万元/年/村，共计14万元；办公费2万元/年/村，合并村4万元/年/村，，共计14万元。以上合计77万元（大写：柒拾柒万元整）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绩效指标设置情况：细化指标7个，包括产出指标、成本指标、效益指标和满意度指标。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重点项目3：党委办公室日常公用经费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重点项目4：人大办公室日常公用经费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重点项目5：综合服务中心日常公用经费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仿宋_GB2312">
    <w:altName w:val="仿宋"/>
    <w:panose1 w:val="02010609030101010101"/>
    <w:charset w:val="86"/>
    <w:family w:val="auto"/>
    <w:pitch w:val="variable"/>
    <w:sig w:usb0="00000000" w:usb1="00000000" w:usb2="00000000" w:usb3="00000000" w:csb0="00040000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Times New Roman">
    <w:panose1 w:val="02020603050405020304"/>
    <w:charset w:val="86"/>
    <w:family w:val="auto"/>
    <w:pitch w:val="variable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200001FF" w:csb1="00000000"/>
  </w:font>
  <w:font w:name="Arial">
    <w:panose1 w:val="020B0604020202020204"/>
    <w:charset w:val="01"/>
    <w:family w:val="swiss"/>
    <w:pitch w:val="variable"/>
    <w:sig w:usb0="E0002EFF" w:usb1="C000785B" w:usb2="00000009" w:usb3="00000000" w:csb0="400001FF" w:csb1="FFFF0000"/>
  </w:font>
  <w:font w:name="Luxi Sans">
    <w:altName w:val="Segoe Print"/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E5FD0A63"/>
    <w:multiLevelType w:val="singleLevel"/>
    <w:tmpl w:val="E5FD0A63"/>
    <w:lvl w:ilvl="0">
      <w:start w:val="2"/>
      <w:numFmt w:val="chineseCounting"/>
      <w:lvlRestart w:val="0"/>
      <w:suff w:val="nothing"/>
      <w:lvlText w:val="%1、"/>
      <w:lvlJc w:val="left"/>
      <w:pPr>
        <w:ind w:left="0" w:hanging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MDIwYTEyYzgwNzMwODdmYjBjMzcxNzI5YTZhZjQzZTc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next w:val="15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autoRedefine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autoRedefine/>
    <w:next w:val="0"/>
    <w:pPr>
      <w:keepNext/>
      <w:keepLines/>
      <w:widowControl w:val="0"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footer"/>
    <w:basedOn w:val="0"/>
    <w:autoRedefine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6">
    <w:name w:val="Normal (Web)"/>
    <w:basedOn w:val="0"/>
    <w:autoRedefine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5</TotalTime>
  <Application>Yozo_Office27021597764231179</Application>
  <Pages>3</Pages>
  <Words>1312</Words>
  <Characters>1332</Characters>
  <Lines>65</Lines>
  <Paragraphs>26</Paragraphs>
  <CharactersWithSpaces>1334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Administrator</cp:lastModifiedBy>
  <cp:revision>1</cp:revision>
  <dcterms:created xsi:type="dcterms:W3CDTF">2023-02-06T06:46:00Z</dcterms:created>
  <dcterms:modified xsi:type="dcterms:W3CDTF">2024-03-13T08:54:19Z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2052-12.1.0.16250</vt:lpwstr>
  </property>
  <property fmtid="{D5CDD505-2E9C-101B-9397-08002B2CF9AE}" pid="3" name="ICV">
    <vt:lpwstr>1BCFE708E2A142B1B59CD639B0135DC6_13</vt:lpwstr>
  </property>
</Properties>
</file>