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lang w:val="en-US" w:eastAsia="zh-CN"/>
        </w:rPr>
      </w:pPr>
      <w:bookmarkStart w:id="0" w:name="_Toc15306267"/>
      <w:r>
        <w:rPr>
          <w:rFonts w:ascii="方正小标宋简体" w:eastAsia="方正小标宋简体" w:hint="eastAsia"/>
          <w:color w:val="000000"/>
          <w:sz w:val="72"/>
          <w:szCs w:val="72"/>
          <w:lang w:val="en-US" w:eastAsia="zh-CN"/>
        </w:rPr>
        <w:t xml:space="preserve"> </w:t>
      </w: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8441"/>
      <w:bookmarkStart w:id="3" w:name="_Toc15396475"/>
      <w:bookmarkStart w:id="4" w:name="_Toc12796"/>
      <w:bookmarkStart w:id="5" w:name="_Toc15396597"/>
      <w:bookmarkStart w:id="6" w:name="_Toc15377425"/>
      <w:r>
        <w:rPr>
          <w:rFonts w:ascii="黑体" w:eastAsia="黑体" w:hint="eastAsia"/>
          <w:color w:val="000000"/>
          <w:sz w:val="72"/>
          <w:szCs w:val="72"/>
          <w:lang w:eastAsia="zh-CN"/>
        </w:rPr>
        <w:t>2022年</w:t>
      </w:r>
      <w:r>
        <w:rPr>
          <w:rFonts w:ascii="方正小标宋简体" w:eastAsia="方正小标宋简体" w:hint="eastAsia"/>
          <w:color w:val="000000"/>
          <w:sz w:val="72"/>
          <w:szCs w:val="72"/>
        </w:rPr>
        <w:t>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96476"/>
      <w:bookmarkStart w:id="8" w:name="_Toc6811"/>
      <w:bookmarkStart w:id="9" w:name="_Toc15378442"/>
      <w:bookmarkStart w:id="10" w:name="_Toc15377194"/>
      <w:bookmarkStart w:id="11" w:name="_Toc15396598"/>
      <w:bookmarkStart w:id="12" w:name="_Toc15377426"/>
      <w:r>
        <w:rPr>
          <w:rFonts w:ascii="方正小标宋简体" w:eastAsia="方正小标宋简体" w:hint="eastAsia"/>
          <w:color w:val="000000"/>
          <w:sz w:val="72"/>
          <w:szCs w:val="72"/>
        </w:rPr>
        <w:t>四川省</w:t>
      </w:r>
      <w:bookmarkStart w:id="13" w:name="_Toc15306268"/>
      <w:bookmarkEnd w:id="0"/>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eastAsia="zh-CN"/>
        </w:rPr>
        <w:t>河西乡</w:t>
      </w:r>
      <w:r>
        <w:rPr>
          <w:rFonts w:ascii="方正小标宋简体" w:eastAsia="方正小标宋简体" w:hint="eastAsia"/>
          <w:color w:val="000000"/>
          <w:sz w:val="72"/>
          <w:szCs w:val="72"/>
        </w:rPr>
        <w:t>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hint="eastAsia"/>
          <w:color w:val="000000"/>
          <w:sz w:val="48"/>
          <w:szCs w:val="48"/>
        </w:rPr>
        <w:sectPr>
          <w:headerReference w:type="default" r:id="rId2"/>
          <w:footerReference w:type="default" r:id="rId3"/>
          <w:footerReference w:type="first" r:id="rId4"/>
          <w:pgSz w:w="11906" w:h="16838"/>
          <w:pgMar w:top="1440" w:right="1800" w:bottom="1440" w:left="1800" w:header="851" w:footer="992" w:gutter="0"/>
          <w:pgNumType w:start="1"/>
          <w:titlePg/>
          <w:docGrid w:type="lines" w:linePitch="312" w:charSpace="0"/>
        </w:sectPr>
      </w:pPr>
    </w:p>
    <w:p>
      <w:pPr>
        <w:widowControl/>
        <w:jc w:val="center"/>
      </w:pPr>
      <w:bookmarkStart w:id="14" w:name="_Toc15377196"/>
      <w:r>
        <w:rPr>
          <w:rFonts w:ascii="Times New Roman" w:eastAsia="黑体" w:cs="Times New Roman" w:hAnsi="Times New Roman"/>
          <w:sz w:val="48"/>
          <w:szCs w:val="48"/>
        </w:rPr>
        <w:t>目录</w:t>
      </w:r>
    </w:p>
    <w:p>
      <w:pPr>
        <w:pStyle w:val="21"/>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9</w:t>
      </w:r>
      <w:r>
        <w:rPr>
          <w:rFonts w:ascii="Times New Roman" w:cs="Times New Roman" w:hAnsi="Times New Roman"/>
        </w:rPr>
        <w:t>日</w:t>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cs="Times New Roman" w:hAnsi="Times New Roman" w:hint="eastAsia"/>
          <w:sz w:val="24"/>
          <w:szCs w:val="28"/>
          <w:lang w:val="en-US" w:eastAsia="zh-CN"/>
        </w:rPr>
        <w:t>4</w:t>
      </w:r>
      <w:r>
        <w:rPr>
          <w:rFonts w:ascii="Times New Roman" w:eastAsia="仿宋" w:cs="Times New Roman" w:hAnsi="Times New Roman"/>
          <w:sz w:val="24"/>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cs="Times New Roman" w:hint="eastAsia"/>
          <w:sz w:val="24"/>
          <w:lang w:val="en-US" w:eastAsia="zh-CN"/>
        </w:rPr>
        <w:t>6</w:t>
      </w:r>
      <w:r>
        <w:rPr>
          <w:rFonts w:ascii="Times New Roman" w:cs="Times New Roman" w:hAnsi="Times New Roman"/>
          <w:sz w:val="24"/>
        </w:rPr>
        <w:fldChar w:fldCharType="end"/>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sz w:val="24"/>
          <w:szCs w:val="28"/>
        </w:rPr>
      </w:pP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"_Toc26843607"</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第二部分 202</w:t>
      </w:r>
      <w:r>
        <w:rPr>
          <w:rFonts w:ascii="Times New Roman" w:cs="Times New Roman" w:hAnsi="Times New Roman" w:hint="eastAsia"/>
          <w:sz w:val="24"/>
          <w:szCs w:val="28"/>
          <w:lang w:val="en-US" w:eastAsia="zh-CN"/>
        </w:rPr>
        <w:t>2</w:t>
      </w:r>
      <w:r>
        <w:rPr>
          <w:rFonts w:ascii="Times New Roman" w:eastAsia="仿宋" w:cs="Times New Roman" w:hAnsi="Times New Roman"/>
          <w:sz w:val="24"/>
          <w:szCs w:val="28"/>
        </w:rPr>
        <w:t>年度</w:t>
      </w:r>
      <w:r>
        <w:rPr>
          <w:rFonts w:ascii="Times New Roman" w:eastAsia="仿宋" w:cs="Times New Roman" w:hAnsi="Times New Roman"/>
          <w:sz w:val="24"/>
          <w:szCs w:val="28"/>
          <w:lang w:val="en-US" w:eastAsia="zh-CN"/>
        </w:rPr>
        <w:t>部门决算情况说明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7</w:t>
      </w:r>
      <w:r>
        <w:rPr>
          <w:rFonts w:ascii="Times New Roman" w:eastAsia="仿宋" w:cs="Times New Roman" w:hAnsi="Times New Roman"/>
          <w:sz w:val="24"/>
          <w:szCs w:val="28"/>
        </w:rPr>
        <w:fldChar w:fldCharType="end"/>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sz w:val="24"/>
          <w:szCs w:val="28"/>
        </w:rPr>
      </w:pP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"_Toc26843608"</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lang w:val="en-US" w:eastAsia="zh-CN"/>
        </w:rPr>
        <w:t>一、</w:t>
      </w:r>
      <w:r>
        <w:rPr>
          <w:rFonts w:ascii="Times New Roman" w:eastAsia="仿宋" w:cs="Times New Roman" w:hAnsi="Times New Roman"/>
          <w:sz w:val="24"/>
          <w:szCs w:val="28"/>
        </w:rPr>
        <w:t xml:space="preserve">  收</w:t>
      </w:r>
      <w:r>
        <w:rPr>
          <w:rFonts w:ascii="Times New Roman" w:eastAsia="仿宋" w:cs="Times New Roman" w:hAnsi="Times New Roman"/>
          <w:sz w:val="24"/>
          <w:szCs w:val="28"/>
          <w:lang w:val="en-US" w:eastAsia="zh-CN"/>
        </w:rPr>
        <w:t>入支出决算总体情况说明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7</w:t>
      </w:r>
      <w:r>
        <w:rPr>
          <w:rFonts w:ascii="Times New Roman" w:eastAsia="仿宋" w:cs="Times New Roman" w:hAnsi="Times New Roman"/>
          <w:sz w:val="24"/>
          <w:szCs w:val="28"/>
        </w:rPr>
        <w:fldChar w:fldCharType="end"/>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sz w:val="24"/>
          <w:szCs w:val="28"/>
        </w:rPr>
      </w:pP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"_Toc26843609"</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lang w:val="en-US" w:eastAsia="zh-CN"/>
        </w:rPr>
        <w:t>二、</w:t>
      </w:r>
      <w:r>
        <w:rPr>
          <w:rFonts w:ascii="Times New Roman" w:eastAsia="仿宋" w:cs="Times New Roman" w:hAnsi="Times New Roman"/>
          <w:sz w:val="24"/>
          <w:szCs w:val="28"/>
        </w:rPr>
        <w:t xml:space="preserve">  收</w:t>
      </w:r>
      <w:r>
        <w:rPr>
          <w:rFonts w:ascii="Times New Roman" w:eastAsia="仿宋" w:cs="Times New Roman" w:hAnsi="Times New Roman"/>
          <w:sz w:val="24"/>
          <w:szCs w:val="28"/>
          <w:lang w:val="en-US" w:eastAsia="zh-CN"/>
        </w:rPr>
        <w:t>入决算情况说明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7</w:t>
      </w:r>
      <w:r>
        <w:rPr>
          <w:rFonts w:ascii="Times New Roman" w:eastAsia="仿宋" w:cs="Times New Roman" w:hAnsi="Times New Roman"/>
          <w:sz w:val="24"/>
          <w:szCs w:val="28"/>
        </w:rPr>
        <w:fldChar w:fldCharType="end"/>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sz w:val="24"/>
          <w:szCs w:val="28"/>
        </w:rPr>
      </w:pP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"_Toc26843612"</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lang w:val="en-US" w:eastAsia="zh-CN"/>
        </w:rPr>
        <w:t>三、</w:t>
      </w:r>
      <w:r>
        <w:rPr>
          <w:rFonts w:ascii="Times New Roman" w:eastAsia="仿宋" w:cs="Times New Roman" w:hAnsi="Times New Roman"/>
          <w:sz w:val="24"/>
          <w:szCs w:val="28"/>
        </w:rPr>
        <w:t xml:space="preserve">  支</w:t>
      </w:r>
      <w:r>
        <w:rPr>
          <w:rFonts w:ascii="Times New Roman" w:eastAsia="仿宋" w:cs="Times New Roman" w:hAnsi="Times New Roman"/>
          <w:sz w:val="24"/>
          <w:szCs w:val="28"/>
          <w:lang w:val="en-US" w:eastAsia="zh-CN"/>
        </w:rPr>
        <w:t>出决算情况说明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8</w:t>
      </w:r>
      <w:r>
        <w:rPr>
          <w:rFonts w:ascii="Times New Roman" w:eastAsia="仿宋" w:cs="Times New Roman" w:hAnsi="Times New Roman"/>
          <w:sz w:val="24"/>
          <w:szCs w:val="28"/>
        </w:rPr>
        <w:fldChar w:fldCharType="end"/>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sz w:val="24"/>
          <w:szCs w:val="28"/>
        </w:rPr>
      </w:pP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"_Toc26843615"</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四、财</w:t>
      </w:r>
      <w:r>
        <w:rPr>
          <w:rFonts w:ascii="Times New Roman" w:eastAsia="仿宋" w:cs="Times New Roman" w:hAnsi="Times New Roman"/>
          <w:sz w:val="24"/>
          <w:szCs w:val="28"/>
          <w:lang w:val="en-US" w:eastAsia="zh-CN"/>
        </w:rPr>
        <w:t>政拨款收入支出决算总体情况说明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8</w:t>
      </w:r>
      <w:r>
        <w:rPr>
          <w:rFonts w:ascii="Times New Roman" w:eastAsia="仿宋" w:cs="Times New Roman" w:hAnsi="Times New Roman"/>
          <w:sz w:val="24"/>
          <w:szCs w:val="28"/>
        </w:rPr>
        <w:fldChar w:fldCharType="end"/>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sz w:val="24"/>
          <w:szCs w:val="28"/>
        </w:rPr>
      </w:pP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"_Toc26843616"</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五、一</w:t>
      </w:r>
      <w:r>
        <w:rPr>
          <w:rFonts w:ascii="Times New Roman" w:eastAsia="仿宋" w:cs="Times New Roman" w:hAnsi="Times New Roman"/>
          <w:sz w:val="24"/>
          <w:szCs w:val="28"/>
          <w:lang w:val="en-US" w:eastAsia="zh-CN"/>
        </w:rPr>
        <w:t>般公共预算财政拨款支出决算情况说明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9</w:t>
      </w:r>
      <w:r>
        <w:rPr>
          <w:rFonts w:ascii="Times New Roman" w:eastAsia="仿宋" w:cs="Times New Roman" w:hAnsi="Times New Roman"/>
          <w:sz w:val="24"/>
          <w:szCs w:val="28"/>
        </w:rPr>
        <w:fldChar w:fldCharType="end"/>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hint="eastAsia"/>
          <w:sz w:val="24"/>
          <w:szCs w:val="28"/>
          <w:lang w:val="en-US" w:eastAsia="zh-CN"/>
        </w:rPr>
      </w:pP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"_Toc26843617"</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六、一</w:t>
      </w:r>
      <w:r>
        <w:rPr>
          <w:rFonts w:ascii="Times New Roman" w:eastAsia="仿宋" w:cs="Times New Roman" w:hAnsi="Times New Roman"/>
          <w:sz w:val="24"/>
          <w:szCs w:val="28"/>
          <w:lang w:val="en-US" w:eastAsia="zh-CN"/>
        </w:rPr>
        <w:t>般公共预算财政拨款基本支出决算情况说明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1</w:t>
      </w:r>
      <w:r>
        <w:rPr>
          <w:rFonts w:ascii="Times New Roman" w:eastAsia="仿宋" w:cs="Times New Roman" w:hAnsi="Times New Roman"/>
          <w:sz w:val="24"/>
          <w:szCs w:val="28"/>
        </w:rPr>
        <w:fldChar w:fldCharType="end"/>
      </w:r>
      <w:r>
        <w:rPr>
          <w:rFonts w:ascii="Times New Roman" w:eastAsia="仿宋" w:cs="Times New Roman" w:hAnsi="Times New Roman" w:hint="eastAsia"/>
          <w:sz w:val="24"/>
          <w:szCs w:val="28"/>
          <w:lang w:val="en-US" w:eastAsia="zh-CN"/>
        </w:rPr>
        <w:t>2</w:t>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hint="eastAsia"/>
          <w:sz w:val="24"/>
          <w:szCs w:val="28"/>
          <w:lang w:val="en-US" w:eastAsia="zh-CN"/>
        </w:rPr>
      </w:pP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"_Toc26843618"</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七、</w:t>
      </w:r>
      <w:r>
        <w:rPr>
          <w:rFonts w:ascii="Times New Roman" w:eastAsia="仿宋" w:cs="Times New Roman" w:hAnsi="Times New Roman"/>
          <w:sz w:val="24"/>
          <w:szCs w:val="28"/>
          <w:lang w:val="en-US" w:eastAsia="zh-CN"/>
        </w:rPr>
        <w:t>“三公”经费财政拨款支出决算情况说明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1</w:t>
      </w:r>
      <w:r>
        <w:rPr>
          <w:rFonts w:ascii="Times New Roman" w:eastAsia="仿宋" w:cs="Times New Roman" w:hAnsi="Times New Roman"/>
          <w:sz w:val="24"/>
          <w:szCs w:val="28"/>
        </w:rPr>
        <w:fldChar w:fldCharType="end"/>
      </w:r>
      <w:r>
        <w:rPr>
          <w:rFonts w:ascii="Times New Roman" w:eastAsia="仿宋" w:cs="Times New Roman" w:hAnsi="Times New Roman" w:hint="eastAsia"/>
          <w:sz w:val="24"/>
          <w:szCs w:val="28"/>
          <w:lang w:val="en-US" w:eastAsia="zh-CN"/>
        </w:rPr>
        <w:t>4</w:t>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hint="eastAsia"/>
          <w:sz w:val="24"/>
          <w:szCs w:val="28"/>
          <w:lang w:val="en-US" w:eastAsia="zh-CN"/>
        </w:rPr>
      </w:pP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"_Toc26843619"</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八、</w:t>
      </w:r>
      <w:r>
        <w:rPr>
          <w:rFonts w:ascii="Times New Roman" w:eastAsia="仿宋" w:cs="Times New Roman" w:hAnsi="Times New Roman"/>
          <w:sz w:val="24"/>
          <w:szCs w:val="28"/>
          <w:lang w:val="en-US" w:eastAsia="zh-CN"/>
        </w:rPr>
        <w:t>政府性基金预算支出决算情况说明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1</w:t>
      </w:r>
      <w:r>
        <w:rPr>
          <w:rFonts w:ascii="Times New Roman" w:eastAsia="仿宋" w:cs="Times New Roman" w:hAnsi="Times New Roman"/>
          <w:sz w:val="24"/>
          <w:szCs w:val="28"/>
        </w:rPr>
        <w:fldChar w:fldCharType="end"/>
      </w:r>
      <w:r>
        <w:rPr>
          <w:rFonts w:ascii="Times New Roman" w:eastAsia="仿宋" w:cs="Times New Roman" w:hAnsi="Times New Roman" w:hint="eastAsia"/>
          <w:sz w:val="24"/>
          <w:szCs w:val="28"/>
          <w:lang w:val="en-US" w:eastAsia="zh-CN"/>
        </w:rPr>
        <w:t>4</w:t>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hint="eastAsia"/>
          <w:sz w:val="24"/>
          <w:szCs w:val="28"/>
          <w:lang w:val="en-US" w:eastAsia="zh-CN"/>
        </w:rPr>
      </w:pP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"_Toc26843620"</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lang w:val="en-US" w:eastAsia="zh-CN"/>
        </w:rPr>
        <w:t>九、</w:t>
      </w:r>
      <w:r>
        <w:rPr>
          <w:rFonts w:ascii="Times New Roman" w:eastAsia="仿宋" w:cs="Times New Roman" w:hAnsi="Times New Roman"/>
          <w:sz w:val="24"/>
          <w:szCs w:val="28"/>
        </w:rPr>
        <w:t xml:space="preserve">  </w:t>
      </w:r>
      <w:r>
        <w:rPr>
          <w:rFonts w:ascii="Times New Roman" w:eastAsia="仿宋" w:cs="Times New Roman" w:hAnsi="Times New Roman"/>
          <w:sz w:val="24"/>
          <w:szCs w:val="28"/>
          <w:lang w:val="en-US" w:eastAsia="zh-CN"/>
        </w:rPr>
        <w:t>国有资本经营预算支出决算情况说明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1</w:t>
      </w:r>
      <w:r>
        <w:rPr>
          <w:rFonts w:ascii="Times New Roman" w:eastAsia="仿宋" w:cs="Times New Roman" w:hAnsi="Times New Roman"/>
          <w:sz w:val="24"/>
          <w:szCs w:val="28"/>
        </w:rPr>
        <w:fldChar w:fldCharType="end"/>
      </w:r>
      <w:r>
        <w:rPr>
          <w:rFonts w:ascii="Times New Roman" w:eastAsia="仿宋" w:cs="Times New Roman" w:hAnsi="Times New Roman" w:hint="eastAsia"/>
          <w:sz w:val="24"/>
          <w:szCs w:val="28"/>
          <w:lang w:val="en-US" w:eastAsia="zh-CN"/>
        </w:rPr>
        <w:t>4</w:t>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hint="eastAsia"/>
          <w:sz w:val="24"/>
          <w:szCs w:val="28"/>
          <w:lang w:val="en-US" w:eastAsia="zh-CN"/>
        </w:rPr>
      </w:pPr>
      <w:r>
        <w:rPr>
          <w:rFonts w:ascii="Times New Roman" w:eastAsia="仿宋" w:cs="Times New Roman" w:hAnsi="Times New Roman" w:hint="eastAsia"/>
          <w:sz w:val="24"/>
          <w:szCs w:val="28"/>
          <w:lang w:val="en-US" w:eastAsia="zh-CN"/>
        </w:rPr>
        <w:t>十、</w:t>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"_Toc26843621"</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  </w:t>
      </w:r>
      <w:r>
        <w:rPr>
          <w:rFonts w:ascii="Times New Roman" w:eastAsia="仿宋" w:cs="Times New Roman" w:hAnsi="Times New Roman" w:hint="eastAsia"/>
          <w:sz w:val="24"/>
          <w:szCs w:val="28"/>
          <w:lang w:val="en-US" w:eastAsia="zh-CN"/>
        </w:rPr>
        <w:t>预算绩效情况说明</w:t>
      </w:r>
      <w:r>
        <w:rPr>
          <w:rFonts w:ascii="Times New Roman" w:eastAsia="仿宋" w:cs="Times New Roman" w:hAnsi="Times New Roman"/>
          <w:sz w:val="24"/>
          <w:szCs w:val="28"/>
        </w:rPr>
        <w:tab/>
      </w:r>
      <w:r>
        <w:rPr>
          <w:rFonts w:ascii="Times New Roman" w:eastAsia="仿宋" w:cs="Times New Roman" w:hAnsi="Times New Roman" w:hint="eastAsia"/>
          <w:sz w:val="24"/>
          <w:szCs w:val="28"/>
          <w:lang w:val="en-US" w:eastAsia="zh-CN"/>
        </w:rPr>
        <w:t>1</w:t>
      </w:r>
      <w:r>
        <w:rPr>
          <w:rFonts w:ascii="Times New Roman" w:eastAsia="仿宋" w:cs="Times New Roman" w:hAnsi="Times New Roman"/>
          <w:sz w:val="24"/>
          <w:szCs w:val="28"/>
        </w:rPr>
        <w:fldChar w:fldCharType="end"/>
      </w:r>
      <w:r>
        <w:rPr>
          <w:rFonts w:ascii="Times New Roman" w:eastAsia="仿宋" w:cs="Times New Roman" w:hAnsi="Times New Roman" w:hint="eastAsia"/>
          <w:sz w:val="24"/>
          <w:szCs w:val="28"/>
          <w:lang w:val="en-US" w:eastAsia="zh-CN"/>
        </w:rPr>
        <w:t>4</w:t>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hint="eastAsia"/>
          <w:sz w:val="24"/>
          <w:szCs w:val="28"/>
          <w:lang w:val="en-US" w:eastAsia="zh-CN"/>
        </w:rPr>
      </w:pPr>
      <w:r>
        <w:rPr>
          <w:rFonts w:ascii="Times New Roman" w:eastAsia="仿宋" w:cs="Times New Roman" w:hAnsi="Times New Roman" w:hint="eastAsia"/>
          <w:sz w:val="24"/>
          <w:szCs w:val="28"/>
          <w:lang w:val="en-US" w:eastAsia="zh-CN"/>
        </w:rPr>
        <w:t>十一、其他重要事项的情况说明..............................................................................19</w:t>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hint="eastAsia"/>
          <w:sz w:val="24"/>
          <w:szCs w:val="28"/>
          <w:lang w:val="en-US" w:eastAsia="zh-CN"/>
        </w:rPr>
      </w:pPr>
      <w:r>
        <w:rPr>
          <w:rFonts w:ascii="Times New Roman" w:eastAsia="仿宋" w:cs="Times New Roman" w:hAnsi="Times New Roman" w:hint="eastAsia"/>
          <w:sz w:val="24"/>
          <w:szCs w:val="28"/>
          <w:lang w:val="en-US" w:eastAsia="zh-CN"/>
        </w:rPr>
        <w:t>（一）机关运行经费支出情况....................................................................</w:t>
      </w:r>
      <w:r>
        <w:rPr>
          <w:rFonts w:ascii="Times New Roman" w:cs="Times New Roman" w:hAnsi="Times New Roman" w:hint="eastAsia"/>
          <w:sz w:val="24"/>
          <w:szCs w:val="28"/>
          <w:lang w:val="en-US" w:eastAsia="zh-CN"/>
        </w:rPr>
        <w:t>.......</w:t>
      </w:r>
      <w:r>
        <w:rPr>
          <w:rFonts w:ascii="Times New Roman" w:eastAsia="仿宋" w:cs="Times New Roman" w:hAnsi="Times New Roman" w:hint="eastAsia"/>
          <w:sz w:val="24"/>
          <w:szCs w:val="28"/>
          <w:lang w:val="en-US" w:eastAsia="zh-CN"/>
        </w:rPr>
        <w:t>.......19</w:t>
      </w:r>
    </w:p>
    <w:p>
      <w:pPr>
        <w:pStyle w:val="21"/>
        <w:keepNext w:val="0"/>
        <w:keepLines w:val="0"/>
        <w:pageBreakBefore w:val="0"/>
        <w:widowControl w:val="0"/>
        <w:tabs>
          <w:tab w:val="right" w:leader="dot" w:pos="8296"/>
        </w:tabs>
        <w:kinsoku/>
        <w:wordWrap/>
        <w:overflowPunct/>
        <w:topLinePunct w:val="0"/>
        <w:autoSpaceDE/>
        <w:autoSpaceDN/>
        <w:bidi w:val="0"/>
        <w:spacing w:line="560" w:lineRule="exact"/>
        <w:jc w:val="both"/>
        <w:textAlignment w:val="auto"/>
        <w:rPr>
          <w:rFonts w:ascii="Times New Roman" w:eastAsia="仿宋" w:cs="Times New Roman" w:hAnsi="Times New Roman" w:hint="eastAsia"/>
          <w:sz w:val="24"/>
          <w:szCs w:val="28"/>
          <w:lang w:val="en-US" w:eastAsia="zh-CN"/>
        </w:rPr>
      </w:pPr>
      <w:r>
        <w:rPr>
          <w:rFonts w:ascii="Times New Roman" w:eastAsia="仿宋" w:cs="Times New Roman" w:hAnsi="Times New Roman" w:hint="eastAsia"/>
          <w:sz w:val="24"/>
          <w:szCs w:val="28"/>
          <w:lang w:val="en-US" w:eastAsia="zh-CN"/>
        </w:rPr>
        <w:t>（二）国有资产占有使用情况........................................</w:t>
      </w:r>
      <w:r>
        <w:rPr>
          <w:rFonts w:ascii="Times New Roman" w:cs="Times New Roman" w:hAnsi="Times New Roman" w:hint="eastAsia"/>
          <w:sz w:val="24"/>
          <w:szCs w:val="28"/>
          <w:lang w:val="en-US" w:eastAsia="zh-CN"/>
        </w:rPr>
        <w:t>..</w:t>
      </w:r>
      <w:r>
        <w:rPr>
          <w:rFonts w:ascii="Times New Roman" w:eastAsia="仿宋" w:cs="Times New Roman" w:hAnsi="Times New Roman" w:hint="eastAsia"/>
          <w:sz w:val="24"/>
          <w:szCs w:val="28"/>
          <w:lang w:val="en-US" w:eastAsia="zh-CN"/>
        </w:rPr>
        <w:t>........................................19</w:t>
      </w:r>
    </w:p>
    <w:p>
      <w:pPr>
        <w:pStyle w:val="21"/>
        <w:keepNext w:val="0"/>
        <w:keepLines w:val="0"/>
        <w:pageBreakBefore w:val="0"/>
        <w:widowControl w:val="0"/>
        <w:tabs>
          <w:tab w:val="right" w:leader="dot" w:pos="8296"/>
        </w:tabs>
        <w:kinsoku/>
        <w:wordWrap/>
        <w:overflowPunct/>
        <w:topLinePunct w:val="0"/>
        <w:autoSpaceDE/>
        <w:autoSpaceDN/>
        <w:bidi w:val="0"/>
        <w:spacing w:line="560" w:lineRule="exact"/>
        <w:textAlignment w:val="auto"/>
        <w:rPr>
          <w:rFonts w:ascii="Times New Roman" w:eastAsia="仿宋" w:cs="Times New Roman" w:hAnsi="Times New Roman"/>
          <w:sz w:val="24"/>
          <w:szCs w:val="28"/>
          <w:lang w:val="en-US" w:eastAsia="zh-CN"/>
        </w:rPr>
      </w:pPr>
      <w:r>
        <w:rPr>
          <w:rFonts w:ascii="Times New Roman" w:eastAsia="仿宋" w:cs="Times New Roman" w:hAnsi="Times New Roman" w:hint="eastAsia"/>
          <w:sz w:val="24"/>
          <w:szCs w:val="28"/>
          <w:lang w:val="en-US" w:eastAsia="zh-CN"/>
        </w:rPr>
        <w:t>（三）政府采购支出情况..............................................................................</w:t>
      </w:r>
      <w:r>
        <w:rPr>
          <w:rFonts w:ascii="Times New Roman" w:cs="Times New Roman" w:hAnsi="Times New Roman" w:hint="eastAsia"/>
          <w:sz w:val="24"/>
          <w:szCs w:val="28"/>
          <w:lang w:val="en-US" w:eastAsia="zh-CN"/>
        </w:rPr>
        <w:t>.......</w:t>
      </w:r>
      <w:r>
        <w:rPr>
          <w:rFonts w:ascii="Times New Roman" w:eastAsia="仿宋" w:cs="Times New Roman" w:hAnsi="Times New Roman" w:hint="eastAsia"/>
          <w:sz w:val="24"/>
          <w:szCs w:val="28"/>
          <w:lang w:val="en-US" w:eastAsia="zh-CN"/>
        </w:rPr>
        <w:t>......19</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仿宋"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0</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仿宋"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2</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p>
    <w:p>
      <w:pPr>
        <w:pStyle w:val="22"/>
        <w:tabs>
          <w:tab w:val="right" w:leader="dot" w:pos="8296"/>
        </w:tabs>
        <w:adjustRightInd w:val="0"/>
        <w:snapToGrid w:val="0"/>
        <w:spacing w:line="440" w:lineRule="exact"/>
        <w:jc w:val="left"/>
        <w:rPr>
          <w:rFonts w:cs="Arial"/>
        </w:rPr>
      </w:pPr>
      <w:r>
        <w:rPr>
          <w:rFonts w:ascii="Times New Roman" w:cs="Times New Roman" w:hAnsi="Times New Roman"/>
        </w:rPr>
        <w:fldChar w:fldCharType="end"/>
      </w:r>
    </w:p>
    <w:p>
      <w:pPr>
        <w:pStyle w:val="1"/>
        <w:jc w:val="center"/>
        <w:rPr>
          <w:rFonts w:ascii="黑体" w:eastAsia="黑体" w:hint="eastAsia"/>
          <w:b w:val="0"/>
        </w:rPr>
        <w:sectPr>
          <w:footerReference w:type="default" r:id="rId5"/>
          <w:footerReference w:type="first" r:id="rId6"/>
          <w:pgSz w:w="11906" w:h="16838"/>
          <w:pgMar w:top="1440" w:right="1800" w:bottom="1440" w:left="1800" w:header="851" w:footer="992" w:gutter="0"/>
          <w:pgNumType/>
          <w:titlePg/>
          <w:docGrid w:type="lines" w:linePitch="312" w:charSpace="0"/>
        </w:sectPr>
      </w:pPr>
      <w:bookmarkStart w:id="15" w:name="_Toc27352"/>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4"/>
      <w:bookmarkEnd w:id="15"/>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bookmarkStart w:id="16" w:name="_Toc15377199"/>
      <w:bookmarkStart w:id="17" w:name="_Toc21487"/>
      <w:bookmarkStart w:id="18" w:name="_Toc15378446"/>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19" w:name="_Toc26843605"/>
      <w:bookmarkStart w:id="20" w:name="_Toc15377197"/>
      <w:bookmarkStart w:id="21" w:name="_Toc15396600"/>
      <w:r>
        <w:rPr>
          <w:rStyle w:val="2Char"/>
          <w:rFonts w:ascii="Times New Roman" w:eastAsia="黑体" w:cs="Times New Roman" w:hAnsi="Times New Roman"/>
          <w:b w:val="0"/>
          <w:bCs w:val="0"/>
        </w:rPr>
        <w:t>一、基本职能及主要工作</w:t>
      </w:r>
      <w:bookmarkEnd w:id="19"/>
      <w:bookmarkEnd w:id="20"/>
      <w:bookmarkEnd w:id="21"/>
    </w:p>
    <w:p>
      <w:pPr>
        <w:pStyle w:val="18"/>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2" w:name="_Toc15377198"/>
      <w:bookmarkStart w:id="23" w:name="_Toc15378445"/>
      <w:r>
        <w:rPr>
          <w:rFonts w:ascii="Times New Roman" w:eastAsia="楷体" w:cs="Times New Roman" w:hAnsi="Times New Roman"/>
          <w:b/>
          <w:color w:val="000000"/>
          <w:kern w:val="0"/>
          <w:sz w:val="32"/>
          <w:szCs w:val="32"/>
          <w:shd w:val="clear" w:color="auto" w:fill="auto"/>
        </w:rPr>
        <w:t>（一）主要职能。</w:t>
      </w:r>
      <w:bookmarkEnd w:id="22"/>
      <w:bookmarkEnd w:id="23"/>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r>
        <w:rPr>
          <w:rFonts w:ascii="Times New Roman" w:eastAsia="仿宋_GB2312" w:cs="Times New Roman" w:hAnsi="Times New Roman"/>
          <w:sz w:val="32"/>
          <w:szCs w:val="32"/>
        </w:rPr>
        <w:t>一是负责中央、省委、州委重要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备案等工作。六是承担州委值班工作，负责全州党委办公室系统值班指导，对突出事件紧急情况跟踪了解、协调处理。七是负责州委与民主党派中央、民主党派四川省委之间战略合作事项的协调、落实。八是负责省委藏区办工作的对接和办理。九是负责贯彻执行《中华人民共和国档案法》等相关法律法规；负责制定全州档案事业发展规划和年度计划组织实施；负责全州档案工作的统筹规划和宏观管理，依法对全州档案工作进行监督检查并查处违法行为。十是负责并协调州委办公室办公区、生活区的社会治安综合治理和安全防范。十一是负责州级专用通信网络的建设；负责州级专用通信网络的运行维护，服务保障；负责州级专用通信网络的密码设备管理。十二是负责整理保管州委所有收到及发出的涉密文件，并及时归档保管。十三是承办州委交办的其他任务。</w:t>
      </w:r>
    </w:p>
    <w:p>
      <w:pPr>
        <w:pStyle w:val="18"/>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bookmarkStart w:id="24" w:name="_Toc15377200"/>
      <w:bookmarkStart w:id="25" w:name="_Toc15978"/>
      <w:bookmarkEnd w:id="16"/>
      <w:bookmarkEnd w:id="17"/>
      <w:bookmarkEnd w:id="18"/>
      <w:r>
        <w:rPr>
          <w:rFonts w:ascii="Times New Roman" w:eastAsia="方正楷体_GBK" w:cs="Times New Roman" w:hAnsi="Times New Roman"/>
          <w:b/>
          <w:bCs/>
          <w:color w:val="000000"/>
          <w:kern w:val="0"/>
          <w:sz w:val="32"/>
          <w:szCs w:val="32"/>
          <w:shd w:val="clear" w:color="auto" w:fill="auto"/>
        </w:rPr>
        <w:t>（二）202</w:t>
      </w:r>
      <w:r>
        <w:rPr>
          <w:rFonts w:eastAsia="方正楷体_GBK" w:cs="Times New Roman" w:hint="eastAsia"/>
          <w:b/>
          <w:bCs/>
          <w:color w:val="000000"/>
          <w:kern w:val="0"/>
          <w:sz w:val="32"/>
          <w:szCs w:val="32"/>
          <w:shd w:val="clear" w:color="auto" w:fill="auto"/>
          <w:lang w:val="en-US" w:eastAsia="zh-CN"/>
        </w:rPr>
        <w:t>2</w:t>
      </w:r>
      <w:r>
        <w:rPr>
          <w:rFonts w:ascii="Times New Roman" w:eastAsia="方正楷体_GBK" w:cs="Times New Roman" w:hAnsi="Times New Roman"/>
          <w:b/>
          <w:bCs/>
          <w:color w:val="000000"/>
          <w:kern w:val="0"/>
          <w:sz w:val="32"/>
          <w:szCs w:val="32"/>
          <w:shd w:val="clear" w:color="auto" w:fill="auto"/>
        </w:rPr>
        <w:t>年重点工作完成情况。</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r>
        <w:rPr>
          <w:rFonts w:ascii="Times New Roman" w:eastAsia="仿宋_GB2312" w:cs="Times New Roman" w:hAnsi="Times New Roman"/>
          <w:sz w:val="32"/>
          <w:szCs w:val="32"/>
          <w:lang w:val="en-US" w:eastAsia="zh-CN"/>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lang w:val="en-US" w:eastAsia="zh-CN"/>
        </w:rPr>
        <w:t>年，在州委坚强领导和省委办公厅悉心指导下，州委办公室坚持以习近平新时代中国特色社会主义思想为指导，深入贯彻习近平总书记“五个坚持”、省委彭清华书记“六个机关”、州委刘坪书记“七个争当示范、走在前列”要求，努力提高“政治三力”，切实发扬“三牛精神”，紧紧围绕州委工作全局，承关怀而奋起、化重托为力量，以更高的标准找位置、定目标，以更严的要求争先进、创一流，努力打造政治上、工作上、作风上、廉洁上全面过硬的模范机关。</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b/>
          <w:bCs/>
          <w:sz w:val="32"/>
          <w:szCs w:val="32"/>
          <w:lang w:val="en-US" w:eastAsia="zh-CN"/>
        </w:rPr>
        <w:t>围绕中心，提升参谋辅政能力。</w:t>
      </w:r>
      <w:r>
        <w:rPr>
          <w:rFonts w:ascii="Times New Roman" w:eastAsia="仿宋_GB2312" w:cs="Times New Roman" w:hAnsi="Times New Roman"/>
          <w:sz w:val="32"/>
          <w:szCs w:val="32"/>
          <w:lang w:val="en-US" w:eastAsia="zh-CN"/>
        </w:rPr>
        <w:t>抓住重大事项落实、重要会议部署、专题工作汇报等关键，高质量起草国家、省领导的工作汇报，州委主要领导在疫情防控、生态文明建设、防汛减灾、维护稳定、意识形态、旅游发展等重要会议上的讲话等各类文稿，有效发挥以文辅政作用。</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b/>
          <w:bCs/>
          <w:sz w:val="32"/>
          <w:szCs w:val="32"/>
          <w:lang w:val="en-US" w:eastAsia="zh-CN"/>
        </w:rPr>
        <w:t>服务大局，提升督促检查质效。</w:t>
      </w:r>
      <w:r>
        <w:rPr>
          <w:rFonts w:ascii="Times New Roman" w:eastAsia="仿宋_GB2312" w:cs="Times New Roman" w:hAnsi="Times New Roman"/>
          <w:sz w:val="32"/>
          <w:szCs w:val="32"/>
          <w:lang w:val="en-US" w:eastAsia="zh-CN"/>
        </w:rPr>
        <w:t>建立《习近平总书记重要指示批示贯彻落实台账》，重点督办重点生态保护、生态环境领域等，开展实地核查。实行“一月一交办、一月一督查”。精简压缩负面清单管理指标。建立计划审核、备案审查工作机制，核定全州综合性、全局性“督检考”计划事项。着力整治指尖上的形式主义。</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b/>
          <w:bCs/>
          <w:sz w:val="32"/>
          <w:szCs w:val="32"/>
          <w:lang w:val="en-US" w:eastAsia="zh-CN"/>
        </w:rPr>
        <w:t>突出重点，提升调查研究质量。</w:t>
      </w:r>
      <w:r>
        <w:rPr>
          <w:rFonts w:ascii="Times New Roman" w:eastAsia="仿宋_GB2312" w:cs="Times New Roman" w:hAnsi="Times New Roman"/>
          <w:sz w:val="32"/>
          <w:szCs w:val="32"/>
          <w:lang w:val="en-US" w:eastAsia="zh-CN"/>
        </w:rPr>
        <w:t>聚焦州之大事，深入基层一线、问题一线、矛盾一线，扎扎实实勤调研、摸实情。按照“门类清晰、详略有当”原则，详实收录各领域文稿文件并规整分类，形成专卷专档。扎实做好文字跟随服务，及时收集掌握省领导和州委主要领导的指示要求、关注重点以及基层反映的热点难点，形成系列工作建议并被州委吸纳转换为工作举措。</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r>
        <w:rPr>
          <w:rFonts w:ascii="Times New Roman" w:eastAsia="仿宋_GB2312" w:cs="Times New Roman" w:hAnsi="Times New Roman"/>
          <w:b/>
          <w:bCs/>
          <w:sz w:val="32"/>
          <w:szCs w:val="32"/>
          <w:lang w:val="en-US" w:eastAsia="zh-CN"/>
        </w:rPr>
        <w:t>创新举措，提升涉藏工作水平。</w:t>
      </w:r>
      <w:r>
        <w:rPr>
          <w:rFonts w:ascii="Times New Roman" w:eastAsia="仿宋_GB2312" w:cs="Times New Roman" w:hAnsi="Times New Roman"/>
          <w:sz w:val="32"/>
          <w:szCs w:val="32"/>
          <w:lang w:val="en-US" w:eastAsia="zh-CN"/>
        </w:rPr>
        <w:t>力促涉藏事务研究中心挂牌运行，机构人员充实完善，相关业务有序开展。建立情报信息、涉稳动态精准研判、核查落地、归口上报制度，完善维稳工作基础台账。</w:t>
      </w:r>
      <w:r>
        <w:rPr>
          <w:rFonts w:ascii="Times New Roman" w:eastAsia="仿宋" w:cs="Times New Roman" w:hAnsi="Times New Roman"/>
          <w:sz w:val="32"/>
          <w:szCs w:val="32"/>
          <w:lang w:val="en-US" w:eastAsia="zh-CN"/>
        </w:rPr>
        <w:t>　</w:t>
      </w:r>
    </w:p>
    <w:p>
      <w:pPr>
        <w:pStyle w:val="2"/>
        <w:keepNext/>
        <w:keepLines/>
        <w:pageBreakBefore w:val="0"/>
        <w:widowControl w:val="0"/>
        <w:kinsoku/>
        <w:wordWrap/>
        <w:overflowPunct/>
        <w:topLinePunct w:val="0"/>
        <w:bidi w:val="0"/>
        <w:spacing w:after="0" w:line="576" w:lineRule="exact"/>
        <w:rPr>
          <w:rFonts w:ascii="Times New Roman" w:eastAsia="仿宋_GB2312" w:cs="Times New Roman" w:hAnsi="Times New Roman"/>
          <w:b w:val="0"/>
          <w:bCs w:val="0"/>
          <w:kern w:val="2"/>
          <w:sz w:val="32"/>
          <w:szCs w:val="32"/>
          <w:lang w:val="en-US" w:eastAsia="zh-CN" w:bidi="ar-SA"/>
        </w:rPr>
      </w:pPr>
      <w:bookmarkStart w:id="26" w:name="_Toc15377204"/>
      <w:bookmarkEnd w:id="24"/>
      <w:bookmarkEnd w:id="25"/>
      <w:r>
        <w:rPr>
          <w:rFonts w:ascii="Times New Roman" w:eastAsia="黑体" w:cs="Times New Roman" w:hAnsi="Times New Roman"/>
          <w:b w:val="0"/>
          <w:color w:val="000000"/>
          <w:lang w:val="en-US" w:eastAsia="zh-CN"/>
        </w:rPr>
        <w:t xml:space="preserve"> </w:t>
      </w:r>
      <w:bookmarkStart w:id="27" w:name="_Toc26843606"/>
      <w:bookmarkStart w:id="28" w:name="_Toc15396601"/>
      <w:r>
        <w:rPr>
          <w:rStyle w:val="2Char"/>
          <w:rFonts w:ascii="Times New Roman" w:eastAsia="黑体" w:cs="Times New Roman" w:hAnsi="Times New Roman"/>
          <w:b w:val="0"/>
          <w:bCs w:val="0"/>
        </w:rPr>
        <w:t>二、</w:t>
      </w:r>
      <w:r>
        <w:rPr>
          <w:rFonts w:ascii="Times New Roman" w:eastAsia="仿宋_GB2312" w:cs="Times New Roman" w:hAnsi="Times New Roman"/>
          <w:b w:val="0"/>
          <w:bCs w:val="0"/>
          <w:kern w:val="2"/>
          <w:sz w:val="32"/>
          <w:szCs w:val="32"/>
          <w:lang w:val="en-US" w:eastAsia="zh-CN" w:bidi="ar-SA"/>
        </w:rPr>
        <w:t>机构设置</w:t>
      </w:r>
      <w:bookmarkEnd w:id="27"/>
      <w:bookmarkEnd w:id="28"/>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b w:val="0"/>
          <w:bCs w:val="0"/>
          <w:kern w:val="2"/>
          <w:sz w:val="32"/>
          <w:szCs w:val="32"/>
          <w:lang w:val="en-US" w:eastAsia="zh-CN" w:bidi="ar-SA"/>
        </w:rPr>
        <w:t>金川县河西乡人民政府办公室</w:t>
      </w:r>
      <w:r>
        <w:rPr>
          <w:rFonts w:ascii="Times New Roman" w:eastAsia="仿宋_GB2312" w:cs="Times New Roman" w:hAnsi="Times New Roman"/>
          <w:sz w:val="32"/>
          <w:szCs w:val="32"/>
          <w:lang w:val="en-US" w:eastAsia="zh-CN"/>
        </w:rPr>
        <w:t>属一级预算单位，内设：</w:t>
      </w:r>
      <w:r>
        <w:rPr>
          <w:rFonts w:eastAsia="仿宋_GB2312" w:cs="Times New Roman" w:hint="eastAsia"/>
          <w:sz w:val="32"/>
          <w:szCs w:val="32"/>
          <w:lang w:val="en-US" w:eastAsia="zh-CN"/>
        </w:rPr>
        <w:t>办公室、财务室</w:t>
      </w:r>
      <w:r>
        <w:rPr>
          <w:rFonts w:ascii="Times New Roman" w:eastAsia="仿宋_GB2312" w:cs="Times New Roman" w:hAnsi="Times New Roman"/>
          <w:sz w:val="32"/>
          <w:szCs w:val="32"/>
          <w:lang w:val="en-US" w:eastAsia="zh-CN"/>
        </w:rPr>
        <w:t>等行政科室。下属二级单位3个，其中行政单位</w:t>
      </w:r>
      <w:r>
        <w:rPr>
          <w:rFonts w:eastAsia="仿宋_GB2312" w:cs="Times New Roman" w:hint="eastAsia"/>
          <w:sz w:val="32"/>
          <w:szCs w:val="32"/>
          <w:lang w:val="en-US" w:eastAsia="zh-CN"/>
        </w:rPr>
        <w:t>2</w:t>
      </w:r>
      <w:r>
        <w:rPr>
          <w:rFonts w:ascii="Times New Roman" w:eastAsia="仿宋_GB2312" w:cs="Times New Roman" w:hAnsi="Times New Roman"/>
          <w:sz w:val="32"/>
          <w:szCs w:val="32"/>
          <w:lang w:val="en-US" w:eastAsia="zh-CN"/>
        </w:rPr>
        <w:t>个，参照公务员法管理的事业单位0个，其他事业单位</w:t>
      </w:r>
      <w:r>
        <w:rPr>
          <w:rFonts w:eastAsia="仿宋_GB2312" w:cs="Times New Roman" w:hint="eastAsia"/>
          <w:sz w:val="32"/>
          <w:szCs w:val="32"/>
          <w:lang w:val="en-US" w:eastAsia="zh-CN"/>
        </w:rPr>
        <w:t>1</w:t>
      </w:r>
      <w:r>
        <w:rPr>
          <w:rFonts w:ascii="Times New Roman" w:eastAsia="仿宋_GB2312" w:cs="Times New Roman" w:hAnsi="Times New Roman"/>
          <w:sz w:val="32"/>
          <w:szCs w:val="32"/>
          <w:lang w:val="en-US" w:eastAsia="zh-CN"/>
        </w:rPr>
        <w:t>个。</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_GB2312" w:cs="Times New Roman" w:hAnsi="Times New Roman"/>
          <w:sz w:val="32"/>
          <w:szCs w:val="32"/>
          <w:lang w:val="en-US" w:eastAsia="zh-CN"/>
        </w:rPr>
        <w:t>纳入</w:t>
      </w:r>
      <w:r>
        <w:rPr>
          <w:rFonts w:ascii="Times New Roman" w:eastAsia="仿宋_GB2312" w:cs="Times New Roman" w:hAnsi="Times New Roman" w:hint="eastAsia"/>
          <w:b w:val="0"/>
          <w:bCs w:val="0"/>
          <w:kern w:val="2"/>
          <w:sz w:val="32"/>
          <w:szCs w:val="32"/>
          <w:lang w:val="en-US" w:eastAsia="zh-CN" w:bidi="ar-SA"/>
        </w:rPr>
        <w:t>金川县河西乡人民政府办公室</w:t>
      </w:r>
      <w:r>
        <w:rPr>
          <w:rFonts w:ascii="Times New Roman" w:eastAsia="仿宋_GB2312" w:cs="Times New Roman" w:hAnsi="Times New Roman"/>
          <w:sz w:val="32"/>
          <w:szCs w:val="32"/>
          <w:lang w:val="en-US" w:eastAsia="zh-CN"/>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lang w:val="en-US" w:eastAsia="zh-CN"/>
        </w:rPr>
        <w:t>年度部门决算编制范围的二级预算单位包括：</w:t>
      </w:r>
    </w:p>
    <w:p>
      <w:pPr>
        <w:pageBreakBefore w:val="0"/>
        <w:widowControl w:val="0"/>
        <w:numPr>
          <w:ilvl w:val="0"/>
          <w:numId w:val="1"/>
        </w:numPr>
        <w:kinsoku/>
        <w:wordWrap/>
        <w:overflowPunct/>
        <w:topLinePunct w:val="0"/>
        <w:bidi w:val="0"/>
        <w:spacing w:line="576" w:lineRule="exact"/>
        <w:ind w:left="0" w:firstLineChars="200" w:firstLine="640"/>
        <w:rPr>
          <w:rFonts w:ascii="仿宋_GB2312" w:eastAsia="仿宋_GB2312" w:cs="仿宋_GB2312" w:hint="eastAsia"/>
          <w:bCs/>
          <w:sz w:val="32"/>
          <w:lang w:eastAsia="zh-CN"/>
        </w:rPr>
      </w:pPr>
      <w:r>
        <w:rPr>
          <w:rFonts w:ascii="仿宋_GB2312" w:eastAsia="仿宋_GB2312" w:cs="仿宋_GB2312" w:hint="eastAsia"/>
          <w:bCs/>
          <w:sz w:val="32"/>
          <w:lang w:val="en-US" w:eastAsia="zh-CN"/>
        </w:rPr>
        <w:t>河西</w:t>
      </w:r>
      <w:r>
        <w:rPr>
          <w:rFonts w:ascii="仿宋_GB2312" w:eastAsia="仿宋_GB2312" w:cs="仿宋_GB2312" w:hint="eastAsia"/>
          <w:bCs/>
          <w:sz w:val="32"/>
          <w:lang w:eastAsia="zh-CN"/>
        </w:rPr>
        <w:t>乡人大办公室</w:t>
      </w:r>
    </w:p>
    <w:p>
      <w:pPr>
        <w:pageBreakBefore w:val="0"/>
        <w:widowControl w:val="0"/>
        <w:numPr>
          <w:ilvl w:val="0"/>
          <w:numId w:val="1"/>
        </w:numPr>
        <w:kinsoku/>
        <w:wordWrap/>
        <w:overflowPunct/>
        <w:topLinePunct w:val="0"/>
        <w:bidi w:val="0"/>
        <w:spacing w:line="576" w:lineRule="exact"/>
        <w:ind w:left="0" w:firstLineChars="200" w:firstLine="640"/>
        <w:rPr>
          <w:rFonts w:ascii="仿宋_GB2312" w:eastAsia="仿宋_GB2312" w:cs="仿宋_GB2312" w:hint="eastAsia"/>
          <w:bCs/>
          <w:sz w:val="32"/>
          <w:lang w:eastAsia="zh-CN"/>
        </w:rPr>
      </w:pPr>
      <w:r>
        <w:rPr>
          <w:rFonts w:ascii="仿宋_GB2312" w:eastAsia="仿宋_GB2312" w:cs="仿宋_GB2312" w:hint="eastAsia"/>
          <w:bCs/>
          <w:sz w:val="32"/>
          <w:lang w:val="en-US" w:eastAsia="zh-CN"/>
        </w:rPr>
        <w:t>河西</w:t>
      </w:r>
      <w:r>
        <w:rPr>
          <w:rFonts w:ascii="仿宋_GB2312" w:eastAsia="仿宋_GB2312" w:cs="仿宋_GB2312" w:hint="eastAsia"/>
          <w:bCs/>
          <w:sz w:val="32"/>
          <w:lang w:eastAsia="zh-CN"/>
        </w:rPr>
        <w:t>乡党委办公室</w:t>
      </w:r>
    </w:p>
    <w:p>
      <w:pPr>
        <w:pageBreakBefore w:val="0"/>
        <w:widowControl w:val="0"/>
        <w:numPr>
          <w:ilvl w:val="0"/>
          <w:numId w:val="1"/>
        </w:numPr>
        <w:kinsoku/>
        <w:wordWrap/>
        <w:overflowPunct/>
        <w:topLinePunct w:val="0"/>
        <w:bidi w:val="0"/>
        <w:spacing w:line="576" w:lineRule="exact"/>
        <w:ind w:left="0" w:firstLineChars="200" w:firstLine="640"/>
        <w:rPr>
          <w:rFonts w:ascii="Times New Roman" w:eastAsia="仿宋" w:cs="Times New Roman" w:hAnsi="Times New Roman"/>
          <w:sz w:val="32"/>
          <w:szCs w:val="32"/>
          <w:lang w:val="en-US" w:eastAsia="zh-CN"/>
        </w:rPr>
      </w:pPr>
      <w:r>
        <w:rPr>
          <w:rFonts w:eastAsia="仿宋_GB2312" w:cs="Times New Roman" w:hint="eastAsia"/>
          <w:sz w:val="32"/>
          <w:szCs w:val="32"/>
          <w:lang w:val="en-US" w:eastAsia="zh-CN"/>
        </w:rPr>
        <w:t>河西</w:t>
      </w:r>
      <w:r>
        <w:rPr>
          <w:rFonts w:ascii="仿宋_GB2312" w:eastAsia="仿宋_GB2312" w:cs="仿宋_GB2312" w:hint="eastAsia"/>
          <w:bCs/>
          <w:sz w:val="32"/>
          <w:lang w:eastAsia="zh-CN"/>
        </w:rPr>
        <w:t>乡综合服务中心</w:t>
      </w:r>
      <w:r>
        <w:rPr>
          <w:rFonts w:ascii="Times New Roman" w:eastAsia="仿宋_GB2312" w:cs="Times New Roman" w:hAnsi="Times New Roman"/>
          <w:sz w:val="32"/>
          <w:szCs w:val="32"/>
          <w:lang w:val="en-US" w:eastAsia="zh-CN"/>
        </w:rPr>
        <w:t>。</w:t>
      </w:r>
    </w:p>
    <w:p>
      <w:pPr>
        <w:snapToGrid w:val="0"/>
        <w:spacing w:line="560" w:lineRule="exact"/>
        <w:ind w:firstLineChars="200" w:firstLine="640"/>
        <w:rPr>
          <w:rFonts w:ascii="仿宋_GB2312" w:eastAsia="仿宋_GB2312"/>
          <w:sz w:val="32"/>
          <w:szCs w:val="32"/>
        </w:rPr>
      </w:pPr>
      <w:r>
        <w:rPr>
          <w:rFonts w:eastAsia="仿宋_GB2312" w:cs="Times New Roman" w:hint="eastAsia"/>
          <w:bCs/>
          <w:kern w:val="0"/>
          <w:sz w:val="32"/>
          <w:szCs w:val="32"/>
          <w:shd w:val="clear" w:color="auto" w:fill="FFFFFF"/>
          <w:lang w:val="en-US" w:eastAsia="zh-CN"/>
        </w:rPr>
        <w:t>县</w:t>
      </w:r>
      <w:r>
        <w:rPr>
          <w:rFonts w:ascii="Times New Roman" w:eastAsia="仿宋_GB2312" w:cs="Times New Roman" w:hAnsi="Times New Roman"/>
          <w:bCs/>
          <w:kern w:val="0"/>
          <w:sz w:val="32"/>
          <w:szCs w:val="32"/>
          <w:shd w:val="clear" w:color="auto" w:fill="FFFFFF"/>
          <w:lang w:val="zh-CN" w:eastAsia="zh-CN"/>
        </w:rPr>
        <w:t>委编办</w:t>
      </w:r>
      <w:r>
        <w:rPr>
          <w:rFonts w:ascii="Times New Roman" w:eastAsia="仿宋_GB2312" w:cs="Times New Roman" w:hAnsi="Times New Roman"/>
          <w:bCs/>
          <w:kern w:val="0"/>
          <w:sz w:val="32"/>
          <w:szCs w:val="32"/>
          <w:shd w:val="clear" w:color="auto" w:fill="FFFFFF"/>
          <w:lang w:val="zh-CN"/>
        </w:rPr>
        <w:t>核定我</w:t>
      </w:r>
      <w:r>
        <w:rPr>
          <w:rFonts w:ascii="仿宋_GB2312" w:eastAsia="仿宋_GB2312" w:cs="仿宋_GB2312" w:hint="eastAsia"/>
          <w:bCs/>
          <w:sz w:val="32"/>
          <w:lang w:val="en-US" w:eastAsia="zh-CN"/>
        </w:rPr>
        <w:t>公务员编制19个，事业编制13个，机关工勤2个，</w:t>
      </w:r>
      <w:r>
        <w:rPr>
          <w:rFonts w:ascii="仿宋_GB2312" w:eastAsia="仿宋_GB2312" w:cs="仿宋_GB2312" w:hint="eastAsia"/>
          <w:bCs/>
          <w:sz w:val="32"/>
        </w:rPr>
        <w:t>较上年无变动。我</w:t>
      </w:r>
      <w:r>
        <w:rPr>
          <w:rFonts w:ascii="仿宋_GB2312" w:eastAsia="仿宋_GB2312" w:cs="仿宋_GB2312" w:hint="eastAsia"/>
          <w:bCs/>
          <w:sz w:val="32"/>
          <w:lang w:eastAsia="zh-CN"/>
        </w:rPr>
        <w:t>乡</w:t>
      </w:r>
      <w:r>
        <w:rPr>
          <w:rFonts w:ascii="仿宋_GB2312" w:eastAsia="仿宋_GB2312" w:cs="仿宋_GB2312" w:hint="eastAsia"/>
          <w:bCs/>
          <w:sz w:val="32"/>
        </w:rPr>
        <w:t>本年度年末实有人数为</w:t>
      </w:r>
      <w:r>
        <w:rPr>
          <w:rFonts w:ascii="仿宋_GB2312" w:eastAsia="仿宋_GB2312" w:cs="仿宋_GB2312" w:hint="eastAsia"/>
          <w:bCs/>
          <w:sz w:val="32"/>
          <w:lang w:val="en-US" w:eastAsia="zh-CN"/>
        </w:rPr>
        <w:t>34</w:t>
      </w:r>
      <w:r>
        <w:rPr>
          <w:rFonts w:ascii="仿宋_GB2312" w:eastAsia="仿宋_GB2312" w:cs="仿宋_GB2312" w:hint="eastAsia"/>
          <w:bCs/>
          <w:sz w:val="32"/>
        </w:rPr>
        <w:t>人，</w:t>
      </w:r>
      <w:r>
        <w:rPr>
          <w:rFonts w:ascii="仿宋_GB2312" w:eastAsia="仿宋_GB2312" w:cs="仿宋_GB2312" w:hint="eastAsia"/>
          <w:bCs/>
          <w:sz w:val="32"/>
          <w:lang w:eastAsia="zh-CN"/>
        </w:rPr>
        <w:t>其中</w:t>
      </w:r>
      <w:r>
        <w:rPr>
          <w:rFonts w:ascii="仿宋_GB2312" w:eastAsia="仿宋_GB2312" w:cs="仿宋_GB2312" w:hint="eastAsia"/>
          <w:bCs/>
          <w:sz w:val="32"/>
        </w:rPr>
        <w:t>行政人员</w:t>
      </w:r>
      <w:r>
        <w:rPr>
          <w:rFonts w:ascii="仿宋_GB2312" w:eastAsia="仿宋_GB2312" w:cs="仿宋_GB2312" w:hint="eastAsia"/>
          <w:bCs/>
          <w:sz w:val="32"/>
          <w:lang w:val="en-US" w:eastAsia="zh-CN"/>
        </w:rPr>
        <w:t>19人</w:t>
      </w:r>
      <w:r>
        <w:rPr>
          <w:rFonts w:ascii="仿宋_GB2312" w:eastAsia="仿宋_GB2312" w:cs="仿宋_GB2312" w:hint="eastAsia"/>
          <w:bCs/>
          <w:sz w:val="32"/>
          <w:lang w:eastAsia="zh-CN"/>
        </w:rPr>
        <w:t>、</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13</w:t>
      </w:r>
      <w:r>
        <w:rPr>
          <w:rFonts w:ascii="仿宋_GB2312" w:eastAsia="仿宋_GB2312" w:cs="仿宋_GB2312" w:hint="eastAsia"/>
          <w:bCs/>
          <w:sz w:val="32"/>
        </w:rPr>
        <w:t>人</w:t>
      </w:r>
      <w:r>
        <w:rPr>
          <w:rFonts w:ascii="仿宋_GB2312" w:eastAsia="仿宋_GB2312" w:cs="仿宋_GB2312" w:hint="eastAsia"/>
          <w:bCs/>
          <w:sz w:val="32"/>
          <w:lang w:eastAsia="zh-CN"/>
        </w:rPr>
        <w:t>，</w:t>
      </w:r>
    </w:p>
    <w:p>
      <w:pPr>
        <w:pStyle w:val="1"/>
        <w:ind w:right="440"/>
        <w:jc w:val="right"/>
      </w:pPr>
      <w:bookmarkStart w:id="29"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2022年度部门决算情况说明</w:t>
      </w:r>
      <w:bookmarkEnd w:id="26"/>
      <w:bookmarkEnd w:id="29"/>
    </w:p>
    <w:p>
      <w:pPr>
        <w:pStyle w:val="32"/>
        <w:numPr>
          <w:ilvl w:val="0"/>
          <w:numId w:val="2"/>
        </w:numPr>
        <w:ind w:left="0" w:firstLineChars="0" w:firstLine="0"/>
        <w:outlineLvl w:val="1"/>
        <w:rPr>
          <w:rStyle w:val="2Char"/>
          <w:rFonts w:ascii="黑体" w:eastAsia="黑体"/>
          <w:b w:val="0"/>
        </w:rPr>
      </w:pPr>
      <w:bookmarkStart w:id="30" w:name="_Toc14461"/>
      <w:bookmarkStart w:id="31"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30"/>
      <w:bookmarkEnd w:id="31"/>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rPr>
        <w:t>度总收入</w:t>
      </w:r>
      <w:r>
        <w:rPr>
          <w:rFonts w:ascii="仿宋_GB2312" w:eastAsia="仿宋_GB2312" w:hint="eastAsia"/>
          <w:color w:val="000000"/>
          <w:sz w:val="32"/>
          <w:szCs w:val="32"/>
          <w:shd w:val="clear" w:color="auto" w:fill="FFFFFF"/>
          <w14:textFill>
            <w14:solidFill>
              <w14:srgbClr w14:val="000000"/>
            </w14:solidFill>
          </w14:textFill>
          <w:lang w:val="en-US" w:eastAsia="zh-CN"/>
        </w:rPr>
        <w:t>973.88</w:t>
      </w:r>
      <w:r>
        <w:rPr>
          <w:rFonts w:ascii="仿宋_GB2312" w:eastAsia="仿宋_GB2312" w:hint="eastAsia"/>
          <w:color w:val="000000"/>
          <w:spacing w:val="-2"/>
          <w:sz w:val="32"/>
          <w:szCs w:val="32"/>
        </w:rPr>
        <w:t>万元，较上年收入</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313.39</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32.18</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项目支出较上年有所减少</w:t>
      </w:r>
      <w:r>
        <w:rPr>
          <w:rFonts w:ascii="仿宋_GB2312" w:eastAsia="仿宋_GB2312" w:hint="eastAsia"/>
          <w:color w:val="000000"/>
          <w:spacing w:val="-2"/>
          <w:sz w:val="32"/>
          <w:szCs w:val="32"/>
        </w:rPr>
        <w:t>。</w:t>
      </w:r>
    </w:p>
    <w:p>
      <w:pPr>
        <w:snapToGrid w:val="0"/>
        <w:spacing w:line="520" w:lineRule="exact"/>
        <w:ind w:firstLineChars="200" w:firstLine="640"/>
        <w:rPr>
          <w:rFonts w:ascii="仿宋_GB2312" w:eastAsia="仿宋_GB2312"/>
          <w:color w:val="000000"/>
          <w:spacing w:val="-2"/>
          <w:sz w:val="32"/>
          <w:szCs w:val="32"/>
        </w:rPr>
      </w:pPr>
      <w:r>
        <w:rPr>
          <w:rFonts w:ascii="黑体" w:eastAsia="黑体" w:hint="eastAsia"/>
          <w:color w:val="000000"/>
          <w:sz w:val="32"/>
          <w:szCs w:val="32"/>
        </w:rPr>
        <w:drawing>
          <wp:anchor distT="0" distB="0" distL="114300" distR="114300" simplePos="0" relativeHeight="25" behindDoc="0" locked="0" layoutInCell="1" hidden="0" allowOverlap="1">
            <wp:simplePos x="0" y="0"/>
            <wp:positionH relativeFrom="column">
              <wp:posOffset>368935</wp:posOffset>
            </wp:positionH>
            <wp:positionV relativeFrom="paragraph">
              <wp:posOffset>1275080</wp:posOffset>
            </wp:positionV>
            <wp:extent cx="5079998" cy="2582545"/>
            <wp:effectExtent l="0" t="0" r="0" b="0"/>
            <wp:wrapTopAndBottom/>
            <wp:docPr id="16" name="图表 4"/>
            <wp:cNvGraphicFramePr>
              <a:graphicFrameLocks noChangeAspect="0"/>
            </wp:cNvGraphicFramePr>
            <a:graphic>
              <a:graphicData uri="http://schemas.openxmlformats.org/drawingml/2006/chart">
                <c:chart xmlns:c="http://schemas.openxmlformats.org/drawingml/2006/chart" r:id="rId9"/>
              </a:graphicData>
            </a:graphic>
          </wp:anchor>
        </w:drawing>
      </w:r>
      <w:r>
        <w:rPr>
          <w:rFonts w:ascii="仿宋_GB2312" w:eastAsia="仿宋_GB2312" w:hint="eastAsia"/>
          <w:spacing w:val="-2"/>
          <w:sz w:val="32"/>
          <w:szCs w:val="32"/>
          <w:lang w:eastAsia="zh-CN"/>
        </w:rPr>
        <w:t>2022年</w:t>
      </w:r>
      <w:r>
        <w:rPr>
          <w:rFonts w:ascii="仿宋_GB2312" w:eastAsia="仿宋_GB2312" w:hint="eastAsia"/>
          <w:spacing w:val="-2"/>
          <w:sz w:val="32"/>
          <w:szCs w:val="32"/>
        </w:rPr>
        <w:t>总支出</w:t>
      </w:r>
      <w:r>
        <w:rPr>
          <w:rFonts w:ascii="仿宋_GB2312" w:eastAsia="仿宋_GB2312" w:hint="eastAsia"/>
          <w:color w:val="000000"/>
          <w:sz w:val="32"/>
          <w:szCs w:val="32"/>
          <w:shd w:val="clear" w:color="auto" w:fill="FFFFFF"/>
          <w14:textFill>
            <w14:solidFill>
              <w14:srgbClr w14:val="000000"/>
            </w14:solidFill>
          </w14:textFill>
          <w:lang w:val="en-US" w:eastAsia="zh-CN"/>
        </w:rPr>
        <w:t>973.88</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减少</w:t>
      </w:r>
      <w:r>
        <w:rPr>
          <w:rFonts w:ascii="仿宋_GB2312" w:eastAsia="仿宋_GB2312" w:hint="eastAsia"/>
          <w:color w:val="000000"/>
          <w:spacing w:val="-2"/>
          <w:sz w:val="32"/>
          <w:szCs w:val="32"/>
          <w:lang w:val="en-US" w:eastAsia="zh-CN"/>
        </w:rPr>
        <w:t>313.39</w:t>
      </w:r>
      <w:r>
        <w:rPr>
          <w:rFonts w:ascii="仿宋_GB2312" w:eastAsia="仿宋_GB2312" w:hint="eastAsia"/>
          <w:spacing w:val="-2"/>
          <w:sz w:val="32"/>
          <w:szCs w:val="32"/>
        </w:rPr>
        <w:t>万元，</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32.18</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项目支出较上年有所减少</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32.18</w:t>
      </w:r>
      <w:r>
        <w:rPr>
          <w:rFonts w:ascii="仿宋_GB2312" w:eastAsia="仿宋_GB2312" w:hint="eastAsia"/>
          <w:color w:val="000000"/>
          <w:spacing w:val="-2"/>
          <w:sz w:val="32"/>
          <w:szCs w:val="32"/>
        </w:rPr>
        <w:t>%。</w:t>
      </w:r>
    </w:p>
    <w:p>
      <w:pPr>
        <w:snapToGrid w:val="0"/>
        <w:spacing w:line="520" w:lineRule="exact"/>
        <w:ind w:firstLineChars="200" w:firstLine="640"/>
        <w:rPr>
          <w:rFonts w:ascii="仿宋" w:eastAsia="仿宋"/>
          <w:sz w:val="32"/>
          <w:szCs w:val="32"/>
        </w:rPr>
      </w:pPr>
    </w:p>
    <w:p>
      <w:pPr>
        <w:spacing w:line="600" w:lineRule="exact"/>
        <w:ind w:firstLineChars="200" w:firstLine="640"/>
        <w:rPr>
          <w:rStyle w:val="2Char"/>
          <w:rFonts w:ascii="黑体" w:eastAsia="黑体"/>
          <w:b w:val="0"/>
        </w:rPr>
      </w:pPr>
      <w:bookmarkStart w:id="32" w:name="_Toc15377206"/>
      <w:r>
        <w:rPr>
          <w:rFonts w:ascii="黑体" w:eastAsia="黑体" w:hint="eastAsia"/>
          <w:color w:val="000000"/>
          <w:sz w:val="32"/>
          <w:szCs w:val="32"/>
        </w:rPr>
        <w:t>二、收入决</w:t>
      </w:r>
      <w:r>
        <w:rPr>
          <w:rStyle w:val="2Char"/>
          <w:rFonts w:ascii="黑体" w:eastAsia="黑体" w:hint="eastAsia"/>
          <w:b w:val="0"/>
        </w:rPr>
        <w:t>算情况说明</w:t>
      </w:r>
      <w:bookmarkEnd w:id="32"/>
    </w:p>
    <w:p>
      <w:pPr>
        <w:spacing w:line="600" w:lineRule="exact"/>
        <w:ind w:firstLineChars="200" w:firstLine="640"/>
        <w:outlineLvl w:val="1"/>
        <w:rPr>
          <w:rFonts w:ascii="仿宋" w:eastAsia="仿宋"/>
          <w:color w:val="000000"/>
          <w:sz w:val="32"/>
          <w:szCs w:val="32"/>
        </w:rPr>
      </w:pPr>
      <w:bookmarkStart w:id="33" w:name="_Toc22912"/>
      <w:r>
        <w:rPr>
          <w:rFonts w:ascii="仿宋" w:eastAsia="仿宋" w:hint="eastAsia"/>
          <w:color w:val="000000"/>
          <w:sz w:val="32"/>
          <w:szCs w:val="32"/>
          <w:lang w:eastAsia="zh-CN"/>
        </w:rPr>
        <w:t>2022年</w:t>
      </w:r>
      <w:r>
        <w:rPr>
          <w:rFonts w:ascii="仿宋" w:eastAsia="仿宋" w:hint="eastAsia"/>
          <w:color w:val="000000"/>
          <w:sz w:val="32"/>
          <w:szCs w:val="32"/>
        </w:rPr>
        <w:t>总收入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973.88</w:t>
      </w:r>
      <w:r>
        <w:rPr>
          <w:rFonts w:ascii="仿宋" w:eastAsia="仿宋" w:hint="eastAsia"/>
          <w:color w:val="000000"/>
          <w:sz w:val="32"/>
          <w:szCs w:val="32"/>
        </w:rPr>
        <w:t>万元，其中：一般公共预算财政拨款收入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973.88</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3"/>
    </w:p>
    <w:p>
      <w:pPr>
        <w:spacing w:line="600" w:lineRule="exact"/>
        <w:ind w:firstLineChars="200" w:firstLine="640"/>
        <w:outlineLvl w:val="1"/>
        <w:rPr>
          <w:rStyle w:val="2Char"/>
          <w:rFonts w:ascii="黑体" w:eastAsia="黑体"/>
          <w:b w:val="0"/>
        </w:rPr>
      </w:pPr>
      <w:bookmarkStart w:id="34" w:name="_Toc4194"/>
      <w:bookmarkStart w:id="35" w:name="_Toc15377207"/>
      <w:r>
        <w:rPr>
          <w:rFonts w:ascii="黑体" w:eastAsia="黑体" w:hint="eastAsia"/>
          <w:color w:val="000000"/>
          <w:sz w:val="32"/>
          <w:szCs w:val="32"/>
        </w:rPr>
        <w:drawing>
          <wp:anchor distT="0" distB="0" distL="114300" distR="114300" simplePos="0" relativeHeight="29" behindDoc="0" locked="0" layoutInCell="1" hidden="0" allowOverlap="1">
            <wp:simplePos x="0" y="0"/>
            <wp:positionH relativeFrom="column">
              <wp:posOffset>38735</wp:posOffset>
            </wp:positionH>
            <wp:positionV relativeFrom="paragraph">
              <wp:posOffset>90805</wp:posOffset>
            </wp:positionV>
            <wp:extent cx="5373368" cy="2648584"/>
            <wp:effectExtent l="0" t="0" r="0" b="0"/>
            <wp:wrapTopAndBottom/>
            <wp:docPr id="17" name="图表 5"/>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黑体" w:eastAsia="黑体" w:hint="eastAsia"/>
          <w:color w:val="000000"/>
          <w:sz w:val="32"/>
          <w:szCs w:val="32"/>
        </w:rPr>
        <w:t>三、支出决</w:t>
      </w:r>
      <w:r>
        <w:rPr>
          <w:rStyle w:val="2Char"/>
          <w:rFonts w:ascii="黑体" w:eastAsia="黑体" w:hint="eastAsia"/>
          <w:b w:val="0"/>
        </w:rPr>
        <w:t>算情况说明</w:t>
      </w:r>
      <w:bookmarkEnd w:id="34"/>
      <w:bookmarkEnd w:id="35"/>
    </w:p>
    <w:p>
      <w:pPr>
        <w:spacing w:line="600" w:lineRule="exact"/>
        <w:ind w:firstLine="640"/>
        <w:rPr>
          <w:rFonts w:ascii="仿宋" w:eastAsia="仿宋" w:hint="eastAsia"/>
          <w:color w:val="000000"/>
          <w:sz w:val="32"/>
          <w:szCs w:val="32"/>
          <w:lang w:val="en-US" w:eastAsia="zh-CN"/>
        </w:rPr>
      </w:pPr>
      <w:r>
        <w:rPr>
          <w:rFonts w:ascii="仿宋" w:eastAsia="仿宋" w:hint="eastAsia"/>
          <w:color w:val="000000"/>
          <w:sz w:val="32"/>
          <w:szCs w:val="32"/>
          <w:lang w:eastAsia="zh-CN"/>
        </w:rPr>
        <w:t>2022年</w:t>
      </w:r>
      <w:r>
        <w:rPr>
          <w:rFonts w:ascii="仿宋" w:eastAsia="仿宋" w:hint="eastAsia"/>
          <w:color w:val="000000"/>
          <w:sz w:val="32"/>
          <w:szCs w:val="32"/>
        </w:rPr>
        <w:t>本年总支出</w:t>
      </w:r>
      <w:r>
        <w:rPr>
          <w:rFonts w:ascii="仿宋" w:eastAsia="仿宋" w:hint="eastAsia"/>
          <w:color w:val="000000"/>
          <w:sz w:val="32"/>
          <w:szCs w:val="32"/>
          <w:lang w:val="en-US" w:eastAsia="zh-CN"/>
        </w:rPr>
        <w:t>973.88</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751.51</w:t>
      </w:r>
      <w:r>
        <w:rPr>
          <w:rFonts w:ascii="仿宋" w:eastAsia="仿宋" w:hint="eastAsia"/>
          <w:color w:val="000000"/>
          <w:sz w:val="32"/>
          <w:szCs w:val="32"/>
        </w:rPr>
        <w:t>万元，占</w:t>
      </w:r>
      <w:r>
        <w:rPr>
          <w:rFonts w:ascii="仿宋" w:eastAsia="仿宋" w:hint="eastAsia"/>
          <w:color w:val="000000"/>
          <w:sz w:val="32"/>
          <w:szCs w:val="32"/>
          <w:lang w:val="en-US" w:eastAsia="zh-CN"/>
        </w:rPr>
        <w:t>77.17</w:t>
      </w:r>
      <w:r>
        <w:rPr>
          <w:rFonts w:ascii="仿宋" w:eastAsia="仿宋" w:hint="eastAsia"/>
          <w:color w:val="000000"/>
          <w:sz w:val="32"/>
          <w:szCs w:val="32"/>
        </w:rPr>
        <w:t>%；项目支出</w:t>
      </w:r>
      <w:r>
        <w:rPr>
          <w:rFonts w:ascii="仿宋" w:eastAsia="仿宋" w:hint="eastAsia"/>
          <w:color w:val="000000"/>
          <w:sz w:val="32"/>
          <w:szCs w:val="32"/>
          <w:lang w:val="en-US" w:eastAsia="zh-CN"/>
        </w:rPr>
        <w:t>222.36</w:t>
      </w:r>
      <w:r>
        <w:rPr>
          <w:rFonts w:ascii="仿宋" w:eastAsia="仿宋" w:hint="eastAsia"/>
          <w:color w:val="000000"/>
          <w:sz w:val="32"/>
          <w:szCs w:val="32"/>
        </w:rPr>
        <w:t>万元，占</w:t>
      </w:r>
      <w:r>
        <w:rPr>
          <w:rFonts w:ascii="仿宋" w:eastAsia="仿宋" w:hint="eastAsia"/>
          <w:color w:val="000000"/>
          <w:sz w:val="32"/>
          <w:szCs w:val="32"/>
          <w:lang w:val="en-US" w:eastAsia="zh-CN"/>
        </w:rPr>
        <w:t>22.73</w:t>
      </w:r>
      <w:r>
        <w:rPr>
          <w:rFonts w:ascii="仿宋" w:eastAsia="仿宋" w:hint="eastAsia"/>
          <w:color w:val="000000"/>
          <w:sz w:val="32"/>
          <w:szCs w:val="32"/>
        </w:rPr>
        <w:t>%</w:t>
      </w:r>
      <w:r>
        <w:rPr>
          <w:rFonts w:ascii="仿宋" w:eastAsia="仿宋" w:hint="eastAsia"/>
          <w:color w:val="000000"/>
          <w:sz w:val="32"/>
          <w:szCs w:val="32"/>
          <w:lang w:eastAsia="zh-CN"/>
        </w:rPr>
        <w:t>。</w:t>
      </w:r>
    </w:p>
    <w:p>
      <w:pPr>
        <w:pStyle w:val="26"/>
        <w:rPr>
          <w:lang w:val="en-US"/>
        </w:rPr>
      </w:pPr>
      <w:r>
        <w:rPr>
          <w:rFonts w:ascii="黑体" w:eastAsia="黑体" w:hint="eastAsia"/>
          <w:color w:val="000000"/>
          <w:sz w:val="32"/>
          <w:szCs w:val="32"/>
        </w:rPr>
        <w:drawing>
          <wp:anchor distT="0" distB="0" distL="114300" distR="114300" simplePos="0" relativeHeight="33" behindDoc="0" locked="0" layoutInCell="1" hidden="0" allowOverlap="1">
            <wp:simplePos x="0" y="0"/>
            <wp:positionH relativeFrom="column">
              <wp:posOffset>161925</wp:posOffset>
            </wp:positionH>
            <wp:positionV relativeFrom="paragraph">
              <wp:posOffset>348615</wp:posOffset>
            </wp:positionV>
            <wp:extent cx="5373368" cy="2648584"/>
            <wp:effectExtent l="0" t="0" r="0" b="0"/>
            <wp:wrapTopAndBottom/>
            <wp:docPr id="18" name="图表 5"/>
            <wp:cNvGraphicFramePr>
              <a:graphicFrameLocks noChangeAspect="0"/>
            </wp:cNvGraphicFramePr>
            <a:graphic>
              <a:graphicData uri="http://schemas.openxmlformats.org/drawingml/2006/chart">
                <c:chart xmlns:c="http://schemas.openxmlformats.org/drawingml/2006/chart" r:id="rId11"/>
              </a:graphicData>
            </a:graphic>
          </wp:anchor>
        </w:drawing>
      </w:r>
    </w:p>
    <w:p>
      <w:pPr>
        <w:spacing w:line="600" w:lineRule="exact"/>
        <w:ind w:firstLineChars="200" w:firstLine="640"/>
        <w:outlineLvl w:val="1"/>
        <w:rPr>
          <w:rStyle w:val="2Char"/>
          <w:rFonts w:ascii="黑体" w:eastAsia="黑体"/>
          <w:b w:val="0"/>
        </w:rPr>
      </w:pPr>
      <w:bookmarkStart w:id="36" w:name="_Toc15377208"/>
      <w:bookmarkStart w:id="37" w:name="_Toc2794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6"/>
      <w:bookmarkEnd w:id="37"/>
    </w:p>
    <w:p>
      <w:pPr>
        <w:snapToGrid w:val="0"/>
        <w:spacing w:line="52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财政拨款收入</w:t>
      </w:r>
      <w:r>
        <w:rPr>
          <w:rFonts w:ascii="仿宋" w:eastAsia="仿宋" w:hint="eastAsia"/>
          <w:color w:val="000000"/>
          <w:sz w:val="32"/>
          <w:szCs w:val="32"/>
          <w:lang w:val="en-US" w:eastAsia="zh-CN"/>
        </w:rPr>
        <w:t>973.88</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年相比，一般公共预算财政拨款收入</w:t>
      </w:r>
      <w:r>
        <w:rPr>
          <w:rFonts w:ascii="仿宋_GB2312" w:eastAsia="仿宋_GB2312" w:hint="eastAsia"/>
          <w:color w:val="000000"/>
          <w:spacing w:val="-2"/>
          <w:sz w:val="32"/>
          <w:szCs w:val="32"/>
        </w:rPr>
        <w:t>较上年收入</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313.39</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32.18%</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项目支出较上年有所减少</w:t>
      </w:r>
      <w:r>
        <w:rPr>
          <w:rFonts w:ascii="仿宋_GB2312" w:eastAsia="仿宋_GB2312" w:hint="eastAsia"/>
          <w:color w:val="000000"/>
          <w:spacing w:val="-2"/>
          <w:sz w:val="32"/>
          <w:szCs w:val="32"/>
        </w:rPr>
        <w:t>。</w:t>
      </w:r>
    </w:p>
    <w:p>
      <w:pPr>
        <w:snapToGrid w:val="0"/>
        <w:spacing w:line="52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财政拨款</w:t>
      </w:r>
      <w:r>
        <w:rPr>
          <w:rFonts w:ascii="仿宋" w:eastAsia="仿宋" w:hint="eastAsia"/>
          <w:color w:val="000000"/>
          <w:sz w:val="32"/>
          <w:szCs w:val="32"/>
          <w:lang w:val="en-US" w:eastAsia="zh-CN"/>
        </w:rPr>
        <w:t>支出973.88</w:t>
      </w:r>
      <w:r>
        <w:rPr>
          <w:rFonts w:ascii="仿宋" w:eastAsia="仿宋" w:hint="eastAsia"/>
          <w:color w:val="000000"/>
          <w:sz w:val="32"/>
          <w:szCs w:val="32"/>
        </w:rPr>
        <w:t>万元</w:t>
      </w:r>
      <w:r>
        <w:rPr>
          <w:rFonts w:ascii="仿宋_GB2312" w:eastAsia="仿宋_GB2312" w:hint="eastAsia"/>
          <w:spacing w:val="-2"/>
          <w:sz w:val="32"/>
          <w:szCs w:val="32"/>
        </w:rPr>
        <w:t>，较上年支出</w:t>
      </w:r>
      <w:r>
        <w:rPr>
          <w:rFonts w:ascii="仿宋_GB2312" w:eastAsia="仿宋_GB2312" w:hint="eastAsia"/>
          <w:spacing w:val="-2"/>
          <w:sz w:val="32"/>
          <w:szCs w:val="32"/>
          <w:lang w:val="en-US" w:eastAsia="zh-CN"/>
        </w:rPr>
        <w:t>减少</w:t>
      </w:r>
      <w:r>
        <w:rPr>
          <w:rFonts w:ascii="仿宋_GB2312" w:eastAsia="仿宋_GB2312" w:hint="eastAsia"/>
          <w:color w:val="000000"/>
          <w:spacing w:val="-2"/>
          <w:sz w:val="32"/>
          <w:szCs w:val="32"/>
          <w:lang w:val="en-US" w:eastAsia="zh-CN"/>
        </w:rPr>
        <w:t>313.39</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32.18%</w:t>
      </w:r>
      <w:r>
        <w:rPr>
          <w:rFonts w:ascii="仿宋_GB2312" w:eastAsia="仿宋_GB2312" w:hint="eastAsia"/>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项目支出较上年有所减少</w:t>
      </w:r>
      <w:r>
        <w:rPr>
          <w:rFonts w:ascii="仿宋_GB2312" w:eastAsia="仿宋_GB2312" w:hint="eastAsia"/>
          <w:color w:val="000000"/>
          <w:spacing w:val="-2"/>
          <w:sz w:val="32"/>
          <w:szCs w:val="32"/>
        </w:rPr>
        <w:t>。</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35"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19" name="图表 7"/>
            <wp:cNvGraphicFramePr>
              <a:graphicFrameLocks noChangeAspect="0"/>
            </wp:cNvGraphicFramePr>
            <a:graphic>
              <a:graphicData uri="http://schemas.openxmlformats.org/drawingml/2006/chart">
                <c:chart xmlns:c="http://schemas.openxmlformats.org/drawingml/2006/chart" r:id="rId12"/>
              </a:graphicData>
            </a:graphic>
          </wp:anchor>
        </w:drawing>
      </w:r>
      <w:bookmarkStart w:id="38"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8"/>
    </w:p>
    <w:p>
      <w:pPr>
        <w:spacing w:line="600" w:lineRule="exact"/>
        <w:ind w:firstLineChars="200" w:firstLine="640"/>
        <w:outlineLvl w:val="2"/>
        <w:rPr>
          <w:rFonts w:ascii="仿宋" w:eastAsia="仿宋"/>
          <w:b/>
          <w:color w:val="000000"/>
          <w:sz w:val="32"/>
          <w:szCs w:val="32"/>
        </w:rPr>
      </w:pPr>
      <w:bookmarkStart w:id="39" w:name="_Toc15377210"/>
      <w:r>
        <w:rPr>
          <w:rFonts w:ascii="仿宋" w:eastAsia="仿宋" w:hint="eastAsia"/>
          <w:b/>
          <w:color w:val="000000"/>
          <w:sz w:val="32"/>
          <w:szCs w:val="32"/>
        </w:rPr>
        <w:t>（一）一般公共预算财政拨款支出决算总体情况</w:t>
      </w:r>
      <w:bookmarkEnd w:id="39"/>
    </w:p>
    <w:p>
      <w:pPr>
        <w:snapToGrid w:val="0"/>
        <w:spacing w:line="52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lang w:eastAsia="zh-CN"/>
        </w:rPr>
        <w:t>2022年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973.88</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减少313.39</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32.18%</w:t>
      </w:r>
      <w:r>
        <w:rPr>
          <w:rFonts w:ascii="仿宋_GB2312" w:eastAsia="仿宋_GB2312" w:hint="eastAsia"/>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项目支出较上年有所减少</w:t>
      </w:r>
      <w:r>
        <w:rPr>
          <w:rFonts w:ascii="仿宋_GB2312" w:eastAsia="仿宋_GB2312" w:hint="eastAsia"/>
          <w:color w:val="000000"/>
          <w:spacing w:val="-2"/>
          <w:sz w:val="32"/>
          <w:szCs w:val="32"/>
        </w:rPr>
        <w:t>。</w:t>
      </w:r>
    </w:p>
    <w:p>
      <w:pPr>
        <w:spacing w:line="600" w:lineRule="exact"/>
        <w:ind w:firstLineChars="200" w:firstLine="632"/>
        <w:rPr>
          <w:rFonts w:ascii="仿宋_GB2312" w:eastAsia="仿宋_GB2312"/>
          <w:spacing w:val="-2"/>
          <w:sz w:val="32"/>
          <w:szCs w:val="32"/>
        </w:rPr>
      </w:pPr>
    </w:p>
    <w:p>
      <w:pPr>
        <w:numPr>
          <w:ilvl w:val="0"/>
          <w:numId w:val="3"/>
        </w:numPr>
        <w:spacing w:line="600" w:lineRule="exact"/>
        <w:ind w:left="0" w:firstLineChars="200" w:firstLine="640"/>
        <w:outlineLvl w:val="2"/>
        <w:rPr>
          <w:rFonts w:ascii="仿宋" w:eastAsia="仿宋"/>
          <w:b/>
          <w:color w:val="000000"/>
          <w:sz w:val="32"/>
          <w:szCs w:val="32"/>
        </w:rPr>
      </w:pPr>
      <w:bookmarkStart w:id="40" w:name="_Toc15377211"/>
      <w:r>
        <w:rPr>
          <w:rFonts w:ascii="仿宋" w:eastAsia="仿宋" w:hint="eastAsia"/>
          <w:b/>
          <w:color w:val="000000"/>
          <w:sz w:val="32"/>
          <w:szCs w:val="32"/>
        </w:rPr>
        <w:t>一般公共预算财政拨款支出决算结构情况</w:t>
      </w:r>
      <w:bookmarkEnd w:id="40"/>
    </w:p>
    <w:p>
      <w:pPr>
        <w:spacing w:line="600" w:lineRule="exact"/>
        <w:ind w:firstLineChars="200" w:firstLine="640"/>
        <w:outlineLvl w:val="2"/>
        <w:rPr>
          <w:rFonts w:ascii="仿宋" w:eastAsia="仿宋"/>
          <w:bCs/>
          <w:color w:val="000000"/>
          <w:sz w:val="32"/>
          <w:szCs w:val="32"/>
        </w:rPr>
      </w:pPr>
      <w:r>
        <w:rPr>
          <w:rFonts w:ascii="仿宋" w:eastAsia="仿宋" w:hint="eastAsia"/>
          <w:bCs/>
          <w:color w:val="000000"/>
          <w:sz w:val="32"/>
          <w:szCs w:val="32"/>
          <w:lang w:eastAsia="zh-CN"/>
        </w:rPr>
        <w:t>2022年</w:t>
      </w:r>
      <w:r>
        <w:rPr>
          <w:rFonts w:ascii="仿宋" w:eastAsia="仿宋" w:hint="eastAsia"/>
          <w:bCs/>
          <w:color w:val="000000"/>
          <w:sz w:val="32"/>
          <w:szCs w:val="32"/>
        </w:rPr>
        <w:t>一般公共预算财政拨款支出为</w:t>
      </w:r>
      <w:r>
        <w:rPr>
          <w:rFonts w:ascii="仿宋" w:eastAsia="仿宋" w:hint="eastAsia"/>
          <w:bCs/>
          <w:color w:val="000000"/>
          <w:sz w:val="32"/>
          <w:szCs w:val="32"/>
          <w:lang w:val="en-US" w:eastAsia="zh-CN"/>
        </w:rPr>
        <w:t>973.88</w:t>
      </w:r>
      <w:r>
        <w:rPr>
          <w:rFonts w:ascii="仿宋" w:eastAsia="仿宋" w:hint="eastAsia"/>
          <w:bCs/>
          <w:color w:val="000000"/>
          <w:sz w:val="32"/>
          <w:szCs w:val="32"/>
        </w:rPr>
        <w:t>万元。其中：一般公共服务支出为</w:t>
      </w:r>
      <w:r>
        <w:rPr>
          <w:rFonts w:ascii="仿宋" w:eastAsia="仿宋" w:hint="eastAsia"/>
          <w:bCs/>
          <w:color w:val="000000"/>
          <w:sz w:val="32"/>
          <w:szCs w:val="32"/>
          <w:lang w:val="en-US" w:eastAsia="zh-CN"/>
        </w:rPr>
        <w:t>374.33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38.44</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78.33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8.04</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38.91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w:t>
      </w:r>
      <w:r>
        <w:rPr>
          <w:rFonts w:ascii="仿宋" w:eastAsia="仿宋" w:hint="eastAsia"/>
          <w:bCs/>
          <w:color w:val="000000"/>
          <w:sz w:val="32"/>
          <w:szCs w:val="32"/>
        </w:rPr>
        <w:t>%</w:t>
      </w:r>
      <w:r>
        <w:rPr>
          <w:rFonts w:ascii="仿宋" w:eastAsia="仿宋" w:hint="eastAsia"/>
          <w:bCs/>
          <w:color w:val="000000"/>
          <w:sz w:val="32"/>
          <w:szCs w:val="32"/>
          <w:lang w:val="en-US" w:eastAsia="zh-CN"/>
        </w:rPr>
        <w:t>；</w:t>
      </w:r>
      <w:r>
        <w:rPr>
          <w:rFonts w:ascii="仿宋" w:eastAsia="仿宋" w:hint="eastAsia"/>
          <w:bCs/>
          <w:color w:val="000000"/>
          <w:sz w:val="32"/>
          <w:szCs w:val="32"/>
        </w:rPr>
        <w:t>农林水支出为</w:t>
      </w:r>
      <w:r>
        <w:rPr>
          <w:rFonts w:ascii="仿宋" w:eastAsia="仿宋" w:hint="eastAsia"/>
          <w:bCs/>
          <w:color w:val="000000"/>
          <w:sz w:val="32"/>
          <w:szCs w:val="32"/>
          <w:lang w:val="en-US" w:eastAsia="zh-CN"/>
        </w:rPr>
        <w:t>414.09</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42.52</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56.55</w:t>
      </w:r>
      <w:r>
        <w:rPr>
          <w:rFonts w:ascii="仿宋" w:eastAsia="仿宋" w:hint="eastAsia"/>
          <w:bCs/>
          <w:color w:val="000000"/>
          <w:sz w:val="32"/>
          <w:szCs w:val="32"/>
        </w:rPr>
        <w:t>万元，占比</w:t>
      </w:r>
      <w:r>
        <w:rPr>
          <w:rFonts w:ascii="仿宋" w:eastAsia="仿宋" w:hint="eastAsia"/>
          <w:bCs/>
          <w:color w:val="000000"/>
          <w:sz w:val="32"/>
          <w:szCs w:val="32"/>
          <w:lang w:val="en-US" w:eastAsia="zh-CN"/>
        </w:rPr>
        <w:t>5.81</w:t>
      </w:r>
      <w:r>
        <w:rPr>
          <w:rFonts w:ascii="仿宋" w:eastAsia="仿宋" w:hint="eastAsia"/>
          <w:bCs/>
          <w:color w:val="000000"/>
          <w:sz w:val="32"/>
          <w:szCs w:val="32"/>
        </w:rPr>
        <w:t>%；其他支出为</w:t>
      </w:r>
      <w:r>
        <w:rPr>
          <w:rFonts w:ascii="仿宋" w:eastAsia="仿宋" w:hint="eastAsia"/>
          <w:bCs/>
          <w:color w:val="000000"/>
          <w:sz w:val="32"/>
          <w:szCs w:val="32"/>
          <w:lang w:val="en-US" w:eastAsia="zh-CN"/>
        </w:rPr>
        <w:t>11.54</w:t>
      </w:r>
      <w:r>
        <w:rPr>
          <w:rFonts w:ascii="仿宋" w:eastAsia="仿宋" w:hint="eastAsia"/>
          <w:bCs/>
          <w:color w:val="000000"/>
          <w:sz w:val="32"/>
          <w:szCs w:val="32"/>
        </w:rPr>
        <w:t>万元，占比</w:t>
      </w:r>
      <w:r>
        <w:rPr>
          <w:rFonts w:ascii="仿宋" w:eastAsia="仿宋" w:hint="eastAsia"/>
          <w:bCs/>
          <w:color w:val="000000"/>
          <w:sz w:val="32"/>
          <w:szCs w:val="32"/>
          <w:lang w:val="en-US" w:eastAsia="zh-CN"/>
        </w:rPr>
        <w:t>1.18</w:t>
      </w:r>
      <w:r>
        <w:rPr>
          <w:rFonts w:ascii="仿宋" w:eastAsia="仿宋" w:hint="eastAsia"/>
          <w:bCs/>
          <w:color w:val="000000"/>
          <w:sz w:val="32"/>
          <w:szCs w:val="32"/>
        </w:rPr>
        <w:t>%。</w:t>
      </w:r>
    </w:p>
    <w:p>
      <w:pPr>
        <w:pStyle w:val="26"/>
        <w:rPr>
          <w:rFonts w:ascii="仿宋" w:eastAsia="仿宋" w:hint="eastAsia"/>
          <w:bCs/>
          <w:color w:val="000000"/>
          <w:sz w:val="32"/>
          <w:szCs w:val="32"/>
          <w:lang w:eastAsia="zh-CN"/>
        </w:rPr>
      </w:pPr>
      <w:r>
        <w:rPr>
          <w:rFonts w:ascii="仿宋" w:eastAsia="仿宋" w:hint="eastAsia"/>
          <w:bCs/>
          <w:color w:val="000000"/>
          <w:sz w:val="32"/>
          <w:szCs w:val="32"/>
          <w:lang w:eastAsia="zh-CN"/>
        </w:rPr>
        <w:drawing>
          <wp:inline distT="0" distB="0" distL="114300" distR="114300">
            <wp:extent cx="5079998" cy="3810000"/>
            <wp:effectExtent l="0" t="0" r="0" b="0"/>
            <wp:docPr id="20" name="图表 10"/>
            <wp:cNvGraphicFramePr>
              <a:graphicFrameLocks noChangeAspect="0"/>
            </wp:cNvGraphicFramePr>
            <a:graphic>
              <a:graphicData uri="http://schemas.openxmlformats.org/drawingml/2006/chart">
                <c:chart xmlns:c="http://schemas.openxmlformats.org/drawingml/2006/chart" r:id="rId13"/>
              </a:graphicData>
            </a:graphic>
          </wp:inline>
        </w:drawing>
      </w:r>
    </w:p>
    <w:p>
      <w:pPr>
        <w:spacing w:line="600" w:lineRule="exact"/>
        <w:outlineLvl w:val="2"/>
        <w:rPr>
          <w:rFonts w:ascii="仿宋" w:eastAsia="仿宋"/>
          <w:b/>
          <w:color w:val="000000"/>
          <w:sz w:val="32"/>
          <w:szCs w:val="32"/>
        </w:rPr>
      </w:pPr>
      <w:bookmarkStart w:id="41" w:name="_Toc15378460"/>
      <w:bookmarkStart w:id="42" w:name="_Toc15377444"/>
      <w:bookmarkStart w:id="43" w:name="_Toc15377213"/>
    </w:p>
    <w:p>
      <w:pPr>
        <w:spacing w:line="600" w:lineRule="exact"/>
        <w:ind w:firstLineChars="200" w:firstLine="640"/>
        <w:outlineLvl w:val="2"/>
        <w:rPr>
          <w:rFonts w:ascii="仿宋" w:eastAsia="仿宋"/>
          <w:b/>
          <w:color w:val="000000"/>
          <w:sz w:val="32"/>
          <w:szCs w:val="32"/>
        </w:rPr>
      </w:pPr>
      <w:bookmarkStart w:id="44" w:name="_Toc15377212"/>
      <w:r>
        <w:rPr>
          <w:rFonts w:ascii="仿宋" w:eastAsia="仿宋" w:hint="eastAsia"/>
          <w:b/>
          <w:color w:val="000000"/>
          <w:sz w:val="32"/>
          <w:szCs w:val="32"/>
        </w:rPr>
        <w:t>（三）一般公共预算财政拨款支出决算具体情况</w:t>
      </w:r>
      <w:bookmarkEnd w:id="44"/>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hint="eastAsia"/>
          <w:bCs/>
          <w:color w:val="000000"/>
          <w:sz w:val="32"/>
          <w:szCs w:val="32"/>
          <w:lang w:eastAsia="zh-CN"/>
        </w:rPr>
        <w:t>2022年</w:t>
      </w:r>
      <w:r>
        <w:rPr>
          <w:rFonts w:ascii="仿宋" w:eastAsia="仿宋" w:hint="eastAsia"/>
          <w:bCs/>
          <w:color w:val="000000"/>
          <w:sz w:val="32"/>
          <w:szCs w:val="32"/>
        </w:rPr>
        <w:t>一般公共预算数为</w:t>
      </w:r>
      <w:r>
        <w:rPr>
          <w:rFonts w:ascii="仿宋" w:eastAsia="仿宋" w:hint="eastAsia"/>
          <w:bCs/>
          <w:color w:val="000000"/>
          <w:sz w:val="32"/>
          <w:szCs w:val="32"/>
          <w:lang w:val="en-US" w:eastAsia="zh-CN"/>
        </w:rPr>
        <w:t>973.88</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973.88</w:t>
      </w:r>
      <w:r>
        <w:rPr>
          <w:rFonts w:ascii="仿宋" w:eastAsia="仿宋" w:hint="eastAsia"/>
          <w:bCs/>
          <w:color w:val="000000"/>
          <w:sz w:val="32"/>
          <w:szCs w:val="32"/>
        </w:rPr>
        <w:t>万元，完</w:t>
      </w:r>
      <w:r>
        <w:rPr>
          <w:rStyle w:val="24"/>
          <w:rFonts w:ascii="仿宋" w:eastAsia="仿宋" w:hint="eastAsia"/>
          <w:b w:val="0"/>
          <w:bCs/>
          <w:color w:val="000000"/>
          <w:sz w:val="32"/>
          <w:szCs w:val="32"/>
        </w:rPr>
        <w:t>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bookmarkEnd w:id="41"/>
      <w:bookmarkEnd w:id="42"/>
      <w:bookmarkEnd w:id="43"/>
    </w:p>
    <w:p>
      <w:pPr>
        <w:spacing w:line="600" w:lineRule="exact"/>
        <w:ind w:firstLineChars="200" w:firstLine="640"/>
        <w:rPr>
          <w:rStyle w:val="24"/>
          <w:rFonts w:ascii="仿宋" w:eastAsia="仿宋"/>
          <w:b w:val="0"/>
          <w:bCs/>
          <w:color w:val="000000"/>
          <w:sz w:val="32"/>
          <w:szCs w:val="32"/>
        </w:rPr>
      </w:pPr>
      <w:bookmarkStart w:id="45" w:name="_Toc15377214"/>
      <w:r>
        <w:rPr>
          <w:rStyle w:val="24"/>
          <w:rFonts w:ascii="仿宋" w:eastAsia="仿宋" w:hint="eastAsia"/>
          <w:bCs/>
          <w:color w:val="000000"/>
          <w:sz w:val="32"/>
          <w:szCs w:val="32"/>
        </w:rPr>
        <w:t>1.一般公共服务（类）政府办公厅（室）及相关机构事务（款）行政运行（项）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278.53</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bCs/>
          <w:color w:val="000000"/>
          <w:sz w:val="32"/>
          <w:szCs w:val="32"/>
        </w:rPr>
        <w:t>2.</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w:t>
      </w:r>
      <w:r>
        <w:rPr>
          <w:rStyle w:val="24"/>
          <w:rFonts w:ascii="仿宋" w:eastAsia="仿宋" w:hint="eastAsia"/>
          <w:bCs/>
          <w:color w:val="000000"/>
          <w:sz w:val="32"/>
          <w:szCs w:val="32"/>
        </w:rPr>
        <w:t>办公室（室）及相关机构事务（款）一般行政管理事务（项）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76.67</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cs="Times New Roman" w:hint="eastAsia"/>
          <w:bCs/>
          <w:color w:val="000000"/>
          <w:kern w:val="2"/>
          <w:sz w:val="32"/>
          <w:szCs w:val="32"/>
          <w:lang w:val="en-US" w:eastAsia="zh-CN" w:bidi="ar-SA"/>
        </w:rPr>
        <w:t>3.一般公共服务（类）人大事务（款）一般行政管理事务（项）: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19.26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cs="Times New Roman" w:hint="eastAsia"/>
          <w:bCs/>
          <w:color w:val="000000"/>
          <w:kern w:val="2"/>
          <w:sz w:val="32"/>
          <w:szCs w:val="32"/>
          <w:lang w:val="en-US" w:eastAsia="zh-CN" w:bidi="ar-SA"/>
        </w:rPr>
        <w:t>4.一般公共服务（类）人大事务（款）人大会议（项）: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0.02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5</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社会保障和就业（类）行政事业单位离退休（款）机关事业单位基本养老保险缴费支出（项）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53.36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7</w:t>
      </w:r>
      <w:r>
        <w:rPr>
          <w:rStyle w:val="24"/>
          <w:rFonts w:ascii="仿宋" w:eastAsia="仿宋"/>
          <w:bCs/>
          <w:color w:val="000000"/>
          <w:sz w:val="32"/>
          <w:szCs w:val="32"/>
        </w:rPr>
        <w:t>.</w:t>
      </w:r>
      <w:r>
        <w:rPr>
          <w:rStyle w:val="24"/>
          <w:rFonts w:ascii="仿宋" w:eastAsia="仿宋" w:hint="eastAsia"/>
          <w:bCs/>
          <w:color w:val="000000"/>
          <w:sz w:val="32"/>
          <w:szCs w:val="32"/>
        </w:rPr>
        <w:t>社会保障和就业（类）行政事业单位离退休（款）机关事业单位基本职业年金缴费支出（项）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24.97</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pStyle w:val="26"/>
        <w:ind w:leftChars="0" w:left="0" w:firstLineChars="200" w:firstLine="640"/>
        <w:rPr>
          <w:rFonts w:eastAsia="仿宋" w:hint="eastAsia"/>
          <w:lang w:val="en-US" w:eastAsia="zh-CN"/>
        </w:rPr>
      </w:pPr>
      <w:r>
        <w:rPr>
          <w:rStyle w:val="24"/>
          <w:rFonts w:ascii="仿宋" w:eastAsia="仿宋" w:hint="eastAsia"/>
          <w:bCs/>
          <w:color w:val="000000"/>
          <w:sz w:val="32"/>
          <w:szCs w:val="32"/>
          <w:lang w:val="en-US" w:eastAsia="zh-CN"/>
        </w:rPr>
        <w:t>8</w:t>
      </w:r>
      <w:r>
        <w:rPr>
          <w:rStyle w:val="24"/>
          <w:rFonts w:ascii="仿宋" w:eastAsia="仿宋" w:hint="eastAsia"/>
          <w:bCs/>
          <w:color w:val="000000"/>
          <w:sz w:val="32"/>
          <w:szCs w:val="32"/>
        </w:rPr>
        <w:t>.卫生健康支出（类）</w:t>
      </w:r>
      <w:r>
        <w:rPr>
          <w:rStyle w:val="24"/>
          <w:rFonts w:ascii="仿宋" w:eastAsia="仿宋" w:hint="eastAsia"/>
          <w:bCs/>
          <w:color w:val="000000"/>
          <w:sz w:val="32"/>
          <w:szCs w:val="32"/>
          <w:lang w:val="en-US" w:eastAsia="zh-CN"/>
        </w:rPr>
        <w:t>公共卫生</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突发公共卫生应急处理</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9</w:t>
      </w:r>
      <w:r>
        <w:rPr>
          <w:rStyle w:val="24"/>
          <w:rFonts w:ascii="仿宋" w:eastAsia="仿宋" w:hint="eastAsia"/>
          <w:bCs/>
          <w:color w:val="000000"/>
          <w:sz w:val="32"/>
          <w:szCs w:val="32"/>
        </w:rPr>
        <w:t>.卫生健康支出（类）行政事业单位医疗（款）行政单位医疗（项）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18.14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pStyle w:val="26"/>
        <w:ind w:leftChars="0" w:left="0" w:firstLineChars="200" w:firstLine="640"/>
        <w:rPr>
          <w:rStyle w:val="24"/>
          <w:rFonts w:ascii="仿宋" w:eastAsia="仿宋"/>
          <w:b w:val="0"/>
          <w:bCs/>
          <w:color w:val="000000"/>
          <w:sz w:val="32"/>
          <w:szCs w:val="32"/>
        </w:rPr>
      </w:pPr>
      <w:r>
        <w:rPr>
          <w:rStyle w:val="24"/>
          <w:rFonts w:ascii="仿宋" w:eastAsia="仿宋" w:hint="eastAsia"/>
          <w:bCs/>
          <w:color w:val="000000"/>
          <w:sz w:val="32"/>
          <w:szCs w:val="32"/>
          <w:lang w:val="en-US" w:eastAsia="zh-CN"/>
        </w:rPr>
        <w:t>10</w:t>
      </w:r>
      <w:r>
        <w:rPr>
          <w:rStyle w:val="24"/>
          <w:rFonts w:ascii="仿宋" w:eastAsia="仿宋" w:hint="eastAsia"/>
          <w:bCs/>
          <w:color w:val="000000"/>
          <w:sz w:val="32"/>
          <w:szCs w:val="32"/>
        </w:rPr>
        <w:t>.卫生健康支出（类）行政事业单位医疗（款）</w:t>
      </w:r>
      <w:r>
        <w:rPr>
          <w:rStyle w:val="24"/>
          <w:rFonts w:ascii="仿宋" w:eastAsia="仿宋" w:hint="eastAsia"/>
          <w:bCs/>
          <w:color w:val="000000"/>
          <w:sz w:val="32"/>
          <w:szCs w:val="32"/>
          <w:lang w:val="en-US" w:eastAsia="zh-CN"/>
        </w:rPr>
        <w:t>事业单位医疗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8.69</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p>
    <w:p>
      <w:pPr>
        <w:pStyle w:val="26"/>
        <w:ind w:leftChars="0" w:left="0"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11</w:t>
      </w:r>
      <w:r>
        <w:rPr>
          <w:rStyle w:val="24"/>
          <w:rFonts w:ascii="仿宋" w:eastAsia="仿宋" w:hint="eastAsia"/>
          <w:bCs/>
          <w:color w:val="000000"/>
          <w:sz w:val="32"/>
          <w:szCs w:val="32"/>
        </w:rPr>
        <w:t>.卫生健康支出（类）行政事业单位医疗（款）公务员医疗补助（项）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4.51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pStyle w:val="26"/>
        <w:ind w:leftChars="0" w:left="0"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12</w:t>
      </w:r>
      <w:r>
        <w:rPr>
          <w:rStyle w:val="24"/>
          <w:rFonts w:ascii="仿宋" w:eastAsia="仿宋" w:hint="eastAsia"/>
          <w:bCs/>
          <w:color w:val="000000"/>
          <w:sz w:val="32"/>
          <w:szCs w:val="32"/>
        </w:rPr>
        <w:t>.卫生健康支出（类）行政事业单位医疗（款）</w:t>
      </w:r>
      <w:r>
        <w:rPr>
          <w:rStyle w:val="24"/>
          <w:rFonts w:ascii="仿宋" w:eastAsia="仿宋" w:hint="eastAsia"/>
          <w:bCs/>
          <w:color w:val="000000"/>
          <w:sz w:val="32"/>
          <w:szCs w:val="32"/>
          <w:lang w:val="en-US" w:eastAsia="zh-CN"/>
        </w:rPr>
        <w:t>其他行政事业单位医疗支出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2.57</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13</w:t>
      </w:r>
      <w:r>
        <w:rPr>
          <w:rStyle w:val="24"/>
          <w:rFonts w:ascii="仿宋" w:eastAsia="仿宋" w:hint="eastAsia"/>
          <w:bCs/>
          <w:color w:val="000000"/>
          <w:sz w:val="32"/>
          <w:szCs w:val="32"/>
        </w:rPr>
        <w:t>.住房保障（类）住房改革支出（款）住房公积金（项）：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56.55</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15.农林水支出（类）农村综合改革（款）对村民委员会和党支部的补助（项）：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195.69</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 xml:space="preserve">       </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16.其他支出（类）其他支出（款）其他支出（项）：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11.54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tabs>
          <w:tab w:val="right" w:pos="7663"/>
        </w:tabs>
        <w:spacing w:line="600" w:lineRule="exact"/>
        <w:rPr>
          <w:rStyle w:val="24"/>
          <w:rFonts w:ascii="仿宋" w:eastAsia="仿宋"/>
          <w:b w:val="0"/>
          <w:bCs/>
          <w:color w:val="000000"/>
          <w:sz w:val="32"/>
          <w:szCs w:val="32"/>
        </w:rPr>
      </w:pP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5"/>
      <w:r>
        <w:rPr>
          <w:rStyle w:val="2Char"/>
          <w:rFonts w:ascii="黑体" w:eastAsia="黑体"/>
          <w:b w:val="0"/>
        </w:rPr>
        <w:tab/>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lang w:eastAsia="zh-CN"/>
        </w:rPr>
        <w:t>2022年</w:t>
      </w:r>
      <w:r>
        <w:rPr>
          <w:rFonts w:ascii="仿宋" w:eastAsia="仿宋" w:hint="eastAsia"/>
          <w:color w:val="000000"/>
          <w:sz w:val="32"/>
          <w:szCs w:val="32"/>
        </w:rPr>
        <w:t>一般公共预算财政拨款支出</w:t>
      </w:r>
      <w:r>
        <w:rPr>
          <w:rFonts w:ascii="仿宋" w:eastAsia="仿宋" w:hint="eastAsia"/>
          <w:bCs/>
          <w:color w:val="000000"/>
          <w:sz w:val="32"/>
          <w:szCs w:val="32"/>
          <w:lang w:val="en-US" w:eastAsia="zh-CN"/>
        </w:rPr>
        <w:t>973.88</w:t>
      </w:r>
      <w:r>
        <w:rPr>
          <w:rFonts w:ascii="仿宋" w:eastAsia="仿宋" w:hint="eastAsia"/>
          <w:color w:val="000000"/>
          <w:sz w:val="32"/>
          <w:szCs w:val="32"/>
        </w:rPr>
        <w:t>万元</w:t>
      </w:r>
      <w:r>
        <w:rPr>
          <w:rFonts w:ascii="仿宋" w:eastAsia="仿宋" w:hint="eastAsia"/>
          <w:color w:val="000000"/>
          <w:sz w:val="32"/>
          <w:szCs w:val="32"/>
          <w:lang w:eastAsia="zh-CN"/>
        </w:rPr>
        <w:t>。</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bookmarkStart w:id="46"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751.51</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632.05</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141.12</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155.15</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121.57</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39.32</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53.36</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24.97</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6.11</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56.55</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26.83</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7.08</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8.16</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75.61</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35.69</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1.26</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2.5</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2.87</w:t>
        <w:tab/>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3.55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维修（护）费</w:t>
      </w:r>
      <w:r>
        <w:rPr>
          <w:rFonts w:ascii="仿宋_GB2312" w:eastAsia="仿宋_GB2312" w:hint="eastAsia"/>
          <w:color w:val="000000"/>
          <w:sz w:val="32"/>
          <w:szCs w:val="32"/>
          <w:lang w:val="en-US" w:eastAsia="zh-CN"/>
        </w:rPr>
        <w:t>5.02万元、</w:t>
      </w:r>
      <w:r>
        <w:rPr>
          <w:rFonts w:ascii="仿宋_GB2312" w:eastAsia="仿宋_GB2312" w:hint="eastAsia"/>
          <w:color w:val="000000"/>
          <w:sz w:val="32"/>
          <w:szCs w:val="32"/>
        </w:rPr>
        <w:t>公务用车运行维护费</w:t>
      </w:r>
      <w:r>
        <w:rPr>
          <w:rFonts w:ascii="仿宋_GB2312" w:eastAsia="仿宋_GB2312" w:hint="eastAsia"/>
          <w:color w:val="000000"/>
          <w:sz w:val="32"/>
          <w:szCs w:val="32"/>
          <w:lang w:val="en-US" w:eastAsia="zh-CN"/>
        </w:rPr>
        <w:t>8.49</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lang w:val="en-US" w:eastAsia="zh-CN"/>
        </w:rPr>
      </w:pPr>
      <w:bookmarkStart w:id="47" w:name="_Toc9449"/>
      <w:r>
        <w:rPr>
          <w:rFonts w:ascii="仿宋_GB2312" w:eastAsia="仿宋_GB2312" w:hint="eastAsia"/>
          <w:color w:val="000000"/>
          <w:sz w:val="32"/>
          <w:szCs w:val="32"/>
          <w:lang w:val="en-US" w:eastAsia="zh-CN"/>
        </w:rPr>
        <w:t xml:space="preserve"> 项目支出为222.36元，主要包括：疫情防控经费5</w:t>
        <w:tab/>
        <w:t>万元、金川县地质灾害防治项目14.39万元、村级运维费及村干部生活补助195.69万元、三老干部生活补助7.08万元、人大会议费0.2万元。</w:t>
      </w: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6"/>
      <w:bookmarkEnd w:id="47"/>
    </w:p>
    <w:p>
      <w:pPr>
        <w:spacing w:line="600" w:lineRule="exact"/>
        <w:ind w:firstLine="640"/>
        <w:outlineLvl w:val="2"/>
        <w:rPr>
          <w:rFonts w:ascii="仿宋" w:eastAsia="仿宋"/>
          <w:b/>
          <w:color w:val="000000"/>
          <w:sz w:val="32"/>
          <w:szCs w:val="32"/>
        </w:rPr>
      </w:pPr>
      <w:bookmarkStart w:id="48" w:name="_Toc15377216"/>
      <w:r>
        <w:rPr>
          <w:rFonts w:ascii="仿宋" w:eastAsia="仿宋" w:hint="eastAsia"/>
          <w:b/>
          <w:color w:val="000000"/>
          <w:sz w:val="32"/>
          <w:szCs w:val="32"/>
        </w:rPr>
        <w:t>（一）“三公”经费财政拨款支出决算总体情况说明</w:t>
      </w:r>
      <w:bookmarkEnd w:id="48"/>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“三公”经费财政拨款</w:t>
      </w:r>
      <w:r>
        <w:rPr>
          <w:rFonts w:ascii="仿宋" w:eastAsia="仿宋" w:hint="eastAsia"/>
          <w:color w:val="000000"/>
          <w:sz w:val="32"/>
          <w:szCs w:val="32"/>
          <w:lang w:val="en-US" w:eastAsia="zh-CN"/>
        </w:rPr>
        <w:t>支出预算为8.49万元，</w:t>
      </w:r>
      <w:r>
        <w:rPr>
          <w:rFonts w:ascii="仿宋" w:eastAsia="仿宋" w:hint="eastAsia"/>
          <w:color w:val="000000"/>
          <w:sz w:val="32"/>
          <w:szCs w:val="32"/>
        </w:rPr>
        <w:t>支出决算为</w:t>
      </w:r>
      <w:r>
        <w:rPr>
          <w:rFonts w:ascii="仿宋" w:eastAsia="仿宋" w:hint="eastAsia"/>
          <w:color w:val="000000"/>
          <w:sz w:val="32"/>
          <w:szCs w:val="32"/>
          <w:lang w:val="en-US" w:eastAsia="zh-CN"/>
        </w:rPr>
        <w:t>8.49</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9" w:name="_Toc15377217"/>
      <w:r>
        <w:rPr>
          <w:rFonts w:ascii="仿宋" w:eastAsia="仿宋" w:hint="eastAsia"/>
          <w:b/>
          <w:color w:val="000000"/>
          <w:sz w:val="32"/>
          <w:szCs w:val="32"/>
        </w:rPr>
        <w:t>（二）“三公”经费财政拨款支出决算具体情况说明</w:t>
      </w:r>
      <w:bookmarkEnd w:id="49"/>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“三公”经费财政拨款</w:t>
      </w:r>
      <w:r>
        <w:rPr>
          <w:rFonts w:ascii="仿宋" w:eastAsia="仿宋" w:hint="eastAsia"/>
          <w:color w:val="000000"/>
          <w:sz w:val="32"/>
          <w:szCs w:val="32"/>
          <w:lang w:val="en-US" w:eastAsia="zh-CN"/>
        </w:rPr>
        <w:t>支出预算为8.49万元，</w:t>
      </w:r>
      <w:r>
        <w:rPr>
          <w:rFonts w:ascii="仿宋" w:eastAsia="仿宋" w:hint="eastAsia"/>
          <w:color w:val="000000"/>
          <w:sz w:val="32"/>
          <w:szCs w:val="32"/>
        </w:rPr>
        <w:t>支出</w:t>
      </w:r>
      <w:r>
        <w:rPr>
          <w:rFonts w:ascii="仿宋" w:eastAsia="仿宋" w:hint="eastAsia"/>
          <w:sz w:val="32"/>
          <w:szCs w:val="32"/>
        </w:rPr>
        <w:t>决算</w:t>
      </w:r>
      <w:r>
        <w:rPr>
          <w:rFonts w:ascii="仿宋" w:eastAsia="仿宋" w:hint="eastAsia"/>
          <w:color w:val="000000"/>
          <w:sz w:val="32"/>
          <w:szCs w:val="32"/>
          <w:lang w:val="en-US" w:eastAsia="zh-CN"/>
        </w:rPr>
        <w:t>8.49</w:t>
      </w:r>
      <w:r>
        <w:rPr>
          <w:rFonts w:ascii="仿宋" w:eastAsia="仿宋" w:hint="eastAsia"/>
          <w:sz w:val="32"/>
          <w:szCs w:val="32"/>
        </w:rPr>
        <w:t>万元</w:t>
      </w:r>
      <w:r>
        <w:rPr>
          <w:rFonts w:ascii="仿宋" w:eastAsia="仿宋" w:hint="eastAsia"/>
          <w:color w:val="000000"/>
          <w:sz w:val="32"/>
          <w:szCs w:val="32"/>
        </w:rPr>
        <w:t>，其中：公务用车购置及运行维护费支出决算</w:t>
      </w:r>
      <w:r>
        <w:rPr>
          <w:rFonts w:ascii="仿宋" w:eastAsia="仿宋" w:hint="eastAsia"/>
          <w:color w:val="000000"/>
          <w:sz w:val="32"/>
          <w:szCs w:val="32"/>
          <w:lang w:val="en-US" w:eastAsia="zh-CN"/>
        </w:rPr>
        <w:t>8.49</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b/>
          <w:sz w:val="32"/>
          <w:szCs w:val="32"/>
          <w:lang w:val="en-US" w:eastAsia="zh-CN"/>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 w:eastAsia="仿宋" w:hint="eastAsia"/>
          <w:color w:val="000000"/>
          <w:sz w:val="32"/>
          <w:szCs w:val="32"/>
          <w:lang w:val="en-US" w:eastAsia="zh-CN"/>
        </w:rPr>
        <w:t>8.49</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年增加</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cs="仿宋" w:hint="eastAsia"/>
          <w:color w:val="000000"/>
          <w:sz w:val="32"/>
          <w:szCs w:val="32"/>
          <w:lang w:val="en-US" w:eastAsia="zh-CN"/>
        </w:rPr>
        <w:t>与上年相比无变动。</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hint="eastAsia"/>
          <w:color w:val="000000"/>
          <w:sz w:val="32"/>
          <w:szCs w:val="32"/>
          <w:lang w:eastAsia="zh-CN"/>
        </w:rPr>
        <w:t>2022年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辆、执法执勤用车0辆、特种专业技术用车0辆、离退休干部用车0辆、其他用车0辆；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 w:eastAsia="仿宋" w:hint="eastAsia"/>
          <w:color w:val="000000"/>
          <w:sz w:val="32"/>
          <w:szCs w:val="32"/>
          <w:lang w:val="en-US" w:eastAsia="zh-CN"/>
        </w:rPr>
        <w:t>8.49</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lang w:val="en-US" w:eastAsia="zh-CN"/>
        </w:rPr>
        <w:t>2</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hint="eastAsia"/>
          <w:color w:val="000000"/>
          <w:sz w:val="32"/>
          <w:szCs w:val="32"/>
          <w:lang w:val="en-US" w:eastAsia="zh-CN"/>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无变化。</w:t>
      </w:r>
      <w:r>
        <w:rPr>
          <w:rFonts w:ascii="仿宋_GB2312" w:eastAsia="仿宋_GB2312" w:hint="eastAsia"/>
          <w:color w:val="000000"/>
          <w:sz w:val="32"/>
          <w:szCs w:val="32"/>
        </w:rPr>
        <w:t>国内公务接待0批次，0人次，共计支出0万元。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560" w:lineRule="exact"/>
        <w:ind w:firstLineChars="200" w:firstLine="640"/>
      </w:pPr>
      <w:r>
        <w:rPr>
          <w:rFonts w:ascii="仿宋_GB2312" w:eastAsia="仿宋_GB2312" w:cs="仿宋_GB2312" w:hint="eastAsia"/>
          <w:b/>
          <w:bCs/>
          <w:color w:val="000000"/>
          <w:sz w:val="32"/>
          <w:szCs w:val="32"/>
          <w:lang w:val="en-US" w:eastAsia="zh-CN" w:bidi="ar-SA"/>
        </w:rPr>
        <w:t>3.</w:t>
      </w:r>
      <w:r>
        <w:rPr>
          <w:rFonts w:ascii="仿宋_GB2312" w:eastAsia="仿宋_GB2312" w:cs="仿宋_GB2312" w:hint="eastAsia"/>
          <w:b/>
          <w:bCs/>
          <w:color w:val="000000"/>
          <w:sz w:val="32"/>
          <w:szCs w:val="32"/>
          <w:lang w:bidi="ar-SA"/>
        </w:rPr>
        <w:t>因公出国（境）费支出</w:t>
      </w:r>
      <w:r>
        <w:rPr>
          <w:rFonts w:ascii="仿宋_GB2312" w:eastAsia="仿宋_GB2312" w:cs="仿宋_GB2312" w:hint="eastAsia"/>
          <w:b/>
          <w:bCs/>
          <w:color w:val="000000"/>
          <w:sz w:val="32"/>
          <w:szCs w:val="32"/>
          <w:lang w:val="en-US" w:eastAsia="zh-CN" w:bidi="ar-SA"/>
        </w:rPr>
        <w:t>0</w:t>
      </w:r>
      <w:r>
        <w:rPr>
          <w:rFonts w:ascii="仿宋_GB2312" w:eastAsia="仿宋_GB2312" w:cs="仿宋_GB2312" w:hint="eastAsia"/>
          <w:b/>
          <w:bCs/>
          <w:color w:val="000000"/>
          <w:sz w:val="32"/>
          <w:szCs w:val="32"/>
          <w:lang w:bidi="ar-SA"/>
        </w:rPr>
        <w:t>万元</w:t>
      </w:r>
      <w:r>
        <w:rPr>
          <w:rFonts w:ascii="仿宋_GB2312" w:eastAsia="仿宋_GB2312" w:cs="仿宋_GB2312" w:hint="eastAsia"/>
          <w:b/>
          <w:bCs/>
          <w:color w:val="000000"/>
          <w:sz w:val="32"/>
          <w:szCs w:val="32"/>
          <w:lang w:eastAsia="zh-CN" w:bidi="ar-SA"/>
        </w:rPr>
        <w:t>。</w:t>
      </w:r>
    </w:p>
    <w:p>
      <w:pPr>
        <w:spacing w:line="600" w:lineRule="exact"/>
        <w:ind w:firstLine="640"/>
        <w:outlineLvl w:val="1"/>
        <w:rPr>
          <w:rStyle w:val="2Char"/>
          <w:rFonts w:ascii="黑体" w:eastAsia="黑体"/>
        </w:rPr>
      </w:pPr>
      <w:bookmarkStart w:id="50" w:name="_Toc23573"/>
      <w:bookmarkStart w:id="51" w:name="_Toc15377218"/>
      <w:r>
        <w:rPr>
          <w:rFonts w:ascii="黑体" w:eastAsia="黑体" w:hint="eastAsia"/>
          <w:color w:val="000000"/>
          <w:sz w:val="32"/>
          <w:szCs w:val="32"/>
        </w:rPr>
        <w:t>八、</w:t>
      </w:r>
      <w:r>
        <w:rPr>
          <w:rStyle w:val="2Char"/>
          <w:rFonts w:ascii="黑体" w:eastAsia="黑体" w:hint="eastAsia"/>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2022年</w:t>
      </w:r>
      <w:r>
        <w:rPr>
          <w:rFonts w:ascii="仿宋_GB2312" w:eastAsia="仿宋_GB2312" w:hint="eastAsia"/>
          <w:color w:val="000000"/>
          <w:sz w:val="32"/>
          <w:szCs w:val="32"/>
        </w:rPr>
        <w:t>政府性基金预算拨款支出0万元。</w:t>
      </w:r>
    </w:p>
    <w:p>
      <w:pPr>
        <w:numPr>
          <w:ilvl w:val="0"/>
          <w:numId w:val="4"/>
        </w:numPr>
        <w:spacing w:line="600" w:lineRule="exact"/>
        <w:ind w:left="0" w:firstLine="640"/>
        <w:outlineLvl w:val="1"/>
        <w:rPr>
          <w:rStyle w:val="2Char"/>
          <w:rFonts w:ascii="黑体" w:eastAsia="黑体"/>
          <w:b w:val="0"/>
        </w:rPr>
      </w:pPr>
      <w:bookmarkStart w:id="52" w:name="_Toc351"/>
      <w:bookmarkStart w:id="53" w:name="_Toc15377219"/>
      <w:r>
        <w:rPr>
          <w:rStyle w:val="2Char"/>
          <w:rFonts w:ascii="黑体" w:eastAsia="黑体" w:hint="eastAsia"/>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2022年</w:t>
      </w:r>
      <w:r>
        <w:rPr>
          <w:rFonts w:ascii="仿宋_GB2312" w:eastAsia="仿宋_GB2312" w:hint="eastAsia"/>
          <w:color w:val="000000"/>
          <w:sz w:val="32"/>
          <w:szCs w:val="32"/>
        </w:rPr>
        <w:t>国有资本经营预算拨款支出0万元。</w:t>
      </w:r>
    </w:p>
    <w:p>
      <w:pPr>
        <w:pStyle w:val="32"/>
        <w:numPr>
          <w:ilvl w:val="0"/>
          <w:numId w:val="5"/>
        </w:numPr>
        <w:spacing w:line="580" w:lineRule="exact"/>
        <w:ind w:firstLineChars="0"/>
        <w:rPr>
          <w:rStyle w:val="2Char"/>
          <w:rFonts w:ascii="黑体" w:eastAsia="黑体"/>
          <w:b w:val="0"/>
        </w:rPr>
      </w:pPr>
      <w:bookmarkStart w:id="54" w:name="_Toc16199"/>
      <w:r>
        <w:rPr>
          <w:rStyle w:val="2Char"/>
          <w:rFonts w:ascii="黑体" w:eastAsia="黑体" w:hint="eastAsia"/>
          <w:b w:val="0"/>
        </w:rPr>
        <w:t>预算绩效情况说明</w:t>
      </w:r>
    </w:p>
    <w:p>
      <w:pPr>
        <w:numPr>
          <w:ilvl w:val="0"/>
          <w:numId w:val="6"/>
        </w:numPr>
        <w:spacing w:line="580" w:lineRule="exact"/>
        <w:ind w:left="0" w:firstLineChars="200" w:firstLine="640"/>
        <w:rPr>
          <w:rStyle w:val="2Char"/>
          <w:rFonts w:ascii="黑体" w:eastAsia="黑体"/>
          <w:b w:val="0"/>
        </w:rPr>
      </w:pPr>
      <w:bookmarkStart w:id="55" w:name="_Toc4523"/>
      <w:bookmarkEnd w:id="54"/>
      <w:r>
        <w:rPr>
          <w:rStyle w:val="2Char"/>
          <w:rFonts w:ascii="黑体" w:eastAsia="黑体" w:hint="eastAsia"/>
          <w:b w:val="0"/>
        </w:rPr>
        <w:t>预算绩效管理工作开展情况。</w:t>
      </w:r>
    </w:p>
    <w:p>
      <w:pPr>
        <w:snapToGrid w:val="0"/>
        <w:spacing w:line="520" w:lineRule="exact"/>
        <w:ind w:firstLineChars="200" w:firstLine="640"/>
        <w:rPr>
          <w:rFonts w:ascii="仿宋_GB2312" w:eastAsia="仿宋_GB2312" w:cs="仿宋_GB2312"/>
          <w:sz w:val="32"/>
          <w:szCs w:val="32"/>
        </w:rPr>
      </w:pPr>
      <w:bookmarkEnd w:id="55"/>
      <w:r>
        <w:rPr>
          <w:rFonts w:ascii="仿宋_GB2312" w:eastAsia="仿宋_GB2312" w:cs="仿宋_GB2312" w:hint="eastAsia"/>
          <w:sz w:val="32"/>
          <w:szCs w:val="32"/>
        </w:rPr>
        <w:t>本部门在</w:t>
      </w:r>
      <w:r>
        <w:rPr>
          <w:rFonts w:ascii="仿宋_GB2312" w:eastAsia="仿宋_GB2312" w:cs="仿宋_GB2312"/>
          <w:sz w:val="32"/>
          <w:szCs w:val="32"/>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年度部门决算中</w:t>
      </w:r>
      <w:r>
        <w:rPr>
          <w:rFonts w:ascii="仿宋_GB2312" w:eastAsia="仿宋_GB2312" w:cs="仿宋_GB2312" w:hint="eastAsia"/>
          <w:sz w:val="32"/>
          <w:szCs w:val="32"/>
          <w:lang w:eastAsia="zh-CN"/>
        </w:rPr>
        <w:t>反应村级运维费及村干部生活补助意外险、</w:t>
      </w:r>
      <w:r>
        <w:rPr>
          <w:rFonts w:ascii="仿宋_GB2312" w:eastAsia="仿宋_GB2312" w:cs="仿宋_GB2312" w:hint="eastAsia"/>
          <w:sz w:val="32"/>
          <w:szCs w:val="32"/>
          <w:lang w:val="en-US" w:eastAsia="zh-CN"/>
        </w:rPr>
        <w:t>2022年新冠防疫工作经费、</w:t>
      </w:r>
      <w:r>
        <w:rPr>
          <w:rFonts w:ascii="仿宋_GB2312" w:eastAsia="仿宋_GB2312" w:hint="eastAsia"/>
          <w:color w:val="000000"/>
          <w:sz w:val="32"/>
          <w:szCs w:val="32"/>
          <w:lang w:val="en-US" w:eastAsia="zh-CN"/>
        </w:rPr>
        <w:t>金川县地质灾害防治项目、三老干部生活补助</w:t>
      </w:r>
      <w:r>
        <w:rPr>
          <w:rFonts w:ascii="仿宋_GB2312" w:eastAsia="仿宋_GB2312" w:cs="仿宋_GB2312" w:hint="eastAsia"/>
          <w:sz w:val="32"/>
          <w:szCs w:val="32"/>
          <w:lang w:val="en-US" w:eastAsia="zh-CN"/>
        </w:rPr>
        <w:t>共4</w:t>
      </w:r>
      <w:r>
        <w:rPr>
          <w:rFonts w:ascii="仿宋_GB2312" w:eastAsia="仿宋_GB2312" w:cs="仿宋_GB2312" w:hint="eastAsia"/>
          <w:sz w:val="32"/>
          <w:szCs w:val="32"/>
        </w:rPr>
        <w:t>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w:t>
      </w:r>
      <w:r>
        <w:rPr>
          <w:rFonts w:ascii="仿宋_GB2312" w:eastAsia="仿宋_GB2312" w:cs="仿宋_GB2312" w:hint="eastAsia"/>
          <w:sz w:val="32"/>
          <w:szCs w:val="32"/>
          <w:lang w:eastAsia="zh-CN"/>
        </w:rPr>
        <w:t>“村级运维费及村干部生活补助意外险”</w:t>
      </w:r>
      <w:r>
        <w:rPr>
          <w:rFonts w:ascii="仿宋_GB2312" w:eastAsia="仿宋_GB2312" w:cs="仿宋_GB2312" w:hint="eastAsia"/>
          <w:sz w:val="32"/>
          <w:szCs w:val="32"/>
        </w:rPr>
        <w:t>运转类项目绩效目标完成情况综述。项目全年预算数</w:t>
      </w:r>
      <w:r>
        <w:rPr>
          <w:rFonts w:ascii="仿宋_GB2312" w:eastAsia="仿宋_GB2312" w:cs="仿宋_GB2312" w:hint="eastAsia"/>
          <w:sz w:val="32"/>
          <w:szCs w:val="32"/>
          <w:lang w:val="en-US" w:eastAsia="zh-CN"/>
        </w:rPr>
        <w:t>195.69</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195.69</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2"/>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2"/>
              <w:widowControl/>
              <w:ind w:leftChars="1994" w:left="4187" w:firstLineChars="5" w:firstLine="18"/>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eastAsia="zh-CN"/>
              </w:rPr>
              <w:t>村级运维费及村干部生活补助意外险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河西乡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195.69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195.69</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195.69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195.69</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eastAsia="zh-CN"/>
              </w:rPr>
              <w:t>维持农村基层政权正常运转，保障上级安排任务及时落实，群众满意。保障村干部报酬。</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经济成本</w:t>
            </w: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村级运维费</w:t>
            </w:r>
            <w:r>
              <w:rPr>
                <w:rFonts w:ascii="宋体" w:cs="宋体" w:hint="eastAsia"/>
                <w:color w:val="000000"/>
                <w:sz w:val="24"/>
                <w:lang w:eastAsia="zh-CN"/>
              </w:rPr>
              <w:t>及村干部生活补助意外险</w:t>
            </w:r>
            <w:r>
              <w:rPr>
                <w:rFonts w:ascii="宋体" w:cs="宋体" w:hint="eastAsia"/>
                <w:color w:val="000000"/>
                <w:sz w:val="24"/>
              </w:rPr>
              <w:t>资金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195.69万元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195.69万元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eastAsia="zh-CN"/>
              </w:rPr>
              <w:t>产出</w:t>
            </w:r>
            <w:r>
              <w:rPr>
                <w:rFonts w:asci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村级运维费</w:t>
            </w:r>
            <w:r>
              <w:rPr>
                <w:rFonts w:ascii="宋体" w:cs="宋体" w:hint="eastAsia"/>
                <w:color w:val="000000"/>
                <w:sz w:val="24"/>
                <w:lang w:eastAsia="zh-CN"/>
              </w:rPr>
              <w:t>及村干部生活补助意外险</w:t>
            </w:r>
            <w:r>
              <w:rPr>
                <w:rFonts w:ascii="宋体" w:cs="宋体" w:hint="eastAsia"/>
                <w:color w:val="000000"/>
                <w:sz w:val="24"/>
              </w:rPr>
              <w:t>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r>
              <w:rPr>
                <w:rFonts w:ascii="宋体" w:cs="宋体"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r>
              <w:rPr>
                <w:rFonts w:ascii="宋体" w:cs="宋体" w:hint="eastAsia"/>
                <w:color w:val="000000"/>
                <w:sz w:val="24"/>
              </w:rPr>
              <w:t>%</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kern w:val="0"/>
                <w:sz w:val="24"/>
                <w:lang w:val="en-US" w:eastAsia="zh-CN"/>
              </w:rPr>
            </w:pPr>
            <w:r>
              <w:rPr>
                <w:rFonts w:ascii="宋体" w:cs="宋体" w:hint="eastAsia"/>
                <w:color w:val="000000"/>
                <w:kern w:val="0"/>
                <w:sz w:val="24"/>
                <w:lang w:eastAsia="zh-CN"/>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eastAsia="zh-CN"/>
              </w:rPr>
              <w:t>保障基层党组织基本运转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r>
              <w:rPr>
                <w:rFonts w:ascii="宋体" w:cs="宋体"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服务对象</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numPr>
          <w:ilvl w:val="0"/>
          <w:numId w:val="7"/>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2022年新冠防疫工作经费</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2"/>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2"/>
              <w:widowControl/>
              <w:ind w:leftChars="1823" w:left="4170" w:hangingChars="95" w:hanging="34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2022年新冠防疫工作经费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河西乡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rPr>
              <w:t>保证</w:t>
            </w:r>
            <w:r>
              <w:rPr>
                <w:rFonts w:ascii="宋体" w:cs="宋体" w:hint="eastAsia"/>
                <w:color w:val="000000"/>
                <w:sz w:val="24"/>
                <w:lang w:eastAsia="zh-CN"/>
              </w:rPr>
              <w:t>防疫所需的后勤保障工作</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经济</w:t>
            </w: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防疫工作经费</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kern w:val="0"/>
                <w:sz w:val="24"/>
                <w:lang w:eastAsia="zh-CN"/>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社会效益</w:t>
            </w: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有效遏制疫情扩散</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ascii="宋体" w:cs="宋体" w:hint="eastAsia"/>
                <w:color w:val="000000"/>
                <w:sz w:val="24"/>
                <w:lang w:val="en-US" w:eastAsia="zh-CN"/>
              </w:rPr>
              <w:t>95</w:t>
            </w:r>
            <w:r>
              <w:rPr>
                <w:rFonts w:ascii="宋体" w:cs="宋体" w:hint="eastAsia"/>
                <w:color w:val="000000"/>
                <w:sz w:val="24"/>
              </w:rPr>
              <w:t>%</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按要求按成各项工作</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eastAsia="zh-CN"/>
              </w:rPr>
              <w:t>服务群众</w:t>
            </w:r>
            <w:r>
              <w:rPr>
                <w:rFonts w:ascii="宋体" w:cs="宋体" w:hint="eastAsia"/>
                <w:color w:val="000000"/>
                <w:sz w:val="24"/>
              </w:rPr>
              <w:t>满意</w:t>
            </w:r>
            <w:r>
              <w:rPr>
                <w:rFonts w:ascii="宋体" w:cs="宋体" w:hint="eastAsia"/>
                <w:color w:val="000000"/>
                <w:sz w:val="24"/>
                <w:lang w:val="en-US" w:eastAsia="zh-CN"/>
              </w:rPr>
              <w:t>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p>
        </w:tc>
      </w:tr>
    </w:tbl>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w:t>
      </w:r>
    </w:p>
    <w:p>
      <w:pPr>
        <w:numPr>
          <w:ilvl w:val="0"/>
          <w:numId w:val="8"/>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hint="eastAsia"/>
          <w:color w:val="000000"/>
          <w:sz w:val="32"/>
          <w:szCs w:val="32"/>
          <w:lang w:val="en-US" w:eastAsia="zh-CN"/>
        </w:rPr>
        <w:t>金川县地质灾害防治项目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14.39</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14.39</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金川县地质灾害防治项目</w:t>
            </w:r>
          </w:p>
        </w:tc>
      </w:tr>
      <w:tr>
        <w:trPr>
          <w:trHeight w:val="347"/>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河西乡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14.39</w:t>
            </w:r>
            <w:r>
              <w:rPr>
                <w:rFonts w:ascii="仿宋_GB2312" w:eastAsia="仿宋_GB2312" w:cs="仿宋_GB2312" w:hint="eastAsia"/>
                <w:sz w:val="32"/>
                <w:szCs w:val="32"/>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14.39</w:t>
            </w:r>
            <w:r>
              <w:rPr>
                <w:rFonts w:ascii="仿宋_GB2312" w:eastAsia="仿宋_GB2312" w:cs="仿宋_GB2312" w:hint="eastAsia"/>
                <w:sz w:val="32"/>
                <w:szCs w:val="32"/>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14.39</w:t>
            </w:r>
            <w:r>
              <w:rPr>
                <w:rFonts w:ascii="仿宋_GB2312" w:eastAsia="仿宋_GB2312" w:cs="仿宋_GB2312" w:hint="eastAsia"/>
                <w:sz w:val="32"/>
                <w:szCs w:val="32"/>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14.39</w:t>
            </w:r>
            <w:r>
              <w:rPr>
                <w:rFonts w:ascii="仿宋_GB2312" w:eastAsia="仿宋_GB2312" w:cs="仿宋_GB2312" w:hint="eastAsia"/>
                <w:sz w:val="32"/>
                <w:szCs w:val="32"/>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新建河堤堡坎320米，下宽3米，上宽0.7米，高8米。项目实施能够保障河堤沿线人民群众的生命财产安全，改善村容村貌，提高群众生活的幸福感。</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保障河堤沿线人民群众的生命财产安全，改善村容村貌，提高群众生活的幸福感。</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kern w:val="0"/>
                <w:sz w:val="24"/>
                <w:lang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eastAsia="宋体" w:hint="eastAsia"/>
                <w:lang w:eastAsia="zh-CN"/>
              </w:rPr>
            </w:pPr>
            <w:r>
              <w:rPr>
                <w:rFonts w:ascii="宋体" w:eastAsia="宋体" w:cs="宋体" w:hint="eastAsia"/>
                <w:color w:val="000000"/>
                <w:sz w:val="24"/>
                <w:lang w:eastAsia="zh-CN"/>
              </w:rPr>
              <w:t>经济成本指标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hint="eastAsia"/>
                <w:lang w:val="en-US" w:eastAsia="zh-CN"/>
              </w:rPr>
            </w:pPr>
            <w:r>
              <w:rPr>
                <w:rFonts w:ascii="宋体" w:cs="宋体" w:hint="eastAsia"/>
                <w:color w:val="000000"/>
                <w:sz w:val="24"/>
              </w:rPr>
              <w:t xml:space="preserve">              </w:t>
            </w:r>
            <w:r>
              <w:rPr>
                <w:rFonts w:ascii="宋体" w:cs="宋体" w:hint="eastAsia"/>
                <w:color w:val="000000"/>
                <w:sz w:val="24"/>
                <w:lang w:eastAsia="zh-CN"/>
              </w:rPr>
              <w:t>项目建设总费用</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cs="仿宋_GB2312" w:hint="eastAsia"/>
                <w:sz w:val="32"/>
                <w:szCs w:val="32"/>
                <w:lang w:val="en-US" w:eastAsia="zh-CN"/>
              </w:rPr>
              <w:t>14.39</w:t>
            </w:r>
            <w:r>
              <w:rPr>
                <w:rFonts w:ascii="仿宋_GB2312" w:eastAsia="仿宋_GB2312" w:cs="仿宋_GB2312" w:hint="eastAsia"/>
                <w:sz w:val="32"/>
                <w:szCs w:val="32"/>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仿宋_GB2312" w:eastAsia="仿宋_GB2312" w:cs="仿宋_GB2312" w:hint="eastAsia"/>
                <w:sz w:val="32"/>
                <w:szCs w:val="32"/>
                <w:lang w:val="en-US" w:eastAsia="zh-CN"/>
              </w:rPr>
              <w:t>14.39</w:t>
            </w:r>
            <w:r>
              <w:rPr>
                <w:rFonts w:ascii="仿宋_GB2312" w:eastAsia="仿宋_GB2312" w:cs="仿宋_GB2312" w:hint="eastAsia"/>
                <w:sz w:val="32"/>
                <w:szCs w:val="32"/>
              </w:rPr>
              <w:t>万元</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eastAsia="宋体" w:cs="宋体" w:hint="eastAsia"/>
                <w:color w:val="000000"/>
                <w:sz w:val="24"/>
                <w:lang w:eastAsia="zh-CN"/>
              </w:rPr>
            </w:pPr>
            <w:r>
              <w:rPr>
                <w:rFonts w:ascii="宋体" w:cs="宋体" w:hint="eastAsia"/>
                <w:color w:val="000000"/>
                <w:sz w:val="24"/>
              </w:rPr>
              <w:t xml:space="preserve">              </w:t>
            </w:r>
            <w:r>
              <w:rPr>
                <w:rFonts w:ascii="宋体" w:cs="宋体" w:hint="eastAsia"/>
                <w:color w:val="000000"/>
                <w:sz w:val="24"/>
                <w:lang w:eastAsia="zh-CN"/>
              </w:rPr>
              <w:t>按期完工</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完成率100%</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社会效益</w:t>
            </w: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保障河堤沿线群众的生命财产安全</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w:t>
            </w:r>
            <w:r>
              <w:rPr>
                <w:rFonts w:ascii="宋体" w:cs="宋体" w:hint="eastAsia"/>
                <w:color w:val="000000"/>
                <w:sz w:val="24"/>
              </w:rPr>
              <w:t>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改善交通道路环境、防汛减灾</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4 .“</w:t>
      </w:r>
      <w:r>
        <w:rPr>
          <w:rFonts w:ascii="仿宋_GB2312" w:eastAsia="仿宋_GB2312" w:cs="仿宋_GB2312" w:hint="eastAsia"/>
          <w:sz w:val="32"/>
          <w:szCs w:val="32"/>
          <w:lang w:val="en-US" w:eastAsia="zh-CN"/>
        </w:rPr>
        <w:t>三老干部生活补助</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7.08</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7.08</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三老干部生活补助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河西乡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rPr>
            </w:pPr>
            <w:r>
              <w:rPr>
                <w:rFonts w:ascii="仿宋_GB2312" w:eastAsia="仿宋_GB2312" w:cs="仿宋_GB2312" w:hint="eastAsia"/>
                <w:sz w:val="32"/>
                <w:szCs w:val="32"/>
                <w:lang w:val="en-US" w:eastAsia="zh-CN"/>
              </w:rPr>
              <w:t>7.08</w:t>
            </w:r>
            <w:r>
              <w:rPr>
                <w:rFonts w:ascii="仿宋_GB2312" w:eastAsia="仿宋_GB2312" w:cs="仿宋_GB2312" w:hint="eastAsia"/>
                <w:sz w:val="32"/>
                <w:szCs w:val="32"/>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仿宋_GB2312" w:eastAsia="仿宋_GB2312" w:cs="仿宋_GB2312" w:hint="eastAsia"/>
                <w:sz w:val="32"/>
                <w:szCs w:val="32"/>
                <w:lang w:val="en-US" w:eastAsia="zh-CN"/>
              </w:rPr>
              <w:t>7.08</w:t>
            </w:r>
            <w:r>
              <w:rPr>
                <w:rFonts w:ascii="仿宋_GB2312" w:eastAsia="仿宋_GB2312" w:cs="仿宋_GB2312" w:hint="eastAsia"/>
                <w:sz w:val="32"/>
                <w:szCs w:val="32"/>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rPr>
            </w:pPr>
            <w:r>
              <w:rPr>
                <w:rFonts w:ascii="仿宋_GB2312" w:eastAsia="仿宋_GB2312" w:cs="仿宋_GB2312" w:hint="eastAsia"/>
                <w:sz w:val="32"/>
                <w:szCs w:val="32"/>
                <w:lang w:val="en-US" w:eastAsia="zh-CN"/>
              </w:rPr>
              <w:t>7.08</w:t>
            </w:r>
            <w:r>
              <w:rPr>
                <w:rFonts w:ascii="仿宋_GB2312" w:eastAsia="仿宋_GB2312" w:cs="仿宋_GB2312" w:hint="eastAsia"/>
                <w:sz w:val="32"/>
                <w:szCs w:val="32"/>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仿宋_GB2312" w:eastAsia="仿宋_GB2312" w:cs="仿宋_GB2312" w:hint="eastAsia"/>
                <w:sz w:val="32"/>
                <w:szCs w:val="32"/>
                <w:lang w:val="en-US" w:eastAsia="zh-CN"/>
              </w:rPr>
              <w:t>7.08</w:t>
            </w:r>
            <w:r>
              <w:rPr>
                <w:rFonts w:ascii="仿宋_GB2312" w:eastAsia="仿宋_GB2312" w:cs="仿宋_GB2312" w:hint="eastAsia"/>
                <w:sz w:val="32"/>
                <w:szCs w:val="32"/>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ascii="宋体" w:cs="宋体" w:hint="eastAsia"/>
                <w:color w:val="000000"/>
                <w:sz w:val="24"/>
                <w:lang w:val="en-US" w:eastAsia="zh-CN"/>
              </w:rPr>
              <w:t>切实保障三老干部生活的必要支出和正常运转，规范经费管理，有利于夯实党在基层执政的组织基础和群众基础，有利于提高基层组织引领发展、服务群众的能力和水平。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保障三老干部生活的必要支出和正常运转，夯实党在基层执政的组织基础和群众基础</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三老干部人数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sz w:val="24"/>
                <w:lang w:eastAsia="zh-CN"/>
              </w:rPr>
            </w:pPr>
            <w:r>
              <w:rPr>
                <w:rFonts w:ascii="宋体" w:cs="宋体" w:hint="eastAsia"/>
                <w:color w:val="000000"/>
                <w:sz w:val="24"/>
                <w:lang w:val="en-US" w:eastAsia="zh-CN"/>
              </w:rPr>
              <w:t>14人</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sz w:val="24"/>
              </w:rPr>
            </w:pPr>
            <w:r>
              <w:rPr>
                <w:rFonts w:ascii="宋体" w:cs="宋体" w:hint="eastAsia"/>
                <w:color w:val="000000"/>
                <w:sz w:val="24"/>
                <w:lang w:val="en-US" w:eastAsia="zh-CN"/>
              </w:rPr>
              <w:t>14人</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补助发放准确</w:t>
            </w:r>
            <w:r>
              <w:rPr>
                <w:rFonts w:ascii="宋体" w:cs="宋体" w:hint="eastAsia"/>
                <w:color w:val="000000"/>
                <w:sz w:val="24"/>
              </w:rPr>
              <w:t>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r>
              <w:rPr>
                <w:rFonts w:ascii="宋体" w:cs="宋体"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社会效益</w:t>
            </w: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政策知晓率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eastAsia="zh-CN"/>
              </w:rPr>
            </w:pPr>
            <w:r>
              <w:rPr>
                <w:rFonts w:ascii="宋体" w:cs="宋体" w:hint="eastAsia"/>
                <w:color w:val="000000"/>
                <w:sz w:val="24"/>
                <w:lang w:eastAsia="zh-CN"/>
              </w:rPr>
              <w:t>经济成本指标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三老干部每月补助标准</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400元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400元</w:t>
            </w:r>
          </w:p>
        </w:tc>
      </w:tr>
    </w:tbl>
    <w:p>
      <w:pPr>
        <w:rPr>
          <w:rFonts w:ascii="Calibri" w:hAnsi="Calibri"/>
        </w:rPr>
      </w:pPr>
    </w:p>
    <w:p>
      <w:pPr>
        <w:spacing w:line="600" w:lineRule="exact"/>
        <w:ind w:firstLineChars="200" w:firstLine="640"/>
        <w:outlineLvl w:val="1"/>
        <w:rPr>
          <w:rStyle w:val="2Char"/>
          <w:rFonts w:ascii="黑体" w:eastAsia="黑体"/>
        </w:rPr>
      </w:pPr>
      <w:bookmarkStart w:id="56" w:name="_Toc30171"/>
      <w:bookmarkStart w:id="57"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6"/>
      <w:bookmarkEnd w:id="57"/>
    </w:p>
    <w:p>
      <w:pPr>
        <w:spacing w:line="600" w:lineRule="exact"/>
        <w:ind w:firstLineChars="200" w:firstLine="640"/>
        <w:outlineLvl w:val="2"/>
        <w:rPr>
          <w:rFonts w:ascii="仿宋" w:eastAsia="仿宋"/>
          <w:color w:val="000000"/>
          <w:sz w:val="32"/>
          <w:szCs w:val="32"/>
        </w:rPr>
      </w:pPr>
      <w:bookmarkStart w:id="58" w:name="_Toc15377222"/>
      <w:r>
        <w:rPr>
          <w:rFonts w:ascii="仿宋" w:eastAsia="仿宋" w:hint="eastAsia"/>
          <w:b/>
          <w:color w:val="000000"/>
          <w:sz w:val="32"/>
          <w:szCs w:val="32"/>
        </w:rPr>
        <w:t>（一）机关运行经费支出情况</w:t>
      </w:r>
      <w:bookmarkEnd w:id="58"/>
    </w:p>
    <w:p>
      <w:pPr>
        <w:spacing w:line="600" w:lineRule="exact"/>
        <w:ind w:firstLineChars="200" w:firstLine="640"/>
        <w:rPr>
          <w:rFonts w:ascii="仿宋_GB2312" w:eastAsia="仿宋_GB2312" w:hint="eastAsia"/>
          <w:sz w:val="32"/>
          <w:szCs w:val="32"/>
        </w:rPr>
      </w:pPr>
      <w:bookmarkStart w:id="59" w:name="_Toc15377224"/>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ascii="Times New Roman" w:eastAsia="仿宋_GB2312" w:cs="Times New Roman" w:hAnsi="Times New Roman" w:hint="eastAsia"/>
          <w:sz w:val="32"/>
          <w:szCs w:val="32"/>
          <w:lang w:val="en-US" w:eastAsia="zh-CN"/>
        </w:rPr>
        <w:t>河西</w:t>
      </w:r>
      <w:r>
        <w:rPr>
          <w:rFonts w:eastAsia="仿宋_GB2312" w:cs="Times New Roman" w:hint="eastAsia"/>
          <w:sz w:val="32"/>
          <w:szCs w:val="32"/>
          <w:lang w:eastAsia="zh-CN"/>
        </w:rPr>
        <w:t>乡</w:t>
      </w:r>
      <w:r>
        <w:rPr>
          <w:rFonts w:ascii="Times New Roman" w:eastAsia="仿宋_GB2312" w:cs="Times New Roman" w:hAnsi="Times New Roman"/>
          <w:sz w:val="32"/>
          <w:szCs w:val="32"/>
        </w:rPr>
        <w:t>机关运行经费支出</w:t>
      </w:r>
      <w:r>
        <w:rPr>
          <w:rFonts w:eastAsia="仿宋_GB2312" w:cs="Times New Roman" w:hint="eastAsia"/>
          <w:sz w:val="32"/>
          <w:szCs w:val="32"/>
          <w:lang w:val="en-US" w:eastAsia="zh-CN"/>
        </w:rPr>
        <w:t>25.3</w:t>
      </w:r>
      <w:r>
        <w:rPr>
          <w:rFonts w:ascii="Times New Roman" w:eastAsia="仿宋_GB2312" w:cs="Times New Roman" w:hAnsi="Times New Roman"/>
          <w:sz w:val="32"/>
          <w:szCs w:val="32"/>
        </w:rPr>
        <w:t>万元，</w:t>
      </w:r>
      <w:r>
        <w:rPr>
          <w:rFonts w:ascii="仿宋_GB2312" w:eastAsia="仿宋_GB2312" w:hint="eastAsia"/>
          <w:sz w:val="32"/>
          <w:szCs w:val="32"/>
        </w:rPr>
        <w:t>比2021年增加</w:t>
      </w:r>
      <w:r>
        <w:rPr>
          <w:rFonts w:ascii="仿宋_GB2312" w:eastAsia="仿宋_GB2312"/>
          <w:sz w:val="32"/>
          <w:szCs w:val="32"/>
        </w:rPr>
        <w:t>25.3</w:t>
      </w:r>
      <w:r>
        <w:rPr>
          <w:rFonts w:ascii="仿宋_GB2312" w:eastAsia="仿宋_GB2312" w:hint="eastAsia"/>
          <w:sz w:val="32"/>
          <w:szCs w:val="32"/>
        </w:rPr>
        <w:t>万元，增长</w:t>
      </w:r>
      <w:r>
        <w:rPr>
          <w:rFonts w:ascii="仿宋_GB2312" w:eastAsia="仿宋_GB2312"/>
          <w:sz w:val="32"/>
          <w:szCs w:val="32"/>
        </w:rPr>
        <w:t>100</w:t>
      </w:r>
      <w:r>
        <w:rPr>
          <w:rFonts w:ascii="仿宋_GB2312" w:eastAsia="仿宋_GB2312" w:hint="eastAsia"/>
          <w:sz w:val="32"/>
          <w:szCs w:val="32"/>
        </w:rPr>
        <w:t>%</w:t>
      </w:r>
      <w:r>
        <w:rPr>
          <w:rFonts w:ascii="仿宋_GB2312" w:eastAsia="仿宋_GB2312"/>
          <w:sz w:val="32"/>
          <w:szCs w:val="32"/>
        </w:rPr>
        <w:t>，</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（二）国有资产占有使用情况</w:t>
      </w:r>
      <w:bookmarkEnd w:id="59"/>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辆，为日常工作及应急保障用车。</w:t>
      </w:r>
    </w:p>
    <w:p>
      <w:pPr>
        <w:widowControl/>
        <w:numPr>
          <w:ilvl w:val="0"/>
          <w:numId w:val="6"/>
        </w:numPr>
        <w:ind w:left="0"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政府采购支出情况   </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lang w:bidi="ar-SA"/>
        </w:rPr>
      </w:pPr>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pStyle w:val="26"/>
        <w:rPr>
          <w:rFonts w:ascii="仿宋_GB2312" w:eastAsia="仿宋_GB2312" w:hint="eastAsia"/>
          <w:color w:val="000000"/>
          <w:sz w:val="32"/>
          <w:szCs w:val="32"/>
        </w:rPr>
      </w:pPr>
    </w:p>
    <w:p>
      <w:pPr>
        <w:rPr>
          <w:rFonts w:ascii="仿宋_GB2312" w:eastAsia="仿宋_GB2312" w:hint="eastAsia"/>
          <w:color w:val="000000"/>
          <w:sz w:val="32"/>
          <w:szCs w:val="32"/>
        </w:rPr>
      </w:pPr>
    </w:p>
    <w:p>
      <w:pPr>
        <w:pStyle w:val="26"/>
        <w:rPr>
          <w:rFonts w:ascii="仿宋_GB2312" w:eastAsia="仿宋_GB2312" w:hint="eastAsia"/>
          <w:color w:val="000000"/>
          <w:sz w:val="32"/>
          <w:szCs w:val="32"/>
        </w:rPr>
      </w:pPr>
    </w:p>
    <w:p>
      <w:pPr>
        <w:rPr>
          <w:rFonts w:ascii="仿宋_GB2312" w:eastAsia="仿宋_GB2312" w:hint="eastAsia"/>
          <w:color w:val="000000"/>
          <w:sz w:val="32"/>
          <w:szCs w:val="32"/>
        </w:rPr>
      </w:pPr>
    </w:p>
    <w:p>
      <w:pPr>
        <w:pStyle w:val="26"/>
      </w:pPr>
    </w:p>
    <w:p>
      <w:pPr>
        <w:widowControl/>
        <w:tabs>
          <w:tab w:val="left" w:pos="0"/>
        </w:tabs>
        <w:ind w:leftChars="200" w:left="42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numPr>
          <w:ilvl w:val="0"/>
          <w:numId w:val="9"/>
        </w:numPr>
        <w:spacing w:line="600" w:lineRule="exact"/>
        <w:ind w:left="0" w:firstLineChars="150" w:firstLine="660"/>
        <w:jc w:val="center"/>
        <w:outlineLvl w:val="0"/>
        <w:rPr>
          <w:rStyle w:val="1Char"/>
          <w:rFonts w:ascii="黑体" w:eastAsia="黑体"/>
          <w:b w:val="0"/>
        </w:rPr>
      </w:pPr>
      <w:bookmarkStart w:id="60" w:name="_Toc15377225"/>
      <w:bookmarkStart w:id="61" w:name="_Toc30760"/>
      <w:r>
        <w:rPr>
          <w:rFonts w:ascii="黑体" w:eastAsia="黑体" w:hint="eastAsia"/>
          <w:b/>
          <w:color w:val="000000"/>
          <w:sz w:val="44"/>
          <w:szCs w:val="44"/>
        </w:rPr>
        <w:t>名</w:t>
      </w:r>
      <w:r>
        <w:rPr>
          <w:rStyle w:val="1Char"/>
          <w:rFonts w:ascii="黑体" w:eastAsia="黑体" w:hint="eastAsia"/>
          <w:b w:val="0"/>
        </w:rPr>
        <w:t>词解释</w:t>
      </w:r>
      <w:bookmarkEnd w:id="60"/>
      <w:bookmarkEnd w:id="61"/>
    </w:p>
    <w:p>
      <w:pPr>
        <w:pStyle w:val="31"/>
        <w:pageBreakBefore w:val="0"/>
        <w:widowControl w:val="0"/>
        <w:kinsoku/>
        <w:wordWrap/>
        <w:overflowPunct/>
        <w:topLinePunct w:val="0"/>
        <w:autoSpaceDE w:val="0"/>
        <w:autoSpaceDN w:val="0"/>
        <w:bidi w:val="0"/>
        <w:spacing w:line="576" w:lineRule="exact"/>
        <w:ind w:firstLineChars="200" w:firstLine="640"/>
        <w:outlineLvl w:val="1"/>
        <w:rPr>
          <w:rFonts w:ascii="Times New Roman" w:eastAsia="仿宋_GB2312" w:cs="Times New Roman" w:hAnsi="Times New Roman"/>
          <w:color w:val="auto"/>
          <w:sz w:val="32"/>
          <w:szCs w:val="32"/>
        </w:rPr>
      </w:pPr>
      <w:bookmarkStart w:id="62" w:name="_Toc15396614"/>
      <w:bookmarkStart w:id="63" w:name="_Toc15377226"/>
      <w:r>
        <w:rPr>
          <w:rFonts w:ascii="Times New Roman" w:eastAsia="仿宋_GB2312" w:cs="Times New Roman" w:hAnsi="Times New Roman"/>
          <w:color w:val="auto"/>
          <w:sz w:val="32"/>
          <w:szCs w:val="32"/>
        </w:rPr>
        <w:t>1.财政拨款收入：指单位从同级财政部门取得的财政预算资金。</w:t>
      </w:r>
    </w:p>
    <w:p>
      <w:pPr>
        <w:pStyle w:val="31"/>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31"/>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31"/>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31"/>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31"/>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31"/>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31"/>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outlineLvl w:val="1"/>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outlineLvl w:val="1"/>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31"/>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ascii="黑体" w:eastAsia="黑体"/>
          <w:color w:val="000000"/>
          <w:sz w:val="44"/>
          <w:szCs w:val="44"/>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ind w:firstLineChars="700" w:firstLine="3080"/>
        <w:jc w:val="both"/>
        <w:outlineLvl w:val="0"/>
        <w:rPr>
          <w:rFonts w:ascii="黑体" w:eastAsia="黑体" w:hint="eastAsia"/>
          <w:b/>
          <w:color w:val="000000"/>
          <w:sz w:val="44"/>
          <w:szCs w:val="44"/>
          <w:lang w:val="en-US" w:eastAsia="zh-CN"/>
        </w:rPr>
      </w:pPr>
      <w:r>
        <w:rPr>
          <w:rFonts w:ascii="黑体" w:eastAsia="黑体" w:hint="eastAsia"/>
          <w:b/>
          <w:color w:val="000000"/>
          <w:sz w:val="44"/>
          <w:szCs w:val="44"/>
          <w:lang w:val="en-US" w:eastAsia="zh-CN"/>
        </w:rPr>
        <w:t>第四部分</w:t>
      </w:r>
    </w:p>
    <w:p>
      <w:pPr>
        <w:rPr>
          <w:rFonts w:ascii="宋体" w:eastAsia="宋体" w:cs="宋体" w:hint="eastAsia"/>
          <w:sz w:val="44"/>
          <w:szCs w:val="44"/>
          <w:lang w:val="en-US" w:eastAsia="zh-CN"/>
        </w:rPr>
      </w:pPr>
    </w:p>
    <w:p>
      <w:pPr>
        <w:rPr>
          <w:rFonts w:ascii="宋体" w:eastAsia="宋体" w:cs="宋体" w:hint="eastAsia"/>
          <w:sz w:val="44"/>
          <w:szCs w:val="44"/>
          <w:lang w:val="en-US" w:eastAsia="zh-CN"/>
        </w:rPr>
      </w:pPr>
      <w:r>
        <w:rPr>
          <w:rFonts w:ascii="宋体" w:eastAsia="宋体" w:cs="宋体" w:hint="eastAsia"/>
          <w:sz w:val="44"/>
          <w:szCs w:val="44"/>
          <w:lang w:val="en-US" w:eastAsia="zh-CN"/>
        </w:rPr>
        <w:t>附件</w:t>
      </w:r>
    </w:p>
    <w:p>
      <w:pPr>
        <w:spacing w:line="600" w:lineRule="exact"/>
        <w:jc w:val="both"/>
        <w:outlineLvl w:val="0"/>
        <w:rPr>
          <w:rFonts w:ascii="黑体" w:eastAsia="黑体"/>
          <w:color w:val="000000"/>
          <w:sz w:val="44"/>
          <w:szCs w:val="44"/>
        </w:rPr>
      </w:pPr>
      <w:bookmarkStart w:id="64" w:name="_Toc15396619"/>
      <w:bookmarkStart w:id="65" w:name="_Toc15396618"/>
      <w:bookmarkEnd w:id="62"/>
      <w:bookmarkEnd w:id="63"/>
    </w:p>
    <w:p>
      <w:pPr>
        <w:keepNext w:val="0"/>
        <w:keepLines w:val="0"/>
        <w:pageBreakBefore w:val="0"/>
        <w:widowControl/>
        <w:tabs>
          <w:tab w:val="left" w:pos="1582"/>
          <w:tab w:val="center" w:pos="4212"/>
        </w:tabs>
        <w:bidi w:val="0"/>
        <w:spacing w:line="600" w:lineRule="exact"/>
        <w:contextualSpacing/>
        <w:jc w:val="left"/>
        <w:textAlignment w:val="auto"/>
        <w:rPr>
          <w:rFonts w:ascii="方正小标宋简体" w:eastAsia="方正小标宋简体" w:cs="方正小标宋简体" w:hint="eastAsia"/>
          <w:b/>
          <w:spacing w:val="34"/>
          <w:sz w:val="44"/>
          <w:szCs w:val="44"/>
          <w:shd w:val="clear" w:color="auto" w:fill="FFFFFF"/>
        </w:rPr>
      </w:pPr>
      <w:bookmarkEnd w:id="64"/>
      <w:bookmarkEnd w:id="65"/>
      <w:r>
        <w:rPr>
          <w:rFonts w:ascii="方正小标宋简体" w:eastAsia="方正小标宋简体" w:cs="方正小标宋简体" w:hint="eastAsia"/>
          <w:b/>
          <w:spacing w:val="34"/>
          <w:sz w:val="44"/>
          <w:szCs w:val="44"/>
          <w:shd w:val="clear" w:color="auto" w:fill="FFFFFF"/>
          <w:lang w:eastAsia="zh-CN"/>
        </w:rPr>
        <w:tab/>
        <w:tab/>
      </w:r>
      <w:r>
        <w:rPr>
          <w:rFonts w:ascii="方正小标宋简体" w:eastAsia="方正小标宋简体" w:cs="方正小标宋简体" w:hint="eastAsia"/>
          <w:b/>
          <w:spacing w:val="34"/>
          <w:sz w:val="44"/>
          <w:szCs w:val="44"/>
          <w:shd w:val="clear" w:color="auto" w:fill="FFFFFF"/>
        </w:rPr>
        <w:t>金川县</w:t>
      </w:r>
      <w:r>
        <w:rPr>
          <w:rFonts w:ascii="方正小标宋简体" w:eastAsia="方正小标宋简体" w:cs="方正小标宋简体" w:hint="eastAsia"/>
          <w:b/>
          <w:spacing w:val="34"/>
          <w:sz w:val="44"/>
          <w:szCs w:val="44"/>
          <w:shd w:val="clear" w:color="auto" w:fill="FFFFFF"/>
          <w:lang w:eastAsia="zh-CN"/>
        </w:rPr>
        <w:t>河西乡</w:t>
      </w:r>
      <w:r>
        <w:rPr>
          <w:rFonts w:ascii="方正小标宋简体" w:eastAsia="方正小标宋简体" w:cs="方正小标宋简体" w:hint="eastAsia"/>
          <w:b/>
          <w:spacing w:val="34"/>
          <w:sz w:val="44"/>
          <w:szCs w:val="44"/>
          <w:shd w:val="clear" w:color="auto" w:fill="FFFFFF"/>
        </w:rPr>
        <w:t>人民政府</w:t>
      </w:r>
    </w:p>
    <w:p>
      <w:pPr>
        <w:keepNext w:val="0"/>
        <w:keepLines w:val="0"/>
        <w:pageBreakBefore w:val="0"/>
        <w:widowControl/>
        <w:bidi w:val="0"/>
        <w:spacing w:line="600" w:lineRule="exact"/>
        <w:contextualSpacing/>
        <w:jc w:val="center"/>
        <w:textAlignment w:val="auto"/>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2022年部门整体支出绩效</w:t>
      </w:r>
    </w:p>
    <w:p>
      <w:pPr>
        <w:keepNext w:val="0"/>
        <w:keepLines w:val="0"/>
        <w:pageBreakBefore w:val="0"/>
        <w:widowControl/>
        <w:bidi w:val="0"/>
        <w:spacing w:line="600" w:lineRule="exact"/>
        <w:contextualSpacing/>
        <w:jc w:val="center"/>
        <w:textAlignment w:val="auto"/>
        <w:rPr>
          <w:rFonts w:hint="eastAsia"/>
          <w:sz w:val="44"/>
          <w:szCs w:val="44"/>
        </w:rPr>
      </w:pPr>
      <w:r>
        <w:rPr>
          <w:rFonts w:ascii="方正小标宋简体" w:eastAsia="方正小标宋简体" w:cs="方正小标宋简体" w:hint="eastAsia"/>
          <w:b/>
          <w:spacing w:val="34"/>
          <w:sz w:val="44"/>
          <w:szCs w:val="44"/>
          <w:shd w:val="clear" w:color="auto" w:fill="FFFFFF"/>
        </w:rPr>
        <w:t>评价报告</w:t>
      </w:r>
    </w:p>
    <w:p>
      <w:pPr>
        <w:keepNext w:val="0"/>
        <w:keepLines w:val="0"/>
        <w:pageBreakBefore w:val="0"/>
        <w:widowControl/>
        <w:kinsoku w:val="0"/>
        <w:overflowPunct w:val="0"/>
        <w:autoSpaceDE w:val="0"/>
        <w:autoSpaceDN w:val="0"/>
        <w:bidi w:val="0"/>
        <w:spacing w:line="600" w:lineRule="exact"/>
        <w:ind w:firstLineChars="200" w:firstLine="640"/>
        <w:jc w:val="left"/>
        <w:textAlignment w:val="auto"/>
        <w:rPr>
          <w:rFonts w:ascii="仿宋" w:eastAsia="仿宋" w:hint="eastAsia"/>
          <w:color w:val="000000"/>
          <w:sz w:val="32"/>
          <w:szCs w:val="32"/>
        </w:rPr>
      </w:pPr>
    </w:p>
    <w:p>
      <w:pPr>
        <w:keepNext w:val="0"/>
        <w:keepLines w:val="0"/>
        <w:pageBreakBefore w:val="0"/>
        <w:widowControl/>
        <w:kinsoku w:val="0"/>
        <w:overflowPunct w:val="0"/>
        <w:autoSpaceDE w:val="0"/>
        <w:autoSpaceDN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w:t>
      </w:r>
      <w:r>
        <w:rPr>
          <w:rFonts w:ascii="仿宋" w:eastAsia="仿宋" w:hint="eastAsia"/>
          <w:color w:val="000000"/>
          <w:sz w:val="32"/>
          <w:szCs w:val="32"/>
          <w:lang w:eastAsia="zh-CN"/>
        </w:rPr>
        <w:t>乡</w:t>
      </w:r>
      <w:r>
        <w:rPr>
          <w:rFonts w:ascii="仿宋" w:eastAsia="仿宋" w:hint="eastAsia"/>
          <w:color w:val="000000"/>
          <w:sz w:val="32"/>
          <w:szCs w:val="32"/>
        </w:rPr>
        <w:t>高度重视，庚即成立了绩效评价工作组负责开展202</w:t>
      </w:r>
      <w:r>
        <w:rPr>
          <w:rFonts w:ascii="仿宋" w:eastAsia="仿宋" w:hint="eastAsia"/>
          <w:color w:val="000000"/>
          <w:sz w:val="32"/>
          <w:szCs w:val="32"/>
          <w:lang w:val="en-US" w:eastAsia="zh-CN"/>
        </w:rPr>
        <w:t>2</w:t>
      </w:r>
      <w:r>
        <w:rPr>
          <w:rFonts w:ascii="仿宋" w:eastAsia="仿宋" w:hint="eastAsia"/>
          <w:color w:val="000000"/>
          <w:sz w:val="32"/>
          <w:szCs w:val="32"/>
        </w:rPr>
        <w:t>年财政支出绩效评价。</w:t>
      </w:r>
    </w:p>
    <w:p>
      <w:pPr>
        <w:keepNext w:val="0"/>
        <w:keepLines w:val="0"/>
        <w:pageBreakBefore w:val="0"/>
        <w:widowControl w:val="0"/>
        <w:bidi w:val="0"/>
        <w:spacing w:line="600" w:lineRule="exact"/>
        <w:textAlignment w:val="auto"/>
        <w:rPr>
          <w:rFonts w:hint="eastAsia"/>
          <w:lang w:val="zh-CN"/>
        </w:rPr>
      </w:pP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1"/>
        <w:rPr>
          <w:rFonts w:ascii="黑体" w:eastAsia="黑体" w:cs="黑体" w:hint="eastAsia"/>
          <w:b/>
          <w:bCs/>
          <w:color w:val="000000"/>
          <w:spacing w:val="34"/>
          <w:sz w:val="32"/>
          <w:szCs w:val="48"/>
          <w:lang w:val="zh-CN"/>
        </w:rPr>
      </w:pPr>
      <w:bookmarkStart w:id="66" w:name="_Toc20121"/>
      <w:bookmarkStart w:id="67" w:name="_Toc18089"/>
      <w:bookmarkStart w:id="68" w:name="_Toc13478"/>
      <w:r>
        <w:rPr>
          <w:rFonts w:ascii="黑体" w:eastAsia="黑体" w:cs="黑体" w:hint="eastAsia"/>
          <w:b/>
          <w:bCs/>
          <w:color w:val="000000"/>
          <w:spacing w:val="34"/>
          <w:sz w:val="32"/>
          <w:szCs w:val="48"/>
          <w:lang w:val="zh-CN"/>
        </w:rPr>
        <w:t>一、部门（单位）概况</w:t>
      </w:r>
      <w:bookmarkEnd w:id="66"/>
      <w:bookmarkEnd w:id="67"/>
      <w:bookmarkEnd w:id="68"/>
    </w:p>
    <w:p>
      <w:pPr>
        <w:keepNext w:val="0"/>
        <w:keepLines w:val="0"/>
        <w:pageBreakBefore w:val="0"/>
        <w:widowControl w:val="0"/>
        <w:bidi w:val="0"/>
        <w:snapToGrid w:val="0"/>
        <w:spacing w:line="600" w:lineRule="exact"/>
        <w:ind w:firstLineChars="200" w:firstLine="640"/>
        <w:textAlignment w:val="auto"/>
        <w:outlineLvl w:val="1"/>
        <w:rPr>
          <w:rFonts w:ascii="仿宋_GB2312" w:eastAsia="仿宋_GB2312" w:hint="eastAsia"/>
          <w:sz w:val="30"/>
          <w:szCs w:val="30"/>
        </w:rPr>
      </w:pPr>
      <w:bookmarkStart w:id="69" w:name="_Toc1399"/>
      <w:bookmarkStart w:id="70" w:name="_Toc30120"/>
      <w:r>
        <w:rPr>
          <w:rFonts w:ascii="楷体" w:eastAsia="楷体" w:cs="楷体" w:hint="eastAsia"/>
          <w:b/>
          <w:bCs/>
          <w:sz w:val="32"/>
          <w:szCs w:val="32"/>
        </w:rPr>
        <w:t>（一）机构和人员情况</w:t>
      </w:r>
      <w:bookmarkEnd w:id="69"/>
    </w:p>
    <w:p>
      <w:pPr>
        <w:keepNext w:val="0"/>
        <w:keepLines w:val="0"/>
        <w:pageBreakBefore w:val="0"/>
        <w:widowControl w:val="0"/>
        <w:bidi w:val="0"/>
        <w:snapToGrid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1、机构情况：我</w:t>
      </w:r>
      <w:r>
        <w:rPr>
          <w:rFonts w:ascii="仿宋" w:eastAsia="仿宋" w:hint="eastAsia"/>
          <w:color w:val="000000"/>
          <w:sz w:val="32"/>
          <w:szCs w:val="32"/>
          <w:lang w:eastAsia="zh-CN"/>
        </w:rPr>
        <w:t>乡2022年</w:t>
      </w:r>
      <w:r>
        <w:rPr>
          <w:rFonts w:ascii="仿宋" w:eastAsia="仿宋" w:hint="eastAsia"/>
          <w:color w:val="000000"/>
          <w:sz w:val="32"/>
          <w:szCs w:val="32"/>
        </w:rPr>
        <w:t>有</w:t>
      </w:r>
      <w:r>
        <w:rPr>
          <w:rFonts w:ascii="仿宋" w:eastAsia="仿宋" w:hint="eastAsia"/>
          <w:color w:val="000000"/>
          <w:sz w:val="32"/>
          <w:szCs w:val="32"/>
          <w:lang w:val="en-US" w:eastAsia="zh-CN"/>
        </w:rPr>
        <w:t>4</w:t>
      </w:r>
      <w:r>
        <w:rPr>
          <w:rFonts w:ascii="仿宋" w:eastAsia="仿宋" w:hint="eastAsia"/>
          <w:color w:val="000000"/>
          <w:sz w:val="32"/>
          <w:szCs w:val="32"/>
        </w:rPr>
        <w:t>个机构，</w:t>
      </w:r>
      <w:r>
        <w:rPr>
          <w:rFonts w:ascii="仿宋_GB2312" w:eastAsia="仿宋_GB2312" w:cs="仿宋_GB2312" w:hint="eastAsia"/>
          <w:bCs/>
          <w:sz w:val="32"/>
          <w:lang w:eastAsia="zh-CN"/>
        </w:rPr>
        <w:t>由乡人民政府办公室、乡人办公室、乡党委办公室、乡综合服务中心，设统一核算机构为</w:t>
      </w:r>
      <w:r>
        <w:rPr>
          <w:rFonts w:ascii="仿宋_GB2312" w:eastAsia="仿宋_GB2312" w:cs="仿宋_GB2312" w:hint="eastAsia"/>
          <w:bCs/>
          <w:sz w:val="32"/>
          <w:lang w:val="en-US" w:eastAsia="zh-CN"/>
        </w:rPr>
        <w:t>1个，独立编制机构1个，</w:t>
      </w:r>
      <w:r>
        <w:rPr>
          <w:rFonts w:ascii="仿宋" w:eastAsia="仿宋" w:hint="eastAsia"/>
          <w:color w:val="000000"/>
          <w:sz w:val="32"/>
          <w:szCs w:val="32"/>
        </w:rPr>
        <w:t>无增减变动。</w:t>
      </w:r>
    </w:p>
    <w:p>
      <w:pPr>
        <w:snapToGrid w:val="0"/>
        <w:spacing w:line="560" w:lineRule="exact"/>
        <w:ind w:firstLineChars="100" w:firstLine="320"/>
        <w:rPr>
          <w:rFonts w:ascii="仿宋_GB2312" w:eastAsia="仿宋_GB2312" w:cs="仿宋_GB2312"/>
          <w:bCs/>
          <w:sz w:val="32"/>
        </w:rPr>
      </w:pPr>
      <w:r>
        <w:rPr>
          <w:rFonts w:ascii="仿宋" w:eastAsia="仿宋" w:hint="eastAsia"/>
          <w:color w:val="000000"/>
          <w:sz w:val="32"/>
          <w:szCs w:val="32"/>
        </w:rPr>
        <w:t>　2、人员情况：</w:t>
      </w:r>
      <w:r>
        <w:rPr>
          <w:rFonts w:ascii="仿宋_GB2312" w:eastAsia="仿宋_GB2312" w:cs="仿宋_GB2312" w:hint="eastAsia"/>
          <w:bCs/>
          <w:sz w:val="32"/>
          <w:lang w:val="en-US" w:eastAsia="zh-CN"/>
        </w:rPr>
        <w:t>公务员编制19个，事业编制13个，机关工勤2个，</w:t>
      </w:r>
      <w:r>
        <w:rPr>
          <w:rFonts w:ascii="仿宋_GB2312" w:eastAsia="仿宋_GB2312" w:cs="仿宋_GB2312" w:hint="eastAsia"/>
          <w:bCs/>
          <w:sz w:val="32"/>
        </w:rPr>
        <w:t>较上年无变动。我</w:t>
      </w:r>
      <w:r>
        <w:rPr>
          <w:rFonts w:ascii="仿宋_GB2312" w:eastAsia="仿宋_GB2312" w:cs="仿宋_GB2312" w:hint="eastAsia"/>
          <w:bCs/>
          <w:sz w:val="32"/>
          <w:lang w:eastAsia="zh-CN"/>
        </w:rPr>
        <w:t>乡</w:t>
      </w:r>
      <w:r>
        <w:rPr>
          <w:rFonts w:ascii="仿宋_GB2312" w:eastAsia="仿宋_GB2312" w:cs="仿宋_GB2312" w:hint="eastAsia"/>
          <w:bCs/>
          <w:sz w:val="32"/>
        </w:rPr>
        <w:t>本年度年末实有人数为</w:t>
      </w:r>
      <w:r>
        <w:rPr>
          <w:rFonts w:ascii="仿宋_GB2312" w:eastAsia="仿宋_GB2312" w:cs="仿宋_GB2312" w:hint="eastAsia"/>
          <w:bCs/>
          <w:sz w:val="32"/>
          <w:lang w:val="en-US" w:eastAsia="zh-CN"/>
        </w:rPr>
        <w:t>38</w:t>
      </w:r>
      <w:r>
        <w:rPr>
          <w:rFonts w:ascii="仿宋_GB2312" w:eastAsia="仿宋_GB2312" w:cs="仿宋_GB2312" w:hint="eastAsia"/>
          <w:bCs/>
          <w:sz w:val="32"/>
        </w:rPr>
        <w:t>人，比上年</w:t>
      </w:r>
      <w:r>
        <w:rPr>
          <w:rFonts w:ascii="仿宋_GB2312" w:eastAsia="仿宋_GB2312" w:cs="仿宋_GB2312" w:hint="eastAsia"/>
          <w:bCs/>
          <w:sz w:val="32"/>
          <w:lang w:val="en-US" w:eastAsia="zh-CN"/>
        </w:rPr>
        <w:t>行政人员减少1</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事业人员无变动，由于编制空缺，有人员新进及调进</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0</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19人</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13</w:t>
      </w:r>
      <w:r>
        <w:rPr>
          <w:rFonts w:ascii="仿宋_GB2312" w:eastAsia="仿宋_GB2312" w:cs="仿宋_GB2312" w:hint="eastAsia"/>
          <w:bCs/>
          <w:sz w:val="32"/>
        </w:rPr>
        <w:t>人）。</w:t>
      </w:r>
    </w:p>
    <w:p>
      <w:pPr>
        <w:keepNext w:val="0"/>
        <w:keepLines w:val="0"/>
        <w:pageBreakBefore w:val="0"/>
        <w:widowControl w:val="0"/>
        <w:bidi w:val="0"/>
        <w:snapToGrid w:val="0"/>
        <w:spacing w:line="600" w:lineRule="exact"/>
        <w:textAlignment w:val="auto"/>
        <w:rPr>
          <w:rFonts w:ascii="仿宋" w:eastAsia="仿宋" w:hint="eastAsia"/>
          <w:color w:val="000000"/>
          <w:sz w:val="32"/>
          <w:szCs w:val="32"/>
        </w:rPr>
      </w:pP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1"/>
        <w:rPr>
          <w:rFonts w:ascii="黑体" w:eastAsia="黑体" w:cs="黑体" w:hint="eastAsia"/>
          <w:b/>
          <w:bCs/>
          <w:color w:val="000000"/>
          <w:spacing w:val="34"/>
          <w:sz w:val="32"/>
          <w:szCs w:val="32"/>
          <w:lang w:val="zh-CN"/>
        </w:rPr>
      </w:pPr>
      <w:bookmarkStart w:id="71" w:name="_Toc3827"/>
      <w:bookmarkStart w:id="72" w:name="_Toc13280"/>
      <w:bookmarkStart w:id="73" w:name="_Toc14408"/>
      <w:bookmarkEnd w:id="70"/>
      <w:r>
        <w:rPr>
          <w:rFonts w:ascii="黑体" w:eastAsia="黑体" w:cs="黑体" w:hint="eastAsia"/>
          <w:b/>
          <w:bCs/>
          <w:color w:val="000000"/>
          <w:spacing w:val="34"/>
          <w:sz w:val="32"/>
          <w:szCs w:val="32"/>
          <w:lang w:val="zh-CN"/>
        </w:rPr>
        <w:t>二、部门财政资金收支情况</w:t>
      </w:r>
      <w:bookmarkEnd w:id="71"/>
      <w:bookmarkEnd w:id="72"/>
      <w:bookmarkEnd w:id="73"/>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2"/>
        <w:rPr>
          <w:rFonts w:ascii="楷体" w:eastAsia="楷体" w:cs="楷体" w:hint="eastAsia"/>
          <w:b/>
          <w:bCs/>
          <w:color w:val="000000"/>
          <w:spacing w:val="34"/>
          <w:sz w:val="32"/>
          <w:szCs w:val="32"/>
          <w:lang w:val="zh-CN"/>
        </w:rPr>
      </w:pPr>
      <w:bookmarkStart w:id="74" w:name="_Toc912"/>
      <w:r>
        <w:rPr>
          <w:rFonts w:ascii="楷体" w:eastAsia="楷体" w:cs="楷体" w:hint="eastAsia"/>
          <w:b/>
          <w:bCs/>
          <w:color w:val="000000"/>
          <w:spacing w:val="34"/>
          <w:sz w:val="32"/>
          <w:szCs w:val="32"/>
          <w:lang w:val="zh-CN"/>
        </w:rPr>
        <w:t>（一）部门财政资金收入情况</w:t>
      </w:r>
      <w:bookmarkEnd w:id="74"/>
    </w:p>
    <w:p>
      <w:pPr>
        <w:keepNext w:val="0"/>
        <w:keepLines w:val="0"/>
        <w:pageBreakBefore w:val="0"/>
        <w:widowControl w:val="0"/>
        <w:bidi w:val="0"/>
        <w:snapToGrid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度财政拨款收入</w:t>
      </w:r>
      <w:r>
        <w:rPr>
          <w:rFonts w:ascii="仿宋" w:eastAsia="仿宋" w:hint="eastAsia"/>
          <w:color w:val="000000"/>
          <w:sz w:val="32"/>
          <w:szCs w:val="32"/>
          <w:lang w:val="en-US" w:eastAsia="zh-CN"/>
        </w:rPr>
        <w:t>973.88</w:t>
      </w:r>
      <w:r>
        <w:rPr>
          <w:rFonts w:ascii="仿宋" w:eastAsia="仿宋" w:hint="eastAsia"/>
          <w:color w:val="000000"/>
          <w:sz w:val="32"/>
          <w:szCs w:val="32"/>
        </w:rPr>
        <w:t>万元，其他收入0万元，上年结转收入0万元。相应安排支出预算</w:t>
      </w:r>
      <w:r>
        <w:rPr>
          <w:rFonts w:ascii="仿宋" w:eastAsia="仿宋" w:hint="eastAsia"/>
          <w:color w:val="000000"/>
          <w:sz w:val="32"/>
          <w:szCs w:val="32"/>
          <w:lang w:val="en-US" w:eastAsia="zh-CN"/>
        </w:rPr>
        <w:t>973.88</w:t>
      </w:r>
      <w:r>
        <w:rPr>
          <w:rFonts w:ascii="仿宋" w:eastAsia="仿宋" w:hint="eastAsia"/>
          <w:color w:val="000000"/>
          <w:sz w:val="32"/>
          <w:szCs w:val="32"/>
        </w:rPr>
        <w:t xml:space="preserve">万元。 </w:t>
      </w:r>
    </w:p>
    <w:p>
      <w:pPr>
        <w:keepNext w:val="0"/>
        <w:keepLines w:val="0"/>
        <w:pageBreakBefore w:val="0"/>
        <w:widowControl w:val="0"/>
        <w:bidi w:val="0"/>
        <w:snapToGrid w:val="0"/>
        <w:spacing w:line="600" w:lineRule="exact"/>
        <w:ind w:firstLineChars="200" w:firstLine="556"/>
        <w:textAlignment w:val="auto"/>
        <w:rPr>
          <w:rFonts w:ascii="仿宋" w:eastAsia="仿宋"/>
          <w:color w:val="000000"/>
          <w:sz w:val="32"/>
          <w:szCs w:val="32"/>
        </w:rPr>
      </w:pPr>
      <w:r>
        <w:rPr>
          <w:rFonts w:ascii="楷体" w:eastAsia="楷体" w:cs="楷体" w:hint="eastAsia"/>
          <w:b/>
          <w:bCs/>
          <w:color w:val="000000"/>
          <w:spacing w:val="34"/>
          <w:szCs w:val="32"/>
          <w:lang w:val="zh-CN"/>
        </w:rPr>
        <w:t>（</w:t>
      </w:r>
      <w:r>
        <w:rPr>
          <w:rFonts w:ascii="楷体" w:eastAsia="楷体" w:cs="楷体" w:hint="eastAsia"/>
          <w:b/>
          <w:bCs/>
          <w:color w:val="000000"/>
          <w:spacing w:val="34"/>
          <w:sz w:val="32"/>
          <w:szCs w:val="32"/>
          <w:lang w:val="zh-CN"/>
        </w:rPr>
        <w:t>二）部门财政资金支出情况</w:t>
      </w:r>
      <w:r>
        <w:rPr>
          <w:rFonts w:ascii="仿宋_GB2312" w:cs="宋体" w:hAnsi="仿宋_GB2312" w:hint="eastAsia"/>
          <w:color w:val="000000"/>
          <w:spacing w:val="34"/>
          <w:sz w:val="32"/>
          <w:szCs w:val="32"/>
          <w:lang w:val="zh-CN"/>
        </w:rPr>
        <w:t>。 </w:t>
      </w:r>
    </w:p>
    <w:p>
      <w:pPr>
        <w:spacing w:line="600" w:lineRule="exact"/>
        <w:ind w:firstLine="645"/>
        <w:rPr>
          <w:rFonts w:ascii="仿宋" w:eastAsia="仿宋" w:hint="eastAsia"/>
          <w:color w:val="000000"/>
          <w:sz w:val="32"/>
          <w:szCs w:val="32"/>
          <w:lang w:val="en-US" w:eastAsia="zh-CN"/>
        </w:rPr>
      </w:pPr>
      <w:bookmarkStart w:id="75" w:name="_Toc31292"/>
      <w:bookmarkStart w:id="76" w:name="_Toc18927"/>
      <w:bookmarkStart w:id="77" w:name="_Toc9555"/>
      <w:r>
        <w:rPr>
          <w:rFonts w:ascii="仿宋" w:eastAsia="仿宋" w:hint="eastAsia"/>
          <w:color w:val="000000"/>
          <w:sz w:val="32"/>
          <w:szCs w:val="32"/>
          <w:lang w:eastAsia="zh-CN"/>
        </w:rPr>
        <w:t>2022年</w:t>
      </w:r>
      <w:r>
        <w:rPr>
          <w:rFonts w:ascii="仿宋" w:eastAsia="仿宋" w:hint="eastAsia"/>
          <w:color w:val="000000"/>
          <w:sz w:val="32"/>
          <w:szCs w:val="32"/>
        </w:rPr>
        <w:t>一般公共预算财政拨款支出</w:t>
      </w:r>
      <w:r>
        <w:rPr>
          <w:rFonts w:ascii="仿宋" w:eastAsia="仿宋" w:hint="eastAsia"/>
          <w:bCs/>
          <w:color w:val="000000"/>
          <w:sz w:val="32"/>
          <w:szCs w:val="32"/>
          <w:lang w:val="en-US" w:eastAsia="zh-CN"/>
        </w:rPr>
        <w:t>973.88</w:t>
      </w:r>
      <w:r>
        <w:rPr>
          <w:rFonts w:ascii="仿宋" w:eastAsia="仿宋" w:hint="eastAsia"/>
          <w:color w:val="000000"/>
          <w:sz w:val="32"/>
          <w:szCs w:val="32"/>
        </w:rPr>
        <w:t>万元</w:t>
      </w:r>
      <w:r>
        <w:rPr>
          <w:rFonts w:ascii="仿宋" w:eastAsia="仿宋" w:hint="eastAsia"/>
          <w:color w:val="000000"/>
          <w:sz w:val="32"/>
          <w:szCs w:val="32"/>
          <w:lang w:eastAsia="zh-CN"/>
        </w:rPr>
        <w:t>。</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751.51</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632.05</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141.12</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155.15</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121.57</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39.32</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53.36</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24.97</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6.11</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56.55</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26.83</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7.08</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8.16</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75.61</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35.69</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1.26</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2.5</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2.87</w:t>
        <w:tab/>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3.55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维修（护）费</w:t>
      </w:r>
      <w:r>
        <w:rPr>
          <w:rFonts w:ascii="仿宋_GB2312" w:eastAsia="仿宋_GB2312" w:hint="eastAsia"/>
          <w:color w:val="000000"/>
          <w:sz w:val="32"/>
          <w:szCs w:val="32"/>
          <w:lang w:val="en-US" w:eastAsia="zh-CN"/>
        </w:rPr>
        <w:t>5.02万元、</w:t>
      </w:r>
      <w:r>
        <w:rPr>
          <w:rFonts w:ascii="仿宋_GB2312" w:eastAsia="仿宋_GB2312" w:hint="eastAsia"/>
          <w:color w:val="000000"/>
          <w:sz w:val="32"/>
          <w:szCs w:val="32"/>
        </w:rPr>
        <w:t>公务用车运行维护费</w:t>
      </w:r>
      <w:r>
        <w:rPr>
          <w:rFonts w:ascii="仿宋_GB2312" w:eastAsia="仿宋_GB2312" w:hint="eastAsia"/>
          <w:color w:val="000000"/>
          <w:sz w:val="32"/>
          <w:szCs w:val="32"/>
          <w:lang w:val="en-US" w:eastAsia="zh-CN"/>
        </w:rPr>
        <w:t>8.49</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 xml:space="preserve"> 项目支出为222.36元，主要包括：疫情防控经费5</w:t>
        <w:tab/>
        <w:t>万元、金川县地质灾害防治项目14.39万元、村级运维费及村干部生活补助195.69万元、三老干部生活补助7.08万元、人大会议费0.2万元。</w:t>
      </w:r>
    </w:p>
    <w:p>
      <w:pPr>
        <w:keepNext w:val="0"/>
        <w:keepLines w:val="0"/>
        <w:pageBreakBefore w:val="0"/>
        <w:widowControl/>
        <w:numPr>
          <w:ilvl w:val="0"/>
          <w:numId w:val="10"/>
        </w:numPr>
        <w:wordWrap w:val="0"/>
        <w:topLinePunct/>
        <w:bidi w:val="0"/>
        <w:adjustRightInd w:val="0"/>
        <w:snapToGrid w:val="0"/>
        <w:spacing w:line="600" w:lineRule="exact"/>
        <w:ind w:left="0" w:firstLineChars="200" w:firstLine="640"/>
        <w:jc w:val="left"/>
        <w:textAlignment w:val="auto"/>
        <w:outlineLvl w:val="1"/>
        <w:rPr>
          <w:rFonts w:ascii="黑体" w:eastAsia="黑体" w:cs="宋体" w:hint="eastAsia"/>
          <w:color w:val="000000"/>
          <w:kern w:val="0"/>
          <w:sz w:val="32"/>
          <w:szCs w:val="32"/>
          <w:shd w:val="clear" w:color="auto" w:fill="FFFFFF"/>
        </w:rPr>
      </w:pPr>
      <w:r>
        <w:rPr>
          <w:rFonts w:ascii="黑体" w:eastAsia="黑体" w:cs="宋体" w:hint="eastAsia"/>
          <w:color w:val="000000"/>
          <w:kern w:val="0"/>
          <w:sz w:val="32"/>
          <w:szCs w:val="32"/>
          <w:shd w:val="clear" w:color="auto" w:fill="FFFFFF"/>
        </w:rPr>
        <w:t>部门整体预算绩效管理情况</w:t>
      </w:r>
      <w:bookmarkEnd w:id="75"/>
      <w:bookmarkEnd w:id="76"/>
      <w:bookmarkEnd w:id="77"/>
    </w:p>
    <w:p>
      <w:pPr>
        <w:keepNext w:val="0"/>
        <w:keepLines w:val="0"/>
        <w:pageBreakBefore w:val="0"/>
        <w:widowControl/>
        <w:bidi w:val="0"/>
        <w:adjustRightInd w:val="0"/>
        <w:snapToGrid w:val="0"/>
        <w:spacing w:line="600" w:lineRule="exact"/>
        <w:ind w:firstLineChars="200" w:firstLine="640"/>
        <w:contextualSpacing/>
        <w:jc w:val="left"/>
        <w:textAlignment w:val="auto"/>
        <w:outlineLvl w:val="2"/>
        <w:rPr>
          <w:rFonts w:ascii="楷体" w:eastAsia="楷体" w:cs="楷体" w:hint="eastAsia"/>
          <w:b/>
          <w:bCs/>
          <w:color w:val="000000"/>
          <w:spacing w:val="34"/>
          <w:sz w:val="32"/>
          <w:szCs w:val="32"/>
          <w:lang w:val="zh-CN"/>
        </w:rPr>
      </w:pPr>
      <w:bookmarkStart w:id="78" w:name="_Toc6429"/>
      <w:r>
        <w:rPr>
          <w:rFonts w:ascii="楷体" w:eastAsia="楷体" w:cs="楷体" w:hint="eastAsia"/>
          <w:b/>
          <w:bCs/>
          <w:color w:val="000000"/>
          <w:kern w:val="0"/>
          <w:sz w:val="32"/>
          <w:szCs w:val="32"/>
          <w:shd w:val="clear" w:color="auto" w:fill="FFFFFF"/>
          <w:lang w:val="zh-CN"/>
        </w:rPr>
        <w:t>（一）部门预算管理</w:t>
      </w:r>
      <w:bookmarkEnd w:id="78"/>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严格按照县级部门预算编制通知和有关要求，按时完成基础库、项目库报送工作，按时完成</w:t>
      </w:r>
      <w:r>
        <w:rPr>
          <w:rFonts w:ascii="仿宋" w:eastAsia="仿宋" w:hint="eastAsia"/>
          <w:color w:val="000000"/>
          <w:sz w:val="32"/>
          <w:szCs w:val="32"/>
          <w:lang w:eastAsia="zh-CN"/>
        </w:rPr>
        <w:t>2022年</w:t>
      </w:r>
      <w:r>
        <w:rPr>
          <w:rFonts w:ascii="仿宋" w:eastAsia="仿宋" w:hint="eastAsia"/>
          <w:color w:val="000000"/>
          <w:sz w:val="32"/>
          <w:szCs w:val="32"/>
        </w:rPr>
        <w:t>预算编制工作，并按时提交部门预算草案。预算编制全面、科学。</w:t>
      </w:r>
      <w:r>
        <w:rPr>
          <w:rFonts w:ascii="仿宋" w:eastAsia="仿宋" w:hint="eastAsia"/>
          <w:color w:val="000000"/>
          <w:sz w:val="32"/>
          <w:szCs w:val="32"/>
          <w:lang w:eastAsia="zh-CN"/>
        </w:rPr>
        <w:t>2022年</w:t>
      </w:r>
      <w:r>
        <w:rPr>
          <w:rFonts w:ascii="仿宋" w:eastAsia="仿宋" w:hint="eastAsia"/>
          <w:color w:val="000000"/>
          <w:sz w:val="32"/>
          <w:szCs w:val="32"/>
        </w:rPr>
        <w:t>实际支出和部门决算一致，绩效目标填报及年末结余结转都是严格按照县财政局的要求认真完成，不存在违规违纪使用资金的情况并按时完成2022年预算编制工作，及时提交了部门预算草案。</w:t>
      </w:r>
    </w:p>
    <w:p>
      <w:pPr>
        <w:keepNext w:val="0"/>
        <w:keepLines w:val="0"/>
        <w:pageBreakBefore w:val="0"/>
        <w:widowControl/>
        <w:bidi w:val="0"/>
        <w:adjustRightInd w:val="0"/>
        <w:snapToGrid w:val="0"/>
        <w:spacing w:line="600" w:lineRule="exact"/>
        <w:ind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bookmarkStart w:id="79" w:name="_Toc22499"/>
      <w:r>
        <w:rPr>
          <w:rFonts w:ascii="楷体" w:eastAsia="楷体" w:cs="楷体" w:hint="eastAsia"/>
          <w:b/>
          <w:bCs/>
          <w:color w:val="000000"/>
          <w:kern w:val="0"/>
          <w:sz w:val="32"/>
          <w:szCs w:val="32"/>
          <w:shd w:val="clear" w:color="auto" w:fill="FFFFFF"/>
          <w:lang w:val="zh-CN"/>
        </w:rPr>
        <w:t>（二）执行管理情况</w:t>
      </w:r>
      <w:bookmarkEnd w:id="79"/>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hint="eastAsia"/>
          <w:color w:val="000000"/>
          <w:sz w:val="32"/>
          <w:szCs w:val="32"/>
          <w:lang w:eastAsia="zh-CN"/>
        </w:rPr>
        <w:t>2022年</w:t>
      </w:r>
      <w:r>
        <w:rPr>
          <w:rFonts w:ascii="仿宋" w:eastAsia="仿宋" w:hint="eastAsia"/>
          <w:color w:val="000000"/>
          <w:sz w:val="32"/>
          <w:szCs w:val="32"/>
        </w:rPr>
        <w:t>“三公”经费财政拨款支出决算为</w:t>
      </w:r>
      <w:r>
        <w:rPr>
          <w:rFonts w:ascii="仿宋" w:eastAsia="仿宋" w:hint="eastAsia"/>
          <w:color w:val="000000"/>
          <w:sz w:val="32"/>
          <w:szCs w:val="32"/>
          <w:lang w:val="en-US" w:eastAsia="zh-CN"/>
        </w:rPr>
        <w:t>8.49</w:t>
      </w:r>
      <w:r>
        <w:rPr>
          <w:rFonts w:ascii="仿宋" w:eastAsia="仿宋" w:hint="eastAsia"/>
          <w:color w:val="000000"/>
          <w:sz w:val="32"/>
          <w:szCs w:val="32"/>
        </w:rPr>
        <w:t>万元（公务用车运行维护费），完成预算100</w:t>
      </w:r>
      <w:r>
        <w:rPr>
          <w:rFonts w:ascii="仿宋" w:eastAsia="仿宋"/>
          <w:color w:val="000000"/>
          <w:sz w:val="32"/>
          <w:szCs w:val="32"/>
        </w:rPr>
        <w:t>%</w:t>
      </w:r>
      <w:r>
        <w:rPr>
          <w:rFonts w:ascii="仿宋" w:eastAsia="仿宋" w:hint="eastAsia"/>
          <w:color w:val="000000"/>
          <w:sz w:val="32"/>
          <w:szCs w:val="32"/>
        </w:rPr>
        <w:t>.</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“三公”经费预算</w:t>
      </w:r>
      <w:r>
        <w:rPr>
          <w:rFonts w:ascii="仿宋" w:eastAsia="仿宋" w:hint="eastAsia"/>
          <w:color w:val="000000"/>
          <w:sz w:val="32"/>
          <w:szCs w:val="32"/>
          <w:lang w:val="en-US" w:eastAsia="zh-CN"/>
        </w:rPr>
        <w:t>8.49</w:t>
      </w:r>
      <w:r>
        <w:rPr>
          <w:rFonts w:ascii="仿宋" w:eastAsia="仿宋" w:hint="eastAsia"/>
          <w:color w:val="000000"/>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2"/>
        <w:rPr>
          <w:rFonts w:ascii="楷体" w:eastAsia="楷体" w:cs="楷体" w:hint="eastAsia"/>
          <w:b/>
          <w:bCs/>
          <w:color w:val="000000"/>
          <w:spacing w:val="34"/>
          <w:sz w:val="32"/>
          <w:szCs w:val="48"/>
          <w:lang w:val="zh-CN"/>
        </w:rPr>
      </w:pPr>
      <w:bookmarkStart w:id="80" w:name="_Toc7445"/>
      <w:r>
        <w:rPr>
          <w:rFonts w:ascii="楷体" w:eastAsia="楷体" w:cs="楷体" w:hint="eastAsia"/>
          <w:b/>
          <w:bCs/>
          <w:color w:val="000000"/>
          <w:spacing w:val="34"/>
          <w:sz w:val="32"/>
          <w:szCs w:val="48"/>
          <w:lang w:val="zh-CN"/>
        </w:rPr>
        <w:t>（三）综合管理情况</w:t>
      </w:r>
      <w:bookmarkEnd w:id="80"/>
    </w:p>
    <w:p>
      <w:pPr>
        <w:keepNext w:val="0"/>
        <w:keepLines w:val="0"/>
        <w:pageBreakBefore w:val="0"/>
        <w:widowControl/>
        <w:wordWrap w:val="0"/>
        <w:topLinePunct/>
        <w:bidi w:val="0"/>
        <w:adjustRightInd w:val="0"/>
        <w:snapToGrid w:val="0"/>
        <w:spacing w:line="600" w:lineRule="exact"/>
        <w:ind w:firstLineChars="200" w:firstLine="776"/>
        <w:jc w:val="left"/>
        <w:textAlignment w:val="auto"/>
        <w:rPr>
          <w:rFonts w:ascii="仿宋_GB2312" w:eastAsia="仿宋_GB2312" w:cs="仿宋_GB2312" w:hint="eastAsia"/>
          <w:b/>
          <w:bCs/>
          <w:color w:val="000000"/>
          <w:spacing w:val="34"/>
          <w:sz w:val="32"/>
          <w:szCs w:val="48"/>
          <w:lang w:val="zh-CN"/>
        </w:rPr>
      </w:pPr>
      <w:r>
        <w:rPr>
          <w:rFonts w:ascii="仿宋_GB2312" w:eastAsia="仿宋_GB2312" w:cs="仿宋_GB2312" w:hint="eastAsia"/>
          <w:b/>
          <w:bCs/>
          <w:color w:val="000000"/>
          <w:spacing w:val="34"/>
          <w:sz w:val="32"/>
          <w:szCs w:val="48"/>
          <w:lang w:val="zh-CN"/>
        </w:rPr>
        <w:t>1、基础管理情况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所有国有资产纳入资产管理系统，及时准确上报并做好资产的管理工作。根据相关要求，单位使用预算资金基本符合相关的预算财务管理制度。我</w:t>
      </w:r>
      <w:r>
        <w:rPr>
          <w:rFonts w:ascii="仿宋" w:eastAsia="仿宋" w:hint="eastAsia"/>
          <w:color w:val="000000"/>
          <w:sz w:val="32"/>
          <w:szCs w:val="32"/>
          <w:lang w:eastAsia="zh-CN"/>
        </w:rPr>
        <w:t>乡</w:t>
      </w:r>
      <w:r>
        <w:rPr>
          <w:rFonts w:ascii="仿宋" w:eastAsia="仿宋" w:hint="eastAsia"/>
          <w:color w:val="000000"/>
          <w:sz w:val="32"/>
          <w:szCs w:val="32"/>
        </w:rPr>
        <w:t>在财政批复后20日内在指定网站公开预决算信息。按照相关要求进行绩效自我评价，按要求及时上报，对发现的问题提出整改措施，并整改落实到位。绩效评价及依法接受财政监督情况等。</w:t>
      </w:r>
    </w:p>
    <w:p>
      <w:pPr>
        <w:keepNext w:val="0"/>
        <w:keepLines w:val="0"/>
        <w:pageBreakBefore w:val="0"/>
        <w:widowControl/>
        <w:numPr>
          <w:ilvl w:val="0"/>
          <w:numId w:val="11"/>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政府债务情况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度我</w:t>
      </w:r>
      <w:r>
        <w:rPr>
          <w:rFonts w:ascii="仿宋" w:eastAsia="仿宋" w:hint="eastAsia"/>
          <w:color w:val="000000"/>
          <w:sz w:val="32"/>
          <w:szCs w:val="32"/>
          <w:lang w:eastAsia="zh-CN"/>
        </w:rPr>
        <w:t>乡</w:t>
      </w:r>
      <w:r>
        <w:rPr>
          <w:rFonts w:ascii="仿宋" w:eastAsia="仿宋" w:hint="eastAsia"/>
          <w:color w:val="000000"/>
          <w:sz w:val="32"/>
          <w:szCs w:val="32"/>
        </w:rPr>
        <w:t>债务合计0万元。</w:t>
      </w:r>
    </w:p>
    <w:p>
      <w:pPr>
        <w:keepNext w:val="0"/>
        <w:keepLines w:val="0"/>
        <w:pageBreakBefore w:val="0"/>
        <w:widowControl/>
        <w:numPr>
          <w:ilvl w:val="0"/>
          <w:numId w:val="11"/>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非税收入执收情况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度我</w:t>
      </w:r>
      <w:r>
        <w:rPr>
          <w:rFonts w:ascii="仿宋" w:eastAsia="仿宋" w:hint="eastAsia"/>
          <w:color w:val="000000"/>
          <w:sz w:val="32"/>
          <w:szCs w:val="32"/>
          <w:lang w:eastAsia="zh-CN"/>
        </w:rPr>
        <w:t>乡</w:t>
      </w:r>
      <w:r>
        <w:rPr>
          <w:rFonts w:ascii="仿宋" w:eastAsia="仿宋" w:hint="eastAsia"/>
          <w:color w:val="000000"/>
          <w:sz w:val="32"/>
          <w:szCs w:val="32"/>
        </w:rPr>
        <w:t xml:space="preserve">非税收入合计0元，上缴财政0万元。 </w:t>
      </w:r>
    </w:p>
    <w:p>
      <w:pPr>
        <w:keepNext w:val="0"/>
        <w:keepLines w:val="0"/>
        <w:pageBreakBefore w:val="0"/>
        <w:widowControl/>
        <w:numPr>
          <w:ilvl w:val="0"/>
          <w:numId w:val="11"/>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政府采购实施计划</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乡2022年</w:t>
      </w:r>
      <w:r>
        <w:rPr>
          <w:rFonts w:ascii="仿宋" w:eastAsia="仿宋" w:hint="eastAsia"/>
          <w:color w:val="000000"/>
          <w:sz w:val="32"/>
          <w:szCs w:val="32"/>
        </w:rPr>
        <w:t>未制定年度政府采购计划。</w:t>
      </w:r>
    </w:p>
    <w:p>
      <w:pPr>
        <w:keepNext w:val="0"/>
        <w:keepLines w:val="0"/>
        <w:pageBreakBefore w:val="0"/>
        <w:widowControl/>
        <w:numPr>
          <w:ilvl w:val="0"/>
          <w:numId w:val="11"/>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资产管理情况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乡</w:t>
      </w:r>
      <w:r>
        <w:rPr>
          <w:rFonts w:ascii="仿宋" w:eastAsia="仿宋" w:hint="eastAsia"/>
          <w:color w:val="000000"/>
          <w:sz w:val="32"/>
          <w:szCs w:val="32"/>
        </w:rPr>
        <w:t>已将国有资产纳入资产信息系统管理，并落实专人负责管理维护系统，资产变动已及时把资产变动情况录入系统</w:t>
      </w:r>
    </w:p>
    <w:p>
      <w:pPr>
        <w:keepNext w:val="0"/>
        <w:keepLines w:val="0"/>
        <w:pageBreakBefore w:val="0"/>
        <w:widowControl/>
        <w:wordWrap w:val="0"/>
        <w:topLinePunct/>
        <w:bidi w:val="0"/>
        <w:adjustRightInd w:val="0"/>
        <w:snapToGrid w:val="0"/>
        <w:spacing w:line="600" w:lineRule="exact"/>
        <w:ind w:left="840"/>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rPr>
        <w:t>6、</w:t>
      </w:r>
      <w:r>
        <w:rPr>
          <w:rFonts w:ascii="楷体_GB2312" w:eastAsia="楷体_GB2312" w:cs="楷体_GB2312" w:hint="eastAsia"/>
          <w:b/>
          <w:bCs/>
          <w:color w:val="000000"/>
          <w:spacing w:val="34"/>
          <w:sz w:val="32"/>
          <w:szCs w:val="32"/>
          <w:lang w:val="zh-CN"/>
        </w:rPr>
        <w:t>信息公开情况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乡2022年</w:t>
      </w:r>
      <w:r>
        <w:rPr>
          <w:rFonts w:ascii="仿宋" w:eastAsia="仿宋" w:hint="eastAsia"/>
          <w:color w:val="000000"/>
          <w:sz w:val="32"/>
          <w:szCs w:val="32"/>
        </w:rPr>
        <w:t>的预、决算编制说明、“三公”经费预、决算情况；按县财政要求由县财政统一公开，2022年的预算编制说明、“三公”经费预算情况在政府网站上已公开。</w:t>
      </w:r>
    </w:p>
    <w:p>
      <w:pPr>
        <w:keepNext w:val="0"/>
        <w:keepLines w:val="0"/>
        <w:pageBreakBefore w:val="0"/>
        <w:widowControl w:val="0"/>
        <w:numPr>
          <w:ilvl w:val="0"/>
          <w:numId w:val="6"/>
        </w:numPr>
        <w:bidi w:val="0"/>
        <w:spacing w:line="600" w:lineRule="exact"/>
        <w:ind w:left="0" w:firstLine="640"/>
        <w:textAlignment w:val="auto"/>
        <w:outlineLvl w:val="2"/>
        <w:rPr>
          <w:rFonts w:ascii="楷体_GB2312" w:eastAsia="楷体_GB2312" w:cs="楷体_GB2312" w:hint="eastAsia"/>
          <w:b/>
          <w:bCs/>
          <w:color w:val="000000"/>
          <w:spacing w:val="34"/>
          <w:sz w:val="32"/>
          <w:szCs w:val="48"/>
          <w:lang w:val="zh-CN"/>
        </w:rPr>
      </w:pPr>
      <w:bookmarkStart w:id="81" w:name="_Toc30116"/>
      <w:r>
        <w:rPr>
          <w:rFonts w:ascii="楷体_GB2312" w:eastAsia="楷体_GB2312" w:cs="楷体_GB2312" w:hint="eastAsia"/>
          <w:b/>
          <w:bCs/>
          <w:color w:val="000000"/>
          <w:spacing w:val="34"/>
          <w:sz w:val="32"/>
          <w:szCs w:val="48"/>
          <w:lang w:val="zh-CN"/>
        </w:rPr>
        <w:t>整体绩效 </w:t>
      </w:r>
      <w:bookmarkEnd w:id="81"/>
    </w:p>
    <w:p>
      <w:pPr>
        <w:keepNext w:val="0"/>
        <w:keepLines w:val="0"/>
        <w:pageBreakBefore w:val="0"/>
        <w:widowControl w:val="0"/>
        <w:tabs>
          <w:tab w:val="left" w:pos="0"/>
        </w:tabs>
        <w:bidi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乡</w:t>
      </w:r>
      <w:r>
        <w:rPr>
          <w:rFonts w:ascii="仿宋" w:eastAsia="仿宋" w:hint="eastAsia"/>
          <w:color w:val="000000"/>
          <w:sz w:val="32"/>
          <w:szCs w:val="32"/>
        </w:rPr>
        <w:t>对本部门实施了整体支出绩效评价 ，按照要求向金川县财政局按时报送自评报告，财政资金支出主要用于保障本部门机构正常运转、更好完成各项日常工作，社会群众对我</w:t>
      </w:r>
      <w:r>
        <w:rPr>
          <w:rFonts w:ascii="仿宋" w:eastAsia="仿宋" w:hint="eastAsia"/>
          <w:color w:val="000000"/>
          <w:sz w:val="32"/>
          <w:szCs w:val="32"/>
          <w:lang w:eastAsia="zh-CN"/>
        </w:rPr>
        <w:t>乡</w:t>
      </w:r>
      <w:r>
        <w:rPr>
          <w:rFonts w:ascii="仿宋" w:eastAsia="仿宋" w:hint="eastAsia"/>
          <w:color w:val="000000"/>
          <w:sz w:val="32"/>
          <w:szCs w:val="32"/>
        </w:rPr>
        <w:t>的工作总体较满意。</w:t>
      </w:r>
    </w:p>
    <w:p>
      <w:pPr>
        <w:keepNext w:val="0"/>
        <w:keepLines w:val="0"/>
        <w:pageBreakBefore w:val="0"/>
        <w:widowControl/>
        <w:wordWrap w:val="0"/>
        <w:topLinePunct/>
        <w:bidi w:val="0"/>
        <w:adjustRightInd w:val="0"/>
        <w:snapToGrid w:val="0"/>
        <w:spacing w:line="600" w:lineRule="exact"/>
        <w:ind w:firstLineChars="200" w:firstLine="776"/>
        <w:jc w:val="left"/>
        <w:textAlignment w:val="auto"/>
        <w:rPr>
          <w:rFonts w:ascii="楷体" w:eastAsia="楷体" w:cs="楷体" w:hint="eastAsia"/>
          <w:b/>
          <w:bCs/>
          <w:color w:val="000000"/>
          <w:spacing w:val="34"/>
          <w:sz w:val="32"/>
          <w:szCs w:val="48"/>
          <w:lang w:val="zh-CN"/>
        </w:rPr>
      </w:pPr>
      <w:r>
        <w:rPr>
          <w:rFonts w:ascii="楷体" w:eastAsia="楷体" w:cs="楷体" w:hint="eastAsia"/>
          <w:b/>
          <w:bCs/>
          <w:color w:val="000000"/>
          <w:spacing w:val="34"/>
          <w:sz w:val="32"/>
          <w:szCs w:val="48"/>
          <w:lang w:val="zh-CN"/>
        </w:rPr>
        <w:t>（二）绩效管理工作开展情况 </w:t>
      </w:r>
    </w:p>
    <w:p>
      <w:pPr>
        <w:keepNext w:val="0"/>
        <w:keepLines w:val="0"/>
        <w:pageBreakBefore w:val="0"/>
        <w:widowControl/>
        <w:wordWrap w:val="0"/>
        <w:topLinePunct/>
        <w:bidi w:val="0"/>
        <w:adjustRightInd w:val="0"/>
        <w:snapToGrid w:val="0"/>
        <w:spacing w:line="600" w:lineRule="exact"/>
        <w:ind w:firstLineChars="200" w:firstLine="556"/>
        <w:jc w:val="left"/>
        <w:textAlignment w:val="auto"/>
        <w:rPr>
          <w:rFonts w:ascii="仿宋_GB2312" w:eastAsia="仿宋_GB2312" w:cs="仿宋_GB2312" w:hint="eastAsia"/>
          <w:spacing w:val="34"/>
          <w:sz w:val="32"/>
          <w:szCs w:val="32"/>
          <w:lang w:val="zh-CN"/>
        </w:rPr>
      </w:pPr>
      <w:r>
        <w:rPr>
          <w:rFonts w:ascii="仿宋_GB2312" w:cs="宋体" w:hAnsi="仿宋_GB2312" w:hint="eastAsia"/>
          <w:color w:val="000000"/>
          <w:spacing w:val="34"/>
          <w:szCs w:val="32"/>
          <w:lang w:val="zh-CN"/>
        </w:rPr>
        <w:t xml:space="preserve">  </w:t>
      </w:r>
      <w:r>
        <w:rPr>
          <w:rFonts w:ascii="仿宋" w:eastAsia="仿宋" w:hint="eastAsia"/>
          <w:color w:val="000000"/>
          <w:sz w:val="32"/>
          <w:szCs w:val="32"/>
        </w:rPr>
        <w:t xml:space="preserve"> 根据金财监绩〔2022〕22号文件要求，我</w:t>
      </w:r>
      <w:r>
        <w:rPr>
          <w:rFonts w:ascii="仿宋" w:eastAsia="仿宋" w:hint="eastAsia"/>
          <w:color w:val="000000"/>
          <w:sz w:val="32"/>
          <w:szCs w:val="32"/>
          <w:lang w:eastAsia="zh-CN"/>
        </w:rPr>
        <w:t>乡</w:t>
      </w:r>
      <w:r>
        <w:rPr>
          <w:rFonts w:ascii="仿宋" w:eastAsia="仿宋" w:hint="eastAsia"/>
          <w:color w:val="000000"/>
          <w:sz w:val="32"/>
          <w:szCs w:val="32"/>
        </w:rPr>
        <w:t>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1"/>
        <w:rPr>
          <w:rFonts w:ascii="仿宋_GB2312" w:cs="宋体" w:hAnsi="仿宋_GB2312" w:hint="eastAsia"/>
          <w:color w:val="000000"/>
          <w:spacing w:val="34"/>
          <w:sz w:val="32"/>
          <w:szCs w:val="48"/>
          <w:lang w:val="zh-CN"/>
        </w:rPr>
      </w:pPr>
      <w:bookmarkStart w:id="82" w:name="_Toc21502"/>
      <w:bookmarkStart w:id="83" w:name="_Toc11636"/>
      <w:bookmarkStart w:id="84" w:name="_Toc23708"/>
      <w:r>
        <w:rPr>
          <w:rFonts w:ascii="黑体" w:eastAsia="黑体" w:cs="黑体" w:hint="eastAsia"/>
          <w:color w:val="000000"/>
          <w:spacing w:val="34"/>
          <w:sz w:val="32"/>
          <w:szCs w:val="48"/>
          <w:lang w:val="zh-CN"/>
        </w:rPr>
        <w:t>四、评价结论及建议</w:t>
      </w:r>
      <w:r>
        <w:rPr>
          <w:rFonts w:ascii="仿宋_GB2312" w:cs="宋体" w:hAnsi="仿宋_GB2312" w:hint="eastAsia"/>
          <w:color w:val="000000"/>
          <w:spacing w:val="34"/>
          <w:sz w:val="32"/>
          <w:szCs w:val="48"/>
          <w:lang w:val="zh-CN"/>
        </w:rPr>
        <w:t> </w:t>
      </w:r>
      <w:bookmarkEnd w:id="82"/>
      <w:bookmarkEnd w:id="83"/>
      <w:bookmarkEnd w:id="84"/>
    </w:p>
    <w:p>
      <w:pPr>
        <w:keepNext w:val="0"/>
        <w:keepLines w:val="0"/>
        <w:pageBreakBefore w:val="0"/>
        <w:widowControl w:val="0"/>
        <w:bidi w:val="0"/>
        <w:snapToGrid w:val="0"/>
        <w:spacing w:line="60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评价结论。根据部门支出绩效评价指标体系进行单位自评，圆满完成绩效自评工作，圆满完成中央、省、州委和县的重要工作、目标任务。</w:t>
      </w:r>
    </w:p>
    <w:p>
      <w:pPr>
        <w:keepNext w:val="0"/>
        <w:keepLines w:val="0"/>
        <w:pageBreakBefore w:val="0"/>
        <w:widowControl w:val="0"/>
        <w:bidi w:val="0"/>
        <w:spacing w:line="60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乡</w:t>
      </w:r>
      <w:r>
        <w:rPr>
          <w:rFonts w:ascii="仿宋" w:eastAsia="仿宋" w:hint="eastAsia"/>
          <w:color w:val="000000"/>
          <w:sz w:val="32"/>
          <w:szCs w:val="32"/>
        </w:rPr>
        <w:t>本次自评总分82。</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乡2022年</w:t>
      </w:r>
      <w:r>
        <w:rPr>
          <w:rFonts w:ascii="仿宋" w:eastAsia="仿宋" w:hint="eastAsia"/>
          <w:color w:val="000000"/>
          <w:sz w:val="32"/>
          <w:szCs w:val="32"/>
        </w:rPr>
        <w:t>部门支出与年初预算基本一致，达到预期绩效目标。但预算编制还需进一步细化，针对我会预算存在的问题，提出以下建议：</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w:t>
      </w:r>
      <w:r>
        <w:rPr>
          <w:rFonts w:ascii="仿宋" w:eastAsia="仿宋" w:hint="eastAsia"/>
          <w:color w:val="000000"/>
          <w:sz w:val="32"/>
          <w:szCs w:val="32"/>
          <w:lang w:val="en-US" w:eastAsia="zh-CN"/>
        </w:rPr>
        <w:t>和</w:t>
      </w:r>
      <w:r>
        <w:rPr>
          <w:rFonts w:ascii="仿宋" w:eastAsia="仿宋" w:hint="eastAsia"/>
          <w:color w:val="000000"/>
          <w:sz w:val="32"/>
          <w:szCs w:val="32"/>
        </w:rPr>
        <w:t xml:space="preserve">审批，合理压缩“三公”经费支出。 </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pageBreakBefore w:val="0"/>
        <w:widowControl w:val="0"/>
        <w:kinsoku/>
        <w:wordWrap/>
        <w:overflowPunct/>
        <w:topLinePunct w:val="0"/>
        <w:bidi w:val="0"/>
        <w:spacing w:line="576" w:lineRule="exact"/>
        <w:jc w:val="center"/>
        <w:outlineLvl w:val="0"/>
        <w:rPr>
          <w:rFonts w:ascii="仿宋" w:eastAsia="仿宋" w:hint="eastAsia"/>
          <w:color w:val="000000"/>
          <w:sz w:val="32"/>
          <w:szCs w:val="32"/>
        </w:rPr>
      </w:pPr>
    </w:p>
    <w:p>
      <w:pPr>
        <w:keepNext w:val="0"/>
        <w:keepLines w:val="0"/>
        <w:pageBreakBefore w:val="0"/>
        <w:widowControl/>
        <w:wordWrap w:val="0"/>
        <w:bidi w:val="0"/>
        <w:snapToGrid w:val="0"/>
        <w:spacing w:line="600" w:lineRule="exact"/>
        <w:jc w:val="left"/>
        <w:textAlignment w:val="auto"/>
        <w:rPr>
          <w:rFonts w:ascii="仿宋" w:eastAsia="仿宋" w:hint="eastAsia"/>
          <w:color w:val="000000"/>
          <w:sz w:val="32"/>
          <w:szCs w:val="32"/>
        </w:rPr>
      </w:pPr>
    </w:p>
    <w:p>
      <w:pPr>
        <w:pStyle w:val="26"/>
        <w:keepNext w:val="0"/>
        <w:keepLines w:val="0"/>
        <w:pageBreakBefore w:val="0"/>
        <w:widowControl w:val="0"/>
        <w:bidi w:val="0"/>
        <w:spacing w:line="600" w:lineRule="exact"/>
        <w:ind w:leftChars="47" w:left="298" w:hangingChars="95" w:hanging="199"/>
        <w:jc w:val="right"/>
        <w:textAlignment w:val="auto"/>
        <w:rPr>
          <w:rFonts w:hint="eastAsia"/>
        </w:rPr>
      </w:pPr>
    </w:p>
    <w:p>
      <w:pPr>
        <w:pStyle w:val="26"/>
        <w:keepNext w:val="0"/>
        <w:keepLines w:val="0"/>
        <w:pageBreakBefore w:val="0"/>
        <w:widowControl w:val="0"/>
        <w:bidi w:val="0"/>
        <w:spacing w:line="600" w:lineRule="exact"/>
        <w:ind w:leftChars="47" w:left="298" w:hangingChars="95" w:hanging="199"/>
        <w:jc w:val="right"/>
        <w:textAlignment w:val="auto"/>
        <w:rPr>
          <w:rFonts w:hint="eastAsia"/>
        </w:rPr>
      </w:pPr>
    </w:p>
    <w:p>
      <w:pPr>
        <w:pStyle w:val="26"/>
        <w:keepNext w:val="0"/>
        <w:keepLines w:val="0"/>
        <w:pageBreakBefore w:val="0"/>
        <w:widowControl w:val="0"/>
        <w:bidi w:val="0"/>
        <w:spacing w:line="600" w:lineRule="exact"/>
        <w:ind w:leftChars="47" w:left="298" w:hangingChars="95" w:hanging="199"/>
        <w:jc w:val="right"/>
        <w:textAlignment w:val="auto"/>
        <w:rPr>
          <w:rFonts w:hint="eastAsia"/>
        </w:rPr>
      </w:pPr>
    </w:p>
    <w:p>
      <w:pPr>
        <w:pStyle w:val="26"/>
        <w:keepNext w:val="0"/>
        <w:keepLines w:val="0"/>
        <w:pageBreakBefore w:val="0"/>
        <w:widowControl w:val="0"/>
        <w:bidi w:val="0"/>
        <w:spacing w:line="600" w:lineRule="exact"/>
        <w:ind w:leftChars="47" w:left="298" w:hangingChars="95" w:hanging="199"/>
        <w:jc w:val="right"/>
        <w:textAlignment w:val="auto"/>
        <w:rPr>
          <w:rFonts w:hint="eastAsia"/>
        </w:rPr>
      </w:pPr>
    </w:p>
    <w:p>
      <w:pPr>
        <w:pStyle w:val="26"/>
        <w:keepNext w:val="0"/>
        <w:keepLines w:val="0"/>
        <w:pageBreakBefore w:val="0"/>
        <w:widowControl w:val="0"/>
        <w:bidi w:val="0"/>
        <w:spacing w:line="600" w:lineRule="exact"/>
        <w:ind w:leftChars="47" w:left="403" w:right="640" w:hangingChars="95" w:hanging="304"/>
        <w:jc w:val="right"/>
        <w:textAlignment w:val="auto"/>
        <w:rPr>
          <w:rFonts w:ascii="仿宋" w:eastAsia="仿宋" w:hint="eastAsia"/>
          <w:color w:val="000000"/>
          <w:sz w:val="32"/>
          <w:szCs w:val="32"/>
        </w:rPr>
      </w:pPr>
      <w:r>
        <w:rPr>
          <w:rFonts w:ascii="仿宋" w:eastAsia="仿宋" w:hint="eastAsia"/>
          <w:color w:val="000000"/>
          <w:sz w:val="32"/>
          <w:szCs w:val="32"/>
          <w:lang w:val="en-US" w:eastAsia="zh-CN"/>
        </w:rPr>
        <w:t xml:space="preserve"> </w:t>
      </w:r>
    </w:p>
    <w:p>
      <w:pPr>
        <w:pStyle w:val="2"/>
        <w:rPr>
          <w:rFonts w:ascii="仿宋" w:eastAsia="仿宋"/>
          <w:color w:val="000000"/>
        </w:rPr>
      </w:pPr>
    </w:p>
    <w:sectPr>
      <w:footerReference w:type="default" r:id="rId7"/>
      <w:footerReference w:type="first" r:id="rId8"/>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EFF" w:usb1="C000785B"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宋体">
    <w:altName w:val="方正书宋_GBK"/>
    <w:panose1 w:val="02010600030101010101"/>
    <w:charset w:val="7A"/>
    <w:family w:val="auto"/>
    <w:pitch w:val="variable"/>
    <w:sig w:usb0="00000003" w:usb1="288F0000" w:usb2="0000000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楷体">
    <w:altName w:val="楷体_GB2312"/>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Calibri">
    <w:altName w:val="DejaVu Sans"/>
    <w:panose1 w:val="020F0502020204030204"/>
    <w:charset w:val="00"/>
    <w:family w:val="swiss"/>
    <w:pitch w:val="variable"/>
    <w:sig w:usb0="E4002EFF" w:usb1="C000247B" w:usb2="00000009" w:usb3="00000000" w:csb0="200001FF" w:csb1="00000000"/>
  </w:font>
  <w:font w:name="楷体_GB2312">
    <w:panose1 w:val="02010609030101010101"/>
    <w:charset w:val="86"/>
    <w:family w:val="modern"/>
    <w:pitch w:val="variable"/>
    <w:sig w:usb0="00000001" w:usb1="080E0000" w:usb2="00000000" w:usb3="00000000" w:csb0="00040000" w:csb1="00000000"/>
  </w:font>
  <w:font w:name="Cambria">
    <w:altName w:val="DejaVu Sans"/>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jc w:val="center"/>
    </w:pPr>
    <w:r>
      <w:rPr>
        <w:sz w:val="18"/>
      </w:rP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0</wp:posOffset>
              </wp:positionV>
              <wp:extent cx="266700" cy="644112"/>
              <wp:effectExtent l="0" t="0" r="0" b="0"/>
              <wp:wrapNone/>
              <wp:docPr id="1" name="文本框 8"/>
              <wp:cNvGraphicFramePr>
                <a:graphicFrameLocks noChangeAspect="0"/>
              </wp:cNvGraphicFramePr>
              <a:graphic>
                <a:graphicData uri="http://schemas.microsoft.com/office/word/2010/wordprocessingShape">
                  <wps:wsp>
                    <wps:cNvSpPr/>
                    <wps:spPr>
                      <a:xfrm rot="0">
                        <a:off x="0" y="0"/>
                        <a:ext cx="266700" cy="644112"/>
                      </a:xfrm>
                      <a:prstGeom prst="rect"/>
                      <a:noFill/>
                      <a:ln w="6350" cmpd="sng" cap="flat">
                        <a:noFill/>
                        <a:prstDash val="solid"/>
                        <a:round/>
                      </a:ln>
                    </wps:spPr>
                    <wps:txbx id="2">
                      <w:txbxContent>
                        <w:sdt>
                          <w:sdtPr>
                            <w:id w:val="500062143"/>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26"/>
                          </w:pPr>
                        </w:p>
                      </w:txbxContent>
                    </wps:txbx>
                    <wps:bodyPr vert="horz" wrap="none" lIns="0" tIns="0" rIns="0" bIns="0" anchor="t" anchorCtr="0" upright="0">
                      <a:spAutoFit/>
                    </wps:bodyPr>
                  </wps:wsp>
                </a:graphicData>
              </a:graphic>
            </wp:anchor>
          </w:drawing>
        </mc:Choice>
        <mc:Fallback>
          <w:pict>
            <v:shape type="#_x0000_t202" id="文本框 8 3" o:spid="_x0000_s3" filled="f" stroked="f" strokeweight="0.5pt" style="position:absolute;margin-left:0.0pt;margin-top:0.0pt;width:21.0pt;height:50.717503pt;z-index:23;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sdt>
                    <w:sdtPr>
                      <w:id w:val="500062143"/>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26"/>
                    </w:pPr>
                  </w:p>
                </w:txbxContent>
              </v:textbox>
            </v:shape>
          </w:pict>
        </mc:Fallback>
      </mc:AlternateContent>
    </w:r>
  </w:p>
  <w:p>
    <w:pPr>
      <w:pStyle w:val="19"/>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r>
      <w:rPr>
        <w:sz w:val="18"/>
      </w:rPr>
      <mc:AlternateContent>
        <mc:Choice Requires="wps">
          <w:drawing>
            <wp:anchor distT="0" distB="0" distL="114298" distR="114298" simplePos="0" relativeHeight="27"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4" name="文本框 11"/>
              <wp:cNvGraphicFramePr>
                <a:graphicFrameLocks noChangeAspect="0"/>
              </wp:cNvGraphicFramePr>
              <a:graphic>
                <a:graphicData uri="http://schemas.microsoft.com/office/word/2010/wordprocessingShape">
                  <wps:wsp>
                    <wps:cNvSpPr/>
                    <wps:spPr>
                      <a:xfrm rot="0">
                        <a:off x="0" y="0"/>
                        <a:ext cx="72694" cy="133159"/>
                      </a:xfrm>
                      <a:prstGeom prst="rect"/>
                      <a:noFill/>
                      <a:ln w="6350" cmpd="sng" cap="flat">
                        <a:noFill/>
                        <a:prstDash val="solid"/>
                        <a:round/>
                      </a:ln>
                    </wps:spPr>
                    <wps:txbx id="5">
                      <w:txbxContent>
                        <w:p>
                          <w:pPr>
                            <w:pStyle w:val="19"/>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11 6" o:spid="_x0000_s6" filled="f" stroked="f" strokeweight="0.5pt" style="position:absolute;margin-left:0.0pt;margin-top:0.0pt;width:5.7239957pt;height:10.484998pt;z-index:27;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r>
      <w:rPr>
        <w:sz w:val="18"/>
      </w:rPr>
      <mc:AlternateContent>
        <mc:Choice Requires="wps">
          <w:drawing>
            <wp:anchor distT="0" distB="0" distL="114298" distR="114298" simplePos="0" relativeHeight="31"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7" name="文本框 12"/>
              <wp:cNvGraphicFramePr>
                <a:graphicFrameLocks noChangeAspect="0"/>
              </wp:cNvGraphicFramePr>
              <a:graphic>
                <a:graphicData uri="http://schemas.microsoft.com/office/word/2010/wordprocessingShape">
                  <wps:wsp>
                    <wps:cNvSpPr/>
                    <wps:spPr>
                      <a:xfrm rot="0">
                        <a:off x="0" y="0"/>
                        <a:ext cx="72694" cy="133159"/>
                      </a:xfrm>
                      <a:prstGeom prst="rect"/>
                      <a:noFill/>
                      <a:ln w="6350" cmpd="sng" cap="flat">
                        <a:noFill/>
                        <a:prstDash val="solid"/>
                        <a:round/>
                      </a:ln>
                    </wps:spPr>
                    <wps:txbx id="8">
                      <w:txbxContent>
                        <w:p>
                          <w:pPr>
                            <w:pStyle w:val="19"/>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type="#_x0000_t202" id="文本框 12 9" o:spid="_x0000_s9" filled="f" stroked="f" strokeweight="0.5pt" style="position:absolute;margin-left:0.0pt;margin-top:0.0pt;width:5.7239957pt;height:10.484998pt;z-index:31;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r>
      <w:rPr>
        <w:sz w:val="18"/>
      </w:rPr>
      <mc:AlternateContent>
        <mc:Choice Requires="wps">
          <w:drawing>
            <wp:anchor distT="0" distB="0" distL="114298" distR="114298" simplePos="0" relativeHeight="37"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10" name="文本框 13"/>
              <wp:cNvGraphicFramePr>
                <a:graphicFrameLocks noChangeAspect="0"/>
              </wp:cNvGraphicFramePr>
              <a:graphic>
                <a:graphicData uri="http://schemas.microsoft.com/office/word/2010/wordprocessingShape">
                  <wps:wsp>
                    <wps:cNvSpPr/>
                    <wps:spPr>
                      <a:xfrm rot="0">
                        <a:off x="0" y="0"/>
                        <a:ext cx="72694" cy="133159"/>
                      </a:xfrm>
                      <a:prstGeom prst="rect"/>
                      <a:noFill/>
                      <a:ln w="6350" cmpd="sng" cap="flat">
                        <a:noFill/>
                        <a:prstDash val="solid"/>
                        <a:round/>
                      </a:ln>
                    </wps:spPr>
                    <wps:txbx id="11">
                      <w:txbxContent>
                        <w:p>
                          <w:pPr>
                            <w:pStyle w:val="19"/>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type="#_x0000_t202" id="文本框 13 12" o:spid="_x0000_s12" filled="f" stroked="f" strokeweight="0.5pt" style="position:absolute;margin-left:0.0pt;margin-top:0.0pt;width:5.7239957pt;height:10.484998pt;z-index:37;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ind w:firstLineChars="2300" w:firstLine="4140"/>
      <w:rPr>
        <w:rFonts w:eastAsia="宋体" w:hint="eastAsia"/>
        <w:lang w:eastAsia="zh-CN"/>
      </w:rPr>
    </w:pPr>
    <w:r>
      <w:rPr>
        <w:sz w:val="18"/>
      </w:rPr>
      <mc:AlternateContent>
        <mc:Choice Requires="wps">
          <w:drawing>
            <wp:anchor distT="0" distB="0" distL="114298" distR="114298" simplePos="0" relativeHeight="39" behindDoc="0" locked="0" layoutInCell="1" hidden="0" allowOverlap="1">
              <wp:simplePos x="0" y="0"/>
              <wp:positionH relativeFrom="margin">
                <wp:align>center</wp:align>
              </wp:positionH>
              <wp:positionV relativeFrom="paragraph">
                <wp:posOffset>0</wp:posOffset>
              </wp:positionV>
              <wp:extent cx="145389" cy="133159"/>
              <wp:effectExtent l="0" t="0" r="0" b="0"/>
              <wp:wrapNone/>
              <wp:docPr id="13" name="文本框 15"/>
              <wp:cNvGraphicFramePr>
                <a:graphicFrameLocks noChangeAspect="0"/>
              </wp:cNvGraphicFramePr>
              <a:graphic>
                <a:graphicData uri="http://schemas.microsoft.com/office/word/2010/wordprocessingShape">
                  <wps:wsp>
                    <wps:cNvSpPr/>
                    <wps:spPr>
                      <a:xfrm rot="0">
                        <a:off x="0" y="0"/>
                        <a:ext cx="145389" cy="133159"/>
                      </a:xfrm>
                      <a:prstGeom prst="rect"/>
                      <a:noFill/>
                      <a:ln w="6350" cmpd="sng" cap="flat">
                        <a:noFill/>
                        <a:prstDash val="solid"/>
                        <a:round/>
                      </a:ln>
                    </wps:spPr>
                    <wps:txbx id="14">
                      <w:txbxContent>
                        <w:p>
                          <w:pPr>
                            <w:pStyle w:val="19"/>
                            <w:tabs>
                              <w:tab w:val="center" w:pos="4153"/>
                              <w:tab w:val="right" w:pos="8306"/>
                            </w:tabs>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type="#_x0000_t202" id="文本框 15 15" o:spid="_x0000_s15" filled="f" stroked="f" strokeweight="0.5pt" style="position:absolute;margin-left:0.0pt;margin-top:0.0pt;width:11.447991pt;height:10.485009pt;z-index:39;mso-position-horizontal:center;mso-position-horizontal-relative:margin;mso-position-vertical:absolute;mso-wrap-distance-left:8.999863pt;mso-wrap-distance-right:8.999863pt;mso-wrap-style:none;">
              <v:stroke color="#000000"/>
              <v:textbox id="857"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3F1D145"/>
    <w:multiLevelType w:val="singleLevel"/>
    <w:tmpl w:val="C3F1D145"/>
    <w:lvl w:ilvl="0">
      <w:start w:val="1"/>
      <w:numFmt w:val="decimal"/>
      <w:lvlRestart w:val="0"/>
      <w:lvlText w:val="%1."/>
      <w:lvlJc w:val="left"/>
      <w:pPr>
        <w:tabs>
          <w:tab w:val="num" w:pos="0"/>
        </w:tabs>
        <w:ind w:left="0" w:hanging="0"/>
      </w:p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3">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4">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5">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6">
    <w:nsid w:val="747B1FF4"/>
    <w:multiLevelType w:val="singleLevel"/>
    <w:tmpl w:val="747B1FF4"/>
    <w:lvl w:ilvl="0">
      <w:start w:val="2"/>
      <w:numFmt w:val="decimal"/>
      <w:lvlRestart w:val="0"/>
      <w:lvlText w:val="%1."/>
      <w:lvlJc w:val="left"/>
      <w:pPr>
        <w:tabs>
          <w:tab w:val="num" w:pos="0"/>
        </w:tabs>
        <w:ind w:left="0" w:hanging="0"/>
      </w:pPr>
    </w:lvl>
  </w:abstractNum>
  <w:abstractNum w:abstractNumId="7">
    <w:nsid w:val="386D6DF3"/>
    <w:multiLevelType w:val="singleLevel"/>
    <w:tmpl w:val="386D6DF3"/>
    <w:lvl w:ilvl="0">
      <w:start w:val="3"/>
      <w:numFmt w:val="decimal"/>
      <w:lvlRestart w:val="0"/>
      <w:lvlText w:val="%1."/>
      <w:lvlJc w:val="left"/>
      <w:pPr>
        <w:tabs>
          <w:tab w:val="num" w:pos="0"/>
        </w:tabs>
        <w:ind w:left="0" w:hanging="0"/>
      </w:pPr>
    </w:lvl>
  </w:abstractNum>
  <w:abstractNum w:abstractNumId="8">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9">
    <w:nsid w:val="DF753C88"/>
    <w:multiLevelType w:val="singleLevel"/>
    <w:tmpl w:val="DF753C88"/>
    <w:lvl w:ilvl="0">
      <w:start w:val="3"/>
      <w:numFmt w:val="chineseCounting"/>
      <w:lvlRestart w:val="0"/>
      <w:suff w:val="nothing"/>
      <w:lvlText w:val="%1、"/>
      <w:lvlJc w:val="left"/>
      <w:pPr>
        <w:tabs>
          <w:tab w:val="num" w:pos="0"/>
        </w:tabs>
        <w:ind w:left="0" w:hanging="0"/>
      </w:pPr>
      <w:rPr>
        <w:rFonts w:hint="eastAsia"/>
      </w:rPr>
    </w:lvl>
  </w:abstractNum>
  <w:abstractNum w:abstractNumId="10">
    <w:nsid w:val="FD209342"/>
    <w:multiLevelType w:val="singleLevel"/>
    <w:tmpl w:val="FD209342"/>
    <w:lvl w:ilvl="0">
      <w:start w:val="2"/>
      <w:numFmt w:val="decimal"/>
      <w:lvlRestart w:val="0"/>
      <w:suff w:val="nothing"/>
      <w:lvlText w:val="%1、"/>
      <w:lvlJc w:val="left"/>
      <w:pPr>
        <w:tabs>
          <w:tab w:val="num" w:pos="0"/>
        </w:tabs>
        <w:ind w:left="61" w:hanging="61"/>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mY5MWM4NWJhZGMyNWVhZDBmNTBjYWFlNTNlYzBiNz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1"/>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next w:val="21"/>
    <w:pPr>
      <w:widowControl w:val="0"/>
      <w:spacing w:before="0" w:beforeAutospacing="1" w:after="0" w:afterAutospacing="1"/>
      <w:ind w:left="0" w:right="0"/>
      <w:jc w:val="left"/>
    </w:pPr>
    <w:rPr>
      <w:rFonts w:ascii="Times New Roman" w:eastAsia="宋体" w:cs="Times New Roman" w:hAnsi="Times New Roman"/>
      <w:kern w:val="0"/>
      <w:sz w:val="24"/>
      <w:szCs w:val="24"/>
      <w:lang w:val="en-US" w:eastAsia="zh-CN" w:bidi="ar-SA"/>
    </w:rPr>
  </w:style>
  <w:style w:type="character" w:styleId="24">
    <w:name w:val="Strong"/>
    <w:basedOn w:val="10"/>
    <w:rPr>
      <w:b/>
    </w:rPr>
  </w:style>
  <w:style w:type="character" w:styleId="25">
    <w:name w:val="Hyperlink"/>
    <w:basedOn w:val="10"/>
    <w:rPr>
      <w:color w:val="0000FF"/>
      <w:u w:val="single"/>
    </w:rPr>
  </w:style>
  <w:style w:type="paragraph" w:customStyle="1" w:styleId="26">
    <w:name w:val="table of figures"/>
    <w:basedOn w:val="0"/>
    <w:next w:val="0"/>
    <w:pPr>
      <w:spacing w:before="100" w:beforeAutospacing="1" w:after="100" w:afterAutospacing="1"/>
      <w:ind w:leftChars="200" w:left="400" w:hangingChars="200" w:hanging="200"/>
    </w:pPr>
  </w:style>
  <w:style w:type="paragraph" w:customStyle="1" w:styleId="27">
    <w:name w:val="图表目录1"/>
    <w:basedOn w:val="0"/>
    <w:next w:val="0"/>
    <w:pPr>
      <w:spacing w:beforeAutospacing="1" w:afterAutospacing="1"/>
      <w:ind w:leftChars="200" w:left="400" w:hangingChars="200" w:hanging="200"/>
    </w:p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普通(网站) Char"/>
    <w:basedOn w:val="0"/>
    <w:pPr>
      <w:spacing w:before="100" w:beforeAutospacing="1" w:after="100" w:afterAutospacing="1"/>
    </w:pPr>
  </w:style>
  <w:style w:type="character" w:customStyle="1" w:styleId="35">
    <w:name w:val="NormalCharacter"/>
    <w:rPr>
      <w:rFonts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chart" Target="charts/chart1.xml"/><Relationship Id="rId10" Type="http://schemas.openxmlformats.org/officeDocument/2006/relationships/chart" Target="charts/chart2.xml"/><Relationship Id="rId11" Type="http://schemas.openxmlformats.org/officeDocument/2006/relationships/chart" Target="charts/chart3.xml"/><Relationship Id="rId12" Type="http://schemas.openxmlformats.org/officeDocument/2006/relationships/chart" Target="charts/chart4.xml"/><Relationship Id="rId13" Type="http://schemas.openxmlformats.org/officeDocument/2006/relationships/chart" Target="charts/chart5.xml"/><Relationship Id="rId14" Type="http://schemas.openxmlformats.org/officeDocument/2006/relationships/styles" Target="styles.xml"/><Relationship Id="rId15" Type="http://schemas.openxmlformats.org/officeDocument/2006/relationships/numbering" Target="numbering.xml"/><Relationship Id="rId1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78773"/>
          <c:y val="0.26799908"/>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'Sheet1'!$A$2:$A$3</c:f>
              <c:numCache>
                <c:ptCount val="2"/>
              </c:numCache>
            </c:numRef>
          </c:cat>
          <c:val>
            <c:numRef>
              <c:f>'Sheet1'!$B$2:$B$3</c:f>
              <c:numCache>
                <c:formatCode>General</c:formatCode>
                <c:ptCount val="2"/>
                <c:pt idx="0">
                  <c:v>640.49</c:v>
                </c:pt>
                <c:pt idx="1">
                  <c:v>973.88</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'Sheet1'!$A$2:$A$3</c:f>
              <c:numCache>
                <c:ptCount val="2"/>
              </c:numCache>
            </c:numRef>
          </c:cat>
          <c:val>
            <c:numRef>
              <c:f>'Sheet1'!$C$2:$C$3</c:f>
              <c:numCache>
                <c:formatCode>General</c:formatCode>
                <c:ptCount val="2"/>
                <c:pt idx="0">
                  <c:v>640.49</c:v>
                </c:pt>
                <c:pt idx="1">
                  <c:v>973.88</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973.88</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10</a:t>
                    </a:r>
                    <a:r>
                      <a:rPr lang="zh-CN" sz="1000" b="0" i="0" u="none" strike="noStrike" baseline="0">
                        <a:solidFill>
                          <a:srgbClr val="000000"/>
                        </a:solidFill>
                        <a:latin typeface="AR PL UKai CN"/>
                        <a:ea typeface="AR PL UKai CN"/>
                        <a:cs typeface="Lucida Sans"/>
                      </a:rPr>
                      <a:t>0</a:t>
                    </a:r>
                    <a:r>
                      <a:rPr lang="zh-CN" sz="1000" b="0" i="0" u="none" strike="noStrike" baseline="0">
                        <a:solidFill>
                          <a:srgbClr val="000000"/>
                        </a:solidFill>
                        <a:latin typeface="AR PL UKai CN"/>
                        <a:ea typeface="AR PL UKai CN"/>
                        <a:cs typeface="Lucida Sans"/>
                      </a:rPr>
                      <a:t>%</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1127.72</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85553974"/>
                  <c:y val="-0.06862676"/>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751.51</a:t>
                    </a:r>
                  </a:p>
                </c:rich>
              </c:tx>
              <c:showLegendKey val="0"/>
              <c:showVal val="1"/>
              <c:showCatName val="0"/>
              <c:showSerName val="0"/>
              <c:showPercent val="0"/>
              <c:showBubbleSize val="0"/>
            </c:dLbl>
            <c:dLbl>
              <c:idx val="1"/>
              <c:layout>
                <c:manualLayout>
                  <c:x val="0.08796197"/>
                  <c:y val="0.14176829"/>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222.36</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868.36</c:v>
                </c:pt>
                <c:pt idx="1">
                  <c:v>410.83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ser>
        <c:ser>
          <c:idx val="1"/>
          <c:order val="1"/>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(5)'!$B$1</c:f>
              <c:strCache>
                <c:ptCount val="1"/>
                <c:pt idx="0">
                  <c:v>支出结构表</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Lbls>
            <c:showLegendKey val="0"/>
            <c:showVal val="0"/>
            <c:showCatName val="0"/>
            <c:showSerName val="0"/>
            <c:showPercent val="0"/>
            <c:showBubbleSize val="0"/>
            <c:showLeaderLines val="0"/>
          </c:dLbls>
          <c:cat>
            <c:strRef>
              <c:f>'Sheet1 (5)'!$A$2:$A$7</c:f>
              <c:strCache>
                <c:ptCount val="6"/>
                <c:pt idx="0">
                  <c:v>一般公共服务支出</c:v>
                </c:pt>
                <c:pt idx="1">
                  <c:v>社会保障和就业支出</c:v>
                </c:pt>
                <c:pt idx="2">
                  <c:v>卫生健康支出</c:v>
                </c:pt>
                <c:pt idx="3">
                  <c:v>农林水支出</c:v>
                </c:pt>
                <c:pt idx="4">
                  <c:v>住房保障支出</c:v>
                </c:pt>
                <c:pt idx="5">
                  <c:v>其他支出</c:v>
                </c:pt>
              </c:strCache>
            </c:strRef>
          </c:cat>
          <c:val>
            <c:numRef>
              <c:f>'Sheet1 (5)'!$B$2:$B$7</c:f>
              <c:numCache>
                <c:formatCode>General</c:formatCode>
                <c:ptCount val="6"/>
                <c:pt idx="0">
                  <c:v>374.33</c:v>
                </c:pt>
                <c:pt idx="1">
                  <c:v>78.33</c:v>
                </c:pt>
                <c:pt idx="2">
                  <c:v>38.91</c:v>
                </c:pt>
                <c:pt idx="3">
                  <c:v>414.09</c:v>
                </c:pt>
                <c:pt idx="4">
                  <c:v>56.55</c:v>
                </c:pt>
                <c:pt idx="5">
                  <c:v>11.54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18</TotalTime>
  <Application>Yozo_Office27021597764231179</Application>
  <Pages>1</Pages>
  <Words>13</Words>
  <Characters>22</Characters>
  <Lines>2</Lines>
  <Paragraphs>0</Paragraphs>
  <CharactersWithSpaces>22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2023-08-30T01:21:00Z</cp:lastPrinted>
  <dcterms:created xsi:type="dcterms:W3CDTF">2021-09-18T03:28:00Z</dcterms:created>
  <dcterms:modified xsi:type="dcterms:W3CDTF">2023-09-22T01:01:43Z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6CC32755D4A84C77BF566CE39432B55E_13</vt:lpwstr>
  </property>
</Properties>
</file>