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164139">
      <w:pPr>
        <w:spacing w:line="600" w:lineRule="exact"/>
        <w:jc w:val="center"/>
        <w:outlineLvl w:val="0"/>
        <w:rPr>
          <w:rFonts w:ascii="方正小标宋简体" w:eastAsia="方正小标宋简体"/>
          <w:color w:val="000000"/>
          <w:sz w:val="72"/>
          <w:szCs w:val="72"/>
        </w:rPr>
      </w:pPr>
      <w:bookmarkStart w:id="0" w:name="_Toc15306267"/>
      <w:bookmarkStart w:id="89" w:name="_GoBack"/>
      <w:bookmarkEnd w:id="89"/>
    </w:p>
    <w:p w14:paraId="7AA20802">
      <w:pPr>
        <w:spacing w:line="600" w:lineRule="exact"/>
        <w:jc w:val="center"/>
        <w:outlineLvl w:val="0"/>
        <w:rPr>
          <w:rFonts w:ascii="方正小标宋简体" w:eastAsia="方正小标宋简体"/>
          <w:color w:val="000000"/>
          <w:sz w:val="72"/>
          <w:szCs w:val="72"/>
        </w:rPr>
      </w:pPr>
    </w:p>
    <w:p w14:paraId="1FDDDA20">
      <w:pPr>
        <w:spacing w:line="600" w:lineRule="exact"/>
        <w:jc w:val="center"/>
        <w:outlineLvl w:val="0"/>
        <w:rPr>
          <w:rFonts w:ascii="方正小标宋简体" w:eastAsia="方正小标宋简体"/>
          <w:color w:val="000000"/>
          <w:sz w:val="72"/>
          <w:szCs w:val="72"/>
        </w:rPr>
      </w:pPr>
    </w:p>
    <w:p w14:paraId="096AA748">
      <w:pPr>
        <w:spacing w:line="600" w:lineRule="exact"/>
        <w:jc w:val="center"/>
        <w:outlineLvl w:val="0"/>
        <w:rPr>
          <w:rFonts w:ascii="方正小标宋简体" w:eastAsia="方正小标宋简体"/>
          <w:color w:val="000000"/>
          <w:sz w:val="72"/>
          <w:szCs w:val="72"/>
        </w:rPr>
      </w:pPr>
    </w:p>
    <w:p w14:paraId="46771815">
      <w:pPr>
        <w:adjustRightInd w:val="0"/>
        <w:snapToGrid w:val="0"/>
        <w:spacing w:line="360" w:lineRule="auto"/>
        <w:jc w:val="center"/>
        <w:outlineLvl w:val="0"/>
        <w:rPr>
          <w:rFonts w:ascii="方正小标宋简体" w:eastAsia="方正小标宋简体"/>
          <w:color w:val="000000"/>
          <w:sz w:val="72"/>
          <w:szCs w:val="72"/>
        </w:rPr>
      </w:pPr>
      <w:bookmarkStart w:id="1" w:name="_Toc12796"/>
      <w:bookmarkStart w:id="2" w:name="_Toc15377425"/>
      <w:bookmarkStart w:id="3" w:name="_Toc15396597"/>
      <w:bookmarkStart w:id="4" w:name="_Toc15396475"/>
      <w:bookmarkStart w:id="5" w:name="_Toc15377193"/>
      <w:bookmarkStart w:id="6" w:name="_Toc15378441"/>
      <w:r>
        <w:rPr>
          <w:rFonts w:ascii="黑体" w:eastAsia="黑体"/>
          <w:color w:val="000000"/>
          <w:sz w:val="72"/>
          <w:szCs w:val="72"/>
        </w:rPr>
        <w:t>202</w:t>
      </w:r>
      <w:r>
        <w:rPr>
          <w:rFonts w:hint="eastAsia" w:ascii="黑体" w:eastAsia="黑体"/>
          <w:color w:val="000000"/>
          <w:sz w:val="72"/>
          <w:szCs w:val="72"/>
        </w:rPr>
        <w:t>1</w:t>
      </w:r>
      <w:r>
        <w:rPr>
          <w:rFonts w:hint="eastAsia" w:ascii="方正小标宋简体" w:eastAsia="方正小标宋简体"/>
          <w:color w:val="000000"/>
          <w:sz w:val="72"/>
          <w:szCs w:val="72"/>
        </w:rPr>
        <w:t>年度</w:t>
      </w:r>
      <w:bookmarkEnd w:id="1"/>
      <w:bookmarkEnd w:id="2"/>
      <w:bookmarkEnd w:id="3"/>
      <w:bookmarkEnd w:id="4"/>
      <w:bookmarkEnd w:id="5"/>
      <w:bookmarkEnd w:id="6"/>
    </w:p>
    <w:bookmarkEnd w:id="0"/>
    <w:p w14:paraId="2197199B">
      <w:pPr>
        <w:adjustRightInd w:val="0"/>
        <w:snapToGrid w:val="0"/>
        <w:spacing w:line="360" w:lineRule="auto"/>
        <w:jc w:val="center"/>
        <w:outlineLvl w:val="0"/>
        <w:rPr>
          <w:rFonts w:ascii="方正小标宋简体" w:eastAsia="方正小标宋简体"/>
          <w:color w:val="000000"/>
          <w:sz w:val="72"/>
          <w:szCs w:val="72"/>
        </w:rPr>
      </w:pPr>
      <w:bookmarkStart w:id="7" w:name="_Toc15377194"/>
      <w:bookmarkStart w:id="8" w:name="_Toc15396476"/>
      <w:bookmarkStart w:id="9" w:name="_Toc6811"/>
      <w:bookmarkStart w:id="10" w:name="_Toc15306268"/>
      <w:bookmarkStart w:id="11" w:name="_Toc15377426"/>
      <w:bookmarkStart w:id="12" w:name="_Toc15396598"/>
      <w:bookmarkStart w:id="13" w:name="_Toc15378442"/>
      <w:r>
        <w:rPr>
          <w:rFonts w:hint="eastAsia" w:ascii="方正小标宋简体" w:eastAsia="方正小标宋简体"/>
          <w:color w:val="000000"/>
          <w:sz w:val="72"/>
          <w:szCs w:val="72"/>
          <w:lang w:val="en-US" w:eastAsia="zh-CN"/>
        </w:rPr>
        <w:t>阿坝州</w:t>
      </w:r>
      <w:r>
        <w:rPr>
          <w:rFonts w:hint="eastAsia" w:ascii="方正小标宋简体" w:eastAsia="方正小标宋简体"/>
          <w:color w:val="000000"/>
          <w:sz w:val="72"/>
          <w:szCs w:val="72"/>
        </w:rPr>
        <w:t>金川县</w:t>
      </w:r>
      <w:r>
        <w:rPr>
          <w:rFonts w:hint="eastAsia" w:ascii="方正小标宋简体" w:eastAsia="方正小标宋简体"/>
          <w:color w:val="000000"/>
          <w:sz w:val="72"/>
          <w:szCs w:val="72"/>
          <w:lang w:eastAsia="zh-CN"/>
        </w:rPr>
        <w:t>河西</w:t>
      </w:r>
      <w:r>
        <w:rPr>
          <w:rFonts w:hint="eastAsia" w:ascii="方正小标宋简体" w:eastAsia="方正小标宋简体"/>
          <w:color w:val="000000"/>
          <w:sz w:val="72"/>
          <w:szCs w:val="72"/>
        </w:rPr>
        <w:t>乡人民政府部门决算</w:t>
      </w:r>
      <w:bookmarkEnd w:id="7"/>
      <w:bookmarkEnd w:id="8"/>
      <w:bookmarkEnd w:id="9"/>
      <w:bookmarkEnd w:id="10"/>
      <w:bookmarkEnd w:id="11"/>
      <w:bookmarkEnd w:id="12"/>
      <w:bookmarkEnd w:id="13"/>
    </w:p>
    <w:p w14:paraId="4137CF2E">
      <w:pPr>
        <w:widowControl/>
        <w:jc w:val="center"/>
        <w:rPr>
          <w:rFonts w:ascii="方正小标宋简体" w:eastAsia="方正小标宋简体"/>
          <w:color w:val="000000"/>
          <w:sz w:val="36"/>
          <w:szCs w:val="36"/>
        </w:rPr>
      </w:pPr>
    </w:p>
    <w:p w14:paraId="25926B9B">
      <w:pPr>
        <w:widowControl/>
        <w:jc w:val="center"/>
        <w:rPr>
          <w:rFonts w:ascii="方正小标宋简体" w:eastAsia="方正小标宋简体"/>
          <w:color w:val="000000"/>
          <w:sz w:val="36"/>
          <w:szCs w:val="36"/>
        </w:rPr>
      </w:pPr>
    </w:p>
    <w:p w14:paraId="1B6F2D05">
      <w:pPr>
        <w:widowControl/>
        <w:jc w:val="center"/>
        <w:rPr>
          <w:rFonts w:ascii="方正小标宋简体" w:eastAsia="方正小标宋简体"/>
          <w:color w:val="000000"/>
          <w:sz w:val="36"/>
          <w:szCs w:val="36"/>
        </w:rPr>
      </w:pPr>
    </w:p>
    <w:p w14:paraId="03F0427C">
      <w:pPr>
        <w:widowControl/>
        <w:jc w:val="center"/>
        <w:rPr>
          <w:rFonts w:ascii="黑体" w:eastAsia="黑体"/>
          <w:color w:val="000000"/>
          <w:sz w:val="48"/>
          <w:szCs w:val="48"/>
        </w:rPr>
      </w:pPr>
      <w:r>
        <w:rPr>
          <w:rFonts w:ascii="方正小标宋简体" w:eastAsia="方正小标宋简体"/>
          <w:color w:val="000000"/>
          <w:sz w:val="36"/>
          <w:szCs w:val="36"/>
        </w:rPr>
        <w:br w:type="page"/>
      </w:r>
      <w:bookmarkStart w:id="14" w:name="_Toc15377196"/>
      <w:r>
        <w:rPr>
          <w:rFonts w:hint="eastAsia" w:ascii="黑体" w:eastAsia="黑体"/>
          <w:color w:val="000000"/>
          <w:sz w:val="48"/>
          <w:szCs w:val="48"/>
        </w:rPr>
        <w:t>目录</w:t>
      </w:r>
    </w:p>
    <w:p w14:paraId="0652AA1F">
      <w:pPr>
        <w:widowControl/>
        <w:jc w:val="cente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14:paraId="0BE73C2D"/>
    <w:p w14:paraId="7A25FCDA">
      <w:pPr>
        <w:pStyle w:val="11"/>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lang w:val="en-US" w:eastAsia="zh-CN"/>
        </w:rPr>
        <w:t>3</w:t>
      </w:r>
      <w:r>
        <w:rPr>
          <w:rFonts w:hint="eastAsia"/>
        </w:rPr>
        <w:fldChar w:fldCharType="end"/>
      </w:r>
    </w:p>
    <w:p w14:paraId="7E393475">
      <w:pPr>
        <w:pStyle w:val="13"/>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14:paraId="57D89D78">
      <w:pPr>
        <w:pStyle w:val="13"/>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lang w:val="en-US" w:eastAsia="zh-CN"/>
        </w:rPr>
        <w:t>5</w:t>
      </w:r>
      <w:r>
        <w:rPr>
          <w:rFonts w:hint="eastAsia" w:ascii="仿宋" w:eastAsia="仿宋"/>
          <w:sz w:val="28"/>
          <w:szCs w:val="28"/>
        </w:rPr>
        <w:fldChar w:fldCharType="end"/>
      </w:r>
    </w:p>
    <w:p w14:paraId="1C740A97">
      <w:pPr>
        <w:pStyle w:val="11"/>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lang w:val="en-US" w:eastAsia="zh-CN"/>
        </w:rPr>
        <w:t>5</w:t>
      </w:r>
      <w:r>
        <w:rPr>
          <w:rFonts w:hint="eastAsia"/>
        </w:rPr>
        <w:fldChar w:fldCharType="end"/>
      </w:r>
    </w:p>
    <w:p w14:paraId="3261EDFC">
      <w:pPr>
        <w:pStyle w:val="13"/>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lang w:val="en-US" w:eastAsia="zh-CN"/>
        </w:rPr>
        <w:t>5</w:t>
      </w:r>
      <w:r>
        <w:rPr>
          <w:rFonts w:hint="eastAsia" w:ascii="仿宋" w:eastAsia="仿宋"/>
          <w:sz w:val="28"/>
          <w:szCs w:val="28"/>
        </w:rPr>
        <w:fldChar w:fldCharType="end"/>
      </w:r>
    </w:p>
    <w:p w14:paraId="2E4CEB54">
      <w:pPr>
        <w:pStyle w:val="13"/>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lang w:val="en-US" w:eastAsia="zh-CN"/>
        </w:rPr>
        <w:t>6</w:t>
      </w:r>
      <w:r>
        <w:rPr>
          <w:rFonts w:hint="eastAsia" w:ascii="仿宋" w:eastAsia="仿宋"/>
          <w:sz w:val="28"/>
          <w:szCs w:val="28"/>
        </w:rPr>
        <w:fldChar w:fldCharType="end"/>
      </w:r>
    </w:p>
    <w:p w14:paraId="46EC2F8B">
      <w:pPr>
        <w:pStyle w:val="13"/>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lang w:val="en-US" w:eastAsia="zh-CN"/>
        </w:rPr>
        <w:t>6</w:t>
      </w:r>
      <w:r>
        <w:rPr>
          <w:rFonts w:hint="eastAsia" w:ascii="仿宋" w:eastAsia="仿宋"/>
          <w:sz w:val="28"/>
          <w:szCs w:val="28"/>
        </w:rPr>
        <w:fldChar w:fldCharType="end"/>
      </w:r>
    </w:p>
    <w:p w14:paraId="0EE4AAFB">
      <w:pPr>
        <w:pStyle w:val="13"/>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lang w:val="en-US" w:eastAsia="zh-CN"/>
        </w:rPr>
        <w:t>7</w:t>
      </w:r>
      <w:r>
        <w:rPr>
          <w:rFonts w:hint="eastAsia" w:ascii="仿宋" w:eastAsia="仿宋"/>
          <w:sz w:val="28"/>
          <w:szCs w:val="28"/>
        </w:rPr>
        <w:fldChar w:fldCharType="end"/>
      </w:r>
    </w:p>
    <w:p w14:paraId="24C32BA4">
      <w:pPr>
        <w:pStyle w:val="13"/>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lang w:val="en-US" w:eastAsia="zh-CN"/>
        </w:rPr>
        <w:t>8</w:t>
      </w:r>
      <w:r>
        <w:rPr>
          <w:rFonts w:hint="eastAsia" w:ascii="仿宋" w:eastAsia="仿宋"/>
          <w:sz w:val="28"/>
          <w:szCs w:val="28"/>
        </w:rPr>
        <w:fldChar w:fldCharType="end"/>
      </w:r>
    </w:p>
    <w:p w14:paraId="13C30E32">
      <w:pPr>
        <w:pStyle w:val="13"/>
        <w:rPr>
          <w:rFonts w:hint="eastAsia" w:ascii="仿宋" w:eastAsia="仿宋" w:cs="Arial"/>
          <w:sz w:val="28"/>
          <w:szCs w:val="28"/>
          <w:lang w:val="en-US" w:eastAsia="zh-CN"/>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lang w:val="en-US" w:eastAsia="zh-CN"/>
        </w:rPr>
        <w:t>1</w:t>
      </w:r>
    </w:p>
    <w:p w14:paraId="10BC374F">
      <w:pPr>
        <w:pStyle w:val="13"/>
        <w:rPr>
          <w:rFonts w:hint="eastAsia" w:ascii="仿宋" w:eastAsia="仿宋" w:cs="Arial"/>
          <w:sz w:val="28"/>
          <w:szCs w:val="28"/>
          <w:lang w:val="en-US" w:eastAsia="zh-CN"/>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lang w:val="en-US" w:eastAsia="zh-CN"/>
        </w:rPr>
        <w:t>2</w:t>
      </w:r>
    </w:p>
    <w:p w14:paraId="15A287CD">
      <w:pPr>
        <w:pStyle w:val="13"/>
        <w:rPr>
          <w:rFonts w:hint="eastAsia" w:ascii="仿宋" w:eastAsia="仿宋" w:cs="Arial"/>
          <w:sz w:val="28"/>
          <w:szCs w:val="28"/>
          <w:lang w:val="en-US" w:eastAsia="zh-CN"/>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lang w:val="en-US" w:eastAsia="zh-CN"/>
        </w:rPr>
        <w:t>0</w:t>
      </w:r>
    </w:p>
    <w:p w14:paraId="5B35CD97">
      <w:pPr>
        <w:pStyle w:val="13"/>
        <w:rPr>
          <w:rFonts w:hint="eastAsia" w:ascii="仿宋" w:eastAsia="仿宋"/>
          <w:sz w:val="28"/>
          <w:szCs w:val="28"/>
          <w:lang w:val="en-US" w:eastAsia="zh-CN"/>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lang w:val="en-US" w:eastAsia="zh-CN"/>
        </w:rPr>
        <w:t>0</w:t>
      </w:r>
    </w:p>
    <w:p w14:paraId="2A3B4C4F">
      <w:pPr>
        <w:pStyle w:val="13"/>
        <w:rPr>
          <w:rFonts w:hint="eastAsia" w:ascii="仿宋" w:eastAsia="仿宋"/>
          <w:sz w:val="28"/>
          <w:szCs w:val="28"/>
          <w:lang w:val="en-US" w:eastAsia="zh-CN"/>
        </w:rPr>
      </w:pPr>
      <w:r>
        <w:rPr>
          <w:rStyle w:val="18"/>
          <w:rFonts w:hint="eastAsia" w:ascii="仿宋" w:eastAsia="仿宋"/>
          <w:bCs/>
          <w:sz w:val="28"/>
          <w:szCs w:val="28"/>
        </w:rPr>
        <w:t xml:space="preserve"> 十、预算绩效情况说明..................................1</w:t>
      </w:r>
      <w:r>
        <w:rPr>
          <w:rStyle w:val="18"/>
          <w:rFonts w:hint="eastAsia" w:ascii="仿宋" w:eastAsia="仿宋"/>
          <w:bCs/>
          <w:sz w:val="28"/>
          <w:szCs w:val="28"/>
          <w:lang w:val="en-US" w:eastAsia="zh-CN"/>
        </w:rPr>
        <w:t>0</w:t>
      </w:r>
    </w:p>
    <w:p w14:paraId="144B39ED"/>
    <w:p w14:paraId="7141527A">
      <w:pPr>
        <w:pStyle w:val="13"/>
        <w:rPr>
          <w:rFonts w:hint="eastAsia" w:ascii="仿宋" w:eastAsia="仿宋" w:cs="Arial"/>
          <w:sz w:val="28"/>
          <w:szCs w:val="28"/>
          <w:lang w:val="en-US" w:eastAsia="zh-CN"/>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lang w:val="en-US" w:eastAsia="zh-CN"/>
        </w:rPr>
        <w:t>1</w:t>
      </w:r>
      <w:r>
        <w:rPr>
          <w:rFonts w:hint="eastAsia" w:ascii="仿宋" w:eastAsia="仿宋"/>
          <w:sz w:val="28"/>
          <w:szCs w:val="28"/>
        </w:rPr>
        <w:fldChar w:fldCharType="end"/>
      </w:r>
      <w:r>
        <w:rPr>
          <w:rFonts w:hint="eastAsia" w:ascii="仿宋" w:eastAsia="仿宋"/>
          <w:sz w:val="28"/>
          <w:szCs w:val="28"/>
          <w:lang w:val="en-US" w:eastAsia="zh-CN"/>
        </w:rPr>
        <w:t>5</w:t>
      </w:r>
    </w:p>
    <w:p w14:paraId="3F4E1FD2">
      <w:pPr>
        <w:pStyle w:val="11"/>
        <w:rPr>
          <w:rFonts w:hint="eastAsia" w:eastAsia="仿宋"/>
          <w:color w:val="000000"/>
          <w:sz w:val="24"/>
          <w:lang w:val="en-US" w:eastAsia="zh-CN"/>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lang w:val="en-US" w:eastAsia="zh-CN"/>
        </w:rPr>
        <w:t>1</w:t>
      </w:r>
      <w:r>
        <w:rPr>
          <w:rFonts w:hint="eastAsia"/>
        </w:rPr>
        <w:fldChar w:fldCharType="end"/>
      </w:r>
      <w:r>
        <w:rPr>
          <w:color w:val="000000"/>
          <w:sz w:val="24"/>
        </w:rPr>
        <w:fldChar w:fldCharType="end"/>
      </w:r>
      <w:r>
        <w:rPr>
          <w:rFonts w:hint="eastAsia"/>
          <w:color w:val="000000"/>
          <w:sz w:val="24"/>
          <w:lang w:val="en-US" w:eastAsia="zh-CN"/>
        </w:rPr>
        <w:t>5</w:t>
      </w:r>
    </w:p>
    <w:p w14:paraId="764631B7">
      <w:pPr>
        <w:pStyle w:val="1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仿宋" w:cs="Arial"/>
          <w:b/>
          <w:bCs/>
          <w:shd w:val="clear" w:color="FFFFFF" w:fill="D9D9D9"/>
          <w:lang w:eastAsia="zh-CN"/>
        </w:rPr>
      </w:pPr>
      <w:r>
        <w:rPr>
          <w:rFonts w:hint="eastAsia"/>
          <w:b/>
          <w:bCs/>
          <w:shd w:val="clear" w:color="FFFFFF" w:fill="D9D9D9"/>
        </w:rPr>
        <w:fldChar w:fldCharType="begin"/>
      </w:r>
      <w:r>
        <w:instrText xml:space="preserve">HYPERLINK  \l "_Toc15396614"</w:instrText>
      </w:r>
      <w:r>
        <w:rPr>
          <w:rFonts w:hint="eastAsia"/>
          <w:b/>
          <w:bCs/>
          <w:shd w:val="clear" w:color="FFFFFF" w:fill="D9D9D9"/>
        </w:rPr>
        <w:fldChar w:fldCharType="separate"/>
      </w:r>
      <w:r>
        <w:rPr>
          <w:rFonts w:hint="eastAsia"/>
          <w:b/>
          <w:bCs/>
          <w:shd w:val="clear" w:color="FFFFFF" w:fill="D9D9D9"/>
        </w:rPr>
        <w:t>第</w:t>
      </w:r>
      <w:r>
        <w:rPr>
          <w:rFonts w:hint="eastAsia"/>
          <w:b/>
          <w:bCs/>
          <w:kern w:val="44"/>
          <w:shd w:val="clear" w:color="FFFFFF" w:fill="D9D9D9"/>
        </w:rPr>
        <w:t>四部分</w:t>
      </w:r>
      <w:r>
        <w:rPr>
          <w:b/>
          <w:bCs/>
          <w:kern w:val="44"/>
          <w:shd w:val="clear" w:color="FFFFFF" w:fill="D9D9D9"/>
        </w:rPr>
        <w:t xml:space="preserve"> </w:t>
      </w:r>
      <w:r>
        <w:rPr>
          <w:rFonts w:hint="eastAsia"/>
          <w:b/>
          <w:bCs/>
          <w:kern w:val="44"/>
          <w:shd w:val="clear" w:color="FFFFFF" w:fill="D9D9D9"/>
        </w:rPr>
        <w:t>附件</w:t>
      </w:r>
      <w:r>
        <w:rPr>
          <w:b/>
          <w:bCs/>
          <w:shd w:val="clear" w:color="FFFFFF" w:fill="D9D9D9"/>
        </w:rPr>
        <w:tab/>
      </w:r>
      <w:r>
        <w:rPr>
          <w:rFonts w:hint="eastAsia"/>
          <w:b/>
          <w:bCs/>
          <w:shd w:val="clear" w:color="FFFFFF" w:fill="D9D9D9"/>
        </w:rPr>
        <w:t>1</w:t>
      </w:r>
      <w:r>
        <w:rPr>
          <w:rFonts w:hint="eastAsia"/>
          <w:b/>
          <w:bCs/>
          <w:shd w:val="clear" w:color="FFFFFF" w:fill="D9D9D9"/>
        </w:rPr>
        <w:fldChar w:fldCharType="end"/>
      </w:r>
      <w:r>
        <w:rPr>
          <w:rFonts w:hint="eastAsia"/>
          <w:b/>
          <w:bCs/>
          <w:shd w:val="clear" w:color="FFFFFF" w:fill="D9D9D9"/>
          <w:lang w:val="en-US" w:eastAsia="zh-CN"/>
        </w:rPr>
        <w:t>9</w:t>
      </w:r>
    </w:p>
    <w:p w14:paraId="5AF1E9C5">
      <w:pPr>
        <w:pStyle w:val="13"/>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仿宋" w:eastAsia="仿宋" w:cs="Arial"/>
          <w:sz w:val="28"/>
          <w:szCs w:val="28"/>
          <w:shd w:val="clear" w:color="FFFFFF" w:fill="D9D9D9"/>
          <w:lang w:val="en-US" w:eastAsia="zh-CN"/>
        </w:rPr>
      </w:pPr>
      <w:r>
        <w:rPr>
          <w:rFonts w:hint="eastAsia" w:ascii="仿宋_GB2312" w:eastAsia="仿宋_GB2312" w:cs="仿宋_GB2312"/>
          <w:b w:val="0"/>
          <w:bCs w:val="0"/>
          <w:color w:val="auto"/>
          <w:lang w:val="en-US" w:eastAsia="zh-CN" w:bidi="ar-SA"/>
        </w:rPr>
        <w:fldChar w:fldCharType="begin"/>
      </w:r>
      <w:r>
        <w:instrText xml:space="preserve">HYPERLINK  \l "_Toc15396615"</w:instrText>
      </w:r>
      <w:r>
        <w:rPr>
          <w:rFonts w:hint="eastAsia" w:ascii="仿宋_GB2312" w:eastAsia="仿宋_GB2312" w:cs="仿宋_GB2312"/>
          <w:b w:val="0"/>
          <w:bCs w:val="0"/>
          <w:color w:val="auto"/>
          <w:lang w:val="en-US" w:eastAsia="zh-CN" w:bidi="ar-SA"/>
        </w:rPr>
        <w:fldChar w:fldCharType="separate"/>
      </w:r>
      <w:r>
        <w:rPr>
          <w:rFonts w:hint="eastAsia" w:ascii="仿宋_GB2312" w:eastAsia="仿宋_GB2312" w:cs="仿宋_GB2312"/>
          <w:b w:val="0"/>
          <w:bCs w:val="0"/>
          <w:color w:val="auto"/>
          <w:lang w:val="en-US" w:eastAsia="zh-CN" w:bidi="ar-SA"/>
        </w:rPr>
        <w:t>阿坝州金川县</w:t>
      </w:r>
      <w:r>
        <w:rPr>
          <w:rFonts w:hint="eastAsia" w:ascii="仿宋_GB2312" w:eastAsia="仿宋_GB2312" w:cs="仿宋_GB2312"/>
          <w:b w:val="0"/>
          <w:bCs w:val="0"/>
          <w:color w:val="auto"/>
          <w:lang w:eastAsia="zh-CN" w:bidi="ar-SA"/>
        </w:rPr>
        <w:t>河西</w:t>
      </w:r>
      <w:r>
        <w:rPr>
          <w:rFonts w:ascii="仿宋_GB2312" w:eastAsia="仿宋_GB2312" w:cs="仿宋_GB2312"/>
          <w:b w:val="0"/>
          <w:bCs w:val="0"/>
          <w:color w:val="auto"/>
          <w:lang w:eastAsia="zh-CN" w:bidi="ar-SA"/>
        </w:rPr>
        <w:t>乡人民政府</w:t>
      </w:r>
      <w:r>
        <w:rPr>
          <w:rFonts w:hint="eastAsia" w:ascii="仿宋_GB2312" w:eastAsia="仿宋_GB2312" w:cs="仿宋_GB2312"/>
          <w:b w:val="0"/>
          <w:bCs w:val="0"/>
          <w:color w:val="auto"/>
          <w:lang w:bidi="ar-SA"/>
        </w:rPr>
        <w:t>202</w:t>
      </w:r>
      <w:r>
        <w:rPr>
          <w:rFonts w:hint="eastAsia" w:ascii="仿宋_GB2312" w:eastAsia="仿宋_GB2312" w:cs="仿宋_GB2312"/>
          <w:b w:val="0"/>
          <w:bCs w:val="0"/>
          <w:color w:val="auto"/>
          <w:lang w:val="en-US" w:eastAsia="zh-CN" w:bidi="ar-SA"/>
        </w:rPr>
        <w:t>1</w:t>
      </w:r>
      <w:r>
        <w:rPr>
          <w:rFonts w:hint="eastAsia" w:ascii="仿宋_GB2312" w:eastAsia="仿宋_GB2312" w:cs="仿宋_GB2312"/>
          <w:b w:val="0"/>
          <w:bCs w:val="0"/>
          <w:color w:val="auto"/>
          <w:lang w:bidi="ar-SA"/>
        </w:rPr>
        <w:t>年部门整体支出绩效评价报告</w:t>
      </w:r>
      <w:r>
        <w:rPr>
          <w:rFonts w:ascii="仿宋" w:eastAsia="仿宋"/>
          <w:sz w:val="28"/>
          <w:szCs w:val="28"/>
          <w:shd w:val="clear" w:color="FFFFFF" w:fill="D9D9D9"/>
        </w:rPr>
        <w:tab/>
      </w:r>
      <w:r>
        <w:rPr>
          <w:rFonts w:hint="eastAsia" w:ascii="仿宋" w:eastAsia="仿宋"/>
          <w:sz w:val="28"/>
          <w:szCs w:val="28"/>
          <w:shd w:val="clear" w:color="FFFFFF" w:fill="D9D9D9"/>
        </w:rPr>
        <w:t>1</w:t>
      </w:r>
      <w:r>
        <w:rPr>
          <w:rFonts w:hint="eastAsia" w:ascii="仿宋_GB2312" w:eastAsia="仿宋_GB2312" w:cs="仿宋_GB2312"/>
          <w:b w:val="0"/>
          <w:bCs w:val="0"/>
          <w:color w:val="auto"/>
          <w:lang w:val="en-US" w:eastAsia="zh-CN" w:bidi="ar-SA"/>
        </w:rPr>
        <w:fldChar w:fldCharType="end"/>
      </w:r>
      <w:r>
        <w:rPr>
          <w:rFonts w:hint="eastAsia" w:ascii="仿宋" w:eastAsia="仿宋"/>
          <w:sz w:val="28"/>
          <w:szCs w:val="28"/>
          <w:shd w:val="clear" w:color="FFFFFF" w:fill="D9D9D9"/>
          <w:lang w:val="en-US" w:eastAsia="zh-CN"/>
        </w:rPr>
        <w:t>9</w:t>
      </w:r>
    </w:p>
    <w:p w14:paraId="4D7F7287">
      <w:pPr>
        <w:pStyle w:val="11"/>
        <w:keepNext w:val="0"/>
        <w:keepLines w:val="0"/>
        <w:pageBreakBefore w:val="0"/>
        <w:widowControl w:val="0"/>
        <w:kinsoku/>
        <w:wordWrap/>
        <w:overflowPunct/>
        <w:topLinePunct w:val="0"/>
        <w:autoSpaceDE/>
        <w:autoSpaceDN/>
        <w:bidi w:val="0"/>
        <w:adjustRightInd/>
        <w:snapToGrid/>
        <w:spacing w:line="360" w:lineRule="auto"/>
        <w:textAlignment w:val="auto"/>
        <w:rPr>
          <w:rFonts w:eastAsia="仿宋" w:cs="Arial"/>
          <w:b/>
          <w:bCs/>
          <w:shd w:val="clear" w:color="FFFFFF" w:fill="D9D9D9"/>
          <w:lang w:val="en-US" w:eastAsia="zh-CN"/>
        </w:rPr>
      </w:pPr>
      <w:r>
        <w:rPr>
          <w:rFonts w:hint="eastAsia"/>
          <w:b/>
          <w:bCs/>
          <w:shd w:val="clear" w:color="FFFFFF" w:fill="D9D9D9"/>
        </w:rPr>
        <w:fldChar w:fldCharType="begin"/>
      </w:r>
      <w:r>
        <w:instrText xml:space="preserve">HYPERLINK  \l "_Toc15396618"</w:instrText>
      </w:r>
      <w:r>
        <w:rPr>
          <w:rFonts w:hint="eastAsia"/>
          <w:b/>
          <w:bCs/>
          <w:shd w:val="clear" w:color="FFFFFF" w:fill="D9D9D9"/>
        </w:rPr>
        <w:fldChar w:fldCharType="separate"/>
      </w:r>
      <w:r>
        <w:rPr>
          <w:rFonts w:hint="eastAsia"/>
          <w:b/>
          <w:bCs/>
          <w:shd w:val="clear" w:color="FFFFFF" w:fill="D9D9D9"/>
        </w:rPr>
        <w:t>第</w:t>
      </w:r>
      <w:r>
        <w:rPr>
          <w:rFonts w:hint="eastAsia"/>
          <w:b/>
          <w:bCs/>
          <w:kern w:val="44"/>
          <w:shd w:val="clear" w:color="FFFFFF" w:fill="D9D9D9"/>
        </w:rPr>
        <w:t>五部分</w:t>
      </w:r>
      <w:r>
        <w:rPr>
          <w:b/>
          <w:bCs/>
          <w:kern w:val="44"/>
          <w:shd w:val="clear" w:color="FFFFFF" w:fill="D9D9D9"/>
        </w:rPr>
        <w:t xml:space="preserve"> </w:t>
      </w:r>
      <w:r>
        <w:rPr>
          <w:rFonts w:hint="eastAsia"/>
          <w:b/>
          <w:bCs/>
          <w:kern w:val="44"/>
          <w:shd w:val="clear" w:color="FFFFFF" w:fill="D9D9D9"/>
        </w:rPr>
        <w:t>附表</w:t>
      </w:r>
      <w:r>
        <w:rPr>
          <w:rFonts w:hint="eastAsia"/>
          <w:b/>
          <w:bCs/>
          <w:shd w:val="clear" w:color="FFFFFF" w:fill="D9D9D9"/>
        </w:rPr>
        <w:fldChar w:fldCharType="end"/>
      </w:r>
      <w:r>
        <w:rPr>
          <w:b/>
          <w:bCs/>
          <w:shd w:val="clear" w:color="FFFFFF" w:fill="D9D9D9"/>
        </w:rPr>
        <w:fldChar w:fldCharType="begin"/>
      </w:r>
      <w:r>
        <w:instrText xml:space="preserve">HYPERLINK  \l "_Toc15396614"</w:instrText>
      </w:r>
      <w:r>
        <w:rPr>
          <w:b/>
          <w:bCs/>
          <w:shd w:val="clear" w:color="FFFFFF" w:fill="D9D9D9"/>
        </w:rPr>
        <w:fldChar w:fldCharType="separate"/>
      </w:r>
      <w:r>
        <w:rPr>
          <w:b/>
          <w:bCs/>
          <w:shd w:val="clear" w:color="FFFFFF" w:fill="D9D9D9"/>
        </w:rPr>
        <w:tab/>
      </w:r>
      <w:r>
        <w:rPr>
          <w:b/>
          <w:bCs/>
          <w:shd w:val="clear" w:color="FFFFFF" w:fill="D9D9D9"/>
        </w:rPr>
        <w:fldChar w:fldCharType="end"/>
      </w:r>
      <w:r>
        <w:rPr>
          <w:rFonts w:hint="eastAsia"/>
          <w:b/>
          <w:bCs/>
          <w:shd w:val="clear" w:color="FFFFFF" w:fill="D9D9D9"/>
          <w:lang w:val="en-US" w:eastAsia="zh-CN"/>
        </w:rPr>
        <w:t>23</w:t>
      </w:r>
    </w:p>
    <w:p w14:paraId="08C15169">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eastAsia="仿宋" w:cs="Arial"/>
          <w:sz w:val="28"/>
          <w:szCs w:val="28"/>
          <w:shd w:val="clear" w:color="FFFFFF" w:fill="D9D9D9"/>
          <w:lang w:val="en-US" w:eastAsia="zh-CN"/>
        </w:rPr>
      </w:pPr>
      <w:r>
        <w:rPr>
          <w:rFonts w:hint="eastAsia" w:ascii="仿宋" w:eastAsia="仿宋"/>
          <w:sz w:val="28"/>
          <w:szCs w:val="28"/>
          <w:shd w:val="clear" w:color="FFFFFF" w:fill="D9D9D9"/>
        </w:rPr>
        <w:t>一、</w:t>
      </w:r>
      <w:r>
        <w:rPr>
          <w:rFonts w:hint="eastAsia" w:ascii="仿宋" w:eastAsia="仿宋"/>
          <w:sz w:val="28"/>
          <w:szCs w:val="28"/>
          <w:shd w:val="clear" w:color="FFFFFF" w:fill="D9D9D9"/>
        </w:rPr>
        <w:fldChar w:fldCharType="begin"/>
      </w:r>
      <w:r>
        <w:instrText xml:space="preserve">HYPERLINK  \l "_Toc15396619"</w:instrText>
      </w:r>
      <w:r>
        <w:rPr>
          <w:rFonts w:hint="eastAsia" w:ascii="仿宋" w:eastAsia="仿宋"/>
          <w:sz w:val="28"/>
          <w:szCs w:val="28"/>
          <w:shd w:val="clear" w:color="FFFFFF" w:fill="D9D9D9"/>
        </w:rPr>
        <w:fldChar w:fldCharType="separate"/>
      </w:r>
      <w:r>
        <w:rPr>
          <w:rFonts w:hint="eastAsia" w:ascii="仿宋" w:eastAsia="仿宋"/>
          <w:sz w:val="28"/>
          <w:szCs w:val="28"/>
          <w:shd w:val="clear" w:color="FFFFFF" w:fill="D9D9D9"/>
        </w:rPr>
        <w:t>收入支出决算总表</w:t>
      </w:r>
      <w:r>
        <w:rPr>
          <w:rFonts w:ascii="仿宋" w:eastAsia="仿宋"/>
          <w:sz w:val="28"/>
          <w:szCs w:val="28"/>
          <w:shd w:val="clear" w:color="FFFFFF" w:fill="D9D9D9"/>
        </w:rPr>
        <w:tab/>
      </w:r>
      <w:r>
        <w:rPr>
          <w:rFonts w:hint="eastAsia" w:ascii="仿宋" w:eastAsia="仿宋"/>
          <w:sz w:val="28"/>
          <w:szCs w:val="28"/>
          <w:shd w:val="clear" w:color="FFFFFF" w:fill="D9D9D9"/>
          <w:lang w:val="en-US" w:eastAsia="zh-CN"/>
        </w:rPr>
        <w:t>2</w:t>
      </w:r>
      <w:r>
        <w:rPr>
          <w:rFonts w:hint="eastAsia" w:ascii="仿宋" w:eastAsia="仿宋"/>
          <w:sz w:val="28"/>
          <w:szCs w:val="28"/>
          <w:shd w:val="clear" w:color="FFFFFF" w:fill="D9D9D9"/>
        </w:rPr>
        <w:fldChar w:fldCharType="end"/>
      </w:r>
      <w:r>
        <w:rPr>
          <w:rFonts w:hint="eastAsia" w:ascii="仿宋" w:eastAsia="仿宋"/>
          <w:sz w:val="28"/>
          <w:szCs w:val="28"/>
          <w:shd w:val="clear" w:color="FFFFFF" w:fill="D9D9D9"/>
          <w:lang w:val="en-US" w:eastAsia="zh-CN"/>
        </w:rPr>
        <w:t>4</w:t>
      </w:r>
    </w:p>
    <w:p w14:paraId="6E96E53D">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eastAsia="仿宋" w:cs="Arial"/>
          <w:sz w:val="28"/>
          <w:szCs w:val="28"/>
          <w:shd w:val="clear" w:color="FFFFFF" w:fill="D9D9D9"/>
          <w:lang w:val="en-US" w:eastAsia="zh-CN"/>
        </w:rPr>
      </w:pPr>
      <w:r>
        <w:rPr>
          <w:rFonts w:hint="eastAsia" w:ascii="仿宋" w:eastAsia="仿宋"/>
          <w:sz w:val="28"/>
          <w:szCs w:val="28"/>
          <w:shd w:val="clear" w:color="FFFFFF" w:fill="D9D9D9"/>
        </w:rPr>
        <w:t>二、</w:t>
      </w:r>
      <w:r>
        <w:rPr>
          <w:rFonts w:hint="eastAsia" w:ascii="仿宋" w:eastAsia="仿宋"/>
          <w:sz w:val="28"/>
          <w:szCs w:val="28"/>
          <w:shd w:val="clear" w:color="FFFFFF" w:fill="D9D9D9"/>
        </w:rPr>
        <w:fldChar w:fldCharType="begin"/>
      </w:r>
      <w:r>
        <w:instrText xml:space="preserve">HYPERLINK  \l "_Toc15396620"</w:instrText>
      </w:r>
      <w:r>
        <w:rPr>
          <w:rFonts w:hint="eastAsia" w:ascii="仿宋" w:eastAsia="仿宋"/>
          <w:sz w:val="28"/>
          <w:szCs w:val="28"/>
          <w:shd w:val="clear" w:color="FFFFFF" w:fill="D9D9D9"/>
        </w:rPr>
        <w:fldChar w:fldCharType="separate"/>
      </w:r>
      <w:r>
        <w:rPr>
          <w:rFonts w:hint="eastAsia" w:ascii="仿宋" w:eastAsia="仿宋"/>
          <w:sz w:val="28"/>
          <w:szCs w:val="28"/>
          <w:shd w:val="clear" w:color="FFFFFF" w:fill="D9D9D9"/>
        </w:rPr>
        <w:t>收入总表</w:t>
      </w:r>
      <w:r>
        <w:rPr>
          <w:rFonts w:ascii="仿宋" w:eastAsia="仿宋"/>
          <w:sz w:val="28"/>
          <w:szCs w:val="28"/>
          <w:shd w:val="clear" w:color="FFFFFF" w:fill="D9D9D9"/>
        </w:rPr>
        <w:tab/>
      </w:r>
      <w:r>
        <w:rPr>
          <w:rFonts w:hint="eastAsia" w:ascii="仿宋" w:eastAsia="仿宋"/>
          <w:sz w:val="28"/>
          <w:szCs w:val="28"/>
          <w:shd w:val="clear" w:color="FFFFFF" w:fill="D9D9D9"/>
          <w:lang w:val="en-US" w:eastAsia="zh-CN"/>
        </w:rPr>
        <w:t>2</w:t>
      </w:r>
      <w:r>
        <w:rPr>
          <w:rFonts w:hint="eastAsia" w:ascii="仿宋" w:eastAsia="仿宋"/>
          <w:sz w:val="28"/>
          <w:szCs w:val="28"/>
          <w:shd w:val="clear" w:color="FFFFFF" w:fill="D9D9D9"/>
        </w:rPr>
        <w:fldChar w:fldCharType="end"/>
      </w:r>
      <w:r>
        <w:rPr>
          <w:rFonts w:hint="eastAsia" w:ascii="仿宋" w:eastAsia="仿宋"/>
          <w:sz w:val="28"/>
          <w:szCs w:val="28"/>
          <w:shd w:val="clear" w:color="FFFFFF" w:fill="D9D9D9"/>
          <w:lang w:val="en-US" w:eastAsia="zh-CN"/>
        </w:rPr>
        <w:t>4</w:t>
      </w:r>
    </w:p>
    <w:p w14:paraId="4EDEB73A">
      <w:pPr>
        <w:pStyle w:val="11"/>
        <w:keepNext w:val="0"/>
        <w:keepLines w:val="0"/>
        <w:pageBreakBefore w:val="0"/>
        <w:widowControl w:val="0"/>
        <w:kinsoku/>
        <w:wordWrap/>
        <w:overflowPunct/>
        <w:topLinePunct w:val="0"/>
        <w:autoSpaceDE/>
        <w:autoSpaceDN/>
        <w:bidi w:val="0"/>
        <w:adjustRightInd/>
        <w:snapToGrid/>
        <w:spacing w:line="360" w:lineRule="auto"/>
        <w:textAlignment w:val="auto"/>
        <w:rPr>
          <w:rFonts w:cs="Arial"/>
          <w:b/>
          <w:bCs/>
          <w:shd w:val="clear" w:color="FFFFFF" w:fill="D9D9D9"/>
          <w:lang w:val="en-US"/>
        </w:rPr>
      </w:pPr>
      <w:r>
        <w:rPr>
          <w:rFonts w:hint="eastAsia"/>
          <w:sz w:val="28"/>
          <w:szCs w:val="28"/>
          <w:shd w:val="clear" w:color="FFFFFF" w:fill="D9D9D9"/>
          <w:lang w:val="en-US" w:eastAsia="zh-CN"/>
        </w:rPr>
        <w:t xml:space="preserve">   </w:t>
      </w:r>
      <w:r>
        <w:rPr>
          <w:rFonts w:hint="eastAsia" w:ascii="仿宋" w:eastAsia="仿宋"/>
          <w:sz w:val="28"/>
          <w:szCs w:val="28"/>
          <w:shd w:val="clear" w:color="FFFFFF" w:fill="D9D9D9"/>
        </w:rPr>
        <w:t>三、</w:t>
      </w:r>
      <w:r>
        <w:rPr>
          <w:rFonts w:hint="eastAsia" w:ascii="仿宋" w:eastAsia="仿宋"/>
          <w:sz w:val="28"/>
          <w:szCs w:val="28"/>
          <w:shd w:val="clear" w:color="FFFFFF" w:fill="D9D9D9"/>
        </w:rPr>
        <w:fldChar w:fldCharType="begin"/>
      </w:r>
      <w:r>
        <w:instrText xml:space="preserve">HYPERLINK  \l "_Toc15396621"</w:instrText>
      </w:r>
      <w:r>
        <w:rPr>
          <w:rFonts w:hint="eastAsia" w:ascii="仿宋" w:eastAsia="仿宋"/>
          <w:sz w:val="28"/>
          <w:szCs w:val="28"/>
          <w:shd w:val="clear" w:color="FFFFFF" w:fill="D9D9D9"/>
        </w:rPr>
        <w:fldChar w:fldCharType="separate"/>
      </w:r>
      <w:r>
        <w:rPr>
          <w:rFonts w:hint="eastAsia" w:ascii="仿宋" w:eastAsia="仿宋"/>
          <w:sz w:val="28"/>
          <w:szCs w:val="28"/>
          <w:shd w:val="clear" w:color="FFFFFF" w:fill="D9D9D9"/>
        </w:rPr>
        <w:t>支出总表</w:t>
      </w:r>
      <w:r>
        <w:rPr>
          <w:rFonts w:hint="eastAsia" w:ascii="仿宋" w:eastAsia="仿宋"/>
          <w:sz w:val="28"/>
          <w:szCs w:val="28"/>
          <w:shd w:val="clear" w:color="FFFFFF" w:fill="D9D9D9"/>
        </w:rPr>
        <w:fldChar w:fldCharType="end"/>
      </w:r>
      <w:r>
        <w:rPr>
          <w:b/>
          <w:bCs/>
          <w:shd w:val="clear" w:color="FFFFFF" w:fill="D9D9D9"/>
        </w:rPr>
        <w:fldChar w:fldCharType="begin"/>
      </w:r>
      <w:r>
        <w:instrText xml:space="preserve">HYPERLINK  \l "_Toc15396614"</w:instrText>
      </w:r>
      <w:r>
        <w:rPr>
          <w:b/>
          <w:bCs/>
          <w:shd w:val="clear" w:color="FFFFFF" w:fill="D9D9D9"/>
        </w:rPr>
        <w:fldChar w:fldCharType="separate"/>
      </w:r>
      <w:r>
        <w:rPr>
          <w:b/>
          <w:bCs/>
          <w:shd w:val="clear" w:color="FFFFFF" w:fill="D9D9D9"/>
        </w:rPr>
        <w:tab/>
      </w:r>
      <w:r>
        <w:rPr>
          <w:b/>
          <w:bCs/>
          <w:shd w:val="clear" w:color="FFFFFF" w:fill="D9D9D9"/>
        </w:rPr>
        <w:fldChar w:fldCharType="end"/>
      </w:r>
      <w:r>
        <w:rPr>
          <w:rFonts w:hint="eastAsia"/>
          <w:b/>
          <w:bCs/>
          <w:shd w:val="clear" w:color="FFFFFF" w:fill="D9D9D9"/>
          <w:lang w:val="en-US" w:eastAsia="zh-CN"/>
        </w:rPr>
        <w:fldChar w:fldCharType="begin"/>
      </w:r>
      <w:r>
        <w:instrText xml:space="preserve">HYPERLINK  \l "_Toc15396621"</w:instrText>
      </w:r>
      <w:r>
        <w:rPr>
          <w:rFonts w:hint="eastAsia"/>
          <w:b/>
          <w:bCs/>
          <w:shd w:val="clear" w:color="FFFFFF" w:fill="D9D9D9"/>
          <w:lang w:val="en-US" w:eastAsia="zh-CN"/>
        </w:rPr>
        <w:fldChar w:fldCharType="separate"/>
      </w:r>
      <w:r>
        <w:rPr>
          <w:rFonts w:hint="eastAsia"/>
          <w:b/>
          <w:bCs/>
          <w:shd w:val="clear" w:color="FFFFFF" w:fill="D9D9D9"/>
          <w:lang w:val="en-US" w:eastAsia="zh-CN"/>
        </w:rPr>
        <w:t>24</w:t>
      </w:r>
    </w:p>
    <w:p w14:paraId="1C361E1F">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eastAsia="zh-CN"/>
        </w:rPr>
      </w:pPr>
      <w:r>
        <w:rPr>
          <w:rFonts w:hint="eastAsia"/>
          <w:b/>
          <w:bCs/>
          <w:shd w:val="clear" w:color="FFFFFF" w:fill="D9D9D9"/>
          <w:lang w:val="en-US" w:eastAsia="zh-CN"/>
        </w:rPr>
        <w:fldChar w:fldCharType="end"/>
      </w:r>
      <w:r>
        <w:rPr>
          <w:rFonts w:hint="eastAsia" w:ascii="仿宋" w:eastAsia="仿宋"/>
          <w:sz w:val="28"/>
          <w:szCs w:val="28"/>
          <w:shd w:val="clear" w:color="FFFFFF" w:fill="D9D9D9"/>
          <w:lang w:val="en-US" w:eastAsia="zh-CN"/>
        </w:rPr>
        <w:t xml:space="preserve"> </w:t>
      </w:r>
      <w:r>
        <w:rPr>
          <w:rFonts w:hint="eastAsia" w:ascii="仿宋" w:eastAsia="仿宋"/>
          <w:sz w:val="28"/>
          <w:szCs w:val="28"/>
          <w:shd w:val="clear" w:color="FFFFFF" w:fill="D9D9D9"/>
        </w:rPr>
        <w:t>四、财政拨款收入支出决算总表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24</w:t>
      </w:r>
    </w:p>
    <w:p w14:paraId="74DF451B">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eastAsia="zh-CN"/>
        </w:rPr>
      </w:pPr>
      <w:r>
        <w:rPr>
          <w:rFonts w:hint="eastAsia" w:ascii="仿宋" w:eastAsia="仿宋"/>
          <w:sz w:val="28"/>
          <w:szCs w:val="28"/>
          <w:shd w:val="clear" w:color="FFFFFF" w:fill="D9D9D9"/>
        </w:rPr>
        <w:t>五、财政拨款支出决算明细表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24</w:t>
      </w:r>
    </w:p>
    <w:p w14:paraId="31DC8D23">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eastAsia="zh-CN"/>
        </w:rPr>
      </w:pPr>
      <w:r>
        <w:rPr>
          <w:rFonts w:hint="eastAsia" w:ascii="仿宋" w:eastAsia="仿宋"/>
          <w:sz w:val="28"/>
          <w:szCs w:val="28"/>
          <w:shd w:val="clear" w:color="FFFFFF" w:fill="D9D9D9"/>
        </w:rPr>
        <w:t>六、一般公共预算财政拨款支出决算表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24</w:t>
      </w:r>
    </w:p>
    <w:p w14:paraId="2FBD8F25">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eastAsia="zh-CN"/>
        </w:rPr>
      </w:pPr>
      <w:r>
        <w:rPr>
          <w:rFonts w:hint="eastAsia" w:ascii="仿宋" w:eastAsia="仿宋"/>
          <w:sz w:val="28"/>
          <w:szCs w:val="28"/>
          <w:shd w:val="clear" w:color="FFFFFF" w:fill="D9D9D9"/>
        </w:rPr>
        <w:t>七、一般公共预算财政拨款支出决算明细表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24</w:t>
      </w:r>
    </w:p>
    <w:p w14:paraId="160536FF">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rPr>
      </w:pPr>
      <w:r>
        <w:rPr>
          <w:rFonts w:hint="eastAsia" w:ascii="仿宋" w:eastAsia="仿宋"/>
          <w:sz w:val="28"/>
          <w:szCs w:val="28"/>
          <w:shd w:val="clear" w:color="FFFFFF" w:fill="D9D9D9"/>
        </w:rPr>
        <w:t>八、一般公共预算财政拨款基本支出决算表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24</w:t>
      </w:r>
    </w:p>
    <w:p w14:paraId="5E13164C">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eastAsia="zh-CN"/>
        </w:rPr>
      </w:pPr>
      <w:r>
        <w:rPr>
          <w:rFonts w:hint="eastAsia" w:ascii="仿宋" w:eastAsia="仿宋"/>
          <w:sz w:val="28"/>
          <w:szCs w:val="28"/>
          <w:shd w:val="clear" w:color="FFFFFF" w:fill="D9D9D9"/>
        </w:rPr>
        <w:t>九、一般公共预算财政拨款项目支出决算表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25</w:t>
      </w:r>
    </w:p>
    <w:p w14:paraId="3CEC0766">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eastAsia="zh-CN"/>
        </w:rPr>
      </w:pPr>
      <w:r>
        <w:rPr>
          <w:rFonts w:hint="eastAsia" w:ascii="仿宋" w:eastAsia="仿宋"/>
          <w:sz w:val="28"/>
          <w:szCs w:val="28"/>
          <w:shd w:val="clear" w:color="FFFFFF" w:fill="D9D9D9"/>
        </w:rPr>
        <w:t>十、一般公共预算财政拨款“三公”经费支出决算表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24</w:t>
      </w:r>
    </w:p>
    <w:p w14:paraId="62F747E2">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eastAsia="zh-CN"/>
        </w:rPr>
      </w:pPr>
      <w:r>
        <w:rPr>
          <w:rFonts w:hint="eastAsia" w:ascii="仿宋" w:eastAsia="仿宋"/>
          <w:sz w:val="28"/>
          <w:szCs w:val="28"/>
          <w:shd w:val="clear" w:color="FFFFFF" w:fill="D9D9D9"/>
        </w:rPr>
        <w:t>十一、政府性基金预算财政拨款收入支出决算表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24</w:t>
      </w:r>
    </w:p>
    <w:p w14:paraId="0FE9AB75">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eastAsia="仿宋"/>
          <w:sz w:val="28"/>
          <w:szCs w:val="28"/>
          <w:shd w:val="clear" w:color="FFFFFF" w:fill="D9D9D9"/>
          <w:lang w:val="en-US" w:eastAsia="zh-CN"/>
        </w:rPr>
      </w:pPr>
      <w:r>
        <w:rPr>
          <w:rFonts w:hint="eastAsia" w:ascii="仿宋" w:eastAsia="仿宋"/>
          <w:sz w:val="28"/>
          <w:szCs w:val="28"/>
          <w:shd w:val="clear" w:color="FFFFFF" w:fill="D9D9D9"/>
        </w:rPr>
        <w:t>十二、政府性基金预算财政拨款“三公”经费支出决算表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24</w:t>
      </w:r>
    </w:p>
    <w:p w14:paraId="07C5B78B">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eastAsia="zh-CN"/>
        </w:rPr>
      </w:pPr>
      <w:r>
        <w:rPr>
          <w:rFonts w:hint="eastAsia" w:ascii="仿宋" w:eastAsia="仿宋"/>
          <w:sz w:val="28"/>
          <w:szCs w:val="28"/>
          <w:shd w:val="clear" w:color="FFFFFF" w:fill="D9D9D9"/>
        </w:rPr>
        <w:t>十三、国有资本经营预算财政拨款支出决算表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24</w:t>
      </w:r>
    </w:p>
    <w:p w14:paraId="675CA747">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Fonts w:ascii="仿宋" w:eastAsia="仿宋"/>
          <w:sz w:val="28"/>
          <w:szCs w:val="28"/>
          <w:shd w:val="clear" w:color="FFFFFF" w:fill="D9D9D9"/>
          <w:lang w:val="en-US" w:eastAsia="zh-CN"/>
        </w:rPr>
      </w:pPr>
      <w:r>
        <w:rPr>
          <w:rFonts w:hint="eastAsia" w:ascii="仿宋" w:eastAsia="仿宋"/>
          <w:sz w:val="28"/>
          <w:szCs w:val="28"/>
          <w:shd w:val="clear" w:color="FFFFFF" w:fill="D9D9D9"/>
        </w:rPr>
        <w:t>十四、国有资本经营预算财政拨款支出决算表</w:t>
      </w:r>
      <w:r>
        <w:rPr>
          <w:rFonts w:hint="eastAsia" w:ascii="仿宋" w:eastAsia="仿宋"/>
          <w:sz w:val="28"/>
          <w:szCs w:val="28"/>
          <w:shd w:val="clear" w:color="FFFFFF" w:fill="D9D9D9"/>
        </w:rPr>
        <w:tab/>
      </w:r>
      <w:r>
        <w:rPr>
          <w:rFonts w:hint="eastAsia" w:ascii="仿宋" w:eastAsia="仿宋"/>
          <w:sz w:val="28"/>
          <w:szCs w:val="28"/>
          <w:shd w:val="clear" w:color="FFFFFF" w:fill="D9D9D9"/>
          <w:lang w:val="en-US" w:eastAsia="zh-CN"/>
        </w:rPr>
        <w:t>24</w:t>
      </w:r>
    </w:p>
    <w:p w14:paraId="39FD09F4">
      <w:pPr>
        <w:rPr>
          <w:rFonts w:hint="eastAsia"/>
          <w:lang w:val="en-US" w:eastAsia="zh-CN"/>
        </w:rPr>
      </w:pPr>
    </w:p>
    <w:p w14:paraId="4015A908"/>
    <w:bookmarkEnd w:id="14"/>
    <w:p w14:paraId="4B1AB8C5">
      <w:pPr>
        <w:pStyle w:val="3"/>
        <w:jc w:val="center"/>
        <w:rPr>
          <w:rFonts w:hint="eastAsia" w:ascii="黑体" w:eastAsia="黑体"/>
          <w:b w:val="0"/>
        </w:rPr>
      </w:pPr>
    </w:p>
    <w:p w14:paraId="71071324">
      <w:pPr>
        <w:pStyle w:val="3"/>
        <w:jc w:val="center"/>
        <w:rPr>
          <w:rFonts w:hint="eastAsia" w:ascii="黑体" w:eastAsia="黑体"/>
          <w:b w:val="0"/>
        </w:rPr>
      </w:pPr>
    </w:p>
    <w:p w14:paraId="6161FC17">
      <w:pPr>
        <w:pStyle w:val="3"/>
        <w:jc w:val="center"/>
        <w:rPr>
          <w:rFonts w:ascii="黑体" w:eastAsia="黑体"/>
          <w:color w:val="000000"/>
          <w:sz w:val="32"/>
          <w:szCs w:val="32"/>
        </w:rPr>
      </w:pPr>
      <w:r>
        <w:rPr>
          <w:rFonts w:hint="eastAsia" w:ascii="黑体" w:eastAsia="黑体"/>
          <w:b w:val="0"/>
        </w:rPr>
        <w:t xml:space="preserve">第一部分 </w:t>
      </w:r>
      <w:r>
        <w:rPr>
          <w:rStyle w:val="19"/>
          <w:rFonts w:hint="eastAsia" w:ascii="黑体" w:eastAsia="黑体"/>
          <w:b w:val="0"/>
          <w:bCs w:val="0"/>
        </w:rPr>
        <w:t>部门概况</w:t>
      </w:r>
    </w:p>
    <w:p w14:paraId="6C3F1080">
      <w:pPr>
        <w:pStyle w:val="4"/>
        <w:spacing w:before="0" w:after="0" w:line="240" w:lineRule="auto"/>
        <w:ind w:left="640" w:hanging="640" w:hangingChars="200"/>
        <w:rPr>
          <w:rStyle w:val="20"/>
          <w:rFonts w:ascii="黑体" w:eastAsia="黑体"/>
          <w:b w:val="0"/>
          <w:bCs w:val="0"/>
        </w:rPr>
      </w:pPr>
      <w:bookmarkStart w:id="15" w:name="_Toc15377197"/>
      <w:bookmarkStart w:id="16" w:name="_Toc20678"/>
      <w:r>
        <w:rPr>
          <w:rFonts w:hint="eastAsia" w:ascii="黑体" w:eastAsia="黑体"/>
          <w:b w:val="0"/>
          <w:color w:val="000000"/>
        </w:rPr>
        <w:t>一、基</w:t>
      </w:r>
      <w:r>
        <w:rPr>
          <w:rStyle w:val="20"/>
          <w:rFonts w:hint="eastAsia" w:ascii="黑体" w:eastAsia="黑体"/>
          <w:b w:val="0"/>
          <w:bCs w:val="0"/>
        </w:rPr>
        <w:t>本职能及主要工作</w:t>
      </w:r>
      <w:bookmarkEnd w:id="15"/>
      <w:bookmarkEnd w:id="16"/>
      <w:bookmarkStart w:id="17" w:name="_Toc15378445"/>
      <w:bookmarkStart w:id="18" w:name="_Toc15377198"/>
    </w:p>
    <w:p w14:paraId="30C8A84B">
      <w:pPr>
        <w:pStyle w:val="4"/>
        <w:spacing w:before="0" w:after="0" w:line="240" w:lineRule="auto"/>
        <w:ind w:left="642" w:leftChars="153" w:hanging="321" w:hangingChars="100"/>
        <w:rPr>
          <w:rFonts w:ascii="楷体" w:eastAsia="楷体" w:cs="楷体"/>
          <w:color w:val="000000"/>
        </w:rPr>
      </w:pPr>
      <w:bookmarkStart w:id="19" w:name="_Toc31800"/>
      <w:r>
        <w:rPr>
          <w:rFonts w:hint="eastAsia" w:ascii="楷体" w:eastAsia="楷体" w:cs="楷体"/>
          <w:color w:val="000000"/>
        </w:rPr>
        <w:t>（一）主要职能</w:t>
      </w:r>
      <w:bookmarkEnd w:id="17"/>
      <w:bookmarkEnd w:id="18"/>
      <w:bookmarkEnd w:id="19"/>
      <w:bookmarkStart w:id="20" w:name="_Toc15378446"/>
      <w:bookmarkStart w:id="21" w:name="_Toc15377199"/>
    </w:p>
    <w:p w14:paraId="1815C496">
      <w:pPr>
        <w:snapToGrid w:val="0"/>
        <w:spacing w:line="360" w:lineRule="auto"/>
        <w:ind w:firstLine="640" w:firstLineChars="200"/>
        <w:outlineLvl w:val="1"/>
        <w:rPr>
          <w:rFonts w:ascii="仿宋_GB2312" w:eastAsia="仿宋_GB2312" w:cs="仿宋_GB2312"/>
          <w:sz w:val="32"/>
          <w:szCs w:val="32"/>
        </w:rPr>
      </w:pPr>
      <w:bookmarkStart w:id="22" w:name="_Toc32413"/>
      <w:r>
        <w:rPr>
          <w:rFonts w:hint="eastAsia" w:ascii="仿宋_GB2312" w:eastAsia="仿宋_GB2312" w:cs="仿宋_GB2312"/>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河西发展的新局面。</w:t>
      </w:r>
      <w:bookmarkEnd w:id="22"/>
    </w:p>
    <w:p w14:paraId="7612CAA6">
      <w:pPr>
        <w:pStyle w:val="4"/>
        <w:spacing w:before="0" w:after="0" w:line="240" w:lineRule="auto"/>
        <w:ind w:firstLine="321" w:firstLineChars="100"/>
        <w:rPr>
          <w:rFonts w:ascii="楷体" w:eastAsia="楷体" w:cs="楷体"/>
          <w:color w:val="000000"/>
        </w:rPr>
      </w:pPr>
      <w:bookmarkStart w:id="23" w:name="_Toc21487"/>
      <w:r>
        <w:rPr>
          <w:rFonts w:hint="eastAsia" w:ascii="楷体" w:eastAsia="楷体" w:cs="楷体"/>
          <w:color w:val="000000"/>
        </w:rPr>
        <w:t>（二）</w:t>
      </w:r>
      <w:r>
        <w:rPr>
          <w:rFonts w:ascii="楷体" w:eastAsia="楷体" w:cs="楷体"/>
          <w:color w:val="000000"/>
        </w:rPr>
        <w:t>202</w:t>
      </w:r>
      <w:r>
        <w:rPr>
          <w:rFonts w:hint="eastAsia" w:ascii="楷体" w:eastAsia="楷体" w:cs="楷体"/>
          <w:color w:val="000000"/>
        </w:rPr>
        <w:t>1年重点工作完成情况</w:t>
      </w:r>
      <w:bookmarkEnd w:id="20"/>
      <w:bookmarkEnd w:id="21"/>
      <w:bookmarkEnd w:id="23"/>
    </w:p>
    <w:p w14:paraId="62B060F4">
      <w:pPr>
        <w:spacing w:line="560" w:lineRule="exact"/>
        <w:ind w:firstLine="640" w:firstLineChars="200"/>
        <w:rPr>
          <w:rFonts w:ascii="仿宋_GB2312" w:eastAsia="仿宋_GB2312" w:cs="??_GB2312"/>
          <w:sz w:val="32"/>
          <w:szCs w:val="32"/>
          <w:shd w:val="clear" w:color="auto" w:fill="FFFFFF"/>
        </w:rPr>
      </w:pPr>
      <w:bookmarkStart w:id="24" w:name="_Toc15377200"/>
      <w:r>
        <w:rPr>
          <w:rFonts w:hint="eastAsia" w:ascii="仿宋_GB2312" w:eastAsia="仿宋_GB2312" w:cs="??_GB2312"/>
          <w:sz w:val="32"/>
          <w:szCs w:val="32"/>
          <w:shd w:val="clear" w:color="auto" w:fill="FFFFFF"/>
        </w:rPr>
        <w:t>在县委、县政府和乡党委的坚强领导下，乡人民政府</w:t>
      </w:r>
      <w:r>
        <w:rPr>
          <w:rFonts w:hint="eastAsia" w:eastAsia="仿宋_GB2312"/>
          <w:sz w:val="32"/>
          <w:szCs w:val="32"/>
          <w:shd w:val="clear" w:color="auto" w:fill="FFFFFF"/>
        </w:rPr>
        <w:t>坚持以习近平新时代中国特色社会主义思想为指导</w:t>
      </w:r>
      <w:r>
        <w:rPr>
          <w:rFonts w:hint="eastAsia" w:ascii="仿宋" w:eastAsia="仿宋" w:cs="??_GB2312"/>
          <w:sz w:val="32"/>
          <w:szCs w:val="32"/>
          <w:shd w:val="clear" w:color="auto" w:fill="FFFFFF"/>
        </w:rPr>
        <w:t>，</w:t>
      </w:r>
      <w:r>
        <w:rPr>
          <w:rFonts w:hint="eastAsia" w:ascii="仿宋_GB2312" w:eastAsia="仿宋_GB2312" w:cs="??_GB2312"/>
          <w:sz w:val="32"/>
          <w:szCs w:val="32"/>
          <w:shd w:val="clear" w:color="auto" w:fill="FFFFFF"/>
        </w:rPr>
        <w:t>认真贯彻落实中央大政方针和省委、州委、县委重大决策部署，坚持科学发展、高质量发展理念，积极应对脱贫攻坚、新冠肺炎、抢险救灾等复杂严峻的发展形势，统筹推进经济建设、政治建设、文化建设、社会建设和生态文明建设，全面压实主体责任、转变干部作风、细化工作措施，全乡呈现出经济持续稳定发展、民生持续改善、社会和谐稳定、干群奋发有为的良好局面。曾先后荣获“四川省脱贫攻坚先进集体”、“阿坝州脱贫攻坚先进集体”、“金川县先进党组织”等殊荣。</w:t>
      </w:r>
    </w:p>
    <w:p w14:paraId="1DCF75E4">
      <w:pPr>
        <w:spacing w:line="560" w:lineRule="exact"/>
        <w:ind w:firstLine="640" w:firstLineChars="200"/>
        <w:rPr>
          <w:rFonts w:ascii="仿宋_GB2312" w:eastAsia="仿宋_GB2312" w:cs="??_GB2312"/>
          <w:sz w:val="32"/>
          <w:szCs w:val="32"/>
          <w:shd w:val="clear" w:color="auto" w:fill="FFFFFF"/>
        </w:rPr>
      </w:pPr>
      <w:r>
        <w:rPr>
          <w:rFonts w:hint="eastAsia" w:ascii="仿宋_GB2312" w:eastAsia="仿宋_GB2312" w:cs="??_GB2312"/>
          <w:sz w:val="32"/>
          <w:szCs w:val="32"/>
          <w:shd w:val="clear" w:color="auto" w:fill="FFFFFF"/>
        </w:rPr>
        <w:t>一是紧紧围绕影响经济发展和社会稳定的源头性、苗头性、基础性问题，突出重点、综合施策，进一步优化社会环境，促进社会和谐稳定。</w:t>
      </w:r>
    </w:p>
    <w:p w14:paraId="5E233F58">
      <w:pPr>
        <w:pStyle w:val="2"/>
        <w:spacing w:line="560" w:lineRule="exact"/>
        <w:ind w:left="0" w:leftChars="0" w:firstLine="640" w:firstLineChars="200"/>
        <w:rPr>
          <w:rFonts w:eastAsia="仿宋_GB2312"/>
          <w:sz w:val="32"/>
          <w:szCs w:val="32"/>
          <w:shd w:val="clear" w:color="auto" w:fill="FFFFFF"/>
        </w:rPr>
      </w:pPr>
      <w:r>
        <w:rPr>
          <w:rFonts w:hint="eastAsia" w:ascii="仿宋_GB2312" w:eastAsia="仿宋_GB2312" w:cs="??_GB2312"/>
          <w:sz w:val="32"/>
          <w:szCs w:val="32"/>
          <w:shd w:val="clear" w:color="auto" w:fill="FFFFFF"/>
        </w:rPr>
        <w:t>二是</w:t>
      </w:r>
      <w:r>
        <w:rPr>
          <w:rFonts w:hint="eastAsia" w:eastAsia="仿宋_GB2312"/>
          <w:sz w:val="32"/>
          <w:szCs w:val="32"/>
          <w:shd w:val="clear" w:color="auto" w:fill="FFFFFF"/>
        </w:rPr>
        <w:t>自新冠疫情发生以来，全乡上下众志成城、争分夺秒，用实际行动投入疫情防控阻击战，党员干部率先垂范、冲锋在前、勇于担当，人民群众主动参与、甘于奉献、守望相助，迅速筑起疫情防控坚实防线。我们始终坚持“人民至上、生命至上”，认真贯彻落实中央和省州县疫情防控决策部署。</w:t>
      </w:r>
    </w:p>
    <w:p w14:paraId="08B281F0">
      <w:pPr>
        <w:spacing w:line="560" w:lineRule="exact"/>
        <w:ind w:firstLine="640" w:firstLineChars="200"/>
        <w:rPr>
          <w:rFonts w:ascii="仿宋_GB2312" w:eastAsia="仿宋_GB2312" w:cs="??_GB2312"/>
          <w:sz w:val="32"/>
          <w:szCs w:val="32"/>
          <w:shd w:val="clear" w:color="auto" w:fill="FFFFFF"/>
        </w:rPr>
      </w:pPr>
      <w:r>
        <w:rPr>
          <w:rFonts w:hint="eastAsia" w:eastAsia="仿宋_GB2312"/>
          <w:sz w:val="32"/>
          <w:szCs w:val="32"/>
          <w:shd w:val="clear" w:color="auto" w:fill="FFFFFF"/>
        </w:rPr>
        <w:t>三是</w:t>
      </w:r>
      <w:r>
        <w:rPr>
          <w:rFonts w:hint="eastAsia" w:ascii="仿宋_GB2312" w:eastAsia="仿宋_GB2312" w:cs="??_GB2312"/>
          <w:sz w:val="32"/>
          <w:szCs w:val="32"/>
          <w:shd w:val="clear" w:color="auto" w:fill="FFFFFF"/>
        </w:rPr>
        <w:t>围绕项目建设主线，着力优化发展环境，下好项目建设“先手棋”，五年来，我乡争取基础设施建设项目总投资2.631亿元，有力助推经济社会跨越发展。</w:t>
      </w:r>
    </w:p>
    <w:p w14:paraId="30138201">
      <w:pPr>
        <w:pStyle w:val="2"/>
        <w:spacing w:line="560" w:lineRule="exact"/>
        <w:ind w:left="0" w:leftChars="0" w:firstLine="640" w:firstLineChars="200"/>
        <w:rPr>
          <w:rFonts w:ascii="仿宋_GB2312" w:eastAsia="仿宋_GB2312" w:cs="仿宋_GB2312"/>
          <w:color w:val="000000"/>
          <w:sz w:val="32"/>
          <w:szCs w:val="32"/>
          <w:shd w:val="clear" w:color="auto" w:fill="FFFFFF"/>
        </w:rPr>
      </w:pPr>
      <w:r>
        <w:rPr>
          <w:rFonts w:hint="eastAsia" w:ascii="仿宋_GB2312" w:eastAsia="仿宋_GB2312" w:cs="??_GB2312"/>
          <w:sz w:val="32"/>
          <w:szCs w:val="32"/>
          <w:shd w:val="clear" w:color="auto" w:fill="FFFFFF"/>
        </w:rPr>
        <w:t>四是</w:t>
      </w:r>
      <w:r>
        <w:rPr>
          <w:rFonts w:hint="eastAsia" w:ascii="仿宋_GB2312" w:eastAsia="仿宋_GB2312" w:cs="仿宋_GB2312"/>
          <w:kern w:val="0"/>
          <w:sz w:val="32"/>
          <w:szCs w:val="32"/>
        </w:rPr>
        <w:t>始终坚持以习近平生态文明思想为指引，认真践行“绿水青山就是金山银山</w:t>
      </w:r>
      <w:r>
        <w:rPr>
          <w:rFonts w:hint="eastAsia" w:ascii="仿宋_GB2312" w:eastAsia="仿宋_GB2312" w:cs="仿宋_GB2312"/>
          <w:color w:val="000000"/>
          <w:sz w:val="32"/>
          <w:szCs w:val="32"/>
          <w:shd w:val="clear" w:color="auto" w:fill="FFFFFF"/>
        </w:rPr>
        <w:t>”“重在保护、要在治理、高质量发展”理念，切实把生态环境保护摆在压倒性</w:t>
      </w:r>
      <w:r>
        <w:rPr>
          <w:rFonts w:hint="eastAsia" w:ascii="仿宋_GB2312" w:eastAsia="仿宋_GB2312" w:cs="??_GB2312"/>
          <w:sz w:val="32"/>
          <w:szCs w:val="32"/>
          <w:shd w:val="clear" w:color="auto" w:fill="FFFFFF"/>
        </w:rPr>
        <w:t>位置</w:t>
      </w:r>
      <w:r>
        <w:rPr>
          <w:rFonts w:hint="eastAsia" w:ascii="仿宋_GB2312" w:eastAsia="仿宋_GB2312" w:cs="仿宋_GB2312"/>
          <w:color w:val="000000"/>
          <w:sz w:val="32"/>
          <w:szCs w:val="32"/>
          <w:shd w:val="clear" w:color="auto" w:fill="FFFFFF"/>
        </w:rPr>
        <w:t>，共抓大保护、不搞大开发。</w:t>
      </w:r>
    </w:p>
    <w:p w14:paraId="114CEDFA">
      <w:pPr>
        <w:spacing w:line="560" w:lineRule="exact"/>
        <w:ind w:firstLine="640" w:firstLineChars="200"/>
        <w:rPr>
          <w:rFonts w:eastAsia="仿宋_GB2312"/>
          <w:sz w:val="32"/>
          <w:szCs w:val="32"/>
          <w:shd w:val="clear" w:color="auto" w:fill="FFFFFF"/>
        </w:rPr>
      </w:pPr>
      <w:r>
        <w:rPr>
          <w:rFonts w:hint="eastAsia" w:ascii="仿宋_GB2312" w:eastAsia="仿宋_GB2312" w:cs="仿宋_GB2312"/>
          <w:color w:val="000000"/>
          <w:sz w:val="32"/>
          <w:szCs w:val="32"/>
          <w:shd w:val="clear" w:color="auto" w:fill="FFFFFF"/>
        </w:rPr>
        <w:t>五是</w:t>
      </w:r>
      <w:r>
        <w:rPr>
          <w:rFonts w:hint="eastAsia" w:eastAsia="仿宋_GB2312"/>
          <w:sz w:val="32"/>
          <w:szCs w:val="32"/>
          <w:shd w:val="clear" w:color="auto" w:fill="FFFFFF"/>
        </w:rPr>
        <w:t>坚定贯彻总体国家安全观，旗帜鲜明开展反分维稳斗争，</w:t>
      </w:r>
      <w:r>
        <w:rPr>
          <w:rFonts w:hint="eastAsia" w:eastAsia="仿宋_GB2312"/>
          <w:sz w:val="32"/>
          <w:szCs w:val="32"/>
          <w:shd w:val="clear" w:color="auto" w:fill="FFFFFF"/>
          <w:lang w:eastAsia="zh-CN"/>
        </w:rPr>
        <w:t>扫黑除恶专项斗争</w:t>
      </w:r>
      <w:r>
        <w:rPr>
          <w:rFonts w:hint="eastAsia" w:eastAsia="仿宋_GB2312"/>
          <w:sz w:val="32"/>
          <w:szCs w:val="32"/>
          <w:shd w:val="clear" w:color="auto" w:fill="FFFFFF"/>
        </w:rPr>
        <w:t>强力推进，“天</w:t>
      </w:r>
      <w:r>
        <w:rPr>
          <w:rFonts w:eastAsia="仿宋_GB2312"/>
          <w:sz w:val="32"/>
          <w:szCs w:val="32"/>
          <w:shd w:val="clear" w:color="auto" w:fill="FFFFFF"/>
        </w:rPr>
        <w:t>网</w:t>
      </w:r>
      <w:r>
        <w:rPr>
          <w:rFonts w:hint="eastAsia" w:eastAsia="仿宋_GB2312"/>
          <w:sz w:val="32"/>
          <w:szCs w:val="32"/>
          <w:shd w:val="clear" w:color="auto" w:fill="FFFFFF"/>
        </w:rPr>
        <w:t>”“雪亮”工程拓展延伸，平安防线牢不可破，“两</w:t>
      </w:r>
      <w:r>
        <w:rPr>
          <w:rFonts w:eastAsia="仿宋_GB2312"/>
          <w:sz w:val="32"/>
          <w:szCs w:val="32"/>
          <w:shd w:val="clear" w:color="auto" w:fill="FFFFFF"/>
        </w:rPr>
        <w:t>项</w:t>
      </w:r>
      <w:r>
        <w:rPr>
          <w:rFonts w:hint="eastAsia" w:eastAsia="仿宋_GB2312"/>
          <w:sz w:val="32"/>
          <w:szCs w:val="32"/>
          <w:shd w:val="clear" w:color="auto" w:fill="FFFFFF"/>
        </w:rPr>
        <w:t>”改革调整优化2个村。</w:t>
      </w:r>
    </w:p>
    <w:p w14:paraId="5745FAD9">
      <w:pPr>
        <w:pStyle w:val="2"/>
        <w:spacing w:line="560" w:lineRule="exact"/>
        <w:ind w:left="0" w:leftChars="0" w:firstLine="640" w:firstLineChars="200"/>
      </w:pPr>
      <w:r>
        <w:rPr>
          <w:rFonts w:hint="eastAsia" w:eastAsia="仿宋_GB2312"/>
          <w:sz w:val="32"/>
          <w:szCs w:val="32"/>
          <w:shd w:val="clear" w:color="auto" w:fill="FFFFFF"/>
        </w:rPr>
        <w:t>六是</w:t>
      </w:r>
      <w:r>
        <w:rPr>
          <w:rFonts w:hint="eastAsia" w:ascii="仿宋_GB2312" w:eastAsia="仿宋_GB2312" w:cs="仿宋_GB2312"/>
          <w:sz w:val="32"/>
          <w:szCs w:val="32"/>
        </w:rPr>
        <w:t>近两年来，持续强降雨致使全乡境内基础设施、农作物、房屋等财产遭受严重损毁，全乡百姓生命财产安全遭受严重威胁，防汛工作经受严重考验。</w:t>
      </w:r>
      <w:r>
        <w:rPr>
          <w:rStyle w:val="29"/>
          <w:rFonts w:hint="eastAsia" w:ascii="仿宋_GB2312" w:eastAsia="仿宋_GB2312" w:cs="仿宋_GB2312"/>
          <w:sz w:val="32"/>
          <w:szCs w:val="32"/>
        </w:rPr>
        <w:t>我们始终坚持把守护人民群众的生命财产安全作为践行初心使命、体现责任担当的试金石。</w:t>
      </w:r>
    </w:p>
    <w:p w14:paraId="1E4DF8A1">
      <w:pPr>
        <w:spacing w:line="578" w:lineRule="exact"/>
        <w:ind w:firstLine="640" w:firstLineChars="200"/>
        <w:rPr>
          <w:rStyle w:val="20"/>
          <w:b w:val="0"/>
          <w:bCs w:val="0"/>
        </w:rPr>
      </w:pPr>
      <w:bookmarkStart w:id="25" w:name="_Toc15978"/>
      <w:r>
        <w:rPr>
          <w:rStyle w:val="20"/>
          <w:rFonts w:hint="eastAsia" w:ascii="黑体" w:eastAsia="黑体"/>
          <w:b w:val="0"/>
          <w:bCs w:val="0"/>
        </w:rPr>
        <w:t>二、机构设置</w:t>
      </w:r>
      <w:bookmarkEnd w:id="24"/>
    </w:p>
    <w:bookmarkEnd w:id="25"/>
    <w:p w14:paraId="6F2B1589">
      <w:pPr>
        <w:snapToGrid w:val="0"/>
        <w:spacing w:line="560" w:lineRule="exact"/>
        <w:ind w:firstLine="640" w:firstLineChars="200"/>
        <w:rPr>
          <w:rFonts w:ascii="仿宋_GB2312" w:eastAsia="仿宋_GB2312" w:cs="仿宋_GB2312"/>
          <w:bCs/>
          <w:sz w:val="32"/>
        </w:rPr>
      </w:pPr>
      <w:bookmarkStart w:id="26" w:name="_Toc15377204"/>
      <w:r>
        <w:rPr>
          <w:rFonts w:hint="eastAsia" w:ascii="仿宋_GB2312" w:eastAsia="仿宋_GB2312" w:cs="仿宋_GB2312"/>
          <w:bCs/>
          <w:sz w:val="32"/>
        </w:rPr>
        <w:t>我乡20</w:t>
      </w:r>
      <w:r>
        <w:rPr>
          <w:rFonts w:ascii="仿宋_GB2312" w:eastAsia="仿宋_GB2312" w:cs="仿宋_GB2312"/>
          <w:bCs/>
          <w:sz w:val="32"/>
        </w:rPr>
        <w:t>2</w:t>
      </w:r>
      <w:r>
        <w:rPr>
          <w:rFonts w:hint="eastAsia" w:ascii="仿宋_GB2312" w:eastAsia="仿宋_GB2312" w:cs="仿宋_GB2312"/>
          <w:bCs/>
          <w:sz w:val="32"/>
        </w:rPr>
        <w:t>1年有4个机构，较上年无变动。我乡本年度年末实有人数为32人，比上年行政人员增加6人，事业人员14人，由于编制空缺，有人员新进及调进；年末实有离退休人数为0人，无变动。（行政人员17，机关工勤1人，事业人员14人）。</w:t>
      </w:r>
    </w:p>
    <w:p w14:paraId="6FC9FEB3">
      <w:pPr>
        <w:snapToGrid w:val="0"/>
        <w:spacing w:line="360" w:lineRule="auto"/>
        <w:ind w:firstLine="640" w:firstLineChars="200"/>
        <w:rPr>
          <w:rFonts w:ascii="仿宋_GB2312" w:eastAsia="仿宋_GB2312"/>
          <w:sz w:val="32"/>
          <w:szCs w:val="32"/>
        </w:rPr>
      </w:pPr>
    </w:p>
    <w:p w14:paraId="31472597">
      <w:pPr>
        <w:pStyle w:val="3"/>
        <w:ind w:right="440"/>
        <w:jc w:val="right"/>
      </w:pPr>
      <w:bookmarkStart w:id="27" w:name="_Toc32723"/>
      <w:r>
        <w:rPr>
          <w:rFonts w:hint="eastAsia" w:ascii="黑体" w:eastAsia="黑体"/>
          <w:b w:val="0"/>
          <w:color w:val="000000"/>
        </w:rPr>
        <w:t>第二部分</w:t>
      </w:r>
      <w:r>
        <w:rPr>
          <w:rFonts w:hint="eastAsia" w:ascii="黑体" w:eastAsia="黑体"/>
          <w:color w:val="000000"/>
        </w:rPr>
        <w:t xml:space="preserve"> </w:t>
      </w:r>
      <w:r>
        <w:rPr>
          <w:rStyle w:val="19"/>
          <w:rFonts w:ascii="黑体" w:eastAsia="黑体"/>
          <w:b w:val="0"/>
          <w:bCs w:val="0"/>
        </w:rPr>
        <w:t>202</w:t>
      </w:r>
      <w:r>
        <w:rPr>
          <w:rStyle w:val="19"/>
          <w:rFonts w:hint="eastAsia" w:ascii="黑体" w:eastAsia="黑体"/>
          <w:b w:val="0"/>
          <w:bCs w:val="0"/>
        </w:rPr>
        <w:t>1年度部门决算情况说明</w:t>
      </w:r>
      <w:bookmarkEnd w:id="26"/>
      <w:bookmarkEnd w:id="27"/>
    </w:p>
    <w:p w14:paraId="56CBA052">
      <w:pPr>
        <w:pStyle w:val="26"/>
        <w:numPr>
          <w:ilvl w:val="0"/>
          <w:numId w:val="1"/>
        </w:numPr>
        <w:ind w:left="0" w:firstLine="0" w:firstLineChars="0"/>
        <w:outlineLvl w:val="1"/>
        <w:rPr>
          <w:rStyle w:val="20"/>
          <w:rFonts w:ascii="黑体" w:eastAsia="黑体"/>
          <w:b w:val="0"/>
        </w:rPr>
      </w:pPr>
      <w:bookmarkStart w:id="28" w:name="_Toc15377205"/>
      <w:bookmarkStart w:id="29" w:name="_Toc14461"/>
      <w:r>
        <w:rPr>
          <w:rFonts w:hint="eastAsia" w:ascii="黑体" w:eastAsia="黑体"/>
          <w:color w:val="000000"/>
          <w:sz w:val="32"/>
          <w:szCs w:val="32"/>
        </w:rPr>
        <w:t>收</w:t>
      </w:r>
      <w:r>
        <w:rPr>
          <w:rStyle w:val="20"/>
          <w:rFonts w:hint="eastAsia" w:ascii="黑体" w:eastAsia="黑体"/>
          <w:b w:val="0"/>
        </w:rPr>
        <w:t>入支出决算总体情况说明</w:t>
      </w:r>
      <w:bookmarkEnd w:id="28"/>
      <w:bookmarkEnd w:id="29"/>
    </w:p>
    <w:p w14:paraId="347DF17A">
      <w:pPr>
        <w:snapToGrid w:val="0"/>
        <w:spacing w:line="520" w:lineRule="exact"/>
        <w:ind w:firstLine="632" w:firstLineChars="200"/>
        <w:rPr>
          <w:rFonts w:ascii="仿宋_GB2312" w:eastAsia="仿宋_GB2312"/>
          <w:color w:val="000000"/>
          <w:spacing w:val="-2"/>
          <w:sz w:val="32"/>
          <w:szCs w:val="32"/>
        </w:rPr>
      </w:pPr>
      <w:r>
        <w:rPr>
          <w:rFonts w:ascii="仿宋_GB2312" w:eastAsia="仿宋_GB2312"/>
          <w:color w:val="000000"/>
          <w:spacing w:val="-2"/>
          <w:sz w:val="32"/>
          <w:szCs w:val="32"/>
        </w:rPr>
        <w:t>202</w:t>
      </w:r>
      <w:r>
        <w:rPr>
          <w:rFonts w:hint="eastAsia" w:ascii="仿宋_GB2312" w:eastAsia="仿宋_GB2312"/>
          <w:color w:val="000000"/>
          <w:spacing w:val="-2"/>
          <w:sz w:val="32"/>
          <w:szCs w:val="32"/>
        </w:rPr>
        <w:t>1年度总收入</w:t>
      </w:r>
      <w:r>
        <w:rPr>
          <w:rFonts w:hint="eastAsia" w:ascii="仿宋_GB2312" w:eastAsia="仿宋_GB2312"/>
          <w:color w:val="000000"/>
          <w:sz w:val="32"/>
          <w:szCs w:val="32"/>
          <w:shd w:val="clear" w:color="auto" w:fill="FFFFFF"/>
          <w:lang w:val="en-US" w:eastAsia="zh-CN"/>
        </w:rPr>
        <w:t>1103.72</w:t>
      </w:r>
      <w:r>
        <w:rPr>
          <w:rFonts w:hint="eastAsia" w:ascii="仿宋_GB2312" w:eastAsia="仿宋_GB2312"/>
          <w:color w:val="000000"/>
          <w:spacing w:val="-2"/>
          <w:sz w:val="32"/>
          <w:szCs w:val="32"/>
        </w:rPr>
        <w:t>万元，较上年收入增加</w:t>
      </w:r>
      <w:r>
        <w:rPr>
          <w:rFonts w:hint="eastAsia" w:ascii="仿宋_GB2312" w:eastAsia="仿宋_GB2312"/>
          <w:color w:val="000000"/>
          <w:spacing w:val="-2"/>
          <w:sz w:val="32"/>
          <w:szCs w:val="32"/>
          <w:lang w:val="en-US" w:eastAsia="zh-CN"/>
        </w:rPr>
        <w:t>285.35</w:t>
      </w:r>
      <w:r>
        <w:rPr>
          <w:rFonts w:hint="eastAsia" w:ascii="仿宋_GB2312" w:eastAsia="仿宋_GB2312"/>
          <w:color w:val="000000"/>
          <w:spacing w:val="-2"/>
          <w:sz w:val="32"/>
          <w:szCs w:val="32"/>
        </w:rPr>
        <w:t>万元，增加</w:t>
      </w:r>
      <w:r>
        <w:rPr>
          <w:rFonts w:hint="eastAsia" w:ascii="仿宋_GB2312" w:eastAsia="仿宋_GB2312"/>
          <w:color w:val="000000"/>
          <w:spacing w:val="-2"/>
          <w:sz w:val="32"/>
          <w:szCs w:val="32"/>
          <w:lang w:val="en-US" w:eastAsia="zh-CN"/>
        </w:rPr>
        <w:t>34.87</w:t>
      </w:r>
      <w:r>
        <w:rPr>
          <w:rFonts w:hint="eastAsia" w:ascii="仿宋_GB2312" w:eastAsia="仿宋_GB2312"/>
          <w:color w:val="000000"/>
          <w:spacing w:val="-2"/>
          <w:sz w:val="32"/>
          <w:szCs w:val="32"/>
        </w:rPr>
        <w:t>%。增加的主要原因是</w:t>
      </w:r>
      <w:r>
        <w:rPr>
          <w:rFonts w:ascii="仿宋_GB2312" w:eastAsia="仿宋_GB2312"/>
          <w:color w:val="000000"/>
          <w:spacing w:val="-2"/>
          <w:sz w:val="32"/>
          <w:szCs w:val="32"/>
        </w:rPr>
        <w:t>202</w:t>
      </w:r>
      <w:r>
        <w:rPr>
          <w:rFonts w:hint="eastAsia" w:ascii="仿宋_GB2312" w:eastAsia="仿宋_GB2312"/>
          <w:color w:val="000000"/>
          <w:spacing w:val="-2"/>
          <w:sz w:val="32"/>
          <w:szCs w:val="32"/>
        </w:rPr>
        <w:t>1年人员增加，工资变动。</w:t>
      </w:r>
    </w:p>
    <w:p w14:paraId="53100805">
      <w:pPr>
        <w:snapToGrid w:val="0"/>
        <w:spacing w:line="520" w:lineRule="exact"/>
        <w:ind w:firstLine="632" w:firstLineChars="200"/>
        <w:rPr>
          <w:rFonts w:ascii="仿宋" w:eastAsia="仿宋"/>
          <w:sz w:val="32"/>
          <w:szCs w:val="32"/>
        </w:rPr>
      </w:pPr>
      <w:r>
        <w:rPr>
          <w:rFonts w:ascii="仿宋_GB2312" w:eastAsia="仿宋_GB2312"/>
          <w:spacing w:val="-2"/>
          <w:sz w:val="32"/>
          <w:szCs w:val="32"/>
        </w:rPr>
        <w:t>202</w:t>
      </w:r>
      <w:r>
        <w:rPr>
          <w:rFonts w:hint="eastAsia" w:ascii="仿宋_GB2312" w:eastAsia="仿宋_GB2312"/>
          <w:spacing w:val="-2"/>
          <w:sz w:val="32"/>
          <w:szCs w:val="32"/>
        </w:rPr>
        <w:t>1年总支出</w:t>
      </w:r>
      <w:r>
        <w:rPr>
          <w:rFonts w:hint="eastAsia" w:ascii="仿宋_GB2312" w:eastAsia="仿宋_GB2312"/>
          <w:color w:val="000000"/>
          <w:sz w:val="32"/>
          <w:szCs w:val="32"/>
          <w:shd w:val="clear" w:color="auto" w:fill="FFFFFF"/>
          <w:lang w:val="en-US" w:eastAsia="zh-CN"/>
        </w:rPr>
        <w:t>1103.72</w:t>
      </w:r>
      <w:r>
        <w:rPr>
          <w:rFonts w:hint="eastAsia" w:ascii="仿宋_GB2312" w:eastAsia="仿宋_GB2312"/>
          <w:spacing w:val="-2"/>
          <w:sz w:val="32"/>
          <w:szCs w:val="32"/>
        </w:rPr>
        <w:t>万元，较上年支出增加</w:t>
      </w:r>
      <w:r>
        <w:rPr>
          <w:rFonts w:hint="eastAsia" w:ascii="仿宋_GB2312" w:eastAsia="仿宋_GB2312"/>
          <w:color w:val="000000"/>
          <w:spacing w:val="-2"/>
          <w:sz w:val="32"/>
          <w:szCs w:val="32"/>
          <w:lang w:val="en-US" w:eastAsia="zh-CN"/>
        </w:rPr>
        <w:t>285.35</w:t>
      </w:r>
      <w:r>
        <w:rPr>
          <w:rFonts w:hint="eastAsia" w:ascii="仿宋_GB2312" w:eastAsia="仿宋_GB2312"/>
          <w:spacing w:val="-2"/>
          <w:sz w:val="32"/>
          <w:szCs w:val="32"/>
        </w:rPr>
        <w:t>万元，增加</w:t>
      </w:r>
      <w:r>
        <w:rPr>
          <w:rFonts w:hint="eastAsia" w:ascii="仿宋_GB2312" w:eastAsia="仿宋_GB2312"/>
          <w:color w:val="000000"/>
          <w:spacing w:val="-2"/>
          <w:sz w:val="32"/>
          <w:szCs w:val="32"/>
          <w:lang w:val="en-US" w:eastAsia="zh-CN"/>
        </w:rPr>
        <w:t>34.87</w:t>
      </w:r>
      <w:r>
        <w:rPr>
          <w:rFonts w:hint="eastAsia" w:ascii="仿宋_GB2312" w:eastAsia="仿宋_GB2312"/>
          <w:spacing w:val="-2"/>
          <w:sz w:val="32"/>
          <w:szCs w:val="32"/>
        </w:rPr>
        <w:t>%。主要原因一是当年部门预算安排项目经费较上年有所增加；二是</w:t>
      </w:r>
      <w:r>
        <w:rPr>
          <w:rFonts w:ascii="仿宋_GB2312" w:eastAsia="仿宋_GB2312"/>
          <w:spacing w:val="-2"/>
          <w:sz w:val="32"/>
          <w:szCs w:val="32"/>
        </w:rPr>
        <w:t>202</w:t>
      </w:r>
      <w:r>
        <w:rPr>
          <w:rFonts w:hint="eastAsia" w:ascii="仿宋_GB2312" w:eastAsia="仿宋_GB2312"/>
          <w:spacing w:val="-2"/>
          <w:sz w:val="32"/>
          <w:szCs w:val="32"/>
        </w:rPr>
        <w:t>1年人员增加经费支出增加。</w:t>
      </w:r>
    </w:p>
    <w:p w14:paraId="3662C4DA">
      <w:pPr>
        <w:snapToGrid w:val="0"/>
        <w:spacing w:line="520" w:lineRule="exact"/>
        <w:ind w:firstLine="632" w:firstLineChars="200"/>
        <w:rPr>
          <w:rFonts w:hint="eastAsia" w:ascii="仿宋_GB2312" w:eastAsia="仿宋_GB2312"/>
          <w:spacing w:val="-2"/>
          <w:sz w:val="32"/>
          <w:szCs w:val="32"/>
        </w:rPr>
      </w:pPr>
      <w:r>
        <w:rPr>
          <w:rFonts w:hint="eastAsia" w:ascii="仿宋_GB2312" w:eastAsia="仿宋_GB2312"/>
          <w:spacing w:val="-2"/>
          <w:sz w:val="32"/>
          <w:szCs w:val="32"/>
        </w:rPr>
        <w:drawing>
          <wp:anchor distT="0" distB="0" distL="114300" distR="114300" simplePos="0" relativeHeight="251659264" behindDoc="0" locked="0" layoutInCell="1" allowOverlap="1">
            <wp:simplePos x="0" y="0"/>
            <wp:positionH relativeFrom="column">
              <wp:posOffset>308610</wp:posOffset>
            </wp:positionH>
            <wp:positionV relativeFrom="paragraph">
              <wp:posOffset>45720</wp:posOffset>
            </wp:positionV>
            <wp:extent cx="5080000" cy="2582545"/>
            <wp:effectExtent l="0" t="0" r="0" b="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30" w:name="_Toc15377206"/>
      <w:r>
        <w:rPr>
          <w:rFonts w:hint="eastAsia" w:ascii="仿宋_GB2312" w:eastAsia="仿宋_GB2312"/>
          <w:spacing w:val="-2"/>
          <w:sz w:val="32"/>
          <w:szCs w:val="32"/>
        </w:rPr>
        <w:t>二、收入决算情况说明</w:t>
      </w:r>
      <w:bookmarkEnd w:id="30"/>
    </w:p>
    <w:p w14:paraId="6064422F">
      <w:pPr>
        <w:snapToGrid w:val="0"/>
        <w:spacing w:line="520" w:lineRule="exact"/>
        <w:ind w:firstLine="632" w:firstLineChars="200"/>
        <w:rPr>
          <w:rFonts w:hint="eastAsia" w:ascii="仿宋_GB2312" w:eastAsia="仿宋_GB2312"/>
          <w:spacing w:val="-2"/>
          <w:sz w:val="32"/>
          <w:szCs w:val="32"/>
        </w:rPr>
      </w:pPr>
      <w:r>
        <w:rPr>
          <w:rFonts w:hint="eastAsia" w:ascii="仿宋_GB2312" w:eastAsia="仿宋_GB2312"/>
          <w:spacing w:val="-2"/>
          <w:sz w:val="32"/>
          <w:szCs w:val="32"/>
          <w:lang w:val="en-US" w:eastAsia="zh-CN"/>
        </w:rPr>
        <w:t>2021年本年收入合计1,097.77万元，其中：一般公共预算财政拨款收入816.58万元，占74.39%；政府性基金预算财政拨款收入281.19万元，占25.61%；国有资本经营预算财政拨款收入0.00万元，占0.00%；上级补助收入0.00万元，占0.00%；事业收入0.00万元，占0.00%%；经营收入0.00万元，占0.00%%；附属单位上缴收入0.00万元，占0.00%；其他收入0.00万元，占0.00%。</w:t>
      </w:r>
    </w:p>
    <w:p w14:paraId="7480AF30">
      <w:pPr>
        <w:pStyle w:val="14"/>
        <w:keepNext w:val="0"/>
        <w:keepLines w:val="0"/>
        <w:widowControl/>
        <w:suppressLineNumbers w:val="0"/>
        <w:snapToGrid w:val="0"/>
        <w:spacing w:before="0" w:beforeAutospacing="0" w:after="0" w:afterAutospacing="1"/>
        <w:ind w:left="0" w:right="0" w:firstLine="632" w:firstLineChars="200"/>
        <w:jc w:val="left"/>
        <w:rPr>
          <w:rFonts w:hint="eastAsia" w:ascii="仿宋_GB2312" w:eastAsia="仿宋_GB2312" w:cs="Times New Roman"/>
          <w:spacing w:val="-2"/>
          <w:kern w:val="2"/>
          <w:sz w:val="32"/>
          <w:szCs w:val="32"/>
          <w:lang w:val="en-US" w:eastAsia="zh-CN" w:bidi="ar-SA"/>
        </w:rPr>
      </w:pPr>
      <w:r>
        <w:rPr>
          <w:rFonts w:hint="eastAsia" w:ascii="仿宋_GB2312" w:eastAsia="仿宋_GB2312" w:cs="Times New Roman"/>
          <w:spacing w:val="-2"/>
          <w:kern w:val="2"/>
          <w:sz w:val="32"/>
          <w:szCs w:val="32"/>
          <w:lang w:val="en-US" w:eastAsia="zh-CN" w:bidi="ar-SA"/>
        </w:rPr>
        <w:t>2021年本年支出合计1,103.72万元，其中：基本支出599.19万元，占54.29%；项目支出504.54万元，占45.71%；上缴上级支出0.00万元，占0.00%；经营支出0.00万元，占经营支出0.00万元，占 0.00%；对附属单位补助支出0.00万元，占0.00%。</w:t>
      </w:r>
    </w:p>
    <w:p w14:paraId="131D78A6">
      <w:pPr>
        <w:pStyle w:val="2"/>
        <w:ind w:left="0" w:leftChars="0" w:firstLine="0" w:firstLineChars="0"/>
      </w:pPr>
      <w:r>
        <w:rPr>
          <w:rFonts w:hint="eastAsia"/>
        </w:rPr>
        <w:drawing>
          <wp:inline distT="0" distB="0" distL="114300" distR="114300">
            <wp:extent cx="5079365" cy="3810000"/>
            <wp:effectExtent l="0" t="0" r="0" b="0"/>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C808734">
      <w:pPr>
        <w:spacing w:line="600" w:lineRule="exact"/>
        <w:ind w:firstLine="640" w:firstLineChars="200"/>
        <w:outlineLvl w:val="1"/>
        <w:rPr>
          <w:rStyle w:val="20"/>
          <w:rFonts w:ascii="黑体" w:eastAsia="黑体"/>
          <w:b w:val="0"/>
        </w:rPr>
      </w:pPr>
      <w:bookmarkStart w:id="31" w:name="_Toc15377208"/>
      <w:bookmarkStart w:id="32" w:name="_Toc27948"/>
      <w:r>
        <w:rPr>
          <w:rFonts w:hint="eastAsia" w:ascii="黑体" w:eastAsia="黑体"/>
          <w:color w:val="000000"/>
          <w:sz w:val="32"/>
          <w:szCs w:val="32"/>
        </w:rPr>
        <w:t>四、财</w:t>
      </w:r>
      <w:r>
        <w:rPr>
          <w:rStyle w:val="20"/>
          <w:rFonts w:hint="eastAsia" w:ascii="黑体" w:eastAsia="黑体"/>
          <w:b w:val="0"/>
        </w:rPr>
        <w:t>政拨款收入支出决算总体情况说明</w:t>
      </w:r>
      <w:bookmarkEnd w:id="31"/>
      <w:bookmarkEnd w:id="32"/>
    </w:p>
    <w:p w14:paraId="2DAC0CD4">
      <w:pPr>
        <w:snapToGrid w:val="0"/>
        <w:spacing w:line="520" w:lineRule="exact"/>
        <w:ind w:firstLine="640" w:firstLineChars="200"/>
        <w:rPr>
          <w:rFonts w:ascii="仿宋_GB2312" w:eastAsia="仿宋_GB2312"/>
          <w:color w:val="000000"/>
          <w:spacing w:val="-2"/>
          <w:sz w:val="32"/>
          <w:szCs w:val="32"/>
        </w:rPr>
      </w:pPr>
      <w:r>
        <w:rPr>
          <w:rFonts w:ascii="仿宋" w:eastAsia="仿宋"/>
          <w:color w:val="000000"/>
          <w:sz w:val="32"/>
          <w:szCs w:val="32"/>
        </w:rPr>
        <w:t>202</w:t>
      </w:r>
      <w:r>
        <w:rPr>
          <w:rFonts w:hint="eastAsia" w:ascii="仿宋" w:eastAsia="仿宋"/>
          <w:color w:val="000000"/>
          <w:sz w:val="32"/>
          <w:szCs w:val="32"/>
        </w:rPr>
        <w:t>1年财政拨款收入</w:t>
      </w:r>
      <w:r>
        <w:rPr>
          <w:rFonts w:hint="eastAsia" w:ascii="仿宋" w:eastAsia="仿宋"/>
          <w:color w:val="000000"/>
          <w:sz w:val="32"/>
          <w:szCs w:val="32"/>
          <w:lang w:val="en-US" w:eastAsia="zh-CN"/>
        </w:rPr>
        <w:t>1103.72</w:t>
      </w:r>
      <w:r>
        <w:rPr>
          <w:rFonts w:hint="eastAsia" w:ascii="仿宋" w:eastAsia="仿宋"/>
          <w:color w:val="000000"/>
          <w:sz w:val="32"/>
          <w:szCs w:val="32"/>
        </w:rPr>
        <w:t>万元。与2020年相比，一般公共预算财政拨款收入</w:t>
      </w:r>
      <w:r>
        <w:rPr>
          <w:rFonts w:hint="eastAsia" w:ascii="仿宋_GB2312" w:eastAsia="仿宋_GB2312"/>
          <w:color w:val="000000"/>
          <w:spacing w:val="-2"/>
          <w:sz w:val="32"/>
          <w:szCs w:val="32"/>
        </w:rPr>
        <w:t>较上年收入增加</w:t>
      </w:r>
      <w:r>
        <w:rPr>
          <w:rFonts w:hint="eastAsia" w:ascii="仿宋_GB2312" w:eastAsia="仿宋_GB2312"/>
          <w:color w:val="000000"/>
          <w:spacing w:val="-2"/>
          <w:sz w:val="32"/>
          <w:szCs w:val="32"/>
          <w:lang w:val="en-US" w:eastAsia="zh-CN"/>
        </w:rPr>
        <w:t>285.35</w:t>
      </w:r>
      <w:r>
        <w:rPr>
          <w:rFonts w:hint="eastAsia" w:ascii="仿宋_GB2312" w:eastAsia="仿宋_GB2312"/>
          <w:color w:val="000000"/>
          <w:spacing w:val="-2"/>
          <w:sz w:val="32"/>
          <w:szCs w:val="32"/>
        </w:rPr>
        <w:t>万元</w:t>
      </w:r>
      <w:r>
        <w:rPr>
          <w:rFonts w:hint="eastAsia" w:ascii="仿宋" w:eastAsia="仿宋"/>
          <w:color w:val="000000"/>
          <w:sz w:val="32"/>
          <w:szCs w:val="32"/>
        </w:rPr>
        <w:t>，</w:t>
      </w:r>
      <w:r>
        <w:rPr>
          <w:rFonts w:hint="eastAsia" w:ascii="仿宋_GB2312" w:eastAsia="仿宋_GB2312"/>
          <w:color w:val="000000"/>
          <w:spacing w:val="-2"/>
          <w:sz w:val="32"/>
          <w:szCs w:val="32"/>
        </w:rPr>
        <w:t>增加</w:t>
      </w:r>
      <w:r>
        <w:rPr>
          <w:rFonts w:hint="eastAsia" w:ascii="仿宋_GB2312" w:eastAsia="仿宋_GB2312"/>
          <w:color w:val="000000"/>
          <w:spacing w:val="-2"/>
          <w:sz w:val="32"/>
          <w:szCs w:val="32"/>
          <w:lang w:val="en-US" w:eastAsia="zh-CN"/>
        </w:rPr>
        <w:t>17.64</w:t>
      </w:r>
      <w:r>
        <w:rPr>
          <w:rFonts w:hint="eastAsia" w:ascii="仿宋_GB2312" w:eastAsia="仿宋_GB2312"/>
          <w:color w:val="000000"/>
          <w:spacing w:val="-2"/>
          <w:sz w:val="32"/>
          <w:szCs w:val="32"/>
        </w:rPr>
        <w:t>%。增加的主要原因是</w:t>
      </w:r>
      <w:r>
        <w:rPr>
          <w:rFonts w:ascii="仿宋_GB2312" w:eastAsia="仿宋_GB2312"/>
          <w:color w:val="000000"/>
          <w:spacing w:val="-2"/>
          <w:sz w:val="32"/>
          <w:szCs w:val="32"/>
        </w:rPr>
        <w:t>202</w:t>
      </w:r>
      <w:r>
        <w:rPr>
          <w:rFonts w:hint="eastAsia" w:ascii="仿宋_GB2312" w:eastAsia="仿宋_GB2312"/>
          <w:color w:val="000000"/>
          <w:spacing w:val="-2"/>
          <w:sz w:val="32"/>
          <w:szCs w:val="32"/>
        </w:rPr>
        <w:t>1年人员增加，工资变动。</w:t>
      </w:r>
    </w:p>
    <w:p w14:paraId="4C0F8FC9">
      <w:pPr>
        <w:spacing w:line="600" w:lineRule="exact"/>
        <w:ind w:firstLine="640" w:firstLineChars="200"/>
        <w:rPr>
          <w:rFonts w:ascii="仿宋_GB2312" w:eastAsia="仿宋_GB2312"/>
          <w:spacing w:val="-2"/>
          <w:sz w:val="32"/>
          <w:szCs w:val="32"/>
        </w:rPr>
      </w:pPr>
      <w:r>
        <w:rPr>
          <w:rFonts w:ascii="仿宋" w:eastAsia="仿宋"/>
          <w:color w:val="000000"/>
          <w:sz w:val="32"/>
          <w:szCs w:val="32"/>
        </w:rPr>
        <w:t>202</w:t>
      </w:r>
      <w:r>
        <w:rPr>
          <w:rFonts w:hint="eastAsia" w:ascii="仿宋" w:eastAsia="仿宋"/>
          <w:color w:val="000000"/>
          <w:sz w:val="32"/>
          <w:szCs w:val="32"/>
        </w:rPr>
        <w:t>1年财政拨款</w:t>
      </w:r>
      <w:r>
        <w:rPr>
          <w:rFonts w:hint="eastAsia" w:ascii="仿宋" w:eastAsia="仿宋"/>
          <w:color w:val="000000"/>
          <w:sz w:val="32"/>
          <w:szCs w:val="32"/>
          <w:lang w:val="en-US" w:eastAsia="zh-CN"/>
        </w:rPr>
        <w:t>支出</w:t>
      </w:r>
      <w:r>
        <w:rPr>
          <w:rFonts w:hint="eastAsia" w:ascii="仿宋_GB2312" w:eastAsia="仿宋_GB2312"/>
          <w:spacing w:val="-2"/>
          <w:sz w:val="32"/>
          <w:szCs w:val="32"/>
          <w:lang w:val="en-US" w:eastAsia="zh-CN"/>
        </w:rPr>
        <w:t>1103.72</w:t>
      </w:r>
      <w:r>
        <w:rPr>
          <w:rFonts w:hint="eastAsia" w:ascii="仿宋_GB2312" w:eastAsia="仿宋_GB2312"/>
          <w:spacing w:val="-2"/>
          <w:sz w:val="32"/>
          <w:szCs w:val="32"/>
        </w:rPr>
        <w:t>万元，较上年支出增加</w:t>
      </w:r>
      <w:r>
        <w:rPr>
          <w:rFonts w:hint="eastAsia" w:ascii="仿宋_GB2312" w:eastAsia="仿宋_GB2312"/>
          <w:spacing w:val="-2"/>
          <w:sz w:val="32"/>
          <w:szCs w:val="32"/>
          <w:lang w:val="en-US" w:eastAsia="zh-CN"/>
        </w:rPr>
        <w:t>285.35</w:t>
      </w:r>
      <w:r>
        <w:rPr>
          <w:rFonts w:hint="eastAsia" w:ascii="仿宋_GB2312" w:eastAsia="仿宋_GB2312"/>
          <w:spacing w:val="-2"/>
          <w:sz w:val="32"/>
          <w:szCs w:val="32"/>
        </w:rPr>
        <w:t>万元，增加</w:t>
      </w:r>
      <w:r>
        <w:rPr>
          <w:rFonts w:hint="eastAsia" w:ascii="仿宋_GB2312" w:eastAsia="仿宋_GB2312"/>
          <w:spacing w:val="-2"/>
          <w:sz w:val="32"/>
          <w:szCs w:val="32"/>
          <w:lang w:val="en-US" w:eastAsia="zh-CN"/>
        </w:rPr>
        <w:t>17.64</w:t>
      </w:r>
      <w:r>
        <w:rPr>
          <w:rFonts w:hint="eastAsia" w:ascii="仿宋_GB2312" w:eastAsia="仿宋_GB2312"/>
          <w:spacing w:val="-2"/>
          <w:sz w:val="32"/>
          <w:szCs w:val="32"/>
        </w:rPr>
        <w:t>%。主要原因一是当年部门预算安排项目经费较上年有所增加；二是</w:t>
      </w:r>
      <w:r>
        <w:rPr>
          <w:rFonts w:ascii="仿宋_GB2312" w:eastAsia="仿宋_GB2312"/>
          <w:spacing w:val="-2"/>
          <w:sz w:val="32"/>
          <w:szCs w:val="32"/>
        </w:rPr>
        <w:t>202</w:t>
      </w:r>
      <w:r>
        <w:rPr>
          <w:rFonts w:hint="eastAsia" w:ascii="仿宋_GB2312" w:eastAsia="仿宋_GB2312"/>
          <w:spacing w:val="-2"/>
          <w:sz w:val="32"/>
          <w:szCs w:val="32"/>
        </w:rPr>
        <w:t>1年人员增加经费支出增加。</w:t>
      </w:r>
    </w:p>
    <w:p w14:paraId="44481E22">
      <w:pPr>
        <w:spacing w:line="600" w:lineRule="exact"/>
        <w:ind w:firstLine="640" w:firstLineChars="200"/>
        <w:rPr>
          <w:rStyle w:val="20"/>
          <w:rFonts w:ascii="黑体" w:eastAsia="黑体"/>
          <w:b w:val="0"/>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93345</wp:posOffset>
            </wp:positionH>
            <wp:positionV relativeFrom="paragraph">
              <wp:posOffset>222250</wp:posOffset>
            </wp:positionV>
            <wp:extent cx="5090160" cy="2953385"/>
            <wp:effectExtent l="0" t="0" r="0" b="0"/>
            <wp:wrapTopAndBottom/>
            <wp:docPr id="3"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bookmarkStart w:id="33" w:name="_Toc15377209"/>
      <w:r>
        <w:rPr>
          <w:rFonts w:hint="eastAsia" w:ascii="黑体" w:eastAsia="黑体"/>
          <w:color w:val="000000"/>
          <w:sz w:val="32"/>
          <w:szCs w:val="32"/>
        </w:rPr>
        <w:t>五、</w:t>
      </w:r>
      <w:r>
        <w:rPr>
          <w:rFonts w:hint="eastAsia" w:ascii="黑体" w:eastAsia="黑体"/>
          <w:b/>
          <w:color w:val="000000"/>
          <w:sz w:val="32"/>
          <w:szCs w:val="32"/>
        </w:rPr>
        <w:t>一</w:t>
      </w:r>
      <w:r>
        <w:rPr>
          <w:rStyle w:val="20"/>
          <w:rFonts w:hint="eastAsia" w:ascii="黑体" w:eastAsia="黑体"/>
          <w:b w:val="0"/>
        </w:rPr>
        <w:t>般公共预算财政拨款支出决算情况说明</w:t>
      </w:r>
      <w:bookmarkEnd w:id="33"/>
    </w:p>
    <w:p w14:paraId="1D089D6B">
      <w:pPr>
        <w:spacing w:line="600" w:lineRule="exact"/>
        <w:ind w:firstLine="632" w:firstLineChars="200"/>
        <w:rPr>
          <w:rFonts w:hint="eastAsia" w:ascii="仿宋_GB2312" w:eastAsia="仿宋_GB2312"/>
          <w:spacing w:val="-2"/>
          <w:sz w:val="32"/>
          <w:szCs w:val="32"/>
        </w:rPr>
      </w:pPr>
      <w:bookmarkStart w:id="34" w:name="_Toc15377210"/>
      <w:r>
        <w:rPr>
          <w:rFonts w:hint="eastAsia" w:ascii="仿宋_GB2312" w:eastAsia="仿宋_GB2312"/>
          <w:spacing w:val="-2"/>
          <w:sz w:val="32"/>
          <w:szCs w:val="32"/>
        </w:rPr>
        <w:t>（一）一般公共预算财政拨款支出决算总体情况</w:t>
      </w:r>
      <w:bookmarkEnd w:id="34"/>
    </w:p>
    <w:p w14:paraId="078751EF">
      <w:pPr>
        <w:spacing w:line="600" w:lineRule="exact"/>
        <w:ind w:firstLine="632" w:firstLineChars="200"/>
        <w:rPr>
          <w:rFonts w:ascii="仿宋_GB2312" w:eastAsia="仿宋_GB2312"/>
          <w:spacing w:val="-2"/>
          <w:sz w:val="32"/>
          <w:szCs w:val="32"/>
        </w:rPr>
      </w:pPr>
      <w:r>
        <w:rPr>
          <w:rFonts w:hint="eastAsia" w:ascii="仿宋_GB2312" w:eastAsia="仿宋_GB2312"/>
          <w:spacing w:val="-2"/>
          <w:sz w:val="32"/>
          <w:szCs w:val="32"/>
          <w:lang w:val="en-US" w:eastAsia="zh-CN"/>
        </w:rPr>
        <w:t>2021年一般公共预算财政拨款支出822.53万元，占本年支出合计的74.52%。与2020年相比，一般公共预算财政拨款支出增加35.84万元，增长4.56%。</w:t>
      </w:r>
      <w:r>
        <w:rPr>
          <w:rFonts w:hint="eastAsia" w:ascii="仿宋_GB2312" w:eastAsia="仿宋_GB2312"/>
          <w:spacing w:val="-2"/>
          <w:sz w:val="32"/>
          <w:szCs w:val="32"/>
        </w:rPr>
        <w:t>主要原因一是当年部门预算安排项目经费较上年有所增加；二是</w:t>
      </w:r>
      <w:r>
        <w:rPr>
          <w:rFonts w:ascii="仿宋_GB2312" w:eastAsia="仿宋_GB2312"/>
          <w:spacing w:val="-2"/>
          <w:sz w:val="32"/>
          <w:szCs w:val="32"/>
        </w:rPr>
        <w:t>202</w:t>
      </w:r>
      <w:r>
        <w:rPr>
          <w:rFonts w:hint="eastAsia" w:ascii="仿宋_GB2312" w:eastAsia="仿宋_GB2312"/>
          <w:spacing w:val="-2"/>
          <w:sz w:val="32"/>
          <w:szCs w:val="32"/>
        </w:rPr>
        <w:t>1年人员增加经费支出增加。</w:t>
      </w:r>
    </w:p>
    <w:p w14:paraId="2EFBFA76">
      <w:pPr>
        <w:numPr>
          <w:ilvl w:val="0"/>
          <w:numId w:val="2"/>
        </w:numPr>
        <w:spacing w:line="600" w:lineRule="exact"/>
        <w:ind w:left="0" w:firstLine="643" w:firstLineChars="200"/>
        <w:outlineLvl w:val="2"/>
        <w:rPr>
          <w:rFonts w:ascii="仿宋" w:eastAsia="仿宋"/>
          <w:b/>
          <w:color w:val="000000"/>
          <w:sz w:val="32"/>
          <w:szCs w:val="32"/>
        </w:rPr>
      </w:pPr>
      <w:bookmarkStart w:id="35" w:name="_Toc15377211"/>
      <w:r>
        <w:rPr>
          <w:rFonts w:hint="eastAsia" w:ascii="仿宋" w:eastAsia="仿宋"/>
          <w:b/>
          <w:color w:val="000000"/>
          <w:sz w:val="32"/>
          <w:szCs w:val="32"/>
        </w:rPr>
        <w:t>一般公共预算财政拨款支出决算结构情况</w:t>
      </w:r>
      <w:bookmarkEnd w:id="35"/>
    </w:p>
    <w:p w14:paraId="73EB8320">
      <w:pPr>
        <w:pStyle w:val="14"/>
        <w:keepNext w:val="0"/>
        <w:keepLines w:val="0"/>
        <w:widowControl/>
        <w:suppressLineNumbers w:val="0"/>
        <w:snapToGrid w:val="0"/>
        <w:spacing w:before="0" w:beforeAutospacing="0" w:after="0" w:afterAutospacing="1"/>
        <w:ind w:left="0" w:right="0" w:firstLine="632" w:firstLineChars="200"/>
        <w:jc w:val="left"/>
        <w:rPr>
          <w:rFonts w:hint="eastAsia" w:ascii="仿宋_GB2312" w:eastAsia="仿宋_GB2312" w:cs="Times New Roman"/>
          <w:spacing w:val="-2"/>
          <w:kern w:val="2"/>
          <w:sz w:val="32"/>
          <w:szCs w:val="32"/>
          <w:lang w:val="en-US" w:eastAsia="zh-CN" w:bidi="ar-SA"/>
        </w:rPr>
      </w:pPr>
      <w:r>
        <w:rPr>
          <w:rFonts w:hint="eastAsia" w:ascii="仿宋_GB2312" w:eastAsia="仿宋_GB2312" w:cs="Times New Roman"/>
          <w:spacing w:val="-2"/>
          <w:kern w:val="2"/>
          <w:sz w:val="32"/>
          <w:szCs w:val="32"/>
          <w:lang w:val="en-US" w:eastAsia="zh-CN" w:bidi="ar-SA"/>
        </w:rPr>
        <w:t>2021年一般公共预算财政拨款支出822.53万元，主要用于以下方面:一般公共服务（类）支出354.12万元，占43.05%；教育支出（类）0.00万元，占0.00%；科学技术（类）支出0.00万元，占0.00%；文化旅游体育与传媒（类）支出</w:t>
      </w:r>
      <w:r>
        <w:rPr>
          <w:rFonts w:ascii="仿宋_GB2312" w:eastAsia="仿宋_GB2312" w:cs="Times New Roman"/>
          <w:spacing w:val="-2"/>
          <w:kern w:val="2"/>
          <w:sz w:val="32"/>
          <w:szCs w:val="32"/>
          <w:lang w:val="en-US" w:eastAsia="zh-CN" w:bidi="ar-SA"/>
        </w:rPr>
        <w:t>0.00</w:t>
      </w:r>
      <w:r>
        <w:rPr>
          <w:rFonts w:hint="eastAsia" w:ascii="仿宋_GB2312" w:eastAsia="仿宋_GB2312" w:cs="Times New Roman"/>
          <w:spacing w:val="-2"/>
          <w:kern w:val="2"/>
          <w:sz w:val="32"/>
          <w:szCs w:val="32"/>
          <w:lang w:val="en-US" w:eastAsia="zh-CN" w:bidi="ar-SA"/>
        </w:rPr>
        <w:t>万元，占</w:t>
      </w:r>
      <w:r>
        <w:rPr>
          <w:rFonts w:ascii="仿宋_GB2312" w:eastAsia="仿宋_GB2312" w:cs="Times New Roman"/>
          <w:spacing w:val="-2"/>
          <w:kern w:val="2"/>
          <w:sz w:val="32"/>
          <w:szCs w:val="32"/>
          <w:lang w:val="en-US" w:eastAsia="zh-CN" w:bidi="ar-SA"/>
        </w:rPr>
        <w:t>0.00%</w:t>
      </w:r>
      <w:r>
        <w:rPr>
          <w:rFonts w:hint="eastAsia" w:ascii="仿宋_GB2312" w:eastAsia="仿宋_GB2312" w:cs="Times New Roman"/>
          <w:spacing w:val="-2"/>
          <w:kern w:val="2"/>
          <w:sz w:val="32"/>
          <w:szCs w:val="32"/>
          <w:lang w:val="en-US" w:eastAsia="zh-CN" w:bidi="ar-SA"/>
        </w:rPr>
        <w:t>；社会保障和就业（类）支出62.37万元，占7.58%；卫生健康支出27.79万元，占3.38%；住房保障支出46.21万元，占5.62%</w:t>
      </w:r>
    </w:p>
    <w:p w14:paraId="1D98B843">
      <w:pPr>
        <w:spacing w:line="600" w:lineRule="exact"/>
        <w:ind w:firstLine="640" w:firstLineChars="200"/>
        <w:outlineLvl w:val="2"/>
        <w:rPr>
          <w:rFonts w:ascii="仿宋" w:eastAsia="仿宋"/>
          <w:bCs/>
          <w:color w:val="000000"/>
          <w:sz w:val="32"/>
          <w:szCs w:val="32"/>
        </w:rPr>
      </w:pPr>
      <w:r>
        <w:rPr>
          <w:rFonts w:hint="eastAsia" w:ascii="仿宋" w:eastAsia="仿宋"/>
          <w:bCs/>
          <w:color w:val="000000"/>
          <w:sz w:val="32"/>
          <w:szCs w:val="32"/>
        </w:rPr>
        <w:t>。</w:t>
      </w:r>
    </w:p>
    <w:p w14:paraId="4FB17864">
      <w:pPr>
        <w:pStyle w:val="2"/>
        <w:rPr>
          <w:rFonts w:ascii="仿宋" w:eastAsia="仿宋"/>
          <w:bCs/>
          <w:color w:val="000000"/>
          <w:sz w:val="32"/>
          <w:szCs w:val="32"/>
        </w:rPr>
      </w:pPr>
      <w:r>
        <w:rPr>
          <w:rFonts w:hint="eastAsia" w:ascii="仿宋" w:eastAsia="仿宋"/>
          <w:bCs/>
          <w:color w:val="000000"/>
          <w:sz w:val="32"/>
          <w:szCs w:val="32"/>
        </w:rPr>
        <w:drawing>
          <wp:inline distT="0" distB="0" distL="114300" distR="114300">
            <wp:extent cx="5079365" cy="3810000"/>
            <wp:effectExtent l="0" t="0" r="0" b="0"/>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588F123">
      <w:pPr>
        <w:spacing w:line="600" w:lineRule="exact"/>
        <w:outlineLvl w:val="2"/>
        <w:rPr>
          <w:rFonts w:ascii="仿宋" w:eastAsia="仿宋"/>
          <w:b/>
          <w:color w:val="000000"/>
          <w:sz w:val="32"/>
          <w:szCs w:val="32"/>
        </w:rPr>
      </w:pPr>
      <w:bookmarkStart w:id="36" w:name="_Toc15378460"/>
      <w:bookmarkStart w:id="37" w:name="_Toc15377213"/>
      <w:bookmarkStart w:id="38" w:name="_Toc15377444"/>
    </w:p>
    <w:p w14:paraId="10FE612D">
      <w:pPr>
        <w:spacing w:line="600" w:lineRule="exact"/>
        <w:ind w:firstLine="643" w:firstLineChars="200"/>
        <w:outlineLvl w:val="2"/>
        <w:rPr>
          <w:rFonts w:ascii="仿宋" w:eastAsia="仿宋"/>
          <w:b/>
          <w:color w:val="000000"/>
          <w:sz w:val="32"/>
          <w:szCs w:val="32"/>
        </w:rPr>
      </w:pPr>
      <w:bookmarkStart w:id="39" w:name="_Toc15377212"/>
      <w:r>
        <w:rPr>
          <w:rFonts w:hint="eastAsia" w:ascii="仿宋" w:eastAsia="仿宋"/>
          <w:b/>
          <w:color w:val="000000"/>
          <w:sz w:val="32"/>
          <w:szCs w:val="32"/>
        </w:rPr>
        <w:t>（三）一般公共预算财政拨款支出决算具体情况</w:t>
      </w:r>
      <w:bookmarkEnd w:id="39"/>
    </w:p>
    <w:p w14:paraId="3076ADFB">
      <w:pPr>
        <w:pStyle w:val="14"/>
        <w:keepNext w:val="0"/>
        <w:keepLines w:val="0"/>
        <w:widowControl/>
        <w:suppressLineNumbers w:val="0"/>
        <w:snapToGrid w:val="0"/>
        <w:spacing w:before="0" w:beforeAutospacing="0" w:after="0" w:afterAutospacing="1"/>
        <w:ind w:left="0" w:right="0"/>
        <w:jc w:val="left"/>
        <w:rPr>
          <w:rFonts w:ascii="仿宋" w:eastAsia="仿宋"/>
          <w:bCs/>
          <w:color w:val="FF0000"/>
          <w:sz w:val="32"/>
          <w:szCs w:val="32"/>
        </w:rPr>
      </w:pPr>
      <w:r>
        <w:rPr>
          <w:rFonts w:hint="eastAsia" w:ascii="仿宋" w:eastAsia="仿宋"/>
          <w:bCs/>
          <w:color w:val="000000"/>
          <w:sz w:val="32"/>
          <w:szCs w:val="32"/>
        </w:rPr>
        <w:t xml:space="preserve">    </w:t>
      </w:r>
      <w:r>
        <w:rPr>
          <w:rFonts w:ascii="仿宋" w:eastAsia="仿宋"/>
          <w:bCs/>
          <w:color w:val="000000"/>
          <w:sz w:val="32"/>
          <w:szCs w:val="32"/>
        </w:rPr>
        <w:t>202</w:t>
      </w:r>
      <w:r>
        <w:rPr>
          <w:rFonts w:hint="eastAsia" w:ascii="仿宋" w:eastAsia="仿宋"/>
          <w:bCs/>
          <w:color w:val="000000"/>
          <w:sz w:val="32"/>
          <w:szCs w:val="32"/>
        </w:rPr>
        <w:t>1年一般公共预算数为</w:t>
      </w:r>
      <w:r>
        <w:rPr>
          <w:rFonts w:ascii="Times New Roman" w:hAnsi="Times New Roman" w:eastAsia="宋体" w:cs="Times New Roman"/>
          <w:b/>
          <w:bCs/>
          <w:kern w:val="0"/>
          <w:sz w:val="24"/>
          <w:shd w:val="clear" w:color="auto" w:fill="FFFFFF"/>
          <w:lang w:val="en-US" w:eastAsia="zh-CN"/>
        </w:rPr>
        <w:t>822.53</w:t>
      </w:r>
      <w:r>
        <w:rPr>
          <w:rFonts w:hint="eastAsia" w:ascii="仿宋" w:eastAsia="仿宋"/>
          <w:bCs/>
          <w:color w:val="000000"/>
          <w:sz w:val="32"/>
          <w:szCs w:val="32"/>
        </w:rPr>
        <w:t>万元，支出决算数为</w:t>
      </w:r>
      <w:r>
        <w:rPr>
          <w:rFonts w:hint="eastAsia" w:ascii="仿宋" w:eastAsia="仿宋"/>
          <w:bCs/>
          <w:color w:val="000000"/>
          <w:sz w:val="32"/>
          <w:szCs w:val="32"/>
          <w:lang w:val="en-US" w:eastAsia="zh-CN"/>
        </w:rPr>
        <w:t>822.53</w:t>
      </w:r>
      <w:r>
        <w:rPr>
          <w:rFonts w:hint="eastAsia" w:ascii="仿宋" w:eastAsia="仿宋"/>
          <w:bCs/>
          <w:color w:val="000000"/>
          <w:sz w:val="32"/>
          <w:szCs w:val="32"/>
        </w:rPr>
        <w:t>万元，完</w:t>
      </w:r>
      <w:r>
        <w:rPr>
          <w:rStyle w:val="17"/>
          <w:rFonts w:hint="eastAsia" w:ascii="仿宋" w:eastAsia="仿宋"/>
          <w:b w:val="0"/>
          <w:bCs/>
          <w:color w:val="000000"/>
          <w:sz w:val="32"/>
          <w:szCs w:val="32"/>
        </w:rPr>
        <w:t>成预算</w:t>
      </w:r>
      <w:r>
        <w:rPr>
          <w:rStyle w:val="17"/>
          <w:rFonts w:hint="eastAsia" w:ascii="仿宋" w:eastAsia="仿宋"/>
          <w:b w:val="0"/>
          <w:bCs/>
          <w:color w:val="000000"/>
          <w:sz w:val="32"/>
          <w:szCs w:val="32"/>
          <w:lang w:val="en-US" w:eastAsia="zh-CN"/>
        </w:rPr>
        <w:t>100</w:t>
      </w:r>
      <w:r>
        <w:rPr>
          <w:rStyle w:val="17"/>
          <w:rFonts w:ascii="仿宋" w:eastAsia="仿宋"/>
          <w:b w:val="0"/>
          <w:bCs/>
          <w:color w:val="000000"/>
          <w:sz w:val="32"/>
          <w:szCs w:val="32"/>
        </w:rPr>
        <w:t>%</w:t>
      </w:r>
      <w:r>
        <w:rPr>
          <w:rStyle w:val="17"/>
          <w:rFonts w:hint="eastAsia" w:ascii="仿宋" w:eastAsia="仿宋"/>
          <w:b w:val="0"/>
          <w:bCs/>
          <w:color w:val="000000"/>
          <w:sz w:val="32"/>
          <w:szCs w:val="32"/>
        </w:rPr>
        <w:t>，其中：</w:t>
      </w:r>
      <w:bookmarkEnd w:id="36"/>
      <w:bookmarkEnd w:id="37"/>
      <w:bookmarkEnd w:id="38"/>
    </w:p>
    <w:p w14:paraId="296DD3F4">
      <w:pPr>
        <w:spacing w:line="600" w:lineRule="exact"/>
        <w:ind w:firstLine="643" w:firstLineChars="200"/>
        <w:rPr>
          <w:rStyle w:val="17"/>
          <w:rFonts w:ascii="仿宋" w:eastAsia="仿宋"/>
          <w:b w:val="0"/>
          <w:bCs/>
          <w:color w:val="0000FF"/>
          <w:sz w:val="32"/>
          <w:szCs w:val="32"/>
        </w:rPr>
      </w:pPr>
      <w:bookmarkStart w:id="40" w:name="_Toc15377214"/>
      <w:r>
        <w:rPr>
          <w:rStyle w:val="17"/>
          <w:rFonts w:hint="eastAsia" w:ascii="仿宋" w:eastAsia="仿宋"/>
          <w:bCs/>
          <w:color w:val="0000FF"/>
          <w:sz w:val="32"/>
          <w:szCs w:val="32"/>
        </w:rPr>
        <w:t>1.一般公共服务（类）政府办公厅（室）及相关机构事务（款）行政运行（项）</w:t>
      </w:r>
      <w:r>
        <w:rPr>
          <w:rStyle w:val="17"/>
          <w:rFonts w:ascii="仿宋" w:eastAsia="仿宋"/>
          <w:bCs/>
          <w:color w:val="0000FF"/>
          <w:sz w:val="32"/>
          <w:szCs w:val="32"/>
        </w:rPr>
        <w:t>:</w:t>
      </w:r>
      <w:r>
        <w:rPr>
          <w:rStyle w:val="17"/>
          <w:rFonts w:ascii="仿宋" w:eastAsia="仿宋"/>
          <w:b w:val="0"/>
          <w:bCs/>
          <w:color w:val="0000FF"/>
          <w:sz w:val="32"/>
          <w:szCs w:val="32"/>
        </w:rPr>
        <w:t xml:space="preserve"> </w:t>
      </w:r>
      <w:r>
        <w:rPr>
          <w:rStyle w:val="17"/>
          <w:rFonts w:hint="eastAsia" w:ascii="仿宋" w:eastAsia="仿宋"/>
          <w:b w:val="0"/>
          <w:bCs/>
          <w:color w:val="0000FF"/>
          <w:sz w:val="32"/>
          <w:szCs w:val="32"/>
        </w:rPr>
        <w:t>支出决算为</w:t>
      </w:r>
      <w:r>
        <w:rPr>
          <w:rStyle w:val="17"/>
          <w:rFonts w:hint="eastAsia" w:ascii="仿宋" w:eastAsia="仿宋"/>
          <w:b w:val="0"/>
          <w:bCs/>
          <w:color w:val="0000FF"/>
          <w:sz w:val="32"/>
          <w:szCs w:val="32"/>
          <w:lang w:val="en-US" w:eastAsia="zh-CN"/>
        </w:rPr>
        <w:t>281.57</w:t>
      </w:r>
      <w:r>
        <w:rPr>
          <w:rStyle w:val="17"/>
          <w:rFonts w:hint="eastAsia" w:ascii="仿宋" w:eastAsia="仿宋"/>
          <w:b w:val="0"/>
          <w:bCs/>
          <w:color w:val="0000FF"/>
          <w:sz w:val="32"/>
          <w:szCs w:val="32"/>
        </w:rPr>
        <w:t>万元，完成预算100</w:t>
      </w:r>
      <w:r>
        <w:rPr>
          <w:rStyle w:val="17"/>
          <w:rFonts w:ascii="仿宋" w:eastAsia="仿宋"/>
          <w:b w:val="0"/>
          <w:bCs/>
          <w:color w:val="0000FF"/>
          <w:sz w:val="32"/>
          <w:szCs w:val="32"/>
        </w:rPr>
        <w:t>%</w:t>
      </w:r>
      <w:r>
        <w:rPr>
          <w:rStyle w:val="17"/>
          <w:rFonts w:hint="eastAsia" w:ascii="仿宋" w:eastAsia="仿宋"/>
          <w:b w:val="0"/>
          <w:bCs/>
          <w:color w:val="0000FF"/>
          <w:sz w:val="32"/>
          <w:szCs w:val="32"/>
        </w:rPr>
        <w:t>，</w:t>
      </w:r>
    </w:p>
    <w:p w14:paraId="1F14A534">
      <w:pPr>
        <w:spacing w:line="600" w:lineRule="exact"/>
        <w:ind w:firstLine="643" w:firstLineChars="200"/>
        <w:rPr>
          <w:rStyle w:val="17"/>
          <w:rFonts w:ascii="仿宋" w:eastAsia="仿宋"/>
          <w:b w:val="0"/>
          <w:bCs/>
          <w:color w:val="000000"/>
          <w:sz w:val="32"/>
          <w:szCs w:val="32"/>
        </w:rPr>
      </w:pPr>
      <w:r>
        <w:rPr>
          <w:rStyle w:val="17"/>
          <w:rFonts w:ascii="仿宋" w:eastAsia="仿宋"/>
          <w:bCs/>
          <w:color w:val="000000"/>
          <w:sz w:val="32"/>
          <w:szCs w:val="32"/>
        </w:rPr>
        <w:t>2.</w:t>
      </w:r>
      <w:r>
        <w:rPr>
          <w:rStyle w:val="17"/>
          <w:rFonts w:hint="eastAsia" w:ascii="仿宋" w:eastAsia="仿宋"/>
          <w:bCs/>
          <w:color w:val="000000"/>
          <w:sz w:val="32"/>
          <w:szCs w:val="32"/>
        </w:rPr>
        <w:t>一般公共服务（类）党委办公室（室）及相关机构事务（款）一般行政管理事务（项）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支出决算为48.77万元，完成预算100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。结转下年0万元。</w:t>
      </w:r>
    </w:p>
    <w:p w14:paraId="706F0E7F">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3.一般公共服务（类）人大事务（款）一般行政管理事务（项）:</w:t>
      </w:r>
      <w:r>
        <w:rPr>
          <w:rStyle w:val="17"/>
          <w:rFonts w:hint="eastAsia" w:ascii="仿宋" w:eastAsia="仿宋"/>
          <w:b w:val="0"/>
          <w:bCs/>
          <w:color w:val="000000"/>
          <w:sz w:val="32"/>
          <w:szCs w:val="32"/>
        </w:rPr>
        <w:t>支出决算为11.58万元，完成预算100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。结转下年0万元。</w:t>
      </w:r>
    </w:p>
    <w:p w14:paraId="7A2A03D1">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4.一般公共服务（类）人大事务（款）人大会议（项）:</w:t>
      </w:r>
      <w:r>
        <w:rPr>
          <w:rStyle w:val="17"/>
          <w:rFonts w:hint="eastAsia" w:ascii="仿宋" w:eastAsia="仿宋"/>
          <w:b w:val="0"/>
          <w:bCs/>
          <w:color w:val="000000"/>
          <w:sz w:val="32"/>
          <w:szCs w:val="32"/>
        </w:rPr>
        <w:t>支出决算为0.2万元，完成预算100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。结转下年0万元。</w:t>
      </w:r>
    </w:p>
    <w:p w14:paraId="7A56D139">
      <w:pPr>
        <w:pStyle w:val="2"/>
        <w:ind w:left="0" w:leftChars="0" w:firstLine="643" w:firstLineChars="200"/>
      </w:pPr>
      <w:r>
        <w:rPr>
          <w:rStyle w:val="17"/>
          <w:rFonts w:hint="eastAsia" w:ascii="仿宋" w:eastAsia="仿宋"/>
          <w:bCs/>
          <w:color w:val="000000"/>
          <w:sz w:val="32"/>
          <w:szCs w:val="32"/>
        </w:rPr>
        <w:t>5.社会保障和就业（类）</w:t>
      </w:r>
      <w:r>
        <w:rPr>
          <w:rStyle w:val="17"/>
          <w:rFonts w:hint="eastAsia" w:ascii="仿宋" w:eastAsia="仿宋"/>
          <w:bCs/>
          <w:color w:val="000000"/>
          <w:sz w:val="32"/>
          <w:szCs w:val="32"/>
          <w:lang w:val="en-US" w:eastAsia="zh-CN"/>
        </w:rPr>
        <w:t>行政事业单位养老支出</w:t>
      </w:r>
      <w:r>
        <w:rPr>
          <w:rStyle w:val="17"/>
          <w:rFonts w:hint="eastAsia" w:ascii="仿宋" w:eastAsia="仿宋"/>
          <w:bCs/>
          <w:color w:val="000000"/>
          <w:sz w:val="32"/>
          <w:szCs w:val="32"/>
        </w:rPr>
        <w:t>（款）</w:t>
      </w:r>
      <w:r>
        <w:rPr>
          <w:rStyle w:val="17"/>
          <w:rFonts w:hint="eastAsia" w:ascii="仿宋" w:eastAsia="仿宋"/>
          <w:bCs/>
          <w:color w:val="000000"/>
          <w:sz w:val="32"/>
          <w:szCs w:val="32"/>
          <w:lang w:val="en-US" w:eastAsia="zh-CN"/>
        </w:rPr>
        <w:t>机关事业单位职业年金缴费支出</w:t>
      </w:r>
      <w:r>
        <w:rPr>
          <w:rStyle w:val="17"/>
          <w:rFonts w:hint="eastAsia" w:ascii="仿宋" w:eastAsia="仿宋"/>
          <w:bCs/>
          <w:color w:val="000000"/>
          <w:sz w:val="32"/>
          <w:szCs w:val="32"/>
        </w:rPr>
        <w:t>（项）：</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20.88</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。结转下年0万元。</w:t>
      </w:r>
    </w:p>
    <w:p w14:paraId="1CB5F498">
      <w:pPr>
        <w:spacing w:line="600" w:lineRule="exact"/>
        <w:ind w:firstLine="643" w:firstLineChars="200"/>
        <w:rPr>
          <w:rFonts w:ascii="仿宋" w:eastAsia="仿宋"/>
          <w:b/>
          <w:color w:val="000000"/>
          <w:sz w:val="32"/>
          <w:szCs w:val="32"/>
        </w:rPr>
      </w:pPr>
      <w:r>
        <w:rPr>
          <w:rStyle w:val="17"/>
          <w:rFonts w:hint="eastAsia" w:ascii="仿宋" w:eastAsia="仿宋"/>
          <w:bCs/>
          <w:color w:val="000000"/>
          <w:sz w:val="32"/>
          <w:szCs w:val="32"/>
        </w:rPr>
        <w:t>6</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Cs/>
          <w:color w:val="000000"/>
          <w:sz w:val="32"/>
          <w:szCs w:val="32"/>
        </w:rPr>
        <w:t>社会保障和就业（类）</w:t>
      </w:r>
      <w:r>
        <w:rPr>
          <w:rStyle w:val="17"/>
          <w:rFonts w:hint="eastAsia" w:ascii="仿宋" w:eastAsia="仿宋"/>
          <w:bCs/>
          <w:color w:val="000000"/>
          <w:sz w:val="32"/>
          <w:szCs w:val="32"/>
          <w:lang w:val="en-US" w:eastAsia="zh-CN"/>
        </w:rPr>
        <w:t>行政事业单位养老支出</w:t>
      </w:r>
      <w:r>
        <w:rPr>
          <w:rStyle w:val="17"/>
          <w:rFonts w:hint="eastAsia" w:ascii="仿宋" w:eastAsia="仿宋"/>
          <w:bCs/>
          <w:color w:val="000000"/>
          <w:sz w:val="32"/>
          <w:szCs w:val="32"/>
        </w:rPr>
        <w:t>（款）机关事业单位基本养老保险缴费支出（项）</w:t>
      </w:r>
      <w:r>
        <w:rPr>
          <w:rStyle w:val="17"/>
          <w:rFonts w:ascii="仿宋" w:eastAsia="仿宋"/>
          <w:bCs/>
          <w:color w:val="000000"/>
          <w:sz w:val="32"/>
          <w:szCs w:val="32"/>
        </w:rPr>
        <w:t>:</w:t>
      </w:r>
      <w:r>
        <w:rPr>
          <w:rStyle w:val="17"/>
          <w:rFonts w:ascii="仿宋" w:eastAsia="仿宋"/>
          <w:b w:val="0"/>
          <w:bCs/>
          <w:color w:val="000000"/>
          <w:sz w:val="32"/>
          <w:szCs w:val="32"/>
        </w:rPr>
        <w:t xml:space="preserve"> </w:t>
      </w:r>
      <w:r>
        <w:rPr>
          <w:rStyle w:val="17"/>
          <w:rFonts w:hint="eastAsia" w:ascii="仿宋" w:eastAsia="仿宋"/>
          <w:b w:val="0"/>
          <w:bCs/>
          <w:color w:val="000000"/>
          <w:sz w:val="32"/>
          <w:szCs w:val="32"/>
        </w:rPr>
        <w:t>支出决算为41.46万元，完成预算100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14:paraId="75E13EE5">
      <w:pPr>
        <w:spacing w:line="600" w:lineRule="exact"/>
        <w:ind w:firstLine="643" w:firstLineChars="200"/>
        <w:rPr>
          <w:rFonts w:ascii="仿宋" w:eastAsia="仿宋"/>
          <w:b/>
          <w:color w:val="000000"/>
          <w:sz w:val="32"/>
          <w:szCs w:val="32"/>
        </w:rPr>
      </w:pPr>
      <w:r>
        <w:rPr>
          <w:rStyle w:val="17"/>
          <w:rFonts w:hint="eastAsia" w:ascii="仿宋" w:eastAsia="仿宋"/>
          <w:bCs/>
          <w:color w:val="000000"/>
          <w:sz w:val="32"/>
          <w:szCs w:val="32"/>
        </w:rPr>
        <w:t>7</w:t>
      </w:r>
      <w:r>
        <w:rPr>
          <w:rStyle w:val="17"/>
          <w:rFonts w:ascii="仿宋" w:eastAsia="仿宋"/>
          <w:bCs/>
          <w:color w:val="000000"/>
          <w:sz w:val="32"/>
          <w:szCs w:val="32"/>
        </w:rPr>
        <w:t>.</w:t>
      </w:r>
      <w:r>
        <w:rPr>
          <w:rStyle w:val="17"/>
          <w:rFonts w:hint="eastAsia" w:ascii="仿宋" w:eastAsia="仿宋"/>
          <w:bCs/>
          <w:color w:val="000000"/>
          <w:sz w:val="32"/>
          <w:szCs w:val="32"/>
        </w:rPr>
        <w:t>社会保障和就业（类）企业改革补助（款）其他企业改革发展补助（项）</w:t>
      </w:r>
      <w:r>
        <w:rPr>
          <w:rStyle w:val="17"/>
          <w:rFonts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0.03</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14:paraId="49A9ED35">
      <w:pPr>
        <w:spacing w:line="600" w:lineRule="exact"/>
        <w:ind w:firstLine="643" w:firstLineChars="200"/>
        <w:rPr>
          <w:rFonts w:ascii="仿宋" w:eastAsia="仿宋"/>
          <w:color w:val="000000"/>
          <w:sz w:val="32"/>
          <w:szCs w:val="32"/>
        </w:rPr>
      </w:pPr>
      <w:r>
        <w:rPr>
          <w:rStyle w:val="17"/>
          <w:rFonts w:hint="eastAsia" w:ascii="仿宋" w:eastAsia="仿宋"/>
          <w:bCs/>
          <w:color w:val="000000"/>
          <w:sz w:val="32"/>
          <w:szCs w:val="32"/>
        </w:rPr>
        <w:t>8.卫生健康支出（类）行政事业单位医疗（款）行政单位医疗（项）</w:t>
      </w:r>
      <w:r>
        <w:rPr>
          <w:rStyle w:val="17"/>
          <w:rFonts w:ascii="仿宋" w:eastAsia="仿宋"/>
          <w:bCs/>
          <w:color w:val="000000"/>
          <w:sz w:val="32"/>
          <w:szCs w:val="32"/>
        </w:rPr>
        <w:t>:</w:t>
      </w:r>
      <w:r>
        <w:rPr>
          <w:rStyle w:val="17"/>
          <w:rFonts w:hint="eastAsia" w:ascii="仿宋" w:eastAsia="仿宋"/>
          <w:b w:val="0"/>
          <w:bCs/>
          <w:color w:val="000000"/>
          <w:sz w:val="32"/>
          <w:szCs w:val="32"/>
        </w:rPr>
        <w:t>支出决算为20.97万元，完成预算100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14:paraId="4F9DD8A0">
      <w:pPr>
        <w:spacing w:line="600" w:lineRule="exact"/>
        <w:ind w:firstLine="643" w:firstLineChars="200"/>
        <w:rPr>
          <w:rFonts w:ascii="仿宋" w:eastAsia="仿宋"/>
          <w:color w:val="000000"/>
          <w:sz w:val="32"/>
          <w:szCs w:val="32"/>
        </w:rPr>
      </w:pPr>
      <w:r>
        <w:rPr>
          <w:rStyle w:val="17"/>
          <w:rFonts w:hint="eastAsia" w:ascii="仿宋" w:eastAsia="仿宋"/>
          <w:bCs/>
          <w:color w:val="000000"/>
          <w:sz w:val="32"/>
          <w:szCs w:val="32"/>
        </w:rPr>
        <w:t>9.卫生健康支出（类）行政事业单位医疗（款）公务员医疗补助（项）</w:t>
      </w:r>
      <w:r>
        <w:rPr>
          <w:rStyle w:val="17"/>
          <w:rFonts w:ascii="仿宋" w:eastAsia="仿宋"/>
          <w:bCs/>
          <w:color w:val="000000"/>
          <w:sz w:val="32"/>
          <w:szCs w:val="32"/>
        </w:rPr>
        <w:t>:</w:t>
      </w:r>
      <w:r>
        <w:rPr>
          <w:rStyle w:val="17"/>
          <w:rFonts w:hint="eastAsia" w:ascii="仿宋" w:eastAsia="仿宋"/>
          <w:b w:val="0"/>
          <w:bCs/>
          <w:color w:val="000000"/>
          <w:sz w:val="32"/>
          <w:szCs w:val="32"/>
        </w:rPr>
        <w:t>支出决算为6.82万元，完成预算100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14:paraId="08B5DB9B">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10.住房保障（类）住房改革支出（款）住房公积金（项）：</w:t>
      </w:r>
      <w:r>
        <w:rPr>
          <w:rStyle w:val="17"/>
          <w:rFonts w:hint="eastAsia" w:ascii="仿宋" w:eastAsia="仿宋"/>
          <w:b w:val="0"/>
          <w:bCs/>
          <w:color w:val="000000"/>
          <w:sz w:val="32"/>
          <w:szCs w:val="32"/>
        </w:rPr>
        <w:t>支出决算为46.21万元，完成预算100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14:paraId="4DA90D39">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11农林水支出（类）农业农村（款）事业运行（项）：</w:t>
      </w:r>
      <w:r>
        <w:rPr>
          <w:rStyle w:val="17"/>
          <w:rFonts w:hint="eastAsia" w:ascii="仿宋" w:eastAsia="仿宋"/>
          <w:b w:val="0"/>
          <w:bCs/>
          <w:color w:val="000000"/>
          <w:sz w:val="32"/>
          <w:szCs w:val="32"/>
        </w:rPr>
        <w:t>支出决算为120.92万元，完成预算100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p>
    <w:p w14:paraId="4B4E1FE8">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12.农林水支出（类）农村综合改革（款）对村民委员会和党支部的补助（项）：</w:t>
      </w:r>
      <w:r>
        <w:rPr>
          <w:rStyle w:val="17"/>
          <w:rFonts w:hint="eastAsia" w:ascii="仿宋" w:eastAsia="仿宋"/>
          <w:b w:val="0"/>
          <w:bCs/>
          <w:color w:val="000000"/>
          <w:sz w:val="32"/>
          <w:szCs w:val="32"/>
        </w:rPr>
        <w:t>支出决算为187.97万元，完成预算100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 xml:space="preserve">，决算数等于预算数。       </w:t>
      </w:r>
    </w:p>
    <w:p w14:paraId="49FA7A72">
      <w:pPr>
        <w:spacing w:line="600" w:lineRule="exact"/>
        <w:ind w:firstLine="643" w:firstLineChars="200"/>
        <w:rPr>
          <w:rStyle w:val="17"/>
          <w:rFonts w:ascii="仿宋" w:eastAsia="仿宋"/>
          <w:b w:val="0"/>
          <w:bCs/>
          <w:color w:val="0000FF"/>
          <w:sz w:val="32"/>
          <w:szCs w:val="32"/>
        </w:rPr>
      </w:pPr>
      <w:r>
        <w:rPr>
          <w:rStyle w:val="17"/>
          <w:rFonts w:hint="eastAsia" w:ascii="仿宋" w:eastAsia="仿宋"/>
          <w:bCs/>
          <w:color w:val="0000FF"/>
          <w:sz w:val="32"/>
          <w:szCs w:val="32"/>
        </w:rPr>
        <w:t>13.农林水支出（类）</w:t>
      </w:r>
      <w:r>
        <w:rPr>
          <w:rStyle w:val="17"/>
          <w:rFonts w:hint="eastAsia" w:ascii="仿宋" w:eastAsia="仿宋"/>
          <w:bCs/>
          <w:color w:val="0000FF"/>
          <w:sz w:val="32"/>
          <w:szCs w:val="32"/>
          <w:lang w:val="en-US" w:eastAsia="zh-CN"/>
        </w:rPr>
        <w:t>农业农村</w:t>
      </w:r>
      <w:r>
        <w:rPr>
          <w:rStyle w:val="17"/>
          <w:rFonts w:hint="eastAsia" w:ascii="仿宋" w:eastAsia="仿宋"/>
          <w:bCs/>
          <w:color w:val="0000FF"/>
          <w:sz w:val="32"/>
          <w:szCs w:val="32"/>
        </w:rPr>
        <w:t>（款）</w:t>
      </w:r>
      <w:r>
        <w:rPr>
          <w:rStyle w:val="17"/>
          <w:rFonts w:hint="eastAsia" w:ascii="仿宋" w:eastAsia="仿宋"/>
          <w:bCs/>
          <w:color w:val="0000FF"/>
          <w:sz w:val="32"/>
          <w:szCs w:val="32"/>
          <w:lang w:val="en-US" w:eastAsia="zh-CN"/>
        </w:rPr>
        <w:t>事业运行</w:t>
      </w:r>
      <w:r>
        <w:rPr>
          <w:rStyle w:val="17"/>
          <w:rFonts w:hint="eastAsia" w:ascii="仿宋" w:eastAsia="仿宋"/>
          <w:bCs/>
          <w:color w:val="0000FF"/>
          <w:sz w:val="32"/>
          <w:szCs w:val="32"/>
        </w:rPr>
        <w:t>（项）：</w:t>
      </w:r>
      <w:r>
        <w:rPr>
          <w:rStyle w:val="17"/>
          <w:rFonts w:hint="eastAsia" w:ascii="仿宋" w:eastAsia="仿宋"/>
          <w:b w:val="0"/>
          <w:bCs/>
          <w:color w:val="0000FF"/>
          <w:sz w:val="32"/>
          <w:szCs w:val="32"/>
        </w:rPr>
        <w:t>支出决算为</w:t>
      </w:r>
      <w:r>
        <w:rPr>
          <w:rStyle w:val="17"/>
          <w:rFonts w:hint="eastAsia" w:ascii="仿宋" w:eastAsia="仿宋"/>
          <w:b w:val="0"/>
          <w:bCs/>
          <w:color w:val="0000FF"/>
          <w:sz w:val="32"/>
          <w:szCs w:val="32"/>
          <w:lang w:val="en-US" w:eastAsia="zh-CN"/>
        </w:rPr>
        <w:t>120.92</w:t>
      </w:r>
      <w:r>
        <w:rPr>
          <w:rStyle w:val="17"/>
          <w:rFonts w:hint="eastAsia" w:ascii="仿宋" w:eastAsia="仿宋"/>
          <w:b w:val="0"/>
          <w:bCs/>
          <w:color w:val="0000FF"/>
          <w:sz w:val="32"/>
          <w:szCs w:val="32"/>
        </w:rPr>
        <w:t>万元，完成预算100</w:t>
      </w:r>
      <w:r>
        <w:rPr>
          <w:rStyle w:val="17"/>
          <w:rFonts w:ascii="仿宋" w:eastAsia="仿宋"/>
          <w:b w:val="0"/>
          <w:bCs/>
          <w:color w:val="0000FF"/>
          <w:sz w:val="32"/>
          <w:szCs w:val="32"/>
        </w:rPr>
        <w:t>%</w:t>
      </w:r>
      <w:r>
        <w:rPr>
          <w:rStyle w:val="17"/>
          <w:rFonts w:hint="eastAsia" w:ascii="仿宋" w:eastAsia="仿宋"/>
          <w:b w:val="0"/>
          <w:bCs/>
          <w:color w:val="0000FF"/>
          <w:sz w:val="32"/>
          <w:szCs w:val="32"/>
        </w:rPr>
        <w:t>，决算数等于预算数。</w:t>
      </w:r>
    </w:p>
    <w:p w14:paraId="51A742A1">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14.政府办公厅（室）及相关机构事务（类）其他政府办公厅（室）及相关机构事务（项）：</w:t>
      </w:r>
      <w:r>
        <w:rPr>
          <w:rStyle w:val="17"/>
          <w:rFonts w:hint="eastAsia" w:ascii="仿宋" w:eastAsia="仿宋"/>
          <w:b w:val="0"/>
          <w:bCs/>
          <w:color w:val="000000"/>
          <w:sz w:val="32"/>
          <w:szCs w:val="32"/>
        </w:rPr>
        <w:t>支出决算为12万元，完成预算100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14:paraId="71372A39">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rPr>
        <w:t>15其他支出（类）其他支出（款）其他支出（项）：</w:t>
      </w:r>
      <w:r>
        <w:rPr>
          <w:rStyle w:val="17"/>
          <w:rFonts w:hint="eastAsia" w:ascii="仿宋" w:eastAsia="仿宋"/>
          <w:b w:val="0"/>
          <w:bCs/>
          <w:color w:val="000000"/>
          <w:sz w:val="32"/>
          <w:szCs w:val="32"/>
        </w:rPr>
        <w:t>支出决算为13.15万元，完成预算100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14:paraId="0FA94FA6">
      <w:pPr>
        <w:spacing w:line="600" w:lineRule="exact"/>
        <w:ind w:firstLine="643" w:firstLineChars="200"/>
        <w:rPr>
          <w:rStyle w:val="17"/>
          <w:rFonts w:ascii="仿宋" w:eastAsia="仿宋"/>
          <w:b w:val="0"/>
          <w:bCs/>
          <w:color w:val="000000"/>
          <w:sz w:val="32"/>
          <w:szCs w:val="32"/>
        </w:rPr>
      </w:pPr>
      <w:r>
        <w:rPr>
          <w:rStyle w:val="17"/>
          <w:rFonts w:hint="eastAsia" w:ascii="仿宋" w:eastAsia="仿宋"/>
          <w:bCs/>
          <w:color w:val="000000"/>
          <w:sz w:val="32"/>
          <w:szCs w:val="32"/>
          <w:lang w:val="en-US" w:eastAsia="zh-CN"/>
        </w:rPr>
        <w:t>16</w:t>
      </w:r>
      <w:r>
        <w:rPr>
          <w:rStyle w:val="17"/>
          <w:rFonts w:hint="eastAsia" w:ascii="仿宋" w:eastAsia="仿宋"/>
          <w:bCs/>
          <w:color w:val="0000FF"/>
          <w:sz w:val="32"/>
          <w:szCs w:val="32"/>
        </w:rPr>
        <w:t>农林水支出（类）</w:t>
      </w:r>
      <w:r>
        <w:rPr>
          <w:rStyle w:val="17"/>
          <w:rFonts w:hint="eastAsia" w:ascii="仿宋" w:eastAsia="仿宋"/>
          <w:bCs/>
          <w:color w:val="0000FF"/>
          <w:sz w:val="32"/>
          <w:szCs w:val="32"/>
          <w:lang w:val="en-US" w:eastAsia="zh-CN"/>
        </w:rPr>
        <w:t>农业农村</w:t>
      </w:r>
      <w:r>
        <w:rPr>
          <w:rStyle w:val="17"/>
          <w:rFonts w:hint="eastAsia" w:ascii="仿宋" w:eastAsia="仿宋"/>
          <w:bCs/>
          <w:color w:val="0000FF"/>
          <w:sz w:val="32"/>
          <w:szCs w:val="32"/>
        </w:rPr>
        <w:t>（款）</w:t>
      </w:r>
      <w:r>
        <w:rPr>
          <w:rStyle w:val="17"/>
          <w:rFonts w:hint="eastAsia" w:ascii="仿宋" w:eastAsia="仿宋"/>
          <w:bCs/>
          <w:color w:val="0000FF"/>
          <w:sz w:val="32"/>
          <w:szCs w:val="32"/>
          <w:lang w:val="en-US" w:eastAsia="zh-CN"/>
        </w:rPr>
        <w:t>其他农业农村</w:t>
      </w:r>
      <w:r>
        <w:rPr>
          <w:rStyle w:val="17"/>
          <w:rFonts w:hint="eastAsia" w:ascii="仿宋" w:eastAsia="仿宋"/>
          <w:bCs/>
          <w:color w:val="0000FF"/>
          <w:sz w:val="32"/>
          <w:szCs w:val="32"/>
        </w:rPr>
        <w:t>（项）</w:t>
      </w:r>
      <w:r>
        <w:rPr>
          <w:rStyle w:val="17"/>
          <w:rFonts w:hint="eastAsia" w:ascii="仿宋" w:eastAsia="仿宋"/>
          <w:bCs/>
          <w:color w:val="000000"/>
          <w:sz w:val="32"/>
          <w:szCs w:val="32"/>
        </w:rPr>
        <w:t>：</w:t>
      </w:r>
      <w:r>
        <w:rPr>
          <w:rStyle w:val="17"/>
          <w:rFonts w:hint="eastAsia" w:ascii="仿宋" w:eastAsia="仿宋"/>
          <w:b w:val="0"/>
          <w:bCs/>
          <w:color w:val="000000"/>
          <w:sz w:val="32"/>
          <w:szCs w:val="32"/>
        </w:rPr>
        <w:t>支出决算为</w:t>
      </w:r>
      <w:r>
        <w:rPr>
          <w:rStyle w:val="17"/>
          <w:rFonts w:hint="eastAsia" w:ascii="仿宋" w:eastAsia="仿宋"/>
          <w:b w:val="0"/>
          <w:bCs/>
          <w:color w:val="000000"/>
          <w:sz w:val="32"/>
          <w:szCs w:val="32"/>
          <w:lang w:val="en-US" w:eastAsia="zh-CN"/>
        </w:rPr>
        <w:t>10</w:t>
      </w:r>
      <w:r>
        <w:rPr>
          <w:rStyle w:val="17"/>
          <w:rFonts w:hint="eastAsia" w:ascii="仿宋" w:eastAsia="仿宋"/>
          <w:b w:val="0"/>
          <w:bCs/>
          <w:color w:val="000000"/>
          <w:sz w:val="32"/>
          <w:szCs w:val="32"/>
        </w:rPr>
        <w:t>万元，完成预算100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，决算数等于预算数。</w:t>
      </w:r>
    </w:p>
    <w:p w14:paraId="7252C7F9">
      <w:pPr>
        <w:tabs>
          <w:tab w:val="right" w:pos="7663"/>
        </w:tabs>
        <w:spacing w:line="600" w:lineRule="exact"/>
        <w:rPr>
          <w:rStyle w:val="17"/>
          <w:rFonts w:ascii="仿宋" w:eastAsia="仿宋"/>
          <w:b w:val="0"/>
          <w:bCs/>
          <w:color w:val="000000"/>
          <w:sz w:val="32"/>
          <w:szCs w:val="32"/>
        </w:rPr>
      </w:pPr>
    </w:p>
    <w:p w14:paraId="41F06621">
      <w:pPr>
        <w:spacing w:line="600" w:lineRule="exact"/>
        <w:ind w:firstLine="640"/>
        <w:rPr>
          <w:rStyle w:val="20"/>
        </w:rPr>
      </w:pPr>
      <w:r>
        <w:rPr>
          <w:rFonts w:hint="eastAsia" w:ascii="黑体" w:eastAsia="黑体"/>
          <w:color w:val="000000"/>
          <w:sz w:val="32"/>
          <w:szCs w:val="32"/>
        </w:rPr>
        <w:t>六</w:t>
      </w:r>
      <w:r>
        <w:rPr>
          <w:rFonts w:hint="eastAsia" w:ascii="黑体" w:eastAsia="黑体"/>
          <w:b/>
          <w:color w:val="000000"/>
          <w:sz w:val="32"/>
          <w:szCs w:val="32"/>
        </w:rPr>
        <w:t>、一</w:t>
      </w:r>
      <w:r>
        <w:rPr>
          <w:rStyle w:val="20"/>
          <w:rFonts w:hint="eastAsia" w:ascii="黑体" w:eastAsia="黑体"/>
          <w:b w:val="0"/>
        </w:rPr>
        <w:t>般公共预算财政拨款基本支出决算情况说明</w:t>
      </w:r>
      <w:bookmarkEnd w:id="40"/>
      <w:r>
        <w:rPr>
          <w:rStyle w:val="20"/>
          <w:rFonts w:ascii="黑体" w:eastAsia="黑体"/>
          <w:b w:val="0"/>
        </w:rPr>
        <w:tab/>
      </w:r>
    </w:p>
    <w:p w14:paraId="095CFE0C">
      <w:pPr>
        <w:spacing w:line="600" w:lineRule="exact"/>
        <w:ind w:firstLine="640" w:firstLineChars="200"/>
        <w:rPr>
          <w:rFonts w:hint="eastAsia" w:ascii="仿宋" w:eastAsia="仿宋" w:cs="Times New Roman"/>
          <w:bCs/>
          <w:color w:val="000000"/>
          <w:kern w:val="0"/>
          <w:sz w:val="32"/>
          <w:szCs w:val="32"/>
          <w:lang w:val="en-US" w:eastAsia="zh-CN" w:bidi="ar-SA"/>
        </w:rPr>
      </w:pPr>
      <w:bookmarkStart w:id="41" w:name="_Toc15377215"/>
      <w:bookmarkStart w:id="42" w:name="_Toc9449"/>
      <w:r>
        <w:rPr>
          <w:rFonts w:hint="eastAsia" w:ascii="仿宋" w:eastAsia="仿宋" w:cs="Times New Roman"/>
          <w:bCs/>
          <w:color w:val="000000"/>
          <w:kern w:val="0"/>
          <w:sz w:val="32"/>
          <w:szCs w:val="32"/>
          <w:lang w:val="en-US" w:eastAsia="zh-CN" w:bidi="ar-SA"/>
        </w:rPr>
        <w:t>2021年一般公共预算财政拨款基本支出599.19万元，其中：</w:t>
      </w:r>
    </w:p>
    <w:p w14:paraId="6E82B5D7">
      <w:pPr>
        <w:spacing w:line="600" w:lineRule="exact"/>
        <w:ind w:firstLine="640" w:firstLineChars="200"/>
        <w:rPr>
          <w:rFonts w:hint="eastAsia" w:ascii="仿宋" w:eastAsia="仿宋" w:cs="Times New Roman"/>
          <w:bCs/>
          <w:color w:val="000000"/>
          <w:kern w:val="0"/>
          <w:sz w:val="32"/>
          <w:szCs w:val="32"/>
          <w:lang w:val="en-US" w:eastAsia="zh-CN" w:bidi="ar-SA"/>
        </w:rPr>
      </w:pPr>
      <w:r>
        <w:rPr>
          <w:rFonts w:hint="eastAsia" w:ascii="仿宋" w:eastAsia="仿宋" w:cs="Times New Roman"/>
          <w:bCs/>
          <w:color w:val="000000"/>
          <w:kern w:val="0"/>
          <w:sz w:val="32"/>
          <w:szCs w:val="32"/>
          <w:lang w:val="en-US" w:eastAsia="zh-CN" w:bidi="ar-SA"/>
        </w:rPr>
        <w:t>人员经费563.35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0DC75053">
      <w:pPr>
        <w:spacing w:line="600" w:lineRule="exact"/>
        <w:ind w:firstLine="640" w:firstLineChars="200"/>
        <w:rPr>
          <w:rFonts w:hint="eastAsia" w:ascii="仿宋" w:eastAsia="仿宋" w:cs="Times New Roman"/>
          <w:bCs/>
          <w:color w:val="000000"/>
          <w:kern w:val="0"/>
          <w:sz w:val="32"/>
          <w:szCs w:val="32"/>
          <w:lang w:val="en-US" w:eastAsia="zh-CN" w:bidi="ar-SA"/>
        </w:rPr>
      </w:pPr>
      <w:r>
        <w:rPr>
          <w:rFonts w:hint="eastAsia" w:ascii="仿宋" w:eastAsia="仿宋" w:cs="Times New Roman"/>
          <w:bCs/>
          <w:color w:val="000000"/>
          <w:kern w:val="0"/>
          <w:sz w:val="32"/>
          <w:szCs w:val="32"/>
          <w:lang w:val="en-US" w:eastAsia="zh-CN" w:bidi="ar-SA"/>
        </w:rPr>
        <w:t xml:space="preserve">  公用经费35.83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3770A6C2">
      <w:pPr>
        <w:spacing w:line="600" w:lineRule="exact"/>
        <w:ind w:firstLine="640" w:firstLineChars="200"/>
        <w:outlineLvl w:val="1"/>
        <w:rPr>
          <w:rStyle w:val="20"/>
          <w:rFonts w:ascii="黑体" w:eastAsia="黑体"/>
          <w:b w:val="0"/>
        </w:rPr>
      </w:pPr>
      <w:r>
        <w:rPr>
          <w:rFonts w:hint="eastAsia" w:ascii="黑体" w:eastAsia="黑体"/>
          <w:color w:val="000000"/>
          <w:sz w:val="32"/>
          <w:szCs w:val="32"/>
        </w:rPr>
        <w:t>七、</w:t>
      </w:r>
      <w:r>
        <w:rPr>
          <w:rStyle w:val="20"/>
          <w:rFonts w:hint="eastAsia" w:ascii="黑体" w:eastAsia="黑体"/>
        </w:rPr>
        <w:t>“</w:t>
      </w:r>
      <w:r>
        <w:rPr>
          <w:rStyle w:val="20"/>
          <w:rFonts w:hint="eastAsia" w:ascii="黑体" w:eastAsia="黑体"/>
          <w:b w:val="0"/>
        </w:rPr>
        <w:t>三公”经费财政拨款支出决算情况说明</w:t>
      </w:r>
      <w:bookmarkEnd w:id="41"/>
      <w:bookmarkEnd w:id="42"/>
    </w:p>
    <w:p w14:paraId="637BC4FB">
      <w:pPr>
        <w:spacing w:line="600" w:lineRule="exact"/>
        <w:ind w:firstLine="640"/>
        <w:outlineLvl w:val="2"/>
        <w:rPr>
          <w:rFonts w:ascii="仿宋" w:eastAsia="仿宋"/>
          <w:b/>
          <w:color w:val="000000"/>
          <w:sz w:val="32"/>
          <w:szCs w:val="32"/>
        </w:rPr>
      </w:pPr>
      <w:bookmarkStart w:id="43" w:name="_Toc15377216"/>
      <w:r>
        <w:rPr>
          <w:rFonts w:hint="eastAsia" w:ascii="仿宋" w:eastAsia="仿宋"/>
          <w:b/>
          <w:color w:val="000000"/>
          <w:sz w:val="32"/>
          <w:szCs w:val="32"/>
        </w:rPr>
        <w:t>（一）“三公”经费财政拨款支出决算总体情况说明</w:t>
      </w:r>
      <w:bookmarkEnd w:id="43"/>
    </w:p>
    <w:p w14:paraId="0FA57909">
      <w:pPr>
        <w:spacing w:line="600" w:lineRule="exact"/>
        <w:ind w:firstLine="640"/>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rPr>
        <w:t>1年“三公”经费财政拨款支出决算为9万元，</w:t>
      </w:r>
      <w:r>
        <w:rPr>
          <w:rFonts w:ascii="仿宋" w:eastAsia="仿宋"/>
          <w:color w:val="000000"/>
          <w:sz w:val="32"/>
          <w:szCs w:val="32"/>
        </w:rPr>
        <w:t>预算数9万，</w:t>
      </w:r>
      <w:r>
        <w:rPr>
          <w:rFonts w:hint="eastAsia" w:ascii="仿宋" w:eastAsia="仿宋"/>
          <w:color w:val="000000"/>
          <w:sz w:val="32"/>
          <w:szCs w:val="32"/>
        </w:rPr>
        <w:t>完成预算100</w:t>
      </w:r>
      <w:r>
        <w:rPr>
          <w:rFonts w:ascii="仿宋" w:eastAsia="仿宋"/>
          <w:color w:val="000000"/>
          <w:sz w:val="32"/>
          <w:szCs w:val="32"/>
        </w:rPr>
        <w:t>%</w:t>
      </w:r>
      <w:r>
        <w:rPr>
          <w:rFonts w:hint="eastAsia" w:ascii="仿宋" w:eastAsia="仿宋"/>
          <w:color w:val="000000"/>
          <w:sz w:val="32"/>
          <w:szCs w:val="32"/>
        </w:rPr>
        <w:t>，决算数与预算数持平。</w:t>
      </w:r>
    </w:p>
    <w:p w14:paraId="09AE6A1D">
      <w:pPr>
        <w:spacing w:line="600" w:lineRule="exact"/>
        <w:ind w:firstLine="640"/>
        <w:outlineLvl w:val="2"/>
        <w:rPr>
          <w:rFonts w:ascii="仿宋" w:eastAsia="仿宋"/>
          <w:b/>
          <w:color w:val="000000"/>
          <w:sz w:val="32"/>
          <w:szCs w:val="32"/>
        </w:rPr>
      </w:pPr>
      <w:bookmarkStart w:id="44" w:name="_Toc15377217"/>
      <w:r>
        <w:rPr>
          <w:rFonts w:hint="eastAsia" w:ascii="仿宋" w:eastAsia="仿宋"/>
          <w:b/>
          <w:color w:val="000000"/>
          <w:sz w:val="32"/>
          <w:szCs w:val="32"/>
        </w:rPr>
        <w:t>（二）“三公”经费财政拨款支出决算具体情况说明</w:t>
      </w:r>
      <w:bookmarkEnd w:id="44"/>
    </w:p>
    <w:p w14:paraId="1B072A87">
      <w:pPr>
        <w:spacing w:line="600" w:lineRule="exact"/>
        <w:ind w:firstLine="640"/>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rPr>
        <w:t>1年“三公”经费财政拨款支出</w:t>
      </w:r>
      <w:r>
        <w:rPr>
          <w:rFonts w:hint="eastAsia" w:ascii="仿宋" w:eastAsia="仿宋"/>
          <w:sz w:val="32"/>
          <w:szCs w:val="32"/>
        </w:rPr>
        <w:t>决算9万元</w:t>
      </w:r>
      <w:r>
        <w:rPr>
          <w:rFonts w:hint="eastAsia" w:ascii="仿宋" w:eastAsia="仿宋"/>
          <w:color w:val="000000"/>
          <w:sz w:val="32"/>
          <w:szCs w:val="32"/>
        </w:rPr>
        <w:t>，</w:t>
      </w:r>
      <w:r>
        <w:rPr>
          <w:rFonts w:hint="eastAsia" w:ascii="仿宋" w:eastAsia="仿宋"/>
          <w:color w:val="000000"/>
          <w:sz w:val="32"/>
          <w:szCs w:val="32"/>
          <w:lang w:eastAsia="zh-CN"/>
        </w:rPr>
        <w:t>年初预算为九万元，</w:t>
      </w:r>
      <w:r>
        <w:rPr>
          <w:rFonts w:hint="eastAsia" w:ascii="仿宋" w:eastAsia="仿宋"/>
          <w:color w:val="000000"/>
          <w:sz w:val="32"/>
          <w:szCs w:val="32"/>
        </w:rPr>
        <w:t>其中：公务用车购置及运行维护费支出决算9万元，占100</w:t>
      </w:r>
      <w:r>
        <w:rPr>
          <w:rFonts w:ascii="仿宋" w:eastAsia="仿宋"/>
          <w:color w:val="000000"/>
          <w:sz w:val="32"/>
          <w:szCs w:val="32"/>
        </w:rPr>
        <w:t>%</w:t>
      </w:r>
      <w:r>
        <w:rPr>
          <w:rFonts w:hint="eastAsia" w:ascii="仿宋" w:eastAsia="仿宋"/>
          <w:color w:val="000000"/>
          <w:sz w:val="32"/>
          <w:szCs w:val="32"/>
        </w:rPr>
        <w:t>；</w:t>
      </w:r>
    </w:p>
    <w:p w14:paraId="37F4B6DF">
      <w:pPr>
        <w:spacing w:line="600" w:lineRule="exact"/>
        <w:ind w:firstLine="640"/>
        <w:rPr>
          <w:rFonts w:hint="eastAsia" w:ascii="仿宋_GB2312" w:eastAsia="仿宋_GB2312"/>
          <w:color w:val="000000"/>
          <w:sz w:val="30"/>
          <w:szCs w:val="30"/>
        </w:rPr>
      </w:pPr>
      <w:r>
        <w:rPr>
          <w:rFonts w:ascii="仿宋" w:eastAsia="仿宋"/>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0"/>
          <w:szCs w:val="30"/>
        </w:rPr>
        <w:t>20</w:t>
      </w:r>
      <w:r>
        <w:rPr>
          <w:rFonts w:hint="eastAsia" w:ascii="仿宋_GB2312" w:eastAsia="仿宋_GB2312"/>
          <w:color w:val="000000"/>
          <w:sz w:val="30"/>
          <w:szCs w:val="30"/>
        </w:rPr>
        <w:t>21年因公出国（境）费0万元。</w:t>
      </w:r>
    </w:p>
    <w:p w14:paraId="76819ECF">
      <w:pPr>
        <w:pStyle w:val="14"/>
        <w:keepNext w:val="0"/>
        <w:keepLines w:val="0"/>
        <w:widowControl/>
        <w:suppressLineNumbers w:val="0"/>
        <w:snapToGrid w:val="0"/>
        <w:spacing w:before="0" w:beforeAutospacing="0" w:after="0" w:afterAutospacing="1"/>
        <w:ind w:left="0" w:right="0"/>
        <w:jc w:val="left"/>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运行维护费支出</w:t>
      </w:r>
      <w:r>
        <w:rPr>
          <w:rFonts w:hint="eastAsia" w:ascii="仿宋_GB2312" w:eastAsia="仿宋_GB2312"/>
          <w:b/>
          <w:color w:val="000000"/>
          <w:sz w:val="32"/>
          <w:szCs w:val="32"/>
          <w:lang w:val="en-US" w:eastAsia="zh-CN"/>
        </w:rPr>
        <w:t>9</w:t>
      </w:r>
      <w:r>
        <w:rPr>
          <w:rFonts w:hint="eastAsia" w:ascii="仿宋_GB2312" w:eastAsia="仿宋_GB2312"/>
          <w:color w:val="000000"/>
          <w:sz w:val="32"/>
          <w:szCs w:val="32"/>
        </w:rPr>
        <w:t>万元,</w:t>
      </w:r>
      <w:r>
        <w:rPr>
          <w:rStyle w:val="17"/>
          <w:rFonts w:hint="eastAsia" w:ascii="仿宋" w:eastAsia="仿宋"/>
          <w:b w:val="0"/>
          <w:bCs/>
          <w:color w:val="000000"/>
          <w:sz w:val="32"/>
          <w:szCs w:val="32"/>
        </w:rPr>
        <w:t>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w:t>
      </w:r>
      <w:r>
        <w:rPr>
          <w:rFonts w:hint="eastAsia" w:ascii="仿宋" w:eastAsia="仿宋" w:cs="Times New Roman"/>
          <w:bCs/>
          <w:color w:val="000000"/>
          <w:kern w:val="0"/>
          <w:sz w:val="32"/>
          <w:szCs w:val="32"/>
          <w:lang w:val="en-US" w:eastAsia="zh-CN" w:bidi="ar-SA"/>
        </w:rPr>
        <w:t>决算比2020年增加6.20万，增加221.43%。我单位本年度厉行节约减少了三公经费的开</w:t>
      </w:r>
      <w:r>
        <w:rPr>
          <w:rFonts w:hint="eastAsia" w:ascii="仿宋_GB2312" w:eastAsia="仿宋_GB2312" w:cs="仿宋"/>
          <w:color w:val="000000"/>
          <w:sz w:val="32"/>
          <w:szCs w:val="32"/>
        </w:rPr>
        <w:t>支。</w:t>
      </w: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辆，其中：部级领导干部用车0辆、主要领导干部用车0辆、机要通信用车0辆、应急保障用车</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辆、执法执勤用车0辆、特种专业技术用车0辆、离退休干部用车0辆、其他用车0辆；</w:t>
      </w:r>
    </w:p>
    <w:p w14:paraId="6A32A138">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公务用车运行维护费支出9</w:t>
      </w:r>
      <w:r>
        <w:rPr>
          <w:rFonts w:hint="eastAsia" w:ascii="仿宋_GB2312" w:eastAsia="仿宋_GB2312"/>
          <w:sz w:val="32"/>
          <w:szCs w:val="32"/>
        </w:rPr>
        <w:t>万元。</w:t>
      </w:r>
      <w:r>
        <w:rPr>
          <w:rFonts w:hint="eastAsia" w:ascii="仿宋_GB2312" w:eastAsia="仿宋_GB2312"/>
          <w:color w:val="000000"/>
          <w:sz w:val="32"/>
          <w:szCs w:val="32"/>
        </w:rPr>
        <w:t>主要用我单位所需的公务用车燃料费、维修费、过路过桥费、保险费等支出。</w:t>
      </w:r>
    </w:p>
    <w:p w14:paraId="2C4F4D08">
      <w:pPr>
        <w:numPr>
          <w:ilvl w:val="0"/>
          <w:numId w:val="3"/>
        </w:numPr>
        <w:spacing w:line="600" w:lineRule="exact"/>
        <w:ind w:left="0" w:firstLine="640"/>
        <w:rPr>
          <w:rFonts w:ascii="仿宋_GB2312" w:eastAsia="仿宋_GB2312"/>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7"/>
          <w:rFonts w:hint="eastAsia" w:ascii="仿宋" w:eastAsia="仿宋"/>
          <w:b w:val="0"/>
          <w:bCs/>
          <w:color w:val="000000"/>
          <w:sz w:val="32"/>
          <w:szCs w:val="32"/>
        </w:rPr>
        <w:t>完成预算100</w:t>
      </w:r>
      <w:r>
        <w:rPr>
          <w:rStyle w:val="17"/>
          <w:rFonts w:ascii="仿宋" w:eastAsia="仿宋"/>
          <w:b w:val="0"/>
          <w:bCs/>
          <w:color w:val="000000"/>
          <w:sz w:val="32"/>
          <w:szCs w:val="32"/>
        </w:rPr>
        <w:t>%</w:t>
      </w:r>
      <w:r>
        <w:rPr>
          <w:rStyle w:val="17"/>
          <w:rFonts w:hint="eastAsia" w:ascii="仿宋" w:eastAsia="仿宋"/>
          <w:b w:val="0"/>
          <w:bCs/>
          <w:color w:val="000000"/>
          <w:sz w:val="32"/>
          <w:szCs w:val="32"/>
        </w:rPr>
        <w:t>。</w:t>
      </w:r>
      <w:r>
        <w:rPr>
          <w:rFonts w:hint="eastAsia" w:ascii="仿宋_GB2312" w:eastAsia="仿宋_GB2312" w:cs="仿宋"/>
          <w:color w:val="000000"/>
          <w:sz w:val="32"/>
          <w:szCs w:val="32"/>
        </w:rPr>
        <w:t>公务接待费0万元，较上年一致。</w:t>
      </w: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p>
    <w:p w14:paraId="650D265F">
      <w:pPr>
        <w:spacing w:line="600" w:lineRule="exact"/>
        <w:ind w:firstLine="640"/>
        <w:outlineLvl w:val="1"/>
        <w:rPr>
          <w:rStyle w:val="20"/>
          <w:rFonts w:ascii="黑体" w:eastAsia="黑体"/>
        </w:rPr>
      </w:pPr>
      <w:bookmarkStart w:id="45" w:name="_Toc23573"/>
      <w:bookmarkStart w:id="46" w:name="_Toc15377218"/>
      <w:r>
        <w:rPr>
          <w:rFonts w:hint="eastAsia" w:ascii="黑体" w:eastAsia="黑体"/>
          <w:color w:val="000000"/>
          <w:sz w:val="32"/>
          <w:szCs w:val="32"/>
        </w:rPr>
        <w:t>八、</w:t>
      </w:r>
      <w:r>
        <w:rPr>
          <w:rStyle w:val="20"/>
          <w:rFonts w:hint="eastAsia" w:ascii="黑体" w:eastAsia="黑体"/>
          <w:b w:val="0"/>
        </w:rPr>
        <w:t>政府性基金预算支出决算情况说明</w:t>
      </w:r>
      <w:bookmarkEnd w:id="45"/>
      <w:bookmarkEnd w:id="46"/>
    </w:p>
    <w:p w14:paraId="61EAB2DB">
      <w:pPr>
        <w:pStyle w:val="14"/>
        <w:keepNext w:val="0"/>
        <w:keepLines w:val="0"/>
        <w:widowControl/>
        <w:suppressLineNumbers w:val="0"/>
        <w:snapToGrid w:val="0"/>
        <w:spacing w:before="0" w:beforeAutospacing="0" w:after="0" w:afterAutospacing="1"/>
        <w:ind w:left="0" w:right="0"/>
        <w:jc w:val="left"/>
        <w:rPr>
          <w:rFonts w:hint="eastAsia" w:ascii="宋体" w:eastAsia="宋体" w:cs="宋体"/>
          <w:kern w:val="0"/>
          <w:sz w:val="24"/>
          <w:szCs w:val="24"/>
        </w:rPr>
      </w:pPr>
      <w:bookmarkStart w:id="47" w:name="_Toc15377219"/>
      <w:bookmarkStart w:id="48" w:name="_Toc351"/>
      <w:r>
        <w:rPr>
          <w:rFonts w:hint="eastAsia" w:ascii="宋体" w:eastAsia="宋体" w:cs="宋体"/>
          <w:kern w:val="0"/>
          <w:sz w:val="24"/>
          <w:szCs w:val="24"/>
          <w:shd w:val="clear" w:color="auto" w:fill="FFFFFF"/>
          <w:lang w:val="en-US" w:eastAsia="zh-CN"/>
        </w:rPr>
        <w:t>2021年政府性基金预算财政拨款支出281.19万元。</w:t>
      </w:r>
    </w:p>
    <w:p w14:paraId="27F05C3B">
      <w:pPr>
        <w:numPr>
          <w:ilvl w:val="0"/>
          <w:numId w:val="4"/>
        </w:numPr>
        <w:spacing w:line="600" w:lineRule="exact"/>
        <w:ind w:left="0" w:firstLine="640"/>
        <w:outlineLvl w:val="1"/>
        <w:rPr>
          <w:rStyle w:val="20"/>
          <w:rFonts w:ascii="黑体" w:eastAsia="黑体"/>
          <w:b w:val="0"/>
        </w:rPr>
      </w:pPr>
      <w:r>
        <w:rPr>
          <w:rStyle w:val="20"/>
          <w:rFonts w:hint="eastAsia" w:ascii="黑体" w:eastAsia="黑体"/>
          <w:b w:val="0"/>
        </w:rPr>
        <w:t>国有资本经营预算支出决算情况说明</w:t>
      </w:r>
      <w:bookmarkEnd w:id="47"/>
      <w:bookmarkEnd w:id="48"/>
    </w:p>
    <w:p w14:paraId="770DCACF">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1年国有资本经营预算拨款支出0万元。</w:t>
      </w:r>
    </w:p>
    <w:p w14:paraId="6F006BF7">
      <w:pPr>
        <w:pStyle w:val="26"/>
        <w:numPr>
          <w:ilvl w:val="0"/>
          <w:numId w:val="5"/>
        </w:numPr>
        <w:spacing w:line="580" w:lineRule="exact"/>
        <w:ind w:firstLineChars="0"/>
        <w:rPr>
          <w:rStyle w:val="20"/>
          <w:rFonts w:ascii="黑体" w:eastAsia="黑体"/>
          <w:b w:val="0"/>
        </w:rPr>
      </w:pPr>
      <w:bookmarkStart w:id="49" w:name="_Toc16199"/>
      <w:r>
        <w:rPr>
          <w:rStyle w:val="20"/>
          <w:rFonts w:hint="eastAsia" w:ascii="黑体" w:eastAsia="黑体"/>
          <w:b w:val="0"/>
        </w:rPr>
        <w:t>预算绩效情况说明</w:t>
      </w:r>
    </w:p>
    <w:bookmarkEnd w:id="49"/>
    <w:p w14:paraId="5A88CC80">
      <w:pPr>
        <w:numPr>
          <w:ilvl w:val="0"/>
          <w:numId w:val="6"/>
        </w:numPr>
        <w:spacing w:line="580" w:lineRule="exact"/>
        <w:ind w:left="0" w:firstLine="640" w:firstLineChars="200"/>
        <w:rPr>
          <w:rStyle w:val="20"/>
          <w:rFonts w:ascii="黑体" w:eastAsia="黑体"/>
          <w:b w:val="0"/>
        </w:rPr>
      </w:pPr>
      <w:bookmarkStart w:id="50" w:name="_Toc4523"/>
      <w:r>
        <w:rPr>
          <w:rStyle w:val="20"/>
          <w:rFonts w:hint="eastAsia" w:ascii="黑体" w:eastAsia="黑体"/>
          <w:b w:val="0"/>
        </w:rPr>
        <w:t>预算绩效管理工作开展情况。</w:t>
      </w:r>
    </w:p>
    <w:bookmarkEnd w:id="50"/>
    <w:p w14:paraId="0020700B">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项目开展了预算事前绩效评估，对4个项目编制了绩效目标，预算执行过程中，选取4个项目开展绩效监控，年终执行完毕后，对4个项目开展了绩效目标完成情况梳理填报。</w:t>
      </w:r>
    </w:p>
    <w:p w14:paraId="688ABFAE">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w:t>
      </w:r>
      <w:r>
        <w:rPr>
          <w:rFonts w:ascii="仿宋_GB2312" w:eastAsia="仿宋_GB2312" w:cs="仿宋_GB2312"/>
          <w:sz w:val="32"/>
          <w:szCs w:val="32"/>
        </w:rPr>
        <w:t>202</w:t>
      </w:r>
      <w:r>
        <w:rPr>
          <w:rFonts w:hint="eastAsia" w:ascii="仿宋_GB2312" w:eastAsia="仿宋_GB2312" w:cs="仿宋_GB2312"/>
          <w:sz w:val="32"/>
          <w:szCs w:val="32"/>
        </w:rPr>
        <w:t>1年部门整体支出开展绩效自评，</w:t>
      </w:r>
      <w:r>
        <w:rPr>
          <w:rFonts w:hint="eastAsia" w:ascii="仿宋_GB2312" w:eastAsia="仿宋_GB2312"/>
          <w:sz w:val="32"/>
          <w:szCs w:val="32"/>
        </w:rPr>
        <w:t>经全面综合评价，我单位预算支出绩效自评得分94.7</w:t>
      </w:r>
      <w:r>
        <w:rPr>
          <w:rFonts w:hint="eastAsia" w:ascii="仿宋_GB2312" w:eastAsia="仿宋_GB2312"/>
          <w:color w:val="000000"/>
          <w:sz w:val="32"/>
          <w:szCs w:val="32"/>
        </w:rPr>
        <w:t>分</w:t>
      </w:r>
      <w:r>
        <w:rPr>
          <w:rFonts w:hint="eastAsia" w:ascii="仿宋_GB2312" w:eastAsia="仿宋_GB2312"/>
          <w:sz w:val="32"/>
          <w:szCs w:val="32"/>
        </w:rPr>
        <w:t>（扣除我单位不存在的评价指标分值,总分为96分）。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。本单位还自行组织了1个项目绩效评价，从评价情况来看我单位年初预算项目基本按照绩效目标完成支付，有部分项目结转质保金在下年质保期后进行支付。</w:t>
      </w:r>
    </w:p>
    <w:tbl>
      <w:tblPr>
        <w:tblStyle w:val="15"/>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14:paraId="51495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14:paraId="1B17E00E">
            <w:pPr>
              <w:pStyle w:val="26"/>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14:paraId="41508E38">
            <w:pPr>
              <w:pStyle w:val="26"/>
              <w:widowControl/>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w:t>
            </w:r>
            <w:r>
              <w:rPr>
                <w:rFonts w:ascii="宋体" w:cs="宋体"/>
                <w:color w:val="000000"/>
                <w:kern w:val="0"/>
                <w:sz w:val="36"/>
                <w:szCs w:val="36"/>
              </w:rPr>
              <w:t>202</w:t>
            </w:r>
            <w:r>
              <w:rPr>
                <w:rFonts w:hint="eastAsia" w:ascii="宋体" w:cs="宋体"/>
                <w:color w:val="000000"/>
                <w:kern w:val="0"/>
                <w:sz w:val="36"/>
                <w:szCs w:val="36"/>
              </w:rPr>
              <w:t>1年度)</w:t>
            </w:r>
          </w:p>
        </w:tc>
      </w:tr>
      <w:tr w14:paraId="28BE3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1A7605">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8F824CB">
            <w:pPr>
              <w:widowControl/>
              <w:jc w:val="center"/>
              <w:textAlignment w:val="center"/>
              <w:rPr>
                <w:rFonts w:ascii="宋体" w:cs="宋体"/>
                <w:color w:val="000000"/>
                <w:sz w:val="24"/>
              </w:rPr>
            </w:pPr>
            <w:r>
              <w:rPr>
                <w:rFonts w:hint="eastAsia" w:ascii="仿宋_GB2312" w:eastAsia="仿宋_GB2312" w:cs="仿宋_GB2312"/>
                <w:sz w:val="32"/>
                <w:szCs w:val="32"/>
              </w:rPr>
              <w:t>春节慰问金</w:t>
            </w:r>
          </w:p>
        </w:tc>
      </w:tr>
      <w:tr w14:paraId="26602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87E556">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325267">
            <w:pPr>
              <w:widowControl/>
              <w:jc w:val="center"/>
              <w:textAlignment w:val="center"/>
              <w:rPr>
                <w:rFonts w:ascii="宋体" w:cs="宋体"/>
                <w:color w:val="000000"/>
                <w:sz w:val="24"/>
              </w:rPr>
            </w:pPr>
            <w:r>
              <w:rPr>
                <w:rFonts w:hint="eastAsia" w:ascii="宋体" w:cs="宋体"/>
                <w:color w:val="000000"/>
                <w:sz w:val="24"/>
              </w:rPr>
              <w:t>金川县河西乡人民政府</w:t>
            </w:r>
          </w:p>
        </w:tc>
      </w:tr>
      <w:tr w14:paraId="3827B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8A41FB">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68E55C">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8864CC">
            <w:pPr>
              <w:widowControl/>
              <w:jc w:val="center"/>
              <w:textAlignment w:val="center"/>
              <w:rPr>
                <w:rFonts w:ascii="宋体" w:cs="宋体"/>
                <w:color w:val="000000"/>
                <w:sz w:val="24"/>
              </w:rPr>
            </w:pPr>
            <w:r>
              <w:rPr>
                <w:rFonts w:hint="eastAsia" w:ascii="宋体" w:cs="宋体"/>
                <w:color w:val="000000"/>
                <w:sz w:val="24"/>
              </w:rPr>
              <w:t>1万元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57EA7F">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13C8E8">
            <w:pPr>
              <w:widowControl/>
              <w:jc w:val="center"/>
              <w:textAlignment w:val="center"/>
              <w:rPr>
                <w:rFonts w:ascii="宋体" w:cs="宋体"/>
                <w:color w:val="000000"/>
                <w:sz w:val="24"/>
              </w:rPr>
            </w:pPr>
            <w:r>
              <w:rPr>
                <w:rFonts w:hint="eastAsia" w:ascii="宋体" w:cs="宋体"/>
                <w:color w:val="000000"/>
                <w:sz w:val="24"/>
              </w:rPr>
              <w:t>1万元</w:t>
            </w:r>
          </w:p>
        </w:tc>
      </w:tr>
      <w:tr w14:paraId="39ED9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33CACBDA"/>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A30CB7">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70E8BC">
            <w:pPr>
              <w:widowControl/>
              <w:jc w:val="center"/>
              <w:textAlignment w:val="center"/>
              <w:rPr>
                <w:rFonts w:ascii="宋体" w:cs="宋体"/>
                <w:color w:val="000000"/>
                <w:sz w:val="24"/>
              </w:rPr>
            </w:pPr>
            <w:r>
              <w:rPr>
                <w:rFonts w:hint="eastAsia" w:ascii="宋体" w:cs="宋体"/>
                <w:color w:val="000000"/>
                <w:sz w:val="24"/>
              </w:rPr>
              <w:t>1万元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8E8CBC">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D7BF1B">
            <w:pPr>
              <w:widowControl/>
              <w:jc w:val="center"/>
              <w:textAlignment w:val="center"/>
              <w:rPr>
                <w:rFonts w:ascii="宋体" w:cs="宋体"/>
                <w:color w:val="000000"/>
                <w:sz w:val="24"/>
              </w:rPr>
            </w:pPr>
            <w:r>
              <w:rPr>
                <w:rFonts w:hint="eastAsia" w:ascii="宋体" w:cs="宋体"/>
                <w:color w:val="000000"/>
                <w:sz w:val="24"/>
              </w:rPr>
              <w:t>1万元</w:t>
            </w:r>
          </w:p>
        </w:tc>
      </w:tr>
      <w:tr w14:paraId="5F762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6B4DADAA"/>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A0FE18">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F224D0">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008131">
            <w:pPr>
              <w:widowControl/>
              <w:jc w:val="center"/>
              <w:textAlignment w:val="center"/>
              <w:rPr>
                <w:rFonts w:ascii="宋体" w:cs="宋体"/>
                <w:color w:val="000000"/>
                <w:sz w:val="24"/>
              </w:rPr>
            </w:pPr>
            <w:r>
              <w:rPr>
                <w:rFonts w:hint="eastAsia" w:asci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365EA2">
            <w:pPr>
              <w:rPr>
                <w:rFonts w:ascii="宋体" w:cs="宋体"/>
                <w:color w:val="000000"/>
                <w:sz w:val="24"/>
              </w:rPr>
            </w:pPr>
          </w:p>
        </w:tc>
      </w:tr>
      <w:tr w14:paraId="26D9C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2B603C">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346DDB">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57D538">
            <w:pPr>
              <w:widowControl/>
              <w:jc w:val="center"/>
              <w:textAlignment w:val="center"/>
              <w:rPr>
                <w:rFonts w:ascii="宋体" w:cs="宋体"/>
                <w:color w:val="000000"/>
                <w:sz w:val="24"/>
              </w:rPr>
            </w:pPr>
            <w:r>
              <w:rPr>
                <w:rFonts w:hint="eastAsia" w:ascii="宋体" w:cs="宋体"/>
                <w:color w:val="000000"/>
                <w:kern w:val="0"/>
                <w:sz w:val="24"/>
              </w:rPr>
              <w:t>实际完成目标</w:t>
            </w:r>
          </w:p>
        </w:tc>
      </w:tr>
      <w:tr w14:paraId="0F71B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5BC2A860"/>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367779">
            <w:pPr>
              <w:widowControl/>
              <w:jc w:val="center"/>
              <w:textAlignment w:val="center"/>
              <w:rPr>
                <w:rFonts w:ascii="宋体" w:cs="宋体"/>
                <w:color w:val="000000"/>
                <w:sz w:val="24"/>
              </w:rPr>
            </w:pPr>
            <w:r>
              <w:rPr>
                <w:rFonts w:hint="eastAsia" w:ascii="宋体" w:cs="宋体"/>
                <w:color w:val="000000"/>
                <w:sz w:val="24"/>
              </w:rPr>
              <w:t>保证河西乡顺利完成春节慰问活动</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87FAA4">
            <w:pPr>
              <w:widowControl/>
              <w:jc w:val="center"/>
              <w:textAlignment w:val="center"/>
              <w:rPr>
                <w:rFonts w:ascii="宋体" w:cs="宋体"/>
                <w:color w:val="000000"/>
                <w:sz w:val="24"/>
              </w:rPr>
            </w:pPr>
            <w:r>
              <w:rPr>
                <w:rFonts w:hint="eastAsia" w:ascii="宋体" w:cs="宋体"/>
                <w:color w:val="000000"/>
                <w:sz w:val="24"/>
              </w:rPr>
              <w:t>完全实现</w:t>
            </w:r>
          </w:p>
        </w:tc>
      </w:tr>
      <w:tr w14:paraId="3CCC5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2EA5BA">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F7B56C">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893EF7">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0A76A46">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79F05D">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459E72">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14:paraId="47F9F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457B7FFC"/>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3646913">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F6538A">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A1AC1F">
            <w:pPr>
              <w:widowControl/>
              <w:jc w:val="center"/>
              <w:textAlignment w:val="center"/>
              <w:rPr>
                <w:rFonts w:ascii="宋体" w:cs="宋体"/>
                <w:color w:val="000000"/>
                <w:sz w:val="24"/>
              </w:rPr>
            </w:pPr>
            <w:r>
              <w:rPr>
                <w:rFonts w:hint="eastAsia" w:ascii="宋体" w:cs="宋体"/>
                <w:color w:val="000000"/>
                <w:sz w:val="24"/>
              </w:rPr>
              <w:t>拨付春节慰问金</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2C95FE">
            <w:pPr>
              <w:widowControl/>
              <w:textAlignment w:val="center"/>
              <w:rPr>
                <w:rFonts w:ascii="宋体" w:cs="宋体"/>
                <w:color w:val="000000"/>
                <w:sz w:val="24"/>
              </w:rPr>
            </w:pPr>
            <w:r>
              <w:rPr>
                <w:rFonts w:hint="eastAsia" w:ascii="宋体" w:cs="宋体"/>
                <w:color w:val="000000"/>
                <w:sz w:val="24"/>
              </w:rPr>
              <w:t>1万元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C227372">
            <w:pPr>
              <w:widowControl/>
              <w:jc w:val="center"/>
              <w:textAlignment w:val="center"/>
              <w:rPr>
                <w:rFonts w:ascii="宋体" w:cs="宋体"/>
                <w:color w:val="000000"/>
                <w:sz w:val="24"/>
              </w:rPr>
            </w:pPr>
            <w:r>
              <w:rPr>
                <w:rFonts w:hint="eastAsia" w:ascii="宋体" w:cs="宋体"/>
                <w:color w:val="000000"/>
                <w:sz w:val="24"/>
              </w:rPr>
              <w:t>1万元</w:t>
            </w:r>
          </w:p>
        </w:tc>
      </w:tr>
      <w:tr w14:paraId="7E6C4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0974CC58"/>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D08495">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A3379BF">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6B152C6">
            <w:pPr>
              <w:widowControl/>
              <w:jc w:val="center"/>
              <w:textAlignment w:val="center"/>
              <w:rPr>
                <w:rFonts w:ascii="宋体" w:cs="宋体"/>
                <w:color w:val="000000"/>
                <w:sz w:val="24"/>
              </w:rPr>
            </w:pPr>
            <w:r>
              <w:rPr>
                <w:rFonts w:hint="eastAsia" w:ascii="宋体" w:cs="宋体"/>
                <w:color w:val="000000"/>
                <w:sz w:val="24"/>
              </w:rPr>
              <w:t>春节慰问中资金拨付到位及时</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A7BE57">
            <w:pPr>
              <w:widowControl/>
              <w:jc w:val="center"/>
              <w:textAlignment w:val="center"/>
              <w:rPr>
                <w:rFonts w:ascii="宋体" w:cs="宋体"/>
                <w:color w:val="000000"/>
                <w:sz w:val="24"/>
              </w:rPr>
            </w:pPr>
            <w:r>
              <w:rPr>
                <w:rFonts w:hint="eastAsia" w:asci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B70B65">
            <w:pPr>
              <w:widowControl/>
              <w:jc w:val="center"/>
              <w:textAlignment w:val="center"/>
              <w:rPr>
                <w:rFonts w:ascii="宋体" w:cs="宋体"/>
                <w:color w:val="000000"/>
                <w:sz w:val="24"/>
              </w:rPr>
            </w:pPr>
            <w:r>
              <w:rPr>
                <w:rFonts w:hint="eastAsia" w:ascii="宋体" w:cs="宋体"/>
                <w:color w:val="000000"/>
                <w:sz w:val="24"/>
              </w:rPr>
              <w:t>99%</w:t>
            </w:r>
          </w:p>
        </w:tc>
      </w:tr>
      <w:tr w14:paraId="49D8F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2A1E3A1A"/>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C49A4E">
            <w:pPr>
              <w:widowControl/>
              <w:jc w:val="center"/>
              <w:textAlignment w:val="center"/>
              <w:rPr>
                <w:rFonts w:ascii="宋体" w:cs="宋体"/>
                <w:color w:val="000000"/>
                <w:kern w:val="0"/>
                <w:sz w:val="24"/>
              </w:rPr>
            </w:pPr>
            <w:r>
              <w:rPr>
                <w:rFonts w:hint="eastAsia" w:ascii="宋体" w:cs="宋体"/>
                <w:color w:val="000000"/>
                <w:kern w:val="0"/>
                <w:sz w:val="24"/>
              </w:rPr>
              <w:t>项目完成指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34DAFA2">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87BC89">
            <w:pPr>
              <w:widowControl/>
              <w:jc w:val="center"/>
              <w:textAlignment w:val="center"/>
              <w:rPr>
                <w:rFonts w:ascii="宋体" w:cs="宋体"/>
                <w:color w:val="000000"/>
                <w:sz w:val="24"/>
              </w:rPr>
            </w:pPr>
            <w:r>
              <w:rPr>
                <w:rFonts w:hint="eastAsia" w:ascii="宋体" w:cs="宋体"/>
                <w:color w:val="000000"/>
                <w:sz w:val="24"/>
              </w:rPr>
              <w:t>春节慰问过程中所需资金占补助资金比例</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B33E74">
            <w:pPr>
              <w:widowControl/>
              <w:jc w:val="center"/>
              <w:textAlignment w:val="center"/>
              <w:rPr>
                <w:rFonts w:ascii="宋体" w:cs="宋体"/>
                <w:color w:val="000000"/>
                <w:sz w:val="24"/>
              </w:rPr>
            </w:pPr>
            <w:r>
              <w:rPr>
                <w:rFonts w:hint="eastAsia" w:asci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F4FB3B">
            <w:pPr>
              <w:widowControl/>
              <w:jc w:val="center"/>
              <w:textAlignment w:val="center"/>
              <w:rPr>
                <w:rFonts w:ascii="宋体" w:cs="宋体"/>
                <w:color w:val="000000"/>
                <w:sz w:val="24"/>
              </w:rPr>
            </w:pPr>
            <w:r>
              <w:rPr>
                <w:rFonts w:hint="eastAsia" w:ascii="宋体" w:cs="宋体"/>
                <w:color w:val="000000"/>
                <w:sz w:val="24"/>
              </w:rPr>
              <w:t>100%</w:t>
            </w:r>
          </w:p>
        </w:tc>
      </w:tr>
      <w:tr w14:paraId="011F8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14:paraId="163211E4"/>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C72ACB">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D1BFA97">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6379A5C">
            <w:pPr>
              <w:widowControl/>
              <w:jc w:val="center"/>
              <w:textAlignment w:val="center"/>
              <w:rPr>
                <w:rFonts w:ascii="宋体" w:cs="宋体"/>
                <w:color w:val="000000"/>
                <w:sz w:val="24"/>
              </w:rPr>
            </w:pPr>
            <w:r>
              <w:rPr>
                <w:rFonts w:hint="eastAsia" w:ascii="宋体" w:cs="宋体"/>
                <w:color w:val="000000"/>
                <w:sz w:val="24"/>
              </w:rPr>
              <w:t>全乡职工满意度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EAEE63">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CB4942">
            <w:pPr>
              <w:widowControl/>
              <w:jc w:val="center"/>
              <w:textAlignment w:val="center"/>
              <w:rPr>
                <w:rFonts w:ascii="宋体" w:cs="宋体"/>
                <w:color w:val="000000"/>
                <w:sz w:val="24"/>
              </w:rPr>
            </w:pPr>
            <w:r>
              <w:rPr>
                <w:rFonts w:hint="eastAsia" w:ascii="宋体" w:cs="宋体"/>
                <w:color w:val="000000"/>
                <w:sz w:val="24"/>
              </w:rPr>
              <w:t>满意</w:t>
            </w:r>
          </w:p>
        </w:tc>
      </w:tr>
    </w:tbl>
    <w:p w14:paraId="62082359">
      <w:pPr>
        <w:spacing w:line="580" w:lineRule="exact"/>
        <w:ind w:firstLine="640" w:firstLineChars="200"/>
        <w:rPr>
          <w:rFonts w:ascii="仿宋_GB2312" w:eastAsia="仿宋_GB2312" w:cs="仿宋_GB2312"/>
          <w:sz w:val="32"/>
          <w:szCs w:val="32"/>
        </w:rPr>
      </w:pPr>
    </w:p>
    <w:p w14:paraId="00810FDC">
      <w:pPr>
        <w:ind w:firstLine="640" w:firstLineChars="200"/>
        <w:jc w:val="left"/>
      </w:pPr>
      <w:r>
        <w:rPr>
          <w:rFonts w:hint="eastAsia" w:ascii="仿宋_GB2312" w:eastAsia="仿宋_GB2312" w:cs="仿宋_GB2312"/>
          <w:sz w:val="32"/>
          <w:szCs w:val="32"/>
        </w:rPr>
        <w:t xml:space="preserve">                                                                                                                                                                     </w:t>
      </w:r>
    </w:p>
    <w:p w14:paraId="520C21A0">
      <w:pPr>
        <w:pStyle w:val="25"/>
        <w:spacing w:line="560" w:lineRule="exact"/>
        <w:ind w:firstLine="640" w:firstLineChars="200"/>
        <w:rPr>
          <w:rFonts w:hint="eastAsia" w:ascii="仿宋_GB2312" w:eastAsia="仿宋_GB2312"/>
          <w:sz w:val="32"/>
          <w:szCs w:val="32"/>
        </w:rPr>
      </w:pPr>
      <w:bookmarkStart w:id="51" w:name="_Toc15377221"/>
      <w:bookmarkStart w:id="52" w:name="_Toc30171"/>
      <w:r>
        <w:rPr>
          <w:rFonts w:hint="eastAsia" w:ascii="仿宋_GB2312" w:eastAsia="仿宋_GB2312"/>
          <w:sz w:val="32"/>
          <w:szCs w:val="32"/>
        </w:rPr>
        <w:t>十一、</w:t>
      </w:r>
      <w:bookmarkEnd w:id="51"/>
      <w:bookmarkEnd w:id="52"/>
      <w:r>
        <w:rPr>
          <w:rFonts w:hint="eastAsia" w:ascii="仿宋_GB2312" w:eastAsia="仿宋_GB2312"/>
          <w:sz w:val="32"/>
          <w:szCs w:val="32"/>
          <w:lang w:val="en-US" w:eastAsia="zh-CN"/>
        </w:rPr>
        <w:t>其他重要事项的情况说明</w:t>
      </w:r>
    </w:p>
    <w:p w14:paraId="30354618">
      <w:pPr>
        <w:pStyle w:val="25"/>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（一）机关运行经费支出情况</w:t>
      </w:r>
    </w:p>
    <w:p w14:paraId="788C12C1">
      <w:pPr>
        <w:pStyle w:val="25"/>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2021年，阿坝州金川县河西乡人民政府机关运行经费支出0.00万元，比2020年增加0.00万元，增长0.00%（或与2020年决算数持平）。主要原因是……</w:t>
      </w:r>
    </w:p>
    <w:p w14:paraId="2A9042A7">
      <w:pPr>
        <w:pStyle w:val="25"/>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（二）政府采购支出情况</w:t>
      </w:r>
    </w:p>
    <w:p w14:paraId="63DCB831">
      <w:pPr>
        <w:pStyle w:val="25"/>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2021年，阿坝州金川县河西乡人民政府政府采购支出总额0.00万元，其中：政府采购货物支出0.00万元、政府采购工程支出0.00万元、政府采购服务支出0.00万元。主要用于…（具体工作）。授予中小企业合同金额0.00万元，占政府采购支出总额的0.00%，其中：授予小微企业合同金额0.00万元，占政府采购支出总额的0.00%。</w:t>
      </w:r>
    </w:p>
    <w:p w14:paraId="026E9CC7">
      <w:pPr>
        <w:pStyle w:val="14"/>
        <w:keepNext w:val="0"/>
        <w:keepLines w:val="0"/>
        <w:widowControl/>
        <w:suppressLineNumbers w:val="0"/>
        <w:snapToGrid w:val="0"/>
        <w:spacing w:before="0" w:beforeAutospacing="0" w:after="0" w:afterAutospacing="1"/>
        <w:ind w:left="0" w:right="0"/>
        <w:jc w:val="left"/>
        <w:rPr>
          <w:rFonts w:hint="eastAsia" w:ascii="宋体" w:eastAsia="宋体" w:cs="宋体"/>
          <w:kern w:val="0"/>
          <w:sz w:val="24"/>
          <w:szCs w:val="24"/>
        </w:rPr>
      </w:pPr>
      <w:r>
        <w:rPr>
          <w:rFonts w:hint="eastAsia" w:ascii="宋体" w:eastAsia="宋体" w:cs="宋体"/>
          <w:kern w:val="0"/>
          <w:sz w:val="24"/>
          <w:szCs w:val="24"/>
          <w:shd w:val="clear" w:color="auto" w:fill="FFFFFF"/>
          <w:lang w:val="en-US" w:eastAsia="zh-CN"/>
        </w:rPr>
        <w:t xml:space="preserve"> </w:t>
      </w:r>
    </w:p>
    <w:p w14:paraId="32061843">
      <w:pPr>
        <w:widowControl/>
        <w:tabs>
          <w:tab w:val="left" w:pos="0"/>
        </w:tabs>
        <w:ind w:left="0" w:firstLine="960" w:firstLineChars="300"/>
        <w:jc w:val="left"/>
        <w:rPr>
          <w:rFonts w:hint="eastAsia" w:ascii="仿宋_GB2312" w:eastAsia="仿宋_GB2312" w:cs="Times New Roman"/>
          <w:color w:val="000000"/>
          <w:kern w:val="2"/>
          <w:sz w:val="32"/>
          <w:szCs w:val="32"/>
          <w:lang w:val="en-US" w:eastAsia="zh-CN" w:bidi="ar-SA"/>
        </w:rPr>
      </w:pPr>
    </w:p>
    <w:p w14:paraId="5BD92E2D">
      <w:pPr>
        <w:widowControl/>
        <w:tabs>
          <w:tab w:val="left" w:pos="0"/>
        </w:tabs>
        <w:ind w:left="420" w:leftChars="200"/>
        <w:jc w:val="left"/>
        <w:rPr>
          <w:rFonts w:ascii="仿宋_GB2312" w:eastAsia="仿宋_GB2312"/>
          <w:b/>
          <w:color w:val="000000"/>
          <w:sz w:val="32"/>
          <w:szCs w:val="32"/>
        </w:rPr>
      </w:pPr>
      <w:r>
        <w:rPr>
          <w:rFonts w:hint="eastAsia" w:ascii="仿宋_GB2312" w:eastAsia="仿宋_GB2312"/>
          <w:b/>
          <w:color w:val="000000"/>
          <w:sz w:val="32"/>
          <w:szCs w:val="32"/>
        </w:rPr>
        <w:t xml:space="preserve">   </w:t>
      </w:r>
    </w:p>
    <w:p w14:paraId="5644924C">
      <w:pPr>
        <w:numPr>
          <w:ilvl w:val="0"/>
          <w:numId w:val="7"/>
        </w:numPr>
        <w:spacing w:line="600" w:lineRule="exact"/>
        <w:ind w:left="0" w:firstLine="663" w:firstLineChars="150"/>
        <w:jc w:val="center"/>
        <w:outlineLvl w:val="0"/>
        <w:rPr>
          <w:rStyle w:val="19"/>
          <w:rFonts w:ascii="黑体" w:eastAsia="黑体"/>
          <w:b w:val="0"/>
        </w:rPr>
      </w:pPr>
      <w:r>
        <w:rPr>
          <w:rFonts w:hint="eastAsia" w:ascii="黑体" w:eastAsia="黑体"/>
          <w:b/>
          <w:color w:val="000000"/>
          <w:sz w:val="44"/>
          <w:szCs w:val="44"/>
        </w:rPr>
        <w:t>名</w:t>
      </w:r>
      <w:r>
        <w:rPr>
          <w:rStyle w:val="19"/>
          <w:rFonts w:hint="eastAsia" w:ascii="黑体" w:eastAsia="黑体"/>
          <w:b w:val="0"/>
        </w:rPr>
        <w:t>词解释</w:t>
      </w:r>
    </w:p>
    <w:p w14:paraId="2519B69D">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5EFC7AB8">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4F28111C">
      <w:pPr>
        <w:pStyle w:val="2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2F81E5DB">
      <w:pPr>
        <w:pStyle w:val="2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14:paraId="7DCC84C6">
      <w:pPr>
        <w:pStyle w:val="25"/>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11B26AA8">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14:paraId="01269108">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14:paraId="163FCCEE">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14:paraId="3015F664">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14:paraId="10831812">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除上诉项目以外用于教育管理事务方面的支出。</w:t>
      </w:r>
    </w:p>
    <w:p w14:paraId="13EC8B9D">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14:paraId="3418AED2">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14:paraId="0919C5C7">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14:paraId="59AE1634">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14:paraId="48911265">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14:paraId="16FF94FB">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19F4A895">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7DCACDDA">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34FF512">
      <w:pPr>
        <w:pStyle w:val="25"/>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758E4E7">
      <w:pPr>
        <w:pStyle w:val="25"/>
        <w:spacing w:line="560" w:lineRule="exact"/>
        <w:ind w:firstLine="640" w:firstLineChars="200"/>
        <w:rPr>
          <w:rFonts w:hint="eastAsia" w:ascii="仿宋_GB2312" w:eastAsia="仿宋_GB2312"/>
          <w:sz w:val="32"/>
          <w:szCs w:val="32"/>
        </w:rPr>
      </w:pPr>
    </w:p>
    <w:p w14:paraId="610A19C6">
      <w:pPr>
        <w:pStyle w:val="25"/>
        <w:spacing w:line="560" w:lineRule="exact"/>
        <w:ind w:firstLine="640" w:firstLineChars="200"/>
        <w:rPr>
          <w:rFonts w:hint="eastAsia" w:ascii="仿宋_GB2312" w:eastAsia="仿宋_GB2312"/>
          <w:sz w:val="32"/>
          <w:szCs w:val="32"/>
        </w:rPr>
      </w:pPr>
    </w:p>
    <w:p w14:paraId="70EBBB4B">
      <w:pPr>
        <w:pStyle w:val="25"/>
        <w:spacing w:line="560" w:lineRule="exact"/>
        <w:ind w:firstLine="640" w:firstLineChars="200"/>
        <w:rPr>
          <w:rFonts w:hint="eastAsia" w:ascii="仿宋_GB2312" w:eastAsia="仿宋_GB2312"/>
          <w:sz w:val="32"/>
          <w:szCs w:val="32"/>
        </w:rPr>
      </w:pPr>
    </w:p>
    <w:p w14:paraId="0C9DF9F0">
      <w:pPr>
        <w:pStyle w:val="25"/>
        <w:spacing w:line="560" w:lineRule="exact"/>
        <w:ind w:firstLine="640" w:firstLineChars="200"/>
        <w:rPr>
          <w:rFonts w:hint="eastAsia" w:ascii="仿宋_GB2312" w:eastAsia="仿宋_GB2312"/>
          <w:sz w:val="32"/>
          <w:szCs w:val="32"/>
        </w:rPr>
      </w:pPr>
    </w:p>
    <w:p w14:paraId="6A21274F">
      <w:pPr>
        <w:widowControl/>
        <w:tabs>
          <w:tab w:val="left" w:pos="0"/>
        </w:tabs>
        <w:ind w:left="420" w:leftChars="200"/>
        <w:jc w:val="left"/>
        <w:rPr>
          <w:rStyle w:val="19"/>
          <w:rFonts w:ascii="仿宋" w:eastAsia="仿宋"/>
          <w:b w:val="0"/>
          <w:bCs w:val="0"/>
          <w:sz w:val="32"/>
          <w:szCs w:val="32"/>
        </w:rPr>
      </w:pPr>
      <w:r>
        <w:rPr>
          <w:rFonts w:hint="eastAsia" w:ascii="仿宋_GB2312" w:eastAsia="仿宋_GB2312"/>
          <w:b/>
          <w:color w:val="000000"/>
          <w:sz w:val="32"/>
          <w:szCs w:val="32"/>
        </w:rPr>
        <w:t xml:space="preserve">  </w:t>
      </w:r>
      <w:bookmarkStart w:id="53" w:name="_Toc15377226"/>
      <w:bookmarkStart w:id="54" w:name="_Toc15396614"/>
    </w:p>
    <w:p w14:paraId="3C0A3393">
      <w:pPr>
        <w:pStyle w:val="4"/>
        <w:rPr>
          <w:rFonts w:ascii="仿宋" w:eastAsia="仿宋"/>
          <w:b w:val="0"/>
          <w:bCs w:val="0"/>
          <w:kern w:val="44"/>
        </w:rPr>
      </w:pPr>
      <w:r>
        <w:rPr>
          <w:rStyle w:val="19"/>
          <w:rFonts w:hint="eastAsia" w:ascii="仿宋" w:eastAsia="仿宋"/>
          <w:b w:val="0"/>
          <w:bCs w:val="0"/>
          <w:sz w:val="32"/>
          <w:szCs w:val="32"/>
        </w:rPr>
        <w:t>附件1</w:t>
      </w:r>
    </w:p>
    <w:p w14:paraId="7D11AD6D">
      <w:pPr>
        <w:widowControl/>
        <w:spacing w:line="360" w:lineRule="auto"/>
        <w:contextualSpacing/>
        <w:jc w:val="center"/>
        <w:rPr>
          <w:rStyle w:val="19"/>
          <w:rFonts w:ascii="黑体" w:eastAsia="黑体"/>
          <w:b w:val="0"/>
          <w:lang w:val="en-US"/>
        </w:rPr>
      </w:pPr>
      <w:r>
        <w:rPr>
          <w:rStyle w:val="19"/>
          <w:rFonts w:hint="eastAsia" w:ascii="黑体" w:eastAsia="黑体"/>
          <w:b w:val="0"/>
        </w:rPr>
        <w:t>附件</w:t>
      </w:r>
      <w:r>
        <w:rPr>
          <w:rStyle w:val="19"/>
          <w:rFonts w:hint="eastAsia" w:ascii="黑体" w:eastAsia="黑体"/>
          <w:b w:val="0"/>
          <w:lang w:val="en-US"/>
        </w:rPr>
        <w:t>第四部分</w:t>
      </w:r>
    </w:p>
    <w:p w14:paraId="1B5E12B8">
      <w:pPr>
        <w:widowControl/>
        <w:spacing w:line="360" w:lineRule="auto"/>
        <w:contextualSpacing/>
        <w:jc w:val="center"/>
        <w:rPr>
          <w:rFonts w:hint="eastAsia"/>
          <w:sz w:val="13"/>
          <w:szCs w:val="10"/>
        </w:rPr>
      </w:pPr>
      <w:r>
        <w:rPr>
          <w:rFonts w:hint="eastAsia" w:ascii="方正小标宋简体" w:eastAsia="方正小标宋简体" w:cs="方正小标宋简体"/>
          <w:b/>
          <w:snapToGrid/>
          <w:spacing w:val="34"/>
          <w:kern w:val="2"/>
          <w:sz w:val="44"/>
          <w:szCs w:val="44"/>
          <w:shd w:val="clear" w:color="auto" w:fill="FFFFFF"/>
        </w:rPr>
        <w:t>金川县</w:t>
      </w:r>
      <w:r>
        <w:rPr>
          <w:rFonts w:hint="eastAsia" w:ascii="方正小标宋简体" w:eastAsia="方正小标宋简体" w:cs="方正小标宋简体"/>
          <w:b/>
          <w:snapToGrid/>
          <w:spacing w:val="34"/>
          <w:kern w:val="2"/>
          <w:sz w:val="44"/>
          <w:szCs w:val="44"/>
          <w:shd w:val="clear" w:color="auto" w:fill="FFFFFF"/>
          <w:lang w:val="en-US" w:eastAsia="zh-CN"/>
        </w:rPr>
        <w:t>河西乡人民政府</w:t>
      </w:r>
      <w:r>
        <w:rPr>
          <w:rFonts w:hint="eastAsia" w:ascii="方正小标宋简体" w:eastAsia="方正小标宋简体" w:cs="方正小标宋简体"/>
          <w:b/>
          <w:snapToGrid/>
          <w:spacing w:val="34"/>
          <w:kern w:val="2"/>
          <w:sz w:val="44"/>
          <w:szCs w:val="44"/>
          <w:shd w:val="clear" w:color="auto" w:fill="FFFFFF"/>
        </w:rPr>
        <w:t>20</w:t>
      </w:r>
      <w:r>
        <w:rPr>
          <w:rFonts w:hint="eastAsia" w:ascii="方正小标宋简体" w:eastAsia="方正小标宋简体" w:cs="方正小标宋简体"/>
          <w:b/>
          <w:snapToGrid/>
          <w:spacing w:val="34"/>
          <w:kern w:val="2"/>
          <w:sz w:val="44"/>
          <w:szCs w:val="44"/>
          <w:shd w:val="clear" w:color="auto" w:fill="FFFFFF"/>
          <w:lang w:val="en-US" w:eastAsia="zh-CN"/>
        </w:rPr>
        <w:t>21</w:t>
      </w:r>
      <w:r>
        <w:rPr>
          <w:rFonts w:hint="eastAsia" w:ascii="方正小标宋简体" w:eastAsia="方正小标宋简体" w:cs="方正小标宋简体"/>
          <w:b/>
          <w:snapToGrid/>
          <w:spacing w:val="34"/>
          <w:kern w:val="2"/>
          <w:sz w:val="44"/>
          <w:szCs w:val="44"/>
          <w:shd w:val="clear" w:color="auto" w:fill="FFFFFF"/>
        </w:rPr>
        <w:t>年部门整体支出绩效评价报告</w:t>
      </w:r>
    </w:p>
    <w:p w14:paraId="22BAD738">
      <w:pPr>
        <w:keepNext w:val="0"/>
        <w:keepLines w:val="0"/>
        <w:pageBreakBefore w:val="0"/>
        <w:widowControl/>
        <w:kinsoku w:val="0"/>
        <w:wordWrap/>
        <w:overflowPunct w:val="0"/>
        <w:topLinePunct w:val="0"/>
        <w:autoSpaceDE w:val="0"/>
        <w:autoSpaceDN w:val="0"/>
        <w:bidi w:val="0"/>
        <w:adjustRightInd/>
        <w:snapToGrid/>
        <w:spacing w:line="576" w:lineRule="exact"/>
        <w:ind w:firstLine="640" w:firstLineChars="200"/>
        <w:jc w:val="left"/>
        <w:textAlignment w:val="auto"/>
        <w:rPr>
          <w:rFonts w:hint="eastAsia" w:ascii="仿宋_GB2312" w:eastAsia="仿宋_GB2312" w:cs="仿宋_GB2312"/>
          <w:b w:val="0"/>
          <w:bCs w:val="0"/>
          <w:color w:val="auto"/>
          <w:kern w:val="2"/>
          <w:sz w:val="32"/>
          <w:szCs w:val="32"/>
          <w:lang w:val="zh-CN" w:eastAsia="zh-CN" w:bidi="ar-SA"/>
        </w:rPr>
      </w:pPr>
      <w:r>
        <w:rPr>
          <w:rFonts w:hint="eastAsia" w:ascii="仿宋_GB2312" w:eastAsia="仿宋_GB2312" w:cs="仿宋_GB2312"/>
          <w:b w:val="0"/>
          <w:bCs w:val="0"/>
          <w:color w:val="auto"/>
          <w:kern w:val="2"/>
          <w:sz w:val="32"/>
          <w:szCs w:val="32"/>
          <w:lang w:val="en-US" w:eastAsia="zh-CN" w:bidi="ar-SA"/>
        </w:rPr>
        <w:t>为深入贯彻落实党中央国务院和省委省政府关于全面实施预算绩效管理决策部署和《中共四川省委办公厅 四川省人民政府办公厅关于深入实施预算绩效管理的通知》（川委厅〔2022〕5 号）工作要求，着力提升财政资源配置效率和使用效益，切实压实各级部门（单位）绩效管理主体责任，按照财政部《项目支出绩效评价管理办法》（财预〔2020〕10号），以下简称《办法》）、《财政厅关于开展2022年部门、政策和项目支出绩效评价工作的通知》（川财绩〔2022〕 5号）、《阿坝州财政局关于开展2022年部门、政策和项目支出绩效评价工作的通知》（阿州财监绩〔2022〕14号）和《关于开展2022年部门整体和项目支出绩效评价工作的通知》（金财监绩〔2022〕22号）等文件要求，</w:t>
      </w:r>
      <w:r>
        <w:rPr>
          <w:rFonts w:hint="eastAsia" w:ascii="仿宋_GB2312" w:eastAsia="仿宋_GB2312" w:cs="仿宋_GB2312"/>
          <w:b w:val="0"/>
          <w:bCs w:val="0"/>
          <w:color w:val="auto"/>
          <w:kern w:val="2"/>
          <w:sz w:val="32"/>
          <w:szCs w:val="32"/>
          <w:lang w:val="zh-CN" w:eastAsia="zh-CN" w:bidi="ar-SA"/>
        </w:rPr>
        <w:t>我</w:t>
      </w:r>
      <w:r>
        <w:rPr>
          <w:rFonts w:hint="eastAsia" w:ascii="仿宋_GB2312" w:eastAsia="仿宋_GB2312" w:cs="仿宋_GB2312"/>
          <w:b w:val="0"/>
          <w:bCs w:val="0"/>
          <w:color w:val="auto"/>
          <w:kern w:val="2"/>
          <w:sz w:val="32"/>
          <w:szCs w:val="32"/>
          <w:lang w:val="en-US" w:eastAsia="zh-CN" w:bidi="ar-SA"/>
        </w:rPr>
        <w:t>乡</w:t>
      </w:r>
      <w:r>
        <w:rPr>
          <w:rFonts w:hint="eastAsia" w:ascii="仿宋_GB2312" w:eastAsia="仿宋_GB2312" w:cs="仿宋_GB2312"/>
          <w:b w:val="0"/>
          <w:bCs w:val="0"/>
          <w:color w:val="auto"/>
          <w:kern w:val="2"/>
          <w:sz w:val="32"/>
          <w:szCs w:val="32"/>
          <w:lang w:val="zh-CN" w:eastAsia="zh-CN" w:bidi="ar-SA"/>
        </w:rPr>
        <w:t>高度重视，庚即成立了绩效评价工作组负责开展</w:t>
      </w:r>
      <w:r>
        <w:rPr>
          <w:rFonts w:hint="eastAsia" w:ascii="仿宋_GB2312" w:eastAsia="仿宋_GB2312" w:cs="仿宋_GB2312"/>
          <w:b w:val="0"/>
          <w:bCs w:val="0"/>
          <w:color w:val="auto"/>
          <w:kern w:val="2"/>
          <w:sz w:val="32"/>
          <w:szCs w:val="32"/>
          <w:lang w:val="en-US" w:eastAsia="zh-CN" w:bidi="ar-SA"/>
        </w:rPr>
        <w:t>2021</w:t>
      </w:r>
      <w:r>
        <w:rPr>
          <w:rFonts w:hint="eastAsia" w:ascii="仿宋_GB2312" w:eastAsia="仿宋_GB2312" w:cs="仿宋_GB2312"/>
          <w:b w:val="0"/>
          <w:bCs w:val="0"/>
          <w:color w:val="auto"/>
          <w:kern w:val="2"/>
          <w:sz w:val="32"/>
          <w:szCs w:val="32"/>
          <w:lang w:val="zh-CN" w:eastAsia="zh-CN" w:bidi="ar-SA"/>
        </w:rPr>
        <w:t>年财政支出绩效评价。成立由单位负责人</w:t>
      </w:r>
      <w:r>
        <w:rPr>
          <w:rFonts w:hint="eastAsia" w:ascii="仿宋_GB2312" w:eastAsia="仿宋_GB2312" w:cs="仿宋_GB2312"/>
          <w:b w:val="0"/>
          <w:bCs w:val="0"/>
          <w:color w:val="auto"/>
          <w:kern w:val="2"/>
          <w:sz w:val="32"/>
          <w:szCs w:val="32"/>
          <w:lang w:val="en-US" w:eastAsia="zh-CN" w:bidi="ar-SA"/>
        </w:rPr>
        <w:t>贺雯志</w:t>
      </w:r>
      <w:r>
        <w:rPr>
          <w:rFonts w:hint="eastAsia" w:ascii="仿宋_GB2312" w:eastAsia="仿宋_GB2312" w:cs="仿宋_GB2312"/>
          <w:b w:val="0"/>
          <w:bCs w:val="0"/>
          <w:color w:val="auto"/>
          <w:kern w:val="2"/>
          <w:sz w:val="32"/>
          <w:szCs w:val="32"/>
          <w:lang w:val="zh-CN" w:eastAsia="zh-CN" w:bidi="ar-SA"/>
        </w:rPr>
        <w:t>同志任组长，办公室为成员的绩效评价领导小组，下设绩效评价办公室于财务室，负责评价工作组织、开展、资料收集、评价报告的撰写及上报等日常工作。</w:t>
      </w:r>
    </w:p>
    <w:p w14:paraId="52EB250E">
      <w:pPr>
        <w:keepNext w:val="0"/>
        <w:keepLines w:val="0"/>
        <w:pageBreakBefore w:val="0"/>
        <w:widowControl/>
        <w:kinsoku/>
        <w:wordWrap w:val="0"/>
        <w:overflowPunct/>
        <w:topLinePunct/>
        <w:autoSpaceDE/>
        <w:autoSpaceDN/>
        <w:bidi w:val="0"/>
        <w:adjustRightInd w:val="0"/>
        <w:snapToGrid w:val="0"/>
        <w:spacing w:line="576" w:lineRule="exact"/>
        <w:ind w:firstLine="779" w:firstLineChars="200"/>
        <w:jc w:val="left"/>
        <w:textAlignment w:val="auto"/>
        <w:outlineLvl w:val="1"/>
        <w:rPr>
          <w:rFonts w:hint="eastAsia" w:ascii="黑体" w:eastAsia="黑体" w:cs="黑体"/>
          <w:b/>
          <w:bCs/>
          <w:snapToGrid/>
          <w:color w:val="000000"/>
          <w:spacing w:val="34"/>
          <w:w w:val="100"/>
          <w:kern w:val="2"/>
          <w:sz w:val="32"/>
          <w:szCs w:val="48"/>
          <w:lang w:val="zh-CN"/>
        </w:rPr>
      </w:pPr>
      <w:bookmarkStart w:id="55" w:name="_Toc20121"/>
      <w:bookmarkStart w:id="56" w:name="_Toc13478"/>
      <w:bookmarkStart w:id="57" w:name="_Toc18089"/>
      <w:r>
        <w:rPr>
          <w:rFonts w:hint="eastAsia" w:ascii="黑体" w:eastAsia="黑体" w:cs="黑体"/>
          <w:b/>
          <w:bCs/>
          <w:snapToGrid/>
          <w:color w:val="000000"/>
          <w:spacing w:val="34"/>
          <w:w w:val="100"/>
          <w:kern w:val="2"/>
          <w:sz w:val="32"/>
          <w:szCs w:val="48"/>
          <w:lang w:val="zh-CN"/>
        </w:rPr>
        <w:t>一、部门（单位）概况</w:t>
      </w:r>
      <w:bookmarkEnd w:id="55"/>
      <w:bookmarkEnd w:id="56"/>
      <w:bookmarkEnd w:id="57"/>
    </w:p>
    <w:p w14:paraId="09F24558">
      <w:pPr>
        <w:keepNext w:val="0"/>
        <w:keepLines w:val="0"/>
        <w:pageBreakBefore w:val="0"/>
        <w:widowControl/>
        <w:kinsoku/>
        <w:wordWrap w:val="0"/>
        <w:overflowPunct/>
        <w:topLinePunct/>
        <w:autoSpaceDE/>
        <w:autoSpaceDN/>
        <w:bidi w:val="0"/>
        <w:adjustRightInd w:val="0"/>
        <w:snapToGrid w:val="0"/>
        <w:spacing w:line="576" w:lineRule="exact"/>
        <w:ind w:firstLine="779" w:firstLineChars="200"/>
        <w:jc w:val="left"/>
        <w:textAlignment w:val="auto"/>
        <w:outlineLvl w:val="2"/>
        <w:rPr>
          <w:rFonts w:hint="eastAsia" w:ascii="楷体" w:eastAsia="楷体" w:cs="楷体"/>
          <w:b/>
          <w:bCs/>
          <w:snapToGrid/>
          <w:color w:val="000000"/>
          <w:spacing w:val="34"/>
          <w:w w:val="100"/>
          <w:kern w:val="2"/>
          <w:sz w:val="32"/>
          <w:szCs w:val="32"/>
          <w:lang w:val="zh-CN"/>
        </w:rPr>
      </w:pPr>
      <w:bookmarkStart w:id="58" w:name="_Toc20641"/>
      <w:r>
        <w:rPr>
          <w:rFonts w:hint="eastAsia" w:ascii="楷体" w:eastAsia="楷体" w:cs="楷体"/>
          <w:b/>
          <w:bCs/>
          <w:snapToGrid/>
          <w:color w:val="000000"/>
          <w:spacing w:val="34"/>
          <w:w w:val="100"/>
          <w:kern w:val="2"/>
          <w:sz w:val="32"/>
          <w:szCs w:val="48"/>
          <w:lang w:val="zh-CN"/>
        </w:rPr>
        <w:t>（一）</w:t>
      </w:r>
      <w:bookmarkEnd w:id="58"/>
      <w:bookmarkStart w:id="59" w:name="_Toc5343"/>
      <w:r>
        <w:rPr>
          <w:rFonts w:hint="eastAsia" w:ascii="楷体" w:eastAsia="楷体" w:cs="楷体"/>
          <w:b/>
          <w:bCs/>
          <w:snapToGrid/>
          <w:color w:val="000000"/>
          <w:spacing w:val="34"/>
          <w:w w:val="100"/>
          <w:kern w:val="2"/>
          <w:sz w:val="32"/>
          <w:szCs w:val="32"/>
          <w:lang w:val="zh-CN"/>
        </w:rPr>
        <w:t>机构职能</w:t>
      </w:r>
      <w:bookmarkEnd w:id="59"/>
    </w:p>
    <w:p w14:paraId="19266549">
      <w:pPr>
        <w:snapToGrid w:val="0"/>
        <w:spacing w:line="360" w:lineRule="auto"/>
        <w:ind w:firstLine="640" w:firstLineChars="200"/>
        <w:outlineLvl w:val="1"/>
        <w:rPr>
          <w:rFonts w:ascii="仿宋_GB2312" w:eastAsia="仿宋_GB2312" w:cs="仿宋_GB2312"/>
          <w:sz w:val="32"/>
          <w:szCs w:val="32"/>
        </w:rPr>
      </w:pPr>
      <w:bookmarkStart w:id="60" w:name="_Toc30120"/>
      <w:r>
        <w:rPr>
          <w:rFonts w:hint="eastAsia" w:ascii="仿宋_GB2312" w:eastAsia="仿宋_GB2312" w:cs="仿宋_GB2312"/>
          <w:sz w:val="32"/>
          <w:szCs w:val="32"/>
        </w:rPr>
        <w:t>主要职能</w:t>
      </w:r>
      <w:r>
        <w:rPr>
          <w:rFonts w:hint="eastAsia" w:ascii="仿宋_GB2312" w:eastAsia="仿宋_GB2312" w:cs="仿宋_GB2312"/>
          <w:sz w:val="32"/>
          <w:szCs w:val="32"/>
          <w:lang w:eastAsia="zh-CN"/>
        </w:rPr>
        <w:t>：</w:t>
      </w:r>
      <w:r>
        <w:rPr>
          <w:rFonts w:hint="eastAsia" w:ascii="仿宋_GB2312" w:eastAsia="仿宋_GB2312" w:cs="仿宋_GB2312"/>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w:t>
      </w:r>
      <w:r>
        <w:rPr>
          <w:rFonts w:hint="eastAsia" w:ascii="仿宋_GB2312" w:eastAsia="仿宋_GB2312" w:cs="仿宋_GB2312"/>
          <w:sz w:val="32"/>
          <w:szCs w:val="32"/>
          <w:lang w:eastAsia="zh-CN"/>
        </w:rPr>
        <w:t>河西</w:t>
      </w:r>
      <w:r>
        <w:rPr>
          <w:rFonts w:hint="eastAsia" w:ascii="仿宋_GB2312" w:eastAsia="仿宋_GB2312" w:cs="仿宋_GB2312"/>
          <w:sz w:val="32"/>
          <w:szCs w:val="32"/>
        </w:rPr>
        <w:t>发展的新局面。</w:t>
      </w:r>
    </w:p>
    <w:p w14:paraId="64E926A8">
      <w:pPr>
        <w:keepNext w:val="0"/>
        <w:keepLines w:val="0"/>
        <w:pageBreakBefore w:val="0"/>
        <w:widowControl/>
        <w:kinsoku/>
        <w:wordWrap w:val="0"/>
        <w:overflowPunct/>
        <w:topLinePunct/>
        <w:autoSpaceDE/>
        <w:autoSpaceDN/>
        <w:bidi w:val="0"/>
        <w:adjustRightInd w:val="0"/>
        <w:snapToGrid w:val="0"/>
        <w:spacing w:line="576" w:lineRule="exact"/>
        <w:ind w:firstLine="779" w:firstLineChars="200"/>
        <w:jc w:val="left"/>
        <w:textAlignment w:val="auto"/>
        <w:outlineLvl w:val="2"/>
        <w:rPr>
          <w:rFonts w:hint="eastAsia" w:ascii="楷体" w:eastAsia="楷体" w:cs="楷体"/>
          <w:b/>
          <w:bCs/>
          <w:snapToGrid/>
          <w:color w:val="000000"/>
          <w:spacing w:val="34"/>
          <w:w w:val="100"/>
          <w:kern w:val="2"/>
          <w:sz w:val="32"/>
          <w:szCs w:val="32"/>
          <w:lang w:val="zh-CN"/>
        </w:rPr>
      </w:pPr>
      <w:r>
        <w:rPr>
          <w:rFonts w:hint="eastAsia" w:ascii="楷体" w:eastAsia="楷体" w:cs="楷体"/>
          <w:b/>
          <w:bCs/>
          <w:snapToGrid/>
          <w:color w:val="000000"/>
          <w:spacing w:val="34"/>
          <w:w w:val="100"/>
          <w:kern w:val="2"/>
          <w:sz w:val="32"/>
          <w:szCs w:val="32"/>
          <w:lang w:val="zh-CN"/>
        </w:rPr>
        <w:t>（二）人员概况</w:t>
      </w:r>
      <w:bookmarkEnd w:id="60"/>
    </w:p>
    <w:p w14:paraId="646D60BE">
      <w:pPr>
        <w:snapToGrid w:val="0"/>
        <w:spacing w:line="560" w:lineRule="exact"/>
        <w:ind w:firstLine="640" w:firstLineChars="200"/>
        <w:rPr>
          <w:rFonts w:ascii="仿宋_GB2312" w:eastAsia="仿宋_GB2312" w:cs="仿宋_GB2312"/>
          <w:bCs/>
          <w:sz w:val="32"/>
        </w:rPr>
      </w:pPr>
      <w:bookmarkStart w:id="61" w:name="_Toc13280"/>
      <w:bookmarkStart w:id="62" w:name="_Toc14408"/>
      <w:bookmarkStart w:id="63" w:name="_Toc3827"/>
      <w:r>
        <w:rPr>
          <w:rFonts w:hint="eastAsia" w:ascii="仿宋_GB2312" w:eastAsia="仿宋_GB2312" w:cs="仿宋_GB2312"/>
          <w:bCs/>
          <w:sz w:val="32"/>
        </w:rPr>
        <w:t>我乡20</w:t>
      </w:r>
      <w:r>
        <w:rPr>
          <w:rFonts w:ascii="仿宋_GB2312" w:eastAsia="仿宋_GB2312" w:cs="仿宋_GB2312"/>
          <w:bCs/>
          <w:sz w:val="32"/>
        </w:rPr>
        <w:t>2</w:t>
      </w:r>
      <w:r>
        <w:rPr>
          <w:rFonts w:hint="eastAsia" w:ascii="仿宋_GB2312" w:eastAsia="仿宋_GB2312" w:cs="仿宋_GB2312"/>
          <w:bCs/>
          <w:sz w:val="32"/>
        </w:rPr>
        <w:t>1年有4个机构，较上年无变动。我乡本年度年末实有人数为32人，比上年行政人员增加6人，事业人员14人，由于编制空缺，有人员新进及调进；年末实有离退休人数为0人，无变动。（行政人员17，机关工勤1人，事业人员14人）。</w:t>
      </w:r>
    </w:p>
    <w:p w14:paraId="77E8B05D">
      <w:pPr>
        <w:keepNext w:val="0"/>
        <w:keepLines w:val="0"/>
        <w:pageBreakBefore w:val="0"/>
        <w:widowControl/>
        <w:kinsoku/>
        <w:wordWrap w:val="0"/>
        <w:overflowPunct/>
        <w:topLinePunct/>
        <w:autoSpaceDE/>
        <w:autoSpaceDN/>
        <w:bidi w:val="0"/>
        <w:adjustRightInd w:val="0"/>
        <w:snapToGrid w:val="0"/>
        <w:spacing w:line="576" w:lineRule="exact"/>
        <w:ind w:left="0" w:firstLine="779" w:firstLineChars="200"/>
        <w:jc w:val="left"/>
        <w:textAlignment w:val="auto"/>
        <w:outlineLvl w:val="1"/>
        <w:rPr>
          <w:rFonts w:hint="eastAsia" w:ascii="黑体" w:eastAsia="黑体" w:cs="黑体"/>
          <w:b/>
          <w:bCs/>
          <w:snapToGrid/>
          <w:color w:val="000000"/>
          <w:spacing w:val="34"/>
          <w:w w:val="100"/>
          <w:kern w:val="2"/>
          <w:sz w:val="32"/>
          <w:szCs w:val="32"/>
          <w:lang w:val="zh-CN"/>
        </w:rPr>
      </w:pPr>
      <w:r>
        <w:rPr>
          <w:rFonts w:hint="eastAsia" w:ascii="黑体" w:eastAsia="黑体" w:cs="黑体"/>
          <w:b/>
          <w:bCs/>
          <w:snapToGrid/>
          <w:color w:val="000000"/>
          <w:spacing w:val="34"/>
          <w:w w:val="100"/>
          <w:kern w:val="2"/>
          <w:sz w:val="32"/>
          <w:szCs w:val="32"/>
          <w:lang w:val="zh-CN" w:eastAsia="zh-CN"/>
        </w:rPr>
        <w:t>二、</w:t>
      </w:r>
      <w:r>
        <w:rPr>
          <w:rFonts w:hint="eastAsia" w:ascii="黑体" w:eastAsia="黑体" w:cs="黑体"/>
          <w:b/>
          <w:bCs/>
          <w:snapToGrid/>
          <w:color w:val="000000"/>
          <w:spacing w:val="34"/>
          <w:w w:val="100"/>
          <w:kern w:val="2"/>
          <w:sz w:val="32"/>
          <w:szCs w:val="32"/>
          <w:lang w:val="zh-CN"/>
        </w:rPr>
        <w:t>部门财政资金收支情况</w:t>
      </w:r>
      <w:bookmarkEnd w:id="61"/>
      <w:bookmarkEnd w:id="62"/>
      <w:bookmarkEnd w:id="63"/>
    </w:p>
    <w:p w14:paraId="7951331C">
      <w:pPr>
        <w:keepNext w:val="0"/>
        <w:keepLines w:val="0"/>
        <w:pageBreakBefore w:val="0"/>
        <w:widowControl/>
        <w:kinsoku/>
        <w:wordWrap w:val="0"/>
        <w:overflowPunct/>
        <w:topLinePunct/>
        <w:autoSpaceDE/>
        <w:autoSpaceDN/>
        <w:bidi w:val="0"/>
        <w:adjustRightInd w:val="0"/>
        <w:snapToGrid w:val="0"/>
        <w:spacing w:line="576" w:lineRule="exact"/>
        <w:ind w:left="0" w:firstLine="779" w:firstLineChars="200"/>
        <w:jc w:val="left"/>
        <w:textAlignment w:val="auto"/>
        <w:outlineLvl w:val="2"/>
        <w:rPr>
          <w:rFonts w:hint="eastAsia" w:ascii="楷体" w:eastAsia="楷体" w:cs="楷体"/>
          <w:b/>
          <w:bCs/>
          <w:snapToGrid/>
          <w:color w:val="000000"/>
          <w:spacing w:val="34"/>
          <w:w w:val="100"/>
          <w:kern w:val="2"/>
          <w:sz w:val="32"/>
          <w:szCs w:val="32"/>
          <w:lang w:val="zh-CN"/>
        </w:rPr>
      </w:pPr>
      <w:bookmarkStart w:id="64" w:name="_Toc912"/>
      <w:r>
        <w:rPr>
          <w:rFonts w:hint="eastAsia" w:ascii="楷体" w:eastAsia="楷体" w:cs="楷体"/>
          <w:b/>
          <w:bCs/>
          <w:snapToGrid/>
          <w:color w:val="000000"/>
          <w:spacing w:val="34"/>
          <w:w w:val="100"/>
          <w:kern w:val="2"/>
          <w:sz w:val="32"/>
          <w:szCs w:val="32"/>
          <w:lang w:val="zh-CN"/>
        </w:rPr>
        <w:t>（一）部门财政资金收入情况</w:t>
      </w:r>
      <w:bookmarkEnd w:id="64"/>
    </w:p>
    <w:p w14:paraId="027B3F39">
      <w:pPr>
        <w:snapToGrid w:val="0"/>
        <w:spacing w:line="520" w:lineRule="exact"/>
        <w:ind w:firstLine="632" w:firstLineChars="200"/>
        <w:rPr>
          <w:rFonts w:ascii="仿宋_GB2312" w:eastAsia="仿宋_GB2312"/>
          <w:color w:val="000000"/>
          <w:spacing w:val="-2"/>
          <w:sz w:val="32"/>
          <w:szCs w:val="32"/>
        </w:rPr>
      </w:pPr>
      <w:r>
        <w:rPr>
          <w:rFonts w:ascii="仿宋_GB2312" w:eastAsia="仿宋_GB2312"/>
          <w:color w:val="000000"/>
          <w:spacing w:val="-2"/>
          <w:sz w:val="32"/>
          <w:szCs w:val="32"/>
        </w:rPr>
        <w:t>202</w:t>
      </w:r>
      <w:r>
        <w:rPr>
          <w:rFonts w:hint="eastAsia" w:ascii="仿宋_GB2312" w:eastAsia="仿宋_GB2312"/>
          <w:color w:val="000000"/>
          <w:spacing w:val="-2"/>
          <w:sz w:val="32"/>
          <w:szCs w:val="32"/>
        </w:rPr>
        <w:t>1年度总收入</w:t>
      </w:r>
      <w:r>
        <w:rPr>
          <w:rFonts w:hint="eastAsia" w:ascii="仿宋_GB2312" w:eastAsia="仿宋_GB2312"/>
          <w:color w:val="000000"/>
          <w:sz w:val="32"/>
          <w:szCs w:val="32"/>
          <w:shd w:val="clear" w:color="auto" w:fill="FFFFFF"/>
        </w:rPr>
        <w:t>1066.27</w:t>
      </w:r>
      <w:r>
        <w:rPr>
          <w:rFonts w:hint="eastAsia" w:ascii="仿宋_GB2312" w:eastAsia="仿宋_GB2312"/>
          <w:color w:val="000000"/>
          <w:spacing w:val="-2"/>
          <w:sz w:val="32"/>
          <w:szCs w:val="32"/>
        </w:rPr>
        <w:t>万元，较上年收入增加247.9万元，增加30.29%。增加的主要原因是</w:t>
      </w:r>
      <w:r>
        <w:rPr>
          <w:rFonts w:ascii="仿宋_GB2312" w:eastAsia="仿宋_GB2312"/>
          <w:color w:val="000000"/>
          <w:spacing w:val="-2"/>
          <w:sz w:val="32"/>
          <w:szCs w:val="32"/>
        </w:rPr>
        <w:t>202</w:t>
      </w:r>
      <w:r>
        <w:rPr>
          <w:rFonts w:hint="eastAsia" w:ascii="仿宋_GB2312" w:eastAsia="仿宋_GB2312"/>
          <w:color w:val="000000"/>
          <w:spacing w:val="-2"/>
          <w:sz w:val="32"/>
          <w:szCs w:val="32"/>
        </w:rPr>
        <w:t>1年人员增加，工资变动。</w:t>
      </w:r>
    </w:p>
    <w:p w14:paraId="72C3A7CA">
      <w:pPr>
        <w:keepNext w:val="0"/>
        <w:keepLines w:val="0"/>
        <w:pageBreakBefore w:val="0"/>
        <w:widowControl/>
        <w:kinsoku/>
        <w:wordWrap w:val="0"/>
        <w:overflowPunct/>
        <w:topLinePunct/>
        <w:autoSpaceDE/>
        <w:autoSpaceDN/>
        <w:bidi w:val="0"/>
        <w:adjustRightInd w:val="0"/>
        <w:snapToGrid w:val="0"/>
        <w:spacing w:line="576" w:lineRule="exact"/>
        <w:ind w:firstLine="779" w:firstLineChars="200"/>
        <w:jc w:val="left"/>
        <w:textAlignment w:val="auto"/>
        <w:rPr>
          <w:rFonts w:hint="eastAsia" w:ascii="仿宋_GB2312" w:hAnsi="仿宋_GB2312" w:cs="宋体"/>
          <w:snapToGrid/>
          <w:color w:val="000000"/>
          <w:spacing w:val="34"/>
          <w:w w:val="100"/>
          <w:kern w:val="2"/>
          <w:sz w:val="32"/>
          <w:szCs w:val="32"/>
          <w:lang w:val="zh-CN"/>
        </w:rPr>
      </w:pPr>
      <w:r>
        <w:rPr>
          <w:rFonts w:hint="eastAsia" w:ascii="楷体" w:eastAsia="楷体" w:cs="楷体"/>
          <w:b/>
          <w:bCs/>
          <w:snapToGrid/>
          <w:color w:val="000000"/>
          <w:spacing w:val="34"/>
          <w:w w:val="100"/>
          <w:kern w:val="2"/>
          <w:sz w:val="32"/>
          <w:szCs w:val="32"/>
          <w:lang w:val="zh-CN"/>
        </w:rPr>
        <w:t>（二）部门财政资金支出情况</w:t>
      </w:r>
      <w:r>
        <w:rPr>
          <w:rFonts w:hint="eastAsia" w:ascii="仿宋_GB2312" w:hAnsi="仿宋_GB2312" w:cs="宋体"/>
          <w:snapToGrid/>
          <w:color w:val="000000"/>
          <w:spacing w:val="34"/>
          <w:w w:val="100"/>
          <w:kern w:val="2"/>
          <w:sz w:val="32"/>
          <w:szCs w:val="32"/>
          <w:lang w:val="zh-CN"/>
        </w:rPr>
        <w:t>。 </w:t>
      </w:r>
    </w:p>
    <w:p w14:paraId="11E088CA">
      <w:pPr>
        <w:spacing w:line="600" w:lineRule="exact"/>
        <w:ind w:firstLine="640"/>
        <w:rPr>
          <w:rFonts w:ascii="仿宋" w:eastAsia="仿宋"/>
          <w:color w:val="000000"/>
          <w:sz w:val="32"/>
          <w:szCs w:val="32"/>
        </w:rPr>
      </w:pPr>
      <w:bookmarkStart w:id="65" w:name="_Toc31292"/>
      <w:bookmarkStart w:id="66" w:name="_Toc9555"/>
      <w:bookmarkStart w:id="67" w:name="_Toc18927"/>
      <w:r>
        <w:rPr>
          <w:rFonts w:hint="eastAsia" w:ascii="仿宋" w:eastAsia="仿宋"/>
          <w:color w:val="000000"/>
          <w:sz w:val="32"/>
          <w:szCs w:val="32"/>
        </w:rPr>
        <w:t>2021年本年总支出1072.22万元，其中：基本支出599.19万元，占55.88%；项目支出223.34万元，占20.83%；项目支出结余和结转基金为249.69万员，占23.29%。</w:t>
      </w:r>
    </w:p>
    <w:p w14:paraId="2746D9E0">
      <w:pPr>
        <w:keepNext w:val="0"/>
        <w:keepLines w:val="0"/>
        <w:pageBreakBefore w:val="0"/>
        <w:widowControl/>
        <w:numPr>
          <w:ilvl w:val="0"/>
          <w:numId w:val="8"/>
        </w:numPr>
        <w:kinsoku/>
        <w:wordWrap w:val="0"/>
        <w:overflowPunct/>
        <w:topLinePunct/>
        <w:autoSpaceDE/>
        <w:autoSpaceDN/>
        <w:bidi w:val="0"/>
        <w:adjustRightInd w:val="0"/>
        <w:snapToGrid w:val="0"/>
        <w:spacing w:line="576" w:lineRule="exact"/>
        <w:ind w:left="0" w:firstLine="640" w:firstLineChars="200"/>
        <w:jc w:val="left"/>
        <w:textAlignment w:val="auto"/>
        <w:outlineLvl w:val="1"/>
        <w:rPr>
          <w:rFonts w:hint="eastAsia"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部门整体预算绩效管理情况</w:t>
      </w:r>
      <w:bookmarkEnd w:id="65"/>
      <w:bookmarkEnd w:id="66"/>
      <w:bookmarkEnd w:id="67"/>
    </w:p>
    <w:p w14:paraId="6830BE4F">
      <w:pPr>
        <w:widowControl/>
        <w:adjustRightInd w:val="0"/>
        <w:snapToGrid w:val="0"/>
        <w:spacing w:line="580" w:lineRule="exact"/>
        <w:ind w:firstLine="643" w:firstLineChars="200"/>
        <w:contextualSpacing/>
        <w:jc w:val="left"/>
        <w:outlineLvl w:val="2"/>
        <w:rPr>
          <w:rFonts w:hint="eastAsia" w:ascii="楷体" w:eastAsia="楷体" w:cs="楷体"/>
          <w:b/>
          <w:bCs/>
          <w:snapToGrid/>
          <w:color w:val="000000"/>
          <w:spacing w:val="34"/>
          <w:w w:val="100"/>
          <w:kern w:val="2"/>
          <w:sz w:val="32"/>
          <w:szCs w:val="32"/>
          <w:lang w:val="zh-CN"/>
        </w:rPr>
      </w:pPr>
      <w:bookmarkStart w:id="68" w:name="_Toc6429"/>
      <w:r>
        <w:rPr>
          <w:rFonts w:hint="eastAsia" w:ascii="楷体" w:eastAsia="楷体" w:cs="楷体"/>
          <w:b/>
          <w:bCs/>
          <w:color w:val="000000"/>
          <w:kern w:val="0"/>
          <w:sz w:val="32"/>
          <w:szCs w:val="32"/>
          <w:shd w:val="clear" w:color="auto" w:fill="FFFFFF"/>
          <w:lang w:val="zh-CN"/>
        </w:rPr>
        <w:t>（一）部门预算管理</w:t>
      </w:r>
      <w:bookmarkEnd w:id="68"/>
    </w:p>
    <w:p w14:paraId="27B97AD7">
      <w:pPr>
        <w:keepNext w:val="0"/>
        <w:keepLines w:val="0"/>
        <w:pageBreakBefore w:val="0"/>
        <w:widowControl/>
        <w:kinsoku/>
        <w:wordWrap w:val="0"/>
        <w:overflowPunct/>
        <w:topLinePunct/>
        <w:autoSpaceDE/>
        <w:autoSpaceDN/>
        <w:bidi w:val="0"/>
        <w:adjustRightInd w:val="0"/>
        <w:snapToGrid w:val="0"/>
        <w:spacing w:line="576" w:lineRule="exact"/>
        <w:ind w:firstLine="776" w:firstLineChars="200"/>
        <w:jc w:val="left"/>
        <w:textAlignment w:val="auto"/>
        <w:rPr>
          <w:rFonts w:hint="eastAsia" w:ascii="仿宋_GB2312" w:eastAsia="仿宋_GB2312" w:cs="仿宋_GB2312"/>
          <w:spacing w:val="34"/>
          <w:sz w:val="32"/>
          <w:szCs w:val="32"/>
          <w:lang w:val="zh-CN"/>
        </w:rPr>
      </w:pPr>
      <w:r>
        <w:rPr>
          <w:rFonts w:hint="eastAsia" w:ascii="仿宋_GB2312" w:eastAsia="仿宋_GB2312" w:cs="仿宋_GB2312"/>
          <w:spacing w:val="34"/>
          <w:sz w:val="32"/>
          <w:szCs w:val="32"/>
          <w:lang w:val="zh-CN"/>
        </w:rPr>
        <w:t>严格按照县级部门预算编制通知和有关要求，按时完成基础库、项目库报送工作，按时完成</w:t>
      </w:r>
      <w:r>
        <w:rPr>
          <w:rFonts w:hint="eastAsia" w:ascii="仿宋_GB2312" w:eastAsia="仿宋_GB2312" w:cs="仿宋_GB2312"/>
          <w:spacing w:val="34"/>
          <w:sz w:val="32"/>
          <w:szCs w:val="32"/>
          <w:lang w:val="en-US" w:eastAsia="zh-CN"/>
        </w:rPr>
        <w:t>2021</w:t>
      </w:r>
      <w:r>
        <w:rPr>
          <w:rFonts w:hint="eastAsia" w:ascii="仿宋_GB2312" w:eastAsia="仿宋_GB2312" w:cs="仿宋_GB2312"/>
          <w:spacing w:val="34"/>
          <w:sz w:val="32"/>
          <w:szCs w:val="32"/>
          <w:lang w:val="zh-CN"/>
        </w:rPr>
        <w:t>年预算编制工作，并按时提交部门预算草案。预算编制全面、科学。</w:t>
      </w:r>
      <w:r>
        <w:rPr>
          <w:rFonts w:hint="eastAsia" w:ascii="仿宋_GB2312" w:eastAsia="仿宋_GB2312" w:cs="仿宋_GB2312"/>
          <w:spacing w:val="34"/>
          <w:sz w:val="32"/>
          <w:szCs w:val="32"/>
          <w:lang w:val="en-US" w:eastAsia="zh-CN"/>
        </w:rPr>
        <w:t>2021</w:t>
      </w:r>
      <w:r>
        <w:rPr>
          <w:rFonts w:hint="eastAsia" w:ascii="仿宋_GB2312" w:eastAsia="仿宋_GB2312" w:cs="仿宋_GB2312"/>
          <w:spacing w:val="34"/>
          <w:sz w:val="32"/>
          <w:szCs w:val="32"/>
          <w:lang w:val="zh-CN"/>
        </w:rPr>
        <w:t>年实际支出和部门决算一致，绩效目标填报及年末结余结转都是严格按照县财政局的要求认真完成，不存在违规违纪使用资金的情况并按时完成</w:t>
      </w:r>
      <w:r>
        <w:rPr>
          <w:rFonts w:hint="eastAsia" w:ascii="仿宋_GB2312" w:eastAsia="仿宋_GB2312" w:cs="仿宋_GB2312"/>
          <w:spacing w:val="34"/>
          <w:sz w:val="32"/>
          <w:szCs w:val="32"/>
          <w:lang w:val="en-US" w:eastAsia="zh-CN"/>
        </w:rPr>
        <w:t>2022</w:t>
      </w:r>
      <w:r>
        <w:rPr>
          <w:rFonts w:hint="eastAsia" w:ascii="仿宋_GB2312" w:eastAsia="仿宋_GB2312" w:cs="仿宋_GB2312"/>
          <w:spacing w:val="34"/>
          <w:sz w:val="32"/>
          <w:szCs w:val="32"/>
          <w:lang w:val="zh-CN"/>
        </w:rPr>
        <w:t>年预算编制工作，及时提交了部门预算草案。</w:t>
      </w:r>
    </w:p>
    <w:p w14:paraId="17F71DE1">
      <w:pPr>
        <w:widowControl/>
        <w:adjustRightInd w:val="0"/>
        <w:snapToGrid w:val="0"/>
        <w:spacing w:line="580" w:lineRule="exact"/>
        <w:ind w:firstLine="643" w:firstLineChars="200"/>
        <w:contextualSpacing/>
        <w:jc w:val="left"/>
        <w:outlineLvl w:val="2"/>
        <w:rPr>
          <w:rFonts w:hint="eastAsia" w:ascii="楷体" w:eastAsia="楷体" w:cs="楷体"/>
          <w:b/>
          <w:bCs/>
          <w:color w:val="000000"/>
          <w:kern w:val="0"/>
          <w:sz w:val="32"/>
          <w:szCs w:val="32"/>
          <w:shd w:val="clear" w:color="auto" w:fill="FFFFFF"/>
          <w:lang w:val="zh-CN"/>
        </w:rPr>
      </w:pPr>
      <w:bookmarkStart w:id="69" w:name="_Toc22499"/>
      <w:r>
        <w:rPr>
          <w:rFonts w:hint="eastAsia" w:ascii="楷体" w:eastAsia="楷体" w:cs="楷体"/>
          <w:b/>
          <w:bCs/>
          <w:color w:val="000000"/>
          <w:kern w:val="0"/>
          <w:sz w:val="32"/>
          <w:szCs w:val="32"/>
          <w:shd w:val="clear" w:color="auto" w:fill="FFFFFF"/>
          <w:lang w:val="zh-CN"/>
        </w:rPr>
        <w:t>（二）执行管理情况</w:t>
      </w:r>
      <w:bookmarkEnd w:id="69"/>
    </w:p>
    <w:p w14:paraId="4DA12595">
      <w:pPr>
        <w:spacing w:line="600" w:lineRule="exact"/>
        <w:ind w:firstLine="640"/>
        <w:rPr>
          <w:rFonts w:ascii="仿宋" w:eastAsia="仿宋"/>
          <w:color w:val="000000"/>
          <w:sz w:val="32"/>
          <w:szCs w:val="32"/>
        </w:rPr>
      </w:pPr>
      <w:bookmarkStart w:id="70" w:name="_Toc7445"/>
      <w:r>
        <w:rPr>
          <w:rFonts w:ascii="仿宋" w:eastAsia="仿宋"/>
          <w:color w:val="000000"/>
          <w:sz w:val="32"/>
          <w:szCs w:val="32"/>
        </w:rPr>
        <w:t>202</w:t>
      </w:r>
      <w:r>
        <w:rPr>
          <w:rFonts w:hint="eastAsia" w:ascii="仿宋" w:eastAsia="仿宋"/>
          <w:color w:val="000000"/>
          <w:sz w:val="32"/>
          <w:szCs w:val="32"/>
        </w:rPr>
        <w:t>1年“三公”经费财政拨款支出</w:t>
      </w:r>
      <w:r>
        <w:rPr>
          <w:rFonts w:hint="eastAsia" w:ascii="仿宋" w:eastAsia="仿宋"/>
          <w:sz w:val="32"/>
          <w:szCs w:val="32"/>
        </w:rPr>
        <w:t>决算9万元</w:t>
      </w:r>
      <w:r>
        <w:rPr>
          <w:rFonts w:hint="eastAsia" w:ascii="仿宋" w:eastAsia="仿宋"/>
          <w:color w:val="000000"/>
          <w:sz w:val="32"/>
          <w:szCs w:val="32"/>
        </w:rPr>
        <w:t>，其中：公务用车购置及运行维护费支出决算9万元，占100</w:t>
      </w:r>
      <w:r>
        <w:rPr>
          <w:rFonts w:ascii="仿宋" w:eastAsia="仿宋"/>
          <w:color w:val="000000"/>
          <w:sz w:val="32"/>
          <w:szCs w:val="32"/>
        </w:rPr>
        <w:t>%</w:t>
      </w:r>
      <w:r>
        <w:rPr>
          <w:rFonts w:hint="eastAsia" w:ascii="仿宋" w:eastAsia="仿宋"/>
          <w:color w:val="000000"/>
          <w:sz w:val="32"/>
          <w:szCs w:val="32"/>
        </w:rPr>
        <w:t>；</w:t>
      </w:r>
    </w:p>
    <w:p w14:paraId="1B81F9AA">
      <w:pPr>
        <w:keepNext w:val="0"/>
        <w:keepLines w:val="0"/>
        <w:pageBreakBefore w:val="0"/>
        <w:widowControl/>
        <w:kinsoku/>
        <w:wordWrap w:val="0"/>
        <w:overflowPunct/>
        <w:topLinePunct/>
        <w:autoSpaceDE/>
        <w:autoSpaceDN/>
        <w:bidi w:val="0"/>
        <w:adjustRightInd w:val="0"/>
        <w:snapToGrid w:val="0"/>
        <w:spacing w:line="240" w:lineRule="auto"/>
        <w:ind w:firstLine="779" w:firstLineChars="200"/>
        <w:jc w:val="left"/>
        <w:textAlignment w:val="auto"/>
        <w:outlineLvl w:val="2"/>
        <w:rPr>
          <w:rFonts w:hint="eastAsia" w:ascii="楷体" w:eastAsia="楷体" w:cs="楷体"/>
          <w:b/>
          <w:bCs/>
          <w:snapToGrid/>
          <w:color w:val="000000"/>
          <w:spacing w:val="34"/>
          <w:w w:val="100"/>
          <w:kern w:val="2"/>
          <w:sz w:val="32"/>
          <w:szCs w:val="48"/>
          <w:lang w:val="zh-CN"/>
        </w:rPr>
      </w:pPr>
      <w:r>
        <w:rPr>
          <w:rFonts w:hint="eastAsia" w:ascii="楷体" w:eastAsia="楷体" w:cs="楷体"/>
          <w:b/>
          <w:bCs/>
          <w:snapToGrid/>
          <w:color w:val="000000"/>
          <w:spacing w:val="34"/>
          <w:w w:val="100"/>
          <w:kern w:val="2"/>
          <w:sz w:val="32"/>
          <w:szCs w:val="48"/>
          <w:lang w:val="zh-CN"/>
        </w:rPr>
        <w:t>（三）综合管理情况</w:t>
      </w:r>
      <w:bookmarkEnd w:id="70"/>
    </w:p>
    <w:p w14:paraId="1113F53A">
      <w:pPr>
        <w:keepNext w:val="0"/>
        <w:keepLines w:val="0"/>
        <w:pageBreakBefore w:val="0"/>
        <w:widowControl/>
        <w:kinsoku/>
        <w:wordWrap w:val="0"/>
        <w:overflowPunct/>
        <w:topLinePunct/>
        <w:autoSpaceDE/>
        <w:autoSpaceDN/>
        <w:bidi w:val="0"/>
        <w:adjustRightInd w:val="0"/>
        <w:snapToGrid w:val="0"/>
        <w:spacing w:line="576" w:lineRule="exact"/>
        <w:ind w:firstLine="779" w:firstLineChars="200"/>
        <w:jc w:val="left"/>
        <w:textAlignment w:val="auto"/>
        <w:rPr>
          <w:rFonts w:hint="eastAsia" w:ascii="仿宋_GB2312" w:eastAsia="仿宋_GB2312" w:cs="仿宋_GB2312"/>
          <w:b/>
          <w:bCs/>
          <w:snapToGrid/>
          <w:color w:val="000000"/>
          <w:spacing w:val="34"/>
          <w:w w:val="100"/>
          <w:kern w:val="2"/>
          <w:sz w:val="32"/>
          <w:szCs w:val="48"/>
          <w:lang w:val="zh-CN"/>
        </w:rPr>
      </w:pPr>
      <w:r>
        <w:rPr>
          <w:rFonts w:hint="eastAsia" w:ascii="仿宋_GB2312" w:eastAsia="仿宋_GB2312" w:cs="仿宋_GB2312"/>
          <w:b/>
          <w:bCs/>
          <w:snapToGrid/>
          <w:color w:val="000000"/>
          <w:spacing w:val="34"/>
          <w:w w:val="100"/>
          <w:kern w:val="2"/>
          <w:sz w:val="32"/>
          <w:szCs w:val="48"/>
          <w:lang w:val="zh-CN"/>
        </w:rPr>
        <w:t>1</w:t>
      </w:r>
      <w:r>
        <w:rPr>
          <w:rFonts w:hint="eastAsia" w:ascii="仿宋_GB2312" w:eastAsia="仿宋_GB2312" w:cs="仿宋_GB2312"/>
          <w:b/>
          <w:bCs/>
          <w:snapToGrid/>
          <w:color w:val="000000"/>
          <w:spacing w:val="34"/>
          <w:w w:val="100"/>
          <w:kern w:val="2"/>
          <w:sz w:val="32"/>
          <w:szCs w:val="48"/>
          <w:lang w:val="zh-CN" w:eastAsia="zh-CN"/>
        </w:rPr>
        <w:t>、</w:t>
      </w:r>
      <w:r>
        <w:rPr>
          <w:rFonts w:hint="eastAsia" w:ascii="仿宋_GB2312" w:eastAsia="仿宋_GB2312" w:cs="仿宋_GB2312"/>
          <w:b/>
          <w:bCs/>
          <w:snapToGrid/>
          <w:color w:val="000000"/>
          <w:spacing w:val="34"/>
          <w:w w:val="100"/>
          <w:kern w:val="2"/>
          <w:sz w:val="32"/>
          <w:szCs w:val="48"/>
          <w:lang w:val="zh-CN"/>
        </w:rPr>
        <w:t>基础管理情况</w:t>
      </w:r>
    </w:p>
    <w:p w14:paraId="3FAFDC19">
      <w:pPr>
        <w:keepNext w:val="0"/>
        <w:keepLines w:val="0"/>
        <w:pageBreakBefore w:val="0"/>
        <w:widowControl/>
        <w:kinsoku/>
        <w:wordWrap w:val="0"/>
        <w:overflowPunct/>
        <w:topLinePunct/>
        <w:autoSpaceDE/>
        <w:autoSpaceDN/>
        <w:bidi w:val="0"/>
        <w:adjustRightInd w:val="0"/>
        <w:snapToGrid w:val="0"/>
        <w:spacing w:line="576" w:lineRule="exact"/>
        <w:ind w:left="0" w:firstLine="776" w:firstLineChars="200"/>
        <w:jc w:val="left"/>
        <w:textAlignment w:val="auto"/>
        <w:rPr>
          <w:rFonts w:hint="eastAsia" w:ascii="仿宋_GB2312" w:eastAsia="仿宋_GB2312" w:cs="仿宋_GB2312"/>
          <w:spacing w:val="34"/>
          <w:sz w:val="32"/>
          <w:szCs w:val="32"/>
          <w:lang w:val="zh-CN" w:eastAsia="zh-CN"/>
        </w:rPr>
      </w:pPr>
      <w:r>
        <w:rPr>
          <w:rFonts w:hint="eastAsia" w:ascii="仿宋_GB2312" w:eastAsia="仿宋_GB2312" w:cs="仿宋_GB2312"/>
          <w:spacing w:val="34"/>
          <w:sz w:val="32"/>
          <w:szCs w:val="32"/>
          <w:lang w:val="zh-CN" w:eastAsia="zh-CN"/>
        </w:rPr>
        <w:t>我乡2020年无预算、支出政府采购。所有国有资产纳入资产管理系统，及时准确上报并做好资产的管理工作。根据相关要求，单位使用预算资金基本符合相关的预算财务管理制度。我乡在财政批复后20日内在指定网站公开预决算信息。按照相关要求进行绩效自我评价，按要求及时上报，对发现的问题提出整改措施，并整改落实到位。绩效评价及依法接受财政监督情况等。</w:t>
      </w:r>
    </w:p>
    <w:p w14:paraId="694AC441">
      <w:pPr>
        <w:keepNext w:val="0"/>
        <w:keepLines w:val="0"/>
        <w:pageBreakBefore w:val="0"/>
        <w:widowControl/>
        <w:kinsoku/>
        <w:wordWrap w:val="0"/>
        <w:overflowPunct/>
        <w:topLinePunct/>
        <w:autoSpaceDE/>
        <w:autoSpaceDN/>
        <w:bidi w:val="0"/>
        <w:adjustRightInd w:val="0"/>
        <w:snapToGrid w:val="0"/>
        <w:spacing w:line="576" w:lineRule="exact"/>
        <w:ind w:left="0" w:firstLine="779" w:firstLineChars="200"/>
        <w:jc w:val="left"/>
        <w:textAlignment w:val="auto"/>
        <w:rPr>
          <w:rFonts w:hint="eastAsia" w:ascii="楷体_GB2312" w:eastAsia="楷体_GB2312" w:cs="楷体_GB2312"/>
          <w:b/>
          <w:bCs/>
          <w:snapToGrid/>
          <w:color w:val="000000"/>
          <w:spacing w:val="34"/>
          <w:w w:val="100"/>
          <w:kern w:val="2"/>
          <w:sz w:val="32"/>
          <w:szCs w:val="32"/>
          <w:lang w:val="zh-CN"/>
        </w:rPr>
      </w:pPr>
      <w:r>
        <w:rPr>
          <w:rFonts w:hint="eastAsia" w:ascii="楷体_GB2312" w:eastAsia="楷体_GB2312" w:cs="楷体_GB2312"/>
          <w:b/>
          <w:bCs/>
          <w:snapToGrid/>
          <w:color w:val="000000"/>
          <w:spacing w:val="34"/>
          <w:w w:val="100"/>
          <w:kern w:val="2"/>
          <w:sz w:val="32"/>
          <w:szCs w:val="32"/>
          <w:lang w:val="en-US" w:eastAsia="zh-CN"/>
        </w:rPr>
        <w:t>2、</w:t>
      </w:r>
      <w:r>
        <w:rPr>
          <w:rFonts w:hint="eastAsia" w:ascii="楷体_GB2312" w:eastAsia="楷体_GB2312" w:cs="楷体_GB2312"/>
          <w:b/>
          <w:bCs/>
          <w:snapToGrid/>
          <w:color w:val="000000"/>
          <w:spacing w:val="34"/>
          <w:w w:val="100"/>
          <w:kern w:val="2"/>
          <w:sz w:val="32"/>
          <w:szCs w:val="32"/>
          <w:lang w:val="zh-CN"/>
        </w:rPr>
        <w:t>政府债务情况</w:t>
      </w:r>
    </w:p>
    <w:p w14:paraId="0BA4A2F8">
      <w:pPr>
        <w:keepNext w:val="0"/>
        <w:keepLines w:val="0"/>
        <w:pageBreakBefore w:val="0"/>
        <w:widowControl/>
        <w:kinsoku/>
        <w:wordWrap w:val="0"/>
        <w:overflowPunct/>
        <w:topLinePunct/>
        <w:autoSpaceDE/>
        <w:autoSpaceDN/>
        <w:bidi w:val="0"/>
        <w:adjustRightInd w:val="0"/>
        <w:snapToGrid w:val="0"/>
        <w:spacing w:line="576" w:lineRule="exact"/>
        <w:ind w:firstLine="776" w:firstLineChars="200"/>
        <w:jc w:val="left"/>
        <w:textAlignment w:val="auto"/>
        <w:rPr>
          <w:rFonts w:hint="eastAsia" w:ascii="仿宋_GB2312" w:eastAsia="仿宋_GB2312" w:cs="仿宋_GB2312"/>
          <w:spacing w:val="34"/>
          <w:sz w:val="32"/>
          <w:szCs w:val="32"/>
          <w:lang w:val="zh-CN" w:eastAsia="zh-CN"/>
        </w:rPr>
      </w:pPr>
      <w:r>
        <w:rPr>
          <w:rFonts w:hint="eastAsia" w:ascii="仿宋_GB2312" w:eastAsia="仿宋_GB2312" w:cs="仿宋_GB2312"/>
          <w:spacing w:val="34"/>
          <w:sz w:val="32"/>
          <w:szCs w:val="32"/>
          <w:lang w:val="en-US" w:eastAsia="zh-CN"/>
        </w:rPr>
        <w:t>202</w:t>
      </w:r>
      <w:r>
        <w:rPr>
          <w:rFonts w:hint="eastAsia" w:ascii="仿宋_GB2312" w:hAnsi="仿宋_GB2312" w:cs="仿宋_GB2312"/>
          <w:spacing w:val="34"/>
          <w:sz w:val="32"/>
          <w:szCs w:val="32"/>
          <w:lang w:val="en-US" w:eastAsia="zh-CN"/>
        </w:rPr>
        <w:t>1</w:t>
      </w:r>
      <w:r>
        <w:rPr>
          <w:rFonts w:hint="eastAsia" w:ascii="仿宋_GB2312" w:eastAsia="仿宋_GB2312" w:cs="仿宋_GB2312"/>
          <w:spacing w:val="34"/>
          <w:sz w:val="32"/>
          <w:szCs w:val="32"/>
          <w:lang w:val="zh-CN" w:eastAsia="zh-CN"/>
        </w:rPr>
        <w:t>年度</w:t>
      </w:r>
      <w:r>
        <w:rPr>
          <w:rFonts w:hint="eastAsia" w:ascii="仿宋_GB2312" w:eastAsia="仿宋_GB2312" w:cs="仿宋_GB2312"/>
          <w:spacing w:val="34"/>
          <w:sz w:val="32"/>
          <w:szCs w:val="32"/>
          <w:lang w:val="en-US" w:eastAsia="zh-CN"/>
        </w:rPr>
        <w:t>我单位</w:t>
      </w:r>
      <w:r>
        <w:rPr>
          <w:rFonts w:hint="eastAsia" w:ascii="仿宋_GB2312" w:eastAsia="仿宋_GB2312" w:cs="仿宋_GB2312"/>
          <w:spacing w:val="34"/>
          <w:sz w:val="32"/>
          <w:szCs w:val="32"/>
          <w:lang w:val="zh-CN" w:eastAsia="zh-CN"/>
        </w:rPr>
        <w:t>政府债务合计0万元。</w:t>
      </w:r>
    </w:p>
    <w:p w14:paraId="0043FAD6">
      <w:pPr>
        <w:keepNext w:val="0"/>
        <w:keepLines w:val="0"/>
        <w:pageBreakBefore w:val="0"/>
        <w:widowControl/>
        <w:kinsoku/>
        <w:wordWrap w:val="0"/>
        <w:overflowPunct/>
        <w:topLinePunct/>
        <w:autoSpaceDE/>
        <w:autoSpaceDN/>
        <w:bidi w:val="0"/>
        <w:adjustRightInd w:val="0"/>
        <w:snapToGrid w:val="0"/>
        <w:spacing w:line="576" w:lineRule="exact"/>
        <w:ind w:left="840"/>
        <w:jc w:val="left"/>
        <w:textAlignment w:val="auto"/>
        <w:rPr>
          <w:rFonts w:hint="eastAsia" w:ascii="楷体_GB2312" w:eastAsia="楷体_GB2312" w:cs="楷体_GB2312"/>
          <w:b/>
          <w:bCs/>
          <w:snapToGrid/>
          <w:color w:val="000000"/>
          <w:spacing w:val="34"/>
          <w:w w:val="100"/>
          <w:kern w:val="2"/>
          <w:sz w:val="32"/>
          <w:szCs w:val="32"/>
          <w:lang w:val="zh-CN"/>
        </w:rPr>
      </w:pPr>
      <w:r>
        <w:rPr>
          <w:rFonts w:hint="eastAsia" w:ascii="楷体_GB2312" w:eastAsia="楷体_GB2312" w:cs="楷体_GB2312"/>
          <w:b/>
          <w:bCs/>
          <w:snapToGrid/>
          <w:color w:val="000000"/>
          <w:spacing w:val="34"/>
          <w:w w:val="100"/>
          <w:kern w:val="2"/>
          <w:sz w:val="32"/>
          <w:szCs w:val="32"/>
          <w:lang w:val="en-US" w:eastAsia="zh-CN"/>
        </w:rPr>
        <w:t>3、</w:t>
      </w:r>
      <w:r>
        <w:rPr>
          <w:rFonts w:hint="eastAsia" w:ascii="楷体_GB2312" w:eastAsia="楷体_GB2312" w:cs="楷体_GB2312"/>
          <w:b/>
          <w:bCs/>
          <w:snapToGrid/>
          <w:color w:val="000000"/>
          <w:spacing w:val="34"/>
          <w:w w:val="100"/>
          <w:kern w:val="2"/>
          <w:sz w:val="32"/>
          <w:szCs w:val="32"/>
          <w:lang w:val="zh-CN"/>
        </w:rPr>
        <w:t>非税收入执收情况</w:t>
      </w:r>
    </w:p>
    <w:p w14:paraId="0F69F287">
      <w:pPr>
        <w:keepNext w:val="0"/>
        <w:keepLines w:val="0"/>
        <w:pageBreakBefore w:val="0"/>
        <w:widowControl/>
        <w:kinsoku/>
        <w:wordWrap w:val="0"/>
        <w:overflowPunct/>
        <w:topLinePunct/>
        <w:autoSpaceDE/>
        <w:autoSpaceDN/>
        <w:bidi w:val="0"/>
        <w:adjustRightInd w:val="0"/>
        <w:snapToGrid w:val="0"/>
        <w:spacing w:line="576" w:lineRule="exact"/>
        <w:ind w:firstLine="776" w:firstLineChars="200"/>
        <w:jc w:val="left"/>
        <w:textAlignment w:val="auto"/>
        <w:rPr>
          <w:rFonts w:hint="eastAsia" w:ascii="仿宋_GB2312" w:eastAsia="仿宋_GB2312" w:cs="仿宋_GB2312"/>
          <w:spacing w:val="34"/>
          <w:sz w:val="32"/>
          <w:szCs w:val="32"/>
          <w:lang w:val="zh-CN"/>
        </w:rPr>
      </w:pPr>
      <w:r>
        <w:rPr>
          <w:rFonts w:hint="eastAsia" w:ascii="仿宋_GB2312" w:eastAsia="仿宋_GB2312" w:cs="仿宋_GB2312"/>
          <w:spacing w:val="34"/>
          <w:sz w:val="32"/>
          <w:szCs w:val="32"/>
          <w:lang w:val="en-US" w:eastAsia="zh-CN"/>
        </w:rPr>
        <w:t>202</w:t>
      </w:r>
      <w:r>
        <w:rPr>
          <w:rFonts w:hint="eastAsia" w:ascii="仿宋_GB2312" w:hAnsi="仿宋_GB2312" w:cs="仿宋_GB2312"/>
          <w:spacing w:val="34"/>
          <w:sz w:val="32"/>
          <w:szCs w:val="32"/>
          <w:lang w:val="en-US" w:eastAsia="zh-CN"/>
        </w:rPr>
        <w:t>1</w:t>
      </w:r>
      <w:r>
        <w:rPr>
          <w:rFonts w:hint="eastAsia" w:ascii="仿宋_GB2312" w:eastAsia="仿宋_GB2312" w:cs="仿宋_GB2312"/>
          <w:spacing w:val="34"/>
          <w:sz w:val="32"/>
          <w:szCs w:val="32"/>
          <w:lang w:val="zh-CN"/>
        </w:rPr>
        <w:t>年度</w:t>
      </w:r>
      <w:r>
        <w:rPr>
          <w:rFonts w:hint="eastAsia" w:ascii="仿宋_GB2312" w:eastAsia="仿宋_GB2312" w:cs="仿宋_GB2312"/>
          <w:spacing w:val="34"/>
          <w:sz w:val="32"/>
          <w:szCs w:val="32"/>
          <w:lang w:val="en-US" w:eastAsia="zh-CN"/>
        </w:rPr>
        <w:t>我单位</w:t>
      </w:r>
      <w:r>
        <w:rPr>
          <w:rFonts w:hint="eastAsia" w:ascii="仿宋_GB2312" w:eastAsia="仿宋_GB2312" w:cs="仿宋_GB2312"/>
          <w:spacing w:val="34"/>
          <w:sz w:val="32"/>
          <w:szCs w:val="32"/>
          <w:lang w:val="zh-CN"/>
        </w:rPr>
        <w:t xml:space="preserve">非税收入合计0元，上缴财政0万元。 </w:t>
      </w:r>
    </w:p>
    <w:p w14:paraId="317B75BE">
      <w:pPr>
        <w:keepNext w:val="0"/>
        <w:keepLines w:val="0"/>
        <w:pageBreakBefore w:val="0"/>
        <w:widowControl/>
        <w:kinsoku/>
        <w:wordWrap w:val="0"/>
        <w:overflowPunct/>
        <w:topLinePunct/>
        <w:autoSpaceDE/>
        <w:autoSpaceDN/>
        <w:bidi w:val="0"/>
        <w:adjustRightInd w:val="0"/>
        <w:snapToGrid w:val="0"/>
        <w:spacing w:line="576" w:lineRule="exact"/>
        <w:ind w:left="840"/>
        <w:jc w:val="left"/>
        <w:textAlignment w:val="auto"/>
        <w:rPr>
          <w:rFonts w:hint="eastAsia" w:ascii="楷体_GB2312" w:eastAsia="楷体_GB2312" w:cs="楷体_GB2312"/>
          <w:b/>
          <w:bCs/>
          <w:snapToGrid/>
          <w:color w:val="000000"/>
          <w:spacing w:val="34"/>
          <w:w w:val="100"/>
          <w:kern w:val="2"/>
          <w:sz w:val="32"/>
          <w:szCs w:val="32"/>
          <w:lang w:val="zh-CN"/>
        </w:rPr>
      </w:pPr>
      <w:r>
        <w:rPr>
          <w:rFonts w:hint="eastAsia" w:ascii="楷体_GB2312" w:eastAsia="楷体_GB2312" w:cs="楷体_GB2312"/>
          <w:b/>
          <w:bCs/>
          <w:snapToGrid/>
          <w:color w:val="000000"/>
          <w:spacing w:val="34"/>
          <w:w w:val="100"/>
          <w:kern w:val="2"/>
          <w:sz w:val="32"/>
          <w:szCs w:val="32"/>
          <w:lang w:val="en-US" w:eastAsia="zh-CN"/>
        </w:rPr>
        <w:t>4、</w:t>
      </w:r>
      <w:r>
        <w:rPr>
          <w:rFonts w:hint="eastAsia" w:ascii="楷体_GB2312" w:eastAsia="楷体_GB2312" w:cs="楷体_GB2312"/>
          <w:b/>
          <w:bCs/>
          <w:snapToGrid/>
          <w:color w:val="000000"/>
          <w:spacing w:val="34"/>
          <w:w w:val="100"/>
          <w:kern w:val="2"/>
          <w:sz w:val="32"/>
          <w:szCs w:val="32"/>
          <w:lang w:val="zh-CN"/>
        </w:rPr>
        <w:t>政府采购实施计划</w:t>
      </w:r>
    </w:p>
    <w:p w14:paraId="18B47F4A">
      <w:pPr>
        <w:keepNext w:val="0"/>
        <w:keepLines w:val="0"/>
        <w:pageBreakBefore w:val="0"/>
        <w:widowControl/>
        <w:kinsoku/>
        <w:wordWrap w:val="0"/>
        <w:overflowPunct/>
        <w:topLinePunct/>
        <w:autoSpaceDE/>
        <w:autoSpaceDN/>
        <w:bidi w:val="0"/>
        <w:adjustRightInd w:val="0"/>
        <w:snapToGrid w:val="0"/>
        <w:spacing w:line="576" w:lineRule="exact"/>
        <w:ind w:firstLine="776" w:firstLineChars="200"/>
        <w:jc w:val="left"/>
        <w:textAlignment w:val="auto"/>
        <w:rPr>
          <w:rFonts w:hint="eastAsia" w:ascii="仿宋_GB2312" w:eastAsia="仿宋_GB2312" w:cs="仿宋_GB2312"/>
          <w:spacing w:val="34"/>
          <w:sz w:val="32"/>
          <w:szCs w:val="32"/>
          <w:lang w:val="zh-CN" w:eastAsia="zh-CN"/>
        </w:rPr>
      </w:pPr>
      <w:r>
        <w:rPr>
          <w:rFonts w:hint="eastAsia" w:ascii="仿宋_GB2312" w:eastAsia="仿宋_GB2312" w:cs="仿宋_GB2312"/>
          <w:spacing w:val="34"/>
          <w:sz w:val="32"/>
          <w:szCs w:val="32"/>
          <w:lang w:val="en-US" w:eastAsia="zh-CN"/>
        </w:rPr>
        <w:t>我单位</w:t>
      </w:r>
      <w:r>
        <w:rPr>
          <w:rFonts w:hint="eastAsia" w:ascii="仿宋_GB2312" w:eastAsia="仿宋_GB2312" w:cs="仿宋_GB2312"/>
          <w:spacing w:val="34"/>
          <w:sz w:val="32"/>
          <w:szCs w:val="32"/>
          <w:lang w:val="zh-CN" w:eastAsia="zh-CN"/>
        </w:rPr>
        <w:t>20</w:t>
      </w:r>
      <w:r>
        <w:rPr>
          <w:rFonts w:hint="eastAsia" w:ascii="仿宋_GB2312" w:eastAsia="仿宋_GB2312" w:cs="仿宋_GB2312"/>
          <w:spacing w:val="34"/>
          <w:sz w:val="32"/>
          <w:szCs w:val="32"/>
          <w:lang w:val="en-US" w:eastAsia="zh-CN"/>
        </w:rPr>
        <w:t>2</w:t>
      </w:r>
      <w:r>
        <w:rPr>
          <w:rFonts w:hint="eastAsia" w:ascii="仿宋_GB2312" w:hAnsi="仿宋_GB2312" w:cs="仿宋_GB2312"/>
          <w:spacing w:val="34"/>
          <w:sz w:val="32"/>
          <w:szCs w:val="32"/>
          <w:lang w:val="en-US" w:eastAsia="zh-CN"/>
        </w:rPr>
        <w:t>1</w:t>
      </w:r>
      <w:r>
        <w:rPr>
          <w:rFonts w:hint="eastAsia" w:ascii="仿宋_GB2312" w:eastAsia="仿宋_GB2312" w:cs="仿宋_GB2312"/>
          <w:spacing w:val="34"/>
          <w:sz w:val="32"/>
          <w:szCs w:val="32"/>
          <w:lang w:val="zh-CN" w:eastAsia="zh-CN"/>
        </w:rPr>
        <w:t>年未制定年度政府采购计划。</w:t>
      </w:r>
    </w:p>
    <w:p w14:paraId="25F500FC">
      <w:pPr>
        <w:keepNext w:val="0"/>
        <w:keepLines w:val="0"/>
        <w:pageBreakBefore w:val="0"/>
        <w:widowControl/>
        <w:kinsoku/>
        <w:wordWrap w:val="0"/>
        <w:overflowPunct/>
        <w:topLinePunct/>
        <w:autoSpaceDE/>
        <w:autoSpaceDN/>
        <w:bidi w:val="0"/>
        <w:adjustRightInd w:val="0"/>
        <w:snapToGrid w:val="0"/>
        <w:spacing w:line="576" w:lineRule="exact"/>
        <w:ind w:left="840"/>
        <w:jc w:val="left"/>
        <w:textAlignment w:val="auto"/>
        <w:rPr>
          <w:rFonts w:hint="eastAsia" w:ascii="楷体_GB2312" w:eastAsia="楷体_GB2312" w:cs="楷体_GB2312"/>
          <w:b/>
          <w:bCs/>
          <w:snapToGrid/>
          <w:color w:val="000000"/>
          <w:spacing w:val="34"/>
          <w:w w:val="100"/>
          <w:kern w:val="2"/>
          <w:sz w:val="32"/>
          <w:szCs w:val="32"/>
          <w:lang w:val="zh-CN"/>
        </w:rPr>
      </w:pPr>
      <w:r>
        <w:rPr>
          <w:rFonts w:hint="eastAsia" w:ascii="楷体_GB2312" w:eastAsia="楷体_GB2312" w:cs="楷体_GB2312"/>
          <w:b/>
          <w:bCs/>
          <w:snapToGrid/>
          <w:color w:val="000000"/>
          <w:spacing w:val="34"/>
          <w:w w:val="100"/>
          <w:kern w:val="2"/>
          <w:sz w:val="32"/>
          <w:szCs w:val="32"/>
          <w:lang w:val="en-US" w:eastAsia="zh-CN"/>
        </w:rPr>
        <w:t>5、</w:t>
      </w:r>
      <w:r>
        <w:rPr>
          <w:rFonts w:hint="eastAsia" w:ascii="楷体_GB2312" w:eastAsia="楷体_GB2312" w:cs="楷体_GB2312"/>
          <w:b/>
          <w:bCs/>
          <w:snapToGrid/>
          <w:color w:val="000000"/>
          <w:spacing w:val="34"/>
          <w:w w:val="100"/>
          <w:kern w:val="2"/>
          <w:sz w:val="32"/>
          <w:szCs w:val="32"/>
          <w:lang w:val="zh-CN"/>
        </w:rPr>
        <w:t>资产管理情况</w:t>
      </w:r>
    </w:p>
    <w:p w14:paraId="57710A91">
      <w:pPr>
        <w:keepNext w:val="0"/>
        <w:keepLines w:val="0"/>
        <w:pageBreakBefore w:val="0"/>
        <w:widowControl/>
        <w:kinsoku/>
        <w:wordWrap w:val="0"/>
        <w:overflowPunct/>
        <w:topLinePunct/>
        <w:autoSpaceDE/>
        <w:autoSpaceDN/>
        <w:bidi w:val="0"/>
        <w:adjustRightInd w:val="0"/>
        <w:snapToGrid w:val="0"/>
        <w:spacing w:line="576" w:lineRule="exact"/>
        <w:ind w:firstLine="776" w:firstLineChars="200"/>
        <w:jc w:val="left"/>
        <w:textAlignment w:val="auto"/>
        <w:rPr>
          <w:rFonts w:hint="eastAsia" w:ascii="仿宋_GB2312" w:eastAsia="仿宋_GB2312" w:cs="仿宋_GB2312"/>
          <w:color w:val="0000FF"/>
          <w:spacing w:val="34"/>
          <w:sz w:val="32"/>
          <w:szCs w:val="32"/>
          <w:lang w:val="zh-CN" w:eastAsia="zh-CN"/>
        </w:rPr>
      </w:pPr>
      <w:r>
        <w:rPr>
          <w:rFonts w:hint="eastAsia" w:ascii="仿宋_GB2312" w:eastAsia="仿宋_GB2312" w:cs="仿宋_GB2312"/>
          <w:spacing w:val="34"/>
          <w:sz w:val="32"/>
          <w:szCs w:val="32"/>
          <w:lang w:val="en-US" w:eastAsia="zh-CN"/>
        </w:rPr>
        <w:t>我单位</w:t>
      </w:r>
      <w:r>
        <w:rPr>
          <w:rFonts w:hint="eastAsia" w:ascii="仿宋_GB2312" w:eastAsia="仿宋_GB2312" w:cs="仿宋_GB2312"/>
          <w:b w:val="0"/>
          <w:bCs w:val="0"/>
          <w:color w:val="auto"/>
          <w:spacing w:val="34"/>
          <w:sz w:val="32"/>
          <w:szCs w:val="32"/>
          <w:lang w:val="zh-CN" w:eastAsia="zh-CN"/>
        </w:rPr>
        <w:t>已将国有资产纳入资产信息系统管理，并落实专人负责管理维护系统，资产变动</w:t>
      </w:r>
      <w:r>
        <w:rPr>
          <w:rFonts w:hint="eastAsia" w:ascii="仿宋_GB2312" w:hAnsi="仿宋_GB2312" w:cs="仿宋_GB2312"/>
          <w:b w:val="0"/>
          <w:bCs w:val="0"/>
          <w:color w:val="auto"/>
          <w:spacing w:val="34"/>
          <w:sz w:val="32"/>
          <w:szCs w:val="32"/>
          <w:lang w:val="zh-CN" w:eastAsia="zh-CN"/>
        </w:rPr>
        <w:t>已</w:t>
      </w:r>
      <w:r>
        <w:rPr>
          <w:rFonts w:hint="eastAsia" w:ascii="仿宋_GB2312" w:eastAsia="仿宋_GB2312" w:cs="仿宋_GB2312"/>
          <w:b w:val="0"/>
          <w:bCs w:val="0"/>
          <w:color w:val="auto"/>
          <w:spacing w:val="34"/>
          <w:sz w:val="32"/>
          <w:szCs w:val="32"/>
          <w:lang w:val="zh-CN" w:eastAsia="zh-CN"/>
        </w:rPr>
        <w:t>及时把资产变动情况录入系统。</w:t>
      </w:r>
    </w:p>
    <w:p w14:paraId="7D7050E7">
      <w:pPr>
        <w:keepNext w:val="0"/>
        <w:keepLines w:val="0"/>
        <w:pageBreakBefore w:val="0"/>
        <w:widowControl/>
        <w:kinsoku/>
        <w:wordWrap w:val="0"/>
        <w:overflowPunct/>
        <w:topLinePunct/>
        <w:autoSpaceDE/>
        <w:autoSpaceDN/>
        <w:bidi w:val="0"/>
        <w:adjustRightInd w:val="0"/>
        <w:snapToGrid w:val="0"/>
        <w:spacing w:line="576" w:lineRule="exact"/>
        <w:ind w:left="840"/>
        <w:jc w:val="left"/>
        <w:textAlignment w:val="auto"/>
        <w:rPr>
          <w:rFonts w:hint="eastAsia" w:ascii="楷体_GB2312" w:eastAsia="楷体_GB2312" w:cs="楷体_GB2312"/>
          <w:b/>
          <w:bCs/>
          <w:snapToGrid/>
          <w:color w:val="000000"/>
          <w:spacing w:val="34"/>
          <w:w w:val="100"/>
          <w:kern w:val="2"/>
          <w:sz w:val="32"/>
          <w:szCs w:val="32"/>
          <w:lang w:val="zh-CN"/>
        </w:rPr>
      </w:pPr>
      <w:r>
        <w:rPr>
          <w:rFonts w:hint="eastAsia" w:ascii="楷体_GB2312" w:eastAsia="楷体_GB2312" w:cs="楷体_GB2312"/>
          <w:b/>
          <w:bCs/>
          <w:snapToGrid/>
          <w:color w:val="000000"/>
          <w:spacing w:val="34"/>
          <w:w w:val="100"/>
          <w:kern w:val="2"/>
          <w:sz w:val="32"/>
          <w:szCs w:val="32"/>
          <w:lang w:val="en-US" w:eastAsia="zh-CN"/>
        </w:rPr>
        <w:t>6、</w:t>
      </w:r>
      <w:r>
        <w:rPr>
          <w:rFonts w:hint="eastAsia" w:ascii="楷体_GB2312" w:eastAsia="楷体_GB2312" w:cs="楷体_GB2312"/>
          <w:b/>
          <w:bCs/>
          <w:snapToGrid/>
          <w:color w:val="000000"/>
          <w:spacing w:val="34"/>
          <w:w w:val="100"/>
          <w:kern w:val="2"/>
          <w:sz w:val="32"/>
          <w:szCs w:val="32"/>
          <w:lang w:val="zh-CN"/>
        </w:rPr>
        <w:t>信息公开情况</w:t>
      </w:r>
    </w:p>
    <w:p w14:paraId="07CFB0BF">
      <w:pPr>
        <w:keepNext w:val="0"/>
        <w:keepLines w:val="0"/>
        <w:pageBreakBefore w:val="0"/>
        <w:widowControl w:val="0"/>
        <w:kinsoku/>
        <w:wordWrap w:val="0"/>
        <w:overflowPunct/>
        <w:autoSpaceDE/>
        <w:autoSpaceDN/>
        <w:bidi w:val="0"/>
        <w:spacing w:line="576" w:lineRule="exact"/>
        <w:ind w:firstLine="388" w:firstLineChars="100"/>
        <w:jc w:val="left"/>
        <w:textAlignment w:val="auto"/>
        <w:rPr>
          <w:rFonts w:hint="eastAsia" w:ascii="仿宋_GB2312" w:eastAsia="仿宋_GB2312" w:cs="仿宋_GB2312"/>
          <w:spacing w:val="34"/>
          <w:sz w:val="32"/>
          <w:szCs w:val="32"/>
          <w:lang w:val="zh-CN" w:eastAsia="zh-CN"/>
        </w:rPr>
      </w:pPr>
      <w:r>
        <w:rPr>
          <w:rFonts w:hint="eastAsia" w:ascii="仿宋_GB2312" w:eastAsia="仿宋_GB2312" w:cs="仿宋_GB2312"/>
          <w:spacing w:val="34"/>
          <w:sz w:val="32"/>
          <w:szCs w:val="32"/>
          <w:lang w:val="zh-CN"/>
        </w:rPr>
        <w:t xml:space="preserve"> </w:t>
      </w:r>
      <w:r>
        <w:rPr>
          <w:rFonts w:hint="eastAsia" w:ascii="仿宋_GB2312" w:eastAsia="仿宋_GB2312" w:cs="仿宋_GB2312"/>
          <w:spacing w:val="34"/>
          <w:sz w:val="32"/>
          <w:szCs w:val="32"/>
          <w:lang w:val="en-US" w:eastAsia="zh-CN"/>
        </w:rPr>
        <w:t>我单位</w:t>
      </w:r>
      <w:r>
        <w:rPr>
          <w:rFonts w:hint="eastAsia" w:ascii="仿宋_GB2312" w:hAnsi="仿宋_GB2312" w:cs="仿宋_GB2312"/>
          <w:spacing w:val="34"/>
          <w:sz w:val="32"/>
          <w:szCs w:val="32"/>
          <w:lang w:val="en-US" w:eastAsia="zh-CN"/>
        </w:rPr>
        <w:t>2021</w:t>
      </w:r>
      <w:r>
        <w:rPr>
          <w:rFonts w:hint="eastAsia" w:ascii="仿宋_GB2312" w:eastAsia="仿宋_GB2312" w:cs="仿宋_GB2312"/>
          <w:spacing w:val="34"/>
          <w:sz w:val="32"/>
          <w:szCs w:val="32"/>
          <w:lang w:val="zh-CN" w:eastAsia="zh-CN"/>
        </w:rPr>
        <w:t>年的预、决算编制说明、“三公”经费预、决算情况；按县财政要求由县财政统一公开，2</w:t>
      </w:r>
      <w:r>
        <w:rPr>
          <w:rFonts w:hint="eastAsia" w:ascii="仿宋_GB2312" w:eastAsia="仿宋_GB2312" w:cs="仿宋_GB2312"/>
          <w:spacing w:val="34"/>
          <w:sz w:val="32"/>
          <w:szCs w:val="32"/>
          <w:lang w:val="en-US" w:eastAsia="zh-CN"/>
        </w:rPr>
        <w:t>022</w:t>
      </w:r>
      <w:r>
        <w:rPr>
          <w:rFonts w:hint="eastAsia" w:ascii="仿宋_GB2312" w:eastAsia="仿宋_GB2312" w:cs="仿宋_GB2312"/>
          <w:spacing w:val="34"/>
          <w:sz w:val="32"/>
          <w:szCs w:val="32"/>
          <w:lang w:val="zh-CN" w:eastAsia="zh-CN"/>
        </w:rPr>
        <w:t>年的预算编制说明、“三公”经费预算情况在政府网站上已公开。</w:t>
      </w:r>
    </w:p>
    <w:p w14:paraId="374BAE7A">
      <w:pPr>
        <w:numPr>
          <w:ilvl w:val="0"/>
          <w:numId w:val="6"/>
        </w:numPr>
        <w:spacing w:line="560" w:lineRule="exact"/>
        <w:ind w:left="-10" w:firstLine="640"/>
        <w:outlineLvl w:val="2"/>
        <w:rPr>
          <w:rFonts w:hint="eastAsia" w:ascii="楷体_GB2312" w:eastAsia="楷体_GB2312" w:cs="楷体_GB2312"/>
          <w:b/>
          <w:bCs/>
          <w:snapToGrid/>
          <w:color w:val="000000"/>
          <w:spacing w:val="34"/>
          <w:w w:val="100"/>
          <w:kern w:val="2"/>
          <w:sz w:val="32"/>
          <w:szCs w:val="48"/>
          <w:lang w:val="zh-CN"/>
        </w:rPr>
      </w:pPr>
      <w:bookmarkStart w:id="71" w:name="_Toc30116"/>
      <w:r>
        <w:rPr>
          <w:rFonts w:hint="eastAsia" w:ascii="楷体_GB2312" w:eastAsia="楷体_GB2312" w:cs="楷体_GB2312"/>
          <w:b/>
          <w:bCs/>
          <w:snapToGrid/>
          <w:color w:val="000000"/>
          <w:spacing w:val="34"/>
          <w:w w:val="100"/>
          <w:kern w:val="2"/>
          <w:sz w:val="32"/>
          <w:szCs w:val="48"/>
          <w:lang w:val="zh-CN"/>
        </w:rPr>
        <w:t>整体绩效 </w:t>
      </w:r>
      <w:bookmarkEnd w:id="71"/>
    </w:p>
    <w:p w14:paraId="29F8DD04">
      <w:pPr>
        <w:tabs>
          <w:tab w:val="left" w:pos="0"/>
        </w:tabs>
        <w:spacing w:line="560" w:lineRule="exact"/>
        <w:ind w:left="0" w:firstLine="776" w:firstLineChars="200"/>
        <w:rPr>
          <w:rFonts w:hint="eastAsia" w:ascii="仿宋_GB2312" w:eastAsia="仿宋_GB2312" w:cs="仿宋_GB2312"/>
          <w:spacing w:val="34"/>
          <w:sz w:val="32"/>
          <w:szCs w:val="32"/>
          <w:lang w:val="zh-CN" w:eastAsia="zh-CN"/>
        </w:rPr>
      </w:pPr>
      <w:r>
        <w:rPr>
          <w:rFonts w:hint="eastAsia" w:ascii="仿宋_GB2312" w:eastAsia="仿宋_GB2312" w:cs="仿宋_GB2312"/>
          <w:spacing w:val="34"/>
          <w:sz w:val="32"/>
          <w:szCs w:val="32"/>
          <w:lang w:val="zh-CN" w:eastAsia="zh-CN"/>
        </w:rPr>
        <w:t>我</w:t>
      </w:r>
      <w:r>
        <w:rPr>
          <w:rFonts w:hint="eastAsia" w:ascii="仿宋_GB2312" w:eastAsia="仿宋_GB2312" w:cs="仿宋_GB2312"/>
          <w:spacing w:val="34"/>
          <w:sz w:val="32"/>
          <w:szCs w:val="32"/>
          <w:lang w:val="en-US" w:eastAsia="zh-CN"/>
        </w:rPr>
        <w:t>乡</w:t>
      </w:r>
      <w:r>
        <w:rPr>
          <w:rFonts w:hint="eastAsia" w:ascii="仿宋_GB2312" w:eastAsia="仿宋_GB2312" w:cs="仿宋_GB2312"/>
          <w:spacing w:val="34"/>
          <w:sz w:val="32"/>
          <w:szCs w:val="32"/>
          <w:lang w:val="zh-CN" w:eastAsia="zh-CN"/>
        </w:rPr>
        <w:t>对本部门实施了整体支出绩效评价 ，按照要求向金川县财政局按时报送自评报告，财政资金支出主要用于保障本部门机构正常运转、更好完成各项日常工作。</w:t>
      </w:r>
    </w:p>
    <w:p w14:paraId="7ED5F556">
      <w:pPr>
        <w:keepNext w:val="0"/>
        <w:keepLines w:val="0"/>
        <w:pageBreakBefore w:val="0"/>
        <w:widowControl/>
        <w:kinsoku/>
        <w:wordWrap w:val="0"/>
        <w:overflowPunct/>
        <w:topLinePunct/>
        <w:autoSpaceDE/>
        <w:autoSpaceDN/>
        <w:bidi w:val="0"/>
        <w:adjustRightInd w:val="0"/>
        <w:snapToGrid w:val="0"/>
        <w:spacing w:line="576" w:lineRule="exact"/>
        <w:ind w:firstLine="779" w:firstLineChars="200"/>
        <w:jc w:val="left"/>
        <w:textAlignment w:val="auto"/>
        <w:rPr>
          <w:rFonts w:hint="eastAsia" w:ascii="楷体" w:eastAsia="楷体" w:cs="楷体"/>
          <w:b/>
          <w:bCs/>
          <w:snapToGrid/>
          <w:color w:val="000000"/>
          <w:spacing w:val="34"/>
          <w:w w:val="100"/>
          <w:kern w:val="2"/>
          <w:sz w:val="32"/>
          <w:szCs w:val="48"/>
          <w:lang w:val="zh-CN"/>
        </w:rPr>
      </w:pPr>
      <w:r>
        <w:rPr>
          <w:rFonts w:hint="eastAsia" w:ascii="楷体" w:eastAsia="楷体" w:cs="楷体"/>
          <w:b/>
          <w:bCs/>
          <w:snapToGrid/>
          <w:color w:val="000000"/>
          <w:spacing w:val="34"/>
          <w:w w:val="100"/>
          <w:kern w:val="2"/>
          <w:sz w:val="32"/>
          <w:szCs w:val="48"/>
          <w:lang w:val="zh-CN"/>
        </w:rPr>
        <w:t>（</w:t>
      </w:r>
      <w:r>
        <w:rPr>
          <w:rFonts w:hint="eastAsia" w:ascii="楷体" w:eastAsia="楷体" w:cs="楷体"/>
          <w:b/>
          <w:bCs/>
          <w:snapToGrid/>
          <w:color w:val="000000"/>
          <w:spacing w:val="34"/>
          <w:w w:val="100"/>
          <w:kern w:val="2"/>
          <w:sz w:val="32"/>
          <w:szCs w:val="48"/>
          <w:lang w:val="en-US" w:eastAsia="zh-CN"/>
        </w:rPr>
        <w:t>二</w:t>
      </w:r>
      <w:r>
        <w:rPr>
          <w:rFonts w:hint="eastAsia" w:ascii="楷体" w:eastAsia="楷体" w:cs="楷体"/>
          <w:b/>
          <w:bCs/>
          <w:snapToGrid/>
          <w:color w:val="000000"/>
          <w:spacing w:val="34"/>
          <w:w w:val="100"/>
          <w:kern w:val="2"/>
          <w:sz w:val="32"/>
          <w:szCs w:val="48"/>
          <w:lang w:val="zh-CN"/>
        </w:rPr>
        <w:t>）绩效管理工作开展情况 </w:t>
      </w:r>
    </w:p>
    <w:p w14:paraId="5DBF1B7F">
      <w:pPr>
        <w:keepNext w:val="0"/>
        <w:keepLines w:val="0"/>
        <w:pageBreakBefore w:val="0"/>
        <w:widowControl/>
        <w:kinsoku/>
        <w:wordWrap w:val="0"/>
        <w:overflowPunct/>
        <w:topLinePunct/>
        <w:autoSpaceDE/>
        <w:autoSpaceDN/>
        <w:bidi w:val="0"/>
        <w:adjustRightInd w:val="0"/>
        <w:snapToGrid w:val="0"/>
        <w:spacing w:line="576" w:lineRule="exact"/>
        <w:ind w:firstLine="556" w:firstLineChars="200"/>
        <w:jc w:val="left"/>
        <w:textAlignment w:val="auto"/>
        <w:rPr>
          <w:rFonts w:hint="eastAsia" w:ascii="仿宋_GB2312" w:eastAsia="仿宋_GB2312" w:cs="仿宋_GB2312"/>
          <w:spacing w:val="34"/>
          <w:sz w:val="32"/>
          <w:szCs w:val="32"/>
          <w:lang w:val="zh-CN"/>
        </w:rPr>
      </w:pPr>
      <w:r>
        <w:rPr>
          <w:rFonts w:hint="eastAsia" w:ascii="仿宋_GB2312" w:hAnsi="仿宋_GB2312" w:cs="宋体"/>
          <w:snapToGrid/>
          <w:color w:val="000000"/>
          <w:spacing w:val="34"/>
          <w:w w:val="100"/>
          <w:kern w:val="2"/>
          <w:szCs w:val="32"/>
          <w:lang w:val="zh-CN"/>
        </w:rPr>
        <w:t xml:space="preserve">  </w:t>
      </w:r>
      <w:r>
        <w:rPr>
          <w:rFonts w:hint="eastAsia" w:ascii="仿宋_GB2312" w:hAnsi="仿宋_GB2312" w:cs="宋体"/>
          <w:snapToGrid/>
          <w:color w:val="000000"/>
          <w:spacing w:val="34"/>
          <w:w w:val="100"/>
          <w:kern w:val="2"/>
          <w:szCs w:val="32"/>
          <w:lang w:val="en-US" w:eastAsia="zh-CN"/>
        </w:rPr>
        <w:t xml:space="preserve"> </w:t>
      </w:r>
      <w:r>
        <w:rPr>
          <w:rFonts w:hint="eastAsia" w:ascii="仿宋_GB2312" w:eastAsia="仿宋_GB2312" w:cs="仿宋_GB2312"/>
          <w:spacing w:val="34"/>
          <w:sz w:val="32"/>
          <w:szCs w:val="32"/>
          <w:lang w:val="zh-CN" w:eastAsia="zh-CN"/>
        </w:rPr>
        <w:t>根据金财监绩〔202</w:t>
      </w:r>
      <w:r>
        <w:rPr>
          <w:rFonts w:hint="eastAsia" w:ascii="仿宋_GB2312" w:hAnsi="仿宋_GB2312" w:cs="仿宋_GB2312"/>
          <w:spacing w:val="34"/>
          <w:sz w:val="32"/>
          <w:szCs w:val="32"/>
          <w:lang w:val="en-US" w:eastAsia="zh-CN"/>
        </w:rPr>
        <w:t>2</w:t>
      </w:r>
      <w:r>
        <w:rPr>
          <w:rFonts w:hint="eastAsia" w:ascii="仿宋_GB2312" w:eastAsia="仿宋_GB2312" w:cs="仿宋_GB2312"/>
          <w:spacing w:val="34"/>
          <w:sz w:val="32"/>
          <w:szCs w:val="32"/>
          <w:lang w:val="zh-CN" w:eastAsia="zh-CN"/>
        </w:rPr>
        <w:t>〕</w:t>
      </w:r>
      <w:r>
        <w:rPr>
          <w:rFonts w:hint="eastAsia" w:ascii="仿宋_GB2312" w:eastAsia="仿宋_GB2312" w:cs="仿宋_GB2312"/>
          <w:spacing w:val="34"/>
          <w:sz w:val="32"/>
          <w:szCs w:val="32"/>
          <w:lang w:val="en-US" w:eastAsia="zh-CN"/>
        </w:rPr>
        <w:t>2</w:t>
      </w:r>
      <w:r>
        <w:rPr>
          <w:rFonts w:hint="eastAsia" w:ascii="仿宋_GB2312" w:hAnsi="仿宋_GB2312" w:cs="仿宋_GB2312"/>
          <w:spacing w:val="34"/>
          <w:sz w:val="32"/>
          <w:szCs w:val="32"/>
          <w:lang w:val="en-US" w:eastAsia="zh-CN"/>
        </w:rPr>
        <w:t>2</w:t>
      </w:r>
      <w:r>
        <w:rPr>
          <w:rFonts w:hint="eastAsia" w:ascii="仿宋_GB2312" w:eastAsia="仿宋_GB2312" w:cs="仿宋_GB2312"/>
          <w:spacing w:val="34"/>
          <w:sz w:val="32"/>
          <w:szCs w:val="32"/>
          <w:lang w:val="zh-CN" w:eastAsia="zh-CN"/>
        </w:rPr>
        <w:t>号文件要求，我单位对财政资金使用管理情况，按照《</w:t>
      </w:r>
      <w:r>
        <w:rPr>
          <w:rFonts w:hint="eastAsia" w:ascii="仿宋_GB2312" w:eastAsia="仿宋_GB2312" w:cs="仿宋_GB2312"/>
          <w:color w:val="000000"/>
          <w:spacing w:val="34"/>
          <w:sz w:val="32"/>
          <w:szCs w:val="32"/>
        </w:rPr>
        <w:t>关于开展2022年部门整体和项目支出绩效评价工作的通知</w:t>
      </w:r>
      <w:r>
        <w:rPr>
          <w:rFonts w:hint="eastAsia" w:ascii="仿宋_GB2312" w:eastAsia="仿宋_GB2312" w:cs="仿宋_GB2312"/>
          <w:spacing w:val="34"/>
          <w:sz w:val="32"/>
          <w:szCs w:val="32"/>
          <w:lang w:val="zh-CN" w:eastAsia="zh-CN"/>
        </w:rPr>
        <w:t>》认真开展自评工作，撰写部门自评报告。</w:t>
      </w:r>
      <w:r>
        <w:rPr>
          <w:rFonts w:hint="eastAsia" w:ascii="仿宋_GB2312" w:eastAsia="仿宋_GB2312" w:cs="仿宋_GB2312"/>
          <w:spacing w:val="34"/>
          <w:sz w:val="32"/>
          <w:szCs w:val="32"/>
          <w:lang w:val="zh-CN"/>
        </w:rPr>
        <w:t> </w:t>
      </w:r>
    </w:p>
    <w:p w14:paraId="7D9D7F92">
      <w:pPr>
        <w:keepNext w:val="0"/>
        <w:keepLines w:val="0"/>
        <w:pageBreakBefore w:val="0"/>
        <w:widowControl/>
        <w:kinsoku/>
        <w:wordWrap w:val="0"/>
        <w:overflowPunct/>
        <w:topLinePunct/>
        <w:autoSpaceDE/>
        <w:autoSpaceDN/>
        <w:bidi w:val="0"/>
        <w:adjustRightInd w:val="0"/>
        <w:snapToGrid w:val="0"/>
        <w:spacing w:line="576" w:lineRule="exact"/>
        <w:ind w:firstLine="776" w:firstLineChars="200"/>
        <w:jc w:val="left"/>
        <w:textAlignment w:val="auto"/>
        <w:outlineLvl w:val="1"/>
        <w:rPr>
          <w:rFonts w:hint="eastAsia" w:ascii="仿宋_GB2312" w:hAnsi="仿宋_GB2312" w:cs="宋体"/>
          <w:snapToGrid/>
          <w:color w:val="000000"/>
          <w:spacing w:val="34"/>
          <w:w w:val="100"/>
          <w:kern w:val="2"/>
          <w:sz w:val="32"/>
          <w:szCs w:val="48"/>
          <w:lang w:val="zh-CN"/>
        </w:rPr>
      </w:pPr>
      <w:bookmarkStart w:id="72" w:name="_Toc23708"/>
      <w:bookmarkStart w:id="73" w:name="_Toc21502"/>
      <w:bookmarkStart w:id="74" w:name="_Toc11636"/>
      <w:r>
        <w:rPr>
          <w:rFonts w:hint="eastAsia" w:ascii="黑体" w:eastAsia="黑体" w:cs="黑体"/>
          <w:b w:val="0"/>
          <w:bCs w:val="0"/>
          <w:snapToGrid/>
          <w:color w:val="000000"/>
          <w:spacing w:val="34"/>
          <w:w w:val="100"/>
          <w:kern w:val="2"/>
          <w:sz w:val="32"/>
          <w:szCs w:val="48"/>
          <w:lang w:val="zh-CN"/>
        </w:rPr>
        <w:t>四、评价结论及建议</w:t>
      </w:r>
      <w:r>
        <w:rPr>
          <w:rFonts w:hint="eastAsia" w:ascii="仿宋_GB2312" w:hAnsi="仿宋_GB2312" w:cs="宋体"/>
          <w:snapToGrid/>
          <w:color w:val="000000"/>
          <w:spacing w:val="34"/>
          <w:w w:val="100"/>
          <w:kern w:val="2"/>
          <w:sz w:val="32"/>
          <w:szCs w:val="48"/>
          <w:lang w:val="zh-CN"/>
        </w:rPr>
        <w:t> </w:t>
      </w:r>
      <w:bookmarkEnd w:id="72"/>
      <w:bookmarkEnd w:id="73"/>
      <w:bookmarkEnd w:id="74"/>
    </w:p>
    <w:p w14:paraId="6653FF05">
      <w:pPr>
        <w:snapToGrid w:val="0"/>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评价结论。根据部门支出绩效评价指标体系进行单位自评，圆满完成绩效自评工作，圆满完成中央、省、州委和县的重要工作、目标任务。</w:t>
      </w:r>
    </w:p>
    <w:p w14:paraId="63CC86A3">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本单位本次自评总分</w:t>
      </w:r>
      <w:r>
        <w:rPr>
          <w:rFonts w:hint="eastAsia" w:ascii="仿宋_GB2312" w:eastAsia="仿宋_GB2312" w:cs="仿宋"/>
          <w:color w:val="000000"/>
          <w:kern w:val="0"/>
          <w:sz w:val="32"/>
          <w:szCs w:val="32"/>
          <w:lang w:val="en-US" w:eastAsia="zh-CN"/>
        </w:rPr>
        <w:t>84</w:t>
      </w:r>
      <w:r>
        <w:rPr>
          <w:rFonts w:hint="eastAsia" w:ascii="仿宋_GB2312" w:eastAsia="仿宋_GB2312" w:cs="仿宋"/>
          <w:color w:val="000000"/>
          <w:kern w:val="0"/>
          <w:sz w:val="32"/>
          <w:szCs w:val="32"/>
        </w:rPr>
        <w:t>。</w:t>
      </w:r>
    </w:p>
    <w:p w14:paraId="7C76B5FF">
      <w:pPr>
        <w:keepNext w:val="0"/>
        <w:keepLines w:val="0"/>
        <w:pageBreakBefore w:val="0"/>
        <w:widowControl w:val="0"/>
        <w:kinsoku/>
        <w:wordWrap w:val="0"/>
        <w:overflowPunct/>
        <w:autoSpaceDE/>
        <w:autoSpaceDN/>
        <w:bidi w:val="0"/>
        <w:spacing w:line="576" w:lineRule="exact"/>
        <w:ind w:firstLine="776" w:firstLineChars="200"/>
        <w:jc w:val="left"/>
        <w:textAlignment w:val="auto"/>
        <w:rPr>
          <w:rFonts w:hint="eastAsia" w:ascii="仿宋_GB2312" w:eastAsia="仿宋_GB2312" w:cs="仿宋_GB2312"/>
          <w:spacing w:val="34"/>
          <w:sz w:val="32"/>
          <w:szCs w:val="32"/>
          <w:lang w:val="zh-CN"/>
        </w:rPr>
      </w:pPr>
      <w:r>
        <w:rPr>
          <w:rFonts w:hint="eastAsia" w:ascii="仿宋_GB2312" w:eastAsia="仿宋_GB2312" w:cs="仿宋_GB2312"/>
          <w:spacing w:val="34"/>
          <w:sz w:val="32"/>
          <w:szCs w:val="32"/>
          <w:lang w:val="zh-CN"/>
        </w:rPr>
        <w:t>我</w:t>
      </w:r>
      <w:r>
        <w:rPr>
          <w:rFonts w:hint="eastAsia" w:ascii="仿宋_GB2312" w:eastAsia="仿宋_GB2312" w:cs="仿宋_GB2312"/>
          <w:spacing w:val="34"/>
          <w:sz w:val="32"/>
          <w:szCs w:val="32"/>
          <w:lang w:val="en-US" w:eastAsia="zh-CN"/>
        </w:rPr>
        <w:t>乡</w:t>
      </w:r>
      <w:r>
        <w:rPr>
          <w:rFonts w:hint="eastAsia" w:ascii="仿宋_GB2312" w:hAnsi="仿宋_GB2312" w:cs="仿宋_GB2312"/>
          <w:spacing w:val="34"/>
          <w:sz w:val="32"/>
          <w:szCs w:val="32"/>
          <w:lang w:val="en-US" w:eastAsia="zh-CN"/>
        </w:rPr>
        <w:t>2021</w:t>
      </w:r>
      <w:r>
        <w:rPr>
          <w:rFonts w:hint="eastAsia" w:ascii="仿宋_GB2312" w:eastAsia="仿宋_GB2312" w:cs="仿宋_GB2312"/>
          <w:spacing w:val="34"/>
          <w:sz w:val="32"/>
          <w:szCs w:val="32"/>
          <w:lang w:val="zh-CN"/>
        </w:rPr>
        <w:t>年部门支出与年初预算基本一致，达到预期绩效目标。但预算编制还需进一步细化，针对我</w:t>
      </w:r>
      <w:r>
        <w:rPr>
          <w:rFonts w:hint="eastAsia" w:ascii="仿宋_GB2312" w:eastAsia="仿宋_GB2312" w:cs="仿宋_GB2312"/>
          <w:spacing w:val="34"/>
          <w:sz w:val="32"/>
          <w:szCs w:val="32"/>
          <w:lang w:val="en-US" w:eastAsia="zh-CN"/>
        </w:rPr>
        <w:t>乡</w:t>
      </w:r>
      <w:r>
        <w:rPr>
          <w:rFonts w:hint="eastAsia" w:ascii="仿宋_GB2312" w:eastAsia="仿宋_GB2312" w:cs="仿宋_GB2312"/>
          <w:spacing w:val="34"/>
          <w:sz w:val="32"/>
          <w:szCs w:val="32"/>
          <w:lang w:val="zh-CN"/>
        </w:rPr>
        <w:t>预算存在的问题，提出以下建议：</w:t>
      </w:r>
    </w:p>
    <w:p w14:paraId="5397503E">
      <w:pPr>
        <w:keepNext w:val="0"/>
        <w:keepLines w:val="0"/>
        <w:pageBreakBefore w:val="0"/>
        <w:widowControl w:val="0"/>
        <w:kinsoku/>
        <w:wordWrap w:val="0"/>
        <w:overflowPunct/>
        <w:autoSpaceDE/>
        <w:autoSpaceDN/>
        <w:bidi w:val="0"/>
        <w:spacing w:line="576" w:lineRule="exact"/>
        <w:ind w:firstLine="776" w:firstLineChars="200"/>
        <w:jc w:val="left"/>
        <w:textAlignment w:val="auto"/>
        <w:rPr>
          <w:rFonts w:hint="eastAsia" w:ascii="仿宋_GB2312" w:eastAsia="仿宋_GB2312" w:cs="仿宋_GB2312"/>
          <w:spacing w:val="34"/>
          <w:sz w:val="32"/>
          <w:szCs w:val="32"/>
          <w:lang w:val="zh-CN"/>
        </w:rPr>
      </w:pPr>
      <w:r>
        <w:rPr>
          <w:rFonts w:hint="eastAsia" w:ascii="仿宋_GB2312" w:eastAsia="仿宋_GB2312" w:cs="仿宋_GB2312"/>
          <w:spacing w:val="34"/>
          <w:sz w:val="32"/>
          <w:szCs w:val="32"/>
          <w:lang w:val="zh-CN"/>
        </w:rPr>
        <w:t> 1、遵循先有预算、后有支出的原则，加强财务管理和内部控制监督制度。严禁超预算和无预算安排支出，严格开支范围和标准，严格支出报销审核，不报销任何超范围、超标准的费用。 </w:t>
      </w:r>
    </w:p>
    <w:p w14:paraId="3DD04FE1">
      <w:pPr>
        <w:widowControl/>
        <w:wordWrap w:val="0"/>
        <w:snapToGrid w:val="0"/>
        <w:ind w:firstLine="388" w:firstLineChars="100"/>
        <w:jc w:val="left"/>
        <w:rPr>
          <w:rFonts w:hint="eastAsia" w:ascii="仿宋_GB2312" w:eastAsia="仿宋_GB2312" w:cs="仿宋_GB2312"/>
          <w:spacing w:val="34"/>
          <w:sz w:val="32"/>
          <w:szCs w:val="32"/>
          <w:lang w:val="zh-CN"/>
        </w:rPr>
      </w:pPr>
      <w:r>
        <w:rPr>
          <w:rFonts w:hint="eastAsia" w:ascii="仿宋_GB2312" w:hAnsi="仿宋_GB2312" w:cs="仿宋_GB2312"/>
          <w:spacing w:val="34"/>
          <w:sz w:val="32"/>
          <w:szCs w:val="32"/>
          <w:lang w:val="en-US" w:eastAsia="zh-CN"/>
        </w:rPr>
        <w:t xml:space="preserve"> </w:t>
      </w:r>
      <w:r>
        <w:rPr>
          <w:rFonts w:hint="eastAsia" w:ascii="仿宋_GB2312" w:eastAsia="仿宋_GB2312" w:cs="仿宋_GB2312"/>
          <w:spacing w:val="34"/>
          <w:sz w:val="32"/>
          <w:szCs w:val="32"/>
          <w:lang w:val="zh-CN"/>
        </w:rPr>
        <w:t>2、严格控制“三公”经费。认真贯彻落实中央、省委省政府和县委县政府相关规定，严格“三公”经费支出的审核和审批，合理压缩“三公”经费支出。</w:t>
      </w:r>
    </w:p>
    <w:p w14:paraId="728C816B">
      <w:pPr>
        <w:spacing w:line="540" w:lineRule="exact"/>
        <w:ind w:firstLine="640" w:firstLineChars="200"/>
        <w:rPr>
          <w:rFonts w:ascii="仿宋" w:eastAsia="仿宋" w:cs="仿宋_GB2312"/>
          <w:color w:val="000000"/>
          <w:sz w:val="32"/>
          <w:szCs w:val="32"/>
          <w:shd w:val="clear" w:color="auto" w:fill="FFFFFF"/>
        </w:rPr>
      </w:pPr>
      <w:r>
        <w:rPr>
          <w:rFonts w:hint="eastAsia" w:ascii="仿宋" w:eastAsia="仿宋" w:cs="仿宋_GB2312"/>
          <w:color w:val="000000"/>
          <w:sz w:val="32"/>
          <w:szCs w:val="32"/>
          <w:shd w:val="clear" w:color="auto" w:fill="FFFFFF"/>
        </w:rPr>
        <w:t xml:space="preserve">        </w:t>
      </w:r>
    </w:p>
    <w:p w14:paraId="2552BD05">
      <w:pPr>
        <w:spacing w:line="600" w:lineRule="exact"/>
        <w:ind w:firstLine="1760" w:firstLineChars="400"/>
        <w:outlineLvl w:val="0"/>
        <w:rPr>
          <w:rFonts w:hint="eastAsia" w:ascii="黑体" w:eastAsia="黑体"/>
          <w:color w:val="000000"/>
          <w:sz w:val="44"/>
          <w:szCs w:val="44"/>
        </w:rPr>
      </w:pPr>
    </w:p>
    <w:p w14:paraId="1DBB7E1F">
      <w:pPr>
        <w:spacing w:line="600" w:lineRule="exact"/>
        <w:ind w:firstLine="2640" w:firstLineChars="600"/>
        <w:outlineLvl w:val="0"/>
        <w:rPr>
          <w:rStyle w:val="19"/>
          <w:rFonts w:ascii="黑体" w:eastAsia="黑体"/>
          <w:b w:val="0"/>
        </w:rPr>
      </w:pPr>
      <w:r>
        <w:rPr>
          <w:rFonts w:hint="eastAsia" w:ascii="黑体" w:eastAsia="黑体"/>
          <w:color w:val="000000"/>
          <w:sz w:val="44"/>
          <w:szCs w:val="44"/>
        </w:rPr>
        <w:t>第</w:t>
      </w:r>
      <w:r>
        <w:rPr>
          <w:rStyle w:val="19"/>
          <w:rFonts w:hint="eastAsia" w:ascii="黑体" w:eastAsia="黑体"/>
          <w:b w:val="0"/>
        </w:rPr>
        <w:t>五部分 附表</w:t>
      </w:r>
    </w:p>
    <w:p w14:paraId="3E7E688A">
      <w:pPr>
        <w:pStyle w:val="4"/>
        <w:rPr>
          <w:rFonts w:ascii="仿宋" w:eastAsia="仿宋"/>
          <w:color w:val="000000"/>
        </w:rPr>
      </w:pPr>
      <w:r>
        <w:rPr>
          <w:rFonts w:hint="eastAsia" w:ascii="仿宋" w:eastAsia="仿宋"/>
          <w:b w:val="0"/>
          <w:color w:val="000000"/>
        </w:rPr>
        <w:t>一、收</w:t>
      </w:r>
      <w:r>
        <w:rPr>
          <w:rStyle w:val="20"/>
          <w:rFonts w:hint="eastAsia" w:ascii="仿宋" w:eastAsia="仿宋"/>
          <w:b w:val="0"/>
          <w:bCs w:val="0"/>
        </w:rPr>
        <w:t>入支出决算总表</w:t>
      </w:r>
    </w:p>
    <w:p w14:paraId="2B49DCE2">
      <w:pPr>
        <w:pStyle w:val="4"/>
        <w:rPr>
          <w:rFonts w:ascii="仿宋" w:eastAsia="仿宋"/>
          <w:color w:val="000000"/>
        </w:rPr>
      </w:pPr>
      <w:bookmarkStart w:id="75" w:name="_Toc15396620"/>
      <w:r>
        <w:rPr>
          <w:rFonts w:hint="eastAsia" w:ascii="仿宋" w:eastAsia="仿宋"/>
          <w:b w:val="0"/>
          <w:color w:val="000000"/>
        </w:rPr>
        <w:t>二、收</w:t>
      </w:r>
      <w:r>
        <w:rPr>
          <w:rStyle w:val="20"/>
          <w:rFonts w:hint="eastAsia" w:ascii="仿宋" w:eastAsia="仿宋"/>
          <w:b w:val="0"/>
          <w:bCs w:val="0"/>
        </w:rPr>
        <w:t>入总表</w:t>
      </w:r>
      <w:bookmarkEnd w:id="75"/>
    </w:p>
    <w:p w14:paraId="7BB9FBB7">
      <w:pPr>
        <w:pStyle w:val="4"/>
        <w:rPr>
          <w:rFonts w:ascii="仿宋" w:eastAsia="仿宋"/>
          <w:color w:val="000000"/>
        </w:rPr>
      </w:pPr>
      <w:bookmarkStart w:id="76" w:name="_Toc15396621"/>
      <w:r>
        <w:rPr>
          <w:rStyle w:val="20"/>
          <w:rFonts w:hint="eastAsia" w:ascii="仿宋" w:eastAsia="仿宋"/>
          <w:b w:val="0"/>
          <w:bCs w:val="0"/>
        </w:rPr>
        <w:t>三、</w:t>
      </w:r>
      <w:r>
        <w:rPr>
          <w:rFonts w:hint="eastAsia" w:ascii="仿宋" w:eastAsia="仿宋"/>
          <w:b w:val="0"/>
          <w:color w:val="000000"/>
        </w:rPr>
        <w:t>支</w:t>
      </w:r>
      <w:r>
        <w:rPr>
          <w:rStyle w:val="20"/>
          <w:rFonts w:hint="eastAsia" w:ascii="仿宋" w:eastAsia="仿宋"/>
          <w:b w:val="0"/>
          <w:bCs w:val="0"/>
        </w:rPr>
        <w:t>出总表</w:t>
      </w:r>
      <w:bookmarkEnd w:id="76"/>
    </w:p>
    <w:p w14:paraId="71C393AA">
      <w:pPr>
        <w:pStyle w:val="4"/>
        <w:rPr>
          <w:rFonts w:ascii="仿宋" w:eastAsia="仿宋"/>
          <w:b w:val="0"/>
          <w:color w:val="000000"/>
        </w:rPr>
      </w:pPr>
      <w:bookmarkStart w:id="77" w:name="_Toc15396622"/>
      <w:r>
        <w:rPr>
          <w:rStyle w:val="20"/>
          <w:rFonts w:hint="eastAsia" w:ascii="仿宋" w:eastAsia="仿宋"/>
          <w:b w:val="0"/>
          <w:bCs w:val="0"/>
        </w:rPr>
        <w:t>四、</w:t>
      </w:r>
      <w:r>
        <w:rPr>
          <w:rFonts w:hint="eastAsia" w:ascii="仿宋" w:eastAsia="仿宋"/>
          <w:b w:val="0"/>
          <w:color w:val="000000"/>
        </w:rPr>
        <w:t>财</w:t>
      </w:r>
      <w:r>
        <w:rPr>
          <w:rStyle w:val="20"/>
          <w:rFonts w:hint="eastAsia" w:ascii="仿宋" w:eastAsia="仿宋"/>
          <w:b w:val="0"/>
          <w:bCs w:val="0"/>
        </w:rPr>
        <w:t>政拨款收入支出决算总表</w:t>
      </w:r>
      <w:bookmarkEnd w:id="77"/>
    </w:p>
    <w:p w14:paraId="552FCFC1">
      <w:pPr>
        <w:pStyle w:val="4"/>
        <w:rPr>
          <w:rFonts w:ascii="仿宋" w:eastAsia="仿宋"/>
          <w:color w:val="000000"/>
        </w:rPr>
      </w:pPr>
      <w:bookmarkStart w:id="78" w:name="_Toc15396623"/>
      <w:r>
        <w:rPr>
          <w:rStyle w:val="20"/>
          <w:rFonts w:hint="eastAsia" w:ascii="仿宋" w:eastAsia="仿宋"/>
          <w:b w:val="0"/>
          <w:bCs w:val="0"/>
        </w:rPr>
        <w:t>五、</w:t>
      </w:r>
      <w:r>
        <w:rPr>
          <w:rFonts w:hint="eastAsia" w:ascii="仿宋" w:eastAsia="仿宋"/>
          <w:b w:val="0"/>
          <w:color w:val="000000"/>
        </w:rPr>
        <w:t>财</w:t>
      </w:r>
      <w:r>
        <w:rPr>
          <w:rStyle w:val="20"/>
          <w:rFonts w:hint="eastAsia" w:ascii="仿宋" w:eastAsia="仿宋"/>
          <w:b w:val="0"/>
          <w:bCs w:val="0"/>
        </w:rPr>
        <w:t>政拨款支出决算明细表（政府经济分类科目）</w:t>
      </w:r>
      <w:bookmarkEnd w:id="78"/>
    </w:p>
    <w:p w14:paraId="217B5D7E">
      <w:pPr>
        <w:pStyle w:val="4"/>
        <w:rPr>
          <w:rFonts w:ascii="仿宋" w:eastAsia="仿宋"/>
          <w:color w:val="000000"/>
        </w:rPr>
      </w:pPr>
      <w:bookmarkStart w:id="79" w:name="_Toc15396624"/>
      <w:r>
        <w:rPr>
          <w:rStyle w:val="20"/>
          <w:rFonts w:hint="eastAsia" w:ascii="仿宋" w:eastAsia="仿宋"/>
          <w:b w:val="0"/>
          <w:bCs w:val="0"/>
        </w:rPr>
        <w:t>六、</w:t>
      </w:r>
      <w:r>
        <w:rPr>
          <w:rFonts w:hint="eastAsia" w:ascii="仿宋" w:eastAsia="仿宋"/>
          <w:b w:val="0"/>
          <w:color w:val="000000"/>
        </w:rPr>
        <w:t>一</w:t>
      </w:r>
      <w:r>
        <w:rPr>
          <w:rStyle w:val="20"/>
          <w:rFonts w:hint="eastAsia" w:ascii="仿宋" w:eastAsia="仿宋"/>
          <w:b w:val="0"/>
          <w:bCs w:val="0"/>
        </w:rPr>
        <w:t>般公共预算财政拨款支出决算表</w:t>
      </w:r>
      <w:bookmarkEnd w:id="79"/>
    </w:p>
    <w:p w14:paraId="7FF87833">
      <w:pPr>
        <w:pStyle w:val="4"/>
        <w:rPr>
          <w:rFonts w:ascii="仿宋" w:eastAsia="仿宋"/>
          <w:color w:val="000000"/>
        </w:rPr>
      </w:pPr>
      <w:bookmarkStart w:id="80" w:name="_Toc15396625"/>
      <w:r>
        <w:rPr>
          <w:rStyle w:val="20"/>
          <w:rFonts w:hint="eastAsia" w:ascii="仿宋" w:eastAsia="仿宋"/>
          <w:b w:val="0"/>
          <w:bCs w:val="0"/>
        </w:rPr>
        <w:t>七、</w:t>
      </w:r>
      <w:r>
        <w:rPr>
          <w:rFonts w:hint="eastAsia" w:ascii="仿宋" w:eastAsia="仿宋"/>
          <w:b w:val="0"/>
          <w:color w:val="000000"/>
        </w:rPr>
        <w:t>一</w:t>
      </w:r>
      <w:r>
        <w:rPr>
          <w:rStyle w:val="20"/>
          <w:rFonts w:hint="eastAsia" w:ascii="仿宋" w:eastAsia="仿宋"/>
          <w:b w:val="0"/>
          <w:bCs w:val="0"/>
        </w:rPr>
        <w:t>般公共预算财政拨款支出决算明细表</w:t>
      </w:r>
      <w:bookmarkEnd w:id="80"/>
    </w:p>
    <w:p w14:paraId="7298A247">
      <w:pPr>
        <w:pStyle w:val="4"/>
        <w:rPr>
          <w:rFonts w:ascii="仿宋" w:eastAsia="仿宋"/>
          <w:color w:val="000000"/>
        </w:rPr>
      </w:pPr>
      <w:bookmarkStart w:id="81" w:name="_Toc15396626"/>
      <w:r>
        <w:rPr>
          <w:rStyle w:val="20"/>
          <w:rFonts w:hint="eastAsia" w:ascii="仿宋" w:eastAsia="仿宋"/>
          <w:b w:val="0"/>
          <w:bCs w:val="0"/>
        </w:rPr>
        <w:t>八、</w:t>
      </w:r>
      <w:r>
        <w:rPr>
          <w:rFonts w:hint="eastAsia" w:ascii="仿宋" w:eastAsia="仿宋"/>
          <w:b w:val="0"/>
          <w:color w:val="000000"/>
        </w:rPr>
        <w:t>一</w:t>
      </w:r>
      <w:r>
        <w:rPr>
          <w:rStyle w:val="20"/>
          <w:rFonts w:hint="eastAsia" w:ascii="仿宋" w:eastAsia="仿宋"/>
          <w:b w:val="0"/>
          <w:bCs w:val="0"/>
        </w:rPr>
        <w:t>般公共预算财政拨款基本支出决算表</w:t>
      </w:r>
      <w:bookmarkEnd w:id="81"/>
    </w:p>
    <w:p w14:paraId="1837F102">
      <w:pPr>
        <w:pStyle w:val="4"/>
        <w:rPr>
          <w:rFonts w:ascii="仿宋" w:eastAsia="仿宋"/>
          <w:color w:val="000000"/>
        </w:rPr>
      </w:pPr>
      <w:bookmarkStart w:id="82" w:name="_Toc15396627"/>
      <w:r>
        <w:rPr>
          <w:rStyle w:val="20"/>
          <w:rFonts w:hint="eastAsia" w:ascii="仿宋" w:eastAsia="仿宋"/>
          <w:b w:val="0"/>
          <w:bCs w:val="0"/>
        </w:rPr>
        <w:t>九、</w:t>
      </w:r>
      <w:r>
        <w:rPr>
          <w:rFonts w:hint="eastAsia" w:ascii="仿宋" w:eastAsia="仿宋"/>
          <w:b w:val="0"/>
          <w:color w:val="000000"/>
        </w:rPr>
        <w:t>一</w:t>
      </w:r>
      <w:r>
        <w:rPr>
          <w:rStyle w:val="20"/>
          <w:rFonts w:hint="eastAsia" w:ascii="仿宋" w:eastAsia="仿宋"/>
          <w:b w:val="0"/>
          <w:bCs w:val="0"/>
        </w:rPr>
        <w:t>般公共预算财政拨款项目支出决算表</w:t>
      </w:r>
      <w:bookmarkEnd w:id="82"/>
    </w:p>
    <w:p w14:paraId="6E49EE8A">
      <w:pPr>
        <w:pStyle w:val="4"/>
        <w:rPr>
          <w:rFonts w:ascii="仿宋" w:eastAsia="仿宋"/>
          <w:color w:val="000000"/>
        </w:rPr>
      </w:pPr>
      <w:bookmarkStart w:id="83" w:name="_Toc15396628"/>
      <w:r>
        <w:rPr>
          <w:rStyle w:val="20"/>
          <w:rFonts w:hint="eastAsia" w:ascii="仿宋" w:eastAsia="仿宋"/>
          <w:b w:val="0"/>
          <w:bCs w:val="0"/>
        </w:rPr>
        <w:t>十、</w:t>
      </w:r>
      <w:r>
        <w:rPr>
          <w:rFonts w:hint="eastAsia" w:ascii="仿宋" w:eastAsia="仿宋"/>
          <w:b w:val="0"/>
          <w:color w:val="000000"/>
        </w:rPr>
        <w:t>一</w:t>
      </w:r>
      <w:r>
        <w:rPr>
          <w:rStyle w:val="20"/>
          <w:rFonts w:hint="eastAsia" w:ascii="仿宋" w:eastAsia="仿宋"/>
          <w:b w:val="0"/>
          <w:bCs w:val="0"/>
        </w:rPr>
        <w:t>般公共预算财政拨款“三公”经费支出决算表</w:t>
      </w:r>
      <w:bookmarkEnd w:id="83"/>
    </w:p>
    <w:p w14:paraId="247E45E9">
      <w:pPr>
        <w:pStyle w:val="4"/>
        <w:rPr>
          <w:rFonts w:ascii="仿宋" w:eastAsia="仿宋"/>
          <w:color w:val="000000"/>
        </w:rPr>
      </w:pPr>
      <w:bookmarkStart w:id="84" w:name="_Toc15396629"/>
      <w:r>
        <w:rPr>
          <w:rStyle w:val="20"/>
          <w:rFonts w:hint="eastAsia" w:ascii="仿宋" w:eastAsia="仿宋"/>
          <w:b w:val="0"/>
          <w:bCs w:val="0"/>
        </w:rPr>
        <w:t>十一、</w:t>
      </w:r>
      <w:r>
        <w:rPr>
          <w:rFonts w:hint="eastAsia" w:ascii="仿宋" w:eastAsia="仿宋"/>
          <w:b w:val="0"/>
          <w:color w:val="000000"/>
        </w:rPr>
        <w:t>政</w:t>
      </w:r>
      <w:r>
        <w:rPr>
          <w:rStyle w:val="20"/>
          <w:rFonts w:hint="eastAsia" w:ascii="仿宋" w:eastAsia="仿宋"/>
          <w:b w:val="0"/>
          <w:bCs w:val="0"/>
        </w:rPr>
        <w:t>府性基金预算财政拨款收入支出决算表</w:t>
      </w:r>
      <w:bookmarkEnd w:id="84"/>
    </w:p>
    <w:p w14:paraId="7F5E1B3C">
      <w:pPr>
        <w:pStyle w:val="4"/>
        <w:rPr>
          <w:rFonts w:ascii="仿宋" w:eastAsia="仿宋"/>
          <w:color w:val="000000"/>
        </w:rPr>
      </w:pPr>
      <w:bookmarkStart w:id="85" w:name="_Toc15396630"/>
      <w:r>
        <w:rPr>
          <w:rStyle w:val="20"/>
          <w:rFonts w:hint="eastAsia" w:ascii="仿宋" w:eastAsia="仿宋"/>
          <w:b w:val="0"/>
          <w:bCs w:val="0"/>
        </w:rPr>
        <w:t>十二、</w:t>
      </w:r>
      <w:r>
        <w:rPr>
          <w:rFonts w:hint="eastAsia" w:ascii="仿宋" w:eastAsia="仿宋"/>
          <w:b w:val="0"/>
          <w:color w:val="000000"/>
        </w:rPr>
        <w:t>政</w:t>
      </w:r>
      <w:r>
        <w:rPr>
          <w:rStyle w:val="20"/>
          <w:rFonts w:hint="eastAsia" w:ascii="仿宋" w:eastAsia="仿宋"/>
          <w:b w:val="0"/>
          <w:bCs w:val="0"/>
        </w:rPr>
        <w:t>府性基金预算财政拨款“三公”经费支出决算表</w:t>
      </w:r>
      <w:bookmarkEnd w:id="85"/>
    </w:p>
    <w:p w14:paraId="7FFC0B43">
      <w:pPr>
        <w:pStyle w:val="4"/>
        <w:rPr>
          <w:rFonts w:ascii="仿宋" w:eastAsia="仿宋"/>
          <w:color w:val="000000"/>
        </w:rPr>
      </w:pPr>
      <w:bookmarkStart w:id="86" w:name="_Toc15396631"/>
      <w:r>
        <w:rPr>
          <w:rStyle w:val="20"/>
          <w:rFonts w:hint="eastAsia" w:ascii="仿宋" w:eastAsia="仿宋"/>
          <w:b w:val="0"/>
          <w:bCs w:val="0"/>
        </w:rPr>
        <w:t>十三、</w:t>
      </w:r>
      <w:r>
        <w:rPr>
          <w:rFonts w:hint="eastAsia" w:ascii="仿宋" w:eastAsia="仿宋"/>
          <w:b w:val="0"/>
          <w:color w:val="000000"/>
        </w:rPr>
        <w:t>国</w:t>
      </w:r>
      <w:r>
        <w:rPr>
          <w:rStyle w:val="20"/>
          <w:rFonts w:hint="eastAsia" w:ascii="仿宋" w:eastAsia="仿宋"/>
          <w:b w:val="0"/>
          <w:bCs w:val="0"/>
        </w:rPr>
        <w:t>有资本经营预算支出决算表</w:t>
      </w:r>
      <w:bookmarkEnd w:id="86"/>
    </w:p>
    <w:p w14:paraId="5F636C7D">
      <w:pPr>
        <w:pStyle w:val="4"/>
        <w:rPr>
          <w:rFonts w:ascii="仿宋" w:eastAsia="仿宋"/>
          <w:color w:val="000000"/>
        </w:rPr>
      </w:pPr>
    </w:p>
    <w:p w14:paraId="6C5BAE01">
      <w:pPr>
        <w:pStyle w:val="4"/>
        <w:rPr>
          <w:rStyle w:val="19"/>
          <w:rFonts w:ascii="仿宋" w:eastAsia="仿宋"/>
          <w:b w:val="0"/>
          <w:bCs w:val="0"/>
          <w:sz w:val="32"/>
          <w:szCs w:val="32"/>
        </w:rPr>
      </w:pPr>
    </w:p>
    <w:p w14:paraId="4A30AEDA">
      <w:pPr>
        <w:spacing w:line="600" w:lineRule="exact"/>
        <w:jc w:val="center"/>
        <w:outlineLvl w:val="0"/>
        <w:rPr>
          <w:rFonts w:ascii="黑体" w:eastAsia="黑体"/>
          <w:color w:val="000000"/>
          <w:sz w:val="44"/>
          <w:szCs w:val="44"/>
        </w:rPr>
      </w:pPr>
    </w:p>
    <w:p w14:paraId="3DEDAE09">
      <w:pPr>
        <w:spacing w:line="600" w:lineRule="exact"/>
        <w:jc w:val="center"/>
        <w:outlineLvl w:val="0"/>
        <w:rPr>
          <w:rFonts w:ascii="黑体" w:eastAsia="黑体"/>
          <w:b/>
          <w:color w:val="000000"/>
          <w:sz w:val="44"/>
          <w:szCs w:val="44"/>
        </w:rPr>
      </w:pPr>
    </w:p>
    <w:p w14:paraId="5589299F">
      <w:pPr>
        <w:spacing w:line="600" w:lineRule="exact"/>
        <w:jc w:val="center"/>
        <w:outlineLvl w:val="0"/>
        <w:rPr>
          <w:rFonts w:ascii="黑体" w:eastAsia="黑体"/>
          <w:b/>
          <w:color w:val="000000"/>
          <w:sz w:val="44"/>
          <w:szCs w:val="44"/>
        </w:rPr>
      </w:pPr>
    </w:p>
    <w:p w14:paraId="2C261C3A">
      <w:pPr>
        <w:spacing w:line="600" w:lineRule="exact"/>
        <w:jc w:val="center"/>
        <w:outlineLvl w:val="0"/>
        <w:rPr>
          <w:rFonts w:ascii="黑体" w:eastAsia="黑体"/>
          <w:b/>
          <w:color w:val="000000"/>
          <w:sz w:val="44"/>
          <w:szCs w:val="44"/>
        </w:rPr>
      </w:pPr>
    </w:p>
    <w:p w14:paraId="6E06E79B">
      <w:pPr>
        <w:spacing w:line="600" w:lineRule="exact"/>
        <w:jc w:val="center"/>
        <w:outlineLvl w:val="0"/>
        <w:rPr>
          <w:rFonts w:ascii="黑体" w:eastAsia="黑体"/>
          <w:b/>
          <w:color w:val="000000"/>
          <w:sz w:val="44"/>
          <w:szCs w:val="44"/>
        </w:rPr>
      </w:pPr>
    </w:p>
    <w:bookmarkEnd w:id="53"/>
    <w:bookmarkEnd w:id="54"/>
    <w:p w14:paraId="0BD20F43">
      <w:pPr>
        <w:spacing w:line="600" w:lineRule="exact"/>
        <w:outlineLvl w:val="0"/>
        <w:rPr>
          <w:rFonts w:ascii="黑体" w:eastAsia="黑体"/>
          <w:color w:val="000000"/>
          <w:sz w:val="44"/>
          <w:szCs w:val="44"/>
        </w:rPr>
      </w:pPr>
      <w:bookmarkStart w:id="87" w:name="_Toc15396619"/>
      <w:bookmarkStart w:id="88" w:name="_Toc15396618"/>
    </w:p>
    <w:bookmarkEnd w:id="87"/>
    <w:bookmarkEnd w:id="88"/>
    <w:p w14:paraId="56F720DB">
      <w:pPr>
        <w:pStyle w:val="4"/>
        <w:rPr>
          <w:rFonts w:ascii="仿宋" w:eastAsia="仿宋"/>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方正黑体_GBK"/>
    <w:panose1 w:val="03000509000000000000"/>
    <w:charset w:val="86"/>
    <w:family w:val="auto"/>
    <w:pitch w:val="default"/>
    <w:sig w:usb0="00000000" w:usb1="00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_GB2312">
    <w:altName w:val="Segoe Print"/>
    <w:panose1 w:val="00000000000000000000"/>
    <w:charset w:val="00"/>
    <w:family w:val="auto"/>
    <w:pitch w:val="default"/>
    <w:sig w:usb0="00000000" w:usb1="00000000" w:usb2="00000000" w:usb3="00000000" w:csb0="00000001" w:csb1="00000000"/>
  </w:font>
  <w:font w:name="DejaVu Sans">
    <w:altName w:val="Segoe Print"/>
    <w:panose1 w:val="00000000000000000000"/>
    <w:charset w:val="00"/>
    <w:family w:val="auto"/>
    <w:pitch w:val="default"/>
    <w:sig w:usb0="00000000" w:usb1="00000000" w:usb2="00000000" w:usb3="00000000" w:csb0="00000000"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FFC6444A">
    <w:panose1 w:val="02000000000000000000"/>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14382096"/>
      <w:docPartList>
        <w:docPartGallery w:val="Quick Parts"/>
      </w:docPartList>
    </w:sdtPr>
    <w:sdtContent>
      <w:p w14:paraId="55A93D7F">
        <w:pPr>
          <w:pStyle w:val="9"/>
          <w:jc w:val="center"/>
        </w:pPr>
        <w:r>
          <w:fldChar w:fldCharType="begin"/>
        </w:r>
        <w:r>
          <w:instrText xml:space="preserve">PAGE   \* MERGEFORMAT</w:instrText>
        </w:r>
        <w:r>
          <w:fldChar w:fldCharType="separate"/>
        </w:r>
        <w:r>
          <w:rPr>
            <w:lang w:val="zh-CN"/>
          </w:rPr>
          <w:t>22</w:t>
        </w:r>
        <w:r>
          <w:rPr>
            <w:lang w:val="zh-CN"/>
          </w:rPr>
          <w:fldChar w:fldCharType="end"/>
        </w:r>
      </w:p>
    </w:sdtContent>
  </w:sdt>
  <w:p w14:paraId="0309E7B4">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52B3A">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DF753C88"/>
    <w:multiLevelType w:val="singleLevel"/>
    <w:tmpl w:val="DF753C88"/>
    <w:lvl w:ilvl="0" w:tentative="0">
      <w:start w:val="3"/>
      <w:numFmt w:val="chineseCounting"/>
      <w:suff w:val="nothing"/>
      <w:lvlText w:val="%1、"/>
      <w:lvlJc w:val="left"/>
      <w:pPr>
        <w:tabs>
          <w:tab w:val="left" w:pos="0"/>
        </w:tabs>
        <w:ind w:left="0" w:firstLine="0"/>
      </w:pPr>
      <w:rPr>
        <w:rFonts w:hint="eastAsia"/>
      </w:rPr>
    </w:lvl>
  </w:abstractNum>
  <w:abstractNum w:abstractNumId="2">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3">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4">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5">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6">
    <w:nsid w:val="21B58365"/>
    <w:multiLevelType w:val="singleLevel"/>
    <w:tmpl w:val="21B58365"/>
    <w:lvl w:ilvl="0" w:tentative="0">
      <w:start w:val="2"/>
      <w:numFmt w:val="chineseCounting"/>
      <w:suff w:val="nothing"/>
      <w:lvlText w:val="（%1）"/>
      <w:lvlJc w:val="left"/>
      <w:pPr>
        <w:tabs>
          <w:tab w:val="left" w:pos="0"/>
        </w:tabs>
        <w:ind w:left="0" w:firstLine="0"/>
      </w:pPr>
      <w:rPr>
        <w:rFonts w:hint="eastAsia"/>
      </w:rPr>
    </w:lvl>
  </w:abstractNum>
  <w:abstractNum w:abstractNumId="7">
    <w:nsid w:val="78D72DD4"/>
    <w:multiLevelType w:val="singleLevel"/>
    <w:tmpl w:val="78D72DD4"/>
    <w:lvl w:ilvl="0" w:tentative="0">
      <w:start w:val="3"/>
      <w:numFmt w:val="decimal"/>
      <w:lvlText w:val="%1."/>
      <w:lvlJc w:val="left"/>
      <w:pPr>
        <w:tabs>
          <w:tab w:val="left" w:pos="0"/>
        </w:tabs>
        <w:ind w:left="0" w:firstLine="0"/>
      </w:pPr>
    </w:lvl>
  </w:abstractNum>
  <w:num w:numId="1">
    <w:abstractNumId w:val="4"/>
  </w:num>
  <w:num w:numId="2">
    <w:abstractNumId w:val="6"/>
  </w:num>
  <w:num w:numId="3">
    <w:abstractNumId w:val="7"/>
  </w:num>
  <w:num w:numId="4">
    <w:abstractNumId w:val="0"/>
  </w:num>
  <w:num w:numId="5">
    <w:abstractNumId w:val="5"/>
  </w:num>
  <w:num w:numId="6">
    <w:abstractNumId w:val="3"/>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4"/>
  </w:compat>
  <w:docVars>
    <w:docVar w:name="commondata" w:val="eyJoZGlkIjoiMDIwYTEyYzgwNzMwODdmYjBjMzcxNzI5YTZhZjQzZTcifQ=="/>
  </w:docVars>
  <w:rsids>
    <w:rsidRoot w:val="00000000"/>
    <w:rsid w:val="0B3D742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9"/>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0"/>
    <w:uiPriority w:val="0"/>
    <w:pPr>
      <w:keepNext/>
      <w:keepLines/>
      <w:widowControl w:val="0"/>
      <w:spacing w:before="260" w:after="260" w:line="415" w:lineRule="auto"/>
      <w:outlineLvl w:val="1"/>
    </w:pPr>
    <w:rPr>
      <w:rFonts w:ascii="Cambria" w:hAnsi="Cambria"/>
      <w:b/>
      <w:bCs/>
      <w:sz w:val="32"/>
      <w:szCs w:val="32"/>
    </w:rPr>
  </w:style>
  <w:style w:type="paragraph" w:styleId="5">
    <w:name w:val="heading 3"/>
    <w:basedOn w:val="1"/>
    <w:next w:val="1"/>
    <w:uiPriority w:val="0"/>
    <w:pPr>
      <w:keepNext/>
      <w:keepLines/>
      <w:widowControl w:val="0"/>
      <w:spacing w:before="260" w:after="260" w:line="415" w:lineRule="auto"/>
      <w:outlineLvl w:val="2"/>
    </w:pPr>
    <w:rPr>
      <w:b/>
      <w:bCs/>
      <w:sz w:val="32"/>
      <w:szCs w:val="32"/>
    </w:rPr>
  </w:style>
  <w:style w:type="character" w:default="1" w:styleId="16">
    <w:name w:val="Default Paragraph Font"/>
    <w:uiPriority w:val="0"/>
  </w:style>
  <w:style w:type="table" w:default="1" w:styleId="15">
    <w:name w:val="Normal Table"/>
    <w:semiHidden/>
    <w:uiPriority w:val="0"/>
    <w:tblPr>
      <w:tblCellMar>
        <w:top w:w="0" w:type="dxa"/>
        <w:left w:w="108" w:type="dxa"/>
        <w:bottom w:w="0" w:type="dxa"/>
        <w:right w:w="108" w:type="dxa"/>
      </w:tblCellMar>
    </w:tblPr>
  </w:style>
  <w:style w:type="paragraph" w:customStyle="1" w:styleId="2">
    <w:name w:val="图表目录1"/>
    <w:basedOn w:val="1"/>
    <w:next w:val="1"/>
    <w:uiPriority w:val="0"/>
    <w:pPr>
      <w:spacing w:beforeAutospacing="1" w:afterAutospacing="1"/>
      <w:ind w:left="400" w:leftChars="200" w:hanging="200" w:hangingChars="200"/>
    </w:pPr>
  </w:style>
  <w:style w:type="paragraph" w:styleId="6">
    <w:name w:val="Body Text"/>
    <w:basedOn w:val="1"/>
    <w:uiPriority w:val="0"/>
    <w:pPr>
      <w:spacing w:before="30" w:beforeLines="30"/>
    </w:pPr>
    <w:rPr>
      <w:rFonts w:ascii="仿宋_GB2312" w:eastAsia="仿宋_GB2312"/>
      <w:kern w:val="0"/>
      <w:sz w:val="30"/>
    </w:rPr>
  </w:style>
  <w:style w:type="paragraph" w:styleId="7">
    <w:name w:val="toc 3"/>
    <w:basedOn w:val="1"/>
    <w:next w:val="1"/>
    <w:uiPriority w:val="0"/>
    <w:pPr>
      <w:tabs>
        <w:tab w:val="right" w:leader="dot" w:pos="8296"/>
      </w:tabs>
      <w:ind w:left="400" w:leftChars="400"/>
    </w:pPr>
  </w:style>
  <w:style w:type="paragraph" w:styleId="8">
    <w:name w:val="Balloon Text"/>
    <w:basedOn w:val="1"/>
    <w:uiPriority w:val="0"/>
    <w:rPr>
      <w:sz w:val="18"/>
      <w:szCs w:val="18"/>
    </w:rPr>
  </w:style>
  <w:style w:type="paragraph" w:styleId="9">
    <w:name w:val="footer"/>
    <w:basedOn w:val="1"/>
    <w:uiPriority w:val="0"/>
    <w:pPr>
      <w:tabs>
        <w:tab w:val="center" w:pos="4153"/>
        <w:tab w:val="right" w:pos="8306"/>
      </w:tabs>
      <w:snapToGrid w:val="0"/>
      <w:jc w:val="left"/>
    </w:pPr>
    <w:rPr>
      <w:rFonts w:ascii="Calibri" w:hAnsi="Calibri"/>
      <w:kern w:val="0"/>
      <w:sz w:val="18"/>
      <w:szCs w:val="18"/>
    </w:rPr>
  </w:style>
  <w:style w:type="paragraph" w:styleId="10">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iPriority w:val="0"/>
    <w:pPr>
      <w:tabs>
        <w:tab w:val="right" w:leader="dot" w:pos="8296"/>
      </w:tabs>
      <w:spacing w:before="93"/>
      <w:jc w:val="center"/>
    </w:pPr>
    <w:rPr>
      <w:rFonts w:ascii="仿宋" w:eastAsia="仿宋"/>
      <w:sz w:val="28"/>
      <w:szCs w:val="28"/>
    </w:rPr>
  </w:style>
  <w:style w:type="paragraph" w:styleId="12">
    <w:name w:val="table of figures"/>
    <w:basedOn w:val="1"/>
    <w:next w:val="1"/>
    <w:uiPriority w:val="0"/>
    <w:pPr>
      <w:ind w:left="400" w:leftChars="200" w:hanging="200" w:hangingChars="200"/>
    </w:pPr>
  </w:style>
  <w:style w:type="paragraph" w:styleId="13">
    <w:name w:val="toc 2"/>
    <w:basedOn w:val="1"/>
    <w:next w:val="1"/>
    <w:uiPriority w:val="0"/>
    <w:pPr>
      <w:tabs>
        <w:tab w:val="right" w:leader="dot" w:pos="8296"/>
      </w:tabs>
      <w:ind w:left="200" w:leftChars="200"/>
    </w:pPr>
  </w:style>
  <w:style w:type="paragraph" w:styleId="14">
    <w:name w:val="Normal (Web)"/>
    <w:basedOn w:val="1"/>
    <w:uiPriority w:val="0"/>
    <w:pPr>
      <w:widowControl/>
      <w:spacing w:beforeAutospacing="1" w:afterAutospacing="1"/>
      <w:jc w:val="left"/>
    </w:pPr>
    <w:rPr>
      <w:rFonts w:ascii="宋体"/>
      <w:kern w:val="0"/>
      <w:sz w:val="24"/>
    </w:rPr>
  </w:style>
  <w:style w:type="character" w:styleId="17">
    <w:name w:val="Strong"/>
    <w:basedOn w:val="16"/>
    <w:uiPriority w:val="0"/>
    <w:rPr>
      <w:b/>
    </w:rPr>
  </w:style>
  <w:style w:type="character" w:styleId="18">
    <w:name w:val="Hyperlink"/>
    <w:basedOn w:val="16"/>
    <w:uiPriority w:val="0"/>
    <w:rPr>
      <w:color w:val="0000FF"/>
      <w:u w:val="single"/>
    </w:rPr>
  </w:style>
  <w:style w:type="character" w:customStyle="1" w:styleId="19">
    <w:name w:val="heading 1 Char"/>
    <w:basedOn w:val="16"/>
    <w:link w:val="3"/>
    <w:uiPriority w:val="0"/>
    <w:rPr>
      <w:rFonts w:ascii="Times New Roman" w:hAnsi="Times New Roman" w:eastAsia="宋体" w:cs="Times New Roman"/>
      <w:b/>
      <w:bCs/>
      <w:kern w:val="44"/>
      <w:sz w:val="44"/>
      <w:szCs w:val="44"/>
      <w:lang w:val="en-US" w:eastAsia="zh-CN" w:bidi="ar-SA"/>
    </w:rPr>
  </w:style>
  <w:style w:type="character" w:customStyle="1" w:styleId="20">
    <w:name w:val="heading 2 Char"/>
    <w:basedOn w:val="16"/>
    <w:link w:val="4"/>
    <w:uiPriority w:val="0"/>
    <w:rPr>
      <w:rFonts w:ascii="Cambria" w:hAnsi="Cambria" w:eastAsia="宋体" w:cs="Times New Roman"/>
      <w:b/>
      <w:bCs/>
      <w:kern w:val="2"/>
      <w:sz w:val="32"/>
      <w:szCs w:val="32"/>
      <w:lang w:val="en-US" w:eastAsia="zh-CN" w:bidi="ar-SA"/>
    </w:rPr>
  </w:style>
  <w:style w:type="paragraph" w:customStyle="1" w:styleId="21">
    <w:name w:val="图表目录11"/>
    <w:basedOn w:val="1"/>
    <w:next w:val="1"/>
    <w:uiPriority w:val="0"/>
    <w:pPr>
      <w:spacing w:beforeAutospacing="1" w:afterAutospacing="1"/>
      <w:ind w:left="400" w:leftChars="200" w:hanging="200" w:hangingChars="200"/>
    </w:pPr>
  </w:style>
  <w:style w:type="character" w:customStyle="1" w:styleId="22">
    <w:name w:val="Header Char"/>
    <w:basedOn w:val="16"/>
    <w:uiPriority w:val="0"/>
    <w:rPr>
      <w:rFonts w:ascii="Times New Roman" w:hAnsi="Times New Roman"/>
      <w:sz w:val="18"/>
      <w:szCs w:val="18"/>
    </w:rPr>
  </w:style>
  <w:style w:type="character" w:customStyle="1" w:styleId="23">
    <w:name w:val="Footer Char"/>
    <w:basedOn w:val="16"/>
    <w:uiPriority w:val="0"/>
    <w:rPr>
      <w:rFonts w:ascii="Times New Roman" w:hAnsi="Times New Roman"/>
      <w:sz w:val="18"/>
      <w:szCs w:val="18"/>
    </w:rPr>
  </w:style>
  <w:style w:type="character" w:customStyle="1" w:styleId="24">
    <w:name w:val="Body Text Char"/>
    <w:basedOn w:val="16"/>
    <w:uiPriority w:val="0"/>
    <w:rPr>
      <w:rFonts w:ascii="Times New Roman" w:hAnsi="Times New Roman"/>
      <w:szCs w:val="24"/>
    </w:rPr>
  </w:style>
  <w:style w:type="paragraph" w:customStyle="1" w:styleId="25">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6">
    <w:name w:val="List Paragraph"/>
    <w:basedOn w:val="1"/>
    <w:uiPriority w:val="0"/>
    <w:pPr>
      <w:ind w:firstLine="200" w:firstLineChars="200"/>
    </w:pPr>
  </w:style>
  <w:style w:type="paragraph" w:customStyle="1" w:styleId="27">
    <w:name w:val="TOC 标题1"/>
    <w:basedOn w:val="3"/>
    <w:next w:val="1"/>
    <w:uiPriority w:val="0"/>
    <w:pPr>
      <w:keepNext/>
      <w:keepLines/>
      <w:widowControl/>
      <w:spacing w:before="480" w:after="0" w:line="276" w:lineRule="auto"/>
      <w:jc w:val="left"/>
      <w:outlineLvl w:val="9"/>
    </w:pPr>
    <w:rPr>
      <w:rFonts w:ascii="Cambria" w:hAnsi="Cambria"/>
      <w:color w:val="376092"/>
      <w:kern w:val="0"/>
      <w:sz w:val="28"/>
      <w:szCs w:val="28"/>
    </w:rPr>
  </w:style>
  <w:style w:type="paragraph" w:customStyle="1" w:styleId="28">
    <w:name w:val="普通(网站) Char"/>
    <w:basedOn w:val="1"/>
    <w:uiPriority w:val="0"/>
    <w:pPr>
      <w:spacing w:before="100" w:beforeAutospacing="1" w:after="100" w:afterAutospacing="1"/>
    </w:pPr>
  </w:style>
  <w:style w:type="character" w:customStyle="1" w:styleId="29">
    <w:name w:val="NormalCharacter"/>
    <w:uiPriority w:val="0"/>
    <w:rPr>
      <w:rFonts w:eastAsia="宋体"/>
      <w:kern w:val="2"/>
      <w:sz w:val="21"/>
      <w:szCs w:val="24"/>
      <w:lang w:val="en-US" w:eastAsia="zh-CN" w:bidi="ar-SA"/>
    </w:rPr>
  </w:style>
  <w:style w:type="character" w:customStyle="1" w:styleId="30">
    <w:name w:val="10"/>
    <w:basedOn w:val="16"/>
    <w:uiPriority w:val="0"/>
    <w:rPr>
      <w:rFonts w:ascii="Times New Roman" w:hAnsi="Times New Roman" w:cs="Times New Roman"/>
    </w:rPr>
  </w:style>
  <w:style w:type="character" w:customStyle="1" w:styleId="31">
    <w:name w:val="15"/>
    <w:basedOn w:val="16"/>
    <w:uiPriority w:val="0"/>
    <w:rPr>
      <w:rFonts w:ascii="Times New Roman" w:hAnsi="Times New Roman" w:cs="Times New Roman"/>
      <w:b/>
      <w:bCs/>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404040"/>
                </a:solidFill>
                <a:latin typeface="AR PL UKai CN"/>
                <a:ea typeface="AR PL UKai CN"/>
                <a:cs typeface="Lucida Sans"/>
              </a:defRPr>
            </a:pPr>
            <a:r>
              <a:rPr lang="zh-CN"/>
              <a:t>收、支决算结构图</a:t>
            </a:r>
            <a:endParaRPr lang="zh-CN"/>
          </a:p>
        </c:rich>
      </c:tx>
      <c:layout/>
      <c:overlay val="0"/>
      <c:spPr>
        <a:noFill/>
        <a:ln>
          <a:noFill/>
        </a:ln>
      </c:spPr>
    </c:title>
    <c:autoTitleDeleted val="0"/>
    <c:plotArea>
      <c:layout>
        <c:manualLayout>
          <c:layoutTarget val="inner"/>
          <c:xMode val="edge"/>
          <c:yMode val="edge"/>
          <c:x val="0.0665023"/>
          <c:y val="0.22913043"/>
          <c:w val="0.9283727"/>
          <c:h val="0.63030434"/>
        </c:manualLayout>
      </c:layout>
      <c:barChart>
        <c:barDir val="col"/>
        <c:grouping val="clustered"/>
        <c:varyColors val="0"/>
        <c:ser>
          <c:idx val="0"/>
          <c:order val="0"/>
          <c:tx>
            <c:strRef>
              <c:f>总收入</c:f>
              <c:strCache>
                <c:ptCount val="1"/>
                <c:pt idx="0">
                  <c:v>总收入</c:v>
                </c:pt>
              </c:strCache>
            </c:strRef>
          </c:tx>
          <c:spPr>
            <a:solidFill>
              <a:srgbClr val="4F81BD">
                <a:alpha val="85000"/>
              </a:srgbClr>
            </a:solidFill>
            <a:ln w="6350">
              <a:solidFill>
                <a:srgbClr val="FFFFFF"/>
              </a:solidFill>
              <a:prstDash val="solid"/>
            </a:ln>
          </c:spPr>
          <c:invertIfNegative val="0"/>
          <c:dLbls>
            <c:dLbl>
              <c:idx val="0"/>
              <c:layout/>
              <c:tx>
                <c:rich>
                  <a:bodyPr rot="0" spcFirstLastPara="0" vertOverflow="ellipsis" vert="horz" wrap="square" lIns="38100" tIns="19050" rIns="38100" bIns="19050" anchor="ctr" anchorCtr="1"/>
                  <a:lstStyle/>
                  <a:p>
                    <a:pPr>
                      <a:defRPr lang="zh-CN" sz="900" b="1" i="0" u="none" strike="noStrike" kern="1200" baseline="0">
                        <a:solidFill>
                          <a:srgbClr val="FFFFFF"/>
                        </a:solidFill>
                        <a:latin typeface="AR PL UKai CN"/>
                        <a:ea typeface="AR PL UKai CN"/>
                        <a:cs typeface="Lucida Sans"/>
                      </a:defRPr>
                    </a:pPr>
                    <a:r>
                      <a:rPr lang="zh-CN" sz="1000" b="0" i="0" u="none" strike="noStrike" baseline="0">
                        <a:solidFill>
                          <a:srgbClr val="000000"/>
                        </a:solidFill>
                        <a:latin typeface="AR PL UKai CN"/>
                        <a:ea typeface="AR PL UKai CN"/>
                        <a:cs typeface="Lucida Sans"/>
                      </a:rPr>
                      <a:t>1103.72</a:t>
                    </a:r>
                    <a:endParaRPr lang="zh-CN" sz="1000" b="0" i="0" u="none" strike="noStrike" baseline="0">
                      <a:solidFill>
                        <a:srgbClr val="000000"/>
                      </a:solidFill>
                      <a:latin typeface="AR PL UKai CN"/>
                      <a:ea typeface="AR PL UKai CN"/>
                      <a:cs typeface="Lucida Sans"/>
                    </a:endParaRPr>
                  </a:p>
                </c:rich>
              </c:tx>
              <c:numFmt formatCode="General" sourceLinked="0"/>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FFFFFF"/>
                      </a:solidFill>
                      <a:latin typeface="AR PL UKai CN"/>
                      <a:ea typeface="AR PL UKai CN"/>
                      <a:cs typeface="Lucida Sans"/>
                    </a:defRPr>
                  </a:pPr>
                </a:p>
              </c:txPr>
              <c:dLblPos val="inEnd"/>
              <c:showLegendKey val="0"/>
              <c:showVal val="1"/>
              <c:showCatName val="0"/>
              <c:showSerName val="0"/>
              <c:showPercent val="0"/>
              <c:showBubbleSize val="0"/>
              <c:extLst>
                <c:ext xmlns:c15="http://schemas.microsoft.com/office/drawing/2012/chart" uri="{CE6537A1-D6FC-4f65-9D91-7224C49458BB}"/>
              </c:extLst>
            </c:dLbl>
            <c:numFmt formatCode="General" sourceLinked="0"/>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FFFFFF"/>
                    </a:solidFill>
                    <a:latin typeface="AR PL UKai CN"/>
                    <a:ea typeface="AR PL UKai CN"/>
                    <a:cs typeface="Lucida San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{"2021年 ","2020年"}</c:f>
              <c:strCache>
                <c:ptCount val="2"/>
                <c:pt idx="0">
                  <c:v>2021年 </c:v>
                </c:pt>
                <c:pt idx="1">
                  <c:v>2020年</c:v>
                </c:pt>
              </c:strCache>
            </c:strRef>
          </c:cat>
          <c:val>
            <c:numRef>
              <c:f>{1066.27,818.37}</c:f>
              <c:numCache>
                <c:formatCode>General</c:formatCode>
                <c:ptCount val="2"/>
                <c:pt idx="0">
                  <c:v>1066.27</c:v>
                </c:pt>
                <c:pt idx="1">
                  <c:v>818.37</c:v>
                </c:pt>
              </c:numCache>
            </c:numRef>
          </c:val>
        </c:ser>
        <c:ser>
          <c:idx val="1"/>
          <c:order val="1"/>
          <c:tx>
            <c:strRef>
              <c:f>总支出</c:f>
              <c:strCache>
                <c:ptCount val="1"/>
                <c:pt idx="0">
                  <c:v>总支出</c:v>
                </c:pt>
              </c:strCache>
            </c:strRef>
          </c:tx>
          <c:spPr>
            <a:solidFill>
              <a:srgbClr val="C0504D">
                <a:alpha val="85000"/>
              </a:srgbClr>
            </a:solidFill>
            <a:ln w="6350">
              <a:solidFill>
                <a:srgbClr val="FFFFFF"/>
              </a:solidFill>
              <a:prstDash val="solid"/>
            </a:ln>
          </c:spPr>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r>
                      <a:rPr lang="zh-CN"/>
                      <a:t>1103.72</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inEnd"/>
              <c:showLegendKey val="0"/>
              <c:showVal val="1"/>
              <c:showCatName val="0"/>
              <c:showSerName val="0"/>
              <c:showPercent val="0"/>
              <c:showBubbleSize val="0"/>
              <c:extLst>
                <c:ext xmlns:c15="http://schemas.microsoft.com/office/drawing/2012/chart" uri="{CE6537A1-D6FC-4f65-9D91-7224C49458BB}"/>
              </c:extLst>
            </c:dLbl>
            <c:numFmt formatCode="General" sourceLinked="0"/>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FFFFFF"/>
                    </a:solidFill>
                    <a:latin typeface="AR PL UKai CN"/>
                    <a:ea typeface="AR PL UKai CN"/>
                    <a:cs typeface="Lucida San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{"2021年 ","2020年"}</c:f>
              <c:strCache>
                <c:ptCount val="2"/>
                <c:pt idx="0">
                  <c:v>2021年 </c:v>
                </c:pt>
                <c:pt idx="1">
                  <c:v>2020年</c:v>
                </c:pt>
              </c:strCache>
            </c:strRef>
          </c:cat>
          <c:val>
            <c:numRef>
              <c:f>{1072.22,818.37}</c:f>
              <c:numCache>
                <c:formatCode>General</c:formatCode>
                <c:ptCount val="2"/>
                <c:pt idx="0">
                  <c:v>1072.22</c:v>
                </c:pt>
                <c:pt idx="1">
                  <c:v>818.37</c:v>
                </c:pt>
              </c:numCache>
            </c:numRef>
          </c:val>
        </c:ser>
        <c:dLbls>
          <c:showLegendKey val="0"/>
          <c:showVal val="1"/>
          <c:showCatName val="0"/>
          <c:showSerName val="0"/>
          <c:showPercent val="0"/>
          <c:showBubbleSize val="0"/>
        </c:dLbls>
        <c:gapWidth val="65"/>
        <c:axId val="0"/>
        <c:axId val="1"/>
      </c:barChart>
      <c:catAx>
        <c:axId val="0"/>
        <c:scaling>
          <c:orientation val="minMax"/>
        </c:scaling>
        <c:delete val="0"/>
        <c:axPos val="b"/>
        <c:numFmt formatCode="General" sourceLinked="0"/>
        <c:majorTickMark val="none"/>
        <c:minorTickMark val="none"/>
        <c:tickLblPos val="nextTo"/>
        <c:spPr>
          <a:ln w="19050" cap="flat" cmpd="sng" algn="ctr">
            <a:solidFill>
              <a:srgbClr val="404040"/>
            </a:solidFill>
            <a:prstDash val="solid"/>
            <a:round/>
          </a:ln>
        </c:spPr>
        <c:txPr>
          <a:bodyPr rot="-60000000" spcFirstLastPara="0" vertOverflow="ellipsis" vert="horz" wrap="square" anchor="ctr" anchorCtr="1"/>
          <a:lstStyle/>
          <a:p>
            <a:pPr>
              <a:defRPr lang="zh-CN" sz="900" b="0" i="0" u="none" strike="noStrike" kern="1200" cap="all" baseline="0">
                <a:solidFill>
                  <a:srgbClr val="404040"/>
                </a:solidFill>
                <a:latin typeface="AR PL UKai CN"/>
                <a:ea typeface="AR PL UKai CN"/>
                <a:cs typeface="Lucida Sans"/>
              </a:defRPr>
            </a:pPr>
          </a:p>
        </c:txPr>
        <c:crossAx val="1"/>
        <c:crosses val="autoZero"/>
        <c:auto val="1"/>
        <c:lblAlgn val="ctr"/>
        <c:lblOffset val="100"/>
        <c:noMultiLvlLbl val="0"/>
      </c:catAx>
      <c:valAx>
        <c:axId val="1"/>
        <c:scaling>
          <c:orientation val="minMax"/>
          <c:max val="4500"/>
          <c:min val="0"/>
        </c:scaling>
        <c:delete val="1"/>
        <c:axPos val="l"/>
        <c:majorGridlines>
          <c:spPr>
            <a:ln w="6350" cap="flat" cmpd="sng" algn="ctr">
              <a:solidFill>
                <a:srgbClr val="868686"/>
              </a:solidFill>
              <a:prstDash val="solid"/>
              <a:round/>
            </a:ln>
          </c:spPr>
        </c:majorGridlines>
        <c:numFmt formatCode="General" sourceLinked="1"/>
        <c:majorTickMark val="none"/>
        <c:minorTickMark val="none"/>
        <c:tickLblPos val="none"/>
        <c:txPr>
          <a:bodyPr rot="-60000000" spcFirstLastPara="0" vertOverflow="ellipsis" vert="horz" wrap="square" anchor="ctr" anchorCtr="1"/>
          <a:lstStyle/>
          <a:p>
            <a:pPr>
              <a:defRPr lang="zh-CN" sz="900" b="0" i="0" u="none" strike="noStrike" kern="1200" baseline="0">
                <a:solidFill>
                  <a:srgbClr val="404040"/>
                </a:solidFill>
                <a:latin typeface="AR PL UKai CN"/>
                <a:ea typeface="AR PL UKai CN"/>
                <a:cs typeface="Lucida Sans"/>
              </a:defRPr>
            </a:pPr>
          </a:p>
        </c:txPr>
        <c:crossAx val="0"/>
        <c:crossesAt val="1"/>
        <c:crossBetween val="between"/>
      </c:valAx>
      <c:spPr>
        <a:noFill/>
        <a:ln>
          <a:noFill/>
        </a:ln>
      </c:spPr>
    </c:plotArea>
    <c:legend>
      <c:legendPos val="b"/>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AR PL UKai CN"/>
              <a:ea typeface="AR PL UKai CN"/>
              <a:cs typeface="Lucida Sans"/>
            </a:defRPr>
          </a:pPr>
        </a:p>
      </c:txPr>
    </c:legend>
    <c:plotVisOnly val="1"/>
    <c:dispBlanksAs val="gap"/>
    <c:showDLblsOverMax val="0"/>
    <c:extLst>
      <c:ext uri="{0b15fc19-7d7d-44ad-8c2d-2c3a37ce22c3}">
        <chartProps xmlns="https://web.wps.cn/et/2018/main" chartId="{2984c45c-d1e8-4a7f-a224-dc1c35edf1e1}"/>
      </c:ext>
    </c:extLst>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收入决算结构图</a:t>
            </a:r>
            <a:endParaRPr lang="zh-CN"/>
          </a:p>
        </c:rich>
      </c:tx>
      <c:layout/>
      <c:overlay val="0"/>
      <c:spPr>
        <a:noFill/>
        <a:ln>
          <a:noFill/>
        </a:ln>
      </c:spPr>
    </c:title>
    <c:autoTitleDeleted val="0"/>
    <c:plotArea>
      <c:layout/>
      <c:pieChart>
        <c:varyColors val="1"/>
        <c:ser>
          <c:idx val="0"/>
          <c:order val="0"/>
          <c:tx>
            <c:strRef>
              <c:f>'Sheet1'!$B$1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Lbls>
            <c:dLbl>
              <c:idx val="0"/>
              <c:delete val="1"/>
            </c:dLbl>
            <c:dLbl>
              <c:idx val="1"/>
              <c:delete val="1"/>
            </c:dLbl>
            <c:dLbl>
              <c:idx val="2"/>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'Sheet1'!$A$2:$A$4</c:f>
              <c:strCache>
                <c:ptCount val="3"/>
                <c:pt idx="0">
                  <c:v>项目支出结余和结转基金</c:v>
                </c:pt>
                <c:pt idx="1">
                  <c:v>项目支出</c:v>
                </c:pt>
                <c:pt idx="2">
                  <c:v>基本支出</c:v>
                </c:pt>
              </c:strCache>
            </c:strRef>
          </c:cat>
          <c:val>
            <c:numRef>
              <c:f>'Sheet1'!$B$2:$B$4</c:f>
              <c:numCache>
                <c:formatCode>General</c:formatCode>
                <c:ptCount val="3"/>
                <c:pt idx="0">
                  <c:v>249.69</c:v>
                </c:pt>
                <c:pt idx="1">
                  <c:v>223.34</c:v>
                </c:pt>
                <c:pt idx="2">
                  <c:v>599.19</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extLst>
      <c:ext uri="{0b15fc19-7d7d-44ad-8c2d-2c3a37ce22c3}">
        <chartProps xmlns="https://web.wps.cn/et/2018/main" chartId="{194ec110-8ef8-46f4-9f79-87bdaae8ec09}"/>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2021年 </c:f>
              <c:strCache>
                <c:ptCount val="1"/>
                <c:pt idx="0">
                  <c:v>2021年 </c:v>
                </c:pt>
              </c:strCache>
            </c:strRef>
          </c:tx>
          <c:spPr>
            <a:solidFill>
              <a:srgbClr val="4F81BD"/>
            </a:solidFill>
            <a:ln>
              <a:noFill/>
            </a:ln>
          </c:spPr>
          <c:invertIfNegative val="0"/>
          <c:dLbls>
            <c:dLbl>
              <c:idx val="0"/>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r>
                      <a:rPr lang="zh-CN"/>
                      <a:t>1103.72</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r>
                      <a:rPr lang="zh-CN"/>
                      <a:t>1103.72</a:t>
                    </a:r>
                    <a:endParaRPr lang="zh-CN"/>
                  </a:p>
                </c:rich>
              </c:tx>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{"一般公共预算财政拨款收入","一般公共预算财政拨款支出"}</c:f>
              <c:strCache>
                <c:ptCount val="2"/>
                <c:pt idx="0">
                  <c:v>一般公共预算财政拨款收入</c:v>
                </c:pt>
                <c:pt idx="1">
                  <c:v>一般公共预算财政拨款支出</c:v>
                </c:pt>
              </c:strCache>
            </c:strRef>
          </c:cat>
          <c:val>
            <c:numRef>
              <c:f>{1066.28,1072.22}</c:f>
              <c:numCache>
                <c:formatCode>General</c:formatCode>
                <c:ptCount val="2"/>
                <c:pt idx="0">
                  <c:v>1066.28</c:v>
                </c:pt>
                <c:pt idx="1">
                  <c:v>1072.22</c:v>
                </c:pt>
              </c:numCache>
            </c:numRef>
          </c:val>
        </c:ser>
        <c:ser>
          <c:idx val="1"/>
          <c:order val="1"/>
          <c:tx>
            <c:strRef>
              <c:f>2020年</c:f>
              <c:strCache>
                <c:ptCount val="1"/>
                <c:pt idx="0">
                  <c:v>2020年</c:v>
                </c:pt>
              </c:strCache>
            </c:strRef>
          </c:tx>
          <c:spPr>
            <a:solidFill>
              <a:srgbClr val="C0504D"/>
            </a:solidFill>
            <a:ln>
              <a:noFill/>
            </a:ln>
          </c:spPr>
          <c:invertIfNegative val="0"/>
          <c:dLbls>
            <c:numFmt formatCode="General"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{"一般公共预算财政拨款收入","一般公共预算财政拨款支出"}</c:f>
              <c:strCache>
                <c:ptCount val="2"/>
                <c:pt idx="0">
                  <c:v>一般公共预算财政拨款收入</c:v>
                </c:pt>
                <c:pt idx="1">
                  <c:v>一般公共预算财政拨款支出</c:v>
                </c:pt>
              </c:strCache>
            </c:strRef>
          </c:cat>
          <c:val>
            <c:numRef>
              <c:f>{818.37,818.37}</c:f>
              <c:numCache>
                <c:formatCode>General</c:formatCode>
                <c:ptCount val="2"/>
                <c:pt idx="0">
                  <c:v>818.37</c:v>
                </c:pt>
                <c:pt idx="1">
                  <c:v>818.37</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extLst>
      <c:ext uri="{0b15fc19-7d7d-44ad-8c2d-2c3a37ce22c3}">
        <chartProps xmlns="https://web.wps.cn/et/2018/main" chartId="{068468f1-f7bf-44ee-8d8b-8ccd927bc341}"/>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支出结构表</a:t>
            </a:r>
            <a:endParaRPr lang="zh-CN"/>
          </a:p>
        </c:rich>
      </c:tx>
      <c:layout/>
      <c:overlay val="0"/>
      <c:spPr>
        <a:noFill/>
        <a:ln>
          <a:noFill/>
        </a:ln>
      </c:spPr>
    </c:title>
    <c:autoTitleDeleted val="0"/>
    <c:plotArea>
      <c:layout/>
      <c:pieChart>
        <c:varyColors val="1"/>
        <c:ser>
          <c:idx val="0"/>
          <c:order val="0"/>
          <c:tx>
            <c:strRef>
              <c:f>'Sheet1 (3)'!$B$1</c:f>
              <c:strCache>
                <c:ptCount val="1"/>
                <c:pt idx="0">
                  <c:v>支出结构表</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BACC6"/>
              </a:solidFill>
              <a:ln w="19050">
                <a:solidFill>
                  <a:srgbClr val="FFFFFF"/>
                </a:solidFill>
                <a:prstDash val="solid"/>
              </a:ln>
            </c:spPr>
          </c:dPt>
          <c:dLbls>
            <c:dLbl>
              <c:idx val="0"/>
              <c:delete val="1"/>
            </c:dLbl>
            <c:dLbl>
              <c:idx val="1"/>
              <c:delete val="1"/>
            </c:dLbl>
            <c:dLbl>
              <c:idx val="2"/>
              <c:delete val="1"/>
            </c:dLbl>
            <c:dLbl>
              <c:idx val="3"/>
              <c:delete val="1"/>
            </c:dLbl>
            <c:dLbl>
              <c:idx val="4"/>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(3)'!$A$2:$A$6</c:f>
              <c:strCache>
                <c:ptCount val="5"/>
                <c:pt idx="0">
                  <c:v>一般公共服务支出</c:v>
                </c:pt>
                <c:pt idx="1">
                  <c:v>社会保障和就业支出</c:v>
                </c:pt>
                <c:pt idx="2">
                  <c:v>住房保障支出</c:v>
                </c:pt>
                <c:pt idx="3">
                  <c:v>卫生健康支出</c:v>
                </c:pt>
                <c:pt idx="4">
                  <c:v>农林水支出</c:v>
                </c:pt>
              </c:strCache>
            </c:strRef>
          </c:cat>
          <c:val>
            <c:numRef>
              <c:f>'Sheet1 (3)'!$B$2:$B$6</c:f>
              <c:numCache>
                <c:formatCode>General</c:formatCode>
                <c:ptCount val="5"/>
                <c:pt idx="0">
                  <c:v>341.92</c:v>
                </c:pt>
                <c:pt idx="1">
                  <c:v>62.34</c:v>
                </c:pt>
                <c:pt idx="2">
                  <c:v>46.21</c:v>
                </c:pt>
                <c:pt idx="3">
                  <c:v>27.79</c:v>
                </c:pt>
                <c:pt idx="4">
                  <c:v>120.92</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extLst>
      <c:ext uri="{0b15fc19-7d7d-44ad-8c2d-2c3a37ce22c3}">
        <chartProps xmlns="https://web.wps.cn/et/2018/main" chartId="{cef1f267-5ab1-4126-8fe3-0fae2491bb90}"/>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26</Pages>
  <Words>820</Words>
  <Characters>884</Characters>
  <Lines>552</Lines>
  <Paragraphs>235</Paragraphs>
  <TotalTime>52</TotalTime>
  <ScaleCrop>false</ScaleCrop>
  <LinksUpToDate>false</LinksUpToDate>
  <CharactersWithSpaces>928</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2021-09-18T11:28:00Z</dcterms:created>
  <dc:creator>张彬茜</dc:creator>
  <cp:lastModifiedBy>盐星星</cp:lastModifiedBy>
  <cp:lastPrinted>2022-08-31T08:48:00Z</cp:lastPrinted>
  <dcterms:modified xsi:type="dcterms:W3CDTF">2026-04-23T07:04:38Z</dcterms:modified>
  <dc:title>四川省***</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B4F85C016CCF4BD7BD5DC9FEBE6FB653_13</vt:lpwstr>
  </property>
  <property fmtid="{D5CDD505-2E9C-101B-9397-08002B2CF9AE}" pid="4" name="KSOTemplateDocerSaveRecord">
    <vt:lpwstr>eyJoZGlkIjoiNjVlZWIxMzI1ODY0YjBiM2MzMTFiM2NlNjkwYjJiYTkiLCJ1c2VySWQiOiIxMDYwOTQ0NDM1In0=</vt:lpwstr>
  </property>
</Properties>
</file>