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heme="minorHAnsi" w:hAnsiTheme="minorHAnsi" w:eastAsiaTheme="minorEastAsia" w:cstheme="minorBidi"/>
          <w:color w:val="auto"/>
          <w:kern w:val="2"/>
          <w:sz w:val="21"/>
          <w:szCs w:val="22"/>
          <w:lang w:val="zh-CN"/>
        </w:rPr>
        <w:id w:val="192428385"/>
        <w:docPartObj>
          <w:docPartGallery w:val="Table of Contents"/>
          <w:docPartUnique/>
        </w:docPartObj>
      </w:sdtPr>
      <w:sdtContent>
        <w:tbl>
          <w:tblPr>
            <w:tblStyle w:val="8"/>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8"/>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8"/>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8"/>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8"/>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pStyle w:val="14"/>
                                        </w:pPr>
                                        <w:r>
                                          <w:rPr>
                                            <w:lang w:val="zh-CN"/>
                                          </w:rPr>
                                          <w:t>目录</w:t>
                                        </w:r>
                                      </w:p>
                                      <w:p>
                                        <w:pPr>
                                          <w:spacing w:line="576"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金川县河西乡人民政府2022年度部门</w:t>
                                        </w:r>
                                      </w:p>
                                      <w:p>
                                        <w:pPr>
                                          <w:spacing w:line="576"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预算公开目录</w:t>
                                        </w:r>
                                      </w:p>
                                      <w:p>
                                        <w:pPr>
                                          <w:spacing w:line="576" w:lineRule="exact"/>
                                          <w:rPr>
                                            <w:rFonts w:hint="eastAsia" w:ascii="Times New Roman" w:hAnsi="Times New Roman" w:eastAsia="方正小标宋_GBK" w:cs="Times New Roman"/>
                                            <w:sz w:val="44"/>
                                            <w:szCs w:val="44"/>
                                          </w:rPr>
                                        </w:pPr>
                                      </w:p>
                                      <w:p>
                                        <w:pPr>
                                          <w:spacing w:line="576"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一、基本职能及主要工作</w:t>
                                        </w:r>
                                      </w:p>
                                      <w:p>
                                        <w:pPr>
                                          <w:spacing w:line="576"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ascii="Times New Roman" w:hAnsi="Times New Roman" w:eastAsia="方正楷体_GBK" w:cs="Times New Roman"/>
                                            <w:sz w:val="32"/>
                                            <w:szCs w:val="32"/>
                                          </w:rPr>
                                          <w:t>（一）</w:t>
                                        </w:r>
                                        <w:r>
                                          <w:rPr>
                                            <w:rFonts w:hint="eastAsia" w:ascii="楷体_GB2312" w:hAnsi="宋体" w:eastAsia="楷体_GB2312" w:cs="宋体"/>
                                            <w:b/>
                                            <w:bCs/>
                                            <w:kern w:val="0"/>
                                            <w:sz w:val="32"/>
                                            <w:szCs w:val="32"/>
                                          </w:rPr>
                                          <w:t>主要职责</w:t>
                                        </w:r>
                                      </w:p>
                                      <w:p>
                                        <w:pPr>
                                          <w:widowControl/>
                                          <w:spacing w:line="480" w:lineRule="atLeast"/>
                                          <w:ind w:firstLine="732" w:firstLineChars="2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（二）2022年主要工作安排情况</w:t>
                                        </w:r>
                                      </w:p>
                                      <w:p>
                                        <w:pPr>
                                          <w:spacing w:line="576" w:lineRule="exact"/>
                                          <w:jc w:val="left"/>
                                          <w:rPr>
                                            <w:rFonts w:ascii="Times New Roman" w:hAnsi="Times New Roman" w:eastAsia="方正黑体_GBK" w:cs="Times New Roman"/>
                                            <w:sz w:val="32"/>
                                            <w:szCs w:val="32"/>
                                          </w:rPr>
                                        </w:pPr>
                                        <w:r>
                                          <w:rPr>
                                            <w:rFonts w:hint="eastAsia" w:ascii="黑体" w:hAnsi="宋体" w:eastAsia="黑体" w:cs="宋体"/>
                                            <w:kern w:val="0"/>
                                            <w:sz w:val="32"/>
                                            <w:szCs w:val="32"/>
                                          </w:rPr>
                                          <w:t>二、部门预算单位构成</w:t>
                                        </w:r>
                                      </w:p>
                                      <w:p>
                                        <w:pPr>
                                          <w:spacing w:line="576" w:lineRule="exact"/>
                                          <w:jc w:val="left"/>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三、</w:t>
                                        </w:r>
                                        <w:r>
                                          <w:rPr>
                                            <w:rFonts w:ascii="Times New Roman" w:hAnsi="Times New Roman" w:eastAsia="方正黑体_GBK" w:cs="Times New Roman"/>
                                            <w:sz w:val="32"/>
                                            <w:szCs w:val="32"/>
                                          </w:rPr>
                                          <w:t>收支预算情况说明</w:t>
                                        </w:r>
                                      </w:p>
                                      <w:p>
                                        <w:pPr>
                                          <w:spacing w:line="576" w:lineRule="exact"/>
                                          <w:ind w:firstLine="640" w:firstLineChars="200"/>
                                          <w:jc w:val="left"/>
                                          <w:rPr>
                                            <w:rFonts w:ascii="Times New Roman" w:hAnsi="Times New Roman" w:eastAsia="方正楷体_GBK" w:cs="Times New Roman"/>
                                            <w:sz w:val="32"/>
                                            <w:szCs w:val="32"/>
                                          </w:rPr>
                                        </w:pPr>
                                        <w:r>
                                          <w:rPr>
                                            <w:rFonts w:ascii="Times New Roman" w:hAnsi="Times New Roman" w:eastAsia="方正楷体_GBK" w:cs="Times New Roman"/>
                                            <w:sz w:val="32"/>
                                            <w:szCs w:val="32"/>
                                          </w:rPr>
                                          <w:t>（一）收入预算情况</w:t>
                                        </w:r>
                                      </w:p>
                                      <w:p>
                                        <w:pPr>
                                          <w:spacing w:line="576" w:lineRule="exact"/>
                                          <w:ind w:firstLine="640" w:firstLineChars="200"/>
                                          <w:jc w:val="left"/>
                                          <w:rPr>
                                            <w:rFonts w:ascii="Times New Roman" w:hAnsi="Times New Roman" w:eastAsia="方正小标宋_GBK" w:cs="Times New Roman"/>
                                            <w:sz w:val="44"/>
                                            <w:szCs w:val="44"/>
                                          </w:rPr>
                                        </w:pPr>
                                        <w:r>
                                          <w:rPr>
                                            <w:rFonts w:ascii="Times New Roman" w:hAnsi="Times New Roman" w:eastAsia="方正楷体_GBK" w:cs="Times New Roman"/>
                                            <w:sz w:val="32"/>
                                            <w:szCs w:val="32"/>
                                          </w:rPr>
                                          <w:t>（二）支出预算情况</w:t>
                                        </w:r>
                                      </w:p>
                                      <w:p>
                                        <w:pPr>
                                          <w:spacing w:line="576" w:lineRule="exact"/>
                                          <w:jc w:val="left"/>
                                          <w:rPr>
                                            <w:rFonts w:ascii="Times New Roman" w:hAnsi="Times New Roman" w:eastAsia="方正黑体_GBK" w:cs="Times New Roman"/>
                                            <w:sz w:val="32"/>
                                            <w:szCs w:val="32"/>
                                          </w:rPr>
                                        </w:pPr>
                                        <w:r>
                                          <w:rPr>
                                            <w:rFonts w:hint="eastAsia" w:ascii="黑体" w:hAnsi="宋体" w:eastAsia="黑体" w:cs="宋体"/>
                                            <w:kern w:val="0"/>
                                            <w:sz w:val="32"/>
                                            <w:szCs w:val="32"/>
                                          </w:rPr>
                                          <w:t>四、财政拨款收支预算情况说明</w:t>
                                        </w:r>
                                      </w:p>
                                      <w:p>
                                        <w:pPr>
                                          <w:spacing w:line="576" w:lineRule="exact"/>
                                          <w:jc w:val="left"/>
                                          <w:rPr>
                                            <w:rFonts w:ascii="Times New Roman" w:hAnsi="Times New Roman" w:eastAsia="方正小标宋_GBK" w:cs="Times New Roman"/>
                                            <w:sz w:val="44"/>
                                            <w:szCs w:val="44"/>
                                          </w:rPr>
                                        </w:pPr>
                                        <w:r>
                                          <w:rPr>
                                            <w:rFonts w:ascii="Times New Roman" w:hAnsi="Times New Roman" w:eastAsia="方正黑体_GBK" w:cs="Times New Roman"/>
                                            <w:sz w:val="32"/>
                                            <w:szCs w:val="32"/>
                                          </w:rPr>
                                          <w:t>五、一般公共预算当年拨款情况说明</w:t>
                                        </w:r>
                                      </w:p>
                                      <w:p>
                                        <w:pPr>
                                          <w:spacing w:line="576" w:lineRule="exact"/>
                                          <w:ind w:firstLine="640" w:firstLineChars="20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（一）</w:t>
                                        </w:r>
                                        <w:r>
                                          <w:rPr>
                                            <w:rFonts w:ascii="Times New Roman" w:hAnsi="Times New Roman" w:eastAsia="方正仿宋_GBK" w:cs="Times New Roman"/>
                                            <w:sz w:val="32"/>
                                            <w:szCs w:val="32"/>
                                          </w:rPr>
                                          <w:t>一般公共预算当年拨款规模变化情况。</w:t>
                                        </w:r>
                                      </w:p>
                                      <w:p>
                                        <w:pPr>
                                          <w:spacing w:line="576" w:lineRule="exact"/>
                                          <w:ind w:firstLine="640" w:firstLineChars="200"/>
                                          <w:jc w:val="left"/>
                                          <w:rPr>
                                            <w:rFonts w:ascii="Times New Roman" w:hAnsi="Times New Roman" w:eastAsia="方正小标宋_GBK" w:cs="Times New Roman"/>
                                            <w:sz w:val="44"/>
                                            <w:szCs w:val="44"/>
                                          </w:rPr>
                                        </w:pPr>
                                        <w:r>
                                          <w:rPr>
                                            <w:rFonts w:ascii="Times New Roman" w:hAnsi="Times New Roman" w:eastAsia="方正楷体_GBK" w:cs="Times New Roman"/>
                                            <w:sz w:val="32"/>
                                            <w:szCs w:val="32"/>
                                          </w:rPr>
                                          <w:t>（二）</w:t>
                                        </w:r>
                                        <w:r>
                                          <w:rPr>
                                            <w:rFonts w:ascii="Times New Roman" w:hAnsi="Times New Roman" w:eastAsia="方正仿宋_GBK" w:cs="Times New Roman"/>
                                            <w:sz w:val="32"/>
                                            <w:szCs w:val="32"/>
                                          </w:rPr>
                                          <w:t>一般公共预算当年拨款结构情况。</w:t>
                                        </w:r>
                                      </w:p>
                                      <w:p>
                                        <w:pPr>
                                          <w:spacing w:line="576" w:lineRule="exact"/>
                                          <w:ind w:firstLine="640" w:firstLineChars="20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（三）</w:t>
                                        </w:r>
                                        <w:r>
                                          <w:rPr>
                                            <w:rFonts w:ascii="Times New Roman" w:hAnsi="Times New Roman" w:eastAsia="方正仿宋_GBK" w:cs="Times New Roman"/>
                                            <w:sz w:val="32"/>
                                            <w:szCs w:val="32"/>
                                          </w:rPr>
                                          <w:t>一般公共预算当年拨款具体使用情况。</w:t>
                                        </w:r>
                                      </w:p>
                                      <w:p>
                                        <w:pPr>
                                          <w:spacing w:line="576" w:lineRule="exact"/>
                                          <w:jc w:val="left"/>
                                          <w:rPr>
                                            <w:rFonts w:ascii="Times New Roman" w:hAnsi="Times New Roman" w:eastAsia="方正小标宋_GBK" w:cs="Times New Roman"/>
                                            <w:sz w:val="44"/>
                                            <w:szCs w:val="44"/>
                                          </w:rPr>
                                        </w:pPr>
                                        <w:r>
                                          <w:rPr>
                                            <w:rFonts w:ascii="Times New Roman" w:hAnsi="Times New Roman" w:eastAsia="方正黑体_GBK" w:cs="Times New Roman"/>
                                            <w:sz w:val="32"/>
                                            <w:szCs w:val="32"/>
                                          </w:rPr>
                                          <w:t>六、</w:t>
                                        </w:r>
                                        <w:r>
                                          <w:rPr>
                                            <w:rFonts w:hint="eastAsia" w:ascii="黑体" w:hAnsi="宋体" w:eastAsia="黑体" w:cs="宋体"/>
                                            <w:kern w:val="0"/>
                                            <w:sz w:val="32"/>
                                            <w:szCs w:val="32"/>
                                          </w:rPr>
                                          <w:t>一般公共预算基本支出情况说明</w:t>
                                        </w:r>
                                      </w:p>
                                      <w:p>
                                        <w:pPr>
                                          <w:spacing w:line="576"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七、“三公”经费财政拨款预算安排情况说明</w:t>
                                        </w:r>
                                      </w:p>
                                      <w:p>
                                        <w:pPr>
                                          <w:spacing w:line="576" w:lineRule="exact"/>
                                          <w:ind w:firstLine="643" w:firstLineChars="200"/>
                                          <w:jc w:val="left"/>
                                          <w:rPr>
                                            <w:rFonts w:ascii="Times New Roman" w:hAnsi="Times New Roman" w:eastAsia="方正小标宋_GBK" w:cs="Times New Roman"/>
                                            <w:sz w:val="44"/>
                                            <w:szCs w:val="44"/>
                                          </w:rPr>
                                        </w:pPr>
                                        <w:r>
                                          <w:rPr>
                                            <w:rFonts w:hint="eastAsia" w:ascii="楷体_GB2312" w:hAnsi="宋体" w:eastAsia="楷体_GB2312" w:cs="宋体"/>
                                            <w:b/>
                                            <w:bCs/>
                                            <w:kern w:val="0"/>
                                            <w:sz w:val="32"/>
                                            <w:szCs w:val="32"/>
                                          </w:rPr>
                                          <w:t>（一）因公出国（境）经费与2021年预算持平。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（二）公务接待费较2021年预算减少。</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 xml:space="preserve">   </w:t>
                                        </w:r>
                                        <w:r>
                                          <w:rPr>
                                            <w:rFonts w:hint="eastAsia" w:ascii="楷体_GB2312" w:hAnsi="宋体" w:eastAsia="楷体_GB2312" w:cs="宋体"/>
                                            <w:b/>
                                            <w:bCs/>
                                            <w:kern w:val="0"/>
                                            <w:sz w:val="32"/>
                                            <w:szCs w:val="32"/>
                                          </w:rPr>
                                          <w:t>（三）公务用车购置及运行维护费比2021年预算无变化</w:t>
                                        </w:r>
                                      </w:p>
                                      <w:p>
                                        <w:pPr>
                                          <w:spacing w:line="576"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八、政府性基金预算支出情况说明</w:t>
                                        </w:r>
                                      </w:p>
                                      <w:p>
                                        <w:pPr>
                                          <w:spacing w:line="576" w:lineRule="exact"/>
                                          <w:jc w:val="left"/>
                                          <w:rPr>
                                            <w:rFonts w:ascii="黑体" w:hAnsi="宋体" w:eastAsia="黑体" w:cs="宋体"/>
                                            <w:bCs/>
                                            <w:kern w:val="0"/>
                                            <w:sz w:val="32"/>
                                            <w:szCs w:val="32"/>
                                          </w:rPr>
                                        </w:pPr>
                                        <w:r>
                                          <w:rPr>
                                            <w:rFonts w:hint="eastAsia" w:ascii="黑体" w:hAnsi="宋体" w:eastAsia="黑体" w:cs="宋体"/>
                                            <w:bCs/>
                                            <w:kern w:val="0"/>
                                            <w:sz w:val="32"/>
                                            <w:szCs w:val="32"/>
                                          </w:rPr>
                                          <w:t>九、国有资本经营预算支出情况说明</w:t>
                                        </w:r>
                                      </w:p>
                                      <w:p>
                                        <w:pPr>
                                          <w:spacing w:line="560" w:lineRule="exact"/>
                                          <w:rPr>
                                            <w:rFonts w:ascii="黑体" w:hAnsi="宋体" w:eastAsia="黑体" w:cs="宋体"/>
                                            <w:kern w:val="0"/>
                                            <w:sz w:val="32"/>
                                            <w:szCs w:val="32"/>
                                          </w:rPr>
                                        </w:pPr>
                                        <w:r>
                                          <w:rPr>
                                            <w:rFonts w:hint="eastAsia" w:ascii="黑体" w:hAnsi="宋体" w:eastAsia="黑体" w:cs="宋体"/>
                                            <w:bCs/>
                                            <w:kern w:val="0"/>
                                            <w:sz w:val="32"/>
                                            <w:szCs w:val="32"/>
                                          </w:rPr>
                                          <w:t>十、其他重要</w:t>
                                        </w:r>
                                        <w:r>
                                          <w:rPr>
                                            <w:rFonts w:hint="eastAsia" w:ascii="黑体" w:hAnsi="宋体" w:eastAsia="黑体" w:cs="宋体"/>
                                            <w:kern w:val="0"/>
                                            <w:sz w:val="32"/>
                                            <w:szCs w:val="32"/>
                                          </w:rPr>
                                          <w:t>事项的情况说明</w:t>
                                        </w:r>
                                      </w:p>
                                      <w:p>
                                        <w:pPr>
                                          <w:spacing w:line="560" w:lineRule="exact"/>
                                          <w:ind w:firstLine="643" w:firstLineChars="200"/>
                                          <w:rPr>
                                            <w:rFonts w:ascii="方正小标宋简体" w:hAnsi="宋体" w:eastAsia="仿宋_GB2312" w:cs="宋体"/>
                                            <w:spacing w:val="-14"/>
                                            <w:kern w:val="0"/>
                                            <w:sz w:val="32"/>
                                            <w:szCs w:val="32"/>
                                          </w:rPr>
                                        </w:pP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p>
                                      <w:p>
                                        <w:pPr>
                                          <w:pStyle w:val="3"/>
                                          <w:ind w:left="0"/>
                                          <w:rPr>
                                            <w:rFonts w:ascii="黑体" w:hAnsi="宋体" w:eastAsia="黑体" w:cs="宋体"/>
                                            <w:sz w:val="32"/>
                                            <w:szCs w:val="32"/>
                                          </w:rPr>
                                        </w:pPr>
                                        <w:r>
                                          <w:rPr>
                                            <w:rFonts w:hint="eastAsia" w:ascii="黑体" w:hAnsi="宋体" w:eastAsia="黑体" w:cs="宋体"/>
                                            <w:sz w:val="32"/>
                                            <w:szCs w:val="32"/>
                                          </w:rPr>
                                          <w:t>十一、名词解释</w:t>
                                        </w:r>
                                      </w:p>
                                      <w:p>
                                        <w:pPr>
                                          <w:pStyle w:val="3"/>
                                          <w:ind w:left="0"/>
                                          <w:rPr>
                                            <w:rFonts w:ascii="黑体" w:hAnsi="宋体" w:eastAsia="黑体" w:cs="宋体"/>
                                            <w:sz w:val="32"/>
                                            <w:szCs w:val="32"/>
                                          </w:rPr>
                                        </w:pPr>
                                        <w:r>
                                          <w:rPr>
                                            <w:rFonts w:ascii="黑体" w:hAnsi="宋体" w:eastAsia="黑体" w:cs="宋体"/>
                                            <w:sz w:val="32"/>
                                            <w:szCs w:val="32"/>
                                          </w:rPr>
                                          <w:t xml:space="preserve">                          </w:t>
                                        </w:r>
                                      </w:p>
                                      <w:p>
                                        <w:pPr>
                                          <w:pStyle w:val="3"/>
                                          <w:ind w:left="0"/>
                                          <w:rPr>
                                            <w:rFonts w:ascii="黑体" w:hAnsi="宋体" w:eastAsia="黑体" w:cs="宋体"/>
                                            <w:sz w:val="32"/>
                                            <w:szCs w:val="32"/>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方正小标宋简体" w:hAnsi="宋体" w:eastAsia="方正小标宋简体" w:cs="宋体"/>
                                            <w:sz w:val="44"/>
                                            <w:szCs w:val="44"/>
                                          </w:rPr>
                                        </w:pPr>
                                      </w:p>
                                      <w:p>
                                        <w:pPr>
                                          <w:pStyle w:val="3"/>
                                          <w:ind w:left="0" w:firstLine="2200" w:firstLineChars="500"/>
                                          <w:rPr>
                                            <w:rFonts w:ascii="楷体_GB2312" w:hAnsi="宋体" w:eastAsia="楷体_GB2312" w:cs="宋体"/>
                                            <w:b/>
                                            <w:bCs/>
                                            <w:sz w:val="32"/>
                                            <w:szCs w:val="32"/>
                                          </w:rPr>
                                        </w:pPr>
                                        <w:r>
                                          <w:rPr>
                                            <w:rFonts w:hint="eastAsia" w:ascii="方正小标宋简体" w:hAnsi="宋体" w:eastAsia="方正小标宋简体" w:cs="宋体"/>
                                            <w:sz w:val="44"/>
                                            <w:szCs w:val="44"/>
                                          </w:rPr>
                                          <w:t>金川县河西乡人民政府</w:t>
                                        </w:r>
                                      </w:p>
                                      <w:p>
                                        <w:pPr>
                                          <w:spacing w:line="560" w:lineRule="exact"/>
                                          <w:ind w:left="878" w:leftChars="418" w:firstLine="880" w:firstLineChars="2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2022年部门预算编制说明</w:t>
                                        </w:r>
                                      </w:p>
                                      <w:p>
                                        <w:pPr>
                                          <w:spacing w:line="560" w:lineRule="exact"/>
                                          <w:jc w:val="left"/>
                                          <w:rPr>
                                            <w:rFonts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（二）2022年主要工作安排情况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rPr>
                                          <w:t>2022年主要工作任务是严格按照2022年的预算数和县财政局下达的预算进</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付，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2022年独立编制单位机构数为 1个，财政供养人员编制为33名，其中行政编制 18名，行政工勤编制1名，事业编制14名（其中参照公务员法管理人员编制 0人）；2022年实际财政供养人</w:t>
                                        </w:r>
                                        <w:r>
                                          <w:rPr>
                                            <w:rFonts w:hint="eastAsia" w:ascii="宋体" w:hAnsi="宋体" w:eastAsia="仿宋_GB2312" w:cs="宋体"/>
                                            <w:spacing w:val="-14"/>
                                            <w:kern w:val="0"/>
                                            <w:sz w:val="32"/>
                                            <w:szCs w:val="32"/>
                                            <w:highlight w:val="none"/>
                                          </w:rPr>
                                          <w:t>员</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其中：行政编制18名，行政工勤编制 1名，事业编制 14名。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所有收入和支出均纳入部门预算管理。收入包括：一般公共预算拨款收入；支出包括：一般公共服务支出、社会保障和就业支出、卫生健康支出、农林水支出、住房保障支出、其他支出。河西乡财政所2022年收支总预算660.49万元，比2021年收支预算总数增加18.2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河西乡财政所2022年收入预算660.49万元，其中：一般公共预算拨款收入660.49万元，占100%。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河西乡财政所2022年支出预算660.49万元，其中：基本支出660.49万元，占100%。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河西</w:t>
                                        </w:r>
                                        <w:r>
                                          <w:rPr>
                                            <w:rFonts w:hint="eastAsia" w:ascii="宋体" w:hAnsi="宋体" w:eastAsia="仿宋_GB2312" w:cs="宋体"/>
                                            <w:spacing w:val="-14"/>
                                            <w:kern w:val="0"/>
                                            <w:sz w:val="32"/>
                                            <w:szCs w:val="32"/>
                                          </w:rPr>
                                          <w:t>乡2022年财政拨款收支总预算660.</w:t>
                                        </w:r>
                                        <w:r>
                                          <w:rPr>
                                            <w:rFonts w:hint="eastAsia" w:ascii="宋体" w:hAnsi="宋体" w:eastAsia="仿宋_GB2312" w:cs="宋体"/>
                                            <w:spacing w:val="-14"/>
                                            <w:kern w:val="0"/>
                                            <w:sz w:val="32"/>
                                            <w:szCs w:val="32"/>
                                            <w:highlight w:val="yellow"/>
                                            <w:lang w:val="en-US" w:eastAsia="zh-CN"/>
                                          </w:rPr>
                                          <w:t>4，</w:t>
                                        </w:r>
                                        <w:r>
                                          <w:rPr>
                                            <w:rFonts w:hint="eastAsia" w:ascii="宋体" w:hAnsi="宋体" w:eastAsia="仿宋_GB2312" w:cs="宋体"/>
                                            <w:spacing w:val="-14"/>
                                            <w:kern w:val="0"/>
                                            <w:sz w:val="32"/>
                                            <w:szCs w:val="32"/>
                                          </w:rPr>
                                          <w:t>比2021年收支预算总数增加18.2万元，主要是因为经费标准变更及社会保障和就业支出增加。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660.49万元，支出包括：一般公共服务支出215.97万元、社会保障和就业支出74.34万元、卫生健康支出28.26万元，农林水支出296.68万元，住房保障支出37.17万元，其他支出7.68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河西乡2022年财政拨款收支总预算660.</w:t>
                                        </w:r>
                                        <w:r>
                                          <w:rPr>
                                            <w:rFonts w:hint="eastAsia" w:ascii="宋体" w:hAnsi="宋体" w:eastAsia="仿宋_GB2312" w:cs="宋体"/>
                                            <w:spacing w:val="-14"/>
                                            <w:kern w:val="0"/>
                                            <w:sz w:val="32"/>
                                            <w:szCs w:val="32"/>
                                            <w:highlight w:val="none"/>
                                          </w:rPr>
                                          <w:t>4</w:t>
                                        </w:r>
                                        <w:r>
                                          <w:rPr>
                                            <w:rFonts w:hint="eastAsia" w:ascii="宋体" w:hAnsi="宋体" w:eastAsia="仿宋_GB2312" w:cs="宋体"/>
                                            <w:spacing w:val="-14"/>
                                            <w:kern w:val="0"/>
                                            <w:sz w:val="32"/>
                                            <w:szCs w:val="32"/>
                                            <w:highlight w:val="yellow"/>
                                            <w:lang w:eastAsia="zh-CN"/>
                                          </w:rPr>
                                          <w:t>，</w:t>
                                        </w:r>
                                        <w:r>
                                          <w:rPr>
                                            <w:rFonts w:hint="eastAsia" w:ascii="宋体" w:hAnsi="宋体" w:eastAsia="仿宋_GB2312" w:cs="宋体"/>
                                            <w:spacing w:val="-14"/>
                                            <w:kern w:val="0"/>
                                            <w:sz w:val="32"/>
                                            <w:szCs w:val="32"/>
                                          </w:rPr>
                                          <w:t>比2021年收支预算总数增加18.2万元，主要是因为人员增加、经费标准变更及社会保障和就业支出增加。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一般公共服务支出215.97万元，占32.7%；社会保障和就业支出74.34万元，占11.26%；卫生健康支出28.26万元，占4.28%；农林水支出296.68万元，占44.92%；住房保障支出37.17万元，占5.63%；其他支出7.</w:t>
                                        </w:r>
                                        <w:r>
                                          <w:rPr>
                                            <w:rFonts w:hint="eastAsia" w:ascii="宋体" w:hAnsi="宋体" w:eastAsia="仿宋_GB2312" w:cs="宋体"/>
                                            <w:spacing w:val="-14"/>
                                            <w:kern w:val="0"/>
                                            <w:sz w:val="32"/>
                                            <w:szCs w:val="32"/>
                                            <w:highlight w:val="none"/>
                                            <w:lang w:val="en-US" w:eastAsia="zh-CN"/>
                                          </w:rPr>
                                          <w:t>6</w:t>
                                        </w:r>
                                        <w:r>
                                          <w:rPr>
                                            <w:rFonts w:hint="eastAsia" w:ascii="宋体" w:hAnsi="宋体" w:eastAsia="仿宋_GB2312" w:cs="宋体"/>
                                            <w:spacing w:val="-14"/>
                                            <w:kern w:val="0"/>
                                            <w:sz w:val="32"/>
                                            <w:szCs w:val="32"/>
                                            <w:lang w:eastAsia="zh-CN"/>
                                          </w:rPr>
                                          <w:t>，</w:t>
                                        </w:r>
                                        <w:bookmarkStart w:id="0" w:name="_GoBack"/>
                                        <w:bookmarkEnd w:id="0"/>
                                        <w:r>
                                          <w:rPr>
                                            <w:rFonts w:hint="eastAsia" w:ascii="宋体" w:hAnsi="宋体" w:eastAsia="仿宋_GB2312" w:cs="宋体"/>
                                            <w:spacing w:val="-14"/>
                                            <w:kern w:val="0"/>
                                            <w:sz w:val="32"/>
                                            <w:szCs w:val="32"/>
                                          </w:rPr>
                                          <w:t>占1.16%。</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w:t>
                                        </w:r>
                                        <w:r>
                                          <w:rPr>
                                            <w:rFonts w:hint="eastAsia" w:ascii="楷体_GB2312" w:hAnsi="宋体" w:eastAsia="仿宋_GB2312" w:cs="宋体"/>
                                            <w:b/>
                                            <w:bCs/>
                                            <w:spacing w:val="-14"/>
                                            <w:kern w:val="0"/>
                                            <w:sz w:val="32"/>
                                            <w:szCs w:val="32"/>
                                            <w:highlight w:val="none"/>
                                          </w:rPr>
                                          <w:t>服</w:t>
                                        </w:r>
                                        <w:r>
                                          <w:rPr>
                                            <w:rFonts w:hint="eastAsia" w:ascii="楷体_GB2312" w:hAnsi="宋体" w:eastAsia="仿宋_GB2312" w:cs="宋体"/>
                                            <w:b/>
                                            <w:bCs/>
                                            <w:spacing w:val="-14"/>
                                            <w:kern w:val="0"/>
                                            <w:sz w:val="32"/>
                                            <w:szCs w:val="32"/>
                                          </w:rPr>
                                          <w:t>类：215.97万元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hAnsi="宋体" w:eastAsia="仿宋_GB2312" w:cs="宋体"/>
                                            <w:spacing w:val="-14"/>
                                            <w:kern w:val="0"/>
                                            <w:sz w:val="32"/>
                                            <w:szCs w:val="32"/>
                                          </w:rPr>
                                          <w:t>日常人员经费11.81万元。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一般公共服务201（类）人大事务01（款）人大会议04（项）：</w:t>
                                        </w:r>
                                        <w:r>
                                          <w:rPr>
                                            <w:rFonts w:hint="eastAsia" w:ascii="仿宋_GB2312" w:hAnsi="宋体" w:eastAsia="仿宋_GB2312" w:cs="宋体"/>
                                            <w:spacing w:val="-14"/>
                                            <w:kern w:val="0"/>
                                            <w:sz w:val="32"/>
                                            <w:szCs w:val="32"/>
                                          </w:rPr>
                                          <w:t>公用经费1.02万元。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日常人员经费129.48万元。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一般公共服务201（类）政府办公厅（室）及相关机构事务03（款）行政运行01项）：</w:t>
                                        </w:r>
                                        <w:r>
                                          <w:rPr>
                                            <w:rFonts w:hint="eastAsia" w:ascii="仿宋_GB2312" w:hAnsi="宋体" w:eastAsia="仿宋_GB2312" w:cs="宋体"/>
                                            <w:spacing w:val="-14"/>
                                            <w:kern w:val="0"/>
                                            <w:sz w:val="32"/>
                                            <w:szCs w:val="32"/>
                                          </w:rPr>
                                          <w:t>公用经费16.1万元。</w:t>
                                        </w:r>
                                      </w:p>
                                      <w:p>
                                        <w:pPr>
                                          <w:numPr>
                                            <w:ilvl w:val="0"/>
                                            <w:numId w:val="2"/>
                                          </w:numPr>
                                          <w:spacing w:line="560" w:lineRule="exact"/>
                                          <w:ind w:firstLine="960" w:firstLineChars="300"/>
                                          <w:rPr>
                                            <w:rFonts w:ascii="仿宋_GB2312" w:hAnsi="宋体" w:eastAsia="仿宋_GB2312" w:cs="宋体"/>
                                            <w:spacing w:val="-14"/>
                                            <w:kern w:val="0"/>
                                            <w:sz w:val="32"/>
                                            <w:szCs w:val="32"/>
                                          </w:rPr>
                                        </w:pPr>
                                        <w:r>
                                          <w:rPr>
                                            <w:rFonts w:hint="eastAsia" w:ascii="仿宋_GB2312" w:eastAsia="仿宋_GB2312"/>
                                            <w:sz w:val="32"/>
                                            <w:szCs w:val="32"/>
                                          </w:rPr>
                                          <w:t>一般公共服务201（类）政府办公厅及相关机构事务31（款）行政运行01（项）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日常人员经费52.35万元。</w:t>
                                        </w:r>
                                      </w:p>
                                      <w:p>
                                        <w:pPr>
                                          <w:numPr>
                                            <w:ilvl w:val="0"/>
                                            <w:numId w:val="2"/>
                                          </w:numPr>
                                          <w:spacing w:line="560" w:lineRule="exact"/>
                                          <w:ind w:firstLine="960" w:firstLineChars="300"/>
                                          <w:rPr>
                                            <w:rFonts w:ascii="仿宋_GB2312" w:hAnsi="宋体" w:eastAsia="仿宋_GB2312" w:cs="宋体"/>
                                            <w:spacing w:val="-14"/>
                                            <w:kern w:val="0"/>
                                            <w:sz w:val="32"/>
                                            <w:szCs w:val="32"/>
                                          </w:rPr>
                                        </w:pPr>
                                        <w:r>
                                          <w:rPr>
                                            <w:rFonts w:hint="eastAsia" w:ascii="仿宋_GB2312" w:eastAsia="仿宋_GB2312"/>
                                            <w:sz w:val="32"/>
                                            <w:szCs w:val="32"/>
                                          </w:rPr>
                                          <w:t>一般公共服务201（类）政府办公厅及相关机构事务31（款）行政运行01（项</w:t>
                                        </w:r>
                                        <w:r>
                                          <w:rPr>
                                            <w:rFonts w:hint="eastAsia" w:ascii="仿宋_GB2312" w:eastAsia="仿宋_GB2312"/>
                                            <w:sz w:val="32"/>
                                            <w:szCs w:val="32"/>
                                            <w:highlight w:val="none"/>
                                            <w:lang w:eastAsia="zh-CN"/>
                                          </w:rPr>
                                          <w:t>）</w:t>
                                        </w:r>
                                        <w:r>
                                          <w:rPr>
                                            <w:rFonts w:hint="eastAsia" w:ascii="仿宋_GB2312" w:eastAsia="仿宋_GB2312"/>
                                            <w:sz w:val="32"/>
                                            <w:szCs w:val="32"/>
                                          </w:rPr>
                                          <w:t>：</w:t>
                                        </w:r>
                                        <w:r>
                                          <w:rPr>
                                            <w:rFonts w:hint="eastAsia" w:ascii="仿宋_GB2312" w:hAnsi="宋体" w:eastAsia="仿宋_GB2312" w:cs="宋体"/>
                                            <w:spacing w:val="-14"/>
                                            <w:kern w:val="0"/>
                                            <w:sz w:val="32"/>
                                            <w:szCs w:val="32"/>
                                          </w:rPr>
                                          <w:t>公用经费5.2万元。</w:t>
                                        </w:r>
                                      </w:p>
                                      <w:p>
                                        <w:pPr>
                                          <w:spacing w:line="560" w:lineRule="exact"/>
                                          <w:ind w:firstLine="587" w:firstLineChars="200"/>
                                          <w:rPr>
                                            <w:rFonts w:ascii="仿宋_GB2312" w:eastAsia="仿宋_GB2312"/>
                                            <w:b/>
                                            <w:bCs/>
                                            <w:sz w:val="32"/>
                                            <w:szCs w:val="32"/>
                                          </w:rPr>
                                        </w:pPr>
                                        <w:r>
                                          <w:rPr>
                                            <w:rFonts w:hint="eastAsia" w:ascii="楷体_GB2312" w:hAnsi="宋体" w:eastAsia="仿宋_GB2312" w:cs="宋体"/>
                                            <w:b/>
                                            <w:bCs/>
                                            <w:spacing w:val="-14"/>
                                            <w:kern w:val="0"/>
                                            <w:sz w:val="32"/>
                                            <w:szCs w:val="32"/>
                                          </w:rPr>
                                          <w:t>2.208</w:t>
                                        </w:r>
                                        <w:r>
                                          <w:rPr>
                                            <w:rFonts w:hint="eastAsia" w:ascii="仿宋_GB2312" w:eastAsia="仿宋_GB2312"/>
                                            <w:b/>
                                            <w:bCs/>
                                            <w:sz w:val="32"/>
                                            <w:szCs w:val="32"/>
                                          </w:rPr>
                                          <w:t>社会保障和就业支出（类）:74.34万元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机关事业单位基本养老保险缴费支出05（项）：</w:t>
                                        </w:r>
                                        <w:r>
                                          <w:rPr>
                                            <w:rFonts w:hint="eastAsia" w:ascii="仿宋_GB2312" w:hAnsi="宋体" w:eastAsia="仿宋_GB2312" w:cs="宋体"/>
                                            <w:spacing w:val="-14"/>
                                            <w:kern w:val="0"/>
                                            <w:sz w:val="32"/>
                                            <w:szCs w:val="32"/>
                                          </w:rPr>
                                          <w:t>日常人员经费49.56万元</w:t>
                                        </w:r>
                                        <w:r>
                                          <w:rPr>
                                            <w:rFonts w:hint="eastAsia" w:ascii="仿宋_GB2312" w:eastAsia="仿宋_GB2312"/>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（2）社会保障和就业支出208（类）行政事业单位离退休05（款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机关事业单位职业年金缴费支出06（项）：</w:t>
                                        </w:r>
                                        <w:r>
                                          <w:rPr>
                                            <w:rFonts w:hint="eastAsia" w:ascii="仿宋_GB2312" w:hAnsi="宋体" w:eastAsia="仿宋_GB2312" w:cs="宋体"/>
                                            <w:spacing w:val="-14"/>
                                            <w:kern w:val="0"/>
                                            <w:sz w:val="32"/>
                                            <w:szCs w:val="32"/>
                                          </w:rPr>
                                          <w:t>日常人员经费 24.78万元</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3.210医疗卫生与计划生育支出（类）：</w:t>
                                        </w:r>
                                        <w:r>
                                          <w:rPr>
                                            <w:rFonts w:hint="eastAsia" w:ascii="宋体" w:hAnsi="宋体" w:eastAsia="仿宋_GB2312" w:cs="宋体"/>
                                            <w:spacing w:val="-14"/>
                                            <w:kern w:val="0"/>
                                            <w:sz w:val="32"/>
                                            <w:szCs w:val="32"/>
                                          </w:rPr>
                                          <w:t>28.66</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日常人员经费21.68万元。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sz w:val="32"/>
                                            <w:szCs w:val="32"/>
                                          </w:rPr>
                                          <w:t>（2）医疗卫生与计划生育支出210（类）行政事业单位医疗11（款）公务员医疗补助03（项）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 xml:space="preserve">日常人员经费6.98万元。       </w:t>
                                        </w:r>
                                        <w:r>
                                          <w:rPr>
                                            <w:rFonts w:hint="eastAsia" w:ascii="仿宋_GB2312" w:eastAsia="仿宋_GB2312"/>
                                            <w:b/>
                                            <w:bCs/>
                                            <w:sz w:val="32"/>
                                            <w:szCs w:val="32"/>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  296.68万元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（1）农林水支出213（类）农业01（款）事业运行04（项）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日常人员经费127.41万元。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（2）农林水支出213（类）农村综合改革07（款）对村民委员会和村党支部的补助05（项）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hAnsi="宋体" w:eastAsia="仿宋_GB2312" w:cs="宋体"/>
                                            <w:spacing w:val="-14"/>
                                            <w:kern w:val="0"/>
                                            <w:sz w:val="32"/>
                                            <w:szCs w:val="32"/>
                                          </w:rPr>
                                          <w:t>经费0万元。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eastAsia="仿宋_GB2312"/>
                                            <w:b/>
                                            <w:bCs/>
                                            <w:sz w:val="32"/>
                                            <w:szCs w:val="32"/>
                                          </w:rPr>
                                          <w:t>5.221住房保障支出（类）：37.17万元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住房保障支出221（类）住房改革支出02（款）住房公积金01（项）</w:t>
                                        </w:r>
                                        <w:r>
                                          <w:rPr>
                                            <w:rFonts w:hint="eastAsia" w:ascii="楷体_GB2312" w:hAnsi="宋体" w:eastAsia="仿宋_GB2312" w:cs="宋体"/>
                                            <w:spacing w:val="-14"/>
                                            <w:kern w:val="0"/>
                                            <w:sz w:val="32"/>
                                            <w:szCs w:val="32"/>
                                          </w:rPr>
                                          <w:t>：全乡职工住房公积金</w:t>
                                        </w:r>
                                        <w:r>
                                          <w:rPr>
                                            <w:rFonts w:hint="eastAsia" w:ascii="仿宋_GB2312" w:eastAsia="仿宋_GB2312"/>
                                            <w:sz w:val="32"/>
                                            <w:szCs w:val="32"/>
                                          </w:rPr>
                                          <w:t>37.17万元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eastAsia="仿宋_GB2312"/>
                                            <w:b/>
                                            <w:bCs/>
                                            <w:sz w:val="32"/>
                                            <w:szCs w:val="32"/>
                                          </w:rPr>
                                          <w:t>其他支出（类）：7.68万元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sz w:val="32"/>
                                            <w:szCs w:val="32"/>
                                          </w:rPr>
                                          <w:t>其他支出229（类）其他支出99（款）其他支出99（项）</w:t>
                                        </w:r>
                                        <w:r>
                                          <w:rPr>
                                            <w:rFonts w:hint="eastAsia" w:ascii="仿宋_GB2312" w:eastAsia="仿宋_GB2312"/>
                                            <w:sz w:val="32"/>
                                            <w:szCs w:val="32"/>
                                            <w:highlight w:val="none"/>
                                            <w:lang w:eastAsia="zh-CN"/>
                                          </w:rPr>
                                          <w:t>：</w:t>
                                        </w:r>
                                        <w:r>
                                          <w:rPr>
                                            <w:rFonts w:hint="eastAsia" w:ascii="仿宋_GB2312" w:eastAsia="仿宋_GB2312"/>
                                            <w:sz w:val="32"/>
                                            <w:szCs w:val="32"/>
                                          </w:rPr>
                                          <w:t>项目</w:t>
                                        </w:r>
                                        <w:r>
                                          <w:rPr>
                                            <w:rFonts w:hint="eastAsia" w:ascii="仿宋_GB2312" w:hAnsi="宋体" w:eastAsia="仿宋_GB2312" w:cs="宋体"/>
                                            <w:spacing w:val="-14"/>
                                            <w:kern w:val="0"/>
                                            <w:sz w:val="32"/>
                                            <w:szCs w:val="32"/>
                                          </w:rPr>
                                          <w:t>经费7.68万元。</w:t>
                                        </w:r>
                                      </w:p>
                                      <w:p>
                                        <w:pPr>
                                          <w:widowControl/>
                                          <w:numPr>
                                            <w:ilvl w:val="0"/>
                                            <w:numId w:val="3"/>
                                          </w:numPr>
                                          <w:spacing w:line="480" w:lineRule="atLeast"/>
                                          <w:rPr>
                                            <w:rFonts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河西</w:t>
                                        </w:r>
                                        <w:r>
                                          <w:rPr>
                                            <w:rFonts w:hint="eastAsia" w:ascii="宋体" w:hAnsi="宋体" w:eastAsia="仿宋_GB2312" w:cs="宋体"/>
                                            <w:spacing w:val="-14"/>
                                            <w:kern w:val="0"/>
                                            <w:sz w:val="32"/>
                                            <w:szCs w:val="32"/>
                                          </w:rPr>
                                          <w:t>乡人民政府</w:t>
                                        </w:r>
                                        <w:r>
                                          <w:rPr>
                                            <w:rFonts w:hint="eastAsia" w:ascii="仿宋_GB2312" w:hAnsi="宋体" w:eastAsia="仿宋_GB2312" w:cs="宋体"/>
                                            <w:kern w:val="0"/>
                                            <w:sz w:val="32"/>
                                            <w:szCs w:val="32"/>
                                          </w:rPr>
                                          <w:t>2022年一般公共预算基本支出660.49万元，其中：工资福利支出457.07万元，主要包括：基本工资、津贴补贴、奖金、社会保险缴费等支出。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商品和服务支出33.83万元，主要包括：办公费、水费、电费、邮电费、印刷费、差旅费、维修（护）费、劳务费等支出。</w:t>
                                        </w:r>
                                      </w:p>
                                      <w:p>
                                        <w:pPr>
                                          <w:widowControl/>
                                          <w:spacing w:line="480" w:lineRule="atLeast"/>
                                          <w:ind w:left="7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对个人和家庭的补助4.15万元，主要包括退休人员慰问金、三老干部生活补助等。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河西</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rPr>
                                          <w:t>2022年“三公”经费财政拨款预算数9万元，其中：因公出国（境）经费0万元，公务接待费0万元，公务用车购置及运行维护费8.58万元。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（一）因公出国（境）经费与2021年预算持平。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2021年与2022年均无因公出国（境）经费。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（二）公务接待费较2021年预算减少。</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河西</w:t>
                                        </w:r>
                                        <w:r>
                                          <w:rPr>
                                            <w:rFonts w:hint="eastAsia" w:ascii="仿宋_GB2312" w:hAnsi="宋体" w:eastAsia="仿宋_GB2312" w:cs="宋体"/>
                                            <w:spacing w:val="-14"/>
                                            <w:kern w:val="0"/>
                                            <w:sz w:val="32"/>
                                            <w:szCs w:val="32"/>
                                          </w:rPr>
                                          <w:t>乡2022年预算安排0万元。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（三）公务用车购置及运行维护费比2021年预算无变化。</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rPr>
                                          <w:t>2022年预算安排</w:t>
                                        </w:r>
                                        <w:r>
                                          <w:rPr>
                                            <w:rFonts w:hint="eastAsia" w:ascii="仿宋_GB2312" w:hAnsi="宋体" w:eastAsia="仿宋_GB2312" w:cs="宋体"/>
                                            <w:kern w:val="0"/>
                                            <w:sz w:val="32"/>
                                            <w:szCs w:val="32"/>
                                          </w:rPr>
                                          <w:t>8.58</w:t>
                                        </w:r>
                                        <w:r>
                                          <w:rPr>
                                            <w:rFonts w:hint="eastAsia" w:ascii="楷体_GB2312" w:hAnsi="宋体" w:eastAsia="仿宋_GB2312" w:cs="宋体"/>
                                            <w:spacing w:val="-14"/>
                                            <w:kern w:val="0"/>
                                            <w:sz w:val="32"/>
                                            <w:szCs w:val="32"/>
                                          </w:rPr>
                                          <w:t>万元，与上年预算相比无变化，单位共有公务用车3辆，主要用于公务用车燃油、维修、保险等方面支出。主要保障单位日常运转等工作。</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bCs/>
                                            <w:kern w:val="0"/>
                                            <w:sz w:val="32"/>
                                            <w:szCs w:val="32"/>
                                          </w:rPr>
                                          <w:t>八、政府性基金预算支出情况说明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河西</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rPr>
                                          <w:t>2022年没有使用政府性基金预算拨款安排的支出。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rPr>
                                          <w:t>九、国有资本经营预算支出情况说明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河西</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rPr>
                                          <w:t>2022年没有使用国有资本经营预算拨款安排的支出。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十、其他重要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2022年度，河西乡机关运行经费支出0万元。</w:t>
                                        </w:r>
                                      </w:p>
                                      <w:p>
                                        <w:pPr>
                                          <w:spacing w:line="560" w:lineRule="exact"/>
                                          <w:ind w:firstLine="643" w:firstLineChars="200"/>
                                          <w:rPr>
                                            <w:rFonts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2022年度，河西乡政府采购支出总额0万元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截至2022年，河西乡共有公务用车2辆，其中：一般公务用车3辆；无单价50万元以上通用设备及单价100万元以上专用设备。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十一、名词解释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bl>
                                <w:p>
                                  <w:pPr>
                                    <w:widowControl/>
                                    <w:spacing w:after="240"/>
                                    <w:jc w:val="center"/>
                                    <w:rPr>
                                      <w:rFonts w:ascii="宋体" w:hAnsi="宋体" w:eastAsia="宋体" w:cs="宋体"/>
                                      <w:kern w:val="0"/>
                                      <w:sz w:val="32"/>
                                      <w:szCs w:val="32"/>
                                    </w:rPr>
                                  </w:pPr>
                                </w:p>
                              </w:tc>
                            </w:tr>
                            <w:tr>
                              <w:tblPrEx>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c>
                          <w:tcPr>
                            <w:tcW w:w="1350" w:type="dxa"/>
                            <w:vAlign w:val="center"/>
                          </w:tcPr>
                          <w:p>
                            <w:pPr>
                              <w:widowControl/>
                              <w:jc w:val="left"/>
                              <w:rPr>
                                <w:rFonts w:ascii="宋体" w:hAnsi="宋体" w:eastAsia="宋体" w:cs="宋体"/>
                                <w:kern w:val="0"/>
                                <w:sz w:val="32"/>
                                <w:szCs w:val="32"/>
                              </w:rPr>
                            </w:pPr>
                            <w:r>
                              <w:rPr>
                                <w:rFonts w:ascii="宋体" w:hAnsi="宋体" w:eastAsia="宋体" w:cs="宋体"/>
                                <w:kern w:val="0"/>
                                <w:sz w:val="32"/>
                                <w:szCs w:val="32"/>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8"/>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 w:val="32"/>
                                      <w:szCs w:val="32"/>
                                    </w:rPr>
                                  </w:pPr>
                                  <w:r>
                                    <w:rPr>
                                      <w:rFonts w:ascii="宋体" w:hAnsi="宋体" w:eastAsia="宋体" w:cs="宋体"/>
                                      <w:kern w:val="0"/>
                                      <w:sz w:val="32"/>
                                      <w:szCs w:val="32"/>
                                    </w:rPr>
                                    <w:t xml:space="preserve">【关闭窗口】 </w:t>
                                  </w:r>
                                </w:p>
                              </w:tc>
                            </w:tr>
                          </w:tbl>
                          <w:p>
                            <w:pPr>
                              <w:widowControl/>
                              <w:jc w:val="righ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32"/>
                    <w:szCs w:val="32"/>
                  </w:rPr>
                </w:pPr>
              </w:p>
            </w:tc>
          </w:tr>
        </w:tbl>
      </w:sdtContent>
    </w:sdt>
    <w:p>
      <w:pPr>
        <w:rPr>
          <w:sz w:val="32"/>
          <w:szCs w:val="32"/>
        </w:rPr>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EDFC2"/>
    <w:multiLevelType w:val="singleLevel"/>
    <w:tmpl w:val="ADBEDFC2"/>
    <w:lvl w:ilvl="0" w:tentative="0">
      <w:start w:val="6"/>
      <w:numFmt w:val="chineseCounting"/>
      <w:suff w:val="nothing"/>
      <w:lvlText w:val="%1、"/>
      <w:lvlJc w:val="left"/>
      <w:pPr>
        <w:ind w:left="700" w:firstLine="0"/>
      </w:pPr>
      <w:rPr>
        <w:rFonts w:hint="eastAsia"/>
      </w:rPr>
    </w:lvl>
  </w:abstractNum>
  <w:abstractNum w:abstractNumId="1">
    <w:nsid w:val="2633A9BA"/>
    <w:multiLevelType w:val="singleLevel"/>
    <w:tmpl w:val="2633A9BA"/>
    <w:lvl w:ilvl="0" w:tentative="0">
      <w:start w:val="5"/>
      <w:numFmt w:val="decimal"/>
      <w:lvlText w:val="(%1)"/>
      <w:lvlJc w:val="left"/>
      <w:pPr>
        <w:tabs>
          <w:tab w:val="left" w:pos="312"/>
        </w:tabs>
      </w:pPr>
    </w:lvl>
  </w:abstractNum>
  <w:abstractNum w:abstractNumId="2">
    <w:nsid w:val="59FA8CCC"/>
    <w:multiLevelType w:val="singleLevel"/>
    <w:tmpl w:val="59FA8CCC"/>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D2"/>
    <w:rsid w:val="00152DB4"/>
    <w:rsid w:val="0016748F"/>
    <w:rsid w:val="0018603C"/>
    <w:rsid w:val="001D7E24"/>
    <w:rsid w:val="002000D2"/>
    <w:rsid w:val="0023187A"/>
    <w:rsid w:val="00381F1D"/>
    <w:rsid w:val="00425F4C"/>
    <w:rsid w:val="0042759F"/>
    <w:rsid w:val="00483203"/>
    <w:rsid w:val="00542A29"/>
    <w:rsid w:val="00626C1F"/>
    <w:rsid w:val="006921FD"/>
    <w:rsid w:val="0075225E"/>
    <w:rsid w:val="00755CE8"/>
    <w:rsid w:val="0092353C"/>
    <w:rsid w:val="00A57CB1"/>
    <w:rsid w:val="00AF6097"/>
    <w:rsid w:val="00BD3CF7"/>
    <w:rsid w:val="00C35045"/>
    <w:rsid w:val="00D309B1"/>
    <w:rsid w:val="00DE2BBB"/>
    <w:rsid w:val="00E03521"/>
    <w:rsid w:val="00ED1EE6"/>
    <w:rsid w:val="198D3A1C"/>
    <w:rsid w:val="1D7B128A"/>
    <w:rsid w:val="1EF16F5B"/>
    <w:rsid w:val="36904345"/>
    <w:rsid w:val="3A8265D3"/>
    <w:rsid w:val="3E887A9B"/>
    <w:rsid w:val="5E6E1E69"/>
    <w:rsid w:val="691D1DFA"/>
    <w:rsid w:val="69467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unhideWhenUsed/>
    <w:uiPriority w:val="39"/>
    <w:pPr>
      <w:widowControl/>
      <w:spacing w:after="100" w:line="259" w:lineRule="auto"/>
      <w:ind w:left="440"/>
      <w:jc w:val="left"/>
    </w:pPr>
    <w:rPr>
      <w:rFonts w:cs="Times New Roman"/>
      <w:kern w:val="0"/>
      <w:sz w:val="2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uiPriority w:val="39"/>
    <w:pPr>
      <w:widowControl/>
      <w:spacing w:after="100" w:line="259" w:lineRule="auto"/>
      <w:jc w:val="left"/>
    </w:pPr>
    <w:rPr>
      <w:rFonts w:cs="Times New Roman"/>
      <w:kern w:val="0"/>
      <w:sz w:val="22"/>
    </w:rPr>
  </w:style>
  <w:style w:type="paragraph" w:styleId="7">
    <w:name w:val="toc 2"/>
    <w:basedOn w:val="1"/>
    <w:next w:val="1"/>
    <w:unhideWhenUsed/>
    <w:uiPriority w:val="39"/>
    <w:pPr>
      <w:widowControl/>
      <w:spacing w:after="100" w:line="259" w:lineRule="auto"/>
      <w:ind w:left="220"/>
      <w:jc w:val="left"/>
    </w:pPr>
    <w:rPr>
      <w:rFonts w:cs="Times New Roman"/>
      <w:kern w:val="0"/>
      <w:sz w:val="22"/>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标题 1 字符"/>
    <w:basedOn w:val="9"/>
    <w:link w:val="2"/>
    <w:uiPriority w:val="9"/>
    <w:rPr>
      <w:b/>
      <w:bCs/>
      <w:kern w:val="44"/>
      <w:sz w:val="44"/>
      <w:szCs w:val="44"/>
    </w:rPr>
  </w:style>
  <w:style w:type="paragraph" w:customStyle="1" w:styleId="1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15">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4281</Words>
  <Characters>752</Characters>
  <Lines>6</Lines>
  <Paragraphs>10</Paragraphs>
  <TotalTime>19</TotalTime>
  <ScaleCrop>false</ScaleCrop>
  <LinksUpToDate>false</LinksUpToDate>
  <CharactersWithSpaces>5023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2020-12-21T08:10:00Z</dcterms:created>
  <dc:creator>xzjd</dc:creator>
  <cp:lastModifiedBy>素『蝶』</cp:lastModifiedBy>
  <dcterms:modified xsi:type="dcterms:W3CDTF">2022-03-30T06:47:11Z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BF07177816C246CDA58FAF990C5423C3</vt:lpwstr>
  </property>
</Properties>
</file>