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96597"/>
      <w:bookmarkStart w:id="2" w:name="_Toc15377425"/>
      <w:bookmarkStart w:id="3" w:name="_Toc15396475"/>
      <w:bookmarkStart w:id="4" w:name="_Toc15378441"/>
      <w:bookmarkStart w:id="5" w:name="_Toc15377193"/>
      <w:r>
        <w:rPr>
          <w:rFonts w:ascii="黑体" w:eastAsia="黑体"/>
          <w:color w:val="000000"/>
          <w:sz w:val="72"/>
          <w:szCs w:val="72"/>
        </w:rPr>
        <w:t>20</w:t>
      </w:r>
      <w:r>
        <w:rPr>
          <w:rFonts w:hint="eastAsia" w:ascii="黑体" w:eastAsia="黑体"/>
          <w:color w:val="000000"/>
          <w:sz w:val="72"/>
          <w:szCs w:val="72"/>
        </w:rPr>
        <w:t>20</w:t>
      </w:r>
      <w:r>
        <w:rPr>
          <w:rFonts w:hint="eastAsia" w:ascii="方正小标宋简体" w:eastAsia="方正小标宋简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ascii="方正小标宋简体" w:eastAsia="方正小标宋简体"/>
          <w:color w:val="000000"/>
          <w:sz w:val="72"/>
          <w:szCs w:val="72"/>
        </w:rPr>
      </w:pPr>
      <w:bookmarkStart w:id="6" w:name="_Toc15378442"/>
      <w:bookmarkStart w:id="7" w:name="_Toc15377194"/>
      <w:bookmarkStart w:id="8" w:name="_Toc15377426"/>
      <w:bookmarkStart w:id="9" w:name="_Toc15306268"/>
      <w:bookmarkStart w:id="10" w:name="_Toc15396598"/>
      <w:bookmarkStart w:id="11" w:name="_Toc15396476"/>
      <w:r>
        <w:rPr>
          <w:rFonts w:hint="eastAsia" w:ascii="方正小标宋简体" w:eastAsia="方正小标宋简体"/>
          <w:color w:val="000000"/>
          <w:sz w:val="72"/>
          <w:szCs w:val="72"/>
        </w:rPr>
        <w:t>河西乡人民政府决算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1"/>
      </w:pPr>
      <w:r>
        <w:rPr>
          <w:rFonts w:hint="eastAsia"/>
        </w:rPr>
        <w:t>公开时间：2020年8月3日</w:t>
      </w:r>
    </w:p>
    <w:p/>
    <w:p/>
    <w:p/>
    <w:p/>
    <w:p>
      <w:pPr>
        <w:pStyle w:val="11"/>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12"/>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1"/>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7</w:t>
      </w:r>
      <w:r>
        <w:rPr>
          <w:rFonts w:hint="eastAsia"/>
        </w:rPr>
        <w:fldChar w:fldCharType="end"/>
      </w:r>
    </w:p>
    <w:p>
      <w:pPr>
        <w:pStyle w:val="12"/>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8</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2</w:t>
      </w:r>
    </w:p>
    <w:p>
      <w:pPr>
        <w:pStyle w:val="12"/>
        <w:ind w:left="420"/>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2"/>
        <w:ind w:left="420"/>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2"/>
        <w:ind w:left="420"/>
        <w:rPr>
          <w:rFonts w:ascii="仿宋" w:eastAsia="仿宋"/>
          <w:sz w:val="28"/>
          <w:szCs w:val="28"/>
        </w:rPr>
      </w:pPr>
      <w:r>
        <w:rPr>
          <w:rStyle w:val="17"/>
          <w:rFonts w:hint="eastAsia" w:ascii="仿宋" w:eastAsia="仿宋"/>
          <w:bCs/>
          <w:sz w:val="28"/>
          <w:szCs w:val="28"/>
        </w:rPr>
        <w:t xml:space="preserve"> 十、预算绩效情况说明..................................15</w:t>
      </w:r>
    </w:p>
    <w:p/>
    <w:p>
      <w:pPr>
        <w:pStyle w:val="12"/>
        <w:ind w:left="420"/>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1"/>
        <w:rPr>
          <w:rFonts w:cs="Arial"/>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2</w:t>
      </w:r>
      <w:r>
        <w:rPr>
          <w:rFonts w:hint="eastAsia"/>
        </w:rPr>
        <w:fldChar w:fldCharType="end"/>
      </w:r>
      <w:r>
        <w:rPr>
          <w:rFonts w:hint="eastAsia"/>
        </w:rPr>
        <w:t>5</w:t>
      </w:r>
    </w:p>
    <w:p>
      <w:pPr>
        <w:pStyle w:val="11"/>
        <w:rPr>
          <w:rFonts w:cs="Arial"/>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rPr>
        <w:t>2</w:t>
      </w:r>
      <w:r>
        <w:rPr>
          <w:rFonts w:hint="eastAsia"/>
        </w:rPr>
        <w:fldChar w:fldCharType="end"/>
      </w:r>
      <w:r>
        <w:rPr>
          <w:rFonts w:hint="eastAsia"/>
        </w:rPr>
        <w:t>8</w:t>
      </w:r>
    </w:p>
    <w:p>
      <w:pPr>
        <w:pStyle w:val="12"/>
        <w:ind w:left="420"/>
        <w:rPr>
          <w:rFonts w:ascii="仿宋" w:eastAsia="仿宋" w:cs="Arial"/>
          <w:sz w:val="28"/>
          <w:szCs w:val="28"/>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8</w:t>
      </w:r>
    </w:p>
    <w:p>
      <w:pPr>
        <w:pStyle w:val="11"/>
        <w:rPr>
          <w:rFonts w:cs="Arial"/>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rPr>
        <w:t>2</w:t>
      </w:r>
      <w:r>
        <w:rPr>
          <w:rFonts w:hint="eastAsia"/>
        </w:rPr>
        <w:fldChar w:fldCharType="end"/>
      </w:r>
      <w:r>
        <w:rPr>
          <w:rFonts w:hint="eastAsia"/>
        </w:rPr>
        <w:t>8</w:t>
      </w:r>
    </w:p>
    <w:p>
      <w:pPr>
        <w:pStyle w:val="12"/>
        <w:ind w:left="420"/>
        <w:rPr>
          <w:rFonts w:ascii="仿宋" w:eastAsia="仿宋" w:cs="Arial"/>
          <w:sz w:val="28"/>
          <w:szCs w:val="28"/>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sz w:val="28"/>
          <w:szCs w:val="28"/>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十一、</w:t>
      </w:r>
      <w:r>
        <w:fldChar w:fldCharType="begin"/>
      </w:r>
      <w:r>
        <w:instrText xml:space="preserve"> HYPERLINK \l "_Toc15396629" </w:instrText>
      </w:r>
      <w:r>
        <w:fldChar w:fldCharType="separate"/>
      </w:r>
      <w:r>
        <w:rPr>
          <w:rFonts w:hint="eastAsia" w:ascii="仿宋" w:eastAsia="仿宋"/>
          <w:sz w:val="28"/>
          <w:szCs w:val="28"/>
        </w:rPr>
        <w:t>封面代码</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12" w:name="_Toc15377196"/>
      <w:bookmarkStart w:id="13" w:name="_Toc15396599"/>
      <w:r>
        <w:rPr>
          <w:rFonts w:ascii="黑体" w:eastAsia="黑体"/>
          <w:b/>
        </w:rPr>
        <w:br w:type="page"/>
      </w:r>
    </w:p>
    <w:p>
      <w:pPr>
        <w:pStyle w:val="3"/>
        <w:jc w:val="center"/>
        <w:rPr>
          <w:rFonts w:ascii="黑体" w:eastAsia="黑体"/>
          <w:color w:val="000000"/>
          <w:sz w:val="32"/>
          <w:szCs w:val="32"/>
        </w:rPr>
      </w:pPr>
      <w:r>
        <w:rPr>
          <w:rFonts w:hint="eastAsia" w:ascii="黑体" w:eastAsia="黑体"/>
          <w:b w:val="0"/>
        </w:rPr>
        <w:t xml:space="preserve">第一部分 </w:t>
      </w:r>
      <w:r>
        <w:rPr>
          <w:rStyle w:val="18"/>
          <w:rFonts w:hint="eastAsia" w:ascii="黑体" w:eastAsia="黑体"/>
          <w:b w:val="0"/>
          <w:bCs w:val="0"/>
        </w:rPr>
        <w:t>部门概况</w:t>
      </w:r>
      <w:bookmarkEnd w:id="12"/>
      <w:bookmarkEnd w:id="13"/>
    </w:p>
    <w:p>
      <w:pPr>
        <w:pStyle w:val="4"/>
        <w:spacing w:before="0" w:after="0" w:line="240" w:lineRule="auto"/>
        <w:ind w:left="640" w:hanging="640" w:hangingChars="200"/>
        <w:rPr>
          <w:rStyle w:val="19"/>
          <w:rFonts w:ascii="黑体" w:eastAsia="黑体"/>
          <w:b w:val="0"/>
          <w:bCs w:val="0"/>
        </w:rPr>
      </w:pPr>
      <w:bookmarkStart w:id="14" w:name="_Toc15396600"/>
      <w:bookmarkStart w:id="15" w:name="_Toc15377197"/>
      <w:r>
        <w:rPr>
          <w:rFonts w:hint="eastAsia" w:ascii="黑体" w:eastAsia="黑体"/>
          <w:b w:val="0"/>
          <w:color w:val="000000"/>
        </w:rPr>
        <w:t>一、基</w:t>
      </w:r>
      <w:r>
        <w:rPr>
          <w:rStyle w:val="19"/>
          <w:rFonts w:hint="eastAsia" w:ascii="黑体" w:eastAsia="黑体"/>
          <w:b w:val="0"/>
          <w:bCs w:val="0"/>
        </w:rPr>
        <w:t>本职能及主要工作</w:t>
      </w:r>
      <w:bookmarkEnd w:id="14"/>
      <w:bookmarkEnd w:id="15"/>
      <w:bookmarkStart w:id="16" w:name="_Toc15378445"/>
      <w:bookmarkStart w:id="17" w:name="_Toc15377198"/>
    </w:p>
    <w:p>
      <w:pPr>
        <w:pStyle w:val="4"/>
        <w:spacing w:before="0" w:after="0" w:line="240" w:lineRule="auto"/>
        <w:ind w:left="642" w:leftChars="153" w:hanging="321" w:hangingChars="100"/>
        <w:rPr>
          <w:rFonts w:ascii="楷体" w:eastAsia="楷体" w:cs="楷体"/>
          <w:color w:val="000000"/>
        </w:rPr>
      </w:pPr>
      <w:r>
        <w:rPr>
          <w:rFonts w:hint="eastAsia" w:ascii="楷体" w:eastAsia="楷体" w:cs="楷体"/>
          <w:color w:val="000000"/>
        </w:rPr>
        <w:t>主要职能</w:t>
      </w:r>
      <w:bookmarkEnd w:id="16"/>
      <w:bookmarkEnd w:id="17"/>
      <w:bookmarkStart w:id="18" w:name="_Toc15377199"/>
      <w:bookmarkStart w:id="19" w:name="_Toc15378446"/>
    </w:p>
    <w:p>
      <w:pPr>
        <w:widowControl/>
        <w:spacing w:line="540"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zh-CN"/>
        </w:rPr>
        <w:t>（一）河西乡人民政府下设“一办四中心一所”：具体组成为：党政综合办公室、综合文化发展中心、社会保障综合服务中心、经济发展中心、河西乡财政所。</w:t>
      </w:r>
    </w:p>
    <w:p>
      <w:pPr>
        <w:widowControl/>
        <w:spacing w:line="540"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zh-CN"/>
        </w:rPr>
        <w:t>（二）</w:t>
      </w:r>
      <w:r>
        <w:rPr>
          <w:rFonts w:hint="eastAsia" w:ascii="仿宋_GB2312" w:hAnsi="仿宋_GB2312" w:eastAsia="仿宋_GB2312" w:cs="仿宋_GB2312"/>
          <w:color w:val="000000"/>
          <w:sz w:val="32"/>
          <w:szCs w:val="32"/>
        </w:rPr>
        <w:t>一是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二是制定并组织实施村乡建设规划，部署重点工程建设，地方道路建设及公共设施，水利设施的管理，负责土地、林木、水等自然资源和生态环境的保护，做好护林防火工作。三是负责本行政区域内的民政、计划生育、文化教育、卫生、体育等社会公益事业的综合性工作，维护一切经济单位和个人的正当经济权益，取缔非法经济活动，调解和处理民事纠纷，打击刑事犯罪维护社会稳定。四是按计划组织本级财政收入，完成国家财政计划，管好财政资金，增强财政实力。五是抓好精神文明建设，丰富群众文化生活，提倡移风易俗，反对封建迷信，破除陈规陋习，树立社会主义新风尚。六是完成上级政府交办的</w:t>
      </w:r>
      <w:r>
        <w:rPr>
          <w:rFonts w:hint="eastAsia" w:ascii="仿宋_GB2312" w:hAnsi="仿宋_GB2312" w:eastAsia="仿宋_GB2312" w:cs="仿宋_GB2312"/>
          <w:color w:val="000000"/>
          <w:sz w:val="32"/>
          <w:szCs w:val="32"/>
          <w:lang w:eastAsia="zh-CN"/>
        </w:rPr>
        <w:t>其他事项</w:t>
      </w:r>
      <w:r>
        <w:rPr>
          <w:rFonts w:hint="eastAsia" w:ascii="仿宋_GB2312" w:hAnsi="仿宋_GB2312" w:eastAsia="仿宋_GB2312" w:cs="仿宋_GB2312"/>
          <w:color w:val="000000"/>
          <w:sz w:val="32"/>
          <w:szCs w:val="32"/>
        </w:rPr>
        <w:t>。七、执行本级人民代表大会的决议和上级国家行政机关的决定和命令，发布决定和命令。 八、保护社会主义的全民所有的财产和劳动群众集体所有的财产，保护公民私人所有的合法财产，维护社会秩序，保障公民的人身权利、民主权利和其他权利。</w:t>
      </w:r>
    </w:p>
    <w:bookmarkEnd w:id="18"/>
    <w:bookmarkEnd w:id="19"/>
    <w:p>
      <w:pPr>
        <w:spacing w:line="578" w:lineRule="exact"/>
        <w:ind w:firstLine="640" w:firstLineChars="200"/>
        <w:rPr>
          <w:rStyle w:val="19"/>
          <w:rFonts w:ascii="黑体" w:eastAsia="黑体"/>
          <w:b w:val="0"/>
          <w:bCs w:val="0"/>
        </w:rPr>
      </w:pPr>
      <w:bookmarkStart w:id="20" w:name="_Toc15377200"/>
      <w:bookmarkStart w:id="21" w:name="_Toc15396601"/>
      <w:r>
        <w:rPr>
          <w:rStyle w:val="19"/>
          <w:rFonts w:hint="eastAsia" w:ascii="黑体" w:eastAsia="黑体"/>
          <w:b w:val="0"/>
          <w:bCs w:val="0"/>
        </w:rPr>
        <w:t>二、机构设置</w:t>
      </w:r>
      <w:bookmarkEnd w:id="20"/>
      <w:bookmarkEnd w:id="21"/>
      <w:bookmarkStart w:id="22" w:name="_Toc15396602"/>
      <w:bookmarkStart w:id="23" w:name="_Toc15377204"/>
    </w:p>
    <w:p>
      <w:pPr>
        <w:spacing w:line="578"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r>
        <w:rPr>
          <w:rFonts w:ascii="仿宋_GB2312" w:hAnsi="仿宋_GB2312" w:eastAsia="仿宋_GB2312" w:cs="仿宋_GB2312"/>
          <w:color w:val="000000"/>
          <w:sz w:val="32"/>
          <w:szCs w:val="32"/>
        </w:rPr>
        <w:t>河西乡人民政府2020年年初在职21人，其中行政人</w:t>
      </w:r>
      <w:r>
        <w:rPr>
          <w:rFonts w:hint="eastAsia" w:ascii="仿宋_GB2312" w:hAnsi="仿宋_GB2312" w:eastAsia="仿宋_GB2312" w:cs="仿宋_GB2312"/>
          <w:color w:val="000000"/>
          <w:sz w:val="32"/>
          <w:szCs w:val="32"/>
        </w:rPr>
        <w:t>员16人，行政工勤1人，事业人员4人；2020年年末在职26人，其中行政人员17人，行政工勤1人，事业人员8人。</w:t>
      </w:r>
    </w:p>
    <w:p>
      <w:pPr>
        <w:pStyle w:val="3"/>
        <w:ind w:right="440"/>
        <w:jc w:val="right"/>
      </w:pPr>
      <w:r>
        <w:rPr>
          <w:rFonts w:hint="eastAsia" w:ascii="黑体" w:eastAsia="黑体"/>
          <w:b w:val="0"/>
          <w:color w:val="000000"/>
        </w:rPr>
        <w:t>第二部分</w:t>
      </w:r>
      <w:r>
        <w:rPr>
          <w:rFonts w:hint="eastAsia" w:ascii="黑体" w:eastAsia="黑体"/>
          <w:color w:val="000000"/>
        </w:rPr>
        <w:t xml:space="preserve"> </w:t>
      </w:r>
      <w:r>
        <w:rPr>
          <w:rStyle w:val="18"/>
          <w:rFonts w:hint="eastAsia" w:ascii="黑体" w:eastAsia="黑体"/>
          <w:b w:val="0"/>
          <w:bCs w:val="0"/>
        </w:rPr>
        <w:t>2020年度部门决算情况说明</w:t>
      </w:r>
      <w:bookmarkEnd w:id="22"/>
      <w:bookmarkEnd w:id="23"/>
    </w:p>
    <w:p>
      <w:pPr>
        <w:pStyle w:val="24"/>
        <w:numPr>
          <w:ilvl w:val="0"/>
          <w:numId w:val="1"/>
        </w:numPr>
        <w:ind w:left="0" w:firstLine="0" w:firstLineChars="0"/>
        <w:outlineLvl w:val="1"/>
        <w:rPr>
          <w:rStyle w:val="19"/>
          <w:rFonts w:ascii="黑体" w:eastAsia="黑体"/>
          <w:b w:val="0"/>
        </w:rPr>
      </w:pPr>
      <w:bookmarkStart w:id="24" w:name="_Toc15396603"/>
      <w:bookmarkStart w:id="25" w:name="_Toc15377205"/>
      <w:r>
        <w:rPr>
          <w:rFonts w:hint="eastAsia" w:ascii="黑体" w:eastAsia="黑体"/>
          <w:color w:val="000000"/>
          <w:sz w:val="32"/>
          <w:szCs w:val="32"/>
        </w:rPr>
        <w:t>收</w:t>
      </w:r>
      <w:r>
        <w:rPr>
          <w:rStyle w:val="19"/>
          <w:rFonts w:hint="eastAsia" w:ascii="黑体" w:eastAsia="黑体"/>
          <w:b w:val="0"/>
        </w:rPr>
        <w:t>入支出决算总体情况说明</w:t>
      </w:r>
      <w:bookmarkEnd w:id="24"/>
      <w:bookmarkEnd w:id="25"/>
    </w:p>
    <w:p>
      <w:pPr>
        <w:rPr>
          <w:rFonts w:ascii="宋体" w:hAnsi="宋体" w:cs="Arial"/>
          <w:kern w:val="0"/>
          <w:sz w:val="20"/>
          <w:szCs w:val="20"/>
        </w:rPr>
      </w:pPr>
      <w:r>
        <w:rPr>
          <w:rFonts w:hint="eastAsia" w:ascii="仿宋_GB2312" w:eastAsia="仿宋_GB2312"/>
          <w:color w:val="000000"/>
          <w:spacing w:val="-2"/>
          <w:sz w:val="32"/>
          <w:szCs w:val="32"/>
        </w:rPr>
        <w:t>2020年度总收入818.37万元，较上年收入</w:t>
      </w:r>
      <w:r>
        <w:rPr>
          <w:rFonts w:hint="eastAsia" w:ascii="仿宋_GB2312" w:eastAsia="仿宋_GB2312"/>
          <w:color w:val="000000"/>
          <w:spacing w:val="-2"/>
          <w:sz w:val="32"/>
          <w:szCs w:val="32"/>
          <w:lang w:eastAsia="zh-CN"/>
        </w:rPr>
        <w:t>增加</w:t>
      </w:r>
      <w:r>
        <w:rPr>
          <w:rFonts w:hint="eastAsia" w:ascii="仿宋_GB2312" w:eastAsia="仿宋_GB2312"/>
          <w:color w:val="000000"/>
          <w:spacing w:val="-2"/>
          <w:sz w:val="32"/>
          <w:szCs w:val="32"/>
          <w:lang w:val="en-US" w:eastAsia="zh-CN"/>
        </w:rPr>
        <w:t>292.92</w:t>
      </w:r>
      <w:r>
        <w:rPr>
          <w:rFonts w:hint="eastAsia" w:ascii="仿宋_GB2312" w:eastAsia="仿宋_GB2312"/>
          <w:color w:val="000000"/>
          <w:spacing w:val="-2"/>
          <w:sz w:val="32"/>
          <w:szCs w:val="32"/>
        </w:rPr>
        <w:t>万元，</w:t>
      </w:r>
      <w:r>
        <w:rPr>
          <w:rFonts w:hint="eastAsia" w:ascii="仿宋_GB2312" w:eastAsia="仿宋_GB2312"/>
          <w:color w:val="000000"/>
          <w:spacing w:val="-2"/>
          <w:sz w:val="32"/>
          <w:szCs w:val="32"/>
          <w:lang w:eastAsia="zh-CN"/>
        </w:rPr>
        <w:t>增加</w:t>
      </w:r>
      <w:r>
        <w:rPr>
          <w:rFonts w:hint="eastAsia" w:ascii="仿宋_GB2312" w:eastAsia="仿宋_GB2312"/>
          <w:color w:val="000000"/>
          <w:spacing w:val="-2"/>
          <w:sz w:val="32"/>
          <w:szCs w:val="32"/>
          <w:lang w:val="en-US" w:eastAsia="zh-CN"/>
        </w:rPr>
        <w:t>35.79</w:t>
      </w:r>
      <w:r>
        <w:rPr>
          <w:rFonts w:hint="eastAsia" w:ascii="仿宋_GB2312" w:eastAsia="仿宋_GB2312"/>
          <w:color w:val="000000"/>
          <w:spacing w:val="-2"/>
          <w:sz w:val="32"/>
          <w:szCs w:val="32"/>
        </w:rPr>
        <w:t>%。</w:t>
      </w:r>
      <w:r>
        <w:rPr>
          <w:rFonts w:hint="eastAsia" w:ascii="仿宋_GB2312" w:eastAsia="仿宋_GB2312"/>
          <w:color w:val="000000"/>
          <w:spacing w:val="-2"/>
          <w:sz w:val="32"/>
          <w:szCs w:val="32"/>
          <w:lang w:eastAsia="zh-CN"/>
        </w:rPr>
        <w:t>增加</w:t>
      </w:r>
      <w:r>
        <w:rPr>
          <w:rFonts w:hint="eastAsia" w:ascii="仿宋_GB2312" w:eastAsia="仿宋_GB2312"/>
          <w:color w:val="000000"/>
          <w:spacing w:val="-2"/>
          <w:sz w:val="32"/>
          <w:szCs w:val="32"/>
        </w:rPr>
        <w:t>的主要原因是</w:t>
      </w:r>
      <w:r>
        <w:rPr>
          <w:rFonts w:hint="eastAsia" w:ascii="仿宋_GB2312" w:eastAsia="仿宋_GB2312"/>
          <w:color w:val="000000"/>
          <w:spacing w:val="-2"/>
          <w:sz w:val="32"/>
          <w:szCs w:val="32"/>
          <w:lang w:val="en-US" w:eastAsia="zh-CN"/>
        </w:rPr>
        <w:t>2020年人员、项目增加和公务费调标</w:t>
      </w:r>
      <w:r>
        <w:rPr>
          <w:rFonts w:hint="eastAsia" w:ascii="仿宋_GB2312" w:eastAsia="仿宋_GB2312"/>
          <w:color w:val="000000"/>
          <w:spacing w:val="-2"/>
          <w:sz w:val="32"/>
          <w:szCs w:val="32"/>
        </w:rPr>
        <w:t>。</w:t>
      </w:r>
    </w:p>
    <w:p>
      <w:pPr>
        <w:snapToGrid w:val="0"/>
        <w:spacing w:line="520" w:lineRule="exact"/>
        <w:ind w:firstLine="632" w:firstLineChars="200"/>
        <w:rPr>
          <w:rFonts w:ascii="仿宋_GB2312" w:eastAsia="仿宋_GB2312"/>
          <w:spacing w:val="-2"/>
          <w:sz w:val="32"/>
          <w:szCs w:val="32"/>
        </w:rPr>
      </w:pPr>
      <w:r>
        <w:rPr>
          <w:rFonts w:hint="eastAsia" w:ascii="仿宋_GB2312" w:eastAsia="仿宋_GB2312"/>
          <w:spacing w:val="-2"/>
          <w:sz w:val="32"/>
          <w:szCs w:val="32"/>
        </w:rPr>
        <w:t>2020年总支出786.69万元，较上年支出</w:t>
      </w:r>
      <w:r>
        <w:rPr>
          <w:rFonts w:hint="eastAsia" w:ascii="仿宋_GB2312" w:eastAsia="仿宋_GB2312"/>
          <w:spacing w:val="-2"/>
          <w:sz w:val="32"/>
          <w:szCs w:val="32"/>
          <w:lang w:eastAsia="zh-CN"/>
        </w:rPr>
        <w:t>增加</w:t>
      </w:r>
      <w:r>
        <w:rPr>
          <w:rFonts w:hint="eastAsia" w:ascii="仿宋_GB2312" w:eastAsia="仿宋_GB2312"/>
          <w:spacing w:val="-2"/>
          <w:sz w:val="32"/>
          <w:szCs w:val="32"/>
          <w:lang w:val="en-US" w:eastAsia="zh-CN"/>
        </w:rPr>
        <w:t>197.62</w:t>
      </w:r>
      <w:r>
        <w:rPr>
          <w:rFonts w:hint="eastAsia" w:ascii="仿宋_GB2312" w:eastAsia="仿宋_GB2312"/>
          <w:spacing w:val="-2"/>
          <w:sz w:val="32"/>
          <w:szCs w:val="32"/>
        </w:rPr>
        <w:t>万元，</w:t>
      </w:r>
      <w:r>
        <w:rPr>
          <w:rFonts w:hint="eastAsia" w:ascii="仿宋_GB2312" w:eastAsia="仿宋_GB2312"/>
          <w:spacing w:val="-2"/>
          <w:sz w:val="32"/>
          <w:szCs w:val="32"/>
          <w:lang w:eastAsia="zh-CN"/>
        </w:rPr>
        <w:t>增加</w:t>
      </w:r>
      <w:r>
        <w:rPr>
          <w:rFonts w:hint="eastAsia" w:ascii="仿宋_GB2312" w:eastAsia="仿宋_GB2312"/>
          <w:spacing w:val="-2"/>
          <w:sz w:val="32"/>
          <w:szCs w:val="32"/>
          <w:lang w:val="en-US" w:eastAsia="zh-CN"/>
        </w:rPr>
        <w:t>25.12</w:t>
      </w:r>
      <w:r>
        <w:rPr>
          <w:rFonts w:hint="eastAsia" w:ascii="仿宋_GB2312" w:eastAsia="仿宋_GB2312"/>
          <w:spacing w:val="-2"/>
          <w:sz w:val="32"/>
          <w:szCs w:val="32"/>
        </w:rPr>
        <w:t>%。主要原因一是当年项目</w:t>
      </w:r>
      <w:r>
        <w:rPr>
          <w:rFonts w:hint="eastAsia" w:ascii="仿宋_GB2312" w:eastAsia="仿宋_GB2312"/>
          <w:spacing w:val="-2"/>
          <w:sz w:val="32"/>
          <w:szCs w:val="32"/>
          <w:lang w:eastAsia="zh-CN"/>
        </w:rPr>
        <w:t>和人员</w:t>
      </w:r>
      <w:r>
        <w:rPr>
          <w:rFonts w:hint="eastAsia" w:ascii="仿宋_GB2312" w:eastAsia="仿宋_GB2312"/>
          <w:spacing w:val="-2"/>
          <w:sz w:val="32"/>
          <w:szCs w:val="32"/>
        </w:rPr>
        <w:t>经费较上年有所</w:t>
      </w:r>
      <w:r>
        <w:rPr>
          <w:rFonts w:hint="eastAsia" w:ascii="仿宋_GB2312" w:eastAsia="仿宋_GB2312"/>
          <w:spacing w:val="-2"/>
          <w:sz w:val="32"/>
          <w:szCs w:val="32"/>
          <w:lang w:eastAsia="zh-CN"/>
        </w:rPr>
        <w:t>增加</w:t>
      </w:r>
      <w:r>
        <w:rPr>
          <w:rFonts w:hint="eastAsia" w:ascii="仿宋_GB2312" w:eastAsia="仿宋_GB2312"/>
          <w:spacing w:val="-2"/>
          <w:sz w:val="32"/>
          <w:szCs w:val="32"/>
        </w:rPr>
        <w:t>。</w:t>
      </w:r>
    </w:p>
    <w:p>
      <w:pPr>
        <w:spacing w:line="600" w:lineRule="exact"/>
        <w:ind w:firstLine="640" w:firstLineChars="200"/>
        <w:rPr>
          <w:rStyle w:val="19"/>
          <w:rFonts w:ascii="黑体" w:eastAsia="黑体"/>
          <w:b w:val="0"/>
        </w:rPr>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314960</wp:posOffset>
            </wp:positionH>
            <wp:positionV relativeFrom="paragraph">
              <wp:posOffset>45720</wp:posOffset>
            </wp:positionV>
            <wp:extent cx="5080000" cy="2582545"/>
            <wp:effectExtent l="4445" t="4445" r="20955" b="2286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26" w:name="_Toc15377206"/>
      <w:bookmarkStart w:id="27" w:name="_Toc15396604"/>
      <w:r>
        <w:rPr>
          <w:rFonts w:hint="eastAsia" w:ascii="黑体" w:eastAsia="黑体"/>
          <w:color w:val="000000"/>
          <w:sz w:val="32"/>
          <w:szCs w:val="32"/>
        </w:rPr>
        <w:t>二、收入决</w:t>
      </w:r>
      <w:r>
        <w:rPr>
          <w:rStyle w:val="19"/>
          <w:rFonts w:hint="eastAsia" w:ascii="黑体" w:eastAsia="黑体"/>
          <w:b w:val="0"/>
        </w:rPr>
        <w:t>算情况说明</w:t>
      </w:r>
      <w:bookmarkEnd w:id="26"/>
      <w:bookmarkEnd w:id="27"/>
    </w:p>
    <w:p>
      <w:pPr>
        <w:spacing w:line="600" w:lineRule="exact"/>
        <w:ind w:firstLine="640" w:firstLineChars="200"/>
        <w:outlineLvl w:val="1"/>
        <w:rPr>
          <w:rFonts w:ascii="仿宋" w:eastAsia="仿宋"/>
          <w:b/>
          <w:bCs/>
          <w:color w:val="000000"/>
          <w:sz w:val="32"/>
          <w:szCs w:val="32"/>
        </w:rPr>
      </w:pPr>
      <w:r>
        <w:rPr>
          <w:rFonts w:ascii="仿宋" w:eastAsia="仿宋"/>
          <w:color w:val="000000"/>
          <w:sz w:val="32"/>
          <w:szCs w:val="32"/>
        </w:rPr>
        <w:t>20</w:t>
      </w:r>
      <w:r>
        <w:rPr>
          <w:rFonts w:hint="eastAsia" w:ascii="仿宋" w:eastAsia="仿宋"/>
          <w:color w:val="000000"/>
          <w:sz w:val="32"/>
          <w:szCs w:val="32"/>
        </w:rPr>
        <w:t>20年总收入</w:t>
      </w:r>
      <w:r>
        <w:rPr>
          <w:rFonts w:hint="eastAsia" w:ascii="仿宋_GB2312" w:eastAsia="仿宋_GB2312"/>
          <w:color w:val="000000"/>
          <w:spacing w:val="-2"/>
          <w:sz w:val="32"/>
          <w:szCs w:val="32"/>
        </w:rPr>
        <w:t>818.37</w:t>
      </w:r>
      <w:r>
        <w:rPr>
          <w:rFonts w:hint="eastAsia" w:ascii="仿宋" w:eastAsia="仿宋"/>
          <w:color w:val="000000"/>
          <w:sz w:val="32"/>
          <w:szCs w:val="32"/>
        </w:rPr>
        <w:t>万元，其中：一般公共预算财政拨款收入</w:t>
      </w:r>
      <w:r>
        <w:rPr>
          <w:rFonts w:hint="eastAsia" w:ascii="仿宋" w:eastAsia="仿宋"/>
          <w:bCs/>
          <w:color w:val="000000"/>
          <w:sz w:val="32"/>
          <w:szCs w:val="32"/>
        </w:rPr>
        <w:t>276.21</w:t>
      </w:r>
      <w:r>
        <w:rPr>
          <w:rFonts w:hint="eastAsia" w:ascii="仿宋" w:eastAsia="仿宋"/>
          <w:color w:val="000000"/>
          <w:sz w:val="32"/>
          <w:szCs w:val="32"/>
        </w:rPr>
        <w:t>万元，占33.75</w:t>
      </w:r>
      <w:r>
        <w:rPr>
          <w:rFonts w:ascii="仿宋" w:eastAsia="仿宋"/>
          <w:color w:val="000000"/>
          <w:sz w:val="32"/>
          <w:szCs w:val="32"/>
        </w:rPr>
        <w:t>%</w:t>
      </w:r>
      <w:r>
        <w:rPr>
          <w:rFonts w:hint="eastAsia" w:ascii="仿宋" w:eastAsia="仿宋"/>
          <w:color w:val="000000"/>
          <w:sz w:val="32"/>
          <w:szCs w:val="32"/>
        </w:rPr>
        <w:t>；社会保障和就业支出</w:t>
      </w:r>
      <w:r>
        <w:rPr>
          <w:rFonts w:hint="eastAsia" w:ascii="仿宋" w:eastAsia="仿宋"/>
          <w:bCs/>
          <w:color w:val="000000"/>
          <w:sz w:val="32"/>
          <w:szCs w:val="32"/>
        </w:rPr>
        <w:t>55.20万元，占6.74%；卫生健康支出</w:t>
      </w:r>
      <w:r>
        <w:rPr>
          <w:rFonts w:ascii="仿宋" w:eastAsia="仿宋"/>
          <w:bCs/>
          <w:color w:val="000000"/>
          <w:sz w:val="32"/>
          <w:szCs w:val="32"/>
        </w:rPr>
        <w:t>26.73</w:t>
      </w:r>
      <w:r>
        <w:rPr>
          <w:rFonts w:hint="eastAsia" w:ascii="仿宋" w:eastAsia="仿宋"/>
          <w:bCs/>
          <w:color w:val="000000"/>
          <w:sz w:val="32"/>
          <w:szCs w:val="32"/>
        </w:rPr>
        <w:t>万元，</w:t>
      </w:r>
      <w:r>
        <w:rPr>
          <w:rFonts w:hint="eastAsia" w:ascii="仿宋" w:eastAsia="仿宋"/>
          <w:color w:val="000000"/>
          <w:sz w:val="32"/>
          <w:szCs w:val="32"/>
        </w:rPr>
        <w:t>占3.26</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Cs/>
          <w:color w:val="000000"/>
          <w:sz w:val="32"/>
          <w:szCs w:val="32"/>
        </w:rPr>
        <w:t>农林水支出</w:t>
      </w:r>
      <w:r>
        <w:rPr>
          <w:rFonts w:ascii="仿宋" w:eastAsia="仿宋"/>
          <w:bCs/>
          <w:color w:val="000000"/>
          <w:sz w:val="32"/>
          <w:szCs w:val="32"/>
        </w:rPr>
        <w:t>200.68</w:t>
      </w:r>
      <w:r>
        <w:rPr>
          <w:rFonts w:hint="eastAsia" w:ascii="仿宋" w:eastAsia="仿宋"/>
          <w:bCs/>
          <w:color w:val="000000"/>
          <w:sz w:val="32"/>
          <w:szCs w:val="32"/>
        </w:rPr>
        <w:t>万元，</w:t>
      </w:r>
      <w:r>
        <w:rPr>
          <w:rFonts w:hint="eastAsia" w:ascii="仿宋" w:eastAsia="仿宋"/>
          <w:color w:val="000000"/>
          <w:sz w:val="32"/>
          <w:szCs w:val="32"/>
        </w:rPr>
        <w:t>占24.52</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Cs/>
          <w:color w:val="000000"/>
          <w:sz w:val="32"/>
          <w:szCs w:val="32"/>
        </w:rPr>
        <w:t>住房保障支出</w:t>
      </w:r>
      <w:r>
        <w:rPr>
          <w:rFonts w:ascii="仿宋" w:eastAsia="仿宋"/>
          <w:bCs/>
          <w:color w:val="000000"/>
          <w:sz w:val="32"/>
          <w:szCs w:val="32"/>
        </w:rPr>
        <w:t>31.86</w:t>
      </w:r>
      <w:r>
        <w:rPr>
          <w:rFonts w:hint="eastAsia" w:ascii="仿宋" w:eastAsia="仿宋"/>
          <w:bCs/>
          <w:color w:val="000000"/>
          <w:sz w:val="32"/>
          <w:szCs w:val="32"/>
        </w:rPr>
        <w:t>万元，</w:t>
      </w:r>
      <w:r>
        <w:rPr>
          <w:rFonts w:hint="eastAsia" w:ascii="仿宋" w:eastAsia="仿宋"/>
          <w:color w:val="000000"/>
          <w:sz w:val="32"/>
          <w:szCs w:val="32"/>
        </w:rPr>
        <w:t>占3.89</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Cs/>
          <w:color w:val="000000"/>
          <w:sz w:val="32"/>
          <w:szCs w:val="32"/>
        </w:rPr>
        <w:t>其他支出</w:t>
      </w:r>
      <w:r>
        <w:rPr>
          <w:rFonts w:ascii="仿宋" w:eastAsia="仿宋"/>
          <w:bCs/>
          <w:color w:val="000000"/>
          <w:sz w:val="32"/>
          <w:szCs w:val="32"/>
        </w:rPr>
        <w:t>227.6</w:t>
      </w:r>
      <w:r>
        <w:rPr>
          <w:rFonts w:hint="eastAsia" w:ascii="仿宋" w:eastAsia="仿宋"/>
          <w:bCs/>
          <w:color w:val="000000"/>
          <w:sz w:val="32"/>
          <w:szCs w:val="32"/>
        </w:rPr>
        <w:t>8万元，</w:t>
      </w:r>
      <w:r>
        <w:rPr>
          <w:rFonts w:hint="eastAsia" w:ascii="仿宋" w:eastAsia="仿宋"/>
          <w:color w:val="000000"/>
          <w:sz w:val="32"/>
          <w:szCs w:val="32"/>
        </w:rPr>
        <w:t>占27.82</w:t>
      </w:r>
      <w:r>
        <w:rPr>
          <w:rFonts w:ascii="仿宋" w:eastAsia="仿宋"/>
          <w:color w:val="000000"/>
          <w:sz w:val="32"/>
          <w:szCs w:val="32"/>
        </w:rPr>
        <w:t>%</w:t>
      </w:r>
      <w:r>
        <w:rPr>
          <w:rFonts w:hint="eastAsia" w:ascii="仿宋" w:eastAsia="仿宋"/>
          <w:color w:val="000000"/>
          <w:sz w:val="32"/>
          <w:szCs w:val="32"/>
        </w:rPr>
        <w:t>。</w:t>
      </w:r>
      <w:r>
        <w:rPr>
          <w:rFonts w:ascii="仿宋" w:eastAsia="仿宋"/>
          <w:b/>
          <w:bCs/>
          <w:color w:val="000000"/>
          <w:sz w:val="32"/>
          <w:szCs w:val="32"/>
        </w:rPr>
        <w:t xml:space="preserve"> </w:t>
      </w:r>
    </w:p>
    <w:p>
      <w:pPr>
        <w:spacing w:line="600" w:lineRule="exact"/>
        <w:ind w:firstLine="640" w:firstLineChars="200"/>
        <w:outlineLvl w:val="1"/>
        <w:rPr>
          <w:rStyle w:val="19"/>
          <w:rFonts w:ascii="黑体" w:eastAsia="黑体"/>
          <w:b w:val="0"/>
        </w:rPr>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177165</wp:posOffset>
            </wp:positionH>
            <wp:positionV relativeFrom="paragraph">
              <wp:posOffset>134620</wp:posOffset>
            </wp:positionV>
            <wp:extent cx="5373370" cy="2648585"/>
            <wp:effectExtent l="0" t="0" r="0" b="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28" w:name="_Toc15377207"/>
      <w:bookmarkStart w:id="29" w:name="_Toc15396605"/>
      <w:r>
        <w:rPr>
          <w:rFonts w:hint="eastAsia" w:ascii="黑体" w:eastAsia="黑体"/>
          <w:color w:val="000000"/>
          <w:sz w:val="32"/>
          <w:szCs w:val="32"/>
        </w:rPr>
        <w:t>三、支出决</w:t>
      </w:r>
      <w:r>
        <w:rPr>
          <w:rStyle w:val="19"/>
          <w:rFonts w:hint="eastAsia" w:ascii="黑体" w:eastAsia="黑体"/>
          <w:b w:val="0"/>
        </w:rPr>
        <w:t>算情况说明</w:t>
      </w:r>
      <w:bookmarkEnd w:id="28"/>
      <w:bookmarkEnd w:id="29"/>
    </w:p>
    <w:p>
      <w:pPr>
        <w:spacing w:line="600" w:lineRule="exact"/>
        <w:ind w:firstLine="640"/>
        <w:rPr>
          <w:rFonts w:ascii="仿宋" w:eastAsia="仿宋"/>
          <w:b/>
          <w:bCs/>
          <w:color w:val="000000"/>
          <w:sz w:val="32"/>
          <w:szCs w:val="32"/>
        </w:rPr>
      </w:pPr>
      <w:r>
        <w:rPr>
          <w:rFonts w:hint="eastAsia" w:ascii="仿宋" w:eastAsia="仿宋"/>
          <w:color w:val="000000"/>
          <w:sz w:val="32"/>
          <w:szCs w:val="32"/>
        </w:rPr>
        <w:t>2020年本年总支出</w:t>
      </w:r>
      <w:r>
        <w:rPr>
          <w:rFonts w:hint="eastAsia" w:ascii="仿宋" w:eastAsia="仿宋"/>
          <w:bCs/>
          <w:color w:val="000000"/>
          <w:sz w:val="32"/>
          <w:szCs w:val="32"/>
        </w:rPr>
        <w:t>786.68</w:t>
      </w:r>
      <w:r>
        <w:rPr>
          <w:rFonts w:hint="eastAsia" w:ascii="仿宋" w:eastAsia="仿宋"/>
          <w:color w:val="000000"/>
          <w:sz w:val="32"/>
          <w:szCs w:val="32"/>
        </w:rPr>
        <w:t>万元，其中：基本支出</w:t>
      </w:r>
      <w:r>
        <w:rPr>
          <w:rFonts w:hint="eastAsia" w:ascii="仿宋" w:eastAsia="仿宋"/>
          <w:bCs/>
          <w:color w:val="000000"/>
          <w:sz w:val="32"/>
          <w:szCs w:val="32"/>
        </w:rPr>
        <w:t>417.16</w:t>
      </w:r>
      <w:r>
        <w:rPr>
          <w:rFonts w:hint="eastAsia" w:ascii="仿宋" w:eastAsia="仿宋"/>
          <w:color w:val="000000"/>
          <w:sz w:val="32"/>
          <w:szCs w:val="32"/>
        </w:rPr>
        <w:t>万元，占53.02%；项目支出</w:t>
      </w:r>
      <w:r>
        <w:rPr>
          <w:rFonts w:ascii="仿宋" w:eastAsia="仿宋"/>
          <w:color w:val="000000"/>
          <w:sz w:val="32"/>
          <w:szCs w:val="32"/>
        </w:rPr>
        <w:t>369.52</w:t>
      </w:r>
      <w:r>
        <w:rPr>
          <w:rFonts w:hint="eastAsia" w:ascii="仿宋" w:eastAsia="仿宋"/>
          <w:color w:val="000000"/>
          <w:sz w:val="32"/>
          <w:szCs w:val="32"/>
        </w:rPr>
        <w:t>万元，占46.97%。</w:t>
      </w:r>
      <w:r>
        <w:rPr>
          <w:rFonts w:ascii="仿宋" w:eastAsia="仿宋"/>
          <w:b/>
          <w:bCs/>
          <w:color w:val="000000"/>
          <w:sz w:val="32"/>
          <w:szCs w:val="32"/>
        </w:rPr>
        <w:t xml:space="preserve"> </w:t>
      </w:r>
    </w:p>
    <w:p>
      <w:pPr>
        <w:spacing w:line="600" w:lineRule="exact"/>
        <w:ind w:firstLine="640" w:firstLineChars="200"/>
        <w:rPr>
          <w:rFonts w:ascii="仿宋_GB2312" w:eastAsia="仿宋_GB2312"/>
          <w:color w:val="FF0000"/>
          <w:sz w:val="32"/>
          <w:szCs w:val="32"/>
        </w:rPr>
      </w:pPr>
      <w:r>
        <w:rPr>
          <w:rFonts w:hint="eastAsia" w:ascii="仿宋_GB2312" w:eastAsia="仿宋_GB2312"/>
          <w:color w:val="FF0000"/>
          <w:sz w:val="32"/>
          <w:szCs w:val="32"/>
        </w:rPr>
        <w:drawing>
          <wp:anchor distT="0" distB="0" distL="114300" distR="114300" simplePos="0" relativeHeight="251659264" behindDoc="0" locked="0" layoutInCell="1" allowOverlap="1">
            <wp:simplePos x="0" y="0"/>
            <wp:positionH relativeFrom="column">
              <wp:posOffset>64770</wp:posOffset>
            </wp:positionH>
            <wp:positionV relativeFrom="paragraph">
              <wp:posOffset>136525</wp:posOffset>
            </wp:positionV>
            <wp:extent cx="5061585" cy="1984375"/>
            <wp:effectExtent l="0" t="0" r="0" b="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19"/>
          <w:rFonts w:ascii="黑体" w:eastAsia="黑体"/>
          <w:b w:val="0"/>
        </w:rPr>
      </w:pPr>
      <w:bookmarkStart w:id="30" w:name="_Toc15396606"/>
      <w:bookmarkStart w:id="31" w:name="_Toc15377208"/>
      <w:r>
        <w:rPr>
          <w:rFonts w:hint="eastAsia" w:ascii="黑体" w:eastAsia="黑体"/>
          <w:color w:val="000000"/>
          <w:sz w:val="32"/>
          <w:szCs w:val="32"/>
        </w:rPr>
        <w:t>四、财</w:t>
      </w:r>
      <w:r>
        <w:rPr>
          <w:rStyle w:val="19"/>
          <w:rFonts w:hint="eastAsia" w:ascii="黑体" w:eastAsia="黑体"/>
          <w:b w:val="0"/>
        </w:rPr>
        <w:t>政拨款收入支出决算总体情况说明</w:t>
      </w:r>
      <w:bookmarkEnd w:id="30"/>
      <w:bookmarkEnd w:id="31"/>
    </w:p>
    <w:p>
      <w:pPr>
        <w:snapToGrid w:val="0"/>
        <w:spacing w:line="520" w:lineRule="exact"/>
        <w:ind w:firstLine="640" w:firstLineChars="200"/>
        <w:rPr>
          <w:rFonts w:ascii="仿宋" w:eastAsia="仿宋"/>
          <w:color w:val="000000"/>
          <w:sz w:val="32"/>
          <w:szCs w:val="32"/>
        </w:rPr>
      </w:pPr>
      <w:r>
        <w:rPr>
          <w:rFonts w:hint="eastAsia" w:ascii="仿宋" w:eastAsia="仿宋"/>
          <w:color w:val="000000"/>
          <w:sz w:val="32"/>
          <w:szCs w:val="32"/>
        </w:rPr>
        <w:t>2020年财政拨款收入818.37万元。与2019年相比，一般公共预算财政拨款收入较上年减少1万元，减少26.29%。减少的主要原因是2019年事业单位项目经费在事业单位核算，主要是减少州政府办公室直属事业单位“州大数据中心”、“州人防办”项目经费及州政府“口岸物流办”建设经费。2020年财政拨款支出786.69万元，</w:t>
      </w:r>
      <w:r>
        <w:rPr>
          <w:rFonts w:hint="eastAsia" w:ascii="仿宋" w:eastAsia="仿宋"/>
          <w:sz w:val="32"/>
          <w:szCs w:val="32"/>
        </w:rPr>
        <w:t>较上年支出减少万元，减少%</w:t>
      </w:r>
      <w:r>
        <w:rPr>
          <w:rFonts w:hint="eastAsia" w:ascii="仿宋_GB2312" w:eastAsia="仿宋_GB2312"/>
          <w:spacing w:val="-2"/>
          <w:sz w:val="32"/>
          <w:szCs w:val="32"/>
        </w:rPr>
        <w:t>。</w:t>
      </w:r>
    </w:p>
    <w:p>
      <w:pPr>
        <w:spacing w:line="600" w:lineRule="exact"/>
        <w:ind w:firstLine="640" w:firstLineChars="200"/>
        <w:rPr>
          <w:rStyle w:val="19"/>
          <w:rFonts w:ascii="黑体" w:eastAsia="黑体"/>
          <w:b w:val="0"/>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32" w:name="_Toc15396607"/>
      <w:bookmarkStart w:id="33" w:name="_Toc15377209"/>
      <w:r>
        <w:rPr>
          <w:rFonts w:hint="eastAsia" w:ascii="黑体" w:eastAsia="黑体"/>
          <w:color w:val="000000"/>
          <w:sz w:val="32"/>
          <w:szCs w:val="32"/>
        </w:rPr>
        <w:t>五、</w:t>
      </w:r>
      <w:r>
        <w:rPr>
          <w:rFonts w:hint="eastAsia" w:ascii="黑体" w:eastAsia="黑体"/>
          <w:b/>
          <w:color w:val="000000"/>
          <w:sz w:val="32"/>
          <w:szCs w:val="32"/>
        </w:rPr>
        <w:t>一</w:t>
      </w:r>
      <w:r>
        <w:rPr>
          <w:rStyle w:val="19"/>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snapToGrid w:val="0"/>
        <w:spacing w:line="520" w:lineRule="exact"/>
        <w:ind w:firstLine="640" w:firstLineChars="200"/>
        <w:rPr>
          <w:rFonts w:ascii="仿宋_GB2312" w:eastAsia="仿宋_GB2312"/>
          <w:b/>
          <w:bCs/>
          <w:spacing w:val="-2"/>
          <w:sz w:val="32"/>
          <w:szCs w:val="32"/>
        </w:rPr>
      </w:pPr>
      <w:r>
        <w:rPr>
          <w:rFonts w:ascii="仿宋" w:eastAsia="仿宋"/>
          <w:color w:val="000000"/>
          <w:sz w:val="32"/>
          <w:szCs w:val="32"/>
        </w:rPr>
        <w:t>20</w:t>
      </w:r>
      <w:r>
        <w:rPr>
          <w:rFonts w:hint="eastAsia" w:ascii="仿宋" w:eastAsia="仿宋"/>
          <w:color w:val="000000"/>
          <w:sz w:val="32"/>
          <w:szCs w:val="32"/>
        </w:rPr>
        <w:t>20年</w:t>
      </w:r>
      <w:r>
        <w:rPr>
          <w:rFonts w:hint="eastAsia" w:ascii="仿宋_GB2312" w:eastAsia="仿宋_GB2312"/>
          <w:spacing w:val="-2"/>
          <w:sz w:val="32"/>
          <w:szCs w:val="32"/>
        </w:rPr>
        <w:t>一般公共预算财政拨款支出</w:t>
      </w:r>
      <w:r>
        <w:rPr>
          <w:rFonts w:hint="eastAsia" w:ascii="仿宋_GB2312" w:eastAsia="仿宋_GB2312"/>
          <w:bCs/>
          <w:spacing w:val="-2"/>
          <w:sz w:val="32"/>
          <w:szCs w:val="32"/>
        </w:rPr>
        <w:t>786.68</w:t>
      </w:r>
      <w:r>
        <w:rPr>
          <w:rFonts w:hint="eastAsia" w:ascii="仿宋_GB2312" w:eastAsia="仿宋_GB2312"/>
          <w:spacing w:val="-2"/>
          <w:sz w:val="32"/>
          <w:szCs w:val="32"/>
        </w:rPr>
        <w:t>万元，</w:t>
      </w:r>
      <w:r>
        <w:rPr>
          <w:rFonts w:hint="eastAsia" w:ascii="仿宋" w:eastAsia="仿宋"/>
          <w:color w:val="000000"/>
          <w:sz w:val="32"/>
          <w:szCs w:val="32"/>
        </w:rPr>
        <w:t>占本年总支出的100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201</w:t>
      </w:r>
      <w:r>
        <w:rPr>
          <w:rFonts w:hint="eastAsia" w:ascii="仿宋" w:eastAsia="仿宋"/>
          <w:color w:val="000000"/>
          <w:sz w:val="32"/>
          <w:szCs w:val="32"/>
        </w:rPr>
        <w:t>9年相比，一般公共预算财政拨款</w:t>
      </w:r>
      <w:r>
        <w:rPr>
          <w:rFonts w:hint="eastAsia" w:ascii="仿宋_GB2312" w:eastAsia="仿宋_GB2312"/>
          <w:spacing w:val="-2"/>
          <w:sz w:val="32"/>
          <w:szCs w:val="32"/>
        </w:rPr>
        <w:t>支出</w:t>
      </w:r>
      <w:r>
        <w:rPr>
          <w:rFonts w:hint="eastAsia" w:ascii="仿宋_GB2312" w:eastAsia="仿宋_GB2312"/>
          <w:spacing w:val="-2"/>
          <w:sz w:val="32"/>
          <w:szCs w:val="32"/>
          <w:lang w:eastAsia="zh-CN"/>
        </w:rPr>
        <w:t>增加</w:t>
      </w:r>
      <w:r>
        <w:rPr>
          <w:rFonts w:hint="eastAsia" w:ascii="仿宋_GB2312" w:eastAsia="仿宋_GB2312"/>
          <w:spacing w:val="-2"/>
          <w:sz w:val="32"/>
          <w:szCs w:val="32"/>
          <w:lang w:val="en-US" w:eastAsia="zh-CN"/>
        </w:rPr>
        <w:t>197.62</w:t>
      </w:r>
      <w:r>
        <w:rPr>
          <w:rFonts w:hint="eastAsia" w:ascii="仿宋_GB2312" w:eastAsia="仿宋_GB2312"/>
          <w:spacing w:val="-2"/>
          <w:sz w:val="32"/>
          <w:szCs w:val="32"/>
        </w:rPr>
        <w:t>万元，</w:t>
      </w:r>
      <w:r>
        <w:rPr>
          <w:rFonts w:hint="eastAsia" w:ascii="仿宋_GB2312" w:eastAsia="仿宋_GB2312"/>
          <w:spacing w:val="-2"/>
          <w:sz w:val="32"/>
          <w:szCs w:val="32"/>
          <w:lang w:eastAsia="zh-CN"/>
        </w:rPr>
        <w:t>增加</w:t>
      </w:r>
      <w:r>
        <w:rPr>
          <w:rFonts w:hint="eastAsia" w:ascii="仿宋_GB2312" w:eastAsia="仿宋_GB2312"/>
          <w:spacing w:val="-2"/>
          <w:sz w:val="32"/>
          <w:szCs w:val="32"/>
          <w:lang w:val="en-US" w:eastAsia="zh-CN"/>
        </w:rPr>
        <w:t>25.12</w:t>
      </w:r>
      <w:r>
        <w:rPr>
          <w:rFonts w:hint="eastAsia" w:ascii="仿宋_GB2312" w:eastAsia="仿宋_GB2312"/>
          <w:spacing w:val="-2"/>
          <w:sz w:val="32"/>
          <w:szCs w:val="32"/>
        </w:rPr>
        <w:t>%。主要原因一是当年安排部门预算项目经费较上年有所</w:t>
      </w:r>
      <w:r>
        <w:rPr>
          <w:rFonts w:hint="eastAsia" w:ascii="仿宋_GB2312" w:eastAsia="仿宋_GB2312"/>
          <w:spacing w:val="-2"/>
          <w:sz w:val="32"/>
          <w:szCs w:val="32"/>
          <w:lang w:eastAsia="zh-CN"/>
        </w:rPr>
        <w:t>增加</w:t>
      </w:r>
      <w:r>
        <w:rPr>
          <w:rFonts w:hint="eastAsia" w:ascii="仿宋_GB2312" w:eastAsia="仿宋_GB2312"/>
          <w:spacing w:val="-2"/>
          <w:sz w:val="32"/>
          <w:szCs w:val="32"/>
        </w:rPr>
        <w:t>。</w:t>
      </w:r>
    </w:p>
    <w:p>
      <w:pPr>
        <w:snapToGrid w:val="0"/>
        <w:spacing w:line="520" w:lineRule="exact"/>
        <w:ind w:firstLine="632" w:firstLineChars="200"/>
        <w:rPr>
          <w:rFonts w:ascii="仿宋_GB2312" w:eastAsia="仿宋_GB2312"/>
          <w:spacing w:val="-2"/>
          <w:sz w:val="32"/>
          <w:szCs w:val="32"/>
        </w:rPr>
      </w:pPr>
    </w:p>
    <w:p>
      <w:pPr>
        <w:snapToGrid w:val="0"/>
        <w:spacing w:line="520" w:lineRule="exact"/>
        <w:ind w:firstLine="640" w:firstLineChars="200"/>
        <w:rPr>
          <w:rFonts w:ascii="仿宋" w:eastAsia="仿宋"/>
          <w:b/>
          <w:color w:val="000000"/>
          <w:sz w:val="32"/>
          <w:szCs w:val="32"/>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177165</wp:posOffset>
            </wp:positionH>
            <wp:positionV relativeFrom="paragraph">
              <wp:posOffset>328295</wp:posOffset>
            </wp:positionV>
            <wp:extent cx="4836160" cy="2752090"/>
            <wp:effectExtent l="0" t="0" r="0" b="0"/>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5" w:name="_Toc15377211"/>
      <w:r>
        <w:rPr>
          <w:rFonts w:hint="eastAsia" w:ascii="仿宋" w:eastAsia="仿宋"/>
          <w:b/>
          <w:color w:val="000000"/>
          <w:sz w:val="32"/>
          <w:szCs w:val="32"/>
        </w:rPr>
        <w:t>（二）一般公共预算财政拨款支出决算结构情况</w:t>
      </w:r>
      <w:bookmarkEnd w:id="35"/>
    </w:p>
    <w:p>
      <w:pPr>
        <w:spacing w:line="600" w:lineRule="exact"/>
        <w:ind w:firstLine="640"/>
        <w:rPr>
          <w:rFonts w:ascii="仿宋" w:eastAsia="仿宋"/>
          <w:b/>
          <w:bCs/>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20年一般公共预算财政拨款支出</w:t>
      </w:r>
      <w:r>
        <w:rPr>
          <w:rFonts w:hint="eastAsia" w:ascii="仿宋" w:eastAsia="仿宋"/>
          <w:b/>
          <w:bCs/>
          <w:color w:val="000000"/>
          <w:sz w:val="32"/>
          <w:szCs w:val="32"/>
        </w:rPr>
        <w:t>786.68</w:t>
      </w:r>
      <w:r>
        <w:rPr>
          <w:rFonts w:hint="eastAsia" w:ascii="仿宋" w:eastAsia="仿宋"/>
          <w:color w:val="000000"/>
          <w:sz w:val="32"/>
          <w:szCs w:val="32"/>
        </w:rPr>
        <w:t>万元，主要用于以下方面</w:t>
      </w:r>
      <w:r>
        <w:rPr>
          <w:rFonts w:hint="eastAsia" w:ascii="仿宋" w:eastAsia="仿宋"/>
          <w:color w:val="000000"/>
          <w:sz w:val="32"/>
          <w:szCs w:val="32"/>
          <w:lang w:eastAsia="zh-CN"/>
        </w:rPr>
        <w:t>：</w:t>
      </w:r>
      <w:bookmarkStart w:id="62" w:name="_GoBack"/>
      <w:bookmarkEnd w:id="62"/>
      <w:r>
        <w:rPr>
          <w:rFonts w:hint="eastAsia" w:ascii="仿宋" w:eastAsia="仿宋"/>
          <w:b/>
          <w:color w:val="000000"/>
          <w:sz w:val="32"/>
          <w:szCs w:val="32"/>
        </w:rPr>
        <w:t>一般公共服务（类）</w:t>
      </w:r>
      <w:r>
        <w:rPr>
          <w:rFonts w:hint="eastAsia" w:ascii="仿宋" w:eastAsia="仿宋"/>
          <w:color w:val="000000"/>
          <w:sz w:val="32"/>
          <w:szCs w:val="32"/>
        </w:rPr>
        <w:t>支出</w:t>
      </w:r>
      <w:r>
        <w:rPr>
          <w:rFonts w:ascii="仿宋" w:eastAsia="仿宋"/>
          <w:color w:val="000000"/>
          <w:sz w:val="32"/>
          <w:szCs w:val="32"/>
        </w:rPr>
        <w:t>276.21</w:t>
      </w:r>
      <w:r>
        <w:rPr>
          <w:rFonts w:hint="eastAsia" w:ascii="仿宋" w:eastAsia="仿宋"/>
          <w:color w:val="000000"/>
          <w:sz w:val="32"/>
          <w:szCs w:val="32"/>
        </w:rPr>
        <w:t>万元，占33.75</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hint="eastAsia" w:ascii="仿宋" w:eastAsia="仿宋"/>
          <w:bCs/>
          <w:color w:val="000000"/>
          <w:sz w:val="32"/>
          <w:szCs w:val="32"/>
        </w:rPr>
        <w:t>55.20万元，占6.74%；</w:t>
      </w:r>
      <w:r>
        <w:rPr>
          <w:rFonts w:hint="eastAsia" w:ascii="仿宋" w:eastAsia="仿宋"/>
          <w:b/>
          <w:bCs/>
          <w:color w:val="000000"/>
          <w:sz w:val="32"/>
          <w:szCs w:val="32"/>
        </w:rPr>
        <w:t>卫生健康支出</w:t>
      </w:r>
      <w:r>
        <w:rPr>
          <w:rFonts w:hint="eastAsia" w:ascii="仿宋" w:eastAsia="仿宋"/>
          <w:b/>
          <w:color w:val="000000"/>
          <w:sz w:val="32"/>
          <w:szCs w:val="32"/>
        </w:rPr>
        <w:t>（类）</w:t>
      </w:r>
      <w:r>
        <w:rPr>
          <w:rFonts w:ascii="仿宋" w:eastAsia="仿宋"/>
          <w:bCs/>
          <w:color w:val="000000"/>
          <w:sz w:val="32"/>
          <w:szCs w:val="32"/>
        </w:rPr>
        <w:t>26.73</w:t>
      </w:r>
      <w:r>
        <w:rPr>
          <w:rFonts w:hint="eastAsia" w:ascii="仿宋" w:eastAsia="仿宋"/>
          <w:bCs/>
          <w:color w:val="000000"/>
          <w:sz w:val="32"/>
          <w:szCs w:val="32"/>
        </w:rPr>
        <w:t>万元，</w:t>
      </w:r>
      <w:r>
        <w:rPr>
          <w:rFonts w:hint="eastAsia" w:ascii="仿宋" w:eastAsia="仿宋"/>
          <w:color w:val="000000"/>
          <w:sz w:val="32"/>
          <w:szCs w:val="32"/>
        </w:rPr>
        <w:t>占3.26</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b/>
          <w:color w:val="000000"/>
          <w:sz w:val="32"/>
          <w:szCs w:val="32"/>
        </w:rPr>
        <w:t>（类）</w:t>
      </w:r>
      <w:r>
        <w:rPr>
          <w:rFonts w:ascii="仿宋" w:eastAsia="仿宋"/>
          <w:bCs/>
          <w:color w:val="000000"/>
          <w:sz w:val="32"/>
          <w:szCs w:val="32"/>
        </w:rPr>
        <w:t>31.86</w:t>
      </w:r>
      <w:r>
        <w:rPr>
          <w:rFonts w:hint="eastAsia" w:ascii="仿宋" w:eastAsia="仿宋"/>
          <w:bCs/>
          <w:color w:val="000000"/>
          <w:sz w:val="32"/>
          <w:szCs w:val="32"/>
        </w:rPr>
        <w:t>万元，</w:t>
      </w:r>
      <w:r>
        <w:rPr>
          <w:rFonts w:hint="eastAsia" w:ascii="仿宋" w:eastAsia="仿宋"/>
          <w:color w:val="000000"/>
          <w:sz w:val="32"/>
          <w:szCs w:val="32"/>
        </w:rPr>
        <w:t>占3.89</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农林水支出</w:t>
      </w:r>
      <w:r>
        <w:rPr>
          <w:rFonts w:hint="eastAsia" w:ascii="仿宋" w:eastAsia="仿宋"/>
          <w:b/>
          <w:color w:val="000000"/>
          <w:sz w:val="32"/>
          <w:szCs w:val="32"/>
        </w:rPr>
        <w:t>（类）</w:t>
      </w:r>
      <w:r>
        <w:rPr>
          <w:rFonts w:ascii="仿宋" w:eastAsia="仿宋"/>
          <w:bCs/>
          <w:color w:val="000000"/>
          <w:sz w:val="32"/>
          <w:szCs w:val="32"/>
        </w:rPr>
        <w:t>200.68</w:t>
      </w:r>
      <w:r>
        <w:rPr>
          <w:rFonts w:hint="eastAsia" w:ascii="仿宋" w:eastAsia="仿宋"/>
          <w:bCs/>
          <w:color w:val="000000"/>
          <w:sz w:val="32"/>
          <w:szCs w:val="32"/>
        </w:rPr>
        <w:t>万元，</w:t>
      </w:r>
      <w:r>
        <w:rPr>
          <w:rFonts w:hint="eastAsia" w:ascii="仿宋" w:eastAsia="仿宋"/>
          <w:color w:val="000000"/>
          <w:sz w:val="32"/>
          <w:szCs w:val="32"/>
        </w:rPr>
        <w:t>占24.52</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其他支出</w:t>
      </w:r>
      <w:r>
        <w:rPr>
          <w:rFonts w:hint="eastAsia" w:ascii="仿宋" w:eastAsia="仿宋"/>
          <w:b/>
          <w:color w:val="000000"/>
          <w:sz w:val="32"/>
          <w:szCs w:val="32"/>
        </w:rPr>
        <w:t>（类）</w:t>
      </w:r>
      <w:r>
        <w:rPr>
          <w:rFonts w:ascii="仿宋" w:eastAsia="仿宋"/>
          <w:bCs/>
          <w:color w:val="000000"/>
          <w:sz w:val="32"/>
          <w:szCs w:val="32"/>
        </w:rPr>
        <w:t>227.6</w:t>
      </w:r>
      <w:r>
        <w:rPr>
          <w:rFonts w:hint="eastAsia" w:ascii="仿宋" w:eastAsia="仿宋"/>
          <w:bCs/>
          <w:color w:val="000000"/>
          <w:sz w:val="32"/>
          <w:szCs w:val="32"/>
        </w:rPr>
        <w:t>8万元，</w:t>
      </w:r>
      <w:r>
        <w:rPr>
          <w:rFonts w:hint="eastAsia" w:ascii="仿宋" w:eastAsia="仿宋"/>
          <w:color w:val="000000"/>
          <w:sz w:val="32"/>
          <w:szCs w:val="32"/>
        </w:rPr>
        <w:t>占27.82</w:t>
      </w:r>
      <w:r>
        <w:rPr>
          <w:rFonts w:ascii="仿宋" w:eastAsia="仿宋"/>
          <w:color w:val="000000"/>
          <w:sz w:val="32"/>
          <w:szCs w:val="32"/>
        </w:rPr>
        <w:t>%</w:t>
      </w:r>
      <w:r>
        <w:rPr>
          <w:rFonts w:hint="eastAsia" w:ascii="仿宋" w:eastAsia="仿宋"/>
          <w:color w:val="000000"/>
          <w:sz w:val="32"/>
          <w:szCs w:val="32"/>
        </w:rPr>
        <w:t>。</w:t>
      </w:r>
      <w:r>
        <w:rPr>
          <w:rFonts w:ascii="仿宋" w:eastAsia="仿宋"/>
          <w:b/>
          <w:bCs/>
          <w:color w:val="000000"/>
          <w:sz w:val="32"/>
          <w:szCs w:val="32"/>
        </w:rPr>
        <w:t xml:space="preserve"> </w:t>
      </w:r>
    </w:p>
    <w:p>
      <w:pPr>
        <w:spacing w:line="600" w:lineRule="exact"/>
        <w:ind w:firstLine="8320" w:firstLineChars="2600"/>
        <w:outlineLvl w:val="2"/>
        <w:rPr>
          <w:rFonts w:ascii="仿宋" w:eastAsia="仿宋"/>
          <w:b/>
          <w:color w:val="000000"/>
          <w:sz w:val="32"/>
          <w:szCs w:val="32"/>
        </w:rPr>
      </w:pPr>
      <w:bookmarkStart w:id="36" w:name="_Toc15377444"/>
      <w:bookmarkStart w:id="37" w:name="_Toc15378460"/>
      <w:bookmarkStart w:id="38" w:name="_Toc15377213"/>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540385</wp:posOffset>
            </wp:positionH>
            <wp:positionV relativeFrom="paragraph">
              <wp:posOffset>309245</wp:posOffset>
            </wp:positionV>
            <wp:extent cx="4572000" cy="2341245"/>
            <wp:effectExtent l="0" t="0" r="0" b="0"/>
            <wp:wrapTopAndBottom/>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8353" w:firstLineChars="2600"/>
        <w:outlineLvl w:val="2"/>
        <w:rPr>
          <w:rFonts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bookmarkStart w:id="39" w:name="_Toc15377212"/>
      <w:r>
        <w:rPr>
          <w:rFonts w:hint="eastAsia" w:ascii="仿宋" w:eastAsia="仿宋"/>
          <w:b/>
          <w:color w:val="000000"/>
          <w:sz w:val="32"/>
          <w:szCs w:val="32"/>
        </w:rPr>
        <w:t>（三）一般公共预算财政拨款支出决算具体情况</w:t>
      </w:r>
      <w:bookmarkEnd w:id="39"/>
    </w:p>
    <w:p>
      <w:pPr>
        <w:spacing w:line="600" w:lineRule="exact"/>
        <w:outlineLvl w:val="2"/>
        <w:rPr>
          <w:rFonts w:ascii="仿宋" w:eastAsia="仿宋"/>
          <w:bCs/>
          <w:color w:val="000000"/>
          <w:sz w:val="32"/>
          <w:szCs w:val="32"/>
        </w:rPr>
      </w:pPr>
      <w:r>
        <w:rPr>
          <w:rFonts w:hint="eastAsia" w:ascii="仿宋" w:eastAsia="仿宋"/>
          <w:bCs/>
          <w:color w:val="000000"/>
          <w:sz w:val="32"/>
          <w:szCs w:val="32"/>
        </w:rPr>
        <w:t xml:space="preserve">    2020年一般公共预算数为818.37万元，支出决算数为786.69万元，完</w:t>
      </w:r>
      <w:r>
        <w:rPr>
          <w:rStyle w:val="16"/>
          <w:rFonts w:hint="eastAsia" w:ascii="仿宋" w:eastAsia="仿宋"/>
          <w:b w:val="0"/>
          <w:bCs/>
          <w:color w:val="000000"/>
          <w:sz w:val="32"/>
          <w:szCs w:val="32"/>
        </w:rPr>
        <w:t>成预算96.12</w:t>
      </w:r>
      <w:r>
        <w:rPr>
          <w:rStyle w:val="16"/>
          <w:rFonts w:ascii="仿宋" w:eastAsia="仿宋"/>
          <w:b w:val="0"/>
          <w:bCs/>
          <w:color w:val="000000"/>
          <w:sz w:val="32"/>
          <w:szCs w:val="32"/>
        </w:rPr>
        <w:t>%</w:t>
      </w:r>
      <w:r>
        <w:rPr>
          <w:rStyle w:val="16"/>
          <w:rFonts w:hint="eastAsia" w:ascii="仿宋" w:eastAsia="仿宋"/>
          <w:b w:val="0"/>
          <w:bCs/>
          <w:color w:val="000000"/>
          <w:sz w:val="32"/>
          <w:szCs w:val="32"/>
        </w:rPr>
        <w:t>。结转下年</w:t>
      </w:r>
      <w:r>
        <w:rPr>
          <w:rFonts w:hint="eastAsia" w:ascii="仿宋" w:eastAsia="仿宋"/>
          <w:bCs/>
          <w:color w:val="000000"/>
          <w:sz w:val="32"/>
          <w:szCs w:val="32"/>
        </w:rPr>
        <w:t>31.68</w:t>
      </w:r>
      <w:r>
        <w:rPr>
          <w:rStyle w:val="16"/>
          <w:rFonts w:hint="eastAsia" w:ascii="仿宋" w:eastAsia="仿宋"/>
          <w:b w:val="0"/>
          <w:bCs/>
          <w:color w:val="000000"/>
          <w:sz w:val="32"/>
          <w:szCs w:val="32"/>
        </w:rPr>
        <w:t>万元。其中：</w:t>
      </w:r>
      <w:bookmarkEnd w:id="36"/>
      <w:bookmarkEnd w:id="37"/>
      <w:bookmarkEnd w:id="38"/>
    </w:p>
    <w:p>
      <w:pPr>
        <w:spacing w:line="600" w:lineRule="exact"/>
        <w:ind w:firstLine="643" w:firstLineChars="200"/>
        <w:rPr>
          <w:rStyle w:val="16"/>
          <w:rFonts w:ascii="仿宋" w:eastAsia="仿宋"/>
          <w:b w:val="0"/>
          <w:bCs/>
          <w:color w:val="000000"/>
          <w:sz w:val="32"/>
          <w:szCs w:val="32"/>
        </w:rPr>
      </w:pPr>
      <w:r>
        <w:rPr>
          <w:rStyle w:val="16"/>
          <w:rFonts w:hint="eastAsia" w:ascii="仿宋" w:eastAsia="仿宋"/>
          <w:bCs/>
          <w:color w:val="000000"/>
          <w:sz w:val="32"/>
          <w:szCs w:val="32"/>
        </w:rPr>
        <w:t>1.一般公共服务（类）政府办公厅（室）及相关机构事务（款）行政运行（项）</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w:t>
      </w:r>
      <w:r>
        <w:rPr>
          <w:rFonts w:ascii="仿宋" w:eastAsia="仿宋"/>
          <w:color w:val="000000"/>
          <w:sz w:val="32"/>
          <w:szCs w:val="32"/>
        </w:rPr>
        <w:t>276.21</w:t>
      </w:r>
      <w:r>
        <w:rPr>
          <w:rStyle w:val="16"/>
          <w:rFonts w:hint="eastAsia" w:ascii="仿宋" w:eastAsia="仿宋"/>
          <w:b w:val="0"/>
          <w:bCs/>
          <w:color w:val="000000"/>
          <w:sz w:val="32"/>
          <w:szCs w:val="32"/>
        </w:rPr>
        <w:t>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firstLine="643" w:firstLineChars="200"/>
        <w:rPr>
          <w:rStyle w:val="16"/>
          <w:rFonts w:ascii="仿宋" w:eastAsia="仿宋"/>
          <w:b w:val="0"/>
          <w:bCs/>
          <w:color w:val="000000"/>
          <w:sz w:val="32"/>
          <w:szCs w:val="32"/>
        </w:rPr>
      </w:pPr>
      <w:r>
        <w:rPr>
          <w:rStyle w:val="16"/>
          <w:rFonts w:ascii="仿宋" w:eastAsia="仿宋"/>
          <w:bCs/>
          <w:color w:val="000000"/>
          <w:sz w:val="32"/>
          <w:szCs w:val="32"/>
        </w:rPr>
        <w:t>2.</w:t>
      </w:r>
      <w:r>
        <w:rPr>
          <w:rStyle w:val="16"/>
          <w:rFonts w:hint="eastAsia" w:ascii="仿宋" w:eastAsia="仿宋"/>
          <w:bCs/>
          <w:color w:val="000000"/>
          <w:sz w:val="32"/>
          <w:szCs w:val="32"/>
        </w:rPr>
        <w:t>一般公共服务（类）政府办公厅（室）及相关机构事务（款）一般行政管理事务（项）</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支出决算为0万元，完成预算</w:t>
      </w:r>
      <w:r>
        <w:rPr>
          <w:rStyle w:val="16"/>
          <w:rFonts w:ascii="仿宋" w:eastAsia="仿宋"/>
          <w:b w:val="0"/>
          <w:bCs/>
          <w:color w:val="000000"/>
          <w:sz w:val="32"/>
          <w:szCs w:val="32"/>
        </w:rPr>
        <w:t>%</w:t>
      </w:r>
      <w:r>
        <w:rPr>
          <w:rStyle w:val="16"/>
          <w:rFonts w:hint="eastAsia" w:ascii="仿宋" w:eastAsia="仿宋"/>
          <w:b w:val="0"/>
          <w:bCs/>
          <w:color w:val="000000"/>
          <w:sz w:val="32"/>
          <w:szCs w:val="32"/>
        </w:rPr>
        <w:t>。结转下年0万元。</w:t>
      </w:r>
    </w:p>
    <w:p>
      <w:pPr>
        <w:spacing w:line="600" w:lineRule="exact"/>
        <w:ind w:firstLine="643" w:firstLineChars="200"/>
        <w:rPr>
          <w:rFonts w:ascii="仿宋" w:eastAsia="仿宋"/>
          <w:b/>
          <w:color w:val="000000"/>
          <w:sz w:val="32"/>
          <w:szCs w:val="32"/>
        </w:rPr>
      </w:pPr>
      <w:r>
        <w:rPr>
          <w:rStyle w:val="16"/>
          <w:rFonts w:hint="eastAsia" w:ascii="仿宋" w:eastAsia="仿宋"/>
          <w:bCs/>
          <w:color w:val="000000"/>
          <w:sz w:val="32"/>
          <w:szCs w:val="32"/>
        </w:rPr>
        <w:t xml:space="preserve"> 3</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Cs/>
          <w:color w:val="000000"/>
          <w:sz w:val="32"/>
          <w:szCs w:val="32"/>
        </w:rPr>
        <w:t>社会保障和就业（类）行政事业单位离退休（款）机关事业单位基本养老保险缴费支出（项）</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支出决算为万元，完成预算</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rPr>
          <w:rFonts w:ascii="仿宋" w:eastAsia="仿宋"/>
          <w:b/>
          <w:color w:val="000000"/>
          <w:sz w:val="32"/>
          <w:szCs w:val="32"/>
        </w:rPr>
      </w:pPr>
      <w:r>
        <w:rPr>
          <w:rStyle w:val="16"/>
          <w:rFonts w:hint="eastAsia" w:ascii="仿宋" w:eastAsia="仿宋"/>
          <w:bCs/>
          <w:color w:val="000000"/>
          <w:sz w:val="32"/>
          <w:szCs w:val="32"/>
        </w:rPr>
        <w:t>4</w:t>
      </w:r>
      <w:r>
        <w:rPr>
          <w:rStyle w:val="16"/>
          <w:rFonts w:ascii="仿宋" w:eastAsia="仿宋"/>
          <w:bCs/>
          <w:color w:val="000000"/>
          <w:sz w:val="32"/>
          <w:szCs w:val="32"/>
        </w:rPr>
        <w:t>.</w:t>
      </w:r>
      <w:r>
        <w:rPr>
          <w:rStyle w:val="16"/>
          <w:rFonts w:hint="eastAsia" w:ascii="仿宋" w:eastAsia="仿宋"/>
          <w:bCs/>
          <w:color w:val="000000"/>
          <w:sz w:val="32"/>
          <w:szCs w:val="32"/>
        </w:rPr>
        <w:t>社会保障和就业（类）行政事业单位离退休（款）机关事业单位基本职业年金缴费支出（项）</w:t>
      </w:r>
      <w:r>
        <w:rPr>
          <w:rStyle w:val="16"/>
          <w:rFonts w:hint="eastAsia" w:ascii="仿宋" w:eastAsia="仿宋"/>
          <w:bCs/>
          <w:color w:val="000000"/>
          <w:sz w:val="32"/>
          <w:szCs w:val="32"/>
          <w:lang w:eastAsia="zh-CN"/>
        </w:rPr>
        <w:t>：</w:t>
      </w:r>
      <w:r>
        <w:rPr>
          <w:rStyle w:val="16"/>
          <w:rFonts w:hint="eastAsia" w:ascii="仿宋" w:eastAsia="仿宋"/>
          <w:b w:val="0"/>
          <w:bCs/>
          <w:color w:val="000000"/>
          <w:sz w:val="32"/>
          <w:szCs w:val="32"/>
        </w:rPr>
        <w:t>支出决算为</w:t>
      </w:r>
      <w:r>
        <w:rPr>
          <w:rFonts w:hint="eastAsia" w:ascii="仿宋" w:eastAsia="仿宋"/>
          <w:bCs/>
          <w:color w:val="000000"/>
          <w:sz w:val="32"/>
          <w:szCs w:val="32"/>
        </w:rPr>
        <w:t>55.20</w:t>
      </w:r>
      <w:r>
        <w:rPr>
          <w:rStyle w:val="16"/>
          <w:rFonts w:hint="eastAsia" w:ascii="仿宋" w:eastAsia="仿宋"/>
          <w:b w:val="0"/>
          <w:bCs/>
          <w:color w:val="000000"/>
          <w:sz w:val="32"/>
          <w:szCs w:val="32"/>
        </w:rPr>
        <w:t>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rPr>
          <w:rFonts w:ascii="仿宋" w:eastAsia="仿宋"/>
          <w:b/>
          <w:bCs/>
          <w:color w:val="000000"/>
          <w:sz w:val="32"/>
          <w:szCs w:val="32"/>
        </w:rPr>
      </w:pPr>
      <w:r>
        <w:rPr>
          <w:rStyle w:val="16"/>
          <w:rFonts w:hint="eastAsia" w:ascii="仿宋" w:eastAsia="仿宋"/>
          <w:bCs/>
          <w:color w:val="000000"/>
          <w:sz w:val="32"/>
          <w:szCs w:val="32"/>
        </w:rPr>
        <w:t>5.卫生健康支出（类）行政事业单位医疗（款）行政单位医疗（项）</w:t>
      </w:r>
      <w:r>
        <w:rPr>
          <w:rStyle w:val="16"/>
          <w:rFonts w:hint="eastAsia" w:ascii="仿宋" w:eastAsia="仿宋"/>
          <w:bCs/>
          <w:color w:val="000000"/>
          <w:sz w:val="32"/>
          <w:szCs w:val="32"/>
          <w:lang w:eastAsia="zh-CN"/>
        </w:rPr>
        <w:t>：</w:t>
      </w:r>
      <w:r>
        <w:rPr>
          <w:rStyle w:val="16"/>
          <w:rFonts w:hint="eastAsia" w:ascii="仿宋" w:eastAsia="仿宋"/>
          <w:b w:val="0"/>
          <w:bCs/>
          <w:color w:val="000000"/>
          <w:sz w:val="32"/>
          <w:szCs w:val="32"/>
        </w:rPr>
        <w:t>支出决算为14.95万元，完成预算100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r>
        <w:rPr>
          <w:rFonts w:hint="eastAsia" w:ascii="仿宋" w:eastAsia="仿宋"/>
          <w:bCs/>
          <w:color w:val="000000"/>
          <w:sz w:val="32"/>
          <w:szCs w:val="32"/>
        </w:rPr>
        <w:t>突发公共卫生事件应急处理</w:t>
      </w:r>
      <w:r>
        <w:rPr>
          <w:rStyle w:val="16"/>
          <w:rFonts w:hint="eastAsia" w:ascii="仿宋" w:eastAsia="仿宋"/>
          <w:b w:val="0"/>
          <w:bCs/>
          <w:color w:val="000000"/>
          <w:sz w:val="32"/>
          <w:szCs w:val="32"/>
        </w:rPr>
        <w:t>支出决算为</w:t>
      </w:r>
      <w:r>
        <w:rPr>
          <w:rFonts w:hint="eastAsia" w:ascii="仿宋" w:eastAsia="仿宋"/>
          <w:bCs/>
          <w:color w:val="000000"/>
          <w:sz w:val="32"/>
          <w:szCs w:val="32"/>
        </w:rPr>
        <w:t>6.94万元，</w:t>
      </w:r>
      <w:r>
        <w:rPr>
          <w:rStyle w:val="16"/>
          <w:rFonts w:hint="eastAsia" w:ascii="仿宋" w:eastAsia="仿宋"/>
          <w:b w:val="0"/>
          <w:bCs/>
          <w:color w:val="000000"/>
          <w:sz w:val="32"/>
          <w:szCs w:val="32"/>
        </w:rPr>
        <w:t>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6"/>
          <w:rFonts w:hint="eastAsia" w:ascii="仿宋" w:eastAsia="仿宋"/>
          <w:bCs/>
          <w:color w:val="000000"/>
          <w:sz w:val="32"/>
          <w:szCs w:val="32"/>
        </w:rPr>
        <w:t>6.卫生健康支出（类）行政事业单位医疗（款）公务员医疗补助（项）</w:t>
      </w:r>
      <w:r>
        <w:rPr>
          <w:rStyle w:val="16"/>
          <w:rFonts w:hint="eastAsia" w:ascii="仿宋" w:eastAsia="仿宋"/>
          <w:bCs/>
          <w:color w:val="000000"/>
          <w:sz w:val="32"/>
          <w:szCs w:val="32"/>
          <w:lang w:eastAsia="zh-CN"/>
        </w:rPr>
        <w:t>：</w:t>
      </w:r>
      <w:r>
        <w:rPr>
          <w:rStyle w:val="16"/>
          <w:rFonts w:hint="eastAsia" w:ascii="仿宋" w:eastAsia="仿宋"/>
          <w:b w:val="0"/>
          <w:bCs/>
          <w:color w:val="000000"/>
          <w:sz w:val="32"/>
          <w:szCs w:val="32"/>
        </w:rPr>
        <w:t>支出决算为4.84万元，完成预算100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rPr>
          <w:rStyle w:val="16"/>
          <w:rFonts w:ascii="仿宋" w:eastAsia="仿宋"/>
          <w:bCs/>
          <w:color w:val="000000"/>
          <w:sz w:val="32"/>
          <w:szCs w:val="32"/>
        </w:rPr>
      </w:pPr>
      <w:bookmarkStart w:id="40" w:name="_Toc15396608"/>
      <w:bookmarkStart w:id="41" w:name="_Toc15377214"/>
      <w:r>
        <w:rPr>
          <w:rStyle w:val="16"/>
          <w:rFonts w:hint="eastAsia" w:ascii="仿宋" w:eastAsia="仿宋"/>
          <w:bCs/>
          <w:color w:val="000000"/>
          <w:sz w:val="32"/>
          <w:szCs w:val="32"/>
        </w:rPr>
        <w:t>7.住房保障（类）住房改革支出（款）住房公积金（项）：</w:t>
      </w:r>
      <w:r>
        <w:rPr>
          <w:rStyle w:val="16"/>
          <w:rFonts w:hint="eastAsia" w:ascii="仿宋" w:eastAsia="仿宋"/>
          <w:b w:val="0"/>
          <w:bCs/>
          <w:color w:val="000000"/>
          <w:sz w:val="32"/>
          <w:szCs w:val="32"/>
        </w:rPr>
        <w:t>支出决算为31.86万元，完成预算100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0"/>
        <w:rPr>
          <w:rStyle w:val="19"/>
        </w:rPr>
      </w:pPr>
      <w:r>
        <w:rPr>
          <w:rFonts w:hint="eastAsia" w:ascii="黑体" w:eastAsia="黑体"/>
          <w:color w:val="000000"/>
          <w:sz w:val="32"/>
          <w:szCs w:val="32"/>
        </w:rPr>
        <w:t>六</w:t>
      </w:r>
      <w:r>
        <w:rPr>
          <w:rFonts w:hint="eastAsia" w:ascii="黑体" w:eastAsia="黑体"/>
          <w:b/>
          <w:color w:val="000000"/>
          <w:sz w:val="32"/>
          <w:szCs w:val="32"/>
        </w:rPr>
        <w:t>、一</w:t>
      </w:r>
      <w:r>
        <w:rPr>
          <w:rStyle w:val="19"/>
          <w:rFonts w:hint="eastAsia" w:ascii="黑体" w:eastAsia="黑体"/>
          <w:b w:val="0"/>
        </w:rPr>
        <w:t>般公共预算财政拨款基本支出决算情况说明</w:t>
      </w:r>
      <w:bookmarkEnd w:id="40"/>
      <w:bookmarkEnd w:id="41"/>
      <w:r>
        <w:rPr>
          <w:rStyle w:val="19"/>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20年一般公共预算财政拨款基本支出417.16万元，其中：</w:t>
      </w:r>
    </w:p>
    <w:p>
      <w:pPr>
        <w:rPr>
          <w:rFonts w:ascii="仿宋" w:eastAsia="仿宋"/>
          <w:color w:val="000000"/>
          <w:sz w:val="32"/>
          <w:szCs w:val="32"/>
        </w:rPr>
      </w:pPr>
      <w:r>
        <w:rPr>
          <w:rFonts w:hint="eastAsia" w:ascii="仿宋" w:eastAsia="仿宋"/>
          <w:color w:val="000000"/>
          <w:sz w:val="32"/>
          <w:szCs w:val="32"/>
        </w:rPr>
        <w:t>人员经费</w:t>
      </w:r>
      <w:r>
        <w:rPr>
          <w:rFonts w:ascii="仿宋" w:eastAsia="仿宋"/>
          <w:color w:val="000000"/>
          <w:sz w:val="32"/>
          <w:szCs w:val="32"/>
        </w:rPr>
        <w:t>394.67</w:t>
      </w:r>
      <w:r>
        <w:rPr>
          <w:rFonts w:hint="eastAsia" w:ascii="仿宋" w:eastAsia="仿宋"/>
          <w:color w:val="000000"/>
          <w:sz w:val="32"/>
          <w:szCs w:val="32"/>
        </w:rPr>
        <w:t>万元，主要包括：基本工资79.63万元、津贴补贴118.09万元、奖金7.39万元、绩效工资17.29万元、机关事业单位基本养老保险缴费29.40万元、职业年金缴费15.80万元、职工基本医疗保险缴费14.95万元、公务员医疗补助缴费4.84万元、其他社会保障缴费2.49万元、住房公积金31.86万元。</w:t>
      </w:r>
      <w:r>
        <w:rPr>
          <w:rFonts w:ascii="仿宋" w:eastAsia="仿宋"/>
          <w:color w:val="000000"/>
          <w:sz w:val="32"/>
          <w:szCs w:val="32"/>
        </w:rPr>
        <w:br w:type="textWrapping"/>
      </w:r>
      <w:r>
        <w:rPr>
          <w:rFonts w:hint="eastAsia" w:ascii="仿宋" w:eastAsia="仿宋"/>
          <w:color w:val="000000"/>
          <w:sz w:val="32"/>
          <w:szCs w:val="32"/>
        </w:rPr>
        <w:t>其他工资福利支出72.93万元、奖励金68.86万元、生活补助4.07万元。</w:t>
      </w:r>
    </w:p>
    <w:p>
      <w:pPr>
        <w:rPr>
          <w:rFonts w:ascii="仿宋" w:eastAsia="仿宋"/>
          <w:color w:val="000000"/>
          <w:sz w:val="32"/>
          <w:szCs w:val="32"/>
        </w:rPr>
      </w:pPr>
      <w:r>
        <w:rPr>
          <w:rFonts w:hint="eastAsia" w:ascii="仿宋" w:eastAsia="仿宋"/>
          <w:color w:val="000000"/>
          <w:sz w:val="32"/>
          <w:szCs w:val="32"/>
        </w:rPr>
        <w:t>　　公用经费22.49万元，主要包括：办公费4.69万元、印刷费2.00万元、电费3.00万元、邮电费2.00万元、取暖费2.00万元、差旅费3.00万元、因公出国（境）费用0万元、维修（护）费1.5万元、劳务费1.50万元、租赁费0万元、会议费0万元、培训费0万元、公务接待费0万元、福利费0万元、公务用车运行维护费2.66万元、其他商品和服务支出0.14万元、办公设备购置0万元、无形资产购置0万元等。</w:t>
      </w:r>
    </w:p>
    <w:p>
      <w:pPr>
        <w:spacing w:line="600" w:lineRule="exact"/>
        <w:ind w:firstLine="640" w:firstLineChars="200"/>
        <w:outlineLvl w:val="1"/>
        <w:rPr>
          <w:rStyle w:val="19"/>
          <w:rFonts w:ascii="黑体" w:eastAsia="黑体"/>
          <w:b w:val="0"/>
        </w:rPr>
      </w:pPr>
      <w:bookmarkStart w:id="42" w:name="_Toc15396609"/>
      <w:bookmarkStart w:id="43" w:name="_Toc15377215"/>
      <w:r>
        <w:rPr>
          <w:rFonts w:hint="eastAsia" w:ascii="黑体" w:eastAsia="黑体"/>
          <w:color w:val="000000"/>
          <w:sz w:val="32"/>
          <w:szCs w:val="32"/>
        </w:rPr>
        <w:t>七、</w:t>
      </w:r>
      <w:r>
        <w:rPr>
          <w:rStyle w:val="19"/>
          <w:rFonts w:hint="eastAsia" w:ascii="黑体" w:eastAsia="黑体"/>
        </w:rPr>
        <w:t>“</w:t>
      </w:r>
      <w:r>
        <w:rPr>
          <w:rStyle w:val="19"/>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20年“三公”经费财政拨款支出决算为2.8万元，完成预算100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w:t>
      </w:r>
      <w:r>
        <w:rPr>
          <w:rFonts w:hint="eastAsia" w:ascii="仿宋" w:eastAsia="仿宋"/>
          <w:sz w:val="32"/>
          <w:szCs w:val="32"/>
        </w:rPr>
        <w:t>决算2.8万元</w:t>
      </w:r>
      <w:r>
        <w:rPr>
          <w:rFonts w:hint="eastAsia" w:ascii="仿宋" w:eastAsia="仿宋"/>
          <w:color w:val="000000"/>
          <w:sz w:val="32"/>
          <w:szCs w:val="32"/>
        </w:rPr>
        <w:t>，其中：因公出国（境）费支出决算0万元，占</w:t>
      </w:r>
      <w:r>
        <w:rPr>
          <w:rFonts w:ascii="仿宋" w:eastAsia="仿宋"/>
          <w:color w:val="000000"/>
          <w:sz w:val="32"/>
          <w:szCs w:val="32"/>
        </w:rPr>
        <w:t>%</w:t>
      </w:r>
      <w:r>
        <w:rPr>
          <w:rFonts w:hint="eastAsia" w:ascii="仿宋" w:eastAsia="仿宋"/>
          <w:color w:val="000000"/>
          <w:sz w:val="32"/>
          <w:szCs w:val="32"/>
        </w:rPr>
        <w:t>；公务用车购置及运行维护费支出决算2.8万元，占100</w:t>
      </w:r>
      <w:r>
        <w:rPr>
          <w:rFonts w:ascii="仿宋" w:eastAsia="仿宋"/>
          <w:color w:val="000000"/>
          <w:sz w:val="32"/>
          <w:szCs w:val="32"/>
        </w:rPr>
        <w:t>%</w:t>
      </w:r>
      <w:r>
        <w:rPr>
          <w:rFonts w:hint="eastAsia" w:ascii="仿宋" w:eastAsia="仿宋"/>
          <w:color w:val="000000"/>
          <w:sz w:val="32"/>
          <w:szCs w:val="32"/>
        </w:rPr>
        <w:t>；公务接待费支出决算0万元，占0</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239395</wp:posOffset>
            </wp:positionH>
            <wp:positionV relativeFrom="paragraph">
              <wp:posOffset>147320</wp:posOffset>
            </wp:positionV>
            <wp:extent cx="5071110" cy="2591435"/>
            <wp:effectExtent l="0" t="0" r="0" b="0"/>
            <wp:wrapTopAndBottom/>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r>
        <w:rPr>
          <w:rStyle w:val="16"/>
          <w:rFonts w:hint="eastAsia" w:ascii="仿宋" w:eastAsia="仿宋"/>
          <w:b w:val="0"/>
          <w:bCs/>
          <w:color w:val="000000"/>
          <w:sz w:val="32"/>
          <w:szCs w:val="32"/>
        </w:rPr>
        <w:t>完成预算0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r>
        <w:rPr>
          <w:rFonts w:hint="eastAsia" w:ascii="仿宋_GB2312" w:eastAsia="仿宋_GB2312"/>
          <w:sz w:val="32"/>
          <w:szCs w:val="32"/>
        </w:rPr>
        <w:t>全年安排因公出国（境）团组0次，出国（境）0人。因</w:t>
      </w:r>
      <w:r>
        <w:rPr>
          <w:rFonts w:hint="eastAsia" w:ascii="仿宋_GB2312" w:eastAsia="仿宋_GB2312"/>
          <w:color w:val="000000"/>
          <w:sz w:val="32"/>
          <w:szCs w:val="32"/>
        </w:rPr>
        <w:t>公出国（境）支出决算比</w:t>
      </w: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s="仿宋"/>
          <w:color w:val="000000"/>
          <w:sz w:val="32"/>
          <w:szCs w:val="32"/>
        </w:rPr>
        <w:t>增加0万元，增加原因为受出国人次增加和出国目的地消费水平不同的影响，同比增长幅度较大。出国境经费均按相关文件执行。</w:t>
      </w:r>
    </w:p>
    <w:p>
      <w:pPr>
        <w:spacing w:line="600" w:lineRule="exact"/>
        <w:ind w:firstLine="640"/>
        <w:rPr>
          <w:rFonts w:hint="eastAsia" w:ascii="仿宋_GB2312" w:eastAsia="仿宋_GB2312"/>
          <w:b/>
          <w:sz w:val="32"/>
          <w:szCs w:val="32"/>
          <w:lang w:eastAsia="zh-CN"/>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rPr>
        <w:t>2.8万元</w:t>
      </w:r>
      <w:r>
        <w:rPr>
          <w:rFonts w:hint="eastAsia" w:ascii="仿宋_GB2312" w:eastAsia="仿宋_GB2312"/>
          <w:color w:val="000000"/>
          <w:sz w:val="32"/>
          <w:szCs w:val="32"/>
          <w:lang w:eastAsia="zh-CN"/>
        </w:rPr>
        <w:t>，</w:t>
      </w:r>
      <w:r>
        <w:rPr>
          <w:rStyle w:val="16"/>
          <w:rFonts w:hint="eastAsia" w:ascii="仿宋" w:eastAsia="仿宋"/>
          <w:b w:val="0"/>
          <w:bCs/>
          <w:color w:val="000000"/>
          <w:sz w:val="32"/>
          <w:szCs w:val="32"/>
        </w:rPr>
        <w:t>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6.6</w:t>
      </w:r>
      <w:r>
        <w:rPr>
          <w:rFonts w:ascii="仿宋_GB2312" w:eastAsia="仿宋_GB2312"/>
          <w:sz w:val="32"/>
          <w:szCs w:val="32"/>
        </w:rPr>
        <w:t>%</w:t>
      </w:r>
      <w:r>
        <w:rPr>
          <w:rFonts w:hint="eastAsia" w:ascii="仿宋_GB2312" w:eastAsia="仿宋_GB2312"/>
          <w:sz w:val="32"/>
          <w:szCs w:val="32"/>
        </w:rPr>
        <w:t>。</w:t>
      </w:r>
      <w:r>
        <w:rPr>
          <w:rFonts w:hint="eastAsia" w:ascii="仿宋_GB2312" w:eastAsia="仿宋_GB2312"/>
          <w:sz w:val="32"/>
          <w:szCs w:val="32"/>
          <w:lang w:eastAsia="zh-CN"/>
        </w:rPr>
        <w:t>减少</w:t>
      </w:r>
      <w:r>
        <w:rPr>
          <w:rFonts w:hint="eastAsia" w:ascii="仿宋_GB2312" w:eastAsia="仿宋_GB2312" w:cs="仿宋"/>
          <w:color w:val="000000"/>
          <w:sz w:val="32"/>
          <w:szCs w:val="32"/>
        </w:rPr>
        <w:t>原因是公务用车</w:t>
      </w:r>
      <w:r>
        <w:rPr>
          <w:rFonts w:hint="eastAsia" w:ascii="仿宋_GB2312" w:eastAsia="仿宋_GB2312" w:cs="仿宋"/>
          <w:color w:val="000000"/>
          <w:sz w:val="32"/>
          <w:szCs w:val="32"/>
          <w:lang w:eastAsia="zh-CN"/>
        </w:rPr>
        <w:t>费用减少。</w:t>
      </w:r>
    </w:p>
    <w:p>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日，共有车辆3辆，其中：部级领导干部用车0辆、主要领导干部用车0辆、机要通信用车0辆、应急保障用车3辆、执法执勤用车0辆、特种专业技术用车0辆、离退休干部用车0辆、其他用车0辆；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sz w:val="32"/>
          <w:szCs w:val="32"/>
        </w:rPr>
        <w:t>2.8万元。</w:t>
      </w:r>
      <w:r>
        <w:rPr>
          <w:rFonts w:hint="eastAsia" w:ascii="仿宋_GB2312" w:eastAsia="仿宋_GB2312"/>
          <w:color w:val="000000"/>
          <w:sz w:val="32"/>
          <w:szCs w:val="32"/>
        </w:rPr>
        <w:t>主要用我单位所需的公务用车燃料费、维修费、过路过桥费、保险费等支出。</w:t>
      </w:r>
    </w:p>
    <w:p>
      <w:pPr>
        <w:numPr>
          <w:ilvl w:val="0"/>
          <w:numId w:val="2"/>
        </w:numPr>
        <w:spacing w:line="600" w:lineRule="exact"/>
        <w:ind w:firstLine="640"/>
        <w:rPr>
          <w:rFonts w:ascii="仿宋_GB2312" w:eastAsia="仿宋_GB2312" w:cs="仿宋"/>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6"/>
          <w:rFonts w:hint="eastAsia" w:ascii="仿宋" w:eastAsia="仿宋"/>
          <w:b w:val="0"/>
          <w:bCs/>
          <w:color w:val="000000"/>
          <w:sz w:val="32"/>
          <w:szCs w:val="32"/>
        </w:rPr>
        <w:t>完成预算</w:t>
      </w:r>
      <w:r>
        <w:rPr>
          <w:rStyle w:val="16"/>
          <w:rFonts w:ascii="仿宋" w:eastAsia="仿宋"/>
          <w:b w:val="0"/>
          <w:bCs/>
          <w:color w:val="000000"/>
          <w:sz w:val="32"/>
          <w:szCs w:val="32"/>
        </w:rPr>
        <w:t>%</w:t>
      </w:r>
      <w:r>
        <w:rPr>
          <w:rStyle w:val="16"/>
          <w:rFonts w:hint="eastAsia" w:ascii="仿宋" w:eastAsia="仿宋"/>
          <w:b w:val="0"/>
          <w:bCs/>
          <w:color w:val="000000"/>
          <w:sz w:val="32"/>
          <w:szCs w:val="32"/>
        </w:rPr>
        <w:t>。</w:t>
      </w:r>
      <w:r>
        <w:rPr>
          <w:rFonts w:hint="eastAsia" w:ascii="仿宋_GB2312" w:eastAsia="仿宋_GB2312" w:cs="仿宋"/>
          <w:color w:val="000000"/>
          <w:sz w:val="32"/>
          <w:szCs w:val="32"/>
        </w:rPr>
        <w:t>公务接待费万元，较上年减少万元，减少%，减少原因是严格执行有关规定，实行“先审批，后接待”制度，严格控制接待标准和陪餐人数，降低接待费用。</w:t>
      </w:r>
    </w:p>
    <w:p>
      <w:pPr>
        <w:spacing w:line="600" w:lineRule="exact"/>
        <w:ind w:firstLine="640"/>
        <w:outlineLvl w:val="1"/>
        <w:rPr>
          <w:rFonts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rPr>
        <w:t>0</w:t>
      </w:r>
      <w:r>
        <w:rPr>
          <w:rFonts w:hint="eastAsia" w:ascii="仿宋_GB2312" w:eastAsia="仿宋_GB2312"/>
          <w:color w:val="000000"/>
          <w:sz w:val="32"/>
          <w:szCs w:val="32"/>
        </w:rPr>
        <w:t>万元，外事接待0批次，0人，共计支出0万元。</w:t>
      </w:r>
      <w:bookmarkStart w:id="46" w:name="_Toc15396610"/>
      <w:bookmarkStart w:id="47" w:name="_Toc15377218"/>
    </w:p>
    <w:p>
      <w:pPr>
        <w:spacing w:line="600" w:lineRule="exact"/>
        <w:ind w:firstLine="640"/>
        <w:outlineLvl w:val="1"/>
        <w:rPr>
          <w:rStyle w:val="19"/>
          <w:rFonts w:ascii="黑体" w:eastAsia="黑体"/>
        </w:rPr>
      </w:pPr>
      <w:r>
        <w:rPr>
          <w:rFonts w:hint="eastAsia" w:ascii="黑体" w:eastAsia="黑体"/>
          <w:color w:val="000000"/>
          <w:sz w:val="32"/>
          <w:szCs w:val="32"/>
        </w:rPr>
        <w:t>八、</w:t>
      </w:r>
      <w:r>
        <w:rPr>
          <w:rStyle w:val="19"/>
          <w:rFonts w:hint="eastAsia" w:asci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20年政府性基金预算拨款支出0万元。</w:t>
      </w:r>
    </w:p>
    <w:p>
      <w:pPr>
        <w:numPr>
          <w:ilvl w:val="0"/>
          <w:numId w:val="3"/>
        </w:numPr>
        <w:spacing w:line="600" w:lineRule="exact"/>
        <w:ind w:firstLine="640"/>
        <w:outlineLvl w:val="1"/>
        <w:rPr>
          <w:rStyle w:val="19"/>
          <w:rFonts w:ascii="黑体" w:eastAsia="黑体"/>
          <w:b w:val="0"/>
        </w:rPr>
      </w:pPr>
      <w:bookmarkStart w:id="48" w:name="_Toc15396611"/>
      <w:bookmarkStart w:id="49" w:name="_Toc15377219"/>
      <w:r>
        <w:rPr>
          <w:rStyle w:val="19"/>
          <w:rFonts w:hint="eastAsia" w:asci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20年国有资本经营预算拨款支出0万元。</w:t>
      </w:r>
    </w:p>
    <w:p>
      <w:pPr>
        <w:pStyle w:val="24"/>
        <w:numPr>
          <w:ilvl w:val="0"/>
          <w:numId w:val="4"/>
        </w:numPr>
        <w:spacing w:line="580" w:lineRule="exact"/>
        <w:ind w:firstLineChars="0"/>
        <w:rPr>
          <w:rStyle w:val="19"/>
          <w:rFonts w:ascii="黑体" w:eastAsia="黑体"/>
          <w:b w:val="0"/>
        </w:rPr>
      </w:pPr>
      <w:r>
        <w:rPr>
          <w:rStyle w:val="19"/>
          <w:rFonts w:hint="eastAsia" w:ascii="黑体" w:eastAsia="黑体"/>
          <w:b w:val="0"/>
        </w:rPr>
        <w:t>预算绩效情况说明</w:t>
      </w:r>
    </w:p>
    <w:p>
      <w:pPr>
        <w:numPr>
          <w:ilvl w:val="0"/>
          <w:numId w:val="5"/>
        </w:numPr>
        <w:spacing w:line="580" w:lineRule="exact"/>
        <w:ind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我单位在年初预算编制阶段，组织对项目开展了预算事前绩效评估，对1个项目编制了绩效目标，预算执行过程中，选取1个项目开展绩效监控，年终执行完毕后，对1个项目开展了绩效目标完成情况梳理填报。</w:t>
      </w:r>
    </w:p>
    <w:p>
      <w:pPr>
        <w:spacing w:line="580" w:lineRule="exact"/>
        <w:ind w:firstLine="640" w:firstLineChars="200"/>
        <w:rPr>
          <w:rFonts w:ascii="Calibri" w:hAnsi="Calibri"/>
        </w:rPr>
      </w:pPr>
      <w:r>
        <w:rPr>
          <w:rFonts w:hint="eastAsia" w:ascii="仿宋_GB2312" w:eastAsia="仿宋_GB2312" w:cs="仿宋_GB2312"/>
          <w:sz w:val="32"/>
          <w:szCs w:val="32"/>
        </w:rPr>
        <w:t>本部门按要求对20</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年部门整体支出开展绩效自评，</w:t>
      </w:r>
      <w:r>
        <w:rPr>
          <w:rFonts w:hint="eastAsia" w:ascii="仿宋_GB2312" w:eastAsia="仿宋_GB2312"/>
          <w:sz w:val="32"/>
          <w:szCs w:val="32"/>
        </w:rPr>
        <w:t>经全面综合评价，我单位预算支出绩效自评得分94.7</w:t>
      </w:r>
      <w:r>
        <w:rPr>
          <w:rFonts w:hint="eastAsia" w:ascii="仿宋_GB2312" w:eastAsia="仿宋_GB2312"/>
          <w:color w:val="000000"/>
          <w:sz w:val="32"/>
          <w:szCs w:val="32"/>
        </w:rPr>
        <w:t>分</w:t>
      </w:r>
      <w:r>
        <w:rPr>
          <w:rFonts w:hint="eastAsia" w:ascii="仿宋_GB2312" w:eastAsia="仿宋_GB2312"/>
          <w:sz w:val="32"/>
          <w:szCs w:val="32"/>
        </w:rPr>
        <w:t>（扣除我单位不存在的评价指标分值</w:t>
      </w:r>
      <w:r>
        <w:rPr>
          <w:rFonts w:hint="eastAsia" w:ascii="仿宋_GB2312" w:eastAsia="仿宋_GB2312"/>
          <w:sz w:val="32"/>
          <w:szCs w:val="32"/>
          <w:lang w:eastAsia="zh-CN"/>
        </w:rPr>
        <w:t>，</w:t>
      </w:r>
      <w:r>
        <w:rPr>
          <w:rFonts w:hint="eastAsia" w:ascii="仿宋_GB2312" w:eastAsia="仿宋_GB2312"/>
          <w:sz w:val="32"/>
          <w:szCs w:val="32"/>
        </w:rPr>
        <w:t>总分为96分）。我单位深入贯彻落实十九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rPr>
        <w:t>。本单位还自行组织了1个项目绩效评价，从评价情况来看我单位年初预算项目基本按照绩效目标完成支付，有部分项目结转质保金在下年质保期后进行支付。</w:t>
      </w:r>
    </w:p>
    <w:p>
      <w:pPr>
        <w:numPr>
          <w:ilvl w:val="0"/>
          <w:numId w:val="5"/>
        </w:numPr>
        <w:spacing w:line="580" w:lineRule="exact"/>
        <w:ind w:firstLine="643" w:firstLineChars="200"/>
        <w:rPr>
          <w:rFonts w:ascii="仿宋" w:eastAsia="仿宋" w:cs="仿宋_GB2312"/>
          <w:sz w:val="32"/>
          <w:szCs w:val="32"/>
        </w:rPr>
      </w:pPr>
      <w:r>
        <w:rPr>
          <w:rFonts w:hint="eastAsia" w:ascii="仿宋" w:eastAsia="仿宋" w:cs="楷体_GB2312"/>
          <w:b/>
          <w:bCs/>
          <w:sz w:val="32"/>
          <w:szCs w:val="32"/>
        </w:rPr>
        <w:t>部门开展绩效评价结果。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年部门整体支出绩效评价情况开展自评，</w:t>
      </w:r>
      <w:r>
        <w:rPr>
          <w:rFonts w:hint="eastAsia" w:ascii="仿宋_GB2312" w:eastAsia="仿宋_GB2312"/>
          <w:sz w:val="32"/>
          <w:szCs w:val="32"/>
        </w:rPr>
        <w:t>《阿坝州人民政府办公室20</w:t>
      </w:r>
      <w:r>
        <w:rPr>
          <w:rFonts w:hint="eastAsia" w:ascii="仿宋_GB2312" w:eastAsia="仿宋_GB2312"/>
          <w:sz w:val="32"/>
          <w:szCs w:val="32"/>
          <w:lang w:val="en-US" w:eastAsia="zh-CN"/>
        </w:rPr>
        <w:t>20</w:t>
      </w:r>
      <w:r>
        <w:rPr>
          <w:rFonts w:hint="eastAsia" w:ascii="仿宋_GB2312" w:eastAsia="仿宋_GB2312"/>
          <w:sz w:val="32"/>
          <w:szCs w:val="32"/>
        </w:rPr>
        <w:t>年部门预算整体支出绩效评价报告》</w:t>
      </w:r>
      <w:r>
        <w:rPr>
          <w:rFonts w:hint="eastAsia" w:ascii="仿宋_GB2312" w:eastAsia="仿宋_GB2312" w:cs="仿宋_GB2312"/>
          <w:sz w:val="32"/>
          <w:szCs w:val="32"/>
        </w:rPr>
        <w:t>见附件。</w:t>
      </w:r>
    </w:p>
    <w:p>
      <w:pPr>
        <w:spacing w:line="600" w:lineRule="exact"/>
        <w:ind w:firstLine="640" w:firstLineChars="200"/>
        <w:outlineLvl w:val="1"/>
        <w:rPr>
          <w:rStyle w:val="19"/>
          <w:rFonts w:ascii="黑体" w:eastAsia="黑体"/>
        </w:rPr>
      </w:pPr>
      <w:bookmarkStart w:id="50" w:name="_Toc15396612"/>
      <w:bookmarkStart w:id="51" w:name="_Toc15377221"/>
      <w:r>
        <w:rPr>
          <w:rFonts w:hint="eastAsia" w:ascii="黑体" w:eastAsia="黑体"/>
          <w:color w:val="000000"/>
          <w:sz w:val="32"/>
          <w:szCs w:val="32"/>
        </w:rPr>
        <w:t>十</w:t>
      </w:r>
      <w:r>
        <w:rPr>
          <w:rStyle w:val="19"/>
          <w:rFonts w:hint="eastAsia" w:ascii="黑体" w:eastAsia="黑体"/>
        </w:rPr>
        <w:t>一、</w:t>
      </w:r>
      <w:r>
        <w:rPr>
          <w:rStyle w:val="19"/>
          <w:rFonts w:hint="eastAsia" w:ascii="黑体" w:eastAsia="黑体"/>
          <w:b w:val="0"/>
        </w:rPr>
        <w:t>其他重要事项的情况说明</w:t>
      </w:r>
      <w:bookmarkEnd w:id="50"/>
      <w:bookmarkEnd w:id="51"/>
    </w:p>
    <w:p>
      <w:pPr>
        <w:spacing w:line="600" w:lineRule="exact"/>
        <w:ind w:firstLine="643" w:firstLineChars="200"/>
        <w:outlineLvl w:val="2"/>
        <w:rPr>
          <w:rFonts w:ascii="仿宋" w:eastAsia="仿宋"/>
          <w:color w:val="000000"/>
          <w:sz w:val="32"/>
          <w:szCs w:val="32"/>
        </w:rPr>
      </w:pPr>
      <w:bookmarkStart w:id="52" w:name="_Toc15377222"/>
      <w:r>
        <w:rPr>
          <w:rFonts w:hint="eastAsia" w:ascii="仿宋" w:eastAsia="仿宋"/>
          <w:b/>
          <w:color w:val="000000"/>
          <w:sz w:val="32"/>
          <w:szCs w:val="32"/>
        </w:rPr>
        <w:t>（一）机关运行经费支出情况</w:t>
      </w:r>
      <w:bookmarkEnd w:id="52"/>
    </w:p>
    <w:p>
      <w:pPr>
        <w:spacing w:line="600" w:lineRule="exact"/>
        <w:ind w:firstLine="640" w:firstLineChars="200"/>
        <w:rPr>
          <w:rFonts w:ascii="仿宋_GB2312" w:eastAsia="仿宋_GB2312"/>
          <w:sz w:val="32"/>
          <w:szCs w:val="32"/>
        </w:rPr>
      </w:pPr>
      <w:r>
        <w:rPr>
          <w:rFonts w:ascii="仿宋_GB2312" w:eastAsia="仿宋_GB2312"/>
          <w:color w:val="000000"/>
          <w:sz w:val="32"/>
          <w:szCs w:val="32"/>
        </w:rPr>
        <w:t>20</w:t>
      </w:r>
      <w:r>
        <w:rPr>
          <w:rFonts w:hint="eastAsia" w:ascii="仿宋_GB2312" w:eastAsia="仿宋_GB2312"/>
          <w:color w:val="000000"/>
          <w:sz w:val="32"/>
          <w:szCs w:val="32"/>
        </w:rPr>
        <w:t>20年，运行经费支出0万元</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3" w:name="_Toc15377223"/>
      <w:r>
        <w:rPr>
          <w:rFonts w:hint="eastAsia" w:ascii="仿宋" w:eastAsia="仿宋"/>
          <w:b/>
          <w:color w:val="000000"/>
          <w:sz w:val="32"/>
          <w:szCs w:val="32"/>
        </w:rPr>
        <w:t>（二）政府采购支出情况</w:t>
      </w:r>
      <w:bookmarkEnd w:id="53"/>
    </w:p>
    <w:p>
      <w:pPr>
        <w:spacing w:line="600" w:lineRule="exact"/>
        <w:ind w:firstLine="640" w:firstLineChars="200"/>
        <w:rPr>
          <w:rFonts w:ascii="仿宋" w:eastAsia="仿宋"/>
          <w:b/>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20年，政府采购支出总额0万元</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4" w:name="_Toc15377224"/>
      <w:r>
        <w:rPr>
          <w:rFonts w:hint="eastAsia" w:ascii="仿宋" w:eastAsia="仿宋"/>
          <w:b/>
          <w:color w:val="000000"/>
          <w:sz w:val="32"/>
          <w:szCs w:val="32"/>
        </w:rPr>
        <w:t>（三）国有资产占有使用情况</w:t>
      </w:r>
      <w:bookmarkEnd w:id="54"/>
    </w:p>
    <w:p>
      <w:pPr>
        <w:widowControl/>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日，共有车辆3辆，为日常工作及应急保障用车。</w:t>
      </w:r>
      <w:r>
        <w:rPr>
          <w:rFonts w:hint="eastAsia" w:ascii="仿宋_GB2312" w:eastAsia="仿宋_GB2312"/>
          <w:b/>
          <w:color w:val="000000"/>
          <w:sz w:val="32"/>
          <w:szCs w:val="32"/>
        </w:rPr>
        <w:t xml:space="preserve">    </w:t>
      </w:r>
    </w:p>
    <w:p>
      <w:pPr>
        <w:numPr>
          <w:ilvl w:val="0"/>
          <w:numId w:val="6"/>
        </w:numPr>
        <w:spacing w:line="600" w:lineRule="exact"/>
        <w:ind w:firstLine="663" w:firstLineChars="150"/>
        <w:jc w:val="center"/>
        <w:outlineLvl w:val="0"/>
        <w:rPr>
          <w:rStyle w:val="18"/>
          <w:rFonts w:ascii="黑体" w:eastAsia="黑体"/>
          <w:b w:val="0"/>
        </w:rPr>
      </w:pPr>
      <w:bookmarkStart w:id="55" w:name="_Toc15377225"/>
      <w:bookmarkStart w:id="56" w:name="_Toc15396613"/>
      <w:r>
        <w:rPr>
          <w:rFonts w:hint="eastAsia" w:ascii="黑体" w:eastAsia="黑体"/>
          <w:b/>
          <w:color w:val="000000"/>
          <w:sz w:val="44"/>
          <w:szCs w:val="44"/>
        </w:rPr>
        <w:t>名</w:t>
      </w:r>
      <w:r>
        <w:rPr>
          <w:rStyle w:val="18"/>
          <w:rFonts w:hint="eastAsia" w:ascii="黑体" w:eastAsia="黑体"/>
          <w:b w:val="0"/>
        </w:rPr>
        <w:t>词解释</w:t>
      </w:r>
      <w:bookmarkEnd w:id="55"/>
      <w:bookmarkEnd w:id="56"/>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w:t>
      </w:r>
      <w:r>
        <w:rPr>
          <w:rFonts w:hint="eastAsia" w:ascii="仿宋_GB2312" w:eastAsia="仿宋_GB2312"/>
          <w:color w:val="000000"/>
          <w:sz w:val="32"/>
          <w:szCs w:val="32"/>
          <w:lang w:eastAsia="zh-CN"/>
        </w:rPr>
        <w:t>上述</w:t>
      </w:r>
      <w:r>
        <w:rPr>
          <w:rFonts w:hint="eastAsia" w:ascii="仿宋_GB2312" w:eastAsia="仿宋_GB2312"/>
          <w:color w:val="000000"/>
          <w:sz w:val="32"/>
          <w:szCs w:val="32"/>
        </w:rPr>
        <w:t>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黑体" w:eastAsia="黑体"/>
          <w:color w:val="000000"/>
          <w:sz w:val="44"/>
          <w:szCs w:val="44"/>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57" w:name="_Toc15396614"/>
      <w:bookmarkStart w:id="58" w:name="_Toc15377226"/>
    </w:p>
    <w:p>
      <w:pPr>
        <w:pStyle w:val="4"/>
        <w:rPr>
          <w:rStyle w:val="18"/>
          <w:rFonts w:ascii="仿宋" w:eastAsia="仿宋"/>
          <w:b w:val="0"/>
          <w:bCs w:val="0"/>
          <w:sz w:val="32"/>
          <w:szCs w:val="32"/>
        </w:rPr>
      </w:pPr>
      <w:bookmarkStart w:id="59" w:name="_Toc15396615"/>
      <w:r>
        <w:rPr>
          <w:rStyle w:val="18"/>
          <w:rFonts w:hint="eastAsia" w:ascii="仿宋" w:eastAsia="仿宋"/>
          <w:b w:val="0"/>
          <w:bCs w:val="0"/>
          <w:sz w:val="32"/>
          <w:szCs w:val="32"/>
        </w:rPr>
        <w:t>附件1</w:t>
      </w:r>
      <w:bookmarkEnd w:id="59"/>
    </w:p>
    <w:p>
      <w:pPr>
        <w:numPr>
          <w:ilvl w:val="0"/>
          <w:numId w:val="6"/>
        </w:numPr>
        <w:spacing w:line="600" w:lineRule="exact"/>
        <w:ind w:firstLine="660" w:firstLineChars="150"/>
        <w:jc w:val="center"/>
        <w:outlineLvl w:val="0"/>
        <w:rPr>
          <w:rStyle w:val="18"/>
          <w:rFonts w:ascii="黑体" w:eastAsia="黑体"/>
          <w:b w:val="0"/>
        </w:rPr>
      </w:pPr>
      <w:r>
        <w:rPr>
          <w:rStyle w:val="18"/>
          <w:rFonts w:hint="eastAsia" w:ascii="黑体" w:eastAsia="黑体"/>
          <w:b w:val="0"/>
        </w:rPr>
        <w:t>附件</w:t>
      </w:r>
      <w:bookmarkEnd w:id="57"/>
    </w:p>
    <w:p>
      <w:pPr>
        <w:outlineLvl w:val="0"/>
        <w:rPr>
          <w:rStyle w:val="18"/>
          <w:rFonts w:ascii="黑体" w:eastAsia="黑体"/>
          <w:b w:val="0"/>
        </w:rPr>
      </w:pPr>
    </w:p>
    <w:bookmarkEnd w:id="58"/>
    <w:p>
      <w:pPr>
        <w:widowControl/>
        <w:spacing w:line="560" w:lineRule="atLeast"/>
        <w:jc w:val="center"/>
        <w:rPr>
          <w:rFonts w:hint="eastAsia" w:ascii="宋体" w:hAnsi="宋体" w:cs="宋体"/>
          <w:b/>
          <w:sz w:val="44"/>
          <w:szCs w:val="44"/>
        </w:rPr>
      </w:pPr>
      <w:bookmarkStart w:id="60" w:name="_Toc15396619"/>
      <w:bookmarkStart w:id="61" w:name="_Toc15396618"/>
      <w:r>
        <w:rPr>
          <w:rFonts w:hint="eastAsia" w:ascii="宋体" w:hAnsi="宋体" w:cs="宋体"/>
          <w:b/>
          <w:sz w:val="44"/>
          <w:szCs w:val="44"/>
        </w:rPr>
        <w:t>金川县河西乡人民政府</w:t>
      </w:r>
    </w:p>
    <w:p>
      <w:pPr>
        <w:widowControl/>
        <w:spacing w:line="560" w:lineRule="atLeast"/>
        <w:jc w:val="center"/>
        <w:rPr>
          <w:rFonts w:ascii="仿宋_GB2312" w:hAnsi="仿宋"/>
          <w:color w:val="000000"/>
          <w:kern w:val="0"/>
          <w:shd w:val="clear" w:color="auto" w:fill="FFFFFF"/>
        </w:rPr>
      </w:pPr>
      <w:r>
        <w:rPr>
          <w:rFonts w:hint="eastAsia" w:ascii="宋体" w:hAnsi="宋体" w:cs="宋体"/>
          <w:b/>
          <w:sz w:val="44"/>
          <w:szCs w:val="44"/>
        </w:rPr>
        <w:t>2021年部门整体支出绩效评价报告</w:t>
      </w:r>
    </w:p>
    <w:p>
      <w:pPr>
        <w:widowControl/>
        <w:adjustRightInd w:val="0"/>
        <w:snapToGrid w:val="0"/>
        <w:spacing w:line="540" w:lineRule="exact"/>
        <w:jc w:val="left"/>
        <w:rPr>
          <w:rFonts w:ascii="黑体" w:hAnsi="宋体" w:eastAsia="黑体" w:cs="宋体"/>
          <w:color w:val="000000"/>
          <w:kern w:val="0"/>
          <w:lang w:val="zh-CN"/>
        </w:rPr>
      </w:pPr>
      <w:r>
        <w:rPr>
          <w:rFonts w:hint="eastAsia" w:ascii="黑体" w:hAnsi="宋体" w:eastAsia="黑体" w:cs="宋体"/>
          <w:color w:val="000000"/>
          <w:kern w:val="0"/>
          <w:sz w:val="32"/>
        </w:rPr>
        <w:t>一、</w:t>
      </w:r>
      <w:r>
        <w:rPr>
          <w:rFonts w:hint="eastAsia" w:ascii="黑体" w:hAnsi="宋体" w:eastAsia="黑体" w:cs="宋体"/>
          <w:color w:val="000000"/>
          <w:kern w:val="0"/>
          <w:sz w:val="32"/>
          <w:lang w:val="zh-CN"/>
        </w:rPr>
        <w:t>部门（单位）概况</w:t>
      </w:r>
    </w:p>
    <w:p>
      <w:pPr>
        <w:widowControl/>
        <w:spacing w:line="54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zh-CN"/>
        </w:rPr>
        <w:t>（一）河西乡人民政府下设“一办四中心一所”：具体组成为：党政综合办公室、综合文化发展中心、社会保障综合服务中心、经济发展中心、河西乡财政所。</w:t>
      </w:r>
    </w:p>
    <w:p>
      <w:pPr>
        <w:widowControl/>
        <w:spacing w:line="54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zh-CN"/>
        </w:rPr>
        <w:t>（二）</w:t>
      </w:r>
      <w:r>
        <w:rPr>
          <w:rFonts w:hint="eastAsia" w:ascii="仿宋_GB2312" w:hAnsi="仿宋_GB2312" w:eastAsia="仿宋_GB2312" w:cs="仿宋_GB2312"/>
          <w:color w:val="000000"/>
          <w:sz w:val="32"/>
          <w:szCs w:val="32"/>
        </w:rPr>
        <w:t>一是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二是制定并组织实施村乡建设规划，部署重点工程建设，地方道路建设及公共设施，水利设施的管理，负责土地、林木、水等自然资源和生态环境的保护，做好护林防火工作。三是负责本行政区域内的民政、计划生育、文化教育、卫生、体育等社会公益事业的综合性工作，维护一切经济单位和个人的正当经济权益，取缔非法经济活动，调解和处理民事纠纷，打击刑事犯罪维护社会稳定。四是按计划组织本级财政收入，完成国家财政计划，管好财政资金，增强财政实力。五是抓好精神文明建设，丰富群众文化生活，提倡移风易俗，反对封建迷信，破除陈规陋习，树立社会主义新风尚。六是完成上级政府交办的</w:t>
      </w:r>
      <w:r>
        <w:rPr>
          <w:rFonts w:hint="eastAsia" w:ascii="仿宋_GB2312" w:hAnsi="仿宋_GB2312" w:eastAsia="仿宋_GB2312" w:cs="仿宋_GB2312"/>
          <w:color w:val="000000"/>
          <w:sz w:val="32"/>
          <w:szCs w:val="32"/>
          <w:lang w:eastAsia="zh-CN"/>
        </w:rPr>
        <w:t>其他事项</w:t>
      </w:r>
      <w:r>
        <w:rPr>
          <w:rFonts w:hint="eastAsia" w:ascii="仿宋_GB2312" w:hAnsi="仿宋_GB2312" w:eastAsia="仿宋_GB2312" w:cs="仿宋_GB2312"/>
          <w:color w:val="000000"/>
          <w:sz w:val="32"/>
          <w:szCs w:val="32"/>
        </w:rPr>
        <w:t>。七、执行本级人民代表大会的决议和上级国家行政机关的决定和命令，发布决定和命令。 八、保护社会主义的全民所有的财产和劳动群众集体所有的财产，保护公民私人所有的合法财产，维护社会秩序，保障公民的人身权利、民主权利和其他权利。</w:t>
      </w:r>
    </w:p>
    <w:p>
      <w:pPr>
        <w:snapToGrid w:val="0"/>
        <w:spacing w:line="520"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w:t>
      </w:r>
      <w:r>
        <w:rPr>
          <w:rFonts w:ascii="仿宋_GB2312" w:hAnsi="仿宋_GB2312" w:eastAsia="仿宋_GB2312" w:cs="仿宋_GB2312"/>
          <w:color w:val="000000"/>
          <w:sz w:val="32"/>
          <w:szCs w:val="32"/>
        </w:rPr>
        <w:t>河西乡人民政府2020年年初在职21人，其中行政人</w:t>
      </w:r>
      <w:r>
        <w:rPr>
          <w:rFonts w:hint="eastAsia" w:ascii="仿宋_GB2312" w:hAnsi="仿宋_GB2312" w:eastAsia="仿宋_GB2312" w:cs="仿宋_GB2312"/>
          <w:color w:val="000000"/>
          <w:sz w:val="32"/>
          <w:szCs w:val="32"/>
        </w:rPr>
        <w:t>员16人，行政工勤1人，事业人员4人；2020年年末在职26人，其中行政人员17人，行政工勤1人，事业人员8人。2021年1-6月独立编制单位机构数为</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个，财政供养人员编制为</w:t>
      </w:r>
      <w:r>
        <w:rPr>
          <w:rFonts w:hint="eastAsia" w:ascii="仿宋_GB2312" w:hAnsi="仿宋_GB2312" w:eastAsia="仿宋_GB2312" w:cs="仿宋_GB2312"/>
          <w:color w:val="000000"/>
          <w:sz w:val="32"/>
          <w:szCs w:val="32"/>
          <w:lang w:val="en-US" w:eastAsia="zh-CN"/>
        </w:rPr>
        <w:t>31</w:t>
      </w:r>
      <w:r>
        <w:rPr>
          <w:rFonts w:hint="eastAsia" w:ascii="仿宋_GB2312" w:hAnsi="仿宋_GB2312" w:eastAsia="仿宋_GB2312" w:cs="仿宋_GB2312"/>
          <w:color w:val="000000"/>
          <w:sz w:val="32"/>
          <w:szCs w:val="32"/>
        </w:rPr>
        <w:t>名，其中行政编制</w:t>
      </w:r>
      <w:r>
        <w:rPr>
          <w:rFonts w:hint="eastAsia" w:ascii="仿宋_GB2312" w:hAnsi="仿宋_GB2312" w:eastAsia="仿宋_GB2312" w:cs="仿宋_GB2312"/>
          <w:color w:val="000000"/>
          <w:sz w:val="32"/>
          <w:szCs w:val="32"/>
          <w:lang w:val="en-US" w:eastAsia="zh-CN"/>
        </w:rPr>
        <w:t>16</w:t>
      </w:r>
      <w:r>
        <w:rPr>
          <w:rFonts w:hint="eastAsia" w:ascii="仿宋_GB2312" w:hAnsi="仿宋_GB2312" w:eastAsia="仿宋_GB2312" w:cs="仿宋_GB2312"/>
          <w:color w:val="000000"/>
          <w:sz w:val="32"/>
          <w:szCs w:val="32"/>
        </w:rPr>
        <w:t>名，行政工勤编制</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名，事业编制</w:t>
      </w:r>
      <w:r>
        <w:rPr>
          <w:rFonts w:hint="eastAsia" w:ascii="仿宋_GB2312" w:hAnsi="仿宋_GB2312" w:eastAsia="仿宋_GB2312" w:cs="仿宋_GB2312"/>
          <w:color w:val="000000"/>
          <w:sz w:val="32"/>
          <w:szCs w:val="32"/>
          <w:lang w:val="en-US" w:eastAsia="zh-CN"/>
        </w:rPr>
        <w:t>14</w:t>
      </w:r>
      <w:r>
        <w:rPr>
          <w:rFonts w:hint="eastAsia" w:ascii="仿宋_GB2312" w:hAnsi="仿宋_GB2312" w:eastAsia="仿宋_GB2312" w:cs="仿宋_GB2312"/>
          <w:color w:val="000000"/>
          <w:sz w:val="32"/>
          <w:szCs w:val="32"/>
        </w:rPr>
        <w:t>名；2021年1-6月实际财政供养人员30人，其中：行政16人，行政工勤1人， 事业13人，较上年增加4人，主要原因是机构改革，人员增加，三</w:t>
      </w:r>
      <w:r>
        <w:rPr>
          <w:rFonts w:ascii="仿宋_GB2312" w:hAnsi="仿宋_GB2312" w:eastAsia="仿宋_GB2312" w:cs="仿宋_GB2312"/>
          <w:color w:val="000000"/>
          <w:sz w:val="32"/>
          <w:szCs w:val="32"/>
        </w:rPr>
        <w:t>站人员编制下划给乡镇。</w:t>
      </w:r>
    </w:p>
    <w:p>
      <w:pPr>
        <w:widowControl/>
        <w:adjustRightInd w:val="0"/>
        <w:snapToGrid w:val="0"/>
        <w:spacing w:line="540" w:lineRule="exact"/>
        <w:jc w:val="left"/>
        <w:rPr>
          <w:rFonts w:hint="eastAsia" w:ascii="黑体" w:hAnsi="宋体" w:eastAsia="黑体" w:cs="宋体"/>
          <w:color w:val="000000"/>
          <w:kern w:val="0"/>
          <w:sz w:val="32"/>
        </w:rPr>
      </w:pPr>
      <w:r>
        <w:rPr>
          <w:rFonts w:hint="eastAsia" w:ascii="黑体" w:hAnsi="宋体" w:eastAsia="黑体" w:cs="宋体"/>
          <w:color w:val="000000"/>
          <w:kern w:val="0"/>
          <w:sz w:val="32"/>
        </w:rPr>
        <w:t>二、部门财政资金收支情况</w:t>
      </w:r>
    </w:p>
    <w:p>
      <w:pPr>
        <w:snapToGrid w:val="0"/>
        <w:spacing w:line="54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color w:val="000000"/>
          <w:sz w:val="32"/>
          <w:szCs w:val="32"/>
          <w:lang w:val="zh-CN"/>
        </w:rPr>
        <w:t>（一）</w:t>
      </w:r>
      <w:r>
        <w:rPr>
          <w:rFonts w:hint="eastAsia" w:ascii="仿宋_GB2312" w:hAnsi="仿宋_GB2312" w:eastAsia="仿宋_GB2312" w:cs="仿宋_GB2312"/>
          <w:bCs/>
          <w:sz w:val="32"/>
          <w:szCs w:val="32"/>
        </w:rPr>
        <w:t>2020年河西乡本年收入合计818.37万元，其中：一般公共预算财政拨款收入818.37万元，占100%；政府性基金预算财政拨款收入0元，占0%；国有资本经营预算财政拨款收入0万元，占0%；事业收入0万元，占0%；经营收入0万元，占0%；附属单位上缴收入0万元，占0%；其他收入0万元，占0%。</w:t>
      </w:r>
    </w:p>
    <w:p>
      <w:pPr>
        <w:snapToGrid w:val="0"/>
        <w:spacing w:line="540" w:lineRule="exact"/>
        <w:ind w:firstLine="640" w:firstLineChars="200"/>
        <w:rPr>
          <w:rFonts w:hint="eastAsia"/>
          <w:color w:val="000000"/>
        </w:rPr>
      </w:pPr>
      <w:r>
        <w:rPr>
          <w:rFonts w:hint="eastAsia" w:ascii="仿宋_GB2312" w:hAnsi="仿宋_GB2312" w:eastAsia="仿宋_GB2312" w:cs="仿宋_GB2312"/>
          <w:color w:val="000000"/>
          <w:sz w:val="32"/>
          <w:szCs w:val="32"/>
        </w:rPr>
        <w:t>2021年1-6月收入合计</w:t>
      </w:r>
      <w:r>
        <w:rPr>
          <w:rFonts w:hint="eastAsia" w:ascii="仿宋_GB2312" w:hAnsi="仿宋_GB2312" w:eastAsia="仿宋_GB2312" w:cs="仿宋_GB2312"/>
          <w:bCs/>
          <w:color w:val="000000"/>
          <w:sz w:val="32"/>
          <w:szCs w:val="32"/>
        </w:rPr>
        <w:t>632.35万元，其中：一般公共预算财政拨款收入632.35万元。</w:t>
      </w:r>
    </w:p>
    <w:p>
      <w:pPr>
        <w:snapToGrid w:val="0"/>
        <w:spacing w:line="520" w:lineRule="exact"/>
        <w:ind w:firstLine="640" w:firstLineChars="200"/>
        <w:rPr>
          <w:rFonts w:hint="eastAsia" w:ascii="仿宋_GB2312" w:hAnsi="仿宋" w:eastAsia="仿宋_GB2312"/>
          <w:color w:val="000000"/>
          <w:sz w:val="32"/>
          <w:szCs w:val="32"/>
        </w:rPr>
      </w:pPr>
      <w:r>
        <w:rPr>
          <w:rFonts w:hint="eastAsia" w:ascii="仿宋_GB2312" w:hAnsi="仿宋_GB2312" w:eastAsia="仿宋_GB2312" w:cs="仿宋_GB2312"/>
          <w:color w:val="000000"/>
          <w:sz w:val="32"/>
          <w:szCs w:val="32"/>
          <w:lang w:val="zh-CN"/>
        </w:rPr>
        <w:t>（二）</w:t>
      </w:r>
      <w:r>
        <w:rPr>
          <w:rFonts w:hint="eastAsia" w:ascii="仿宋_GB2312" w:hAnsi="仿宋_GB2312" w:eastAsia="仿宋_GB2312" w:cs="仿宋_GB2312"/>
          <w:bCs/>
          <w:sz w:val="32"/>
          <w:szCs w:val="32"/>
        </w:rPr>
        <w:t>2020年一般公共预算财政拨款支出</w:t>
      </w:r>
      <w:r>
        <w:rPr>
          <w:rFonts w:hint="eastAsia" w:ascii="仿宋_GB2312" w:hAnsi="仿宋_GB2312" w:eastAsia="仿宋_GB2312" w:cs="仿宋_GB2312"/>
          <w:color w:val="000000"/>
          <w:sz w:val="32"/>
          <w:szCs w:val="32"/>
        </w:rPr>
        <w:t>786.69</w:t>
      </w:r>
      <w:r>
        <w:rPr>
          <w:rFonts w:hint="eastAsia" w:ascii="仿宋_GB2312" w:hAnsi="仿宋_GB2312" w:eastAsia="仿宋_GB2312" w:cs="仿宋_GB2312"/>
          <w:bCs/>
          <w:sz w:val="32"/>
          <w:szCs w:val="32"/>
        </w:rPr>
        <w:t>万元，主要用于以下方面</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color w:val="000000"/>
          <w:sz w:val="32"/>
          <w:szCs w:val="32"/>
        </w:rPr>
        <w:t xml:space="preserve"> 其中</w:t>
      </w:r>
      <w:r>
        <w:rPr>
          <w:rFonts w:hint="eastAsia" w:ascii="仿宋_GB2312" w:hAnsi="仿宋" w:eastAsia="仿宋_GB2312"/>
          <w:color w:val="000000"/>
          <w:sz w:val="32"/>
          <w:szCs w:val="32"/>
        </w:rPr>
        <w:t>一般公共服务支出为276.22万元，占35.11%；社会保障和就业支出为55.20万元，占7.02%；医疗卫生与计划生育支出为26.73万元，占3.41%；农林水支出为200.68万元，占25.51%；住房保障支出31.86万元，占4.04%；其他支出为196万元，占24.91%。</w:t>
      </w:r>
    </w:p>
    <w:p>
      <w:pPr>
        <w:snapToGrid w:val="0"/>
        <w:spacing w:line="52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color w:val="000000"/>
          <w:sz w:val="32"/>
          <w:szCs w:val="32"/>
        </w:rPr>
        <w:t>其中：</w:t>
      </w:r>
      <w:r>
        <w:rPr>
          <w:rFonts w:hint="eastAsia" w:ascii="仿宋_GB2312" w:hAnsi="仿宋" w:eastAsia="仿宋_GB2312"/>
          <w:color w:val="000000"/>
          <w:sz w:val="32"/>
          <w:szCs w:val="32"/>
        </w:rPr>
        <w:t>人员经费支出394.68 万元，</w:t>
      </w:r>
      <w:r>
        <w:rPr>
          <w:rFonts w:hint="eastAsia" w:ascii="仿宋_GB2312" w:eastAsia="仿宋_GB2312"/>
          <w:color w:val="000000"/>
          <w:sz w:val="32"/>
          <w:szCs w:val="32"/>
        </w:rPr>
        <w:t>主要包括：基本工资79.64万元、津贴补贴118.09万元、奖金7.39万元、绩效工资17.29万元、机关事业单位基本养老保险缴费29.4万元、职业年金缴费15.8万元、其他社会保障缴费2.49万元、住房公积金31.86万元、职工基本医疗保险缴费14.95万元、公务员医疗补助4.84万元、生活补助4.07万元、奖励金68.86万元。</w:t>
      </w:r>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 w:eastAsia="仿宋_GB2312"/>
          <w:color w:val="000000"/>
          <w:sz w:val="32"/>
          <w:szCs w:val="32"/>
        </w:rPr>
        <w:t>日常公用经费支出22.49万元，</w:t>
      </w:r>
      <w:r>
        <w:rPr>
          <w:rFonts w:hint="eastAsia" w:ascii="仿宋_GB2312" w:eastAsia="仿宋_GB2312"/>
          <w:color w:val="000000"/>
          <w:sz w:val="32"/>
          <w:szCs w:val="32"/>
        </w:rPr>
        <w:t>主要包括：办公费4.69万元、印刷费2万元、电费3万元、邮电费2万元、取暖费2万元、差旅费3万元、维修费1.5万元、劳务费1.5万元、公务用车运行维护费2.66万元、其他商品和服务支出0.14万元。</w:t>
      </w:r>
    </w:p>
    <w:p>
      <w:pPr>
        <w:snapToGrid w:val="0"/>
        <w:spacing w:line="52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项目支出369.52万元，</w:t>
      </w:r>
      <w:r>
        <w:rPr>
          <w:rFonts w:hint="eastAsia" w:ascii="仿宋_GB2312" w:eastAsia="仿宋_GB2312"/>
          <w:color w:val="000000"/>
          <w:sz w:val="32"/>
          <w:szCs w:val="32"/>
        </w:rPr>
        <w:t>主要包括：</w:t>
      </w:r>
      <w:r>
        <w:rPr>
          <w:rFonts w:hint="eastAsia" w:ascii="仿宋_GB2312" w:hAnsi="仿宋" w:eastAsia="仿宋_GB2312"/>
          <w:color w:val="000000"/>
          <w:sz w:val="32"/>
          <w:szCs w:val="32"/>
        </w:rPr>
        <w:t>人大会议费0.85万元，人大代表工作经费2.1万元，防疫经费6.94万元，对村干部生活补助支出76.63万元，村级维护费办公费77万元</w:t>
      </w:r>
      <w:r>
        <w:rPr>
          <w:rFonts w:hint="eastAsia" w:ascii="仿宋_GB2312" w:hAnsi="仿宋_GB2312" w:eastAsia="仿宋_GB2312" w:cs="仿宋_GB2312"/>
          <w:color w:val="000000"/>
          <w:sz w:val="32"/>
          <w:szCs w:val="32"/>
        </w:rPr>
        <w:t>（其中公共运行维护费49万元、办公费28万元）</w:t>
      </w:r>
      <w:r>
        <w:rPr>
          <w:rFonts w:hint="eastAsia" w:ascii="仿宋_GB2312" w:hAnsi="仿宋" w:eastAsia="仿宋_GB2312"/>
          <w:color w:val="000000"/>
          <w:sz w:val="32"/>
          <w:szCs w:val="32"/>
        </w:rPr>
        <w:t>，村级建制维修（护）费10万元，基础设施建设196万元。</w:t>
      </w:r>
    </w:p>
    <w:p>
      <w:pPr>
        <w:snapToGrid w:val="0"/>
        <w:spacing w:line="5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2021年1-6月财政总支出为633.11万元，其中：</w:t>
      </w:r>
    </w:p>
    <w:p>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人员经费308.78万元，主要包括：基本工资54.19万元、津贴补贴71.03万元、绩效工资14.26万元、机关事业单位基本养老保险缴费20.63万元、职业年金缴费10.27万元、职工基本医疗保险缴费10.39万元、公务员医疗补助缴费3.38万元、其他社会保障缴费0.67万元、村干部工资0.96万元、住房公积金21.43万元、奖励金101.57万元。</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FF0000"/>
          <w:sz w:val="32"/>
          <w:szCs w:val="32"/>
        </w:rPr>
        <w:t>　</w:t>
      </w:r>
      <w:r>
        <w:rPr>
          <w:rFonts w:hint="eastAsia" w:ascii="仿宋_GB2312" w:hAnsi="仿宋_GB2312" w:eastAsia="仿宋_GB2312" w:cs="仿宋_GB2312"/>
          <w:sz w:val="32"/>
          <w:szCs w:val="32"/>
        </w:rPr>
        <w:t>　公用经费23.57万元，主要包括：办公费5.53万元、电费0.9万元、手续费0.15万元，邮电费1.64万元</w:t>
      </w:r>
      <w:r>
        <w:rPr>
          <w:rFonts w:hint="eastAsia" w:ascii="仿宋_GB2312" w:hAnsi="仿宋_GB2312" w:eastAsia="仿宋_GB2312" w:cs="仿宋_GB2312"/>
          <w:color w:val="FF0000"/>
          <w:sz w:val="32"/>
          <w:szCs w:val="32"/>
        </w:rPr>
        <w:t>、</w:t>
      </w:r>
      <w:r>
        <w:rPr>
          <w:rFonts w:hint="eastAsia" w:ascii="仿宋_GB2312" w:hAnsi="仿宋_GB2312" w:eastAsia="仿宋_GB2312" w:cs="仿宋_GB2312"/>
          <w:sz w:val="32"/>
          <w:szCs w:val="32"/>
        </w:rPr>
        <w:t>差旅费0.76万元、劳务费2.42万元、维修费1.98万元，公务用车运行维护费4.84万元、委托业务费5.35万元。</w:t>
      </w:r>
    </w:p>
    <w:p>
      <w:pPr>
        <w:spacing w:line="540" w:lineRule="exact"/>
        <w:ind w:firstLine="640" w:firstLineChars="200"/>
        <w:rPr>
          <w:rFonts w:hint="eastAsia"/>
        </w:rPr>
      </w:pPr>
      <w:r>
        <w:rPr>
          <w:rFonts w:hint="eastAsia" w:ascii="仿宋_GB2312" w:hAnsi="仿宋_GB2312" w:eastAsia="仿宋_GB2312" w:cs="仿宋_GB2312"/>
          <w:sz w:val="32"/>
          <w:szCs w:val="32"/>
        </w:rPr>
        <w:t xml:space="preserve"> 2021年1-6月项目支出300.76万元，主要包括</w:t>
      </w:r>
      <w:r>
        <w:rPr>
          <w:rFonts w:hint="eastAsia" w:ascii="仿宋_GB2312" w:hAnsi="仿宋_GB2312" w:eastAsia="仿宋_GB2312" w:cs="仿宋_GB2312"/>
          <w:sz w:val="32"/>
          <w:szCs w:val="32"/>
          <w:lang w:eastAsia="zh-CN"/>
        </w:rPr>
        <w:t>：</w:t>
      </w:r>
      <w:r>
        <w:rPr>
          <w:rFonts w:hint="eastAsia"/>
        </w:rPr>
        <w:t xml:space="preserve"> </w:t>
      </w:r>
      <w:r>
        <w:rPr>
          <w:rFonts w:hint="eastAsia" w:ascii="仿宋_GB2312" w:hAnsi="仿宋_GB2312" w:eastAsia="仿宋_GB2312" w:cs="仿宋_GB2312"/>
          <w:sz w:val="32"/>
          <w:szCs w:val="32"/>
        </w:rPr>
        <w:t>甲咱村场镇防洪堤延伸工程建设281.2万元、杨家湾生态食品产业园区基础设施建设5.95万元，阿坝州精神文明建设现场会缺口资金0.86万元，办公设施设备维修维护12万元，春节慰问金0.75万元。</w:t>
      </w:r>
    </w:p>
    <w:p>
      <w:pPr>
        <w:widowControl/>
        <w:adjustRightInd w:val="0"/>
        <w:snapToGrid w:val="0"/>
        <w:spacing w:line="540" w:lineRule="exact"/>
        <w:jc w:val="left"/>
        <w:rPr>
          <w:rFonts w:hint="eastAsia" w:ascii="黑体" w:hAnsi="宋体" w:eastAsia="黑体" w:cs="宋体"/>
          <w:color w:val="000000"/>
          <w:kern w:val="0"/>
          <w:sz w:val="32"/>
        </w:rPr>
      </w:pPr>
      <w:r>
        <w:rPr>
          <w:rFonts w:hint="eastAsia" w:ascii="黑体" w:hAnsi="宋体" w:eastAsia="黑体" w:cs="宋体"/>
          <w:color w:val="000000"/>
          <w:kern w:val="0"/>
          <w:sz w:val="32"/>
        </w:rPr>
        <w:t>三、部门财政支出管理情况</w:t>
      </w:r>
    </w:p>
    <w:p>
      <w:pPr>
        <w:spacing w:line="54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（一）预算编制情况。</w:t>
      </w:r>
    </w:p>
    <w:p>
      <w:pPr>
        <w:spacing w:line="54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(1）预算编制质量：</w:t>
      </w:r>
    </w:p>
    <w:p>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2020年预算483.38万元，其中人员经费383.88万元，公用经费99.49万元。</w:t>
      </w:r>
    </w:p>
    <w:p>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部门收入预算总额为642.29元，较上年增加158.91万元，增加32.87%，主要是机构改革三站人员编制下划给乡镇、行政村个数增加、经费标准变更、财政信息化建设等需求增加。其中：当年财政拨款收入642.29万元，其他收入 0万元，上年结转收入0万元。相应安排支出预算642.29万元，其中：基本支出预算642.29万元，项目支出0万元。</w:t>
      </w:r>
    </w:p>
    <w:p>
      <w:pPr>
        <w:spacing w:line="54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（2）绩效目标填报：</w:t>
      </w:r>
      <w:r>
        <w:rPr>
          <w:rFonts w:hint="eastAsia" w:ascii="仿宋_GB2312" w:hAnsi="仿宋_GB2312" w:eastAsia="仿宋_GB2312" w:cs="仿宋_GB2312"/>
          <w:color w:val="000000"/>
          <w:sz w:val="32"/>
          <w:szCs w:val="32"/>
        </w:rPr>
        <w:t>项目申报严格按照上级要求，明确绩效目标，控制</w:t>
      </w:r>
      <w:r>
        <w:rPr>
          <w:rFonts w:hint="eastAsia" w:ascii="仿宋_GB2312" w:hAnsi="仿宋_GB2312" w:eastAsia="仿宋_GB2312" w:cs="仿宋_GB2312"/>
          <w:color w:val="000000"/>
          <w:sz w:val="32"/>
          <w:szCs w:val="32"/>
          <w:lang w:eastAsia="zh-CN"/>
        </w:rPr>
        <w:t>执行</w:t>
      </w:r>
      <w:r>
        <w:rPr>
          <w:rFonts w:hint="eastAsia" w:ascii="仿宋_GB2312" w:hAnsi="仿宋_GB2312" w:eastAsia="仿宋_GB2312" w:cs="仿宋_GB2312"/>
          <w:color w:val="000000"/>
          <w:sz w:val="32"/>
          <w:szCs w:val="32"/>
        </w:rPr>
        <w:t>成本，提高项目发挥作用。并</w:t>
      </w:r>
      <w:r>
        <w:rPr>
          <w:rFonts w:hint="eastAsia" w:ascii="仿宋_GB2312" w:hAnsi="仿宋_GB2312" w:eastAsia="仿宋_GB2312" w:cs="仿宋_GB2312"/>
          <w:color w:val="000000"/>
          <w:sz w:val="32"/>
          <w:szCs w:val="32"/>
          <w:lang w:val="zh-CN"/>
        </w:rPr>
        <w:t>根据财政局统一要求编制了我会整体绩效目标报告及项目整体绩效目标表，并报县财政局。</w:t>
      </w:r>
    </w:p>
    <w:p>
      <w:pPr>
        <w:spacing w:line="54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（二）执行管理情况。</w:t>
      </w:r>
      <w:r>
        <w:rPr>
          <w:rFonts w:hint="eastAsia" w:ascii="仿宋_GB2312" w:hAnsi="仿宋_GB2312" w:eastAsia="仿宋_GB2312" w:cs="仿宋_GB2312"/>
          <w:color w:val="000000"/>
          <w:sz w:val="32"/>
          <w:szCs w:val="32"/>
          <w:lang w:val="zh-CN"/>
        </w:rPr>
        <w:tab/>
      </w:r>
    </w:p>
    <w:p>
      <w:pPr>
        <w:spacing w:line="54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部门预算执行情况良好，但基本集中在下半年。支出情况中期评估不足，</w:t>
      </w:r>
      <w:r>
        <w:rPr>
          <w:rFonts w:hint="eastAsia" w:ascii="仿宋_GB2312" w:hAnsi="仿宋_GB2312" w:eastAsia="仿宋_GB2312" w:cs="仿宋_GB2312"/>
          <w:color w:val="000000"/>
          <w:sz w:val="32"/>
          <w:szCs w:val="32"/>
        </w:rPr>
        <w:t>2020年</w:t>
      </w:r>
      <w:r>
        <w:rPr>
          <w:rFonts w:hint="eastAsia" w:ascii="仿宋_GB2312" w:hAnsi="仿宋_GB2312" w:eastAsia="仿宋_GB2312" w:cs="仿宋_GB2312"/>
          <w:color w:val="000000"/>
          <w:sz w:val="32"/>
          <w:szCs w:val="32"/>
          <w:lang w:val="zh-CN"/>
        </w:rPr>
        <w:t>“三公”经费预算</w:t>
      </w:r>
      <w:r>
        <w:rPr>
          <w:rFonts w:hint="eastAsia" w:ascii="仿宋_GB2312" w:hAnsi="仿宋_GB2312" w:eastAsia="仿宋_GB2312" w:cs="仿宋_GB2312"/>
          <w:color w:val="000000"/>
          <w:sz w:val="32"/>
          <w:szCs w:val="32"/>
        </w:rPr>
        <w:t>2.8万元，其中公务接待费0万元，公务用车运行维护费2.8万元，实际支出2.66万元，公务接待费0万元，公务用车运行维护费2.66万元</w:t>
      </w:r>
      <w:r>
        <w:rPr>
          <w:rFonts w:hint="eastAsia" w:ascii="仿宋_GB2312" w:hAnsi="仿宋_GB2312" w:eastAsia="仿宋_GB2312" w:cs="仿宋_GB2312"/>
          <w:color w:val="000000"/>
          <w:sz w:val="32"/>
          <w:szCs w:val="32"/>
          <w:lang w:val="zh-CN"/>
        </w:rPr>
        <w:t>。</w:t>
      </w:r>
    </w:p>
    <w:p>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w:t>
      </w:r>
      <w:r>
        <w:rPr>
          <w:rFonts w:hint="eastAsia" w:ascii="仿宋_GB2312" w:hAnsi="仿宋_GB2312" w:eastAsia="仿宋_GB2312" w:cs="仿宋_GB2312"/>
          <w:sz w:val="32"/>
          <w:szCs w:val="32"/>
          <w:lang w:val="zh-CN"/>
        </w:rPr>
        <w:t>“三公”经费预算</w:t>
      </w:r>
      <w:r>
        <w:rPr>
          <w:rFonts w:hint="eastAsia" w:ascii="仿宋_GB2312" w:hAnsi="仿宋_GB2312" w:eastAsia="仿宋_GB2312" w:cs="仿宋_GB2312"/>
          <w:sz w:val="32"/>
          <w:szCs w:val="32"/>
        </w:rPr>
        <w:t>9万元，其中公务接待费0万元，严格执行厉行节约的要求，认真贯彻落实中央八项规定及省委省政府十项规定要求，严格控制接待规模及接待标准。</w:t>
      </w:r>
    </w:p>
    <w:p>
      <w:pPr>
        <w:spacing w:line="540" w:lineRule="exact"/>
        <w:ind w:firstLine="640" w:firstLineChars="200"/>
        <w:rPr>
          <w:rFonts w:hint="eastAsia" w:ascii="仿宋_GB2312" w:hAnsi="仿宋_GB2312" w:eastAsia="仿宋_GB2312" w:cs="仿宋_GB2312"/>
          <w:color w:val="FF0000"/>
          <w:sz w:val="32"/>
          <w:szCs w:val="32"/>
          <w:lang w:val="zh-CN"/>
        </w:rPr>
      </w:pPr>
      <w:r>
        <w:rPr>
          <w:rFonts w:hint="eastAsia" w:ascii="仿宋_GB2312" w:hAnsi="仿宋_GB2312" w:eastAsia="仿宋_GB2312" w:cs="仿宋_GB2312"/>
          <w:sz w:val="32"/>
          <w:szCs w:val="32"/>
        </w:rPr>
        <w:t>公务用车运行维护费9万元，1-6月实际支出公务接待费0万元，公务用车运行维护费4.84万元。</w:t>
      </w:r>
    </w:p>
    <w:p>
      <w:pPr>
        <w:spacing w:line="54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（三）综合管理情况。</w:t>
      </w:r>
    </w:p>
    <w:p>
      <w:pPr>
        <w:spacing w:line="54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我乡</w:t>
      </w:r>
      <w:r>
        <w:rPr>
          <w:rFonts w:hint="eastAsia" w:ascii="仿宋_GB2312" w:hAnsi="仿宋_GB2312" w:eastAsia="仿宋_GB2312" w:cs="仿宋_GB2312"/>
          <w:color w:val="000000"/>
          <w:sz w:val="32"/>
          <w:szCs w:val="32"/>
        </w:rPr>
        <w:t>2020年无预算、支出政府采购。所有国有资产纳入</w:t>
      </w:r>
      <w:r>
        <w:rPr>
          <w:rFonts w:hint="eastAsia" w:ascii="仿宋_GB2312" w:hAnsi="仿宋_GB2312" w:eastAsia="仿宋_GB2312" w:cs="仿宋_GB2312"/>
          <w:color w:val="000000"/>
          <w:sz w:val="32"/>
          <w:szCs w:val="32"/>
          <w:lang w:val="zh-CN"/>
        </w:rPr>
        <w:t>资产管理系统，及时准确上报并做好资产的管理工作。根据相关要求，单位使用预算资金基本符合相关的预算财务管理制度。我乡在财政批复后</w:t>
      </w:r>
      <w:r>
        <w:rPr>
          <w:rFonts w:hint="eastAsia" w:ascii="仿宋_GB2312" w:hAnsi="仿宋_GB2312" w:eastAsia="仿宋_GB2312" w:cs="仿宋_GB2312"/>
          <w:color w:val="000000"/>
          <w:sz w:val="32"/>
          <w:szCs w:val="32"/>
        </w:rPr>
        <w:t>20日内在指定网站公开预决算信息。按照相关要求进行绩效自我评价，按要求及时上报，对发现的问题提出整改措施，并整改落实到位。</w:t>
      </w:r>
      <w:r>
        <w:rPr>
          <w:rFonts w:hint="eastAsia" w:ascii="仿宋_GB2312" w:hAnsi="仿宋_GB2312" w:eastAsia="仿宋_GB2312" w:cs="仿宋_GB2312"/>
          <w:color w:val="000000"/>
          <w:sz w:val="32"/>
          <w:szCs w:val="32"/>
          <w:lang w:val="zh-CN"/>
        </w:rPr>
        <w:t>绩效评价及依法接受财政监督情况等。</w:t>
      </w:r>
    </w:p>
    <w:p>
      <w:pPr>
        <w:spacing w:line="54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（四）整体绩效。</w:t>
      </w:r>
    </w:p>
    <w:p>
      <w:pPr>
        <w:spacing w:line="54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我乡按照规定完全履行职责，整体评价良好，服务对象基本满意从预算执行来情况看，预算资金覆盖我乡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widowControl/>
        <w:adjustRightInd w:val="0"/>
        <w:snapToGrid w:val="0"/>
        <w:spacing w:line="540" w:lineRule="exact"/>
        <w:jc w:val="left"/>
        <w:rPr>
          <w:rFonts w:hint="eastAsia" w:ascii="黑体" w:hAnsi="宋体" w:eastAsia="黑体" w:cs="宋体"/>
          <w:color w:val="000000"/>
          <w:kern w:val="0"/>
          <w:sz w:val="32"/>
        </w:rPr>
      </w:pPr>
      <w:r>
        <w:rPr>
          <w:rFonts w:hint="eastAsia" w:ascii="黑体" w:hAnsi="宋体" w:eastAsia="黑体" w:cs="宋体"/>
          <w:color w:val="000000"/>
          <w:kern w:val="0"/>
          <w:sz w:val="32"/>
        </w:rPr>
        <w:t>四、评价结论及建议</w:t>
      </w:r>
    </w:p>
    <w:p>
      <w:pPr>
        <w:spacing w:line="54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（一）评价结论。</w:t>
      </w:r>
    </w:p>
    <w:p>
      <w:pPr>
        <w:spacing w:line="54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kern w:val="0"/>
          <w:sz w:val="32"/>
          <w:szCs w:val="32"/>
          <w:shd w:val="clear" w:color="auto" w:fill="FFFFFF"/>
          <w:lang w:val="zh-CN"/>
        </w:rPr>
        <w:t>在自评过程发现问题，查找原因，及时纠正偏差，为下一步工作夯实基础。</w:t>
      </w:r>
      <w:r>
        <w:rPr>
          <w:rFonts w:hint="eastAsia" w:ascii="仿宋_GB2312" w:hAnsi="仿宋_GB2312" w:eastAsia="仿宋_GB2312" w:cs="仿宋_GB2312"/>
          <w:color w:val="000000"/>
          <w:sz w:val="32"/>
          <w:szCs w:val="32"/>
        </w:rPr>
        <w:t>整体评价良好，预算支出和决算支出情况相符。</w:t>
      </w:r>
    </w:p>
    <w:p>
      <w:pPr>
        <w:spacing w:line="54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（二）存在问题。</w:t>
      </w:r>
    </w:p>
    <w:p>
      <w:pPr>
        <w:spacing w:line="540" w:lineRule="exact"/>
        <w:ind w:firstLine="643"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b/>
          <w:bCs/>
          <w:color w:val="000000"/>
          <w:kern w:val="0"/>
          <w:sz w:val="32"/>
          <w:szCs w:val="32"/>
        </w:rPr>
        <w:t xml:space="preserve"> </w:t>
      </w:r>
      <w:r>
        <w:rPr>
          <w:rFonts w:hint="eastAsia" w:ascii="仿宋_GB2312" w:hAnsi="仿宋_GB2312" w:eastAsia="仿宋_GB2312" w:cs="仿宋_GB2312"/>
          <w:color w:val="000000"/>
          <w:sz w:val="32"/>
          <w:szCs w:val="32"/>
          <w:shd w:val="clear" w:color="auto" w:fill="FFFFFF"/>
        </w:rPr>
        <w:t>一是资金使用效益有待进一步提高。</w:t>
      </w:r>
      <w:r>
        <w:rPr>
          <w:rFonts w:hint="eastAsia" w:ascii="仿宋_GB2312" w:hAnsi="仿宋_GB2312" w:eastAsia="仿宋_GB2312" w:cs="仿宋_GB2312"/>
          <w:color w:val="000000"/>
          <w:kern w:val="0"/>
          <w:sz w:val="32"/>
          <w:szCs w:val="32"/>
        </w:rPr>
        <w:t>公用经费上半年拨付进度慢。</w:t>
      </w:r>
      <w:r>
        <w:rPr>
          <w:rFonts w:hint="eastAsia" w:ascii="仿宋_GB2312" w:hAnsi="仿宋_GB2312" w:eastAsia="仿宋_GB2312" w:cs="仿宋_GB2312"/>
          <w:color w:val="000000"/>
          <w:sz w:val="32"/>
          <w:szCs w:val="32"/>
          <w:shd w:val="clear" w:color="auto" w:fill="FFFFFF"/>
        </w:rPr>
        <w:t xml:space="preserve">二是绩效目标设立不够明确、细化和量化。虽然设立了项目资金绩效目标，但目标不够明确、细化和量化。        </w:t>
      </w:r>
    </w:p>
    <w:p>
      <w:pPr>
        <w:spacing w:line="540" w:lineRule="exact"/>
        <w:ind w:firstLine="640" w:firstLineChars="200"/>
        <w:rPr>
          <w:rFonts w:hint="eastAsia" w:ascii="仿宋_GB2312" w:hAnsi="仿宋_GB2312" w:eastAsia="仿宋_GB2312" w:cs="仿宋_GB2312"/>
          <w:color w:val="000000"/>
          <w:kern w:val="0"/>
          <w:sz w:val="32"/>
          <w:szCs w:val="32"/>
          <w:shd w:val="clear" w:color="auto" w:fill="FFFFFF"/>
          <w:lang w:val="zh-CN" w:eastAsia="zh-CN" w:bidi="ar-SA"/>
        </w:rPr>
      </w:pPr>
      <w:r>
        <w:rPr>
          <w:rFonts w:hint="eastAsia" w:ascii="仿宋_GB2312" w:hAnsi="仿宋_GB2312" w:eastAsia="仿宋_GB2312" w:cs="仿宋_GB2312"/>
          <w:color w:val="000000"/>
          <w:sz w:val="32"/>
          <w:szCs w:val="32"/>
          <w:lang w:val="zh-CN"/>
        </w:rPr>
        <w:t>（三）改进建议。</w:t>
      </w:r>
    </w:p>
    <w:p>
      <w:pPr>
        <w:spacing w:line="600" w:lineRule="exact"/>
        <w:jc w:val="left"/>
        <w:outlineLvl w:val="0"/>
        <w:rPr>
          <w:rFonts w:hint="eastAsia" w:ascii="仿宋_GB2312" w:hAnsi="仿宋_GB2312" w:eastAsia="仿宋_GB2312" w:cs="仿宋_GB2312"/>
          <w:color w:val="000000"/>
          <w:kern w:val="0"/>
          <w:sz w:val="32"/>
          <w:szCs w:val="32"/>
          <w:shd w:val="clear" w:color="auto" w:fill="FFFFFF"/>
          <w:lang w:val="zh-CN" w:eastAsia="zh-CN" w:bidi="ar-SA"/>
        </w:rPr>
      </w:pPr>
      <w:r>
        <w:rPr>
          <w:rFonts w:hint="eastAsia" w:ascii="仿宋_GB2312" w:hAnsi="仿宋_GB2312" w:eastAsia="仿宋_GB2312" w:cs="仿宋_GB2312"/>
          <w:color w:val="000000"/>
          <w:kern w:val="0"/>
          <w:sz w:val="32"/>
          <w:szCs w:val="32"/>
          <w:shd w:val="clear" w:color="auto" w:fill="FFFFFF"/>
          <w:lang w:val="zh-CN" w:eastAsia="zh-CN" w:bidi="ar-SA"/>
        </w:rPr>
        <w:t>一是加强资金拨付进度，更加合理规范使用财政预算资金。二是进一步规范绩效目标编制。在编制项目资金绩效目标时要求指向明确、细化量化、合理可行、相应匹配。三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spacing w:line="600" w:lineRule="exact"/>
        <w:jc w:val="center"/>
        <w:outlineLvl w:val="0"/>
        <w:rPr>
          <w:rFonts w:hint="eastAsia" w:ascii="仿宋_GB2312" w:hAnsi="仿宋_GB2312" w:eastAsia="仿宋_GB2312" w:cs="仿宋_GB2312"/>
          <w:color w:val="000000"/>
          <w:kern w:val="0"/>
          <w:sz w:val="32"/>
          <w:szCs w:val="32"/>
          <w:shd w:val="clear" w:color="auto" w:fill="FFFFFF"/>
          <w:lang w:val="zh-CN" w:eastAsia="zh-CN" w:bidi="ar-SA"/>
        </w:rPr>
      </w:pPr>
    </w:p>
    <w:p>
      <w:pPr>
        <w:spacing w:line="600" w:lineRule="exact"/>
        <w:jc w:val="center"/>
        <w:outlineLvl w:val="0"/>
        <w:rPr>
          <w:rFonts w:hint="eastAsia" w:ascii="仿宋_GB2312" w:hAnsi="仿宋_GB2312" w:eastAsia="仿宋_GB2312" w:cs="仿宋_GB2312"/>
          <w:color w:val="000000"/>
          <w:kern w:val="0"/>
          <w:sz w:val="32"/>
          <w:szCs w:val="32"/>
          <w:shd w:val="clear" w:color="auto" w:fill="FFFFFF"/>
          <w:lang w:val="zh-CN" w:eastAsia="zh-CN" w:bidi="ar-SA"/>
        </w:rPr>
      </w:pPr>
    </w:p>
    <w:p>
      <w:pPr>
        <w:spacing w:line="600" w:lineRule="exact"/>
        <w:outlineLvl w:val="0"/>
        <w:rPr>
          <w:rFonts w:hint="eastAsia" w:ascii="仿宋_GB2312" w:hAnsi="仿宋_GB2312" w:eastAsia="仿宋_GB2312" w:cs="仿宋_GB2312"/>
          <w:color w:val="000000"/>
          <w:kern w:val="0"/>
          <w:sz w:val="32"/>
          <w:szCs w:val="32"/>
          <w:shd w:val="clear" w:color="auto" w:fill="FFFFFF"/>
          <w:lang w:val="zh-CN" w:eastAsia="zh-CN" w:bidi="ar-SA"/>
        </w:rPr>
      </w:pPr>
    </w:p>
    <w:p>
      <w:pPr>
        <w:spacing w:line="600" w:lineRule="exact"/>
        <w:jc w:val="center"/>
        <w:outlineLvl w:val="0"/>
        <w:rPr>
          <w:rFonts w:hint="eastAsia" w:ascii="仿宋_GB2312" w:hAnsi="仿宋_GB2312" w:eastAsia="仿宋_GB2312" w:cs="仿宋_GB2312"/>
          <w:color w:val="000000"/>
          <w:kern w:val="0"/>
          <w:sz w:val="32"/>
          <w:szCs w:val="32"/>
          <w:shd w:val="clear" w:color="auto" w:fill="FFFFFF"/>
          <w:lang w:val="zh-CN" w:eastAsia="zh-CN" w:bidi="ar-SA"/>
        </w:rPr>
      </w:pPr>
    </w:p>
    <w:bookmarkEnd w:id="60"/>
    <w:bookmarkEnd w:id="61"/>
    <w:p>
      <w:pPr>
        <w:pStyle w:val="4"/>
        <w:rPr>
          <w:rFonts w:hint="eastAsia" w:ascii="仿宋_GB2312" w:hAnsi="仿宋_GB2312" w:eastAsia="仿宋_GB2312" w:cs="仿宋_GB2312"/>
          <w:color w:val="000000"/>
          <w:kern w:val="0"/>
          <w:sz w:val="32"/>
          <w:szCs w:val="32"/>
          <w:shd w:val="clear" w:color="auto" w:fill="FFFFFF"/>
          <w:lang w:val="zh-CN" w:eastAsia="zh-CN" w:bidi="ar-SA"/>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20B0602030504020204"/>
    <w:charset w:val="01"/>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1135400"/>
      <w:docPartList>
        <w:docPartGallery w:val="Quick Parts"/>
      </w:docPartList>
    </w:sdtPr>
    <w:sdtContent>
      <w:p>
        <w:pPr>
          <w:pStyle w:val="9"/>
          <w:jc w:val="center"/>
        </w:pPr>
        <w:r>
          <w:fldChar w:fldCharType="begin"/>
        </w:r>
        <w:r>
          <w:instrText xml:space="preserve">PAGE   \* MERGEFORMAT</w:instrText>
        </w:r>
        <w:r>
          <w:fldChar w:fldCharType="separate"/>
        </w:r>
        <w:r>
          <w:rPr>
            <w:lang w:val="zh-CN"/>
          </w:rPr>
          <w:t>24</w:t>
        </w:r>
        <w:r>
          <w:rPr>
            <w:lang w:val="zh-CN"/>
          </w:rP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4">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5">
    <w:nsid w:val="78D72DD4"/>
    <w:multiLevelType w:val="singleLevel"/>
    <w:tmpl w:val="78D72DD4"/>
    <w:lvl w:ilvl="0" w:tentative="0">
      <w:start w:val="3"/>
      <w:numFmt w:val="decimal"/>
      <w:lvlText w:val="%1."/>
      <w:lvlJc w:val="left"/>
      <w:pPr>
        <w:tabs>
          <w:tab w:val="left" w:pos="0"/>
        </w:tabs>
        <w:ind w:left="0" w:firstLine="0"/>
      </w:pPr>
    </w:lvl>
  </w:abstractNum>
  <w:num w:numId="1">
    <w:abstractNumId w:val="3"/>
  </w:num>
  <w:num w:numId="2">
    <w:abstractNumId w:val="5"/>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AD070F"/>
    <w:rsid w:val="00053BC6"/>
    <w:rsid w:val="001D0E0B"/>
    <w:rsid w:val="001F079F"/>
    <w:rsid w:val="0031071E"/>
    <w:rsid w:val="0036551D"/>
    <w:rsid w:val="003B5422"/>
    <w:rsid w:val="003C7CB5"/>
    <w:rsid w:val="00463914"/>
    <w:rsid w:val="004C2812"/>
    <w:rsid w:val="004E0523"/>
    <w:rsid w:val="005326CB"/>
    <w:rsid w:val="00551730"/>
    <w:rsid w:val="005F17FA"/>
    <w:rsid w:val="00686733"/>
    <w:rsid w:val="0073645F"/>
    <w:rsid w:val="007519EA"/>
    <w:rsid w:val="008633FA"/>
    <w:rsid w:val="00881345"/>
    <w:rsid w:val="00A252FF"/>
    <w:rsid w:val="00A74A59"/>
    <w:rsid w:val="00AD070F"/>
    <w:rsid w:val="00B07AD9"/>
    <w:rsid w:val="00BA43C6"/>
    <w:rsid w:val="00E12E5D"/>
    <w:rsid w:val="00E140A6"/>
    <w:rsid w:val="00E21554"/>
    <w:rsid w:val="00F078C1"/>
    <w:rsid w:val="00F4378C"/>
    <w:rsid w:val="061B67D0"/>
    <w:rsid w:val="0AE02A05"/>
    <w:rsid w:val="287B14A8"/>
    <w:rsid w:val="2DEA0CFB"/>
    <w:rsid w:val="365558B0"/>
    <w:rsid w:val="417138C2"/>
    <w:rsid w:val="4A0112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8"/>
    <w:uiPriority w:val="0"/>
    <w:pPr>
      <w:keepNext/>
      <w:keepLines/>
      <w:spacing w:before="340" w:after="330" w:line="578" w:lineRule="auto"/>
      <w:outlineLvl w:val="0"/>
    </w:pPr>
    <w:rPr>
      <w:b/>
      <w:bCs/>
      <w:kern w:val="44"/>
      <w:sz w:val="44"/>
      <w:szCs w:val="44"/>
    </w:rPr>
  </w:style>
  <w:style w:type="paragraph" w:styleId="4">
    <w:name w:val="heading 2"/>
    <w:basedOn w:val="1"/>
    <w:next w:val="1"/>
    <w:link w:val="19"/>
    <w:qFormat/>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5" w:lineRule="auto"/>
      <w:outlineLvl w:val="2"/>
    </w:pPr>
    <w:rPr>
      <w:b/>
      <w:bCs/>
      <w:sz w:val="32"/>
      <w:szCs w:val="32"/>
    </w:rPr>
  </w:style>
  <w:style w:type="character" w:default="1" w:styleId="15">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customStyle="1" w:styleId="2">
    <w:name w:val="table of figures"/>
    <w:basedOn w:val="1"/>
    <w:next w:val="1"/>
    <w:qFormat/>
    <w:uiPriority w:val="0"/>
    <w:pPr>
      <w:spacing w:before="100" w:beforeLines="0" w:beforeAutospacing="1" w:after="100" w:afterLines="0" w:afterAutospacing="1"/>
      <w:ind w:left="200" w:leftChars="200" w:hanging="200" w:hangingChars="200"/>
    </w:pPr>
  </w:style>
  <w:style w:type="paragraph" w:styleId="6">
    <w:name w:val="Body Text"/>
    <w:basedOn w:val="1"/>
    <w:qFormat/>
    <w:uiPriority w:val="0"/>
    <w:pPr>
      <w:spacing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paragraph" w:styleId="13">
    <w:name w:val="Normal (Web)"/>
    <w:basedOn w:val="1"/>
    <w:unhideWhenUsed/>
    <w:qFormat/>
    <w:uiPriority w:val="99"/>
    <w:pPr>
      <w:spacing w:beforeAutospacing="1" w:afterAutospacing="1"/>
      <w:jc w:val="left"/>
    </w:pPr>
    <w:rPr>
      <w:kern w:val="0"/>
      <w:sz w:val="24"/>
    </w:r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character" w:customStyle="1" w:styleId="18">
    <w:name w:val="标题 1 Char"/>
    <w:basedOn w:val="15"/>
    <w:link w:val="3"/>
    <w:qFormat/>
    <w:uiPriority w:val="0"/>
    <w:rPr>
      <w:rFonts w:ascii="Times New Roman" w:hAnsi="Times New Roman" w:eastAsia="宋体" w:cs="Times New Roman"/>
      <w:b/>
      <w:bCs/>
      <w:kern w:val="44"/>
      <w:sz w:val="44"/>
      <w:szCs w:val="44"/>
      <w:lang w:val="en-US" w:eastAsia="zh-CN" w:bidi="ar-SA"/>
    </w:rPr>
  </w:style>
  <w:style w:type="character" w:customStyle="1" w:styleId="19">
    <w:name w:val="标题 2 Char"/>
    <w:basedOn w:val="15"/>
    <w:link w:val="4"/>
    <w:qFormat/>
    <w:uiPriority w:val="0"/>
    <w:rPr>
      <w:rFonts w:ascii="Cambria" w:hAnsi="Cambria" w:eastAsia="宋体" w:cs="Times New Roman"/>
      <w:b/>
      <w:bCs/>
      <w:kern w:val="2"/>
      <w:sz w:val="32"/>
      <w:szCs w:val="32"/>
      <w:lang w:val="en-US" w:eastAsia="zh-CN" w:bidi="ar-SA"/>
    </w:rPr>
  </w:style>
  <w:style w:type="character" w:customStyle="1" w:styleId="20">
    <w:name w:val="Header Char"/>
    <w:basedOn w:val="15"/>
    <w:qFormat/>
    <w:uiPriority w:val="0"/>
    <w:rPr>
      <w:rFonts w:ascii="Times New Roman" w:hAnsi="Times New Roman"/>
      <w:sz w:val="18"/>
      <w:szCs w:val="18"/>
    </w:rPr>
  </w:style>
  <w:style w:type="character" w:customStyle="1" w:styleId="21">
    <w:name w:val="Footer Char"/>
    <w:basedOn w:val="15"/>
    <w:qFormat/>
    <w:uiPriority w:val="0"/>
    <w:rPr>
      <w:rFonts w:ascii="Times New Roman" w:hAnsi="Times New Roman"/>
      <w:sz w:val="18"/>
      <w:szCs w:val="18"/>
    </w:rPr>
  </w:style>
  <w:style w:type="character" w:customStyle="1" w:styleId="22">
    <w:name w:val="Body Text Char"/>
    <w:basedOn w:val="15"/>
    <w:qFormat/>
    <w:uiPriority w:val="0"/>
    <w:rPr>
      <w:rFonts w:ascii="Times New Roman" w:hAnsi="Times New Roman"/>
      <w:szCs w:val="24"/>
    </w:rPr>
  </w:style>
  <w:style w:type="paragraph" w:customStyle="1" w:styleId="2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4">
    <w:name w:val="List Paragraph"/>
    <w:basedOn w:val="1"/>
    <w:qFormat/>
    <w:uiPriority w:val="0"/>
    <w:pPr>
      <w:ind w:firstLine="200" w:firstLineChars="200"/>
    </w:pPr>
  </w:style>
  <w:style w:type="paragraph" w:customStyle="1" w:styleId="25">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r>
              <a:t>收、支决算结构图</a:t>
            </a:r>
          </a:p>
        </c:rich>
      </c:tx>
      <c:layout/>
      <c:overlay val="0"/>
      <c:spPr>
        <a:noFill/>
        <a:ln>
          <a:noFill/>
        </a:ln>
        <a:effectLst/>
      </c:spPr>
    </c:title>
    <c:autoTitleDeleted val="0"/>
    <c:plotArea>
      <c:layout>
        <c:manualLayout>
          <c:layoutTarget val="inner"/>
          <c:xMode val="edge"/>
          <c:yMode val="edge"/>
          <c:x val="0.0695155300000001"/>
          <c:y val="0.22913043"/>
          <c:w val="0.928372699999999"/>
          <c:h val="0.63030434"/>
        </c:manualLayout>
      </c:layout>
      <c:barChart>
        <c:barDir val="col"/>
        <c:grouping val="clustered"/>
        <c:varyColors val="0"/>
        <c:ser>
          <c:idx val="0"/>
          <c:order val="0"/>
          <c:tx>
            <c:strRef>
              <c:f>Sheet1!$B$1</c:f>
              <c:strCache>
                <c:ptCount val="1"/>
                <c:pt idx="0">
                  <c:v>总收入</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dk1">
                          <a:lumMod val="50000"/>
                          <a:lumOff val="50000"/>
                        </a:schemeClr>
                      </a:solidFill>
                    </a:ln>
                    <a:effectLst/>
                  </c:spPr>
                </c15:leaderLines>
              </c:ext>
            </c:extLst>
          </c:dLbls>
          <c:cat>
            <c:strRef>
              <c:f>Sheet1!$A$2:$A$3</c:f>
              <c:strCache>
                <c:ptCount val="2"/>
                <c:pt idx="0">
                  <c:v>2019年 </c:v>
                </c:pt>
                <c:pt idx="1">
                  <c:v>2020年</c:v>
                </c:pt>
              </c:strCache>
            </c:strRef>
          </c:cat>
          <c:val>
            <c:numRef>
              <c:f>Sheet1!$B$2:$B$3</c:f>
              <c:numCache>
                <c:formatCode>General</c:formatCode>
                <c:ptCount val="2"/>
                <c:pt idx="0">
                  <c:v>525.45</c:v>
                </c:pt>
                <c:pt idx="1">
                  <c:v>818.37</c:v>
                </c:pt>
              </c:numCache>
            </c:numRef>
          </c:val>
        </c:ser>
        <c:ser>
          <c:idx val="1"/>
          <c:order val="1"/>
          <c:tx>
            <c:strRef>
              <c:f>Sheet1!$C$1</c:f>
              <c:strCache>
                <c:ptCount val="1"/>
                <c:pt idx="0">
                  <c:v>总支出</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dk1">
                          <a:lumMod val="50000"/>
                          <a:lumOff val="50000"/>
                        </a:schemeClr>
                      </a:solidFill>
                    </a:ln>
                    <a:effectLst/>
                  </c:spPr>
                </c15:leaderLines>
              </c:ext>
            </c:extLst>
          </c:dLbls>
          <c:cat>
            <c:strRef>
              <c:f>Sheet1!$A$2:$A$3</c:f>
              <c:strCache>
                <c:ptCount val="2"/>
                <c:pt idx="0">
                  <c:v>2019年 </c:v>
                </c:pt>
                <c:pt idx="1">
                  <c:v>2020年</c:v>
                </c:pt>
              </c:strCache>
            </c:strRef>
          </c:cat>
          <c:val>
            <c:numRef>
              <c:f>Sheet1!$C$2:$C$3</c:f>
              <c:numCache>
                <c:formatCode>General</c:formatCode>
                <c:ptCount val="2"/>
                <c:pt idx="0">
                  <c:v>589.07</c:v>
                </c:pt>
                <c:pt idx="1">
                  <c:v>786.69</c:v>
                </c:pt>
              </c:numCache>
            </c:numRef>
          </c:val>
        </c:ser>
        <c:dLbls>
          <c:showLegendKey val="0"/>
          <c:showVal val="1"/>
          <c:showCatName val="0"/>
          <c:showSerName val="0"/>
          <c:showPercent val="0"/>
          <c:showBubbleSize val="0"/>
        </c:dLbls>
        <c:gapWidth val="65"/>
        <c:overlap val="0"/>
        <c:axId val="139746688"/>
        <c:axId val="140149888"/>
      </c:barChart>
      <c:catAx>
        <c:axId val="13974668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0" vertOverflow="ellipsis" vert="horz" wrap="square" anchor="ctr" anchorCtr="1"/>
          <a:lstStyle/>
          <a:p>
            <a:pPr>
              <a:defRPr lang="zh-CN" sz="900" b="0" i="0" u="none" strike="noStrike" kern="1200" cap="all" baseline="0">
                <a:solidFill>
                  <a:schemeClr val="dk1">
                    <a:lumMod val="75000"/>
                    <a:lumOff val="25000"/>
                  </a:schemeClr>
                </a:solidFill>
                <a:latin typeface="+mn-lt"/>
                <a:ea typeface="+mn-ea"/>
                <a:cs typeface="+mn-cs"/>
              </a:defRPr>
            </a:pPr>
          </a:p>
        </c:txPr>
        <c:crossAx val="140149888"/>
        <c:crosses val="autoZero"/>
        <c:auto val="1"/>
        <c:lblAlgn val="ctr"/>
        <c:lblOffset val="100"/>
        <c:noMultiLvlLbl val="0"/>
      </c:catAx>
      <c:valAx>
        <c:axId val="140149888"/>
        <c:scaling>
          <c:orientation val="minMax"/>
          <c:max val="4500"/>
          <c:min val="0"/>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crossAx val="139746688"/>
        <c:crossesAt val="1"/>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其他收入</c:v>
                </c:pt>
              </c:strCache>
            </c:strRef>
          </c:cat>
          <c:val>
            <c:numRef>
              <c:f>'Sheet1 (2)'!$B$2:$B$3</c:f>
              <c:numCache>
                <c:formatCode>General</c:formatCode>
                <c:ptCount val="2"/>
                <c:pt idx="0">
                  <c:v>818.37</c:v>
                </c:pt>
                <c:pt idx="1">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manualLayout>
                  <c:x val="-0.031990968"/>
                  <c:y val="-0.1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417.16</c:v>
                </c:pt>
                <c:pt idx="1">
                  <c:v>369.52</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'Sheet1 (4)'!$A$2</c:f>
              <c:strCache>
                <c:ptCount val="1"/>
                <c:pt idx="0">
                  <c:v>2019年 </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4320.49</c:v>
                </c:pt>
                <c:pt idx="1">
                  <c:v>3842.75</c:v>
                </c:pt>
              </c:numCache>
            </c:numRef>
          </c:val>
        </c:ser>
        <c:ser>
          <c:idx val="1"/>
          <c:order val="1"/>
          <c:tx>
            <c:strRef>
              <c:f>'Sheet1 (4)'!$A$3</c:f>
              <c:strCache>
                <c:ptCount val="1"/>
                <c:pt idx="0">
                  <c:v>2020年</c:v>
                </c:pt>
              </c:strCache>
            </c:strRef>
          </c:tx>
          <c:spPr>
            <a:solidFill>
              <a:srgbClr val="C0504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818.37</c:v>
                </c:pt>
                <c:pt idx="1">
                  <c:v>786.69</c:v>
                </c:pt>
              </c:numCache>
            </c:numRef>
          </c:val>
        </c:ser>
        <c:dLbls>
          <c:showLegendKey val="0"/>
          <c:showVal val="1"/>
          <c:showCatName val="0"/>
          <c:showSerName val="0"/>
          <c:showPercent val="0"/>
          <c:showBubbleSize val="0"/>
        </c:dLbls>
        <c:gapWidth val="219"/>
        <c:overlap val="-27"/>
        <c:axId val="52823552"/>
        <c:axId val="52825088"/>
      </c:barChart>
      <c:catAx>
        <c:axId val="52823552"/>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52825088"/>
        <c:crosses val="autoZero"/>
        <c:auto val="1"/>
        <c:lblAlgn val="ctr"/>
        <c:lblOffset val="100"/>
        <c:noMultiLvlLbl val="0"/>
      </c:catAx>
      <c:valAx>
        <c:axId val="52825088"/>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52823552"/>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一般公共预算财政拨款支出决算变动情况</a:t>
            </a:r>
            <a:endParaRPr lang="zh-CN"/>
          </a:p>
        </c:rich>
      </c:tx>
      <c:layout/>
      <c:overlay val="0"/>
      <c:spPr>
        <a:noFill/>
        <a:ln>
          <a:noFill/>
        </a:ln>
      </c:spPr>
    </c:title>
    <c:autoTitleDeleted val="0"/>
    <c:plotArea>
      <c:layout>
        <c:manualLayout>
          <c:layoutTarget val="inner"/>
          <c:xMode val="edge"/>
          <c:yMode val="edge"/>
          <c:x val="0.051286764"/>
          <c:y val="0.177797240000001"/>
          <c:w val="0.92429096"/>
          <c:h val="0.627633040000001"/>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2019年</c:v>
                </c:pt>
                <c:pt idx="1">
                  <c:v>2020年</c:v>
                </c:pt>
              </c:strCache>
            </c:strRef>
          </c:cat>
          <c:val>
            <c:numRef>
              <c:f>'Sheet1 (5)'!$B$2:$B$3</c:f>
              <c:numCache>
                <c:formatCode>General</c:formatCode>
                <c:ptCount val="2"/>
                <c:pt idx="0">
                  <c:v>589.07</c:v>
                </c:pt>
                <c:pt idx="1">
                  <c:v>786.68</c:v>
                </c:pt>
              </c:numCache>
            </c:numRef>
          </c:val>
        </c:ser>
        <c:dLbls>
          <c:showLegendKey val="0"/>
          <c:showVal val="1"/>
          <c:showCatName val="0"/>
          <c:showSerName val="0"/>
          <c:showPercent val="0"/>
          <c:showBubbleSize val="0"/>
        </c:dLbls>
        <c:gapWidth val="219"/>
        <c:overlap val="-27"/>
        <c:axId val="52866432"/>
        <c:axId val="52876416"/>
      </c:barChart>
      <c:catAx>
        <c:axId val="52866432"/>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52876416"/>
        <c:crosses val="autoZero"/>
        <c:auto val="1"/>
        <c:lblAlgn val="ctr"/>
        <c:lblOffset val="100"/>
        <c:noMultiLvlLbl val="0"/>
      </c:catAx>
      <c:valAx>
        <c:axId val="52876416"/>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52866432"/>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一般公共预算财政拨款支出决算结构</a:t>
            </a:r>
            <a:endParaRPr lang="zh-CN"/>
          </a:p>
        </c:rich>
      </c:tx>
      <c:layout/>
      <c:overlay val="0"/>
      <c:spPr>
        <a:noFill/>
        <a:ln>
          <a:noFill/>
        </a:ln>
      </c:spPr>
    </c:title>
    <c:autoTitleDeleted val="0"/>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dLbl>
              <c:idx val="1"/>
              <c:layout>
                <c:manualLayout>
                  <c:x val="-0.0209736450000001"/>
                  <c:y val="0.044190824000000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77887600000001"/>
                  <c:y val="0.0049657080000000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7582776"/>
                  <c:y val="-0.0416903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(6)'!$A$2:$A$5</c:f>
              <c:strCache>
                <c:ptCount val="4"/>
                <c:pt idx="0">
                  <c:v>一般公共服务</c:v>
                </c:pt>
                <c:pt idx="1">
                  <c:v>社会保障和就业</c:v>
                </c:pt>
                <c:pt idx="2">
                  <c:v>医疗卫生支出</c:v>
                </c:pt>
                <c:pt idx="3">
                  <c:v>住房保障支出</c:v>
                </c:pt>
              </c:strCache>
            </c:strRef>
          </c:cat>
          <c:val>
            <c:numRef>
              <c:f>'Sheet1 (6)'!$B$2:$B$5</c:f>
              <c:numCache>
                <c:formatCode>General</c:formatCode>
                <c:ptCount val="4"/>
                <c:pt idx="0">
                  <c:v>276.21</c:v>
                </c:pt>
                <c:pt idx="1">
                  <c:v>55.2</c:v>
                </c:pt>
                <c:pt idx="2">
                  <c:v>26.73</c:v>
                </c:pt>
                <c:pt idx="3">
                  <c:v>31.86</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“三公”经费财政拨款支出结构</a:t>
            </a:r>
            <a:endParaRPr lang="zh-CN"/>
          </a:p>
        </c:rich>
      </c:tx>
      <c:layout/>
      <c:overlay val="0"/>
      <c:spPr>
        <a:noFill/>
        <a:ln>
          <a:noFill/>
        </a:ln>
      </c:spPr>
    </c:title>
    <c:autoTitleDeleted val="0"/>
    <c:plotArea>
      <c:layout/>
      <c:pieChart>
        <c:varyColors val="1"/>
        <c:ser>
          <c:idx val="0"/>
          <c:order val="0"/>
          <c:tx>
            <c:strRef>
              <c:f>'Sheet1 (7)'!$B$1</c:f>
              <c:strCache>
                <c:ptCount val="1"/>
                <c:pt idx="0">
                  <c:v>“三公”经费财政拨款支出结构</c:v>
                </c:pt>
              </c:strCache>
            </c:strRef>
          </c:tx>
          <c:spPr>
            <a:solidFill>
              <a:srgbClr val="4F81BD"/>
            </a:solidFill>
            <a:ln>
              <a:noFill/>
            </a:ln>
          </c:spPr>
          <c:explosion val="0"/>
          <c:dPt>
            <c:idx val="0"/>
            <c:bubble3D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9BBB59"/>
              </a:solidFill>
              <a:ln w="19050">
                <a:solidFill>
                  <a:srgbClr val="FFFFFF"/>
                </a:solidFill>
                <a:prstDash val="solid"/>
              </a:ln>
            </c:spPr>
          </c:dPt>
          <c:dLbls>
            <c:dLbl>
              <c:idx val="2"/>
              <c:layout>
                <c:manualLayout>
                  <c:x val="-0.07035216"/>
                  <c:y val="0.0052022664000000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c:v>
                </c:pt>
                <c:pt idx="1">
                  <c:v>2.8</c:v>
                </c:pt>
                <c:pt idx="2">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30</Pages>
  <Words>1983</Words>
  <Characters>11309</Characters>
  <Lines>94</Lines>
  <Paragraphs>26</Paragraphs>
  <TotalTime>1</TotalTime>
  <ScaleCrop>false</ScaleCrop>
  <LinksUpToDate>false</LinksUpToDate>
  <CharactersWithSpaces>13266</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2021-09-22T07:18:00Z</dcterms:created>
  <dc:creator>张彬茜</dc:creator>
  <cp:lastModifiedBy>不改</cp:lastModifiedBy>
  <cp:lastPrinted>2021-09-23T03:59:00Z</cp:lastPrinted>
  <dcterms:modified xsi:type="dcterms:W3CDTF">2021-09-27T03:08:03Z</dcterms:modified>
  <dc:title>四川省***</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7446358C982B43FBBF5486ACE152A102</vt:lpwstr>
  </property>
</Properties>
</file>