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9C6C6A">
      <w:pPr>
        <w:rPr>
          <w:rFonts w:hint="eastAsia" w:ascii="思源黑体 CN Normal" w:hAnsi="思源黑体 CN Normal" w:eastAsia="思源黑体 CN Normal" w:cs="思源黑体 CN Normal"/>
          <w:b/>
          <w:color w:val="000000" w:themeColor="text1"/>
          <w:sz w:val="72"/>
          <w:szCs w:val="72"/>
          <w14:textFill>
            <w14:solidFill>
              <w14:schemeClr w14:val="tx1"/>
            </w14:solidFill>
          </w14:textFill>
        </w:rPr>
      </w:pPr>
      <w:bookmarkStart w:id="0" w:name="_Toc15396597"/>
      <w:bookmarkStart w:id="1" w:name="_Toc15378441"/>
      <w:bookmarkStart w:id="2" w:name="_Toc15377425"/>
      <w:bookmarkStart w:id="3" w:name="_Toc15396475"/>
      <w:bookmarkStart w:id="4" w:name="_Toc15306267"/>
      <w:bookmarkStart w:id="5" w:name="_Toc15377193"/>
    </w:p>
    <w:p w14:paraId="7D73BD19">
      <w:pPr>
        <w:pStyle w:val="8"/>
        <w:ind w:firstLine="0"/>
        <w:rPr>
          <w:rFonts w:hint="eastAsia" w:ascii="思源黑体 CN Normal" w:hAnsi="思源黑体 CN Normal" w:eastAsia="思源黑体 CN Normal" w:cs="思源黑体 CN Normal"/>
          <w:color w:val="000000" w:themeColor="text1"/>
          <w14:textFill>
            <w14:solidFill>
              <w14:schemeClr w14:val="tx1"/>
            </w14:solidFill>
          </w14:textFill>
        </w:rPr>
      </w:pPr>
    </w:p>
    <w:p w14:paraId="402783EE">
      <w:pPr>
        <w:jc w:val="cente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p>
    <w:p w14:paraId="0164890B">
      <w:pPr>
        <w:jc w:val="cente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p>
    <w:p w14:paraId="5597C79E">
      <w:pPr>
        <w:jc w:val="both"/>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p>
    <w:bookmarkEnd w:id="0"/>
    <w:bookmarkEnd w:id="1"/>
    <w:bookmarkEnd w:id="2"/>
    <w:bookmarkEnd w:id="3"/>
    <w:bookmarkEnd w:id="4"/>
    <w:bookmarkEnd w:id="5"/>
    <w:p w14:paraId="0757D074">
      <w:pPr>
        <w:pStyle w:val="11"/>
        <w:jc w:val="center"/>
        <w:rPr>
          <w:rFonts w:hint="eastAsia" w:ascii="Times New Roman" w:eastAsia="方正小标宋简体" w:cs="Times New Roman"/>
          <w:color w:val="auto"/>
          <w:kern w:val="2"/>
          <w:sz w:val="44"/>
          <w:szCs w:val="44"/>
          <w:highlight w:val="none"/>
          <w:lang w:val="en-US" w:eastAsia="zh-CN" w:bidi="ar-SA"/>
        </w:rPr>
      </w:pPr>
      <w:bookmarkStart w:id="6" w:name="_Toc15377194"/>
      <w:bookmarkStart w:id="7" w:name="_Toc15396598"/>
      <w:bookmarkStart w:id="8" w:name="_Toc15377426"/>
      <w:bookmarkStart w:id="9" w:name="_Toc15378442"/>
      <w:bookmarkStart w:id="10" w:name="_Toc15396476"/>
      <w:r>
        <w:rPr>
          <w:rFonts w:hint="eastAsia" w:ascii="Times New Roman" w:hAnsi="Times New Roman" w:eastAsia="方正小标宋简体" w:cs="Times New Roman"/>
          <w:color w:val="auto"/>
          <w:kern w:val="2"/>
          <w:sz w:val="44"/>
          <w:szCs w:val="44"/>
          <w:highlight w:val="none"/>
          <w:lang w:val="en-US" w:eastAsia="zh-CN" w:bidi="ar-SA"/>
        </w:rPr>
        <w:t>2024年度四川省</w:t>
      </w:r>
      <w:bookmarkStart w:id="11" w:name="_Toc15306268"/>
      <w:r>
        <w:rPr>
          <w:rFonts w:hint="eastAsia" w:ascii="Times New Roman" w:eastAsia="方正小标宋简体" w:cs="Times New Roman"/>
          <w:color w:val="auto"/>
          <w:kern w:val="2"/>
          <w:sz w:val="44"/>
          <w:szCs w:val="44"/>
          <w:highlight w:val="none"/>
          <w:lang w:val="en-US" w:eastAsia="zh-CN" w:bidi="ar-SA"/>
        </w:rPr>
        <w:t>金川县河东乡人民政府</w:t>
      </w:r>
    </w:p>
    <w:p w14:paraId="229964D5">
      <w:pPr>
        <w:pStyle w:val="11"/>
        <w:jc w:val="center"/>
        <w:rPr>
          <w:rFonts w:hint="eastAsia" w:ascii="Times New Roman" w:hAns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部门决算</w:t>
      </w:r>
      <w:bookmarkEnd w:id="6"/>
      <w:bookmarkEnd w:id="7"/>
      <w:bookmarkEnd w:id="8"/>
      <w:bookmarkEnd w:id="9"/>
      <w:bookmarkEnd w:id="10"/>
      <w:bookmarkEnd w:id="11"/>
    </w:p>
    <w:p w14:paraId="47173963">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3128AF52">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1EF872D2">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6BF74D53">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741A663E">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637D1FC6">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54DDB020">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450F9C78">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743D9D22">
      <w:pPr>
        <w:pStyle w:val="8"/>
        <w:tabs>
          <w:tab w:val="left" w:pos="3600"/>
        </w:tabs>
        <w:ind w:left="0" w:leftChars="0" w:firstLine="0" w:firstLineChars="0"/>
        <w:rPr>
          <w:rFonts w:hint="eastAsia" w:ascii="思源黑体 CN Normal" w:hAnsi="思源黑体 CN Normal" w:eastAsia="思源黑体 CN Normal" w:cs="思源黑体 CN Normal"/>
          <w:color w:val="000000" w:themeColor="text1"/>
          <w:sz w:val="36"/>
          <w:szCs w:val="36"/>
          <w14:textFill>
            <w14:solidFill>
              <w14:schemeClr w14:val="tx1"/>
            </w14:solidFill>
          </w14:textFill>
        </w:rPr>
      </w:pPr>
    </w:p>
    <w:p w14:paraId="6852086B">
      <w:pPr>
        <w:widowControl/>
        <w:jc w:val="center"/>
        <w:rPr>
          <w:rFonts w:hint="eastAsia" w:ascii="思源黑体 CN Normal" w:hAnsi="思源黑体 CN Normal" w:eastAsia="思源黑体 CN Normal" w:cs="思源黑体 CN Normal"/>
          <w:b w:val="0"/>
          <w:bCs w:val="0"/>
          <w:color w:val="000000" w:themeColor="text1"/>
          <w:sz w:val="48"/>
          <w:szCs w:val="48"/>
          <w14:textFill>
            <w14:solidFill>
              <w14:schemeClr w14:val="tx1"/>
            </w14:solidFill>
          </w14:textFill>
        </w:rPr>
        <w:sectPr>
          <w:footerReference r:id="rId5" w:type="first"/>
          <w:headerReference r:id="rId3" w:type="default"/>
          <w:footerReference r:id="rId4" w:type="default"/>
          <w:pgSz w:w="11906" w:h="16838"/>
          <w:pgMar w:top="1440" w:right="1800" w:bottom="1440" w:left="1800" w:header="851" w:footer="992" w:gutter="0"/>
          <w:pgNumType w:fmt="decimal" w:start="1"/>
          <w:cols w:space="425" w:num="1"/>
          <w:titlePg/>
          <w:docGrid w:type="lines" w:linePitch="312" w:charSpace="0"/>
        </w:sectPr>
      </w:pPr>
    </w:p>
    <w:p w14:paraId="0992FC4D">
      <w:pPr>
        <w:widowControl/>
        <w:jc w:val="center"/>
        <w:rPr>
          <w:rFonts w:hint="eastAsia" w:ascii="思源黑体 CN Normal" w:hAnsi="思源黑体 CN Normal" w:eastAsia="思源黑体 CN Normal" w:cs="思源黑体 CN Normal"/>
          <w:b w:val="0"/>
          <w:bCs w:val="0"/>
          <w:color w:val="000000" w:themeColor="text1"/>
          <w:sz w:val="36"/>
          <w:szCs w:val="36"/>
          <w14:textFill>
            <w14:solidFill>
              <w14:schemeClr w14:val="tx1"/>
            </w14:solidFill>
          </w14:textFill>
        </w:rPr>
      </w:pPr>
      <w:r>
        <w:rPr>
          <w:rFonts w:hint="eastAsia" w:ascii="思源黑体 CN Normal" w:hAnsi="思源黑体 CN Normal" w:eastAsia="思源黑体 CN Normal" w:cs="思源黑体 CN Normal"/>
          <w:b w:val="0"/>
          <w:bCs w:val="0"/>
          <w:color w:val="000000" w:themeColor="text1"/>
          <w:sz w:val="48"/>
          <w:szCs w:val="48"/>
          <w14:textFill>
            <w14:solidFill>
              <w14:schemeClr w14:val="tx1"/>
            </w14:solidFill>
          </w14:textFill>
        </w:rPr>
        <w:t>目录</w:t>
      </w:r>
    </w:p>
    <w:p w14:paraId="297F534D">
      <w:pPr>
        <w:pStyle w:val="16"/>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公开时间：20</w:t>
      </w:r>
      <w:r>
        <w:rPr>
          <w:rFonts w:hint="eastAsia"/>
          <w:color w:val="000000" w:themeColor="text1"/>
          <w:highlight w:val="none"/>
          <w:lang w:val="en-US" w:eastAsia="zh-CN"/>
          <w14:textFill>
            <w14:solidFill>
              <w14:schemeClr w14:val="tx1"/>
            </w14:solidFill>
          </w14:textFill>
        </w:rPr>
        <w:t>25</w:t>
      </w:r>
      <w:r>
        <w:rPr>
          <w:rFonts w:hint="eastAsia"/>
          <w:color w:val="000000" w:themeColor="text1"/>
          <w:highlight w:val="none"/>
          <w14:textFill>
            <w14:solidFill>
              <w14:schemeClr w14:val="tx1"/>
            </w14:solidFill>
          </w14:textFill>
        </w:rPr>
        <w:t>年</w:t>
      </w:r>
      <w:r>
        <w:rPr>
          <w:rFonts w:hint="eastAsia"/>
          <w:color w:val="000000" w:themeColor="text1"/>
          <w:highlight w:val="none"/>
          <w:lang w:val="en-US" w:eastAsia="zh-CN"/>
          <w14:textFill>
            <w14:solidFill>
              <w14:schemeClr w14:val="tx1"/>
            </w14:solidFill>
          </w14:textFill>
        </w:rPr>
        <w:t>8</w:t>
      </w:r>
      <w:r>
        <w:rPr>
          <w:rFonts w:hint="eastAsia"/>
          <w:color w:val="000000" w:themeColor="text1"/>
          <w:highlight w:val="none"/>
          <w14:textFill>
            <w14:solidFill>
              <w14:schemeClr w14:val="tx1"/>
            </w14:solidFill>
          </w14:textFill>
        </w:rPr>
        <w:t>月</w:t>
      </w:r>
      <w:r>
        <w:rPr>
          <w:rFonts w:hint="eastAsia"/>
          <w:color w:val="000000" w:themeColor="text1"/>
          <w:highlight w:val="none"/>
          <w:lang w:val="en-US" w:eastAsia="zh-CN"/>
          <w14:textFill>
            <w14:solidFill>
              <w14:schemeClr w14:val="tx1"/>
            </w14:solidFill>
          </w14:textFill>
        </w:rPr>
        <w:t xml:space="preserve">28 </w:t>
      </w:r>
      <w:r>
        <w:rPr>
          <w:rFonts w:hint="eastAsia"/>
          <w:color w:val="000000" w:themeColor="text1"/>
          <w:highlight w:val="none"/>
          <w14:textFill>
            <w14:solidFill>
              <w14:schemeClr w14:val="tx1"/>
            </w14:solidFill>
          </w14:textFill>
        </w:rPr>
        <w:t>日</w:t>
      </w:r>
    </w:p>
    <w:p w14:paraId="49203D4D">
      <w:pPr>
        <w:pStyle w:val="16"/>
        <w:tabs>
          <w:tab w:val="right" w:leader="dot" w:pos="8306"/>
          <w:tab w:val="clear" w:pos="8296"/>
        </w:tabs>
        <w:rPr>
          <w:rFonts w:hint="eastAsia" w:ascii="黑体" w:hAnsi="黑体" w:eastAsia="黑体" w:cs="黑体"/>
          <w:color w:val="000000" w:themeColor="text1"/>
          <w:sz w:val="32"/>
          <w:szCs w:val="32"/>
          <w14:textFill>
            <w14:solidFill>
              <w14:schemeClr w14:val="tx1"/>
            </w14:solidFill>
          </w14:textFill>
        </w:rPr>
      </w:pPr>
      <w:bookmarkStart w:id="12" w:name="_Toc15377196"/>
      <w:r>
        <w:rPr>
          <w:rFonts w:hint="eastAsia" w:ascii="宋体" w:hAnsi="宋体" w:eastAsia="宋体" w:cs="宋体"/>
          <w:smallCaps/>
          <w:color w:val="000000" w:themeColor="text1"/>
          <w:sz w:val="20"/>
          <w:szCs w:val="20"/>
          <w14:textFill>
            <w14:solidFill>
              <w14:schemeClr w14:val="tx1"/>
            </w14:solidFill>
          </w14:textFill>
        </w:rPr>
        <w:fldChar w:fldCharType="begin"/>
      </w:r>
      <w:r>
        <w:rPr>
          <w:rFonts w:hint="eastAsia" w:ascii="宋体" w:hAnsi="宋体" w:eastAsia="宋体" w:cs="宋体"/>
          <w:smallCaps/>
          <w:color w:val="000000" w:themeColor="text1"/>
          <w:sz w:val="20"/>
          <w:szCs w:val="20"/>
          <w14:textFill>
            <w14:solidFill>
              <w14:schemeClr w14:val="tx1"/>
            </w14:solidFill>
          </w14:textFill>
        </w:rPr>
        <w:instrText xml:space="preserve"> TOC \o "1-2" \h \z \u </w:instrText>
      </w:r>
      <w:r>
        <w:rPr>
          <w:rFonts w:hint="eastAsia" w:ascii="宋体" w:hAnsi="宋体" w:eastAsia="宋体" w:cs="宋体"/>
          <w:smallCaps/>
          <w:color w:val="000000" w:themeColor="text1"/>
          <w:sz w:val="20"/>
          <w:szCs w:val="20"/>
          <w14:textFill>
            <w14:solidFill>
              <w14:schemeClr w14:val="tx1"/>
            </w14:solidFill>
          </w14:textFill>
        </w:rPr>
        <w:fldChar w:fldCharType="separate"/>
      </w:r>
      <w:r>
        <w:rPr>
          <w:rFonts w:hint="eastAsia" w:ascii="黑体" w:hAnsi="黑体" w:eastAsia="黑体" w:cs="黑体"/>
          <w:smallCaps/>
          <w:color w:val="000000" w:themeColor="text1"/>
          <w:sz w:val="32"/>
          <w:szCs w:val="32"/>
          <w14:textFill>
            <w14:solidFill>
              <w14:schemeClr w14:val="tx1"/>
            </w14:solidFill>
          </w14:textFill>
        </w:rPr>
        <w:fldChar w:fldCharType="begin"/>
      </w:r>
      <w:r>
        <w:rPr>
          <w:rFonts w:hint="eastAsia" w:ascii="黑体" w:hAnsi="黑体" w:eastAsia="黑体" w:cs="黑体"/>
          <w:smallCaps/>
          <w:color w:val="000000" w:themeColor="text1"/>
          <w:sz w:val="32"/>
          <w:szCs w:val="32"/>
          <w14:textFill>
            <w14:solidFill>
              <w14:schemeClr w14:val="tx1"/>
            </w14:solidFill>
          </w14:textFill>
        </w:rPr>
        <w:instrText xml:space="preserve"> HYPERLINK \l _Toc9016 </w:instrText>
      </w:r>
      <w:r>
        <w:rPr>
          <w:rFonts w:hint="eastAsia" w:ascii="黑体" w:hAnsi="黑体" w:eastAsia="黑体" w:cs="黑体"/>
          <w:smallCaps/>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 xml:space="preserve">第一部分 </w:t>
      </w:r>
      <w:r>
        <w:rPr>
          <w:rFonts w:hint="eastAsia" w:ascii="黑体" w:hAnsi="黑体" w:eastAsia="黑体" w:cs="黑体"/>
          <w:bCs w:val="0"/>
          <w:color w:val="000000" w:themeColor="text1"/>
          <w:sz w:val="32"/>
          <w:szCs w:val="32"/>
          <w14:textFill>
            <w14:solidFill>
              <w14:schemeClr w14:val="tx1"/>
            </w14:solidFill>
          </w14:textFill>
        </w:rPr>
        <w:t>单位</w:t>
      </w:r>
      <w:r>
        <w:rPr>
          <w:rFonts w:ascii="黑体" w:hAnsi="黑体" w:eastAsia="黑体" w:cs="黑体"/>
          <w:color w:val="000000"/>
          <w:sz w:val="32"/>
          <w:u w:color="auto"/>
        </w:rPr>
        <w:t>概况</w:t>
      </w:r>
      <w:r>
        <w:tab/>
      </w:r>
      <w:r>
        <w:rPr>
          <w:rFonts w:hint="eastAsia" w:ascii="黑体" w:hAnsi="黑体" w:eastAsia="黑体" w:cs="黑体"/>
          <w:color w:val="000000" w:themeColor="text1"/>
          <w:sz w:val="32"/>
          <w:szCs w:val="32"/>
          <w14:textFill>
            <w14:solidFill>
              <w14:schemeClr w14:val="tx1"/>
            </w14:solidFill>
          </w14:textFill>
        </w:rPr>
        <w:fldChar w:fldCharType="begin"/>
      </w:r>
      <w:r>
        <w:rPr>
          <w:rFonts w:hint="eastAsia" w:ascii="黑体" w:hAnsi="黑体" w:eastAsia="黑体" w:cs="黑体"/>
          <w:color w:val="000000" w:themeColor="text1"/>
          <w:sz w:val="32"/>
          <w:szCs w:val="32"/>
          <w14:textFill>
            <w14:solidFill>
              <w14:schemeClr w14:val="tx1"/>
            </w14:solidFill>
          </w14:textFill>
        </w:rPr>
        <w:instrText xml:space="preserve"> PAGEREF _Toc9016 \h </w:instrText>
      </w:r>
      <w:r>
        <w:rPr>
          <w:rFonts w:hint="eastAsia" w:ascii="黑体" w:hAnsi="黑体" w:eastAsia="黑体" w:cs="黑体"/>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3</w:t>
      </w:r>
      <w:r>
        <w:rPr>
          <w:rFonts w:hint="eastAsia" w:ascii="黑体" w:hAnsi="黑体" w:eastAsia="黑体" w:cs="黑体"/>
          <w:color w:val="000000" w:themeColor="text1"/>
          <w:sz w:val="32"/>
          <w:szCs w:val="32"/>
          <w14:textFill>
            <w14:solidFill>
              <w14:schemeClr w14:val="tx1"/>
            </w14:solidFill>
          </w14:textFill>
        </w:rPr>
        <w:fldChar w:fldCharType="end"/>
      </w:r>
      <w:r>
        <w:rPr>
          <w:rFonts w:hint="eastAsia" w:ascii="黑体" w:hAnsi="黑体" w:eastAsia="黑体" w:cs="黑体"/>
          <w:smallCaps/>
          <w:color w:val="000000" w:themeColor="text1"/>
          <w:sz w:val="32"/>
          <w:szCs w:val="32"/>
          <w14:textFill>
            <w14:solidFill>
              <w14:schemeClr w14:val="tx1"/>
            </w14:solidFill>
          </w14:textFill>
        </w:rPr>
        <w:fldChar w:fldCharType="end"/>
      </w:r>
    </w:p>
    <w:p w14:paraId="68CC578D">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_Toc28564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一、</w:t>
      </w:r>
      <w:r>
        <w:rPr>
          <w:rFonts w:hint="eastAsia" w:ascii="仿宋" w:hAnsi="仿宋" w:eastAsia="仿宋" w:cs="仿宋"/>
          <w:bCs w:val="0"/>
          <w:color w:val="000000" w:themeColor="text1"/>
          <w:sz w:val="32"/>
          <w:szCs w:val="32"/>
          <w:lang w:val="en-US" w:eastAsia="zh-CN"/>
          <w14:textFill>
            <w14:solidFill>
              <w14:schemeClr w14:val="tx1"/>
            </w14:solidFill>
          </w14:textFill>
        </w:rPr>
        <w:t>主要职责</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_Toc28564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3</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19D3FCBB">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_Toc22056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二、机构设置</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4</w:t>
      </w:r>
      <w:r>
        <w:rPr>
          <w:rFonts w:hint="eastAsia" w:ascii="仿宋" w:hAnsi="仿宋" w:eastAsia="仿宋" w:cs="仿宋"/>
          <w:smallCaps/>
          <w:color w:val="000000" w:themeColor="text1"/>
          <w:sz w:val="32"/>
          <w:szCs w:val="32"/>
          <w14:textFill>
            <w14:solidFill>
              <w14:schemeClr w14:val="tx1"/>
            </w14:solidFill>
          </w14:textFill>
        </w:rPr>
        <w:fldChar w:fldCharType="end"/>
      </w:r>
    </w:p>
    <w:p w14:paraId="72AD3064">
      <w:pPr>
        <w:pStyle w:val="16"/>
        <w:tabs>
          <w:tab w:val="right" w:leader="dot" w:pos="8306"/>
          <w:tab w:val="clear" w:pos="8296"/>
        </w:tabs>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smallCaps/>
          <w:color w:val="000000" w:themeColor="text1"/>
          <w:sz w:val="32"/>
          <w:szCs w:val="32"/>
          <w14:textFill>
            <w14:solidFill>
              <w14:schemeClr w14:val="tx1"/>
            </w14:solidFill>
          </w14:textFill>
        </w:rPr>
        <w:fldChar w:fldCharType="begin"/>
      </w:r>
      <w:r>
        <w:rPr>
          <w:rFonts w:hint="eastAsia" w:ascii="黑体" w:hAnsi="黑体" w:eastAsia="黑体" w:cs="黑体"/>
          <w:smallCaps/>
          <w:color w:val="000000" w:themeColor="text1"/>
          <w:sz w:val="32"/>
          <w:szCs w:val="32"/>
          <w14:textFill>
            <w14:solidFill>
              <w14:schemeClr w14:val="tx1"/>
            </w14:solidFill>
          </w14:textFill>
        </w:rPr>
        <w:instrText xml:space="preserve"> HYPERLINK \l _Toc9058 </w:instrText>
      </w:r>
      <w:r>
        <w:rPr>
          <w:rFonts w:hint="eastAsia" w:ascii="黑体" w:hAnsi="黑体" w:eastAsia="黑体" w:cs="黑体"/>
          <w:smallCaps/>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 xml:space="preserve">第二部分 </w:t>
      </w:r>
      <w:r>
        <w:rPr>
          <w:rFonts w:ascii="黑体" w:hAnsi="黑体" w:eastAsia="黑体" w:cs="黑体"/>
          <w:color w:val="000000"/>
          <w:sz w:val="32"/>
          <w:u w:color="auto"/>
        </w:rPr>
        <w:t>2024年度</w:t>
      </w:r>
      <w:r>
        <w:rPr>
          <w:rFonts w:hint="eastAsia" w:ascii="黑体" w:hAnsi="黑体" w:eastAsia="黑体" w:cs="黑体"/>
          <w:color w:val="000000" w:themeColor="text1"/>
          <w:sz w:val="32"/>
          <w:szCs w:val="32"/>
          <w:lang w:val="en-US" w:eastAsia="zh-CN"/>
          <w14:textFill>
            <w14:solidFill>
              <w14:schemeClr w14:val="tx1"/>
            </w14:solidFill>
          </w14:textFill>
        </w:rPr>
        <w:t>单位</w:t>
      </w:r>
      <w:r>
        <w:rPr>
          <w:rFonts w:hint="eastAsia" w:ascii="黑体" w:hAnsi="黑体" w:eastAsia="黑体" w:cs="黑体"/>
          <w:color w:val="000000" w:themeColor="text1"/>
          <w:sz w:val="32"/>
          <w:szCs w:val="32"/>
          <w14:textFill>
            <w14:solidFill>
              <w14:schemeClr w14:val="tx1"/>
            </w14:solidFill>
          </w14:textFill>
        </w:rPr>
        <w:t>决算情况说明</w:t>
      </w:r>
      <w:r>
        <w:tab/>
      </w:r>
      <w:r>
        <w:rPr>
          <w:rFonts w:hint="eastAsia" w:ascii="黑体" w:hAnsi="黑体" w:eastAsia="黑体" w:cs="黑体"/>
          <w:color w:val="000000" w:themeColor="text1"/>
          <w:sz w:val="32"/>
          <w:szCs w:val="32"/>
          <w:lang w:val="en-US" w:eastAsia="zh-CN"/>
          <w14:textFill>
            <w14:solidFill>
              <w14:schemeClr w14:val="tx1"/>
            </w14:solidFill>
          </w14:textFill>
        </w:rPr>
        <w:t>5</w:t>
      </w:r>
      <w:r>
        <w:rPr>
          <w:rFonts w:hint="eastAsia" w:ascii="黑体" w:hAnsi="黑体" w:eastAsia="黑体" w:cs="黑体"/>
          <w:smallCaps/>
          <w:color w:val="000000" w:themeColor="text1"/>
          <w:sz w:val="32"/>
          <w:szCs w:val="32"/>
          <w14:textFill>
            <w14:solidFill>
              <w14:schemeClr w14:val="tx1"/>
            </w14:solidFill>
          </w14:textFill>
        </w:rPr>
        <w:fldChar w:fldCharType="end"/>
      </w:r>
    </w:p>
    <w:p w14:paraId="5775D898">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_Toc19710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一、收入支出决算总体情况说明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5</w:t>
      </w:r>
      <w:r>
        <w:rPr>
          <w:rFonts w:hint="eastAsia" w:ascii="仿宋" w:hAnsi="仿宋" w:eastAsia="仿宋" w:cs="仿宋"/>
          <w:smallCaps/>
          <w:color w:val="000000" w:themeColor="text1"/>
          <w:sz w:val="32"/>
          <w:szCs w:val="32"/>
          <w14:textFill>
            <w14:solidFill>
              <w14:schemeClr w14:val="tx1"/>
            </w14:solidFill>
          </w14:textFill>
        </w:rPr>
        <w:fldChar w:fldCharType="end"/>
      </w:r>
    </w:p>
    <w:p w14:paraId="228B92BF">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_Toc8125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二、收入决算情况说明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_Toc8125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5</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6F99C6CD">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_Toc28283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三、支出决算情况说明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_Toc28283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6</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05425E03">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_Toc19521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四、财政拨款收入支出决算总体情况说明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7</w:t>
      </w:r>
      <w:r>
        <w:rPr>
          <w:rFonts w:hint="eastAsia" w:ascii="仿宋" w:hAnsi="仿宋" w:eastAsia="仿宋" w:cs="仿宋"/>
          <w:smallCaps/>
          <w:color w:val="000000" w:themeColor="text1"/>
          <w:sz w:val="32"/>
          <w:szCs w:val="32"/>
          <w14:textFill>
            <w14:solidFill>
              <w14:schemeClr w14:val="tx1"/>
            </w14:solidFill>
          </w14:textFill>
        </w:rPr>
        <w:fldChar w:fldCharType="end"/>
      </w:r>
    </w:p>
    <w:p w14:paraId="16C145AC">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_Toc14368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五、一般公共预算财政拨款支出决算情况说明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8</w:t>
      </w:r>
      <w:r>
        <w:rPr>
          <w:rFonts w:hint="eastAsia" w:ascii="仿宋" w:hAnsi="仿宋" w:eastAsia="仿宋" w:cs="仿宋"/>
          <w:smallCaps/>
          <w:color w:val="000000" w:themeColor="text1"/>
          <w:sz w:val="32"/>
          <w:szCs w:val="32"/>
          <w14:textFill>
            <w14:solidFill>
              <w14:schemeClr w14:val="tx1"/>
            </w14:solidFill>
          </w14:textFill>
        </w:rPr>
        <w:fldChar w:fldCharType="end"/>
      </w:r>
    </w:p>
    <w:p w14:paraId="253451D8">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_Toc31578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六、一般公共预算财政拨款基本支出决算情况说明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1</w:t>
      </w:r>
      <w:r>
        <w:rPr>
          <w:rFonts w:hint="eastAsia" w:ascii="仿宋" w:hAnsi="仿宋" w:eastAsia="仿宋" w:cs="仿宋"/>
          <w:smallCaps/>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lang w:val="en-US" w:eastAsia="zh-CN"/>
          <w14:textFill>
            <w14:solidFill>
              <w14:schemeClr w14:val="tx1"/>
            </w14:solidFill>
          </w14:textFill>
        </w:rPr>
        <w:t>2</w:t>
      </w:r>
    </w:p>
    <w:p w14:paraId="13372F60">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_Toc6614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七、“三公”经费财政拨款支出决算情况说明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1</w:t>
      </w:r>
      <w:r>
        <w:rPr>
          <w:rFonts w:hint="eastAsia" w:ascii="仿宋" w:hAnsi="仿宋" w:eastAsia="仿宋" w:cs="仿宋"/>
          <w:smallCaps/>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lang w:val="en-US" w:eastAsia="zh-CN"/>
          <w14:textFill>
            <w14:solidFill>
              <w14:schemeClr w14:val="tx1"/>
            </w14:solidFill>
          </w14:textFill>
        </w:rPr>
        <w:t>3</w:t>
      </w:r>
    </w:p>
    <w:p w14:paraId="4567BA51">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_Toc20439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八、政府性基金预算支出决算情况说明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1</w:t>
      </w:r>
      <w:r>
        <w:rPr>
          <w:rFonts w:hint="eastAsia" w:ascii="仿宋" w:hAnsi="仿宋" w:eastAsia="仿宋" w:cs="仿宋"/>
          <w:smallCaps/>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lang w:val="en-US" w:eastAsia="zh-CN"/>
          <w14:textFill>
            <w14:solidFill>
              <w14:schemeClr w14:val="tx1"/>
            </w14:solidFill>
          </w14:textFill>
        </w:rPr>
        <w:t>4</w:t>
      </w:r>
    </w:p>
    <w:p w14:paraId="71EF486F">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_Toc23467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九、国有资本经营预算支出决算情况说明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1</w:t>
      </w:r>
      <w:r>
        <w:rPr>
          <w:rFonts w:hint="eastAsia" w:ascii="仿宋" w:hAnsi="仿宋" w:eastAsia="仿宋" w:cs="仿宋"/>
          <w:smallCaps/>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lang w:val="en-US" w:eastAsia="zh-CN"/>
          <w14:textFill>
            <w14:solidFill>
              <w14:schemeClr w14:val="tx1"/>
            </w14:solidFill>
          </w14:textFill>
        </w:rPr>
        <w:t>4</w:t>
      </w:r>
    </w:p>
    <w:p w14:paraId="610F5F4F">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_Toc18455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十、其他重要事项的情况说明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1</w:t>
      </w:r>
      <w:r>
        <w:rPr>
          <w:rFonts w:hint="eastAsia" w:ascii="仿宋" w:hAnsi="仿宋" w:eastAsia="仿宋" w:cs="仿宋"/>
          <w:smallCaps/>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lang w:val="en-US" w:eastAsia="zh-CN"/>
          <w14:textFill>
            <w14:solidFill>
              <w14:schemeClr w14:val="tx1"/>
            </w14:solidFill>
          </w14:textFill>
        </w:rPr>
        <w:t>4</w:t>
      </w:r>
    </w:p>
    <w:p w14:paraId="1C39B0B7">
      <w:pPr>
        <w:pStyle w:val="16"/>
        <w:tabs>
          <w:tab w:val="right" w:leader="dot" w:pos="8306"/>
          <w:tab w:val="clear" w:pos="8296"/>
        </w:tabs>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smallCaps/>
          <w:color w:val="000000" w:themeColor="text1"/>
          <w:sz w:val="32"/>
          <w:szCs w:val="32"/>
          <w14:textFill>
            <w14:solidFill>
              <w14:schemeClr w14:val="tx1"/>
            </w14:solidFill>
          </w14:textFill>
        </w:rPr>
        <w:fldChar w:fldCharType="begin"/>
      </w:r>
      <w:r>
        <w:rPr>
          <w:rFonts w:hint="eastAsia" w:ascii="黑体" w:hAnsi="黑体" w:eastAsia="黑体" w:cs="黑体"/>
          <w:smallCaps/>
          <w:color w:val="000000" w:themeColor="text1"/>
          <w:sz w:val="32"/>
          <w:szCs w:val="32"/>
          <w14:textFill>
            <w14:solidFill>
              <w14:schemeClr w14:val="tx1"/>
            </w14:solidFill>
          </w14:textFill>
        </w:rPr>
        <w:instrText xml:space="preserve"> HYPERLINK \l _Toc18122 </w:instrText>
      </w:r>
      <w:r>
        <w:rPr>
          <w:rFonts w:hint="eastAsia" w:ascii="黑体" w:hAnsi="黑体" w:eastAsia="黑体" w:cs="黑体"/>
          <w:smallCaps/>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第三部分 名词解释</w:t>
      </w:r>
      <w:r>
        <w:rPr>
          <w:rFonts w:hint="eastAsia" w:ascii="黑体" w:hAnsi="黑体" w:eastAsia="黑体" w:cs="黑体"/>
          <w:color w:val="000000" w:themeColor="text1"/>
          <w:sz w:val="32"/>
          <w:szCs w:val="32"/>
          <w14:textFill>
            <w14:solidFill>
              <w14:schemeClr w14:val="tx1"/>
            </w14:solidFill>
          </w14:textFill>
        </w:rPr>
        <w:tab/>
      </w:r>
      <w:r>
        <w:rPr>
          <w:rFonts w:hint="eastAsia" w:ascii="黑体" w:hAnsi="黑体" w:eastAsia="黑体" w:cs="黑体"/>
          <w:color w:val="000000" w:themeColor="text1"/>
          <w:sz w:val="32"/>
          <w:szCs w:val="32"/>
          <w:lang w:val="en-US" w:eastAsia="zh-CN"/>
          <w14:textFill>
            <w14:solidFill>
              <w14:schemeClr w14:val="tx1"/>
            </w14:solidFill>
          </w14:textFill>
        </w:rPr>
        <w:t>1</w:t>
      </w:r>
      <w:r>
        <w:rPr>
          <w:rFonts w:hint="eastAsia" w:ascii="黑体" w:hAnsi="黑体" w:eastAsia="黑体" w:cs="黑体"/>
          <w:smallCaps/>
          <w:color w:val="000000" w:themeColor="text1"/>
          <w:sz w:val="32"/>
          <w:szCs w:val="32"/>
          <w14:textFill>
            <w14:solidFill>
              <w14:schemeClr w14:val="tx1"/>
            </w14:solidFill>
          </w14:textFill>
        </w:rPr>
        <w:fldChar w:fldCharType="end"/>
      </w:r>
      <w:r>
        <w:rPr>
          <w:rFonts w:hint="eastAsia" w:ascii="黑体" w:hAnsi="黑体" w:eastAsia="黑体" w:cs="黑体"/>
          <w:smallCaps/>
          <w:color w:val="000000" w:themeColor="text1"/>
          <w:sz w:val="32"/>
          <w:szCs w:val="32"/>
          <w:lang w:val="en-US" w:eastAsia="zh-CN"/>
          <w14:textFill>
            <w14:solidFill>
              <w14:schemeClr w14:val="tx1"/>
            </w14:solidFill>
          </w14:textFill>
        </w:rPr>
        <w:t>6</w:t>
      </w:r>
    </w:p>
    <w:p w14:paraId="5185CA32">
      <w:pPr>
        <w:pStyle w:val="16"/>
        <w:tabs>
          <w:tab w:val="right" w:leader="dot" w:pos="8306"/>
          <w:tab w:val="clear" w:pos="8296"/>
        </w:tabs>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smallCaps/>
          <w:color w:val="000000" w:themeColor="text1"/>
          <w:sz w:val="32"/>
          <w:szCs w:val="32"/>
          <w14:textFill>
            <w14:solidFill>
              <w14:schemeClr w14:val="tx1"/>
            </w14:solidFill>
          </w14:textFill>
        </w:rPr>
        <w:fldChar w:fldCharType="begin"/>
      </w:r>
      <w:r>
        <w:rPr>
          <w:rFonts w:hint="eastAsia" w:ascii="黑体" w:hAnsi="黑体" w:eastAsia="黑体" w:cs="黑体"/>
          <w:smallCaps/>
          <w:color w:val="000000" w:themeColor="text1"/>
          <w:sz w:val="32"/>
          <w:szCs w:val="32"/>
          <w14:textFill>
            <w14:solidFill>
              <w14:schemeClr w14:val="tx1"/>
            </w14:solidFill>
          </w14:textFill>
        </w:rPr>
        <w:instrText xml:space="preserve"> HYPERLINK \l _Toc25539 </w:instrText>
      </w:r>
      <w:r>
        <w:rPr>
          <w:rFonts w:hint="eastAsia" w:ascii="黑体" w:hAnsi="黑体" w:eastAsia="黑体" w:cs="黑体"/>
          <w:smallCaps/>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第四部分 附件</w:t>
      </w:r>
      <w:r>
        <w:rPr>
          <w:rFonts w:hint="eastAsia" w:ascii="黑体" w:hAnsi="黑体" w:eastAsia="黑体" w:cs="黑体"/>
          <w:color w:val="000000" w:themeColor="text1"/>
          <w:sz w:val="32"/>
          <w:szCs w:val="32"/>
          <w14:textFill>
            <w14:solidFill>
              <w14:schemeClr w14:val="tx1"/>
            </w14:solidFill>
          </w14:textFill>
        </w:rPr>
        <w:tab/>
      </w:r>
      <w:r>
        <w:rPr>
          <w:rFonts w:hint="eastAsia" w:ascii="黑体" w:hAnsi="黑体" w:eastAsia="黑体" w:cs="黑体"/>
          <w:color w:val="000000" w:themeColor="text1"/>
          <w:sz w:val="32"/>
          <w:szCs w:val="32"/>
          <w:lang w:val="en-US" w:eastAsia="zh-CN"/>
          <w14:textFill>
            <w14:solidFill>
              <w14:schemeClr w14:val="tx1"/>
            </w14:solidFill>
          </w14:textFill>
        </w:rPr>
        <w:t>2</w:t>
      </w:r>
      <w:r>
        <w:rPr>
          <w:rFonts w:hint="eastAsia" w:ascii="黑体" w:hAnsi="黑体" w:eastAsia="黑体" w:cs="黑体"/>
          <w:smallCaps/>
          <w:color w:val="000000" w:themeColor="text1"/>
          <w:sz w:val="32"/>
          <w:szCs w:val="32"/>
          <w14:textFill>
            <w14:solidFill>
              <w14:schemeClr w14:val="tx1"/>
            </w14:solidFill>
          </w14:textFill>
        </w:rPr>
        <w:fldChar w:fldCharType="end"/>
      </w:r>
      <w:r>
        <w:rPr>
          <w:rFonts w:hint="eastAsia" w:ascii="黑体" w:hAnsi="黑体" w:eastAsia="黑体" w:cs="黑体"/>
          <w:smallCaps/>
          <w:color w:val="000000" w:themeColor="text1"/>
          <w:sz w:val="32"/>
          <w:szCs w:val="32"/>
          <w:lang w:val="en-US" w:eastAsia="zh-CN"/>
          <w14:textFill>
            <w14:solidFill>
              <w14:schemeClr w14:val="tx1"/>
            </w14:solidFill>
          </w14:textFill>
        </w:rPr>
        <w:t>1</w:t>
      </w:r>
    </w:p>
    <w:p w14:paraId="49EB3F66">
      <w:pPr>
        <w:pStyle w:val="16"/>
        <w:tabs>
          <w:tab w:val="right" w:leader="dot" w:pos="8306"/>
          <w:tab w:val="clear" w:pos="8296"/>
        </w:tabs>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smallCaps/>
          <w:color w:val="000000" w:themeColor="text1"/>
          <w:sz w:val="32"/>
          <w:szCs w:val="32"/>
          <w14:textFill>
            <w14:solidFill>
              <w14:schemeClr w14:val="tx1"/>
            </w14:solidFill>
          </w14:textFill>
        </w:rPr>
        <w:fldChar w:fldCharType="begin"/>
      </w:r>
      <w:r>
        <w:rPr>
          <w:rFonts w:hint="eastAsia" w:ascii="黑体" w:hAnsi="黑体" w:eastAsia="黑体" w:cs="黑体"/>
          <w:smallCaps/>
          <w:color w:val="000000" w:themeColor="text1"/>
          <w:sz w:val="32"/>
          <w:szCs w:val="32"/>
          <w14:textFill>
            <w14:solidFill>
              <w14:schemeClr w14:val="tx1"/>
            </w14:solidFill>
          </w14:textFill>
        </w:rPr>
        <w:instrText xml:space="preserve"> HYPERLINK \l _Toc21200 </w:instrText>
      </w:r>
      <w:r>
        <w:rPr>
          <w:rFonts w:hint="eastAsia" w:ascii="黑体" w:hAnsi="黑体" w:eastAsia="黑体" w:cs="黑体"/>
          <w:smallCaps/>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第五部分 附表</w:t>
      </w:r>
      <w:r>
        <w:rPr>
          <w:rFonts w:hint="eastAsia" w:ascii="黑体" w:hAnsi="黑体" w:eastAsia="黑体" w:cs="黑体"/>
          <w:color w:val="000000" w:themeColor="text1"/>
          <w:sz w:val="32"/>
          <w:szCs w:val="32"/>
          <w14:textFill>
            <w14:solidFill>
              <w14:schemeClr w14:val="tx1"/>
            </w14:solidFill>
          </w14:textFill>
        </w:rPr>
        <w:tab/>
      </w:r>
      <w:r>
        <w:rPr>
          <w:rFonts w:hint="eastAsia" w:ascii="黑体" w:hAnsi="黑体" w:eastAsia="黑体" w:cs="黑体"/>
          <w:color w:val="000000" w:themeColor="text1"/>
          <w:sz w:val="32"/>
          <w:szCs w:val="32"/>
          <w:lang w:val="en-US" w:eastAsia="zh-CN"/>
          <w14:textFill>
            <w14:solidFill>
              <w14:schemeClr w14:val="tx1"/>
            </w14:solidFill>
          </w14:textFill>
        </w:rPr>
        <w:t>3</w:t>
      </w:r>
      <w:r>
        <w:rPr>
          <w:rFonts w:hint="eastAsia" w:ascii="黑体" w:hAnsi="黑体" w:eastAsia="黑体" w:cs="黑体"/>
          <w:smallCaps/>
          <w:color w:val="000000" w:themeColor="text1"/>
          <w:sz w:val="32"/>
          <w:szCs w:val="32"/>
          <w14:textFill>
            <w14:solidFill>
              <w14:schemeClr w14:val="tx1"/>
            </w14:solidFill>
          </w14:textFill>
        </w:rPr>
        <w:fldChar w:fldCharType="end"/>
      </w:r>
      <w:r>
        <w:rPr>
          <w:rFonts w:hint="eastAsia" w:ascii="黑体" w:hAnsi="黑体" w:eastAsia="黑体" w:cs="黑体"/>
          <w:smallCaps/>
          <w:color w:val="000000" w:themeColor="text1"/>
          <w:sz w:val="32"/>
          <w:szCs w:val="32"/>
          <w:lang w:val="en-US" w:eastAsia="zh-CN"/>
          <w14:textFill>
            <w14:solidFill>
              <w14:schemeClr w14:val="tx1"/>
            </w14:solidFill>
          </w14:textFill>
        </w:rPr>
        <w:t>3</w:t>
      </w:r>
    </w:p>
    <w:p w14:paraId="1D314EC7">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_Toc16431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一、收入支出决算总表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smallCaps/>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lang w:val="en-US" w:eastAsia="zh-CN"/>
          <w14:textFill>
            <w14:solidFill>
              <w14:schemeClr w14:val="tx1"/>
            </w14:solidFill>
          </w14:textFill>
        </w:rPr>
        <w:t>3</w:t>
      </w:r>
    </w:p>
    <w:p w14:paraId="67C5159B">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_Toc25389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二、收入决算表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smallCaps/>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lang w:val="en-US" w:eastAsia="zh-CN"/>
          <w14:textFill>
            <w14:solidFill>
              <w14:schemeClr w14:val="tx1"/>
            </w14:solidFill>
          </w14:textFill>
        </w:rPr>
        <w:t>3</w:t>
      </w:r>
    </w:p>
    <w:p w14:paraId="744CBCE1">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_Toc10450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三、支出决算表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smallCaps/>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lang w:val="en-US" w:eastAsia="zh-CN"/>
          <w14:textFill>
            <w14:solidFill>
              <w14:schemeClr w14:val="tx1"/>
            </w14:solidFill>
          </w14:textFill>
        </w:rPr>
        <w:t>3</w:t>
      </w:r>
    </w:p>
    <w:p w14:paraId="6F1C1D86">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_Toc15415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四、财政拨款收入支出决算总表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smallCaps/>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lang w:val="en-US" w:eastAsia="zh-CN"/>
          <w14:textFill>
            <w14:solidFill>
              <w14:schemeClr w14:val="tx1"/>
            </w14:solidFill>
          </w14:textFill>
        </w:rPr>
        <w:t>3</w:t>
      </w:r>
    </w:p>
    <w:p w14:paraId="1367FA2B">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_Toc17530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五、财政拨款支出决算明细表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smallCaps/>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lang w:val="en-US" w:eastAsia="zh-CN"/>
          <w14:textFill>
            <w14:solidFill>
              <w14:schemeClr w14:val="tx1"/>
            </w14:solidFill>
          </w14:textFill>
        </w:rPr>
        <w:t>3</w:t>
      </w:r>
    </w:p>
    <w:p w14:paraId="4E0B0EA8">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_Toc22032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六、一般公共预算财政拨款支出决算表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smallCaps/>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lang w:val="en-US" w:eastAsia="zh-CN"/>
          <w14:textFill>
            <w14:solidFill>
              <w14:schemeClr w14:val="tx1"/>
            </w14:solidFill>
          </w14:textFill>
        </w:rPr>
        <w:t>3</w:t>
      </w:r>
    </w:p>
    <w:p w14:paraId="4EF11141">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_Toc3364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七、一般公共预算财政拨款支出决算明细表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smallCaps/>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lang w:val="en-US" w:eastAsia="zh-CN"/>
          <w14:textFill>
            <w14:solidFill>
              <w14:schemeClr w14:val="tx1"/>
            </w14:solidFill>
          </w14:textFill>
        </w:rPr>
        <w:t>3</w:t>
      </w:r>
    </w:p>
    <w:p w14:paraId="281F5848">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_Toc9110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八、一般公共预算财政拨款基本支出决算表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smallCaps/>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lang w:val="en-US" w:eastAsia="zh-CN"/>
          <w14:textFill>
            <w14:solidFill>
              <w14:schemeClr w14:val="tx1"/>
            </w14:solidFill>
          </w14:textFill>
        </w:rPr>
        <w:t>3</w:t>
      </w:r>
    </w:p>
    <w:p w14:paraId="23984AF3">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_Toc28582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九、一般公共预算财政拨款项目支出决算表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smallCaps/>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lang w:val="en-US" w:eastAsia="zh-CN"/>
          <w14:textFill>
            <w14:solidFill>
              <w14:schemeClr w14:val="tx1"/>
            </w14:solidFill>
          </w14:textFill>
        </w:rPr>
        <w:t>3</w:t>
      </w:r>
    </w:p>
    <w:p w14:paraId="16DAFCA7">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_Toc22001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十、政府性基金预算财政拨款收入支出决算表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smallCaps/>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lang w:val="en-US" w:eastAsia="zh-CN"/>
          <w14:textFill>
            <w14:solidFill>
              <w14:schemeClr w14:val="tx1"/>
            </w14:solidFill>
          </w14:textFill>
        </w:rPr>
        <w:t>3</w:t>
      </w:r>
    </w:p>
    <w:p w14:paraId="7A4664BE">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_Toc6538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十一、国有资本经营预算财政拨款收入支出决算表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smallCaps/>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lang w:val="en-US" w:eastAsia="zh-CN"/>
          <w14:textFill>
            <w14:solidFill>
              <w14:schemeClr w14:val="tx1"/>
            </w14:solidFill>
          </w14:textFill>
        </w:rPr>
        <w:t>3</w:t>
      </w:r>
    </w:p>
    <w:p w14:paraId="6E3B3EF3">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_Toc10625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十二、国有资本经营预算财政拨款支出决算表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smallCaps/>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lang w:val="en-US" w:eastAsia="zh-CN"/>
          <w14:textFill>
            <w14:solidFill>
              <w14:schemeClr w14:val="tx1"/>
            </w14:solidFill>
          </w14:textFill>
        </w:rPr>
        <w:t>3</w:t>
      </w:r>
    </w:p>
    <w:p w14:paraId="01685675">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仿宋" w:cs="宋体"/>
          <w:color w:val="000000" w:themeColor="text1"/>
          <w:sz w:val="24"/>
          <w:szCs w:val="24"/>
          <w:lang w:val="en-US" w:eastAsia="zh-CN"/>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_Toc28356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十三、财政拨款“三公”经费支出决算表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smallCaps/>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lang w:val="en-US" w:eastAsia="zh-CN"/>
          <w14:textFill>
            <w14:solidFill>
              <w14:schemeClr w14:val="tx1"/>
            </w14:solidFill>
          </w14:textFill>
        </w:rPr>
        <w:t>3</w:t>
      </w:r>
    </w:p>
    <w:p w14:paraId="62FF81B7">
      <w:pPr>
        <w:pStyle w:val="8"/>
        <w:rPr>
          <w:rFonts w:hint="eastAsia" w:ascii="宋体" w:hAnsi="宋体" w:eastAsia="宋体" w:cs="宋体"/>
        </w:rPr>
      </w:pPr>
      <w:r>
        <w:rPr>
          <w:rFonts w:hint="eastAsia" w:ascii="宋体" w:hAnsi="宋体" w:eastAsia="宋体" w:cs="宋体"/>
          <w:smallCaps/>
          <w:color w:val="000000" w:themeColor="text1"/>
          <w:szCs w:val="20"/>
          <w14:textFill>
            <w14:solidFill>
              <w14:schemeClr w14:val="tx1"/>
            </w14:solidFill>
          </w14:textFill>
        </w:rPr>
        <w:fldChar w:fldCharType="end"/>
      </w:r>
    </w:p>
    <w:p w14:paraId="5A68A9FF">
      <w:pPr>
        <w:pStyle w:val="5"/>
        <w:jc w:val="center"/>
        <w:rPr>
          <w:rFonts w:hint="eastAsia" w:ascii="黑体" w:hAnsi="黑体" w:eastAsia="黑体" w:cs="黑体"/>
        </w:rPr>
        <w:sectPr>
          <w:footerReference r:id="rId7" w:type="first"/>
          <w:footerReference r:id="rId6" w:type="default"/>
          <w:pgSz w:w="11906" w:h="16838"/>
          <w:pgMar w:top="1440" w:right="1800" w:bottom="1440" w:left="1800" w:header="851" w:footer="992" w:gutter="0"/>
          <w:pgNumType w:fmt="decimal" w:start="1"/>
          <w:cols w:space="425" w:num="1"/>
          <w:titlePg/>
          <w:docGrid w:type="lines" w:linePitch="312" w:charSpace="0"/>
        </w:sectPr>
      </w:pPr>
      <w:bookmarkStart w:id="13" w:name="_Toc111208495"/>
      <w:bookmarkStart w:id="14" w:name="_Toc9016"/>
    </w:p>
    <w:p w14:paraId="521E39E1">
      <w:pPr>
        <w:pStyle w:val="5"/>
        <w:jc w:val="center"/>
        <w:rPr>
          <w:rFonts w:hint="eastAsia" w:ascii="黑体" w:hAnsi="黑体" w:eastAsia="黑体" w:cs="黑体"/>
          <w:b w:val="0"/>
          <w:bCs w:val="0"/>
        </w:rPr>
      </w:pPr>
      <w:r>
        <w:rPr>
          <w:rFonts w:hint="eastAsia" w:ascii="黑体" w:hAnsi="黑体" w:eastAsia="黑体" w:cs="黑体"/>
          <w:b w:val="0"/>
          <w:bCs w:val="0"/>
        </w:rPr>
        <w:t xml:space="preserve">第一部分 </w:t>
      </w:r>
      <w:r>
        <w:rPr>
          <w:rStyle w:val="36"/>
          <w:rFonts w:hint="eastAsia" w:ascii="黑体" w:hAnsi="黑体" w:eastAsia="黑体" w:cs="黑体"/>
          <w:b w:val="0"/>
          <w:bCs w:val="0"/>
        </w:rPr>
        <w:t>单位</w:t>
      </w:r>
      <w:r>
        <w:rPr>
          <w:rStyle w:val="36"/>
          <w:rFonts w:ascii="黑体" w:hAnsi="黑体" w:eastAsia="黑体" w:cs="黑体"/>
          <w:b w:val="0"/>
          <w:bCs w:val="0"/>
          <w:u w:color="auto"/>
        </w:rPr>
        <w:t>概况</w:t>
      </w:r>
      <w:bookmarkEnd w:id="12"/>
      <w:bookmarkEnd w:id="13"/>
      <w:bookmarkEnd w:id="14"/>
    </w:p>
    <w:p w14:paraId="24C03C62">
      <w:pPr>
        <w:pStyle w:val="6"/>
        <w:ind w:firstLine="640" w:firstLineChars="200"/>
        <w:rPr>
          <w:rFonts w:hint="eastAsia" w:ascii="黑体" w:hAnsi="黑体" w:eastAsia="黑体" w:cs="黑体"/>
          <w:b w:val="0"/>
          <w:bCs/>
          <w:color w:val="000000"/>
          <w:lang w:val="en-US" w:eastAsia="zh-CN"/>
        </w:rPr>
      </w:pPr>
      <w:bookmarkStart w:id="15" w:name="_Toc113981010"/>
      <w:bookmarkStart w:id="16" w:name="_Toc28564"/>
      <w:bookmarkStart w:id="17" w:name="_Toc15377197"/>
      <w:bookmarkStart w:id="18" w:name="_Toc111208496"/>
      <w:bookmarkStart w:id="19" w:name="_Toc15377204"/>
      <w:r>
        <w:rPr>
          <w:rFonts w:hint="eastAsia" w:ascii="黑体" w:hAnsi="黑体" w:eastAsia="黑体" w:cs="黑体"/>
          <w:b w:val="0"/>
          <w:bCs/>
          <w:color w:val="000000"/>
        </w:rPr>
        <w:t>一、</w:t>
      </w:r>
      <w:bookmarkEnd w:id="15"/>
      <w:bookmarkEnd w:id="16"/>
      <w:bookmarkEnd w:id="17"/>
      <w:bookmarkEnd w:id="18"/>
      <w:bookmarkStart w:id="20" w:name="_Toc15377198"/>
      <w:bookmarkStart w:id="21" w:name="_Toc15378445"/>
      <w:r>
        <w:rPr>
          <w:rFonts w:hint="eastAsia" w:ascii="黑体" w:hAnsi="黑体" w:eastAsia="黑体" w:cs="黑体"/>
          <w:b w:val="0"/>
          <w:bCs/>
          <w:color w:val="000000"/>
          <w:lang w:val="en-US" w:eastAsia="zh-CN"/>
        </w:rPr>
        <w:t>主要职责</w:t>
      </w:r>
    </w:p>
    <w:bookmarkEnd w:id="20"/>
    <w:bookmarkEnd w:id="21"/>
    <w:p w14:paraId="2F4B168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rPr>
      </w:pPr>
      <w:r>
        <w:rPr>
          <w:rFonts w:hint="eastAsia" w:ascii="仿宋" w:hAnsi="仿宋" w:eastAsia="仿宋" w:cs="仿宋"/>
          <w:color w:val="000000"/>
          <w:sz w:val="32"/>
          <w:szCs w:val="32"/>
        </w:rPr>
        <w:t>根据金川府发﹝2009﹞2号文件规定，主要职责是：</w:t>
      </w:r>
      <w:r>
        <w:rPr>
          <w:rFonts w:hint="eastAsia" w:ascii="仿宋" w:hAnsi="仿宋" w:eastAsia="仿宋" w:cs="仿宋"/>
          <w:color w:val="000000"/>
          <w:sz w:val="32"/>
          <w:szCs w:val="32"/>
        </w:rPr>
        <w:cr/>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制定和组织实施经济、科技和社会发展计划，制定资源开发技术改造和产业结构调整方案，组织指导好各业生产，搞好商品流通，协调好本乡与外地区的经济交流与合作，抓好招商引资，人才引进项目开发，不断培育市场体系，保护各种经济组织的合法权益，组织经济运行，促进经济发展</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制定并组织实施村镇建设规划，部署重点工程建设，地方道路建设及公共设施，水利设施的管理，负责土地、林木、水等自然资源和生态环境的保护，做好护林防火工作。</w:t>
      </w: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 xml:space="preserve">负责本行政区域内的民政、计划生育、文化教育、卫生、体育等社会公益事业的综合性工作，维护一切经济单位和个人的正当经济权益，取缔非法经济活动，调解和处理民事纠纷，打击刑事犯罪维护社会稳定。 </w:t>
      </w: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rPr>
        <w:t>按计划组织本级财政收入和地方税的征收，完成国家财政计划，不断培植税源，管好财政资金，增强财政实力。 抓好精神文明建设，丰富群众文化生活，提倡移风易俗，反对封建迷信，破除陈规陋习，树立社会主义新风尚。</w:t>
      </w: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rPr>
        <w:t>完成上级政府交办的其它事项。</w:t>
      </w:r>
      <w:r>
        <w:rPr>
          <w:rFonts w:hint="eastAsia" w:ascii="仿宋" w:hAnsi="仿宋" w:eastAsia="仿宋" w:cs="仿宋"/>
          <w:color w:val="000000"/>
          <w:sz w:val="32"/>
          <w:szCs w:val="32"/>
          <w:lang w:val="en-US" w:eastAsia="zh-CN"/>
        </w:rPr>
        <w:t>6</w:t>
      </w:r>
      <w:r>
        <w:rPr>
          <w:rFonts w:hint="eastAsia" w:ascii="仿宋" w:hAnsi="仿宋" w:eastAsia="仿宋" w:cs="仿宋"/>
          <w:color w:val="000000"/>
          <w:sz w:val="32"/>
          <w:szCs w:val="32"/>
        </w:rPr>
        <w:t>执行本级人民代表大会的决议和上级国家行政机关的决定和命令，发布决定和命令。</w:t>
      </w:r>
      <w:r>
        <w:rPr>
          <w:rFonts w:hint="eastAsia" w:ascii="仿宋" w:hAnsi="仿宋" w:eastAsia="仿宋" w:cs="仿宋"/>
          <w:color w:val="000000"/>
          <w:sz w:val="32"/>
          <w:szCs w:val="32"/>
          <w:lang w:val="en-US" w:eastAsia="zh-CN"/>
        </w:rPr>
        <w:t>7</w:t>
      </w:r>
      <w:r>
        <w:rPr>
          <w:rFonts w:hint="eastAsia" w:ascii="仿宋" w:hAnsi="仿宋" w:eastAsia="仿宋" w:cs="仿宋"/>
          <w:color w:val="000000"/>
          <w:sz w:val="32"/>
          <w:szCs w:val="32"/>
        </w:rPr>
        <w:t>保护社会主义的全民所有的财产和劳动群众集体所有的财产，保护公民私人所有的合法财产，维护社会秩序，保障公民的人身权利、民主权利和其他权利。</w:t>
      </w:r>
    </w:p>
    <w:p w14:paraId="2CF1E803">
      <w:pPr>
        <w:pStyle w:val="6"/>
        <w:ind w:firstLine="640" w:firstLineChars="200"/>
        <w:rPr>
          <w:rFonts w:hint="eastAsia" w:ascii="黑体" w:hAnsi="黑体" w:eastAsia="黑体" w:cs="黑体"/>
          <w:b w:val="0"/>
          <w:bCs/>
          <w:color w:val="000000"/>
        </w:rPr>
      </w:pPr>
      <w:bookmarkStart w:id="22" w:name="_Toc22056"/>
      <w:bookmarkStart w:id="23" w:name="_Toc111208497"/>
      <w:bookmarkStart w:id="24" w:name="_Toc15377200"/>
      <w:bookmarkStart w:id="25" w:name="_Toc113981011"/>
      <w:r>
        <w:rPr>
          <w:rFonts w:hint="eastAsia" w:ascii="黑体" w:hAnsi="黑体" w:eastAsia="黑体" w:cs="黑体"/>
          <w:b w:val="0"/>
          <w:bCs/>
          <w:color w:val="000000"/>
        </w:rPr>
        <w:t>二、机构设置</w:t>
      </w:r>
      <w:bookmarkEnd w:id="22"/>
      <w:bookmarkEnd w:id="23"/>
      <w:bookmarkEnd w:id="24"/>
      <w:bookmarkEnd w:id="25"/>
    </w:p>
    <w:p w14:paraId="35A282CB">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1、机构情况及增减变动原因</w:t>
      </w:r>
      <w:r>
        <w:rPr>
          <w:rFonts w:hint="eastAsia" w:ascii="仿宋" w:hAnsi="仿宋" w:eastAsia="仿宋" w:cs="仿宋"/>
          <w:color w:val="000000"/>
          <w:sz w:val="32"/>
          <w:szCs w:val="32"/>
        </w:rPr>
        <w:cr/>
      </w:r>
      <w:r>
        <w:rPr>
          <w:rFonts w:hint="eastAsia" w:ascii="仿宋" w:hAnsi="仿宋" w:eastAsia="仿宋" w:cs="仿宋"/>
          <w:color w:val="000000"/>
          <w:sz w:val="32"/>
          <w:szCs w:val="32"/>
        </w:rPr>
        <w:t>我乡2024年有4个机构，无增减变动</w:t>
      </w:r>
      <w:r>
        <w:rPr>
          <w:rFonts w:hint="eastAsia" w:ascii="仿宋" w:hAnsi="仿宋" w:eastAsia="仿宋" w:cs="仿宋"/>
          <w:color w:val="000000"/>
          <w:sz w:val="32"/>
          <w:szCs w:val="32"/>
        </w:rPr>
        <w:cr/>
      </w:r>
      <w:r>
        <w:rPr>
          <w:rFonts w:hint="eastAsia" w:ascii="仿宋" w:hAnsi="仿宋" w:eastAsia="仿宋" w:cs="仿宋"/>
          <w:color w:val="000000"/>
          <w:sz w:val="32"/>
          <w:szCs w:val="32"/>
        </w:rPr>
        <w:t>2．人员情况。</w:t>
      </w:r>
      <w:r>
        <w:rPr>
          <w:rFonts w:hint="eastAsia" w:ascii="仿宋" w:hAnsi="仿宋" w:eastAsia="仿宋" w:cs="仿宋"/>
          <w:color w:val="000000"/>
          <w:sz w:val="32"/>
          <w:szCs w:val="32"/>
        </w:rPr>
        <w:cr/>
      </w:r>
      <w:r>
        <w:rPr>
          <w:rFonts w:hint="eastAsia" w:ascii="仿宋" w:hAnsi="仿宋" w:eastAsia="仿宋" w:cs="仿宋"/>
          <w:color w:val="000000"/>
          <w:sz w:val="32"/>
          <w:szCs w:val="32"/>
        </w:rPr>
        <w:t>2024年年初在职30人（行政人员16人，行政工勤2人，事业管理7人，事业专技4人，事业工勤1人）；</w:t>
      </w:r>
      <w:r>
        <w:rPr>
          <w:rFonts w:hint="eastAsia" w:ascii="仿宋" w:hAnsi="仿宋" w:eastAsia="仿宋" w:cs="仿宋"/>
          <w:color w:val="000000"/>
          <w:sz w:val="32"/>
          <w:szCs w:val="32"/>
        </w:rPr>
        <w:cr/>
      </w:r>
      <w:r>
        <w:rPr>
          <w:rFonts w:hint="eastAsia" w:ascii="仿宋" w:hAnsi="仿宋" w:eastAsia="仿宋" w:cs="仿宋"/>
          <w:color w:val="000000"/>
          <w:sz w:val="32"/>
          <w:szCs w:val="32"/>
        </w:rPr>
        <w:t>2024年年末在职30人（行政人员16人，行政工勤2人，事业管理7人，事业专技4人，事业工勤1人）。</w:t>
      </w:r>
    </w:p>
    <w:p w14:paraId="5A04B536">
      <w:pPr>
        <w:widowControl/>
        <w:jc w:val="left"/>
        <w:rPr>
          <w:rFonts w:hint="eastAsia" w:ascii="思源黑体 CN Normal" w:hAnsi="思源黑体 CN Normal" w:eastAsia="思源黑体 CN Normal" w:cs="思源黑体 CN Normal"/>
          <w:b/>
          <w:bCs/>
          <w:color w:val="000000"/>
          <w:kern w:val="44"/>
          <w:sz w:val="44"/>
          <w:szCs w:val="44"/>
        </w:rPr>
      </w:pPr>
      <w:r>
        <w:rPr>
          <w:rFonts w:hint="eastAsia" w:ascii="思源黑体 CN Normal" w:hAnsi="思源黑体 CN Normal" w:eastAsia="思源黑体 CN Normal" w:cs="思源黑体 CN Normal"/>
          <w:color w:val="000000"/>
        </w:rPr>
        <w:br w:type="page"/>
      </w:r>
    </w:p>
    <w:p w14:paraId="4DE8AC96">
      <w:pPr>
        <w:pStyle w:val="5"/>
        <w:jc w:val="center"/>
        <w:rPr>
          <w:rFonts w:hint="eastAsia" w:ascii="黑体" w:hAnsi="黑体" w:eastAsia="黑体" w:cs="黑体"/>
          <w:b w:val="0"/>
          <w:bCs w:val="0"/>
        </w:rPr>
      </w:pPr>
      <w:bookmarkStart w:id="26" w:name="_Toc9058"/>
      <w:bookmarkStart w:id="27" w:name="_Toc111208498"/>
      <w:r>
        <w:rPr>
          <w:rFonts w:hint="eastAsia" w:ascii="黑体" w:hAnsi="黑体" w:eastAsia="黑体" w:cs="黑体"/>
          <w:b w:val="0"/>
          <w:bCs w:val="0"/>
        </w:rPr>
        <w:t xml:space="preserve">第二部分 </w:t>
      </w:r>
      <w:r>
        <w:rPr>
          <w:rFonts w:ascii="黑体" w:hAnsi="黑体" w:eastAsia="黑体" w:cs="黑体"/>
          <w:u w:color="auto"/>
        </w:rPr>
        <w:t>2024年度</w:t>
      </w:r>
      <w:r>
        <w:rPr>
          <w:rFonts w:hint="eastAsia" w:ascii="黑体" w:hAnsi="黑体" w:eastAsia="黑体" w:cs="黑体"/>
          <w:b w:val="0"/>
          <w:bCs w:val="0"/>
          <w:lang w:val="en-US" w:eastAsia="zh-CN"/>
        </w:rPr>
        <w:t>单位</w:t>
      </w:r>
      <w:r>
        <w:rPr>
          <w:rFonts w:hint="eastAsia" w:ascii="黑体" w:hAnsi="黑体" w:eastAsia="黑体" w:cs="黑体"/>
          <w:b w:val="0"/>
          <w:bCs w:val="0"/>
        </w:rPr>
        <w:t>决算情况说明</w:t>
      </w:r>
      <w:bookmarkEnd w:id="19"/>
      <w:bookmarkEnd w:id="26"/>
      <w:bookmarkEnd w:id="27"/>
    </w:p>
    <w:p w14:paraId="778F85CC">
      <w:pPr>
        <w:pStyle w:val="6"/>
        <w:ind w:firstLine="640" w:firstLineChars="200"/>
        <w:rPr>
          <w:rFonts w:hint="eastAsia" w:ascii="黑体" w:hAnsi="黑体" w:eastAsia="黑体" w:cs="黑体"/>
          <w:b w:val="0"/>
          <w:bCs/>
          <w:color w:val="000000"/>
        </w:rPr>
      </w:pPr>
      <w:bookmarkStart w:id="28" w:name="_Toc15377205"/>
      <w:bookmarkStart w:id="29" w:name="_Toc19710"/>
      <w:bookmarkStart w:id="30" w:name="_Toc111208499"/>
      <w:r>
        <w:rPr>
          <w:rFonts w:hint="eastAsia" w:ascii="黑体" w:hAnsi="黑体" w:eastAsia="黑体" w:cs="黑体"/>
          <w:b w:val="0"/>
          <w:bCs/>
          <w:color w:val="000000"/>
        </w:rPr>
        <w:t>一、收入支出决算总体情况说</w:t>
      </w:r>
      <w:bookmarkEnd w:id="28"/>
      <w:r>
        <w:rPr>
          <w:rFonts w:hint="eastAsia" w:ascii="黑体" w:hAnsi="黑体" w:eastAsia="黑体" w:cs="黑体"/>
          <w:b w:val="0"/>
          <w:bCs/>
          <w:color w:val="000000"/>
        </w:rPr>
        <w:t>明</w:t>
      </w:r>
      <w:bookmarkEnd w:id="29"/>
      <w:bookmarkEnd w:id="30"/>
    </w:p>
    <w:p w14:paraId="1B462682">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2024</w:t>
      </w:r>
      <w:r>
        <w:rPr>
          <w:rFonts w:ascii="仿宋" w:hAnsi="仿宋" w:eastAsia="仿宋" w:cs="仿宋"/>
          <w:color w:val="000000"/>
          <w:sz w:val="32"/>
          <w:u w:color="auto"/>
        </w:rPr>
        <w:t>年度收入、支出总计均为1,273.89</w:t>
      </w:r>
      <w:r>
        <w:rPr>
          <w:rFonts w:hint="eastAsia" w:ascii="仿宋" w:hAnsi="仿宋" w:eastAsia="仿宋" w:cs="仿宋"/>
          <w:color w:val="000000"/>
          <w:sz w:val="32"/>
          <w:szCs w:val="32"/>
        </w:rPr>
        <w:t>万元。与</w:t>
      </w:r>
      <w:r>
        <w:rPr>
          <w:rFonts w:ascii="仿宋" w:hAnsi="仿宋" w:eastAsia="仿宋" w:cs="仿宋"/>
          <w:color w:val="000000"/>
          <w:sz w:val="32"/>
          <w:u w:color="auto"/>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相比，收入、支出总计各</w:t>
      </w:r>
      <w:r>
        <w:rPr>
          <w:rFonts w:ascii="仿宋" w:hAnsi="仿宋" w:eastAsia="仿宋" w:cs="仿宋"/>
          <w:color w:val="000000"/>
          <w:sz w:val="32"/>
          <w:u w:color="auto"/>
        </w:rPr>
        <w:t xml:space="preserve">增加43.69万元，增长3.6%。 </w:t>
      </w:r>
    </w:p>
    <w:p w14:paraId="61134D0D">
      <w:pPr>
        <w:pStyle w:val="8"/>
        <w:rPr>
          <w:rFonts w:hint="eastAsia" w:ascii="思源黑体 CN Normal" w:hAnsi="思源黑体 CN Normal" w:eastAsia="思源黑体 CN Normal" w:cs="思源黑体 CN Normal"/>
        </w:rPr>
      </w:pPr>
      <w:r>
        <w:rPr>
          <w:rFonts w:hint="eastAsia" w:ascii="思源黑体 CN Normal" w:hAnsi="思源黑体 CN Normal" w:eastAsia="思源黑体 CN Normal" w:cs="思源黑体 CN Normal"/>
        </w:rPr>
        <w:drawing>
          <wp:inline distT="0" distB="0" distL="114300" distR="114300">
            <wp:extent cx="4338955" cy="2423795"/>
            <wp:effectExtent l="5080" t="4445" r="18415" b="10160"/>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8590810">
      <w:pPr>
        <w:spacing w:line="600" w:lineRule="exact"/>
        <w:ind w:firstLine="640" w:firstLineChars="200"/>
        <w:jc w:val="center"/>
        <w:rPr>
          <w:rFonts w:hint="eastAsia" w:ascii="仿宋" w:hAnsi="仿宋" w:eastAsia="仿宋" w:cs="仿宋"/>
        </w:rPr>
      </w:pPr>
      <w:r>
        <w:rPr>
          <w:rFonts w:hint="eastAsia" w:ascii="仿宋" w:hAnsi="仿宋" w:eastAsia="仿宋" w:cs="仿宋"/>
          <w:color w:val="000000"/>
          <w:sz w:val="32"/>
          <w:szCs w:val="32"/>
        </w:rPr>
        <w:t>（图1：收、支决算总计变动情况图）</w:t>
      </w:r>
    </w:p>
    <w:p w14:paraId="43B3D363">
      <w:pPr>
        <w:pStyle w:val="6"/>
        <w:ind w:firstLine="640" w:firstLineChars="200"/>
        <w:rPr>
          <w:rFonts w:hint="eastAsia" w:ascii="黑体" w:hAnsi="黑体" w:eastAsia="黑体" w:cs="黑体"/>
          <w:bCs w:val="0"/>
          <w:color w:val="000000"/>
        </w:rPr>
      </w:pPr>
      <w:bookmarkStart w:id="31" w:name="_Toc15377206"/>
      <w:bookmarkStart w:id="32" w:name="_Toc111208500"/>
      <w:bookmarkStart w:id="33" w:name="_Toc8125"/>
      <w:r>
        <w:rPr>
          <w:rFonts w:hint="eastAsia" w:ascii="黑体" w:hAnsi="黑体" w:eastAsia="黑体" w:cs="黑体"/>
          <w:b w:val="0"/>
          <w:bCs/>
          <w:color w:val="000000"/>
        </w:rPr>
        <w:t>二、收入决算情况说明</w:t>
      </w:r>
      <w:bookmarkEnd w:id="31"/>
      <w:bookmarkEnd w:id="32"/>
      <w:bookmarkEnd w:id="33"/>
    </w:p>
    <w:p w14:paraId="7DAB4092">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本年收入合计</w:t>
      </w:r>
      <w:r>
        <w:rPr>
          <w:rFonts w:ascii="仿宋" w:hAnsi="仿宋" w:eastAsia="仿宋" w:cs="仿宋"/>
          <w:color w:val="000000"/>
          <w:sz w:val="32"/>
          <w:u w:color="auto"/>
        </w:rPr>
        <w:t>1,273.89万元</w:t>
      </w:r>
      <w:r>
        <w:rPr>
          <w:rFonts w:hint="eastAsia" w:ascii="仿宋" w:hAnsi="仿宋" w:eastAsia="仿宋" w:cs="仿宋"/>
          <w:color w:val="000000"/>
          <w:sz w:val="32"/>
          <w:szCs w:val="32"/>
          <w:lang w:val="en-US" w:eastAsia="zh-CN"/>
        </w:rPr>
        <w:t>，其中:一般公共预算财政拨款收入1,273.89万元，占100%</w:t>
      </w:r>
      <w:r>
        <w:rPr>
          <w:rFonts w:hint="eastAsia" w:ascii="仿宋" w:hAnsi="仿宋" w:eastAsia="仿宋" w:cs="仿宋"/>
          <w:color w:val="000000"/>
          <w:sz w:val="32"/>
          <w:szCs w:val="32"/>
        </w:rPr>
        <w:t>。</w:t>
      </w:r>
    </w:p>
    <w:p w14:paraId="6E48941D">
      <w:pPr>
        <w:pStyle w:val="17"/>
        <w:ind w:left="1060" w:hanging="640"/>
        <w:jc w:val="center"/>
        <w:rPr>
          <w:rFonts w:hint="eastAsia" w:ascii="思源黑体 CN Normal" w:hAnsi="思源黑体 CN Normal" w:eastAsia="思源黑体 CN Normal" w:cs="思源黑体 CN Normal"/>
          <w:color w:val="FF0000"/>
          <w:sz w:val="32"/>
          <w:szCs w:val="32"/>
        </w:rPr>
      </w:pPr>
      <w:r>
        <w:rPr>
          <w:rFonts w:hint="eastAsia" w:ascii="思源黑体 CN Normal" w:hAnsi="思源黑体 CN Normal" w:eastAsia="思源黑体 CN Normal" w:cs="思源黑体 CN Normal"/>
          <w:color w:val="FF0000"/>
          <w:sz w:val="32"/>
          <w:szCs w:val="32"/>
        </w:rPr>
        <w:drawing>
          <wp:inline distT="0" distB="0" distL="114300" distR="114300">
            <wp:extent cx="5332730" cy="3400425"/>
            <wp:effectExtent l="0" t="0" r="1270" b="952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9D541CD">
      <w:pPr>
        <w:spacing w:line="600" w:lineRule="exact"/>
        <w:ind w:firstLine="640" w:firstLineChars="200"/>
        <w:jc w:val="center"/>
        <w:rPr>
          <w:rFonts w:hint="eastAsia" w:ascii="仿宋" w:hAnsi="仿宋" w:eastAsia="仿宋" w:cs="仿宋"/>
        </w:rPr>
      </w:pPr>
      <w:r>
        <w:rPr>
          <w:rFonts w:hint="eastAsia" w:ascii="仿宋" w:hAnsi="仿宋" w:eastAsia="仿宋" w:cs="仿宋"/>
          <w:color w:val="000000"/>
          <w:sz w:val="32"/>
          <w:szCs w:val="32"/>
        </w:rPr>
        <w:t>（图2：收入决算结构图）</w:t>
      </w:r>
    </w:p>
    <w:p w14:paraId="7196F3EB">
      <w:pPr>
        <w:pStyle w:val="6"/>
        <w:ind w:firstLine="640" w:firstLineChars="200"/>
        <w:rPr>
          <w:rFonts w:hint="eastAsia" w:ascii="黑体" w:hAnsi="黑体" w:eastAsia="黑体" w:cs="黑体"/>
          <w:b w:val="0"/>
          <w:bCs/>
          <w:color w:val="000000"/>
        </w:rPr>
      </w:pPr>
      <w:bookmarkStart w:id="34" w:name="_Toc28283"/>
      <w:bookmarkStart w:id="35" w:name="_Toc15377207"/>
      <w:bookmarkStart w:id="36" w:name="_Toc111208501"/>
      <w:r>
        <w:rPr>
          <w:rFonts w:hint="eastAsia" w:ascii="黑体" w:hAnsi="黑体" w:eastAsia="黑体" w:cs="黑体"/>
          <w:b w:val="0"/>
          <w:bCs/>
          <w:color w:val="000000"/>
        </w:rPr>
        <w:t>三、支出决算情况说明</w:t>
      </w:r>
      <w:bookmarkEnd w:id="34"/>
      <w:bookmarkEnd w:id="35"/>
      <w:bookmarkEnd w:id="36"/>
    </w:p>
    <w:p w14:paraId="1753835D">
      <w:pPr>
        <w:pStyle w:val="8"/>
        <w:rPr>
          <w:rFonts w:hint="eastAsia" w:ascii="仿宋" w:hAnsi="仿宋" w:eastAsia="仿宋" w:cs="仿宋"/>
          <w:color w:val="000000"/>
          <w:sz w:val="32"/>
          <w:szCs w:val="32"/>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本年支出合计</w:t>
      </w:r>
      <w:r>
        <w:rPr>
          <w:rFonts w:ascii="仿宋" w:hAnsi="仿宋" w:eastAsia="仿宋" w:cs="仿宋"/>
          <w:color w:val="000000"/>
          <w:sz w:val="32"/>
          <w:u w:color="auto"/>
        </w:rPr>
        <w:t>1,273.89万元</w:t>
      </w:r>
      <w:r>
        <w:rPr>
          <w:rFonts w:hint="eastAsia" w:ascii="仿宋" w:hAnsi="仿宋" w:eastAsia="仿宋" w:cs="仿宋"/>
          <w:color w:val="000000"/>
          <w:sz w:val="32"/>
          <w:szCs w:val="32"/>
          <w:lang w:val="en-US" w:eastAsia="zh-CN"/>
        </w:rPr>
        <w:t>，其中:基本支出720.81万元，占56.6%；项目支出553.08万元，占43.4%</w:t>
      </w:r>
      <w:r>
        <w:rPr>
          <w:rFonts w:hint="eastAsia" w:ascii="仿宋" w:hAnsi="仿宋" w:eastAsia="仿宋" w:cs="仿宋"/>
          <w:color w:val="000000"/>
          <w:sz w:val="32"/>
          <w:szCs w:val="32"/>
        </w:rPr>
        <w:t>。</w:t>
      </w:r>
    </w:p>
    <w:p w14:paraId="25194A6F">
      <w:pPr>
        <w:jc w:val="center"/>
        <w:rPr>
          <w:rFonts w:hint="eastAsia" w:ascii="思源黑体 CN Normal" w:hAnsi="思源黑体 CN Normal" w:eastAsia="思源黑体 CN Normal" w:cs="思源黑体 CN Normal"/>
          <w:color w:val="FF0000"/>
          <w:sz w:val="32"/>
          <w:szCs w:val="32"/>
        </w:rPr>
      </w:pPr>
      <w:r>
        <w:rPr>
          <w:rFonts w:hint="eastAsia" w:ascii="思源黑体 CN Normal" w:hAnsi="思源黑体 CN Normal" w:eastAsia="思源黑体 CN Normal" w:cs="思源黑体 CN Normal"/>
          <w:color w:val="FF0000"/>
          <w:sz w:val="32"/>
          <w:szCs w:val="32"/>
        </w:rPr>
        <w:drawing>
          <wp:inline distT="0" distB="0" distL="114300" distR="114300">
            <wp:extent cx="5304155" cy="3429000"/>
            <wp:effectExtent l="0" t="0" r="10795" b="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7E40098">
      <w:pPr>
        <w:spacing w:line="600" w:lineRule="exact"/>
        <w:ind w:firstLine="640" w:firstLineChars="200"/>
        <w:jc w:val="center"/>
        <w:rPr>
          <w:rFonts w:hint="eastAsia" w:ascii="仿宋" w:hAnsi="仿宋" w:eastAsia="仿宋" w:cs="仿宋"/>
          <w:color w:val="000000"/>
          <w:sz w:val="32"/>
          <w:szCs w:val="32"/>
        </w:rPr>
      </w:pPr>
      <w:r>
        <w:rPr>
          <w:rFonts w:hint="eastAsia" w:ascii="仿宋" w:hAnsi="仿宋" w:eastAsia="仿宋" w:cs="仿宋"/>
          <w:color w:val="000000"/>
          <w:sz w:val="32"/>
          <w:szCs w:val="32"/>
        </w:rPr>
        <w:t>（图3：支出决算结构图）</w:t>
      </w:r>
    </w:p>
    <w:p w14:paraId="0429694F">
      <w:pPr>
        <w:pStyle w:val="6"/>
        <w:ind w:firstLine="640" w:firstLineChars="200"/>
        <w:rPr>
          <w:rFonts w:hint="eastAsia" w:ascii="黑体" w:hAnsi="黑体" w:eastAsia="黑体" w:cs="黑体"/>
          <w:b w:val="0"/>
          <w:bCs/>
          <w:color w:val="000000"/>
        </w:rPr>
      </w:pPr>
      <w:bookmarkStart w:id="37" w:name="_Toc19521"/>
      <w:bookmarkStart w:id="38" w:name="_Toc111208502"/>
      <w:bookmarkStart w:id="39" w:name="_Toc15377208"/>
      <w:r>
        <w:rPr>
          <w:rFonts w:hint="eastAsia" w:ascii="黑体" w:hAnsi="黑体" w:eastAsia="黑体" w:cs="黑体"/>
          <w:b w:val="0"/>
          <w:bCs/>
          <w:color w:val="000000"/>
        </w:rPr>
        <w:t>四、财政拨款收入支出决算总体情况说明</w:t>
      </w:r>
      <w:bookmarkEnd w:id="37"/>
      <w:bookmarkEnd w:id="38"/>
      <w:bookmarkEnd w:id="39"/>
    </w:p>
    <w:p w14:paraId="66D81735">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财政拨款收</w:t>
      </w:r>
      <w:r>
        <w:rPr>
          <w:rFonts w:hint="eastAsia" w:ascii="仿宋" w:hAnsi="仿宋" w:eastAsia="仿宋" w:cs="仿宋"/>
          <w:color w:val="000000"/>
          <w:sz w:val="32"/>
          <w:szCs w:val="32"/>
          <w:lang w:val="en-US" w:eastAsia="zh-CN"/>
        </w:rPr>
        <w:t>入</w:t>
      </w:r>
      <w:r>
        <w:rPr>
          <w:rFonts w:hint="eastAsia" w:ascii="仿宋" w:hAnsi="仿宋" w:eastAsia="仿宋" w:cs="仿宋"/>
          <w:color w:val="000000"/>
          <w:sz w:val="32"/>
          <w:szCs w:val="32"/>
        </w:rPr>
        <w:t>、支</w:t>
      </w:r>
      <w:r>
        <w:rPr>
          <w:rFonts w:hint="eastAsia" w:ascii="仿宋" w:hAnsi="仿宋" w:eastAsia="仿宋" w:cs="仿宋"/>
          <w:color w:val="000000"/>
          <w:sz w:val="32"/>
          <w:szCs w:val="32"/>
          <w:lang w:val="en-US" w:eastAsia="zh-CN"/>
        </w:rPr>
        <w:t>出</w:t>
      </w:r>
      <w:r>
        <w:rPr>
          <w:rFonts w:hint="eastAsia" w:ascii="仿宋" w:hAnsi="仿宋" w:eastAsia="仿宋" w:cs="仿宋"/>
          <w:color w:val="000000"/>
          <w:sz w:val="32"/>
          <w:szCs w:val="32"/>
        </w:rPr>
        <w:t>总计均为</w:t>
      </w:r>
      <w:r>
        <w:rPr>
          <w:rFonts w:ascii="仿宋" w:hAnsi="仿宋" w:eastAsia="仿宋" w:cs="仿宋"/>
          <w:color w:val="000000"/>
          <w:sz w:val="32"/>
          <w:u w:color="auto"/>
        </w:rPr>
        <w:t>1,273.89万元。与2023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相比，财政拨款收</w:t>
      </w:r>
      <w:r>
        <w:rPr>
          <w:rFonts w:hint="eastAsia" w:ascii="仿宋" w:hAnsi="仿宋" w:eastAsia="仿宋" w:cs="仿宋"/>
          <w:color w:val="000000"/>
          <w:sz w:val="32"/>
          <w:szCs w:val="32"/>
          <w:lang w:val="en-US" w:eastAsia="zh-CN"/>
        </w:rPr>
        <w:t>入</w:t>
      </w:r>
      <w:r>
        <w:rPr>
          <w:rFonts w:hint="eastAsia" w:ascii="仿宋" w:hAnsi="仿宋" w:eastAsia="仿宋" w:cs="仿宋"/>
          <w:color w:val="000000"/>
          <w:sz w:val="32"/>
          <w:szCs w:val="32"/>
        </w:rPr>
        <w:t>、支</w:t>
      </w:r>
      <w:r>
        <w:rPr>
          <w:rFonts w:hint="eastAsia" w:ascii="仿宋" w:hAnsi="仿宋" w:eastAsia="仿宋" w:cs="仿宋"/>
          <w:color w:val="000000"/>
          <w:sz w:val="32"/>
          <w:szCs w:val="32"/>
          <w:lang w:val="en-US" w:eastAsia="zh-CN"/>
        </w:rPr>
        <w:t>出</w:t>
      </w:r>
      <w:r>
        <w:rPr>
          <w:rFonts w:hint="eastAsia" w:ascii="仿宋" w:hAnsi="仿宋" w:eastAsia="仿宋" w:cs="仿宋"/>
          <w:color w:val="000000"/>
          <w:sz w:val="32"/>
          <w:szCs w:val="32"/>
        </w:rPr>
        <w:t>总计各</w:t>
      </w:r>
      <w:r>
        <w:rPr>
          <w:rFonts w:ascii="仿宋" w:hAnsi="仿宋" w:eastAsia="仿宋" w:cs="仿宋"/>
          <w:color w:val="000000"/>
          <w:sz w:val="32"/>
          <w:u w:color="auto"/>
        </w:rPr>
        <w:t xml:space="preserve">增加43.69万元，增长3.6%。 </w:t>
      </w:r>
    </w:p>
    <w:p w14:paraId="48830107">
      <w:pPr>
        <w:rPr>
          <w:rFonts w:hint="eastAsia" w:ascii="仿宋" w:hAnsi="仿宋" w:eastAsia="仿宋" w:cs="仿宋"/>
          <w:color w:val="000000"/>
          <w:sz w:val="32"/>
          <w:szCs w:val="32"/>
        </w:rPr>
      </w:pPr>
      <w:r>
        <w:rPr>
          <w:rFonts w:hint="eastAsia" w:ascii="仿宋" w:hAnsi="仿宋" w:eastAsia="仿宋" w:cs="仿宋"/>
          <w:color w:val="000000"/>
          <w:sz w:val="32"/>
          <w:szCs w:val="32"/>
        </w:rPr>
        <w:br w:type="page"/>
      </w:r>
    </w:p>
    <w:p w14:paraId="74768A39">
      <w:pPr>
        <w:pStyle w:val="8"/>
        <w:ind w:left="0" w:leftChars="0" w:firstLine="0" w:firstLineChars="0"/>
        <w:jc w:val="left"/>
        <w:rPr>
          <w:rFonts w:hint="eastAsia" w:ascii="思源黑体 CN Normal" w:hAnsi="思源黑体 CN Normal" w:eastAsia="思源黑体 CN Normal" w:cs="思源黑体 CN Normal"/>
          <w:color w:val="000000"/>
          <w:sz w:val="32"/>
          <w:szCs w:val="32"/>
        </w:rPr>
      </w:pPr>
      <w:r>
        <w:rPr>
          <w:rFonts w:hint="eastAsia" w:ascii="思源黑体 CN Normal" w:hAnsi="思源黑体 CN Normal" w:eastAsia="思源黑体 CN Normal" w:cs="思源黑体 CN Normal"/>
          <w:color w:val="000000"/>
          <w:sz w:val="32"/>
          <w:szCs w:val="32"/>
        </w:rPr>
        <w:drawing>
          <wp:inline distT="0" distB="0" distL="0" distR="0">
            <wp:extent cx="4981575" cy="3171825"/>
            <wp:effectExtent l="0" t="0" r="9525" b="952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19EF256">
      <w:pPr>
        <w:spacing w:line="600" w:lineRule="exact"/>
        <w:ind w:firstLine="640" w:firstLineChars="200"/>
        <w:jc w:val="center"/>
        <w:rPr>
          <w:rFonts w:hint="eastAsia" w:ascii="仿宋" w:hAnsi="仿宋" w:eastAsia="仿宋" w:cs="仿宋"/>
        </w:rPr>
      </w:pPr>
      <w:r>
        <w:rPr>
          <w:rFonts w:hint="eastAsia" w:ascii="仿宋" w:hAnsi="仿宋" w:eastAsia="仿宋" w:cs="仿宋"/>
          <w:color w:val="000000"/>
          <w:sz w:val="32"/>
          <w:szCs w:val="32"/>
        </w:rPr>
        <w:t>（图4：财政拨款收、支决算总计变动情况）</w:t>
      </w:r>
    </w:p>
    <w:p w14:paraId="094987CA">
      <w:pPr>
        <w:pStyle w:val="6"/>
        <w:ind w:firstLine="640" w:firstLineChars="200"/>
        <w:rPr>
          <w:rFonts w:hint="eastAsia" w:ascii="黑体" w:hAnsi="黑体" w:eastAsia="黑体" w:cs="黑体"/>
          <w:b w:val="0"/>
          <w:bCs/>
          <w:color w:val="000000"/>
        </w:rPr>
      </w:pPr>
      <w:bookmarkStart w:id="40" w:name="_Toc15377209"/>
      <w:bookmarkStart w:id="41" w:name="_Toc111208503"/>
      <w:bookmarkStart w:id="42" w:name="_Toc14368"/>
      <w:r>
        <w:rPr>
          <w:rFonts w:hint="eastAsia" w:ascii="黑体" w:hAnsi="黑体" w:eastAsia="黑体" w:cs="黑体"/>
          <w:b w:val="0"/>
          <w:bCs/>
          <w:color w:val="000000"/>
        </w:rPr>
        <w:t>五、一般公共预算财政拨款支出决算情况说</w:t>
      </w:r>
      <w:bookmarkEnd w:id="40"/>
      <w:r>
        <w:rPr>
          <w:rFonts w:hint="eastAsia" w:ascii="黑体" w:hAnsi="黑体" w:eastAsia="黑体" w:cs="黑体"/>
          <w:b w:val="0"/>
          <w:bCs/>
          <w:color w:val="000000"/>
        </w:rPr>
        <w:t>明</w:t>
      </w:r>
      <w:bookmarkEnd w:id="41"/>
      <w:bookmarkEnd w:id="42"/>
    </w:p>
    <w:p w14:paraId="36EE17BD">
      <w:pPr>
        <w:spacing w:line="600" w:lineRule="exact"/>
        <w:ind w:firstLine="643" w:firstLineChars="200"/>
        <w:outlineLvl w:val="2"/>
        <w:rPr>
          <w:rFonts w:hint="eastAsia" w:ascii="楷体" w:hAnsi="楷体" w:eastAsia="楷体" w:cs="楷体"/>
          <w:b/>
          <w:color w:val="000000"/>
          <w:sz w:val="32"/>
          <w:szCs w:val="32"/>
        </w:rPr>
      </w:pPr>
      <w:bookmarkStart w:id="43" w:name="_Toc15377210"/>
      <w:r>
        <w:rPr>
          <w:rFonts w:hint="eastAsia" w:ascii="楷体" w:hAnsi="楷体" w:eastAsia="楷体" w:cs="楷体"/>
          <w:b/>
          <w:color w:val="000000"/>
          <w:sz w:val="32"/>
          <w:szCs w:val="32"/>
        </w:rPr>
        <w:t>（一）一般公共预算财政拨款支出决算总体情况</w:t>
      </w:r>
      <w:bookmarkEnd w:id="43"/>
    </w:p>
    <w:p w14:paraId="371C2FB4">
      <w:pPr>
        <w:spacing w:line="600" w:lineRule="exact"/>
        <w:ind w:firstLine="640" w:firstLineChars="200"/>
        <w:rPr>
          <w:rFonts w:hint="eastAsia" w:ascii="思源黑体 CN Normal" w:hAnsi="思源黑体 CN Normal" w:eastAsia="仿宋" w:cs="思源黑体 CN Normal"/>
          <w:b/>
          <w:color w:val="000000"/>
          <w:sz w:val="32"/>
          <w:szCs w:val="32"/>
          <w:lang w:val="en-US" w:eastAsia="zh-CN"/>
        </w:rPr>
      </w:pPr>
      <w:bookmarkStart w:id="44" w:name="_Toc15377211"/>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一般公共预算财政拨款支出</w:t>
      </w:r>
      <w:r>
        <w:rPr>
          <w:rFonts w:ascii="仿宋" w:hAnsi="仿宋" w:eastAsia="仿宋" w:cs="仿宋"/>
          <w:color w:val="000000"/>
          <w:sz w:val="32"/>
          <w:u w:color="auto"/>
        </w:rPr>
        <w:t>1,273.89万元，占本年支出合计的100%。与2023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相比，一般公共预算财政拨款</w:t>
      </w:r>
      <w:r>
        <w:rPr>
          <w:rFonts w:ascii="仿宋" w:hAnsi="仿宋" w:eastAsia="仿宋" w:cs="仿宋"/>
          <w:color w:val="000000"/>
          <w:sz w:val="32"/>
          <w:u w:color="auto"/>
        </w:rPr>
        <w:t xml:space="preserve">增加43.69万元，增长3.6%。 </w:t>
      </w:r>
    </w:p>
    <w:p w14:paraId="1392859B">
      <w:pPr>
        <w:pStyle w:val="8"/>
        <w:ind w:firstLine="0"/>
        <w:rPr>
          <w:rFonts w:hint="eastAsia" w:ascii="思源黑体 CN Normal" w:hAnsi="思源黑体 CN Normal" w:eastAsia="思源黑体 CN Normal" w:cs="思源黑体 CN Normal"/>
          <w:b/>
          <w:color w:val="000000"/>
          <w:sz w:val="32"/>
          <w:szCs w:val="32"/>
        </w:rPr>
      </w:pPr>
      <w:r>
        <w:rPr>
          <w:rFonts w:hint="eastAsia" w:ascii="思源黑体 CN Normal" w:hAnsi="思源黑体 CN Normal" w:eastAsia="思源黑体 CN Normal" w:cs="思源黑体 CN Normal"/>
          <w:b/>
          <w:color w:val="000000"/>
          <w:sz w:val="32"/>
          <w:szCs w:val="32"/>
        </w:rPr>
        <w:drawing>
          <wp:inline distT="0" distB="0" distL="0" distR="0">
            <wp:extent cx="4905375" cy="3569970"/>
            <wp:effectExtent l="0" t="0" r="9525" b="1143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0DE6975">
      <w:pPr>
        <w:spacing w:line="600" w:lineRule="exact"/>
        <w:ind w:firstLine="640" w:firstLineChars="200"/>
        <w:rPr>
          <w:rFonts w:hint="eastAsia" w:ascii="思源黑体 CN Normal" w:hAnsi="思源黑体 CN Normal" w:eastAsia="思源黑体 CN Normal" w:cs="思源黑体 CN Normal"/>
          <w:b/>
          <w:color w:val="000000"/>
          <w:sz w:val="32"/>
          <w:szCs w:val="32"/>
        </w:rPr>
      </w:pPr>
      <w:r>
        <w:rPr>
          <w:rFonts w:hint="eastAsia" w:ascii="仿宋" w:hAnsi="仿宋" w:eastAsia="仿宋" w:cs="仿宋"/>
          <w:color w:val="000000"/>
          <w:sz w:val="32"/>
          <w:szCs w:val="32"/>
        </w:rPr>
        <w:t>（图5：一般公共预算财政拨款支出决算变动情况）</w:t>
      </w:r>
    </w:p>
    <w:p w14:paraId="75A4B7C4">
      <w:pPr>
        <w:spacing w:line="600" w:lineRule="exact"/>
        <w:ind w:firstLine="643"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（二）一般公共预算财政拨款支出决算结构情况</w:t>
      </w:r>
      <w:bookmarkEnd w:id="44"/>
    </w:p>
    <w:p w14:paraId="1E3404D8">
      <w:pPr>
        <w:spacing w:line="60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一般公共预算财政拨款支出</w:t>
      </w:r>
      <w:r>
        <w:rPr>
          <w:rFonts w:ascii="仿宋" w:hAnsi="仿宋" w:eastAsia="仿宋" w:cs="仿宋"/>
          <w:color w:val="000000"/>
          <w:sz w:val="32"/>
          <w:u w:color="auto"/>
        </w:rPr>
        <w:t>1,273.89万元，主要用于以下方面: 一般公共服务支出324万元，占25.4%；社会保障和就业支出101.74万元，占8%；卫生健康支出40.16万元，占3.2%；节能环保支出2.78万元，占0.2%；农林水支出448.53万元，占35.2%；交通运输支出299.65万元，占23.5%；住房保障支出57.04万元，占4.5%。</w:t>
      </w:r>
    </w:p>
    <w:p w14:paraId="68BC5887">
      <w:pPr>
        <w:pStyle w:val="8"/>
        <w:rPr>
          <w:rFonts w:hint="eastAsia" w:ascii="思源黑体 CN Normal" w:hAnsi="思源黑体 CN Normal" w:eastAsia="思源黑体 CN Normal" w:cs="思源黑体 CN Normal"/>
        </w:rPr>
      </w:pPr>
      <w:bookmarkStart w:id="45" w:name="_Toc15377212"/>
      <w:r>
        <w:rPr>
          <w:rFonts w:hint="eastAsia" w:ascii="思源黑体 CN Normal" w:hAnsi="思源黑体 CN Normal" w:eastAsia="思源黑体 CN Normal" w:cs="思源黑体 CN Normal"/>
        </w:rPr>
        <w:drawing>
          <wp:inline distT="0" distB="0" distL="0" distR="0">
            <wp:extent cx="4333240" cy="2886075"/>
            <wp:effectExtent l="4445" t="4445" r="5715" b="508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2D2F421">
      <w:pPr>
        <w:spacing w:line="600" w:lineRule="exact"/>
        <w:ind w:firstLine="640" w:firstLineChars="200"/>
        <w:jc w:val="center"/>
        <w:rPr>
          <w:rFonts w:hint="eastAsia" w:ascii="思源黑体 CN Normal" w:hAnsi="思源黑体 CN Normal" w:eastAsia="思源黑体 CN Normal" w:cs="思源黑体 CN Normal"/>
        </w:rPr>
      </w:pPr>
      <w:r>
        <w:rPr>
          <w:rFonts w:hint="eastAsia" w:ascii="仿宋" w:hAnsi="仿宋" w:eastAsia="仿宋" w:cs="仿宋"/>
          <w:color w:val="000000"/>
          <w:sz w:val="32"/>
          <w:szCs w:val="32"/>
        </w:rPr>
        <w:t>（图6：一般公共预算财政拨款支出决算结构）</w:t>
      </w:r>
    </w:p>
    <w:p w14:paraId="7B678BDA">
      <w:pPr>
        <w:spacing w:line="600" w:lineRule="exact"/>
        <w:ind w:firstLine="643"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（三）一般公共预算财政拨款支出决算具体情况</w:t>
      </w:r>
      <w:bookmarkEnd w:id="45"/>
    </w:p>
    <w:p w14:paraId="13506E72">
      <w:pPr>
        <w:spacing w:line="600" w:lineRule="exact"/>
        <w:ind w:firstLine="640"/>
        <w:rPr>
          <w:rFonts w:hint="eastAsia" w:ascii="仿宋" w:hAnsi="仿宋" w:eastAsia="仿宋" w:cs="仿宋"/>
          <w:color w:val="000000"/>
          <w:sz w:val="32"/>
          <w:szCs w:val="32"/>
        </w:rPr>
      </w:pPr>
      <w:bookmarkStart w:id="46" w:name="_Toc15377444"/>
      <w:bookmarkStart w:id="47" w:name="_Toc15377213"/>
      <w:bookmarkStart w:id="48" w:name="_Toc15378460"/>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一般公共预算支出决算数为</w:t>
      </w:r>
      <w:r>
        <w:rPr>
          <w:rFonts w:ascii="仿宋" w:hAnsi="仿宋" w:eastAsia="仿宋" w:cs="仿宋"/>
          <w:color w:val="000000"/>
          <w:sz w:val="32"/>
          <w:u w:color="auto"/>
        </w:rPr>
        <w:t>1,273.89万元，完成预算100%。其中：</w:t>
      </w:r>
      <w:bookmarkEnd w:id="46"/>
      <w:bookmarkEnd w:id="47"/>
      <w:bookmarkEnd w:id="48"/>
    </w:p>
    <w:p w14:paraId="7AED4EFD">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1.一般公共服务支出（类）人大事务（款）行政运行（项）:支出决算21.29万元，完成预算100%。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2.一般公共服务支出（类）人大事务（款）人大会议（项）:支出决算0.2万元，完成预算100%。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3.一般公共服务支出（类）政府办公厅（室）及相关机构事务（款）行政运行（项）:支出决算282.26万元，完成预算100%。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4.一般公共服务支出（类）党委办公厅（室）及相关机构事务（款）行政运行（项）:支出决算20.25万元，完成预算100%。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5.社会保障和就业支出（类）行政事业单位养老支出（款）机关事业单位基本养老保险缴费支出（项）:支出决算67.63万元，完成预算100%。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6.社会保障和就业支出（类）行政事业单位养老支出（款）机关事业单位职业年金缴费支出（项）:支出决算34.11万元，完成预算100%。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7.卫生健康支出（类）行政事业单位医疗（款）行政单位医疗（项）:支出决算20.61万元，完成预算100%。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8.卫生健康支出（类）行政事业单位医疗（款）事业单位医疗（项）:支出决算12.19万元，完成预算100%。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9.卫生健康支出（类）行政事业单位医疗（款）公务员医疗补助（项）:支出决算4.76万元，完成预算100%。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10.卫生健康支出（类）行政事业单位医疗（款）其他行政事业单位医疗支出（项）:支出决算2.6万元，完成预算100%。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11.节能环保支出（类）自然生态保护（款）生态保护（项）:支出决算2.78万元，完成预算100%。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12.农林水支出（类）农业农村（款）事业运行（项）:支出决算198.08万元，完成预算100%。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13.农林水支出（类）巩固脱贫攻坚成果衔接乡村振兴（款）农村基础设施建设（项）:支出决算17.79万元，完成预算100%。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14.农林水支出（类）巩固脱贫攻坚成果衔接乡村振兴（款）社会发展（项）:支出决算10万元，完成预算100%。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15.农林水支出（类）巩固脱贫攻坚成果衔接乡村振兴（款）其他巩固脱贫攻坚成果衔接乡村振兴支出（项）:支出决算97.5万元，完成预算100%。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16.农林水支出（类）农村综合改革（款）对村民委员会和村党支部的补助（项）:支出决算125.16万元，完成预算100%。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17.交通运输支出（类）公路水路运输（款）其他公路水路运输支出（项）:支出决算299.65万元，完成预算100%。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18.住房保障支出（类）住房改革支出（款）住房公积金（项）:支出决算57.04万元，完成预算100%。</w:t>
      </w:r>
    </w:p>
    <w:p w14:paraId="5F1461C4">
      <w:pPr>
        <w:pStyle w:val="6"/>
        <w:ind w:firstLine="640" w:firstLineChars="200"/>
        <w:rPr>
          <w:rFonts w:hint="eastAsia" w:ascii="黑体" w:hAnsi="黑体" w:eastAsia="黑体" w:cs="黑体"/>
          <w:b w:val="0"/>
          <w:color w:val="000000"/>
        </w:rPr>
      </w:pPr>
      <w:bookmarkStart w:id="49" w:name="_Toc15377214"/>
      <w:bookmarkStart w:id="50" w:name="_Toc111208504"/>
      <w:bookmarkStart w:id="51" w:name="_Toc31578"/>
      <w:r>
        <w:rPr>
          <w:rFonts w:hint="eastAsia" w:ascii="黑体" w:hAnsi="黑体" w:eastAsia="黑体" w:cs="黑体"/>
          <w:b w:val="0"/>
          <w:bCs/>
          <w:color w:val="000000"/>
        </w:rPr>
        <w:t>六、一般公共预算财政拨款基本支出决算情况说</w:t>
      </w:r>
      <w:bookmarkEnd w:id="49"/>
      <w:r>
        <w:rPr>
          <w:rFonts w:hint="eastAsia" w:ascii="黑体" w:hAnsi="黑体" w:eastAsia="黑体" w:cs="黑体"/>
          <w:b w:val="0"/>
          <w:bCs/>
          <w:color w:val="000000"/>
        </w:rPr>
        <w:t>明</w:t>
      </w:r>
      <w:bookmarkEnd w:id="50"/>
      <w:bookmarkEnd w:id="51"/>
    </w:p>
    <w:p w14:paraId="5A9F5381">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一般公共预算财政拨款基本支出</w:t>
      </w:r>
      <w:r>
        <w:rPr>
          <w:rFonts w:ascii="仿宋" w:hAnsi="仿宋" w:eastAsia="仿宋" w:cs="仿宋"/>
          <w:color w:val="000000"/>
          <w:sz w:val="32"/>
          <w:u w:color="auto"/>
        </w:rPr>
        <w:t>720.81万元，其中：</w:t>
      </w:r>
    </w:p>
    <w:p w14:paraId="116EF1FA">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人员经费</w:t>
      </w:r>
      <w:r>
        <w:rPr>
          <w:rFonts w:ascii="仿宋" w:hAnsi="仿宋" w:eastAsia="仿宋" w:cs="仿宋"/>
          <w:color w:val="000000"/>
          <w:sz w:val="32"/>
          <w:u w:color="auto"/>
        </w:rPr>
        <w:t>688.39万元，主要包括：基本工资124.24万元、津贴补贴149.84万元、奖金169.22万元、绩效工资37.51万元、机关事业单位基本养老保险缴费67.63万元、职业年金缴费34.11万元、职工基本医疗保险缴费32.8万元、公务员医疗补助缴费4.76万元、其他社会保障缴费3.88万元、住房公积金57.04万元、生活补助7.37万元。</w:t>
      </w:r>
    </w:p>
    <w:p w14:paraId="39B6CA0F">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公用经费</w:t>
      </w:r>
      <w:r>
        <w:rPr>
          <w:rFonts w:ascii="仿宋" w:hAnsi="仿宋" w:eastAsia="仿宋" w:cs="仿宋"/>
          <w:color w:val="000000"/>
          <w:sz w:val="32"/>
          <w:u w:color="auto"/>
        </w:rPr>
        <w:t>32.42万元，主要包括：办公费11.77万元、印刷费1.8万元、电费3.5万元、邮电费1.92万元、差旅费4万元、劳务费3.4万元、福利费0.19万元、公务用车运行维护费4.84万元、其他交通费用1万元。</w:t>
      </w:r>
    </w:p>
    <w:p w14:paraId="151B178E">
      <w:pPr>
        <w:pStyle w:val="6"/>
        <w:ind w:firstLine="640" w:firstLineChars="200"/>
        <w:rPr>
          <w:rFonts w:hint="eastAsia" w:ascii="黑体" w:hAnsi="黑体" w:eastAsia="黑体" w:cs="黑体"/>
          <w:b w:val="0"/>
          <w:bCs/>
          <w:color w:val="000000"/>
        </w:rPr>
      </w:pPr>
      <w:bookmarkStart w:id="52" w:name="_Toc6614"/>
      <w:bookmarkStart w:id="53" w:name="_Toc111208505"/>
      <w:bookmarkStart w:id="54" w:name="_Toc15377215"/>
      <w:r>
        <w:rPr>
          <w:rFonts w:hint="eastAsia" w:ascii="黑体" w:hAnsi="黑体" w:eastAsia="黑体" w:cs="黑体"/>
          <w:b w:val="0"/>
          <w:bCs/>
          <w:color w:val="000000"/>
        </w:rPr>
        <w:t>七、“三公”经费财政拨款支出决算情况说明</w:t>
      </w:r>
      <w:bookmarkEnd w:id="52"/>
      <w:bookmarkEnd w:id="53"/>
      <w:bookmarkEnd w:id="54"/>
    </w:p>
    <w:p w14:paraId="613FE387">
      <w:pPr>
        <w:spacing w:line="600" w:lineRule="exact"/>
        <w:ind w:firstLine="643" w:firstLineChars="200"/>
        <w:outlineLvl w:val="2"/>
        <w:rPr>
          <w:rFonts w:hint="eastAsia" w:ascii="仿宋" w:hAnsi="仿宋" w:eastAsia="仿宋" w:cs="仿宋"/>
          <w:b/>
          <w:color w:val="000000"/>
          <w:sz w:val="32"/>
          <w:szCs w:val="32"/>
        </w:rPr>
      </w:pPr>
      <w:bookmarkStart w:id="55" w:name="_Toc15377216"/>
      <w:r>
        <w:rPr>
          <w:rFonts w:hint="eastAsia" w:ascii="仿宋" w:hAnsi="仿宋" w:eastAsia="仿宋" w:cs="仿宋"/>
          <w:b/>
          <w:color w:val="000000"/>
          <w:sz w:val="32"/>
          <w:szCs w:val="32"/>
        </w:rPr>
        <w:t>（一）“三公”经费财政拨款支出决算总体情况说明</w:t>
      </w:r>
      <w:bookmarkEnd w:id="55"/>
    </w:p>
    <w:p w14:paraId="0C6B4B9F">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“三公”经费财政拨款支出决算为</w:t>
      </w:r>
      <w:r>
        <w:rPr>
          <w:rFonts w:ascii="仿宋" w:hAnsi="仿宋" w:eastAsia="仿宋" w:cs="仿宋"/>
          <w:color w:val="000000"/>
          <w:sz w:val="32"/>
          <w:u w:color="auto"/>
        </w:rPr>
        <w:t>4.84万元，完成预算100%，较上年度减少0.01万元，下降0.2%。</w:t>
      </w:r>
      <w:bookmarkStart w:id="56" w:name="_Toc15377217"/>
    </w:p>
    <w:p w14:paraId="1F750F0C">
      <w:pPr>
        <w:spacing w:line="600" w:lineRule="exact"/>
        <w:ind w:firstLine="640"/>
        <w:rPr>
          <w:rFonts w:hint="eastAsia"/>
        </w:rPr>
      </w:pPr>
      <w:r>
        <w:rPr>
          <w:rFonts w:hint="eastAsia" w:ascii="仿宋" w:hAnsi="仿宋" w:eastAsia="仿宋"/>
          <w:b/>
          <w:color w:val="auto"/>
          <w:sz w:val="32"/>
          <w:szCs w:val="32"/>
          <w:highlight w:val="none"/>
        </w:rPr>
        <w:t>（注：上述“预算”口径为</w:t>
      </w:r>
      <w:r>
        <w:rPr>
          <w:rFonts w:hint="eastAsia" w:ascii="仿宋" w:hAnsi="仿宋" w:eastAsia="仿宋"/>
          <w:b/>
          <w:color w:val="auto"/>
          <w:sz w:val="32"/>
          <w:szCs w:val="32"/>
          <w:highlight w:val="none"/>
          <w:lang w:eastAsia="zh-CN"/>
        </w:rPr>
        <w:t>全年预算</w:t>
      </w:r>
      <w:r>
        <w:rPr>
          <w:rFonts w:hint="eastAsia" w:ascii="仿宋" w:hAnsi="仿宋" w:eastAsia="仿宋"/>
          <w:b/>
          <w:color w:val="auto"/>
          <w:sz w:val="32"/>
          <w:szCs w:val="32"/>
          <w:highlight w:val="none"/>
        </w:rPr>
        <w:t>数，包括</w:t>
      </w:r>
      <w:r>
        <w:rPr>
          <w:rFonts w:hint="eastAsia" w:ascii="仿宋" w:hAnsi="仿宋" w:eastAsia="仿宋"/>
          <w:b/>
          <w:color w:val="auto"/>
          <w:sz w:val="32"/>
          <w:szCs w:val="32"/>
          <w:highlight w:val="none"/>
          <w:lang w:eastAsia="zh-CN"/>
        </w:rPr>
        <w:t>一般公共预算和</w:t>
      </w:r>
      <w:r>
        <w:rPr>
          <w:rFonts w:hint="eastAsia" w:ascii="仿宋" w:hAnsi="仿宋" w:eastAsia="仿宋"/>
          <w:b/>
          <w:color w:val="auto"/>
          <w:sz w:val="32"/>
          <w:szCs w:val="32"/>
          <w:highlight w:val="none"/>
        </w:rPr>
        <w:t>政府性基金</w:t>
      </w:r>
      <w:r>
        <w:rPr>
          <w:rFonts w:hint="eastAsia" w:ascii="仿宋" w:hAnsi="仿宋" w:eastAsia="仿宋"/>
          <w:b/>
          <w:color w:val="auto"/>
          <w:sz w:val="32"/>
          <w:szCs w:val="32"/>
          <w:highlight w:val="none"/>
          <w:lang w:eastAsia="zh-CN"/>
        </w:rPr>
        <w:t>预算财政拨款</w:t>
      </w:r>
      <w:r>
        <w:rPr>
          <w:rFonts w:hint="eastAsia" w:ascii="仿宋" w:hAnsi="仿宋" w:eastAsia="仿宋"/>
          <w:b/>
          <w:color w:val="auto"/>
          <w:sz w:val="32"/>
          <w:szCs w:val="32"/>
          <w:highlight w:val="none"/>
        </w:rPr>
        <w:t>支出决算情况。）</w:t>
      </w:r>
    </w:p>
    <w:p w14:paraId="5BC57BE3">
      <w:pPr>
        <w:spacing w:line="600" w:lineRule="exact"/>
        <w:ind w:firstLine="643" w:firstLineChars="200"/>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（二）“三公”经费财政拨款支出决算具体情况说明</w:t>
      </w:r>
      <w:bookmarkEnd w:id="56"/>
    </w:p>
    <w:p w14:paraId="3F323677">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“三公”经费财政拨款支出</w:t>
      </w:r>
      <w:r>
        <w:rPr>
          <w:rFonts w:ascii="仿宋" w:hAnsi="仿宋" w:eastAsia="仿宋" w:cs="仿宋"/>
          <w:color w:val="000000"/>
          <w:sz w:val="32"/>
          <w:u w:color="auto"/>
        </w:rPr>
        <w:t>4.84万元，因公出国（境）费支出决算0万元，占0%；公务用车购置及运行维护费支出决算4.84万元，占100%；公务接待费支出决算0万元，占0%。具体情况如下：</w:t>
      </w:r>
    </w:p>
    <w:p w14:paraId="35A33F8D">
      <w:pPr>
        <w:pStyle w:val="8"/>
        <w:rPr>
          <w:rFonts w:hint="eastAsia" w:ascii="思源黑体 CN Normal" w:hAnsi="思源黑体 CN Normal" w:eastAsia="思源黑体 CN Normal" w:cs="思源黑体 CN Normal"/>
        </w:rPr>
      </w:pPr>
      <w:r>
        <w:rPr>
          <w:rFonts w:hint="eastAsia" w:ascii="思源黑体 CN Normal" w:hAnsi="思源黑体 CN Normal" w:eastAsia="思源黑体 CN Normal" w:cs="思源黑体 CN Normal"/>
        </w:rPr>
        <w:drawing>
          <wp:inline distT="0" distB="0" distL="0" distR="0">
            <wp:extent cx="4333240" cy="2886075"/>
            <wp:effectExtent l="0" t="0" r="10160" b="952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D793809">
      <w:pPr>
        <w:spacing w:line="600" w:lineRule="exact"/>
        <w:ind w:firstLine="640" w:firstLineChars="200"/>
        <w:jc w:val="center"/>
        <w:rPr>
          <w:rFonts w:hint="eastAsia" w:ascii="仿宋" w:hAnsi="仿宋" w:eastAsia="仿宋" w:cs="仿宋"/>
        </w:rPr>
      </w:pPr>
      <w:r>
        <w:rPr>
          <w:rFonts w:hint="eastAsia" w:ascii="仿宋" w:hAnsi="仿宋" w:eastAsia="仿宋" w:cs="仿宋"/>
          <w:color w:val="000000"/>
          <w:sz w:val="32"/>
          <w:szCs w:val="32"/>
        </w:rPr>
        <w:t>（图7：“三公”经费财政拨款支出结构）</w:t>
      </w:r>
    </w:p>
    <w:p w14:paraId="1E9D76AF">
      <w:pPr>
        <w:spacing w:line="600" w:lineRule="exact"/>
        <w:ind w:firstLine="640"/>
        <w:rPr>
          <w:rFonts w:hint="eastAsia" w:ascii="仿宋" w:hAnsi="仿宋" w:eastAsia="仿宋" w:cs="仿宋"/>
          <w:color w:val="000000"/>
          <w:sz w:val="32"/>
          <w:szCs w:val="32"/>
        </w:rPr>
      </w:pPr>
      <w:r>
        <w:rPr>
          <w:rFonts w:hint="eastAsia" w:ascii="仿宋" w:hAnsi="仿宋" w:eastAsia="仿宋" w:cs="仿宋"/>
          <w:b/>
          <w:bCs/>
          <w:color w:val="000000"/>
          <w:sz w:val="32"/>
          <w:szCs w:val="32"/>
        </w:rPr>
        <w:t>1.因公出国（境）经费支出</w:t>
      </w:r>
      <w:r>
        <w:rPr>
          <w:rFonts w:hint="eastAsia" w:ascii="仿宋" w:hAnsi="仿宋" w:eastAsia="仿宋" w:cs="仿宋"/>
          <w:color w:val="000000"/>
          <w:sz w:val="32"/>
          <w:szCs w:val="32"/>
        </w:rPr>
        <w:t>0</w:t>
      </w:r>
      <w:r>
        <w:rPr>
          <w:rFonts w:ascii="仿宋" w:hAnsi="仿宋" w:eastAsia="仿宋" w:cs="仿宋"/>
          <w:color w:val="000000"/>
          <w:sz w:val="32"/>
          <w:u w:color="auto"/>
        </w:rPr>
        <w:t>万元</w:t>
      </w:r>
      <w:r>
        <w:rPr>
          <w:rFonts w:hint="eastAsia" w:ascii="仿宋" w:hAnsi="仿宋" w:eastAsia="仿宋" w:cs="仿宋"/>
          <w:color w:val="000000"/>
          <w:sz w:val="32"/>
          <w:u w:color="auto"/>
          <w:lang w:eastAsia="zh-CN"/>
        </w:rPr>
        <w:t>。</w:t>
      </w:r>
      <w:r>
        <w:rPr>
          <w:rFonts w:ascii="仿宋" w:hAnsi="仿宋" w:eastAsia="仿宋" w:cs="仿宋"/>
          <w:color w:val="000000"/>
          <w:sz w:val="32"/>
          <w:u w:color="auto"/>
        </w:rPr>
        <w:t xml:space="preserve"> </w:t>
      </w:r>
    </w:p>
    <w:p w14:paraId="327BF985">
      <w:pPr>
        <w:spacing w:line="600" w:lineRule="exact"/>
        <w:ind w:firstLine="640"/>
        <w:rPr>
          <w:rFonts w:hint="eastAsia" w:ascii="仿宋" w:hAnsi="仿宋" w:eastAsia="仿宋" w:cs="仿宋"/>
          <w:color w:val="000000"/>
          <w:sz w:val="32"/>
          <w:szCs w:val="32"/>
        </w:rPr>
      </w:pPr>
      <w:r>
        <w:rPr>
          <w:rFonts w:hint="eastAsia" w:ascii="仿宋" w:hAnsi="仿宋" w:eastAsia="仿宋" w:cs="仿宋"/>
          <w:b/>
          <w:bCs/>
          <w:color w:val="000000"/>
          <w:sz w:val="32"/>
          <w:szCs w:val="32"/>
        </w:rPr>
        <w:t>2.公务用车购置及运行维护费支出</w:t>
      </w:r>
      <w:r>
        <w:rPr>
          <w:rFonts w:hint="eastAsia" w:ascii="仿宋" w:hAnsi="仿宋" w:eastAsia="仿宋" w:cs="仿宋"/>
          <w:color w:val="000000"/>
          <w:sz w:val="32"/>
          <w:szCs w:val="32"/>
        </w:rPr>
        <w:t>4.84</w:t>
      </w:r>
      <w:r>
        <w:rPr>
          <w:rFonts w:ascii="仿宋" w:hAnsi="仿宋" w:eastAsia="仿宋" w:cs="仿宋"/>
          <w:color w:val="000000"/>
          <w:sz w:val="32"/>
          <w:u w:color="auto"/>
        </w:rPr>
        <w:t>万元,完成预算100%。公务用车购置及运行维护费支出决算比2023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减少0.01</w:t>
      </w:r>
      <w:r>
        <w:rPr>
          <w:rFonts w:ascii="仿宋" w:hAnsi="仿宋" w:eastAsia="仿宋" w:cs="仿宋"/>
          <w:color w:val="000000"/>
          <w:sz w:val="32"/>
          <w:u w:color="auto"/>
        </w:rPr>
        <w:t xml:space="preserve">万元，下降0.2%。 </w:t>
      </w:r>
    </w:p>
    <w:p w14:paraId="2ED6A1A6">
      <w:pPr>
        <w:spacing w:line="600" w:lineRule="exact"/>
        <w:ind w:firstLine="640"/>
        <w:rPr>
          <w:rFonts w:hint="eastAsia" w:ascii="仿宋" w:hAnsi="仿宋" w:eastAsia="仿宋" w:cs="仿宋"/>
          <w:color w:val="000000"/>
          <w:sz w:val="32"/>
          <w:szCs w:val="32"/>
        </w:rPr>
      </w:pPr>
      <w:r>
        <w:rPr>
          <w:rFonts w:hint="eastAsia" w:ascii="仿宋" w:hAnsi="仿宋" w:eastAsia="仿宋" w:cs="仿宋"/>
          <w:b/>
          <w:bCs/>
          <w:color w:val="000000"/>
          <w:sz w:val="32"/>
          <w:szCs w:val="32"/>
        </w:rPr>
        <w:t>公务用车运行维护费支出</w:t>
      </w:r>
      <w:r>
        <w:rPr>
          <w:rFonts w:hint="eastAsia" w:ascii="仿宋" w:hAnsi="仿宋" w:eastAsia="仿宋" w:cs="仿宋"/>
          <w:color w:val="000000"/>
          <w:sz w:val="32"/>
          <w:szCs w:val="32"/>
        </w:rPr>
        <w:t>4.84</w:t>
      </w:r>
      <w:r>
        <w:rPr>
          <w:rFonts w:ascii="仿宋" w:hAnsi="仿宋" w:eastAsia="仿宋" w:cs="仿宋"/>
          <w:color w:val="000000"/>
          <w:sz w:val="32"/>
          <w:u w:color="auto"/>
        </w:rPr>
        <w:t xml:space="preserve">万元。 </w:t>
      </w:r>
    </w:p>
    <w:p w14:paraId="2C1431EB">
      <w:pPr>
        <w:spacing w:line="600" w:lineRule="exact"/>
        <w:ind w:firstLine="640"/>
        <w:rPr>
          <w:rFonts w:hint="eastAsia" w:ascii="仿宋" w:hAnsi="仿宋" w:eastAsia="仿宋" w:cs="仿宋"/>
          <w:color w:val="000000"/>
          <w:sz w:val="32"/>
          <w:szCs w:val="32"/>
          <w:lang w:val="en-US" w:eastAsia="zh-CN"/>
        </w:rPr>
      </w:pPr>
      <w:r>
        <w:rPr>
          <w:rFonts w:hint="eastAsia" w:ascii="仿宋" w:hAnsi="仿宋" w:eastAsia="仿宋" w:cs="仿宋"/>
          <w:b/>
          <w:bCs/>
          <w:color w:val="000000"/>
          <w:sz w:val="32"/>
          <w:szCs w:val="32"/>
        </w:rPr>
        <w:t>3.公务接待费支出</w:t>
      </w:r>
      <w:r>
        <w:rPr>
          <w:rFonts w:hint="eastAsia" w:ascii="仿宋" w:hAnsi="仿宋" w:eastAsia="仿宋" w:cs="仿宋"/>
          <w:color w:val="000000"/>
          <w:sz w:val="32"/>
          <w:szCs w:val="32"/>
        </w:rPr>
        <w:t>0</w:t>
      </w:r>
      <w:r>
        <w:rPr>
          <w:rFonts w:ascii="仿宋" w:hAnsi="仿宋" w:eastAsia="仿宋" w:cs="仿宋"/>
          <w:color w:val="000000"/>
          <w:sz w:val="32"/>
          <w:u w:color="auto"/>
        </w:rPr>
        <w:t>万元，完成预算0%。公务接待费支出决算比2023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增加0</w:t>
      </w:r>
      <w:r>
        <w:rPr>
          <w:rFonts w:ascii="仿宋" w:hAnsi="仿宋" w:eastAsia="仿宋" w:cs="仿宋"/>
          <w:color w:val="000000"/>
          <w:sz w:val="32"/>
          <w:u w:color="auto"/>
        </w:rPr>
        <w:t>万元，增长0%。</w:t>
      </w:r>
      <w:bookmarkStart w:id="57" w:name="_Toc15377218"/>
      <w:r>
        <w:rPr>
          <w:rFonts w:hint="eastAsia" w:ascii="仿宋" w:hAnsi="仿宋" w:eastAsia="仿宋" w:cs="仿宋"/>
          <w:color w:val="000000"/>
          <w:sz w:val="32"/>
          <w:szCs w:val="32"/>
        </w:rPr>
        <w:t xml:space="preserve"> </w:t>
      </w:r>
      <w:r>
        <w:rPr>
          <w:rFonts w:hint="eastAsia" w:ascii="仿宋" w:hAnsi="仿宋" w:eastAsia="仿宋" w:cs="仿宋"/>
          <w:color w:val="000000"/>
          <w:sz w:val="32"/>
          <w:szCs w:val="32"/>
          <w:lang w:val="en-US" w:eastAsia="zh-CN"/>
        </w:rPr>
        <w:t>其中：</w:t>
      </w:r>
    </w:p>
    <w:p w14:paraId="7F3EE578">
      <w:pPr>
        <w:spacing w:line="600" w:lineRule="exact"/>
        <w:ind w:firstLine="640"/>
        <w:rPr>
          <w:rFonts w:hint="eastAsia" w:ascii="仿宋" w:hAnsi="仿宋" w:eastAsia="仿宋" w:cs="仿宋"/>
          <w:color w:val="000000"/>
          <w:sz w:val="32"/>
          <w:szCs w:val="32"/>
          <w:lang w:val="en-US" w:eastAsia="zh-CN"/>
        </w:rPr>
      </w:pPr>
      <w:r>
        <w:rPr>
          <w:rFonts w:hint="eastAsia" w:ascii="仿宋" w:hAnsi="仿宋" w:eastAsia="仿宋" w:cs="仿宋"/>
          <w:b/>
          <w:bCs/>
          <w:color w:val="000000"/>
          <w:sz w:val="32"/>
          <w:szCs w:val="32"/>
        </w:rPr>
        <w:t>国内公务接待支出</w:t>
      </w:r>
      <w:r>
        <w:rPr>
          <w:rFonts w:hint="eastAsia" w:ascii="仿宋" w:hAnsi="仿宋" w:eastAsia="仿宋" w:cs="仿宋"/>
          <w:color w:val="000000"/>
          <w:sz w:val="32"/>
          <w:szCs w:val="32"/>
        </w:rPr>
        <w:t>0</w:t>
      </w:r>
      <w:r>
        <w:rPr>
          <w:rFonts w:ascii="仿宋" w:hAnsi="仿宋" w:eastAsia="仿宋" w:cs="仿宋"/>
          <w:color w:val="000000"/>
          <w:sz w:val="32"/>
          <w:u w:color="auto"/>
        </w:rPr>
        <w:t>万</w:t>
      </w:r>
      <w:r>
        <w:rPr>
          <w:rFonts w:hint="eastAsia" w:ascii="仿宋" w:hAnsi="仿宋" w:eastAsia="仿宋" w:cs="仿宋"/>
          <w:color w:val="000000"/>
          <w:sz w:val="32"/>
          <w:u w:color="auto"/>
          <w:lang w:val="en-US" w:eastAsia="zh-CN"/>
        </w:rPr>
        <w:t>元。</w:t>
      </w:r>
    </w:p>
    <w:p w14:paraId="662C5F0F">
      <w:pPr>
        <w:pStyle w:val="8"/>
        <w:rPr>
          <w:rFonts w:hint="eastAsia" w:ascii="仿宋" w:hAnsi="仿宋" w:eastAsia="仿宋" w:cs="仿宋"/>
          <w:color w:val="000000"/>
          <w:sz w:val="32"/>
          <w:szCs w:val="32"/>
        </w:rPr>
      </w:pPr>
      <w:r>
        <w:rPr>
          <w:rFonts w:hint="eastAsia" w:ascii="仿宋" w:hAnsi="仿宋" w:eastAsia="仿宋" w:cs="仿宋"/>
          <w:b/>
          <w:bCs/>
          <w:color w:val="000000"/>
          <w:sz w:val="32"/>
          <w:szCs w:val="32"/>
        </w:rPr>
        <w:t>外事接待支出</w:t>
      </w:r>
      <w:r>
        <w:rPr>
          <w:rFonts w:hint="eastAsia" w:ascii="仿宋" w:hAnsi="仿宋" w:eastAsia="仿宋" w:cs="仿宋"/>
          <w:color w:val="000000"/>
          <w:sz w:val="32"/>
          <w:szCs w:val="32"/>
        </w:rPr>
        <w:t>0</w:t>
      </w:r>
      <w:r>
        <w:rPr>
          <w:rFonts w:ascii="仿宋" w:hAnsi="仿宋" w:eastAsia="仿宋" w:cs="仿宋"/>
          <w:color w:val="000000"/>
          <w:sz w:val="32"/>
          <w:u w:color="auto"/>
        </w:rPr>
        <w:t>万元。</w:t>
      </w:r>
    </w:p>
    <w:p w14:paraId="5DA11626">
      <w:pPr>
        <w:pStyle w:val="6"/>
        <w:ind w:firstLine="640" w:firstLineChars="200"/>
        <w:rPr>
          <w:rFonts w:hint="eastAsia" w:ascii="黑体" w:hAnsi="黑体" w:eastAsia="黑体" w:cs="黑体"/>
          <w:b w:val="0"/>
          <w:bCs/>
          <w:color w:val="000000"/>
        </w:rPr>
      </w:pPr>
      <w:bookmarkStart w:id="58" w:name="_Toc111208506"/>
      <w:bookmarkStart w:id="59" w:name="_Toc20439"/>
      <w:r>
        <w:rPr>
          <w:rFonts w:hint="eastAsia" w:ascii="黑体" w:hAnsi="黑体" w:eastAsia="黑体" w:cs="黑体"/>
          <w:b w:val="0"/>
          <w:bCs/>
          <w:color w:val="000000"/>
        </w:rPr>
        <w:t>八、政府性基金预算支出决算情况说明</w:t>
      </w:r>
      <w:bookmarkEnd w:id="57"/>
      <w:bookmarkEnd w:id="58"/>
      <w:bookmarkEnd w:id="59"/>
    </w:p>
    <w:p w14:paraId="1C230691">
      <w:pPr>
        <w:spacing w:line="600" w:lineRule="exact"/>
        <w:ind w:firstLine="640"/>
        <w:rPr>
          <w:rFonts w:hint="eastAsia" w:ascii="仿宋" w:hAnsi="仿宋" w:eastAsia="仿宋" w:cs="仿宋"/>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政府性基金预算拨款支出</w:t>
      </w:r>
      <w:r>
        <w:rPr>
          <w:rFonts w:ascii="仿宋" w:hAnsi="仿宋" w:eastAsia="仿宋" w:cs="仿宋"/>
          <w:color w:val="000000"/>
          <w:sz w:val="32"/>
          <w:u w:color="auto"/>
        </w:rPr>
        <w:t>0万元</w:t>
      </w:r>
      <w:bookmarkStart w:id="60" w:name="_Toc15377219"/>
      <w:r>
        <w:rPr>
          <w:rFonts w:hint="eastAsia" w:ascii="Times New Roman" w:hAnsi="Times New Roman" w:eastAsia="仿宋_GB2312" w:cs="仿宋_GB2312"/>
          <w:color w:val="auto"/>
          <w:kern w:val="2"/>
          <w:sz w:val="32"/>
          <w:szCs w:val="32"/>
          <w:highlight w:val="none"/>
          <w:lang w:val="en-US" w:eastAsia="zh-CN" w:bidi="ar-SA"/>
        </w:rPr>
        <w:t>，占本年支出合计的</w:t>
      </w:r>
      <w:r>
        <w:rPr>
          <w:rFonts w:hint="eastAsia" w:ascii="仿宋" w:hAnsi="仿宋" w:eastAsia="仿宋" w:cs="仿宋"/>
          <w:color w:val="000000"/>
          <w:sz w:val="32"/>
          <w:szCs w:val="32"/>
        </w:rPr>
        <w:t>0%</w:t>
      </w:r>
      <w:r>
        <w:rPr>
          <w:rFonts w:hint="eastAsia" w:ascii="Times New Roman" w:hAnsi="Times New Roman" w:eastAsia="仿宋_GB2312" w:cs="仿宋_GB2312"/>
          <w:color w:val="auto"/>
          <w:kern w:val="2"/>
          <w:sz w:val="32"/>
          <w:szCs w:val="32"/>
          <w:highlight w:val="none"/>
          <w:lang w:val="en-US" w:eastAsia="zh-CN" w:bidi="ar-SA"/>
        </w:rPr>
        <w:t>。与</w:t>
      </w:r>
      <w:r>
        <w:rPr>
          <w:rFonts w:hint="eastAsia" w:ascii="仿宋" w:hAnsi="仿宋" w:eastAsia="仿宋" w:cs="仿宋"/>
          <w:color w:val="000000"/>
          <w:sz w:val="32"/>
          <w:szCs w:val="32"/>
        </w:rPr>
        <w:t>2023</w:t>
      </w:r>
      <w:r>
        <w:rPr>
          <w:rFonts w:hint="eastAsia" w:ascii="Times New Roman" w:hAnsi="Times New Roman" w:eastAsia="仿宋_GB2312" w:cs="仿宋_GB2312"/>
          <w:color w:val="auto"/>
          <w:kern w:val="2"/>
          <w:sz w:val="32"/>
          <w:szCs w:val="32"/>
          <w:highlight w:val="none"/>
          <w:lang w:val="en-US" w:eastAsia="zh-CN" w:bidi="ar-SA"/>
        </w:rPr>
        <w:t>年度相比，政府性基金预算财政拨款支出</w:t>
      </w:r>
      <w:r>
        <w:rPr>
          <w:rFonts w:hint="eastAsia" w:ascii="仿宋" w:hAnsi="仿宋" w:eastAsia="仿宋" w:cs="仿宋"/>
          <w:color w:val="000000"/>
          <w:sz w:val="32"/>
          <w:szCs w:val="32"/>
        </w:rPr>
        <w:t>增加0</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仿宋" w:hAnsi="仿宋" w:eastAsia="仿宋" w:cs="仿宋"/>
          <w:color w:val="000000"/>
          <w:sz w:val="32"/>
          <w:szCs w:val="32"/>
        </w:rPr>
        <w:t>增长0%。</w:t>
      </w:r>
      <w:r>
        <w:rPr>
          <w:rFonts w:ascii="仿宋" w:hAnsi="仿宋" w:eastAsia="仿宋" w:cs="仿宋"/>
          <w:color w:val="000000"/>
          <w:sz w:val="32"/>
          <w:u w:color="auto"/>
        </w:rPr>
        <w:t xml:space="preserve"> </w:t>
      </w:r>
    </w:p>
    <w:p w14:paraId="79E1D034">
      <w:pPr>
        <w:pStyle w:val="6"/>
        <w:ind w:firstLine="640" w:firstLineChars="200"/>
        <w:rPr>
          <w:rFonts w:hint="eastAsia" w:ascii="黑体" w:hAnsi="黑体" w:eastAsia="黑体" w:cs="黑体"/>
          <w:b w:val="0"/>
          <w:bCs/>
          <w:color w:val="000000"/>
        </w:rPr>
      </w:pPr>
      <w:bookmarkStart w:id="61" w:name="_Toc111208507"/>
      <w:bookmarkStart w:id="62" w:name="_Toc23467"/>
      <w:r>
        <w:rPr>
          <w:rFonts w:hint="eastAsia" w:ascii="黑体" w:hAnsi="黑体" w:eastAsia="黑体" w:cs="黑体"/>
          <w:b w:val="0"/>
          <w:bCs/>
          <w:color w:val="000000"/>
        </w:rPr>
        <w:t>九、国有资本经营预算支出决算情况说明</w:t>
      </w:r>
      <w:bookmarkEnd w:id="60"/>
      <w:bookmarkEnd w:id="61"/>
      <w:bookmarkEnd w:id="62"/>
    </w:p>
    <w:p w14:paraId="19F0375D">
      <w:pPr>
        <w:spacing w:line="600" w:lineRule="exact"/>
        <w:ind w:firstLine="640"/>
        <w:rPr>
          <w:rFonts w:hint="eastAsia" w:ascii="仿宋" w:hAnsi="仿宋" w:eastAsia="仿宋" w:cs="仿宋"/>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国有资本经营预算拨款支出</w:t>
      </w:r>
      <w:r>
        <w:rPr>
          <w:rFonts w:ascii="仿宋" w:hAnsi="仿宋" w:eastAsia="仿宋" w:cs="仿宋"/>
          <w:color w:val="000000"/>
          <w:sz w:val="32"/>
          <w:u w:color="auto"/>
        </w:rPr>
        <w:t>0万元</w:t>
      </w:r>
      <w:r>
        <w:rPr>
          <w:rFonts w:hint="eastAsia" w:ascii="Times New Roman" w:hAnsi="Times New Roman" w:eastAsia="仿宋_GB2312" w:cs="仿宋_GB2312"/>
          <w:color w:val="auto"/>
          <w:kern w:val="2"/>
          <w:sz w:val="32"/>
          <w:szCs w:val="32"/>
          <w:highlight w:val="none"/>
          <w:lang w:val="en-US" w:eastAsia="zh-CN" w:bidi="ar-SA"/>
        </w:rPr>
        <w:t>，占本年支出合计的</w:t>
      </w:r>
      <w:r>
        <w:rPr>
          <w:rFonts w:hint="eastAsia" w:ascii="仿宋" w:hAnsi="仿宋" w:eastAsia="仿宋" w:cs="仿宋"/>
          <w:color w:val="000000"/>
          <w:sz w:val="32"/>
          <w:szCs w:val="32"/>
        </w:rPr>
        <w:t>0%</w:t>
      </w:r>
      <w:r>
        <w:rPr>
          <w:rFonts w:hint="eastAsia" w:ascii="Times New Roman" w:hAnsi="Times New Roman" w:eastAsia="仿宋_GB2312" w:cs="仿宋_GB2312"/>
          <w:color w:val="auto"/>
          <w:kern w:val="2"/>
          <w:sz w:val="32"/>
          <w:szCs w:val="32"/>
          <w:highlight w:val="none"/>
          <w:lang w:val="en-US" w:eastAsia="zh-CN" w:bidi="ar-SA"/>
        </w:rPr>
        <w:t>。与</w:t>
      </w:r>
      <w:r>
        <w:rPr>
          <w:rFonts w:hint="eastAsia" w:ascii="仿宋" w:hAnsi="仿宋" w:eastAsia="仿宋" w:cs="仿宋"/>
          <w:color w:val="000000"/>
          <w:sz w:val="32"/>
          <w:szCs w:val="32"/>
        </w:rPr>
        <w:t>2023</w:t>
      </w:r>
      <w:r>
        <w:rPr>
          <w:rFonts w:hint="eastAsia" w:ascii="Times New Roman" w:hAnsi="Times New Roman" w:eastAsia="仿宋_GB2312" w:cs="仿宋_GB2312"/>
          <w:color w:val="auto"/>
          <w:kern w:val="2"/>
          <w:sz w:val="32"/>
          <w:szCs w:val="32"/>
          <w:highlight w:val="none"/>
          <w:lang w:val="en-US" w:eastAsia="zh-CN" w:bidi="ar-SA"/>
        </w:rPr>
        <w:t>年度相比，政府性基金预算财政拨款支出</w:t>
      </w:r>
      <w:r>
        <w:rPr>
          <w:rFonts w:hint="eastAsia" w:ascii="仿宋" w:hAnsi="仿宋" w:eastAsia="仿宋" w:cs="仿宋"/>
          <w:color w:val="000000"/>
          <w:sz w:val="32"/>
          <w:szCs w:val="32"/>
        </w:rPr>
        <w:t>增加0</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仿宋" w:hAnsi="仿宋" w:eastAsia="仿宋" w:cs="仿宋"/>
          <w:color w:val="000000"/>
          <w:sz w:val="32"/>
          <w:szCs w:val="32"/>
        </w:rPr>
        <w:t>增长0%。</w:t>
      </w:r>
      <w:r>
        <w:rPr>
          <w:rFonts w:ascii="仿宋" w:hAnsi="仿宋" w:eastAsia="仿宋" w:cs="仿宋"/>
          <w:color w:val="000000"/>
          <w:sz w:val="32"/>
          <w:u w:color="auto"/>
        </w:rPr>
        <w:t xml:space="preserve"> </w:t>
      </w:r>
    </w:p>
    <w:p w14:paraId="3A5EDB82">
      <w:pPr>
        <w:spacing w:line="600" w:lineRule="exact"/>
        <w:ind w:firstLine="640"/>
        <w:rPr>
          <w:rFonts w:hint="eastAsia"/>
        </w:rPr>
      </w:pPr>
    </w:p>
    <w:p w14:paraId="76FD0E14">
      <w:pPr>
        <w:pStyle w:val="6"/>
        <w:ind w:firstLine="640" w:firstLineChars="200"/>
        <w:rPr>
          <w:rFonts w:hint="eastAsia" w:ascii="黑体" w:hAnsi="黑体" w:eastAsia="黑体" w:cs="黑体"/>
          <w:b w:val="0"/>
          <w:bCs/>
          <w:color w:val="000000"/>
        </w:rPr>
      </w:pPr>
      <w:bookmarkStart w:id="63" w:name="_Toc111208508"/>
      <w:bookmarkStart w:id="64" w:name="_Toc18455"/>
      <w:bookmarkStart w:id="65" w:name="_Toc15377221"/>
      <w:r>
        <w:rPr>
          <w:rFonts w:hint="eastAsia" w:ascii="黑体" w:hAnsi="黑体" w:eastAsia="黑体" w:cs="黑体"/>
          <w:b w:val="0"/>
          <w:bCs/>
          <w:color w:val="000000"/>
        </w:rPr>
        <w:t>十、其他重要事项的情况说明</w:t>
      </w:r>
      <w:bookmarkEnd w:id="63"/>
      <w:bookmarkEnd w:id="64"/>
      <w:bookmarkEnd w:id="65"/>
    </w:p>
    <w:p w14:paraId="019CBB22">
      <w:pPr>
        <w:spacing w:line="600" w:lineRule="exact"/>
        <w:ind w:firstLine="643" w:firstLineChars="200"/>
        <w:outlineLvl w:val="2"/>
        <w:rPr>
          <w:rFonts w:hint="eastAsia" w:ascii="楷体" w:hAnsi="楷体" w:eastAsia="楷体" w:cs="楷体"/>
          <w:b/>
          <w:color w:val="000000"/>
          <w:sz w:val="32"/>
          <w:szCs w:val="32"/>
        </w:rPr>
      </w:pPr>
      <w:bookmarkStart w:id="66" w:name="_Toc15377222"/>
      <w:r>
        <w:rPr>
          <w:rFonts w:hint="eastAsia" w:ascii="楷体" w:hAnsi="楷体" w:eastAsia="楷体" w:cs="楷体"/>
          <w:b/>
          <w:color w:val="000000"/>
          <w:sz w:val="32"/>
          <w:szCs w:val="32"/>
        </w:rPr>
        <w:t>（一）机关运行经费支出情况</w:t>
      </w:r>
      <w:bookmarkEnd w:id="66"/>
    </w:p>
    <w:p w14:paraId="527675A8">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w:t>
      </w:r>
      <w:r>
        <w:rPr>
          <w:rFonts w:ascii="仿宋" w:hAnsi="仿宋" w:eastAsia="仿宋" w:cs="仿宋"/>
          <w:color w:val="000000"/>
          <w:sz w:val="32"/>
          <w:u w:color="auto"/>
        </w:rPr>
        <w:t xml:space="preserve">金川县河东乡人民政府机关运行经费支出21.11万元，比2023年增加1.16万元，增长5.5%。 </w:t>
      </w:r>
    </w:p>
    <w:p w14:paraId="66094D57">
      <w:pPr>
        <w:spacing w:line="600" w:lineRule="exact"/>
        <w:ind w:firstLine="643" w:firstLineChars="200"/>
        <w:outlineLvl w:val="2"/>
        <w:rPr>
          <w:rFonts w:hint="eastAsia" w:ascii="楷体" w:hAnsi="楷体" w:eastAsia="楷体" w:cs="楷体"/>
          <w:b/>
          <w:color w:val="000000"/>
          <w:sz w:val="32"/>
          <w:szCs w:val="32"/>
        </w:rPr>
      </w:pPr>
      <w:bookmarkStart w:id="67" w:name="_Toc15377223"/>
      <w:r>
        <w:rPr>
          <w:rFonts w:hint="eastAsia" w:ascii="楷体" w:hAnsi="楷体" w:eastAsia="楷体" w:cs="楷体"/>
          <w:b/>
          <w:color w:val="000000"/>
          <w:sz w:val="32"/>
          <w:szCs w:val="32"/>
        </w:rPr>
        <w:t>（二）政府采购支出情况</w:t>
      </w:r>
      <w:bookmarkEnd w:id="67"/>
    </w:p>
    <w:p w14:paraId="2CEFD7AE">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w:t>
      </w:r>
      <w:r>
        <w:rPr>
          <w:rFonts w:ascii="仿宋" w:hAnsi="仿宋" w:eastAsia="仿宋" w:cs="仿宋"/>
          <w:color w:val="000000"/>
          <w:sz w:val="32"/>
          <w:u w:color="auto"/>
        </w:rPr>
        <w:t>金川县河东乡人民政府政府采购支出总额285.86万元，其中：政府采购货物支出0万元、政府采购工程支出285.86万元、政府采购服务支出0万元。授予中小企业合同金额285.86万元，</w:t>
      </w:r>
      <w:r>
        <w:rPr>
          <w:rFonts w:hint="eastAsia" w:ascii="仿宋" w:hAnsi="仿宋" w:eastAsia="仿宋" w:cs="仿宋"/>
          <w:color w:val="000000"/>
          <w:sz w:val="32"/>
          <w:szCs w:val="32"/>
          <w:lang w:val="en-US" w:eastAsia="zh-CN"/>
        </w:rPr>
        <w:t>占政府采购支出总额的</w:t>
      </w:r>
      <w:r>
        <w:rPr>
          <w:rFonts w:ascii="仿宋" w:hAnsi="仿宋" w:eastAsia="仿宋" w:cs="仿宋"/>
          <w:color w:val="000000"/>
          <w:sz w:val="32"/>
          <w:u w:color="auto"/>
        </w:rPr>
        <w:t>100%,</w:t>
      </w:r>
      <w:r>
        <w:rPr>
          <w:rFonts w:hint="eastAsia" w:ascii="仿宋" w:hAnsi="仿宋" w:eastAsia="仿宋" w:cs="仿宋"/>
          <w:color w:val="000000"/>
          <w:sz w:val="32"/>
          <w:szCs w:val="32"/>
        </w:rPr>
        <w:t>其中：授予小微企业合同金额</w:t>
      </w:r>
      <w:r>
        <w:rPr>
          <w:rFonts w:ascii="仿宋" w:hAnsi="仿宋" w:eastAsia="仿宋" w:cs="仿宋"/>
          <w:color w:val="000000"/>
          <w:sz w:val="32"/>
          <w:u w:color="auto"/>
        </w:rPr>
        <w:t>0万元，占</w:t>
      </w:r>
      <w:r>
        <w:rPr>
          <w:rFonts w:hint="eastAsia" w:ascii="仿宋" w:hAnsi="仿宋" w:eastAsia="仿宋" w:cs="仿宋"/>
          <w:color w:val="000000"/>
          <w:sz w:val="32"/>
          <w:szCs w:val="32"/>
          <w:lang w:val="en-US" w:eastAsia="zh-CN"/>
        </w:rPr>
        <w:t>政府采购支出总额</w:t>
      </w:r>
      <w:r>
        <w:rPr>
          <w:rFonts w:hint="eastAsia" w:ascii="仿宋" w:hAnsi="仿宋" w:eastAsia="仿宋" w:cs="仿宋"/>
          <w:color w:val="000000"/>
          <w:sz w:val="32"/>
          <w:szCs w:val="32"/>
        </w:rPr>
        <w:t>的</w:t>
      </w:r>
      <w:r>
        <w:rPr>
          <w:rFonts w:ascii="仿宋" w:hAnsi="仿宋" w:eastAsia="仿宋" w:cs="仿宋"/>
          <w:color w:val="000000"/>
          <w:sz w:val="32"/>
          <w:u w:color="auto"/>
        </w:rPr>
        <w:t>0%。</w:t>
      </w:r>
    </w:p>
    <w:p w14:paraId="12B7C937">
      <w:pPr>
        <w:spacing w:line="600" w:lineRule="exact"/>
        <w:ind w:firstLine="643" w:firstLineChars="200"/>
        <w:outlineLvl w:val="2"/>
        <w:rPr>
          <w:rFonts w:hint="eastAsia" w:ascii="楷体" w:hAnsi="楷体" w:eastAsia="楷体" w:cs="楷体"/>
          <w:b/>
          <w:color w:val="000000"/>
          <w:sz w:val="32"/>
          <w:szCs w:val="32"/>
        </w:rPr>
      </w:pPr>
      <w:bookmarkStart w:id="68" w:name="_Toc15377224"/>
      <w:r>
        <w:rPr>
          <w:rFonts w:hint="eastAsia" w:ascii="楷体" w:hAnsi="楷体" w:eastAsia="楷体" w:cs="楷体"/>
          <w:b/>
          <w:color w:val="000000"/>
          <w:sz w:val="32"/>
          <w:szCs w:val="32"/>
        </w:rPr>
        <w:t>（三）国有资产占有使用情况</w:t>
      </w:r>
      <w:bookmarkEnd w:id="68"/>
    </w:p>
    <w:p w14:paraId="17A0ED70">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截至</w:t>
      </w:r>
      <w:r>
        <w:rPr>
          <w:rFonts w:ascii="仿宋" w:hAnsi="仿宋" w:eastAsia="仿宋" w:cs="仿宋"/>
          <w:color w:val="000000"/>
          <w:sz w:val="32"/>
          <w:u w:color="auto"/>
        </w:rPr>
        <w:t>2024年12月31日，金川县河东乡人民政府共有车辆4辆，其中：主要领导干部用车0辆、机要通信用车0辆、应急保障用车4辆、其他用车0辆。单价100万元以上专用设备</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不含车辆</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0</w:t>
      </w:r>
      <w:r>
        <w:rPr>
          <w:rFonts w:ascii="仿宋" w:hAnsi="仿宋" w:eastAsia="仿宋" w:cs="仿宋"/>
          <w:color w:val="000000"/>
          <w:sz w:val="32"/>
          <w:u w:color="auto"/>
        </w:rPr>
        <w:t>台（套）。</w:t>
      </w:r>
    </w:p>
    <w:p w14:paraId="4EF50863">
      <w:pPr>
        <w:spacing w:line="600" w:lineRule="exact"/>
        <w:ind w:firstLine="643"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（四）预算绩效管理情况</w:t>
      </w:r>
    </w:p>
    <w:p w14:paraId="2D5B2E90">
      <w:pPr>
        <w:spacing w:line="600" w:lineRule="exact"/>
        <w:ind w:firstLine="640" w:firstLineChars="200"/>
        <w:rPr>
          <w:rFonts w:hint="eastAsia" w:ascii="仿宋_GB2312" w:hAnsi="Times New Roman" w:eastAsia="仿宋_GB2312" w:cs="Times New Roman"/>
          <w:color w:val="auto"/>
          <w:sz w:val="32"/>
          <w:szCs w:val="32"/>
          <w:highlight w:val="none"/>
          <w:lang w:val="en-US" w:eastAsia="zh-CN"/>
        </w:rPr>
      </w:pPr>
      <w:r>
        <w:rPr>
          <w:rFonts w:hint="eastAsia" w:ascii="仿宋_GB2312" w:hAnsi="Times New Roman" w:eastAsia="仿宋_GB2312" w:cs="Times New Roman"/>
          <w:color w:val="auto"/>
          <w:sz w:val="32"/>
          <w:szCs w:val="32"/>
          <w:highlight w:val="none"/>
          <w:lang w:eastAsia="zh-CN"/>
        </w:rPr>
        <w:t>根据预算绩效管理要求，本</w:t>
      </w:r>
      <w:r>
        <w:rPr>
          <w:rFonts w:hint="eastAsia" w:ascii="仿宋_GB2312" w:cs="Times New Roman"/>
          <w:color w:val="auto"/>
          <w:sz w:val="32"/>
          <w:szCs w:val="32"/>
          <w:highlight w:val="none"/>
          <w:lang w:val="en-US" w:eastAsia="zh-CN"/>
        </w:rPr>
        <w:t>部门</w:t>
      </w:r>
      <w:r>
        <w:rPr>
          <w:rFonts w:hint="eastAsia" w:ascii="仿宋_GB2312" w:hAnsi="Times New Roman" w:eastAsia="仿宋_GB2312" w:cs="Times New Roman"/>
          <w:color w:val="auto"/>
          <w:sz w:val="32"/>
          <w:szCs w:val="32"/>
          <w:highlight w:val="none"/>
          <w:lang w:eastAsia="zh-CN"/>
        </w:rPr>
        <w:t>在</w:t>
      </w:r>
      <w:r>
        <w:rPr>
          <w:rFonts w:hint="eastAsia" w:ascii="仿宋_GB2312" w:hAnsi="Times New Roman" w:eastAsia="仿宋_GB2312" w:cs="Times New Roman"/>
          <w:color w:val="auto"/>
          <w:sz w:val="32"/>
          <w:szCs w:val="32"/>
          <w:highlight w:val="none"/>
          <w:lang w:val="en-US" w:eastAsia="zh-CN"/>
        </w:rPr>
        <w:t>2024年度</w:t>
      </w:r>
      <w:r>
        <w:rPr>
          <w:rFonts w:hint="eastAsia" w:ascii="仿宋_GB2312" w:hAnsi="Times New Roman" w:eastAsia="仿宋_GB2312" w:cs="Times New Roman"/>
          <w:color w:val="auto"/>
          <w:sz w:val="32"/>
          <w:szCs w:val="32"/>
          <w:highlight w:val="none"/>
          <w:lang w:eastAsia="zh-CN"/>
        </w:rPr>
        <w:t>预算编制阶段，组织对日常公用经费项目等</w:t>
      </w:r>
      <w:r>
        <w:rPr>
          <w:rFonts w:hint="eastAsia" w:ascii="仿宋_GB2312" w:hAnsi="Times New Roman" w:eastAsia="仿宋_GB2312" w:cs="Times New Roman"/>
          <w:color w:val="auto"/>
          <w:sz w:val="32"/>
          <w:szCs w:val="32"/>
          <w:highlight w:val="none"/>
          <w:lang w:val="en-US" w:eastAsia="zh-CN"/>
        </w:rPr>
        <w:t>74个项目</w:t>
      </w:r>
      <w:r>
        <w:rPr>
          <w:rFonts w:hint="eastAsia" w:ascii="仿宋_GB2312" w:hAnsi="Times New Roman" w:eastAsia="仿宋_GB2312" w:cs="Times New Roman"/>
          <w:color w:val="auto"/>
          <w:sz w:val="32"/>
          <w:szCs w:val="32"/>
          <w:highlight w:val="none"/>
          <w:lang w:eastAsia="zh-CN"/>
        </w:rPr>
        <w:t>开展了预算事前绩效评估，对</w:t>
      </w:r>
      <w:r>
        <w:rPr>
          <w:rFonts w:hint="eastAsia" w:ascii="仿宋_GB2312" w:hAnsi="Times New Roman" w:eastAsia="仿宋_GB2312" w:cs="Times New Roman"/>
          <w:color w:val="auto"/>
          <w:sz w:val="32"/>
          <w:szCs w:val="32"/>
          <w:highlight w:val="none"/>
          <w:lang w:val="en-US" w:eastAsia="zh-CN"/>
        </w:rPr>
        <w:t>74</w:t>
      </w:r>
      <w:r>
        <w:rPr>
          <w:rFonts w:hint="eastAsia" w:ascii="仿宋_GB2312" w:hAnsi="Times New Roman" w:eastAsia="仿宋_GB2312" w:cs="Times New Roman"/>
          <w:color w:val="auto"/>
          <w:sz w:val="32"/>
          <w:szCs w:val="32"/>
          <w:highlight w:val="none"/>
          <w:lang w:eastAsia="zh-CN"/>
        </w:rPr>
        <w:t>个项目编制了绩效目标，预算</w:t>
      </w:r>
      <w:bookmarkStart w:id="95" w:name="_GoBack"/>
      <w:bookmarkEnd w:id="95"/>
      <w:r>
        <w:rPr>
          <w:rFonts w:hint="eastAsia" w:ascii="仿宋_GB2312" w:hAnsi="Times New Roman" w:eastAsia="仿宋_GB2312" w:cs="Times New Roman"/>
          <w:color w:val="auto"/>
          <w:sz w:val="32"/>
          <w:szCs w:val="32"/>
          <w:highlight w:val="none"/>
          <w:lang w:eastAsia="zh-CN"/>
        </w:rPr>
        <w:t>执行过程中，选取</w:t>
      </w:r>
      <w:r>
        <w:rPr>
          <w:rFonts w:hint="eastAsia" w:ascii="仿宋_GB2312" w:hAnsi="Times New Roman" w:eastAsia="仿宋_GB2312" w:cs="Times New Roman"/>
          <w:color w:val="auto"/>
          <w:sz w:val="32"/>
          <w:szCs w:val="32"/>
          <w:highlight w:val="none"/>
          <w:lang w:val="en-US" w:eastAsia="zh-CN"/>
        </w:rPr>
        <w:t>74</w:t>
      </w:r>
      <w:r>
        <w:rPr>
          <w:rFonts w:hint="eastAsia" w:ascii="仿宋_GB2312" w:hAnsi="Times New Roman" w:eastAsia="仿宋_GB2312" w:cs="Times New Roman"/>
          <w:color w:val="auto"/>
          <w:sz w:val="32"/>
          <w:szCs w:val="32"/>
          <w:highlight w:val="none"/>
          <w:lang w:eastAsia="zh-CN"/>
        </w:rPr>
        <w:t>个项目开展绩效监控，组织对</w:t>
      </w:r>
      <w:r>
        <w:rPr>
          <w:rFonts w:hint="eastAsia" w:ascii="仿宋_GB2312" w:hAnsi="Times New Roman" w:eastAsia="仿宋_GB2312" w:cs="Times New Roman"/>
          <w:color w:val="auto"/>
          <w:sz w:val="32"/>
          <w:szCs w:val="32"/>
          <w:highlight w:val="none"/>
          <w:lang w:val="en-US" w:eastAsia="zh-CN"/>
        </w:rPr>
        <w:t>74个项目开展绩效自评，绩效自评表详见第四部分附件。</w:t>
      </w:r>
    </w:p>
    <w:p w14:paraId="2F7CD7A7"/>
    <w:p w14:paraId="1F943EA8">
      <w:pPr>
        <w:widowControl/>
        <w:jc w:val="left"/>
        <w:rPr>
          <w:rFonts w:hint="eastAsia" w:ascii="思源黑体 CN Normal" w:hAnsi="思源黑体 CN Normal" w:eastAsia="思源黑体 CN Normal" w:cs="思源黑体 CN Normal"/>
          <w:b/>
          <w:color w:val="000000"/>
          <w:sz w:val="32"/>
          <w:szCs w:val="32"/>
        </w:rPr>
      </w:pPr>
      <w:r>
        <w:rPr>
          <w:rFonts w:hint="eastAsia" w:ascii="思源黑体 CN Normal" w:hAnsi="思源黑体 CN Normal" w:eastAsia="思源黑体 CN Normal" w:cs="思源黑体 CN Normal"/>
          <w:b/>
          <w:color w:val="000000"/>
          <w:sz w:val="32"/>
          <w:szCs w:val="32"/>
        </w:rPr>
        <w:br w:type="page"/>
      </w:r>
    </w:p>
    <w:p w14:paraId="7A1AED01">
      <w:pPr>
        <w:pStyle w:val="5"/>
        <w:jc w:val="center"/>
        <w:rPr>
          <w:rFonts w:hint="eastAsia" w:ascii="黑体" w:hAnsi="黑体" w:eastAsia="黑体" w:cs="黑体"/>
          <w:b w:val="0"/>
          <w:bCs w:val="0"/>
        </w:rPr>
      </w:pPr>
      <w:bookmarkStart w:id="69" w:name="_Toc18122"/>
      <w:bookmarkStart w:id="70" w:name="_Toc15377225"/>
      <w:bookmarkStart w:id="71" w:name="_Toc111208509"/>
      <w:r>
        <w:rPr>
          <w:rFonts w:hint="eastAsia" w:ascii="黑体" w:hAnsi="黑体" w:eastAsia="黑体" w:cs="黑体"/>
          <w:b w:val="0"/>
          <w:bCs w:val="0"/>
        </w:rPr>
        <w:t>第三部分 名词解释</w:t>
      </w:r>
      <w:bookmarkEnd w:id="69"/>
      <w:bookmarkEnd w:id="70"/>
      <w:bookmarkEnd w:id="71"/>
    </w:p>
    <w:p w14:paraId="022F61EC">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1.财政拨款收入：指单位从同级财政部门取得的财政预算资金。</w:t>
      </w:r>
    </w:p>
    <w:p w14:paraId="0CFB8533">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2.事业收入：指事业单位开展专业业务活动及辅助活动取得的收入。</w:t>
      </w:r>
    </w:p>
    <w:p w14:paraId="616A190D">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3.经营收入：指事业单位在专业业务活动及其辅助活动之外开展非独立核算经营活动取得的收入</w:t>
      </w:r>
    </w:p>
    <w:p w14:paraId="3F55D9BE">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4.其他收入：指单位取得的除上述收入以外的各项收入。</w:t>
      </w:r>
    </w:p>
    <w:p w14:paraId="619A9CFE">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5.使用非财政拨款结余（含专用结余）：指事业单位使用以前年度积累的非财政拨款结余弥补当年收支差额的金额。 </w:t>
      </w:r>
    </w:p>
    <w:p w14:paraId="68EE8AD0">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6.年初结转和结余：指以前年度尚未完成、结转到本年按有关规定继续使用的资金。 </w:t>
      </w:r>
    </w:p>
    <w:p w14:paraId="0839DE2D">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7.结余分配：指事业单位按照会计制度规定缴纳的所得税、提取的专用结余以及转入非财政拨款结余的金额等。</w:t>
      </w:r>
    </w:p>
    <w:p w14:paraId="32ED2363">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8.年末结转和结余：指单位按有关规定结转到下年或以后年度继续使用的资金。</w:t>
      </w:r>
    </w:p>
    <w:p w14:paraId="15C4A990">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9.一般公共服务支出（类）人大事务（款）行政运行（项）:反映行政单位（包括实行公务员管理的事业单位）的基本支出。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10.一般公共服务支出（类）人大事务（款）人大会议（项）:反映各级人大召开人民代表大会等专门会议的支出。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11.一般公共服务支出（类）政府办公厅（室）及相关机构事务（款）行政运行（项）:反映行政单位（包括实行公务员管理的事业单位）的基本支出。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12.一般公共服务支出（类）党委办公厅（室）及相关机构事务（款）行政运行（项）:反映行政单位（包括实行公务员管理的事业单位）的基本支出。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13.社会保障和就业支出（类）行政事业单位养老支出（款）机关事业单位基本养老保险缴费支出（项）:反映机关事业单位实施养老保险制度由单位缴纳的基本养老保险费支出。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14.社会保障和就业支出（类）行政事业单位养老支出（款）机关事业单位职业年金缴费支出（项）:反映机关事业单位实施养老保险制度由单位实际缴纳的职业年金支出。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15.卫生健康支出（类）行政事业单位医疗（款）行政单位医疗（项）:反映财政部门安排的行政单位（包括实行公务员管理的事业单位，下同）基本医疗保险缴费经费，未参加医疗保险的行政单位的公费医疗经费，按国家规定享受离休人员、红军老战士待遇人员的医疗经费。</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16.卫生健康支出（类）行政事业单位医疗（款）事业单位医疗（项）:反映财政部门安排的事业单位基本医疗保险缴费经费，未参加医疗保险的事业单位的公费医疗经费，按国家规定享受离休人员待遇的医疗经费。</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17.卫生健康支出（类）行政事业单位医疗（款）公务员医疗补助（项）:反映财政部门安排的公务员医疗补助经费。</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18.卫生健康支出（类）行政事业单位医疗（款）其他行政事业单位医疗支出（项）:反映除上述项目以外的其他用于行政事业单位医疗方面的支出。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19.节能环保支出（类）自然生态保护（款）生态保护（项）:反映用于生态功能区、生态示范区、生态省（市、县）管理及能力建设、日常管护、宣教、试点示范等支出，生态修复支出，资源开发生态监管支出，生态护林员的劳务报酬等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20.农林水支出（类）农业农村（款）事业运行（项）:反映用于农业事业单位基本支出，事业单位设施、系统运行与资产维护等方面的支出。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21.农林水支出（类）巩固脱贫攻坚成果衔接乡村振兴（款）农村基础设施建设（项）:反映用于农村贫困地区乡村道路、住房、基本农田、水利设施、人畜饮水、生态环境保护等生产生活条件改善方面的支出。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22.农林水支出（类）巩固脱贫攻坚成果衔接乡村振兴（款）社会发展（项）:反映用于农村贫困地区中小学教育、文化、广播、电视、医疗、卫生等方面的项目支出。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23.农林水支出（类）巩固脱贫攻坚成果衔接乡村振兴（款）其他巩固脱贫攻坚成果衔接乡村振兴支出（项）:反映除上述项目以外其他用于扶贫方面的支出。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24.农林水支出（类）农村综合改革（款）对村民委员会和村党支部的补助（项）:反映各级财政对村民委员会和村党支部的补助支出，以及支持建立县级基本财力保障机制安排的村级组织运转奖补资金。</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25.交通运输支出（类）公路水路运输（款）其他公路水路运输支出（项）:反映除上述项i以外其他用于公路水路运输方面的支出。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26.住房保障支出（类）住房改革支出（款）住房公积金（项）:反映行政事业单位按人力资源和社会保障部、财政部规定的基本工资和津贴补贴以及规定比例为职工缴纳的住房公积金。</w:t>
      </w:r>
    </w:p>
    <w:p w14:paraId="773E015D">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27</w:t>
      </w:r>
      <w:r>
        <w:rPr>
          <w:rFonts w:ascii="仿宋" w:hAnsi="仿宋" w:eastAsia="仿宋" w:cs="仿宋"/>
          <w:color w:val="000000"/>
          <w:sz w:val="32"/>
          <w:u w:color="auto"/>
        </w:rPr>
        <w:t>.基本支出：指为保障机构正常运转、完成日常工作任务而发生的人员支出和公用支出。</w:t>
      </w:r>
    </w:p>
    <w:p w14:paraId="0010CAE3">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28</w:t>
      </w:r>
      <w:r>
        <w:rPr>
          <w:rFonts w:ascii="仿宋" w:hAnsi="仿宋" w:eastAsia="仿宋" w:cs="仿宋"/>
          <w:color w:val="000000"/>
          <w:sz w:val="32"/>
          <w:u w:color="auto"/>
        </w:rPr>
        <w:t xml:space="preserve">.项目支出：指在基本支出之外为完成特定行政任务和事业发展目标所发生的支出。 </w:t>
      </w:r>
    </w:p>
    <w:p w14:paraId="77C94036">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29</w:t>
      </w:r>
      <w:r>
        <w:rPr>
          <w:rFonts w:ascii="仿宋" w:hAnsi="仿宋" w:eastAsia="仿宋" w:cs="仿宋"/>
          <w:color w:val="000000"/>
          <w:sz w:val="32"/>
          <w:u w:color="auto"/>
        </w:rPr>
        <w:t>.经营支出：指事业单位在专业业务活动及其辅助活动之外开展非独立核算经营活动发生的支出。</w:t>
      </w:r>
    </w:p>
    <w:p w14:paraId="2180527E">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30</w:t>
      </w:r>
      <w:r>
        <w:rPr>
          <w:rFonts w:ascii="仿宋" w:hAnsi="仿宋" w:eastAsia="仿宋" w:cs="仿宋"/>
          <w:color w:val="000000"/>
          <w:sz w:val="32"/>
          <w:u w:color="auto"/>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1F45032">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31</w:t>
      </w:r>
      <w:r>
        <w:rPr>
          <w:rFonts w:ascii="仿宋" w:hAnsi="仿宋" w:eastAsia="仿宋" w:cs="仿宋"/>
          <w:color w:val="000000"/>
          <w:sz w:val="32"/>
          <w:u w:color="auto"/>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E326A87">
      <w:pPr>
        <w:spacing w:line="600" w:lineRule="exact"/>
        <w:ind w:firstLine="640"/>
        <w:rPr>
          <w:rFonts w:hint="eastAsia" w:ascii="仿宋" w:hAnsi="仿宋" w:eastAsia="仿宋" w:cs="仿宋"/>
          <w:sz w:val="32"/>
          <w:szCs w:val="32"/>
        </w:rPr>
      </w:pPr>
      <w:r>
        <w:rPr>
          <w:rFonts w:hint="eastAsia" w:ascii="仿宋" w:hAnsi="仿宋" w:eastAsia="仿宋" w:cs="仿宋"/>
          <w:color w:val="000000"/>
          <w:sz w:val="32"/>
          <w:szCs w:val="32"/>
        </w:rPr>
        <w:t>32</w:t>
      </w:r>
      <w:r>
        <w:rPr>
          <w:rFonts w:ascii="仿宋" w:hAnsi="仿宋" w:eastAsia="仿宋" w:cs="仿宋"/>
          <w:color w:val="000000"/>
          <w:sz w:val="32"/>
          <w:u w:color="auto"/>
        </w:rPr>
        <w:t>.财政应返还额度：为行政事业单位会计核算科目，用于核算实行国库集中支付的行政事业单位应收财政返还的资金额度。</w:t>
      </w:r>
    </w:p>
    <w:p w14:paraId="2D3D8A8E">
      <w:pPr>
        <w:widowControl/>
        <w:jc w:val="left"/>
        <w:rPr>
          <w:rStyle w:val="36"/>
          <w:rFonts w:hint="eastAsia" w:ascii="思源黑体 CN Normal" w:hAnsi="思源黑体 CN Normal" w:eastAsia="思源黑体 CN Normal" w:cs="思源黑体 CN Normal"/>
        </w:rPr>
      </w:pPr>
      <w:r>
        <w:rPr>
          <w:rStyle w:val="36"/>
          <w:rFonts w:hint="eastAsia" w:ascii="思源黑体 CN Normal" w:hAnsi="思源黑体 CN Normal" w:eastAsia="思源黑体 CN Normal" w:cs="思源黑体 CN Normal"/>
        </w:rPr>
        <w:br w:type="page"/>
      </w:r>
    </w:p>
    <w:p w14:paraId="205CBEE7">
      <w:pPr>
        <w:pStyle w:val="5"/>
        <w:jc w:val="center"/>
        <w:rPr>
          <w:rFonts w:hint="eastAsia" w:ascii="Times New Roman" w:hAnsi="Times New Roman" w:eastAsia="方正小标宋_GBK"/>
          <w:sz w:val="44"/>
          <w:szCs w:val="44"/>
          <w:lang w:eastAsia="zh-CN"/>
        </w:rPr>
      </w:pPr>
      <w:bookmarkStart w:id="72" w:name="_Toc25539"/>
      <w:bookmarkStart w:id="73" w:name="_Toc111208510"/>
      <w:r>
        <w:rPr>
          <w:rFonts w:hint="eastAsia" w:ascii="黑体" w:hAnsi="黑体" w:eastAsia="黑体" w:cs="黑体"/>
          <w:b w:val="0"/>
          <w:bCs w:val="0"/>
        </w:rPr>
        <w:t>第四部分 附件</w:t>
      </w:r>
      <w:bookmarkEnd w:id="72"/>
      <w:bookmarkEnd w:id="73"/>
    </w:p>
    <w:p w14:paraId="4B4AC21E">
      <w:pPr>
        <w:keepNext w:val="0"/>
        <w:keepLines w:val="0"/>
        <w:pageBreakBefore w:val="0"/>
        <w:bidi w:val="0"/>
        <w:spacing w:line="560" w:lineRule="exact"/>
        <w:jc w:val="center"/>
        <w:textAlignment w:val="auto"/>
        <w:rPr>
          <w:rFonts w:hint="eastAsia" w:ascii="Times New Roman" w:hAnsi="Times New Roman" w:eastAsia="方正小标宋_GBK"/>
          <w:sz w:val="44"/>
          <w:szCs w:val="44"/>
          <w:lang w:val="en-US" w:eastAsia="zh-CN"/>
        </w:rPr>
      </w:pPr>
      <w:r>
        <w:rPr>
          <w:rFonts w:hint="eastAsia" w:ascii="Times New Roman" w:hAnsi="Times New Roman" w:eastAsia="方正小标宋_GBK"/>
          <w:sz w:val="44"/>
          <w:szCs w:val="44"/>
          <w:lang w:eastAsia="zh-CN"/>
        </w:rPr>
        <w:t>金川</w:t>
      </w:r>
      <w:r>
        <w:rPr>
          <w:rFonts w:hint="eastAsia" w:eastAsia="方正小标宋_GBK"/>
          <w:sz w:val="44"/>
          <w:szCs w:val="44"/>
          <w:lang w:eastAsia="zh-CN"/>
        </w:rPr>
        <w:t>县河东乡人民政府</w:t>
      </w:r>
    </w:p>
    <w:p w14:paraId="3D0D4A22">
      <w:pPr>
        <w:keepNext w:val="0"/>
        <w:keepLines w:val="0"/>
        <w:pageBreakBefore w:val="0"/>
        <w:widowControl/>
        <w:kinsoku/>
        <w:wordWrap/>
        <w:overflowPunct/>
        <w:topLinePunct w:val="0"/>
        <w:autoSpaceDE/>
        <w:autoSpaceDN/>
        <w:bidi w:val="0"/>
        <w:spacing w:line="560" w:lineRule="exact"/>
        <w:contextualSpacing/>
        <w:jc w:val="center"/>
        <w:textAlignment w:val="auto"/>
        <w:outlineLvl w:val="9"/>
        <w:rPr>
          <w:rFonts w:hint="default"/>
        </w:rPr>
      </w:pPr>
      <w:r>
        <w:rPr>
          <w:rFonts w:hint="eastAsia" w:ascii="Times New Roman" w:hAnsi="Times New Roman" w:eastAsia="方正小标宋_GBK"/>
          <w:sz w:val="44"/>
          <w:szCs w:val="44"/>
          <w:lang w:eastAsia="zh-CN"/>
        </w:rPr>
        <w:t>20</w:t>
      </w:r>
      <w:r>
        <w:rPr>
          <w:rFonts w:hint="eastAsia" w:ascii="Times New Roman" w:hAnsi="Times New Roman" w:eastAsia="方正小标宋_GBK"/>
          <w:sz w:val="44"/>
          <w:szCs w:val="44"/>
          <w:lang w:val="en-US" w:eastAsia="zh-CN"/>
        </w:rPr>
        <w:t>2</w:t>
      </w:r>
      <w:r>
        <w:rPr>
          <w:rFonts w:hint="eastAsia" w:eastAsia="方正小标宋_GBK"/>
          <w:sz w:val="44"/>
          <w:szCs w:val="44"/>
          <w:lang w:val="en-US" w:eastAsia="zh-CN"/>
        </w:rPr>
        <w:t>4</w:t>
      </w:r>
      <w:r>
        <w:rPr>
          <w:rFonts w:hint="eastAsia" w:ascii="Times New Roman" w:hAnsi="Times New Roman" w:eastAsia="方正小标宋_GBK"/>
          <w:sz w:val="44"/>
          <w:szCs w:val="44"/>
          <w:lang w:eastAsia="zh-CN"/>
        </w:rPr>
        <w:t>年</w:t>
      </w:r>
      <w:r>
        <w:rPr>
          <w:rFonts w:hint="default" w:ascii="Times New Roman" w:hAnsi="Times New Roman" w:eastAsia="方正小标宋_GBK"/>
          <w:sz w:val="44"/>
          <w:szCs w:val="44"/>
          <w:lang w:eastAsia="zh-CN"/>
        </w:rPr>
        <w:t>部门预算</w:t>
      </w:r>
      <w:r>
        <w:rPr>
          <w:rFonts w:hint="default" w:ascii="Times New Roman" w:hAnsi="Times New Roman" w:eastAsia="方正小标宋_GBK"/>
          <w:sz w:val="44"/>
          <w:szCs w:val="44"/>
        </w:rPr>
        <w:t>绩效</w:t>
      </w:r>
      <w:r>
        <w:rPr>
          <w:rFonts w:hint="eastAsia" w:ascii="Times New Roman" w:hAnsi="Times New Roman" w:eastAsia="方正小标宋_GBK"/>
          <w:sz w:val="44"/>
          <w:szCs w:val="44"/>
          <w:lang w:eastAsia="zh-CN"/>
        </w:rPr>
        <w:t>评价</w:t>
      </w:r>
      <w:r>
        <w:rPr>
          <w:rFonts w:hint="default" w:ascii="Times New Roman" w:hAnsi="Times New Roman" w:eastAsia="方正小标宋_GBK"/>
          <w:sz w:val="44"/>
          <w:szCs w:val="44"/>
        </w:rPr>
        <w:t>报告</w:t>
      </w:r>
    </w:p>
    <w:p w14:paraId="25D48253">
      <w:pPr>
        <w:keepNext w:val="0"/>
        <w:keepLines w:val="0"/>
        <w:pageBreakBefore w:val="0"/>
        <w:bidi w:val="0"/>
        <w:spacing w:line="560" w:lineRule="exact"/>
        <w:textAlignment w:val="auto"/>
        <w:rPr>
          <w:rFonts w:hint="eastAsia" w:ascii="仿宋" w:hAnsi="仿宋" w:eastAsia="仿宋" w:cs="仿宋"/>
          <w:sz w:val="32"/>
          <w:szCs w:val="32"/>
        </w:rPr>
      </w:pPr>
    </w:p>
    <w:p w14:paraId="3AD62FC2">
      <w:pPr>
        <w:keepNext w:val="0"/>
        <w:keepLines w:val="0"/>
        <w:pageBreakBefore w:val="0"/>
        <w:bidi w:val="0"/>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金川县财政局:</w:t>
      </w:r>
    </w:p>
    <w:p w14:paraId="49646D27">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rPr>
      </w:pPr>
      <w:r>
        <w:rPr>
          <w:rFonts w:hint="eastAsia" w:ascii="仿宋" w:hAnsi="仿宋" w:eastAsia="仿宋" w:cs="仿宋"/>
          <w:sz w:val="32"/>
          <w:szCs w:val="32"/>
        </w:rPr>
        <w:t>根据《金川县财政局关于</w:t>
      </w:r>
      <w:r>
        <w:rPr>
          <w:rFonts w:hint="eastAsia" w:ascii="仿宋" w:hAnsi="仿宋" w:eastAsia="仿宋" w:cs="仿宋"/>
          <w:sz w:val="32"/>
          <w:szCs w:val="32"/>
          <w:lang w:val="en-US" w:eastAsia="zh-CN"/>
        </w:rPr>
        <w:t>2024年县级部门绩效自评工作</w:t>
      </w:r>
      <w:r>
        <w:rPr>
          <w:rFonts w:hint="eastAsia" w:ascii="仿宋" w:hAnsi="仿宋" w:eastAsia="仿宋" w:cs="仿宋"/>
          <w:sz w:val="32"/>
          <w:szCs w:val="32"/>
        </w:rPr>
        <w:t>的通知》的通知(金财</w:t>
      </w:r>
      <w:r>
        <w:rPr>
          <w:rFonts w:hint="eastAsia" w:ascii="仿宋" w:hAnsi="仿宋" w:eastAsia="仿宋" w:cs="仿宋"/>
          <w:sz w:val="32"/>
          <w:szCs w:val="32"/>
          <w:lang w:val="en-US" w:eastAsia="zh-CN"/>
        </w:rPr>
        <w:t>监绩</w:t>
      </w:r>
      <w:r>
        <w:rPr>
          <w:rFonts w:hint="eastAsia" w:ascii="仿宋" w:hAnsi="仿宋" w:eastAsia="仿宋" w:cs="仿宋"/>
          <w:sz w:val="32"/>
          <w:szCs w:val="32"/>
        </w:rPr>
        <w:t>〔202</w:t>
      </w:r>
      <w:r>
        <w:rPr>
          <w:rFonts w:hint="eastAsia" w:ascii="仿宋" w:hAnsi="仿宋" w:eastAsia="仿宋" w:cs="仿宋"/>
          <w:sz w:val="32"/>
          <w:szCs w:val="32"/>
          <w:lang w:val="en-US" w:eastAsia="zh-CN"/>
        </w:rPr>
        <w:t>5</w:t>
      </w:r>
      <w:r>
        <w:rPr>
          <w:rFonts w:hint="eastAsia" w:ascii="仿宋" w:hAnsi="仿宋" w:eastAsia="仿宋" w:cs="仿宋"/>
          <w:sz w:val="32"/>
          <w:szCs w:val="32"/>
        </w:rPr>
        <w:t>〕</w:t>
      </w:r>
      <w:r>
        <w:rPr>
          <w:rFonts w:hint="eastAsia" w:ascii="仿宋" w:hAnsi="仿宋" w:eastAsia="仿宋" w:cs="仿宋"/>
          <w:sz w:val="32"/>
          <w:szCs w:val="32"/>
          <w:lang w:val="en-US" w:eastAsia="zh-CN"/>
        </w:rPr>
        <w:t>35</w:t>
      </w:r>
      <w:r>
        <w:rPr>
          <w:rFonts w:hint="eastAsia" w:ascii="仿宋" w:hAnsi="仿宋" w:eastAsia="仿宋" w:cs="仿宋"/>
          <w:sz w:val="32"/>
          <w:szCs w:val="32"/>
        </w:rPr>
        <w:t>号)文件要求，我</w:t>
      </w:r>
      <w:r>
        <w:rPr>
          <w:rFonts w:hint="eastAsia" w:ascii="仿宋" w:hAnsi="仿宋" w:eastAsia="仿宋" w:cs="仿宋"/>
          <w:sz w:val="32"/>
          <w:szCs w:val="32"/>
          <w:lang w:eastAsia="zh-CN"/>
        </w:rPr>
        <w:t>乡</w:t>
      </w:r>
      <w:r>
        <w:rPr>
          <w:rFonts w:hint="eastAsia" w:ascii="仿宋" w:hAnsi="仿宋" w:eastAsia="仿宋" w:cs="仿宋"/>
          <w:sz w:val="32"/>
          <w:szCs w:val="32"/>
        </w:rPr>
        <w:t>高度重视，赓即对</w:t>
      </w:r>
      <w:r>
        <w:rPr>
          <w:rFonts w:hint="eastAsia" w:ascii="仿宋" w:hAnsi="仿宋" w:eastAsia="仿宋" w:cs="仿宋"/>
          <w:sz w:val="32"/>
          <w:szCs w:val="32"/>
          <w:lang w:eastAsia="zh-CN"/>
        </w:rPr>
        <w:t>乡政府20</w:t>
      </w:r>
      <w:r>
        <w:rPr>
          <w:rFonts w:hint="eastAsia" w:ascii="仿宋" w:hAnsi="仿宋" w:eastAsia="仿宋" w:cs="仿宋"/>
          <w:sz w:val="32"/>
          <w:szCs w:val="32"/>
          <w:lang w:val="en-US" w:eastAsia="zh-CN"/>
        </w:rPr>
        <w:t>24</w:t>
      </w:r>
      <w:r>
        <w:rPr>
          <w:rFonts w:hint="eastAsia" w:ascii="仿宋" w:hAnsi="仿宋" w:eastAsia="仿宋" w:cs="仿宋"/>
          <w:sz w:val="32"/>
          <w:szCs w:val="32"/>
          <w:lang w:eastAsia="zh-CN"/>
        </w:rPr>
        <w:t>年</w:t>
      </w:r>
      <w:r>
        <w:rPr>
          <w:rFonts w:hint="default" w:ascii="仿宋" w:hAnsi="仿宋" w:eastAsia="仿宋" w:cs="仿宋"/>
          <w:sz w:val="32"/>
          <w:szCs w:val="32"/>
          <w:lang w:eastAsia="zh-CN"/>
        </w:rPr>
        <w:t>部门预算</w:t>
      </w:r>
      <w:r>
        <w:rPr>
          <w:rFonts w:hint="default" w:ascii="仿宋" w:hAnsi="仿宋" w:eastAsia="仿宋" w:cs="仿宋"/>
          <w:sz w:val="32"/>
          <w:szCs w:val="32"/>
        </w:rPr>
        <w:t>绩效</w:t>
      </w:r>
      <w:r>
        <w:rPr>
          <w:rFonts w:hint="eastAsia" w:ascii="仿宋" w:hAnsi="仿宋" w:eastAsia="仿宋" w:cs="仿宋"/>
          <w:sz w:val="32"/>
          <w:szCs w:val="32"/>
          <w:lang w:val="en-US" w:eastAsia="zh-CN"/>
        </w:rPr>
        <w:t>开展自评工作，</w:t>
      </w:r>
      <w:r>
        <w:rPr>
          <w:rFonts w:hint="eastAsia" w:ascii="仿宋" w:hAnsi="仿宋" w:eastAsia="仿宋" w:cs="仿宋"/>
          <w:sz w:val="32"/>
          <w:szCs w:val="32"/>
          <w:lang w:eastAsia="zh-CN"/>
        </w:rPr>
        <w:t>评价</w:t>
      </w:r>
      <w:r>
        <w:rPr>
          <w:rFonts w:hint="default" w:ascii="仿宋" w:hAnsi="仿宋" w:eastAsia="仿宋" w:cs="仿宋"/>
          <w:sz w:val="32"/>
          <w:szCs w:val="32"/>
        </w:rPr>
        <w:t>报告</w:t>
      </w:r>
      <w:r>
        <w:rPr>
          <w:rFonts w:hint="eastAsia" w:ascii="仿宋" w:hAnsi="仿宋" w:eastAsia="仿宋" w:cs="仿宋"/>
          <w:sz w:val="32"/>
          <w:szCs w:val="32"/>
        </w:rPr>
        <w:t>情况如下。</w:t>
      </w:r>
    </w:p>
    <w:p w14:paraId="34619A69">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ascii="Times New Roman" w:hAnsi="Times New Roman" w:cs="Times New Roman"/>
          <w:szCs w:val="32"/>
        </w:rPr>
      </w:pPr>
      <w:r>
        <w:rPr>
          <w:rFonts w:hint="eastAsia" w:eastAsia="黑体" w:cs="Times New Roman"/>
          <w:color w:val="000000"/>
          <w:kern w:val="0"/>
          <w:szCs w:val="32"/>
          <w:highlight w:val="none"/>
          <w:shd w:val="clear" w:color="auto" w:fill="FFFFFF"/>
          <w:lang w:val="zh-CN"/>
        </w:rPr>
        <w:t>一、</w:t>
      </w:r>
      <w:r>
        <w:rPr>
          <w:rFonts w:hint="default" w:ascii="Times New Roman" w:hAnsi="Times New Roman" w:eastAsia="黑体" w:cs="Times New Roman"/>
          <w:color w:val="000000"/>
          <w:kern w:val="0"/>
          <w:szCs w:val="32"/>
          <w:highlight w:val="none"/>
          <w:shd w:val="clear" w:color="auto" w:fill="FFFFFF"/>
          <w:lang w:val="zh-CN"/>
        </w:rPr>
        <w:t>部门（单位）基本情况</w:t>
      </w:r>
    </w:p>
    <w:p w14:paraId="6A6340F3">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Cs w:val="32"/>
          <w:highlight w:val="none"/>
          <w:shd w:val="clear" w:color="auto" w:fill="FFFFFF"/>
          <w:lang w:val="zh-CN"/>
        </w:rPr>
      </w:pPr>
      <w:r>
        <w:rPr>
          <w:rFonts w:hint="eastAsia" w:eastAsia="楷体_GB2312" w:cs="Times New Roman"/>
          <w:b/>
          <w:bCs/>
          <w:color w:val="000000"/>
          <w:kern w:val="0"/>
          <w:szCs w:val="32"/>
          <w:highlight w:val="none"/>
          <w:shd w:val="clear" w:color="auto" w:fill="FFFFFF"/>
          <w:lang w:val="zh-CN"/>
        </w:rPr>
        <w:t>（一）</w:t>
      </w:r>
      <w:r>
        <w:rPr>
          <w:rFonts w:hint="default" w:ascii="Times New Roman" w:hAnsi="Times New Roman" w:eastAsia="楷体_GB2312" w:cs="Times New Roman"/>
          <w:b/>
          <w:bCs/>
          <w:color w:val="000000"/>
          <w:kern w:val="0"/>
          <w:szCs w:val="32"/>
          <w:highlight w:val="none"/>
          <w:shd w:val="clear" w:color="auto" w:fill="FFFFFF"/>
          <w:lang w:val="zh-CN"/>
        </w:rPr>
        <w:t>机构组成。</w:t>
      </w:r>
    </w:p>
    <w:p w14:paraId="55DC1C3D">
      <w:pPr>
        <w:keepNext w:val="0"/>
        <w:keepLines w:val="0"/>
        <w:pageBreakBefore w:val="0"/>
        <w:widowControl/>
        <w:kinsoku/>
        <w:wordWrap/>
        <w:overflowPunct/>
        <w:topLinePunct w:val="0"/>
        <w:autoSpaceDE/>
        <w:autoSpaceDN/>
        <w:bidi w:val="0"/>
        <w:adjustRightInd w:val="0"/>
        <w:snapToGrid w:val="0"/>
        <w:spacing w:line="560" w:lineRule="exact"/>
        <w:ind w:firstLine="776" w:firstLineChars="200"/>
        <w:contextualSpacing/>
        <w:jc w:val="left"/>
        <w:textAlignment w:val="auto"/>
        <w:outlineLvl w:val="9"/>
        <w:rPr>
          <w:rFonts w:hint="eastAsia" w:ascii="仿宋_GB2312" w:hAnsi="仿宋_GB2312" w:eastAsia="仿宋_GB2312" w:cs="仿宋_GB2312"/>
          <w:spacing w:val="34"/>
          <w:sz w:val="32"/>
          <w:szCs w:val="32"/>
          <w:lang w:val="zh-CN" w:bidi="ar"/>
        </w:rPr>
      </w:pPr>
      <w:r>
        <w:rPr>
          <w:rFonts w:hint="eastAsia" w:ascii="仿宋_GB2312" w:hAnsi="仿宋_GB2312" w:eastAsia="仿宋_GB2312" w:cs="仿宋_GB2312"/>
          <w:spacing w:val="34"/>
          <w:sz w:val="32"/>
          <w:szCs w:val="32"/>
          <w:lang w:val="zh-CN" w:bidi="ar"/>
        </w:rPr>
        <w:t>本部门预算单位</w:t>
      </w:r>
      <w:r>
        <w:rPr>
          <w:rFonts w:hint="eastAsia" w:ascii="仿宋_GB2312" w:hAnsi="仿宋_GB2312" w:eastAsia="仿宋_GB2312" w:cs="仿宋_GB2312"/>
          <w:spacing w:val="34"/>
          <w:sz w:val="32"/>
          <w:szCs w:val="32"/>
          <w:lang w:val="en-US" w:eastAsia="zh-CN" w:bidi="ar"/>
        </w:rPr>
        <w:t>1</w:t>
      </w:r>
      <w:r>
        <w:rPr>
          <w:rFonts w:hint="eastAsia" w:ascii="仿宋_GB2312" w:hAnsi="仿宋_GB2312" w:eastAsia="仿宋_GB2312" w:cs="仿宋_GB2312"/>
          <w:spacing w:val="34"/>
          <w:sz w:val="32"/>
          <w:szCs w:val="32"/>
          <w:lang w:val="zh-CN" w:bidi="ar"/>
        </w:rPr>
        <w:t>个，其中内设机构</w:t>
      </w:r>
      <w:r>
        <w:rPr>
          <w:rFonts w:hint="eastAsia" w:ascii="仿宋_GB2312" w:hAnsi="仿宋_GB2312" w:cs="仿宋_GB2312"/>
          <w:spacing w:val="34"/>
          <w:sz w:val="32"/>
          <w:szCs w:val="32"/>
          <w:lang w:val="en-US" w:eastAsia="zh-CN" w:bidi="ar"/>
        </w:rPr>
        <w:t>4</w:t>
      </w:r>
      <w:r>
        <w:rPr>
          <w:rFonts w:hint="eastAsia" w:ascii="仿宋_GB2312" w:hAnsi="仿宋_GB2312" w:eastAsia="仿宋_GB2312" w:cs="仿宋_GB2312"/>
          <w:spacing w:val="34"/>
          <w:sz w:val="32"/>
          <w:szCs w:val="32"/>
          <w:lang w:val="zh-CN" w:bidi="ar"/>
        </w:rPr>
        <w:t>个，分别是</w:t>
      </w:r>
      <w:r>
        <w:rPr>
          <w:rFonts w:hint="eastAsia" w:ascii="仿宋_GB2312" w:hAnsi="仿宋_GB2312" w:cs="仿宋_GB2312"/>
          <w:spacing w:val="34"/>
          <w:sz w:val="32"/>
          <w:szCs w:val="32"/>
          <w:lang w:val="zh-CN" w:bidi="ar"/>
        </w:rPr>
        <w:t>金川县河东乡人民政府办公室、河东乡党委办公室、河东乡人大办公室、河东乡综合服务中心。</w:t>
      </w:r>
    </w:p>
    <w:p w14:paraId="2E9B87F7">
      <w:pPr>
        <w:keepNext w:val="0"/>
        <w:keepLines w:val="0"/>
        <w:pageBreakBefore w:val="0"/>
        <w:widowControl/>
        <w:numPr>
          <w:ilvl w:val="0"/>
          <w:numId w:val="0"/>
        </w:numPr>
        <w:kinsoku w:val="0"/>
        <w:wordWrap/>
        <w:overflowPunct w:val="0"/>
        <w:topLinePunct w:val="0"/>
        <w:autoSpaceDE w:val="0"/>
        <w:autoSpaceDN w:val="0"/>
        <w:bidi w:val="0"/>
        <w:adjustRightInd/>
        <w:snapToGrid/>
        <w:spacing w:line="560" w:lineRule="exact"/>
        <w:ind w:firstLine="643" w:firstLineChars="200"/>
        <w:jc w:val="left"/>
        <w:textAlignment w:val="auto"/>
        <w:rPr>
          <w:rFonts w:hint="eastAsia" w:eastAsia="楷体_GB2312" w:cs="Times New Roman"/>
          <w:b/>
          <w:bCs/>
          <w:color w:val="000000"/>
          <w:kern w:val="0"/>
          <w:szCs w:val="32"/>
          <w:highlight w:val="none"/>
          <w:shd w:val="clear" w:color="auto" w:fill="FFFFFF"/>
          <w:lang w:val="zh-CN"/>
        </w:rPr>
      </w:pPr>
      <w:r>
        <w:rPr>
          <w:rFonts w:hint="eastAsia" w:eastAsia="楷体_GB2312" w:cs="Times New Roman"/>
          <w:b/>
          <w:bCs/>
          <w:color w:val="000000"/>
          <w:kern w:val="0"/>
          <w:szCs w:val="32"/>
          <w:highlight w:val="none"/>
          <w:shd w:val="clear" w:color="auto" w:fill="FFFFFF"/>
          <w:lang w:val="zh-CN"/>
        </w:rPr>
        <w:t>（</w:t>
      </w:r>
      <w:r>
        <w:rPr>
          <w:rFonts w:hint="eastAsia" w:eastAsia="楷体_GB2312" w:cs="Times New Roman"/>
          <w:b/>
          <w:bCs/>
          <w:color w:val="000000"/>
          <w:kern w:val="0"/>
          <w:szCs w:val="32"/>
          <w:highlight w:val="none"/>
          <w:shd w:val="clear" w:color="auto" w:fill="FFFFFF"/>
          <w:lang w:val="en-US" w:eastAsia="zh-CN"/>
        </w:rPr>
        <w:t>二</w:t>
      </w:r>
      <w:r>
        <w:rPr>
          <w:rFonts w:hint="eastAsia" w:eastAsia="楷体_GB2312" w:cs="Times New Roman"/>
          <w:b/>
          <w:bCs/>
          <w:color w:val="000000"/>
          <w:kern w:val="0"/>
          <w:szCs w:val="32"/>
          <w:highlight w:val="none"/>
          <w:shd w:val="clear" w:color="auto" w:fill="FFFFFF"/>
          <w:lang w:val="zh-CN"/>
        </w:rPr>
        <w:t>）</w:t>
      </w:r>
      <w:r>
        <w:rPr>
          <w:rFonts w:hint="default" w:ascii="Times New Roman" w:hAnsi="Times New Roman" w:eastAsia="楷体_GB2312" w:cs="Times New Roman"/>
          <w:b/>
          <w:bCs/>
          <w:color w:val="000000"/>
          <w:kern w:val="0"/>
          <w:szCs w:val="32"/>
          <w:highlight w:val="none"/>
          <w:shd w:val="clear" w:color="auto" w:fill="FFFFFF"/>
          <w:lang w:val="zh-CN"/>
        </w:rPr>
        <w:t>机构职能</w:t>
      </w:r>
      <w:r>
        <w:rPr>
          <w:rFonts w:hint="eastAsia" w:eastAsia="楷体_GB2312" w:cs="Times New Roman"/>
          <w:b/>
          <w:bCs/>
          <w:color w:val="000000"/>
          <w:kern w:val="0"/>
          <w:szCs w:val="32"/>
          <w:highlight w:val="none"/>
          <w:shd w:val="clear" w:color="auto" w:fill="FFFFFF"/>
          <w:lang w:val="zh-CN"/>
        </w:rPr>
        <w:t>。</w:t>
      </w:r>
    </w:p>
    <w:p w14:paraId="4B44F7CA">
      <w:pPr>
        <w:snapToGrid w:val="0"/>
        <w:ind w:firstLine="776" w:firstLineChars="200"/>
        <w:rPr>
          <w:rFonts w:ascii="仿宋_GB2312" w:eastAsia="仿宋_GB2312"/>
          <w:bCs/>
          <w:sz w:val="32"/>
        </w:rPr>
      </w:pPr>
      <w:r>
        <w:rPr>
          <w:rFonts w:hint="eastAsia" w:ascii="仿宋_GB2312" w:hAnsi="仿宋_GB2312" w:eastAsia="仿宋_GB2312" w:cs="仿宋_GB2312"/>
          <w:spacing w:val="34"/>
          <w:sz w:val="32"/>
          <w:szCs w:val="32"/>
          <w:lang w:val="zh-CN" w:bidi="ar"/>
        </w:rPr>
        <w:t xml:space="preserve"> </w:t>
      </w:r>
      <w:bookmarkStart w:id="74" w:name="OLE_LINK6"/>
      <w:r>
        <w:rPr>
          <w:rFonts w:hint="eastAsia" w:ascii="仿宋_GB2312" w:hAnsi="宋体" w:eastAsia="仿宋_GB2312" w:cs="宋体"/>
          <w:kern w:val="0"/>
          <w:sz w:val="32"/>
          <w:szCs w:val="32"/>
        </w:rPr>
        <w:t>根据金川府发﹝2009﹞2号文件规定，主要职责是：</w:t>
      </w:r>
    </w:p>
    <w:p w14:paraId="396220EA">
      <w:pPr>
        <w:numPr>
          <w:ilvl w:val="0"/>
          <w:numId w:val="1"/>
        </w:numPr>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xml:space="preserve">、制定和组织实施经济、科技和社会发展计划，制定资源开发技术改造和产业结构调整方案，组织指导好各业生产，搞好商品流通，协调好本乡与外地区的经济交流与合作，抓好招商引资，人才引进项目开发，不断培育市场体系，保护各种经济组织的合法权益，组织经济运行，促进经济发展。 </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xml:space="preserve">    （2）、制定并组织实施村镇建设规划，部署重点工程建设，地方道路建设及公共设施，水利设施的管理，负责土地、林木、水等自然资源和生态环境的保护，做好护林防火工作。 </w:t>
      </w:r>
    </w:p>
    <w:p w14:paraId="303B1822">
      <w:pPr>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xml:space="preserve">（3）、负责本行政区域内的民政、计划生育、文化教育、卫生、体育等社会公益事业的综合性工作，维护一切经济单位和个人的正当经济权益，取缔非法经济活动，调解和处理民事纠纷，打击刑事犯罪维护社会稳定。 </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xml:space="preserve">    （4）、按计划组织本级财政收入和地方税的征收，完成国家财政计划，不断培植税源，管好财政资金，增强财政实力。 </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xml:space="preserve">   （5）、抓好精神文明建设，丰富群众文化生活，提倡移风易俗，反对封建迷信，破除陈规陋习，树立社会主义新风尚。 </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xml:space="preserve">   （6）、完成上级政府交办的其它事项。</w:t>
      </w:r>
    </w:p>
    <w:p w14:paraId="5A5F8313">
      <w:pPr>
        <w:spacing w:line="560" w:lineRule="exac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xml:space="preserve">   （7）、执行本级人民代表大会的决议和上级国家行政机关的决定和命令，发布决定和命令。</w:t>
      </w:r>
    </w:p>
    <w:p w14:paraId="139A37CF">
      <w:pPr>
        <w:spacing w:line="560" w:lineRule="exac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（8）、保护社会主义的全民所有的财产和劳动群众集体所有的财产，保护公民私人所有的合法财产，维护社会秩序，保障公民的人身权利、民主权利和其他权利。</w:t>
      </w:r>
    </w:p>
    <w:bookmarkEnd w:id="74"/>
    <w:p w14:paraId="6D0043BE">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Cs w:val="32"/>
          <w:highlight w:val="none"/>
          <w:shd w:val="clear" w:color="auto" w:fill="FFFFFF"/>
          <w:lang w:val="zh-CN"/>
        </w:rPr>
      </w:pPr>
    </w:p>
    <w:p w14:paraId="51A0E4B0">
      <w:pPr>
        <w:keepNext w:val="0"/>
        <w:keepLines w:val="0"/>
        <w:pageBreakBefore w:val="0"/>
        <w:kinsoku/>
        <w:wordWrap w:val="0"/>
        <w:overflowPunct/>
        <w:autoSpaceDE/>
        <w:autoSpaceDN/>
        <w:bidi w:val="0"/>
        <w:spacing w:line="560" w:lineRule="exact"/>
        <w:ind w:firstLine="643" w:firstLineChars="200"/>
        <w:jc w:val="left"/>
        <w:textAlignment w:val="auto"/>
        <w:rPr>
          <w:rFonts w:hint="eastAsia" w:eastAsia="楷体_GB2312" w:cs="Times New Roman"/>
          <w:b/>
          <w:bCs/>
          <w:color w:val="000000"/>
          <w:kern w:val="0"/>
          <w:szCs w:val="32"/>
          <w:highlight w:val="none"/>
          <w:shd w:val="clear" w:color="auto" w:fill="FFFFFF"/>
          <w:lang w:val="zh-CN"/>
        </w:rPr>
      </w:pPr>
      <w:r>
        <w:rPr>
          <w:rFonts w:hint="default" w:ascii="Times New Roman" w:hAnsi="Times New Roman" w:eastAsia="楷体_GB2312" w:cs="Times New Roman"/>
          <w:b/>
          <w:bCs/>
          <w:color w:val="000000"/>
          <w:kern w:val="0"/>
          <w:szCs w:val="32"/>
          <w:highlight w:val="none"/>
          <w:shd w:val="clear" w:color="auto" w:fill="FFFFFF"/>
          <w:lang w:val="zh-CN"/>
        </w:rPr>
        <w:t>（</w:t>
      </w:r>
      <w:r>
        <w:rPr>
          <w:rFonts w:hint="eastAsia" w:eastAsia="楷体_GB2312" w:cs="Times New Roman"/>
          <w:b/>
          <w:bCs/>
          <w:color w:val="000000"/>
          <w:kern w:val="0"/>
          <w:szCs w:val="32"/>
          <w:highlight w:val="none"/>
          <w:shd w:val="clear" w:color="auto" w:fill="FFFFFF"/>
          <w:lang w:val="zh-CN"/>
        </w:rPr>
        <w:t>三</w:t>
      </w:r>
      <w:r>
        <w:rPr>
          <w:rFonts w:hint="default" w:ascii="Times New Roman" w:hAnsi="Times New Roman" w:eastAsia="楷体_GB2312" w:cs="Times New Roman"/>
          <w:b/>
          <w:bCs/>
          <w:color w:val="000000"/>
          <w:kern w:val="0"/>
          <w:szCs w:val="32"/>
          <w:highlight w:val="none"/>
          <w:shd w:val="clear" w:color="auto" w:fill="FFFFFF"/>
          <w:lang w:val="zh-CN"/>
        </w:rPr>
        <w:t>）人员概况</w:t>
      </w:r>
      <w:r>
        <w:rPr>
          <w:rFonts w:hint="eastAsia" w:eastAsia="楷体_GB2312" w:cs="Times New Roman"/>
          <w:b/>
          <w:bCs/>
          <w:color w:val="000000"/>
          <w:kern w:val="0"/>
          <w:szCs w:val="32"/>
          <w:highlight w:val="none"/>
          <w:shd w:val="clear" w:color="auto" w:fill="FFFFFF"/>
          <w:lang w:val="zh-CN"/>
        </w:rPr>
        <w:t>。</w:t>
      </w:r>
    </w:p>
    <w:p w14:paraId="49A31910">
      <w:pPr>
        <w:keepNext w:val="0"/>
        <w:keepLines w:val="0"/>
        <w:pageBreakBefore w:val="0"/>
        <w:kinsoku/>
        <w:wordWrap w:val="0"/>
        <w:overflowPunct/>
        <w:autoSpaceDE/>
        <w:autoSpaceDN/>
        <w:bidi w:val="0"/>
        <w:spacing w:line="560" w:lineRule="exact"/>
        <w:ind w:firstLine="640" w:firstLineChars="200"/>
        <w:jc w:val="left"/>
        <w:textAlignment w:val="auto"/>
        <w:rPr>
          <w:rFonts w:hint="default" w:ascii="Times New Roman" w:hAnsi="Times New Roman" w:cs="Times New Roman"/>
          <w:szCs w:val="32"/>
          <w:highlight w:val="none"/>
        </w:rPr>
      </w:pPr>
      <w:r>
        <w:rPr>
          <w:rFonts w:hint="default" w:ascii="Times New Roman" w:hAnsi="Times New Roman" w:cs="Times New Roman"/>
          <w:szCs w:val="32"/>
          <w:highlight w:val="none"/>
        </w:rPr>
        <w:t>截至202</w:t>
      </w:r>
      <w:r>
        <w:rPr>
          <w:rFonts w:hint="eastAsia" w:cs="Times New Roman"/>
          <w:szCs w:val="32"/>
          <w:highlight w:val="none"/>
          <w:lang w:val="en-US" w:eastAsia="zh-CN"/>
        </w:rPr>
        <w:t>4</w:t>
      </w:r>
      <w:r>
        <w:rPr>
          <w:rFonts w:hint="default" w:ascii="Times New Roman" w:hAnsi="Times New Roman" w:cs="Times New Roman"/>
          <w:szCs w:val="32"/>
          <w:highlight w:val="none"/>
        </w:rPr>
        <w:t>年末，</w:t>
      </w:r>
      <w:r>
        <w:rPr>
          <w:rFonts w:hint="eastAsia" w:cs="Times New Roman"/>
          <w:szCs w:val="32"/>
          <w:highlight w:val="none"/>
          <w:lang w:eastAsia="zh-CN"/>
        </w:rPr>
        <w:t>金川县河东乡人民政府</w:t>
      </w:r>
      <w:r>
        <w:rPr>
          <w:rFonts w:hint="eastAsia" w:ascii="仿宋_GB2312" w:hAnsi="仿宋_GB2312" w:eastAsia="仿宋_GB2312" w:cs="仿宋_GB2312"/>
          <w:sz w:val="32"/>
          <w:szCs w:val="32"/>
          <w:highlight w:val="none"/>
        </w:rPr>
        <w:t>只有一个行政核算机构。</w:t>
      </w:r>
      <w:r>
        <w:rPr>
          <w:rFonts w:hint="eastAsia" w:ascii="仿宋_GB2312" w:hAnsi="仿宋_GB2312" w:eastAsia="仿宋_GB2312" w:cs="仿宋_GB2312"/>
          <w:color w:val="auto"/>
          <w:spacing w:val="34"/>
          <w:sz w:val="32"/>
          <w:szCs w:val="32"/>
          <w:highlight w:val="none"/>
          <w:lang w:val="zh-CN" w:eastAsia="zh-CN" w:bidi="ar"/>
        </w:rPr>
        <w:t>单位编制数</w:t>
      </w:r>
      <w:r>
        <w:rPr>
          <w:rFonts w:hint="eastAsia" w:ascii="仿宋_GB2312" w:hAnsi="仿宋_GB2312" w:cs="仿宋_GB2312"/>
          <w:color w:val="auto"/>
          <w:spacing w:val="34"/>
          <w:sz w:val="32"/>
          <w:szCs w:val="32"/>
          <w:highlight w:val="none"/>
          <w:lang w:val="en-US" w:eastAsia="zh-CN" w:bidi="ar"/>
        </w:rPr>
        <w:t>30</w:t>
      </w:r>
      <w:r>
        <w:rPr>
          <w:rFonts w:hint="eastAsia" w:ascii="仿宋_GB2312" w:hAnsi="仿宋_GB2312" w:eastAsia="仿宋_GB2312" w:cs="仿宋_GB2312"/>
          <w:color w:val="auto"/>
          <w:spacing w:val="34"/>
          <w:sz w:val="32"/>
          <w:szCs w:val="32"/>
          <w:highlight w:val="none"/>
          <w:lang w:val="zh-CN" w:eastAsia="zh-CN" w:bidi="ar"/>
        </w:rPr>
        <w:t>个，其中：公务员编制</w:t>
      </w:r>
      <w:r>
        <w:rPr>
          <w:rFonts w:hint="eastAsia" w:ascii="仿宋_GB2312" w:hAnsi="仿宋_GB2312" w:cs="仿宋_GB2312"/>
          <w:color w:val="auto"/>
          <w:spacing w:val="34"/>
          <w:sz w:val="32"/>
          <w:szCs w:val="32"/>
          <w:highlight w:val="none"/>
          <w:lang w:val="en-US" w:eastAsia="zh-CN" w:bidi="ar"/>
        </w:rPr>
        <w:t>16</w:t>
      </w:r>
      <w:r>
        <w:rPr>
          <w:rFonts w:hint="eastAsia" w:ascii="仿宋_GB2312" w:hAnsi="仿宋_GB2312" w:eastAsia="仿宋_GB2312" w:cs="仿宋_GB2312"/>
          <w:color w:val="auto"/>
          <w:spacing w:val="34"/>
          <w:sz w:val="32"/>
          <w:szCs w:val="32"/>
          <w:highlight w:val="none"/>
          <w:lang w:val="en-US" w:eastAsia="zh-CN" w:bidi="ar"/>
        </w:rPr>
        <w:t>个</w:t>
      </w:r>
      <w:r>
        <w:rPr>
          <w:rFonts w:hint="eastAsia" w:ascii="仿宋_GB2312" w:hAnsi="仿宋_GB2312" w:eastAsia="仿宋_GB2312" w:cs="仿宋_GB2312"/>
          <w:color w:val="auto"/>
          <w:spacing w:val="34"/>
          <w:sz w:val="32"/>
          <w:szCs w:val="32"/>
          <w:highlight w:val="none"/>
          <w:lang w:val="zh-CN" w:eastAsia="zh-CN" w:bidi="ar"/>
        </w:rPr>
        <w:t>、行政工勤编制</w:t>
      </w:r>
      <w:r>
        <w:rPr>
          <w:rFonts w:hint="eastAsia" w:ascii="仿宋_GB2312" w:hAnsi="仿宋_GB2312" w:cs="仿宋_GB2312"/>
          <w:color w:val="auto"/>
          <w:spacing w:val="34"/>
          <w:sz w:val="32"/>
          <w:szCs w:val="32"/>
          <w:highlight w:val="none"/>
          <w:lang w:val="en-US" w:eastAsia="zh-CN" w:bidi="ar"/>
        </w:rPr>
        <w:t>2</w:t>
      </w:r>
      <w:r>
        <w:rPr>
          <w:rFonts w:hint="eastAsia" w:ascii="仿宋_GB2312" w:hAnsi="仿宋_GB2312" w:eastAsia="仿宋_GB2312" w:cs="仿宋_GB2312"/>
          <w:color w:val="auto"/>
          <w:spacing w:val="34"/>
          <w:sz w:val="32"/>
          <w:szCs w:val="32"/>
          <w:highlight w:val="none"/>
          <w:lang w:val="zh-CN" w:eastAsia="zh-CN" w:bidi="ar"/>
        </w:rPr>
        <w:t>个，</w:t>
      </w:r>
      <w:r>
        <w:rPr>
          <w:rFonts w:hint="eastAsia" w:ascii="仿宋_GB2312" w:hAnsi="仿宋_GB2312" w:eastAsia="仿宋_GB2312" w:cs="仿宋_GB2312"/>
          <w:sz w:val="32"/>
          <w:szCs w:val="32"/>
          <w:highlight w:val="none"/>
        </w:rPr>
        <w:t>事业编制</w:t>
      </w:r>
      <w:r>
        <w:rPr>
          <w:rFonts w:hint="eastAsia" w:ascii="仿宋_GB2312" w:hAnsi="仿宋_GB2312" w:cs="仿宋_GB2312"/>
          <w:sz w:val="32"/>
          <w:szCs w:val="32"/>
          <w:highlight w:val="none"/>
          <w:lang w:val="en-US" w:eastAsia="zh-CN"/>
        </w:rPr>
        <w:t>12</w:t>
      </w:r>
      <w:r>
        <w:rPr>
          <w:rFonts w:hint="eastAsia" w:ascii="仿宋_GB2312" w:hAnsi="仿宋_GB2312" w:eastAsia="仿宋_GB2312" w:cs="仿宋_GB2312"/>
          <w:sz w:val="32"/>
          <w:szCs w:val="32"/>
          <w:highlight w:val="none"/>
        </w:rPr>
        <w:t>名</w:t>
      </w:r>
      <w:r>
        <w:rPr>
          <w:rFonts w:hint="eastAsia" w:ascii="仿宋_GB2312" w:hAnsi="仿宋_GB2312" w:eastAsia="仿宋_GB2312" w:cs="仿宋_GB2312"/>
          <w:color w:val="auto"/>
          <w:spacing w:val="34"/>
          <w:sz w:val="32"/>
          <w:szCs w:val="32"/>
          <w:highlight w:val="none"/>
          <w:lang w:val="zh-CN" w:eastAsia="zh-CN" w:bidi="ar"/>
        </w:rPr>
        <w:t>。截止20</w:t>
      </w:r>
      <w:r>
        <w:rPr>
          <w:rFonts w:hint="eastAsia" w:ascii="仿宋_GB2312" w:hAnsi="仿宋_GB2312" w:eastAsia="仿宋_GB2312" w:cs="仿宋_GB2312"/>
          <w:color w:val="auto"/>
          <w:spacing w:val="34"/>
          <w:sz w:val="32"/>
          <w:szCs w:val="32"/>
          <w:highlight w:val="none"/>
          <w:lang w:val="en-US" w:eastAsia="zh-CN" w:bidi="ar"/>
        </w:rPr>
        <w:t>2</w:t>
      </w:r>
      <w:r>
        <w:rPr>
          <w:rFonts w:hint="eastAsia" w:ascii="仿宋_GB2312" w:hAnsi="仿宋_GB2312" w:cs="仿宋_GB2312"/>
          <w:color w:val="auto"/>
          <w:spacing w:val="34"/>
          <w:sz w:val="32"/>
          <w:szCs w:val="32"/>
          <w:highlight w:val="none"/>
          <w:lang w:val="en-US" w:eastAsia="zh-CN" w:bidi="ar"/>
        </w:rPr>
        <w:t>4</w:t>
      </w:r>
      <w:r>
        <w:rPr>
          <w:rFonts w:hint="eastAsia" w:ascii="仿宋_GB2312" w:hAnsi="仿宋_GB2312" w:eastAsia="仿宋_GB2312" w:cs="仿宋_GB2312"/>
          <w:color w:val="auto"/>
          <w:spacing w:val="34"/>
          <w:sz w:val="32"/>
          <w:szCs w:val="32"/>
          <w:highlight w:val="none"/>
          <w:lang w:val="zh-CN" w:eastAsia="zh-CN" w:bidi="ar"/>
        </w:rPr>
        <w:t>年</w:t>
      </w:r>
      <w:r>
        <w:rPr>
          <w:rFonts w:hint="eastAsia" w:ascii="仿宋_GB2312" w:hAnsi="仿宋_GB2312" w:eastAsia="仿宋_GB2312" w:cs="仿宋_GB2312"/>
          <w:color w:val="auto"/>
          <w:spacing w:val="34"/>
          <w:sz w:val="32"/>
          <w:szCs w:val="32"/>
          <w:highlight w:val="none"/>
          <w:lang w:val="en-US" w:eastAsia="zh-CN" w:bidi="ar"/>
        </w:rPr>
        <w:t>12月</w:t>
      </w:r>
      <w:r>
        <w:rPr>
          <w:rFonts w:hint="eastAsia" w:ascii="仿宋_GB2312" w:hAnsi="仿宋_GB2312" w:eastAsia="仿宋_GB2312" w:cs="仿宋_GB2312"/>
          <w:color w:val="auto"/>
          <w:spacing w:val="34"/>
          <w:sz w:val="32"/>
          <w:szCs w:val="32"/>
          <w:highlight w:val="none"/>
          <w:lang w:val="zh-CN" w:eastAsia="zh-CN" w:bidi="ar"/>
        </w:rPr>
        <w:t>，单位实有人数</w:t>
      </w:r>
      <w:r>
        <w:rPr>
          <w:rFonts w:hint="eastAsia" w:ascii="仿宋_GB2312" w:hAnsi="仿宋_GB2312" w:cs="仿宋_GB2312"/>
          <w:color w:val="auto"/>
          <w:spacing w:val="34"/>
          <w:sz w:val="32"/>
          <w:szCs w:val="32"/>
          <w:highlight w:val="none"/>
          <w:lang w:val="en-US" w:eastAsia="zh-CN" w:bidi="ar"/>
        </w:rPr>
        <w:t>30</w:t>
      </w:r>
      <w:r>
        <w:rPr>
          <w:rFonts w:hint="eastAsia" w:ascii="仿宋_GB2312" w:hAnsi="仿宋_GB2312" w:eastAsia="仿宋_GB2312" w:cs="仿宋_GB2312"/>
          <w:color w:val="auto"/>
          <w:spacing w:val="34"/>
          <w:sz w:val="32"/>
          <w:szCs w:val="32"/>
          <w:highlight w:val="none"/>
          <w:lang w:val="zh-CN" w:eastAsia="zh-CN" w:bidi="ar"/>
        </w:rPr>
        <w:t>人，其中：在职人</w:t>
      </w:r>
      <w:r>
        <w:rPr>
          <w:rFonts w:hint="eastAsia" w:ascii="仿宋_GB2312" w:hAnsi="仿宋_GB2312" w:cs="仿宋_GB2312"/>
          <w:color w:val="auto"/>
          <w:spacing w:val="34"/>
          <w:sz w:val="32"/>
          <w:szCs w:val="32"/>
          <w:highlight w:val="none"/>
          <w:lang w:val="en-US" w:eastAsia="zh-CN" w:bidi="ar"/>
        </w:rPr>
        <w:t>数</w:t>
      </w:r>
      <w:r>
        <w:rPr>
          <w:rFonts w:hint="eastAsia" w:ascii="仿宋_GB2312" w:hAnsi="仿宋_GB2312" w:eastAsia="仿宋_GB2312" w:cs="仿宋_GB2312"/>
          <w:color w:val="auto"/>
          <w:spacing w:val="34"/>
          <w:sz w:val="32"/>
          <w:szCs w:val="32"/>
          <w:highlight w:val="none"/>
          <w:lang w:val="zh-CN" w:eastAsia="zh-CN" w:bidi="ar"/>
        </w:rPr>
        <w:t>（公务员</w:t>
      </w:r>
      <w:r>
        <w:rPr>
          <w:rFonts w:hint="eastAsia" w:ascii="仿宋_GB2312" w:hAnsi="仿宋_GB2312" w:cs="仿宋_GB2312"/>
          <w:color w:val="auto"/>
          <w:spacing w:val="34"/>
          <w:sz w:val="32"/>
          <w:szCs w:val="32"/>
          <w:highlight w:val="none"/>
          <w:lang w:val="en-US" w:eastAsia="zh-CN" w:bidi="ar"/>
        </w:rPr>
        <w:t>16</w:t>
      </w:r>
      <w:r>
        <w:rPr>
          <w:rFonts w:hint="eastAsia" w:ascii="仿宋_GB2312" w:hAnsi="仿宋_GB2312" w:eastAsia="仿宋_GB2312" w:cs="仿宋_GB2312"/>
          <w:color w:val="auto"/>
          <w:spacing w:val="34"/>
          <w:sz w:val="32"/>
          <w:szCs w:val="32"/>
          <w:highlight w:val="none"/>
          <w:lang w:val="en-US" w:eastAsia="zh-CN" w:bidi="ar"/>
        </w:rPr>
        <w:t>个</w:t>
      </w:r>
      <w:r>
        <w:rPr>
          <w:rFonts w:hint="eastAsia" w:ascii="仿宋_GB2312" w:hAnsi="仿宋_GB2312" w:eastAsia="仿宋_GB2312" w:cs="仿宋_GB2312"/>
          <w:color w:val="auto"/>
          <w:spacing w:val="34"/>
          <w:sz w:val="32"/>
          <w:szCs w:val="32"/>
          <w:highlight w:val="none"/>
          <w:lang w:val="zh-CN" w:eastAsia="zh-CN" w:bidi="ar"/>
        </w:rPr>
        <w:t>、行政工勤</w:t>
      </w:r>
      <w:r>
        <w:rPr>
          <w:rFonts w:hint="eastAsia" w:ascii="仿宋_GB2312" w:hAnsi="仿宋_GB2312" w:cs="仿宋_GB2312"/>
          <w:color w:val="auto"/>
          <w:spacing w:val="34"/>
          <w:sz w:val="32"/>
          <w:szCs w:val="32"/>
          <w:highlight w:val="none"/>
          <w:lang w:val="en-US" w:eastAsia="zh-CN" w:bidi="ar"/>
        </w:rPr>
        <w:t>2</w:t>
      </w:r>
      <w:r>
        <w:rPr>
          <w:rFonts w:hint="eastAsia" w:ascii="仿宋_GB2312" w:hAnsi="仿宋_GB2312" w:eastAsia="仿宋_GB2312" w:cs="仿宋_GB2312"/>
          <w:color w:val="auto"/>
          <w:spacing w:val="34"/>
          <w:sz w:val="32"/>
          <w:szCs w:val="32"/>
          <w:highlight w:val="none"/>
          <w:lang w:val="zh-CN" w:eastAsia="zh-CN" w:bidi="ar"/>
        </w:rPr>
        <w:t>个，</w:t>
      </w:r>
      <w:r>
        <w:rPr>
          <w:rFonts w:hint="eastAsia" w:ascii="仿宋_GB2312" w:hAnsi="仿宋_GB2312" w:eastAsia="仿宋_GB2312" w:cs="仿宋_GB2312"/>
          <w:sz w:val="32"/>
          <w:szCs w:val="32"/>
          <w:highlight w:val="none"/>
        </w:rPr>
        <w:t>事业</w:t>
      </w:r>
      <w:r>
        <w:rPr>
          <w:rFonts w:hint="eastAsia" w:ascii="仿宋_GB2312" w:hAnsi="仿宋_GB2312" w:cs="仿宋_GB2312"/>
          <w:sz w:val="32"/>
          <w:szCs w:val="32"/>
          <w:highlight w:val="none"/>
          <w:lang w:val="en-US" w:eastAsia="zh-CN"/>
        </w:rPr>
        <w:t>12</w:t>
      </w:r>
      <w:r>
        <w:rPr>
          <w:rFonts w:hint="eastAsia" w:ascii="仿宋_GB2312" w:hAnsi="仿宋_GB2312" w:eastAsia="仿宋_GB2312" w:cs="仿宋_GB2312"/>
          <w:sz w:val="32"/>
          <w:szCs w:val="32"/>
          <w:highlight w:val="none"/>
        </w:rPr>
        <w:t>名</w:t>
      </w:r>
      <w:r>
        <w:rPr>
          <w:rFonts w:hint="eastAsia" w:ascii="仿宋_GB2312" w:hAnsi="仿宋_GB2312" w:eastAsia="仿宋_GB2312" w:cs="仿宋_GB2312"/>
          <w:color w:val="auto"/>
          <w:spacing w:val="34"/>
          <w:sz w:val="32"/>
          <w:szCs w:val="32"/>
          <w:highlight w:val="none"/>
          <w:lang w:val="zh-CN" w:eastAsia="zh-CN" w:bidi="ar"/>
        </w:rPr>
        <w:t>），退休</w:t>
      </w:r>
      <w:r>
        <w:rPr>
          <w:rFonts w:hint="eastAsia" w:ascii="仿宋_GB2312" w:hAnsi="仿宋_GB2312" w:cs="仿宋_GB2312"/>
          <w:color w:val="auto"/>
          <w:spacing w:val="34"/>
          <w:sz w:val="32"/>
          <w:szCs w:val="32"/>
          <w:highlight w:val="none"/>
          <w:lang w:val="en-US" w:eastAsia="zh-CN" w:bidi="ar"/>
        </w:rPr>
        <w:t>4</w:t>
      </w:r>
      <w:r>
        <w:rPr>
          <w:rFonts w:hint="eastAsia" w:ascii="仿宋_GB2312" w:hAnsi="仿宋_GB2312" w:eastAsia="仿宋_GB2312" w:cs="仿宋_GB2312"/>
          <w:color w:val="auto"/>
          <w:spacing w:val="34"/>
          <w:sz w:val="32"/>
          <w:szCs w:val="32"/>
          <w:highlight w:val="none"/>
          <w:lang w:val="zh-CN" w:eastAsia="zh-CN" w:bidi="ar"/>
        </w:rPr>
        <w:t>人，工资转由社保部门发放。</w:t>
      </w:r>
    </w:p>
    <w:p w14:paraId="6808AC8E">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ascii="Times New Roman" w:hAnsi="Times New Roman" w:eastAsia="黑体" w:cs="Times New Roman"/>
          <w:color w:val="000000"/>
          <w:kern w:val="0"/>
          <w:szCs w:val="32"/>
          <w:highlight w:val="none"/>
          <w:shd w:val="clear" w:color="auto" w:fill="FFFFFF"/>
        </w:rPr>
      </w:pPr>
      <w:r>
        <w:rPr>
          <w:rFonts w:hint="default" w:ascii="Times New Roman" w:hAnsi="Times New Roman" w:eastAsia="黑体" w:cs="Times New Roman"/>
          <w:color w:val="000000"/>
          <w:kern w:val="0"/>
          <w:szCs w:val="32"/>
          <w:highlight w:val="none"/>
          <w:shd w:val="clear" w:color="auto" w:fill="FFFFFF"/>
        </w:rPr>
        <w:t>二、</w:t>
      </w:r>
      <w:r>
        <w:rPr>
          <w:rFonts w:hint="default" w:ascii="Times New Roman" w:hAnsi="Times New Roman" w:eastAsia="黑体" w:cs="Times New Roman"/>
          <w:color w:val="000000"/>
          <w:kern w:val="0"/>
          <w:szCs w:val="32"/>
          <w:highlight w:val="none"/>
          <w:shd w:val="clear" w:color="auto" w:fill="FFFFFF"/>
          <w:lang w:eastAsia="zh-CN"/>
        </w:rPr>
        <w:t>部门</w:t>
      </w:r>
      <w:r>
        <w:rPr>
          <w:rFonts w:hint="default" w:ascii="Times New Roman" w:hAnsi="Times New Roman" w:eastAsia="黑体" w:cs="Times New Roman"/>
          <w:color w:val="000000"/>
          <w:kern w:val="0"/>
          <w:szCs w:val="32"/>
          <w:highlight w:val="none"/>
          <w:shd w:val="clear" w:color="auto" w:fill="FFFFFF"/>
        </w:rPr>
        <w:t>资金收支情况</w:t>
      </w:r>
    </w:p>
    <w:p w14:paraId="129CDC5E">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outlineLvl w:val="9"/>
        <w:rPr>
          <w:rFonts w:hint="eastAsia" w:ascii="Times New Roman" w:hAnsi="Times New Roman" w:eastAsia="楷体_GB2312" w:cs="Times New Roman"/>
          <w:b/>
          <w:bCs/>
          <w:color w:val="000000"/>
          <w:kern w:val="0"/>
          <w:szCs w:val="32"/>
          <w:highlight w:val="none"/>
          <w:shd w:val="clear" w:color="auto" w:fill="FFFFFF"/>
          <w:lang w:val="en-US" w:eastAsia="zh-CN"/>
        </w:rPr>
      </w:pPr>
      <w:r>
        <w:rPr>
          <w:rFonts w:hint="default" w:ascii="Times New Roman" w:hAnsi="Times New Roman" w:eastAsia="楷体_GB2312" w:cs="Times New Roman"/>
          <w:b/>
          <w:bCs/>
          <w:color w:val="000000"/>
          <w:kern w:val="0"/>
          <w:szCs w:val="32"/>
          <w:highlight w:val="none"/>
          <w:shd w:val="clear" w:color="auto" w:fill="FFFFFF"/>
          <w:lang w:val="zh-CN"/>
        </w:rPr>
        <w:t>（一）</w:t>
      </w:r>
      <w:r>
        <w:rPr>
          <w:rFonts w:hint="eastAsia" w:eastAsia="楷体_GB2312" w:cs="Times New Roman"/>
          <w:b/>
          <w:bCs/>
          <w:color w:val="000000"/>
          <w:kern w:val="0"/>
          <w:szCs w:val="32"/>
          <w:highlight w:val="none"/>
          <w:shd w:val="clear" w:color="auto" w:fill="FFFFFF"/>
          <w:lang w:val="zh-CN"/>
        </w:rPr>
        <w:t>收入情况</w:t>
      </w:r>
      <w:r>
        <w:rPr>
          <w:rFonts w:hint="default" w:ascii="Times New Roman" w:hAnsi="Times New Roman" w:eastAsia="楷体_GB2312" w:cs="Times New Roman"/>
          <w:b/>
          <w:bCs/>
          <w:color w:val="000000"/>
          <w:kern w:val="0"/>
          <w:szCs w:val="32"/>
          <w:highlight w:val="none"/>
          <w:shd w:val="clear" w:color="auto" w:fill="FFFFFF"/>
          <w:lang w:val="zh-CN"/>
        </w:rPr>
        <w:t>。</w:t>
      </w:r>
    </w:p>
    <w:p w14:paraId="313FCF81">
      <w:pPr>
        <w:keepNext w:val="0"/>
        <w:keepLines w:val="0"/>
        <w:pageBreakBefore w:val="0"/>
        <w:bidi w:val="0"/>
        <w:spacing w:line="560" w:lineRule="exact"/>
        <w:ind w:firstLine="640" w:firstLineChars="200"/>
        <w:textAlignment w:val="auto"/>
        <w:outlineLvl w:val="1"/>
        <w:rPr>
          <w:rFonts w:hint="eastAsia" w:ascii="Times New Roman" w:hAnsi="Times New Roman" w:cs="Times New Roman"/>
          <w:szCs w:val="32"/>
          <w:lang w:val="en-US" w:eastAsia="zh-CN"/>
        </w:rPr>
      </w:pPr>
      <w:r>
        <w:rPr>
          <w:rFonts w:hint="eastAsia" w:cs="Times New Roman"/>
          <w:szCs w:val="32"/>
          <w:highlight w:val="none"/>
          <w:lang w:val="en-US" w:eastAsia="zh-CN"/>
        </w:rPr>
        <w:t>2024</w:t>
      </w:r>
      <w:r>
        <w:rPr>
          <w:rFonts w:hint="eastAsia" w:ascii="Times New Roman" w:hAnsi="Times New Roman" w:cs="Times New Roman"/>
          <w:szCs w:val="32"/>
          <w:highlight w:val="none"/>
          <w:lang w:val="en-US" w:eastAsia="zh-CN"/>
        </w:rPr>
        <w:t>年度收入总计</w:t>
      </w:r>
      <w:r>
        <w:rPr>
          <w:rFonts w:hint="eastAsia" w:ascii="仿宋_GB2312"/>
          <w:color w:val="000000"/>
          <w:spacing w:val="-2"/>
          <w:sz w:val="32"/>
          <w:szCs w:val="32"/>
          <w:highlight w:val="none"/>
          <w:lang w:val="en-US" w:eastAsia="zh-CN"/>
        </w:rPr>
        <w:t>1273.89</w:t>
      </w:r>
      <w:r>
        <w:rPr>
          <w:rFonts w:hint="eastAsia" w:ascii="Times New Roman" w:hAnsi="Times New Roman" w:cs="Times New Roman"/>
          <w:szCs w:val="32"/>
          <w:highlight w:val="none"/>
          <w:lang w:val="en-US" w:eastAsia="zh-CN"/>
        </w:rPr>
        <w:t>万元。与</w:t>
      </w:r>
      <w:r>
        <w:rPr>
          <w:rFonts w:hint="eastAsia" w:cs="Times New Roman"/>
          <w:szCs w:val="32"/>
          <w:highlight w:val="none"/>
          <w:lang w:val="en-US" w:eastAsia="zh-CN"/>
        </w:rPr>
        <w:t>2023</w:t>
      </w:r>
      <w:r>
        <w:rPr>
          <w:rFonts w:hint="eastAsia" w:ascii="Times New Roman" w:hAnsi="Times New Roman" w:cs="Times New Roman"/>
          <w:szCs w:val="32"/>
          <w:highlight w:val="none"/>
          <w:lang w:val="en-US" w:eastAsia="zh-CN"/>
        </w:rPr>
        <w:t>年相比，收入总计</w:t>
      </w:r>
      <w:r>
        <w:rPr>
          <w:rFonts w:hint="eastAsia" w:cs="Times New Roman"/>
          <w:szCs w:val="32"/>
          <w:highlight w:val="none"/>
          <w:lang w:val="en-US" w:eastAsia="zh-CN"/>
        </w:rPr>
        <w:t>增加43.69</w:t>
      </w:r>
      <w:r>
        <w:rPr>
          <w:rFonts w:hint="eastAsia" w:ascii="Times New Roman" w:hAnsi="Times New Roman" w:cs="Times New Roman"/>
          <w:szCs w:val="32"/>
          <w:highlight w:val="none"/>
          <w:lang w:val="en-US" w:eastAsia="zh-CN"/>
        </w:rPr>
        <w:t>万元，</w:t>
      </w:r>
      <w:r>
        <w:rPr>
          <w:rFonts w:hint="eastAsia" w:cs="Times New Roman"/>
          <w:szCs w:val="32"/>
          <w:highlight w:val="none"/>
          <w:lang w:val="en-US" w:eastAsia="zh-CN"/>
        </w:rPr>
        <w:t>增</w:t>
      </w:r>
      <w:r>
        <w:rPr>
          <w:rFonts w:hint="eastAsia" w:cs="Times New Roman"/>
          <w:szCs w:val="32"/>
          <w:lang w:val="en-US" w:eastAsia="zh-CN"/>
        </w:rPr>
        <w:t>加3.55</w:t>
      </w:r>
      <w:r>
        <w:rPr>
          <w:rFonts w:hint="eastAsia" w:ascii="仿宋_GB2312" w:eastAsia="仿宋_GB2312"/>
          <w:color w:val="000000"/>
          <w:spacing w:val="-2"/>
          <w:sz w:val="32"/>
          <w:szCs w:val="32"/>
        </w:rPr>
        <w:t>%</w:t>
      </w:r>
      <w:r>
        <w:rPr>
          <w:rFonts w:hint="eastAsia" w:ascii="Times New Roman" w:hAnsi="Times New Roman" w:cs="Times New Roman"/>
          <w:szCs w:val="32"/>
          <w:lang w:val="en-US" w:eastAsia="zh-CN"/>
        </w:rPr>
        <w:t>。</w:t>
      </w:r>
      <w:bookmarkStart w:id="75" w:name="_Toc26843610"/>
      <w:bookmarkStart w:id="76" w:name="_Toc18400"/>
      <w:r>
        <w:rPr>
          <w:rFonts w:hint="eastAsia" w:ascii="仿宋_GB2312" w:eastAsia="仿宋_GB2312"/>
          <w:color w:val="000000"/>
          <w:spacing w:val="-2"/>
          <w:sz w:val="32"/>
          <w:szCs w:val="32"/>
        </w:rPr>
        <w:t>增加的主要原因是</w:t>
      </w:r>
      <w:r>
        <w:rPr>
          <w:rFonts w:hint="eastAsia" w:ascii="仿宋_GB2312" w:eastAsia="仿宋_GB2312"/>
          <w:color w:val="000000"/>
          <w:spacing w:val="-2"/>
          <w:sz w:val="32"/>
          <w:szCs w:val="32"/>
          <w:lang w:eastAsia="zh-CN"/>
        </w:rPr>
        <w:t>2024年</w:t>
      </w:r>
      <w:r>
        <w:rPr>
          <w:rFonts w:hint="eastAsia" w:ascii="仿宋_GB2312" w:eastAsia="仿宋_GB2312"/>
          <w:color w:val="000000"/>
          <w:spacing w:val="-2"/>
          <w:sz w:val="32"/>
          <w:szCs w:val="32"/>
        </w:rPr>
        <w:t>工资变动</w:t>
      </w:r>
      <w:r>
        <w:rPr>
          <w:rFonts w:hint="eastAsia" w:ascii="仿宋_GB2312" w:eastAsia="仿宋_GB2312"/>
          <w:color w:val="000000"/>
          <w:spacing w:val="-2"/>
          <w:sz w:val="32"/>
          <w:szCs w:val="32"/>
          <w:lang w:val="en-US" w:eastAsia="zh-CN"/>
        </w:rPr>
        <w:t>及保险基数上调，2024年新增</w:t>
      </w:r>
      <w:r>
        <w:rPr>
          <w:rFonts w:hint="eastAsia" w:ascii="仿宋_GB2312"/>
          <w:color w:val="000000"/>
          <w:spacing w:val="-2"/>
          <w:sz w:val="32"/>
          <w:szCs w:val="32"/>
          <w:lang w:val="en-US" w:eastAsia="zh-CN"/>
        </w:rPr>
        <w:t>5</w:t>
      </w:r>
      <w:r>
        <w:rPr>
          <w:rFonts w:hint="eastAsia" w:ascii="仿宋_GB2312" w:eastAsia="仿宋_GB2312"/>
          <w:color w:val="000000"/>
          <w:spacing w:val="-2"/>
          <w:sz w:val="32"/>
          <w:szCs w:val="32"/>
          <w:lang w:val="en-US" w:eastAsia="zh-CN"/>
        </w:rPr>
        <w:t>个项目</w:t>
      </w:r>
      <w:r>
        <w:rPr>
          <w:rFonts w:hint="eastAsia" w:ascii="仿宋_GB2312" w:eastAsia="仿宋_GB2312"/>
          <w:color w:val="000000"/>
          <w:spacing w:val="-2"/>
          <w:sz w:val="32"/>
          <w:szCs w:val="32"/>
        </w:rPr>
        <w:t>。</w:t>
      </w:r>
      <w:r>
        <w:rPr>
          <w:rFonts w:hint="eastAsia" w:ascii="Times New Roman" w:hAnsi="Times New Roman" w:cs="Times New Roman"/>
          <w:szCs w:val="32"/>
          <w:lang w:val="en-US" w:eastAsia="zh-CN"/>
        </w:rPr>
        <w:t>其中：</w:t>
      </w:r>
      <w:bookmarkEnd w:id="75"/>
      <w:r>
        <w:rPr>
          <w:rFonts w:hint="eastAsia" w:ascii="仿宋" w:eastAsia="仿宋"/>
          <w:color w:val="000000"/>
          <w:sz w:val="32"/>
          <w:szCs w:val="32"/>
        </w:rPr>
        <w:t>一般公共预算财政拨款收入</w:t>
      </w:r>
      <w:r>
        <w:rPr>
          <w:rFonts w:hint="eastAsia" w:ascii="仿宋_GB2312"/>
          <w:color w:val="000000"/>
          <w:spacing w:val="-2"/>
          <w:sz w:val="32"/>
          <w:szCs w:val="32"/>
          <w:lang w:val="en-US" w:eastAsia="zh-CN"/>
        </w:rPr>
        <w:t>1273.89</w:t>
      </w:r>
      <w:r>
        <w:rPr>
          <w:rFonts w:hint="eastAsia" w:ascii="仿宋" w:eastAsia="仿宋"/>
          <w:color w:val="000000"/>
          <w:sz w:val="32"/>
          <w:szCs w:val="32"/>
        </w:rPr>
        <w:t>万元，占100</w:t>
      </w:r>
      <w:r>
        <w:rPr>
          <w:rFonts w:ascii="仿宋" w:eastAsia="仿宋"/>
          <w:color w:val="000000"/>
          <w:sz w:val="32"/>
          <w:szCs w:val="32"/>
        </w:rPr>
        <w:t>%</w:t>
      </w:r>
      <w:r>
        <w:rPr>
          <w:rFonts w:hint="eastAsia" w:ascii="仿宋" w:eastAsia="仿宋"/>
          <w:color w:val="000000"/>
          <w:sz w:val="32"/>
          <w:szCs w:val="32"/>
        </w:rPr>
        <w:t>；政府性基金预算财政拨款收入0万元，占0</w:t>
      </w:r>
      <w:r>
        <w:rPr>
          <w:rFonts w:ascii="仿宋" w:eastAsia="仿宋"/>
          <w:color w:val="000000"/>
          <w:sz w:val="32"/>
          <w:szCs w:val="32"/>
        </w:rPr>
        <w:t>%</w:t>
      </w:r>
      <w:r>
        <w:rPr>
          <w:rFonts w:hint="eastAsia" w:ascii="仿宋" w:eastAsia="仿宋"/>
          <w:color w:val="000000"/>
          <w:sz w:val="32"/>
          <w:szCs w:val="32"/>
        </w:rPr>
        <w:t>；国有资本经营预算财政拨款收入0万元，占0</w:t>
      </w:r>
      <w:r>
        <w:rPr>
          <w:rFonts w:ascii="仿宋" w:eastAsia="仿宋"/>
          <w:color w:val="000000"/>
          <w:sz w:val="32"/>
          <w:szCs w:val="32"/>
        </w:rPr>
        <w:t>%</w:t>
      </w:r>
      <w:r>
        <w:rPr>
          <w:rFonts w:hint="eastAsia" w:ascii="仿宋" w:eastAsia="仿宋"/>
          <w:color w:val="000000"/>
          <w:sz w:val="32"/>
          <w:szCs w:val="32"/>
        </w:rPr>
        <w:t>；事业收入0万元，占0</w:t>
      </w:r>
      <w:r>
        <w:rPr>
          <w:rFonts w:ascii="仿宋" w:eastAsia="仿宋"/>
          <w:color w:val="000000"/>
          <w:sz w:val="32"/>
          <w:szCs w:val="32"/>
        </w:rPr>
        <w:t>%</w:t>
      </w:r>
      <w:r>
        <w:rPr>
          <w:rFonts w:hint="eastAsia" w:ascii="仿宋" w:eastAsia="仿宋"/>
          <w:color w:val="000000"/>
          <w:sz w:val="32"/>
          <w:szCs w:val="32"/>
        </w:rPr>
        <w:t>；经营收入0万元，占0</w:t>
      </w:r>
      <w:r>
        <w:rPr>
          <w:rFonts w:ascii="仿宋" w:eastAsia="仿宋"/>
          <w:color w:val="000000"/>
          <w:sz w:val="32"/>
          <w:szCs w:val="32"/>
        </w:rPr>
        <w:t>%</w:t>
      </w:r>
      <w:r>
        <w:rPr>
          <w:rFonts w:hint="eastAsia" w:ascii="仿宋" w:eastAsia="仿宋"/>
          <w:color w:val="000000"/>
          <w:sz w:val="32"/>
          <w:szCs w:val="32"/>
        </w:rPr>
        <w:t>；附属单位上缴收入0万元，占0</w:t>
      </w:r>
      <w:r>
        <w:rPr>
          <w:rFonts w:ascii="仿宋" w:eastAsia="仿宋"/>
          <w:color w:val="000000"/>
          <w:sz w:val="32"/>
          <w:szCs w:val="32"/>
        </w:rPr>
        <w:t>%</w:t>
      </w:r>
      <w:r>
        <w:rPr>
          <w:rFonts w:hint="eastAsia" w:ascii="仿宋" w:eastAsia="仿宋"/>
          <w:color w:val="000000"/>
          <w:sz w:val="32"/>
          <w:szCs w:val="32"/>
        </w:rPr>
        <w:t>；其他收入0万元，占0%。</w:t>
      </w:r>
      <w:r>
        <w:rPr>
          <w:rFonts w:hint="eastAsia" w:ascii="Times New Roman" w:hAnsi="Times New Roman" w:cs="Times New Roman"/>
          <w:szCs w:val="32"/>
          <w:lang w:val="en-US" w:eastAsia="zh-CN"/>
        </w:rPr>
        <w:t>本年度财政应返还额度0万元。</w:t>
      </w:r>
      <w:bookmarkEnd w:id="76"/>
    </w:p>
    <w:p w14:paraId="470C3EC5">
      <w:pPr>
        <w:keepNext w:val="0"/>
        <w:keepLines w:val="0"/>
        <w:pageBreakBefore w:val="0"/>
        <w:widowControl/>
        <w:numPr>
          <w:ilvl w:val="0"/>
          <w:numId w:val="2"/>
        </w:numPr>
        <w:kinsoku/>
        <w:wordWrap/>
        <w:overflowPunct/>
        <w:topLinePunct w:val="0"/>
        <w:autoSpaceDE/>
        <w:autoSpaceDN/>
        <w:bidi w:val="0"/>
        <w:adjustRightInd w:val="0"/>
        <w:snapToGrid w:val="0"/>
        <w:spacing w:line="560" w:lineRule="exact"/>
        <w:ind w:left="0" w:leftChars="0" w:firstLine="643" w:firstLineChars="200"/>
        <w:contextualSpacing/>
        <w:jc w:val="left"/>
        <w:textAlignment w:val="auto"/>
        <w:outlineLvl w:val="9"/>
        <w:rPr>
          <w:rFonts w:hint="default" w:ascii="Times New Roman" w:hAnsi="Times New Roman" w:eastAsia="楷体_GB2312" w:cs="Times New Roman"/>
          <w:b/>
          <w:bCs/>
          <w:color w:val="000000"/>
          <w:kern w:val="0"/>
          <w:szCs w:val="32"/>
          <w:highlight w:val="none"/>
          <w:shd w:val="clear" w:color="auto" w:fill="FFFFFF"/>
          <w:lang w:val="zh-CN"/>
        </w:rPr>
      </w:pPr>
      <w:r>
        <w:rPr>
          <w:rFonts w:hint="eastAsia" w:eastAsia="楷体_GB2312" w:cs="Times New Roman"/>
          <w:b/>
          <w:bCs/>
          <w:color w:val="000000"/>
          <w:kern w:val="0"/>
          <w:szCs w:val="32"/>
          <w:highlight w:val="none"/>
          <w:shd w:val="clear" w:color="auto" w:fill="FFFFFF"/>
          <w:lang w:val="zh-CN"/>
        </w:rPr>
        <w:t>支出情况</w:t>
      </w:r>
      <w:r>
        <w:rPr>
          <w:rFonts w:hint="default" w:ascii="Times New Roman" w:hAnsi="Times New Roman" w:eastAsia="楷体_GB2312" w:cs="Times New Roman"/>
          <w:b/>
          <w:bCs/>
          <w:color w:val="000000"/>
          <w:kern w:val="0"/>
          <w:szCs w:val="32"/>
          <w:highlight w:val="none"/>
          <w:shd w:val="clear" w:color="auto" w:fill="FFFFFF"/>
          <w:lang w:val="zh-CN"/>
        </w:rPr>
        <w:t>。</w:t>
      </w:r>
    </w:p>
    <w:p w14:paraId="12049BD7">
      <w:pPr>
        <w:spacing w:line="600" w:lineRule="exact"/>
        <w:ind w:firstLine="645"/>
        <w:rPr>
          <w:rFonts w:hint="eastAsia" w:ascii="仿宋_GB2312" w:hAnsi="仿宋_GB2312" w:eastAsia="仿宋_GB2312" w:cs="仿宋_GB2312"/>
          <w:color w:val="000000"/>
          <w:sz w:val="32"/>
          <w:szCs w:val="32"/>
        </w:rPr>
      </w:pPr>
      <w:r>
        <w:rPr>
          <w:rFonts w:hint="eastAsia" w:cs="Times New Roman"/>
          <w:szCs w:val="32"/>
          <w:lang w:val="en-US" w:eastAsia="zh-CN"/>
        </w:rPr>
        <w:t>2024</w:t>
      </w:r>
      <w:r>
        <w:rPr>
          <w:rFonts w:hint="default" w:ascii="Times New Roman" w:hAnsi="Times New Roman" w:cs="Times New Roman"/>
          <w:szCs w:val="32"/>
          <w:lang w:val="en-US" w:eastAsia="zh-CN"/>
        </w:rPr>
        <w:t>年一般公共预算财政拨款支出</w:t>
      </w:r>
      <w:r>
        <w:rPr>
          <w:rFonts w:hint="eastAsia" w:ascii="仿宋_GB2312"/>
          <w:color w:val="000000"/>
          <w:spacing w:val="-2"/>
          <w:sz w:val="32"/>
          <w:szCs w:val="32"/>
          <w:lang w:val="en-US" w:eastAsia="zh-CN"/>
        </w:rPr>
        <w:t>1273.89</w:t>
      </w:r>
      <w:r>
        <w:rPr>
          <w:rFonts w:hint="eastAsia" w:ascii="Times New Roman" w:hAnsi="Times New Roman" w:cs="Times New Roman"/>
          <w:szCs w:val="32"/>
          <w:lang w:val="en-US" w:eastAsia="zh-CN"/>
        </w:rPr>
        <w:t>万元</w:t>
      </w:r>
      <w:r>
        <w:rPr>
          <w:rFonts w:hint="default" w:ascii="Times New Roman" w:hAnsi="Times New Roman" w:cs="Times New Roman"/>
          <w:szCs w:val="32"/>
          <w:lang w:val="en-US" w:eastAsia="zh-CN"/>
        </w:rPr>
        <w:t>，占本年支出合计的100%。</w:t>
      </w:r>
      <w:r>
        <w:rPr>
          <w:rFonts w:hint="eastAsia" w:ascii="Times New Roman" w:hAnsi="Times New Roman" w:cs="Times New Roman"/>
          <w:szCs w:val="32"/>
          <w:lang w:val="en-US" w:eastAsia="zh-CN"/>
        </w:rPr>
        <w:t>与</w:t>
      </w:r>
      <w:r>
        <w:rPr>
          <w:rFonts w:hint="eastAsia" w:cs="Times New Roman"/>
          <w:szCs w:val="32"/>
          <w:lang w:val="en-US" w:eastAsia="zh-CN"/>
        </w:rPr>
        <w:t>2023</w:t>
      </w:r>
      <w:r>
        <w:rPr>
          <w:rFonts w:hint="eastAsia" w:ascii="Times New Roman" w:hAnsi="Times New Roman" w:cs="Times New Roman"/>
          <w:szCs w:val="32"/>
          <w:lang w:val="en-US" w:eastAsia="zh-CN"/>
        </w:rPr>
        <w:t>年相比，</w:t>
      </w:r>
      <w:r>
        <w:rPr>
          <w:rFonts w:hint="eastAsia" w:cs="Times New Roman"/>
          <w:szCs w:val="32"/>
          <w:lang w:val="en-US" w:eastAsia="zh-CN"/>
        </w:rPr>
        <w:t>支出</w:t>
      </w:r>
      <w:r>
        <w:rPr>
          <w:rFonts w:hint="eastAsia" w:ascii="Times New Roman" w:hAnsi="Times New Roman" w:cs="Times New Roman"/>
          <w:szCs w:val="32"/>
          <w:lang w:val="en-US" w:eastAsia="zh-CN"/>
        </w:rPr>
        <w:t>总计</w:t>
      </w:r>
      <w:r>
        <w:rPr>
          <w:rFonts w:hint="eastAsia" w:cs="Times New Roman"/>
          <w:szCs w:val="32"/>
          <w:lang w:val="en-US" w:eastAsia="zh-CN"/>
        </w:rPr>
        <w:t>增加43.69</w:t>
      </w:r>
      <w:r>
        <w:rPr>
          <w:rFonts w:hint="eastAsia" w:ascii="Times New Roman" w:hAnsi="Times New Roman" w:cs="Times New Roman"/>
          <w:szCs w:val="32"/>
          <w:lang w:val="en-US" w:eastAsia="zh-CN"/>
        </w:rPr>
        <w:t>万元，</w:t>
      </w:r>
      <w:r>
        <w:rPr>
          <w:rFonts w:hint="eastAsia" w:cs="Times New Roman"/>
          <w:szCs w:val="32"/>
          <w:lang w:val="en-US" w:eastAsia="zh-CN"/>
        </w:rPr>
        <w:t>增加3.55</w:t>
      </w:r>
      <w:r>
        <w:rPr>
          <w:rFonts w:hint="eastAsia" w:ascii="仿宋_GB2312" w:eastAsia="仿宋_GB2312"/>
          <w:color w:val="000000"/>
          <w:spacing w:val="-2"/>
          <w:sz w:val="32"/>
          <w:szCs w:val="32"/>
        </w:rPr>
        <w:t>%</w:t>
      </w:r>
      <w:r>
        <w:rPr>
          <w:rFonts w:hint="eastAsia" w:ascii="Times New Roman" w:hAnsi="Times New Roman" w:cs="Times New Roman"/>
          <w:szCs w:val="32"/>
          <w:lang w:val="en-US" w:eastAsia="zh-CN"/>
        </w:rPr>
        <w:t>。</w:t>
      </w:r>
      <w:r>
        <w:rPr>
          <w:rFonts w:hint="eastAsia" w:ascii="仿宋_GB2312" w:eastAsia="仿宋_GB2312"/>
          <w:color w:val="000000"/>
          <w:spacing w:val="-2"/>
          <w:sz w:val="32"/>
          <w:szCs w:val="32"/>
        </w:rPr>
        <w:t>增加的主要原因是</w:t>
      </w:r>
      <w:r>
        <w:rPr>
          <w:rFonts w:hint="eastAsia" w:ascii="仿宋_GB2312" w:eastAsia="仿宋_GB2312"/>
          <w:color w:val="000000"/>
          <w:spacing w:val="-2"/>
          <w:sz w:val="32"/>
          <w:szCs w:val="32"/>
          <w:lang w:eastAsia="zh-CN"/>
        </w:rPr>
        <w:t>2024年</w:t>
      </w:r>
      <w:r>
        <w:rPr>
          <w:rFonts w:hint="eastAsia" w:ascii="仿宋_GB2312" w:eastAsia="仿宋_GB2312"/>
          <w:color w:val="000000"/>
          <w:spacing w:val="-2"/>
          <w:sz w:val="32"/>
          <w:szCs w:val="32"/>
        </w:rPr>
        <w:t>工资变动</w:t>
      </w:r>
      <w:r>
        <w:rPr>
          <w:rFonts w:hint="eastAsia" w:ascii="仿宋_GB2312" w:eastAsia="仿宋_GB2312"/>
          <w:color w:val="000000"/>
          <w:spacing w:val="-2"/>
          <w:sz w:val="32"/>
          <w:szCs w:val="32"/>
          <w:lang w:val="en-US" w:eastAsia="zh-CN"/>
        </w:rPr>
        <w:t>及保险基数上调，2024年新增</w:t>
      </w:r>
      <w:r>
        <w:rPr>
          <w:rFonts w:hint="eastAsia" w:ascii="仿宋_GB2312"/>
          <w:color w:val="000000"/>
          <w:spacing w:val="-2"/>
          <w:sz w:val="32"/>
          <w:szCs w:val="32"/>
          <w:lang w:val="en-US" w:eastAsia="zh-CN"/>
        </w:rPr>
        <w:t>5</w:t>
      </w:r>
      <w:r>
        <w:rPr>
          <w:rFonts w:hint="eastAsia" w:ascii="仿宋_GB2312" w:eastAsia="仿宋_GB2312"/>
          <w:color w:val="000000"/>
          <w:spacing w:val="-2"/>
          <w:sz w:val="32"/>
          <w:szCs w:val="32"/>
          <w:lang w:val="en-US" w:eastAsia="zh-CN"/>
        </w:rPr>
        <w:t>个项目</w:t>
      </w:r>
      <w:r>
        <w:rPr>
          <w:rFonts w:hint="eastAsia" w:ascii="仿宋_GB2312" w:eastAsia="仿宋_GB2312"/>
          <w:color w:val="000000"/>
          <w:spacing w:val="-2"/>
          <w:sz w:val="32"/>
          <w:szCs w:val="32"/>
        </w:rPr>
        <w:t>。</w:t>
      </w:r>
      <w:r>
        <w:rPr>
          <w:rFonts w:hint="eastAsia" w:ascii="仿宋_GB2312" w:eastAsia="仿宋_GB2312"/>
          <w:color w:val="000000"/>
          <w:sz w:val="32"/>
          <w:szCs w:val="32"/>
          <w:lang w:eastAsia="zh-CN"/>
        </w:rPr>
        <w:t>2024</w:t>
      </w:r>
      <w:r>
        <w:rPr>
          <w:rFonts w:hint="eastAsia" w:ascii="仿宋_GB2312" w:eastAsia="仿宋_GB2312"/>
          <w:color w:val="000000"/>
          <w:sz w:val="32"/>
          <w:szCs w:val="32"/>
        </w:rPr>
        <w:t>年度一般公共预算财政拨款基本支出</w:t>
      </w:r>
      <w:r>
        <w:rPr>
          <w:rFonts w:hint="eastAsia" w:ascii="仿宋_GB2312" w:eastAsia="仿宋_GB2312"/>
          <w:color w:val="000000"/>
          <w:sz w:val="32"/>
          <w:szCs w:val="32"/>
          <w:lang w:val="en-US" w:eastAsia="zh-CN"/>
        </w:rPr>
        <w:t>720.81</w:t>
      </w:r>
      <w:r>
        <w:rPr>
          <w:rFonts w:hint="eastAsia" w:ascii="仿宋_GB2312" w:eastAsia="仿宋_GB2312"/>
          <w:color w:val="000000"/>
          <w:sz w:val="32"/>
          <w:szCs w:val="32"/>
        </w:rPr>
        <w:t>万元，其中：</w:t>
      </w:r>
      <w:r>
        <w:rPr>
          <w:rFonts w:hint="eastAsia" w:ascii="仿宋_GB2312" w:hAnsi="仿宋" w:eastAsia="仿宋_GB2312"/>
          <w:color w:val="000000"/>
          <w:sz w:val="32"/>
          <w:szCs w:val="32"/>
        </w:rPr>
        <w:t>人员经费支出</w:t>
      </w:r>
      <w:r>
        <w:rPr>
          <w:rFonts w:hint="eastAsia" w:ascii="仿宋_GB2312" w:hAnsi="仿宋" w:eastAsia="仿宋_GB2312"/>
          <w:color w:val="000000"/>
          <w:sz w:val="32"/>
          <w:szCs w:val="32"/>
          <w:lang w:val="en-US" w:eastAsia="zh-CN"/>
        </w:rPr>
        <w:t>688.39</w:t>
      </w:r>
      <w:r>
        <w:rPr>
          <w:rFonts w:hint="eastAsia" w:ascii="仿宋_GB2312" w:hAnsi="仿宋" w:eastAsia="仿宋_GB2312"/>
          <w:color w:val="000000"/>
          <w:sz w:val="32"/>
          <w:szCs w:val="32"/>
        </w:rPr>
        <w:t>万元，</w:t>
      </w:r>
      <w:r>
        <w:rPr>
          <w:rFonts w:hint="eastAsia" w:ascii="仿宋_GB2312" w:eastAsia="仿宋_GB2312"/>
          <w:color w:val="000000"/>
          <w:sz w:val="32"/>
          <w:szCs w:val="32"/>
        </w:rPr>
        <w:t>主要包括：基本工资</w:t>
      </w:r>
      <w:r>
        <w:rPr>
          <w:rFonts w:hint="eastAsia" w:ascii="仿宋_GB2312" w:eastAsia="仿宋_GB2312"/>
          <w:color w:val="000000"/>
          <w:sz w:val="32"/>
          <w:szCs w:val="32"/>
          <w:lang w:val="en-US" w:eastAsia="zh-CN"/>
        </w:rPr>
        <w:t>124.24</w:t>
      </w:r>
      <w:r>
        <w:rPr>
          <w:rFonts w:hint="eastAsia" w:ascii="仿宋_GB2312" w:eastAsia="仿宋_GB2312"/>
          <w:color w:val="000000"/>
          <w:sz w:val="32"/>
          <w:szCs w:val="32"/>
        </w:rPr>
        <w:t>万元、津贴补贴</w:t>
      </w:r>
      <w:r>
        <w:rPr>
          <w:rFonts w:hint="eastAsia" w:ascii="仿宋_GB2312" w:eastAsia="仿宋_GB2312"/>
          <w:color w:val="000000"/>
          <w:sz w:val="32"/>
          <w:szCs w:val="32"/>
          <w:lang w:val="en-US" w:eastAsia="zh-CN"/>
        </w:rPr>
        <w:t>149.84</w:t>
      </w:r>
      <w:r>
        <w:rPr>
          <w:rFonts w:hint="eastAsia" w:ascii="仿宋_GB2312" w:eastAsia="仿宋_GB2312"/>
          <w:color w:val="000000"/>
          <w:sz w:val="32"/>
          <w:szCs w:val="32"/>
        </w:rPr>
        <w:t>万元、奖金</w:t>
      </w:r>
      <w:r>
        <w:rPr>
          <w:rFonts w:hint="eastAsia" w:ascii="仿宋_GB2312" w:eastAsia="仿宋_GB2312"/>
          <w:color w:val="000000"/>
          <w:sz w:val="32"/>
          <w:szCs w:val="32"/>
          <w:lang w:val="en-US" w:eastAsia="zh-CN"/>
        </w:rPr>
        <w:t>169.22</w:t>
      </w:r>
      <w:r>
        <w:rPr>
          <w:rFonts w:hint="eastAsia" w:ascii="仿宋_GB2312" w:eastAsia="仿宋_GB2312"/>
          <w:color w:val="000000"/>
          <w:sz w:val="32"/>
          <w:szCs w:val="32"/>
        </w:rPr>
        <w:t>万元、绩效工资</w:t>
      </w:r>
      <w:r>
        <w:rPr>
          <w:rFonts w:hint="eastAsia" w:ascii="仿宋_GB2312" w:eastAsia="仿宋_GB2312"/>
          <w:color w:val="000000"/>
          <w:sz w:val="32"/>
          <w:szCs w:val="32"/>
          <w:lang w:val="en-US" w:eastAsia="zh-CN"/>
        </w:rPr>
        <w:t>37.51</w:t>
      </w:r>
      <w:r>
        <w:rPr>
          <w:rFonts w:hint="eastAsia" w:ascii="仿宋_GB2312" w:eastAsia="仿宋_GB2312"/>
          <w:color w:val="000000"/>
          <w:sz w:val="32"/>
          <w:szCs w:val="32"/>
        </w:rPr>
        <w:t>万元、机关事业单位基本养老保险缴费</w:t>
      </w:r>
      <w:r>
        <w:rPr>
          <w:rFonts w:hint="eastAsia" w:ascii="仿宋_GB2312" w:eastAsia="仿宋_GB2312"/>
          <w:color w:val="000000"/>
          <w:sz w:val="32"/>
          <w:szCs w:val="32"/>
          <w:lang w:val="en-US" w:eastAsia="zh-CN"/>
        </w:rPr>
        <w:t>67.63</w:t>
      </w:r>
      <w:r>
        <w:rPr>
          <w:rFonts w:hint="eastAsia" w:ascii="仿宋_GB2312" w:eastAsia="仿宋_GB2312"/>
          <w:color w:val="000000"/>
          <w:sz w:val="32"/>
          <w:szCs w:val="32"/>
        </w:rPr>
        <w:t>万元、职业年金缴费</w:t>
      </w:r>
      <w:r>
        <w:rPr>
          <w:rFonts w:hint="eastAsia" w:ascii="仿宋_GB2312" w:eastAsia="仿宋_GB2312"/>
          <w:color w:val="000000"/>
          <w:sz w:val="32"/>
          <w:szCs w:val="32"/>
          <w:lang w:val="en-US" w:eastAsia="zh-CN"/>
        </w:rPr>
        <w:t>34.11</w:t>
      </w:r>
      <w:r>
        <w:rPr>
          <w:rFonts w:hint="eastAsia" w:ascii="仿宋_GB2312" w:eastAsia="仿宋_GB2312"/>
          <w:color w:val="000000"/>
          <w:sz w:val="32"/>
          <w:szCs w:val="32"/>
        </w:rPr>
        <w:t>万元、其他社会保障缴费</w:t>
      </w:r>
      <w:r>
        <w:rPr>
          <w:rFonts w:hint="eastAsia" w:ascii="仿宋_GB2312" w:eastAsia="仿宋_GB2312"/>
          <w:color w:val="000000"/>
          <w:sz w:val="32"/>
          <w:szCs w:val="32"/>
          <w:lang w:val="en-US" w:eastAsia="zh-CN"/>
        </w:rPr>
        <w:t>3.88</w:t>
      </w:r>
      <w:r>
        <w:rPr>
          <w:rFonts w:hint="eastAsia" w:ascii="仿宋_GB2312" w:eastAsia="仿宋_GB2312"/>
          <w:color w:val="000000"/>
          <w:sz w:val="32"/>
          <w:szCs w:val="32"/>
        </w:rPr>
        <w:t>万元、住房公积金</w:t>
      </w:r>
      <w:r>
        <w:rPr>
          <w:rFonts w:hint="eastAsia" w:ascii="仿宋_GB2312" w:eastAsia="仿宋_GB2312"/>
          <w:color w:val="000000"/>
          <w:sz w:val="32"/>
          <w:szCs w:val="32"/>
          <w:lang w:val="en-US" w:eastAsia="zh-CN"/>
        </w:rPr>
        <w:t>57.04</w:t>
      </w:r>
      <w:r>
        <w:rPr>
          <w:rFonts w:hint="eastAsia" w:ascii="仿宋_GB2312" w:eastAsia="仿宋_GB2312"/>
          <w:color w:val="000000"/>
          <w:sz w:val="32"/>
          <w:szCs w:val="32"/>
        </w:rPr>
        <w:t>万元、职工基本医疗保险缴费</w:t>
      </w:r>
      <w:r>
        <w:rPr>
          <w:rFonts w:hint="eastAsia" w:ascii="仿宋_GB2312" w:eastAsia="仿宋_GB2312"/>
          <w:color w:val="000000"/>
          <w:sz w:val="32"/>
          <w:szCs w:val="32"/>
          <w:lang w:val="en-US" w:eastAsia="zh-CN"/>
        </w:rPr>
        <w:t>32.8</w:t>
      </w:r>
      <w:r>
        <w:rPr>
          <w:rFonts w:hint="eastAsia" w:ascii="仿宋_GB2312" w:eastAsia="仿宋_GB2312"/>
          <w:color w:val="000000"/>
          <w:sz w:val="32"/>
          <w:szCs w:val="32"/>
        </w:rPr>
        <w:t>万元、公务员医疗补助</w:t>
      </w:r>
      <w:r>
        <w:rPr>
          <w:rFonts w:hint="eastAsia" w:ascii="仿宋_GB2312" w:eastAsia="仿宋_GB2312"/>
          <w:color w:val="000000"/>
          <w:sz w:val="32"/>
          <w:szCs w:val="32"/>
          <w:lang w:val="en-US" w:eastAsia="zh-CN"/>
        </w:rPr>
        <w:t>4.76</w:t>
      </w:r>
      <w:r>
        <w:rPr>
          <w:rFonts w:hint="eastAsia" w:ascii="仿宋_GB2312" w:eastAsia="仿宋_GB2312"/>
          <w:color w:val="000000"/>
          <w:sz w:val="32"/>
          <w:szCs w:val="32"/>
        </w:rPr>
        <w:t>万元</w:t>
      </w:r>
      <w:r>
        <w:rPr>
          <w:rFonts w:hint="eastAsia" w:ascii="仿宋_GB2312"/>
          <w:color w:val="000000"/>
          <w:sz w:val="32"/>
          <w:szCs w:val="32"/>
          <w:lang w:eastAsia="zh-CN"/>
        </w:rPr>
        <w:t>；</w:t>
      </w:r>
      <w:r>
        <w:rPr>
          <w:rFonts w:hint="eastAsia" w:ascii="仿宋_GB2312" w:hAnsi="仿宋" w:eastAsia="仿宋_GB2312"/>
          <w:color w:val="000000"/>
          <w:sz w:val="32"/>
          <w:szCs w:val="32"/>
        </w:rPr>
        <w:t>日常公用经费支出</w:t>
      </w:r>
      <w:r>
        <w:rPr>
          <w:rFonts w:hint="eastAsia" w:ascii="仿宋_GB2312" w:hAnsi="仿宋" w:eastAsia="仿宋_GB2312"/>
          <w:color w:val="000000"/>
          <w:sz w:val="32"/>
          <w:szCs w:val="32"/>
          <w:lang w:val="en-US" w:eastAsia="zh-CN"/>
        </w:rPr>
        <w:t>32.42</w:t>
      </w:r>
      <w:r>
        <w:rPr>
          <w:rFonts w:hint="eastAsia" w:ascii="仿宋_GB2312" w:hAnsi="仿宋" w:eastAsia="仿宋_GB2312"/>
          <w:color w:val="000000"/>
          <w:sz w:val="32"/>
          <w:szCs w:val="32"/>
        </w:rPr>
        <w:t>万元，</w:t>
      </w:r>
      <w:r>
        <w:rPr>
          <w:rFonts w:hint="eastAsia" w:ascii="仿宋_GB2312" w:eastAsia="仿宋_GB2312"/>
          <w:color w:val="000000"/>
          <w:sz w:val="32"/>
          <w:szCs w:val="32"/>
        </w:rPr>
        <w:t>主要包括：办公费</w:t>
      </w:r>
      <w:r>
        <w:rPr>
          <w:rFonts w:hint="eastAsia" w:ascii="仿宋_GB2312" w:eastAsia="仿宋_GB2312"/>
          <w:color w:val="000000"/>
          <w:sz w:val="32"/>
          <w:szCs w:val="32"/>
          <w:lang w:val="en-US" w:eastAsia="zh-CN"/>
        </w:rPr>
        <w:t>11.77</w:t>
      </w:r>
      <w:r>
        <w:rPr>
          <w:rFonts w:hint="eastAsia" w:ascii="仿宋_GB2312" w:eastAsia="仿宋_GB2312"/>
          <w:color w:val="000000"/>
          <w:sz w:val="32"/>
          <w:szCs w:val="32"/>
        </w:rPr>
        <w:t>万元、印刷费</w:t>
      </w:r>
      <w:r>
        <w:rPr>
          <w:rFonts w:hint="eastAsia" w:ascii="仿宋_GB2312" w:eastAsia="仿宋_GB2312"/>
          <w:color w:val="000000"/>
          <w:sz w:val="32"/>
          <w:szCs w:val="32"/>
          <w:lang w:val="en-US" w:eastAsia="zh-CN"/>
        </w:rPr>
        <w:t>1.8</w:t>
      </w:r>
      <w:r>
        <w:rPr>
          <w:rFonts w:hint="eastAsia" w:ascii="仿宋_GB2312" w:eastAsia="仿宋_GB2312"/>
          <w:color w:val="000000"/>
          <w:sz w:val="32"/>
          <w:szCs w:val="32"/>
        </w:rPr>
        <w:t>万元、电费</w:t>
      </w:r>
      <w:r>
        <w:rPr>
          <w:rFonts w:hint="eastAsia" w:ascii="仿宋_GB2312" w:eastAsia="仿宋_GB2312"/>
          <w:color w:val="000000"/>
          <w:sz w:val="32"/>
          <w:szCs w:val="32"/>
          <w:lang w:val="en-US" w:eastAsia="zh-CN"/>
        </w:rPr>
        <w:t>3.5</w:t>
      </w:r>
      <w:r>
        <w:rPr>
          <w:rFonts w:hint="eastAsia" w:ascii="仿宋_GB2312" w:eastAsia="仿宋_GB2312"/>
          <w:color w:val="000000"/>
          <w:sz w:val="32"/>
          <w:szCs w:val="32"/>
        </w:rPr>
        <w:t>万元、邮电费</w:t>
      </w:r>
      <w:r>
        <w:rPr>
          <w:rFonts w:hint="eastAsia" w:ascii="仿宋_GB2312" w:eastAsia="仿宋_GB2312"/>
          <w:color w:val="000000"/>
          <w:sz w:val="32"/>
          <w:szCs w:val="32"/>
          <w:lang w:val="en-US" w:eastAsia="zh-CN"/>
        </w:rPr>
        <w:t>1.92</w:t>
      </w:r>
      <w:r>
        <w:rPr>
          <w:rFonts w:hint="eastAsia" w:ascii="仿宋_GB2312" w:eastAsia="仿宋_GB2312"/>
          <w:color w:val="000000"/>
          <w:sz w:val="32"/>
          <w:szCs w:val="32"/>
        </w:rPr>
        <w:t>万元、差旅费</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万元、劳务费3.4万元、公务用车运行维护费4.8</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万元、其他交通费用1万元。</w:t>
      </w:r>
    </w:p>
    <w:p w14:paraId="2CB3B097">
      <w:pPr>
        <w:keepNext w:val="0"/>
        <w:keepLines w:val="0"/>
        <w:pageBreakBefore w:val="0"/>
        <w:bidi w:val="0"/>
        <w:snapToGrid w:val="0"/>
        <w:spacing w:line="560" w:lineRule="exact"/>
        <w:ind w:firstLine="640" w:firstLineChars="200"/>
        <w:textAlignment w:val="auto"/>
        <w:rPr>
          <w:rFonts w:hint="default" w:ascii="仿宋_GB2312" w:hAnsi="仿宋" w:eastAsia="仿宋_GB2312"/>
          <w:color w:val="000000"/>
          <w:sz w:val="32"/>
          <w:szCs w:val="32"/>
          <w:lang w:val="en-US" w:eastAsia="zh-CN"/>
        </w:rPr>
      </w:pPr>
      <w:r>
        <w:rPr>
          <w:rFonts w:hint="eastAsia" w:ascii="仿宋_GB2312" w:hAnsi="仿宋" w:eastAsia="仿宋_GB2312"/>
          <w:color w:val="000000"/>
          <w:sz w:val="32"/>
          <w:szCs w:val="32"/>
        </w:rPr>
        <w:t>项目支出</w:t>
      </w:r>
      <w:r>
        <w:rPr>
          <w:rFonts w:hint="eastAsia" w:ascii="仿宋_GB2312" w:hAnsi="仿宋" w:eastAsia="仿宋_GB2312"/>
          <w:color w:val="000000"/>
          <w:sz w:val="32"/>
          <w:szCs w:val="32"/>
          <w:lang w:val="en-US" w:eastAsia="zh-CN"/>
        </w:rPr>
        <w:t>553.08</w:t>
      </w:r>
      <w:r>
        <w:rPr>
          <w:rFonts w:hint="eastAsia" w:ascii="仿宋_GB2312" w:hAnsi="仿宋" w:eastAsia="仿宋_GB2312"/>
          <w:color w:val="000000"/>
          <w:sz w:val="32"/>
          <w:szCs w:val="32"/>
        </w:rPr>
        <w:t>万元，</w:t>
      </w:r>
      <w:r>
        <w:rPr>
          <w:rFonts w:hint="eastAsia" w:ascii="仿宋_GB2312" w:eastAsia="仿宋_GB2312"/>
          <w:color w:val="000000"/>
          <w:sz w:val="32"/>
          <w:szCs w:val="32"/>
        </w:rPr>
        <w:t>主要包括：</w:t>
      </w:r>
      <w:r>
        <w:rPr>
          <w:rFonts w:hint="eastAsia" w:ascii="仿宋_GB2312" w:hAnsi="仿宋" w:eastAsia="仿宋_GB2312"/>
          <w:color w:val="000000"/>
          <w:sz w:val="32"/>
          <w:szCs w:val="32"/>
        </w:rPr>
        <w:t>对村干部生活补助支出</w:t>
      </w:r>
      <w:r>
        <w:rPr>
          <w:rFonts w:hint="eastAsia" w:ascii="仿宋_GB2312" w:hAnsi="仿宋" w:eastAsia="仿宋_GB2312"/>
          <w:color w:val="000000"/>
          <w:sz w:val="32"/>
          <w:szCs w:val="32"/>
          <w:lang w:val="en-US" w:eastAsia="zh-CN"/>
        </w:rPr>
        <w:t>79.2</w:t>
      </w:r>
      <w:r>
        <w:rPr>
          <w:rFonts w:hint="eastAsia" w:ascii="仿宋_GB2312" w:hAnsi="仿宋" w:eastAsia="仿宋_GB2312"/>
          <w:color w:val="000000"/>
          <w:sz w:val="32"/>
          <w:szCs w:val="32"/>
        </w:rPr>
        <w:t>万元，村级维护费办公费4</w:t>
      </w:r>
      <w:r>
        <w:rPr>
          <w:rFonts w:hint="eastAsia" w:ascii="仿宋_GB2312" w:hAnsi="仿宋" w:eastAsia="仿宋_GB2312"/>
          <w:color w:val="000000"/>
          <w:sz w:val="32"/>
          <w:szCs w:val="32"/>
          <w:lang w:val="en-US" w:eastAsia="zh-CN"/>
        </w:rPr>
        <w:t>5</w:t>
      </w:r>
      <w:r>
        <w:rPr>
          <w:rFonts w:hint="eastAsia" w:ascii="仿宋_GB2312" w:hAnsi="仿宋" w:eastAsia="仿宋_GB2312"/>
          <w:color w:val="000000"/>
          <w:sz w:val="32"/>
          <w:szCs w:val="32"/>
        </w:rPr>
        <w:t>万元</w:t>
      </w:r>
      <w:r>
        <w:rPr>
          <w:rFonts w:hint="eastAsia" w:ascii="仿宋_GB2312" w:hAnsi="仿宋_GB2312" w:eastAsia="仿宋_GB2312" w:cs="仿宋_GB2312"/>
          <w:color w:val="000000"/>
          <w:sz w:val="32"/>
          <w:szCs w:val="32"/>
        </w:rPr>
        <w:t>（其中公共运行维护费</w:t>
      </w:r>
      <w:r>
        <w:rPr>
          <w:rFonts w:hint="eastAsia" w:ascii="仿宋_GB2312" w:hAnsi="仿宋_GB2312" w:eastAsia="仿宋_GB2312" w:cs="仿宋_GB2312"/>
          <w:color w:val="000000"/>
          <w:sz w:val="32"/>
          <w:szCs w:val="32"/>
          <w:lang w:val="en-US" w:eastAsia="zh-CN"/>
        </w:rPr>
        <w:t>29</w:t>
      </w:r>
      <w:r>
        <w:rPr>
          <w:rFonts w:hint="eastAsia" w:ascii="仿宋_GB2312" w:hAnsi="仿宋_GB2312" w:eastAsia="仿宋_GB2312" w:cs="仿宋_GB2312"/>
          <w:color w:val="000000"/>
          <w:sz w:val="32"/>
          <w:szCs w:val="32"/>
        </w:rPr>
        <w:t>万元、基层党组织活动经费8万元、办公费8万元）</w:t>
      </w:r>
      <w:r>
        <w:rPr>
          <w:rFonts w:hint="eastAsia" w:ascii="仿宋_GB2312" w:hAnsi="仿宋" w:eastAsia="仿宋_GB2312"/>
          <w:color w:val="000000"/>
          <w:sz w:val="32"/>
          <w:szCs w:val="32"/>
        </w:rPr>
        <w:t>，三老干部生活补助</w:t>
      </w:r>
      <w:r>
        <w:rPr>
          <w:rFonts w:hint="eastAsia" w:ascii="仿宋_GB2312" w:hAnsi="仿宋" w:eastAsia="仿宋_GB2312"/>
          <w:color w:val="000000"/>
          <w:sz w:val="32"/>
          <w:szCs w:val="32"/>
          <w:lang w:val="en-US" w:eastAsia="zh-CN"/>
        </w:rPr>
        <w:t>0.96</w:t>
      </w:r>
      <w:r>
        <w:rPr>
          <w:rFonts w:hint="eastAsia" w:ascii="仿宋_GB2312" w:hAnsi="仿宋" w:eastAsia="仿宋_GB2312"/>
          <w:color w:val="000000"/>
          <w:sz w:val="32"/>
          <w:szCs w:val="32"/>
        </w:rPr>
        <w:t>万元</w:t>
      </w:r>
      <w:r>
        <w:rPr>
          <w:rFonts w:hint="eastAsia" w:ascii="仿宋_GB2312" w:hAnsi="仿宋" w:eastAsia="仿宋_GB2312"/>
          <w:color w:val="000000"/>
          <w:sz w:val="32"/>
          <w:szCs w:val="32"/>
          <w:lang w:eastAsia="zh-CN"/>
        </w:rPr>
        <w:t>，</w:t>
      </w:r>
      <w:r>
        <w:rPr>
          <w:rFonts w:hint="eastAsia" w:ascii="仿宋_GB2312" w:hAnsi="仿宋" w:eastAsia="仿宋_GB2312"/>
          <w:color w:val="000000"/>
          <w:sz w:val="32"/>
          <w:szCs w:val="32"/>
          <w:lang w:val="en-US" w:eastAsia="zh-CN"/>
        </w:rPr>
        <w:t>河东乡旦甲木足村马尔脚水毁道路恢复建设项目2.78万元，嘎尖草坪旅游基础设施维护提升15万元，金川县河东乡结木村嘎尖草坪旅游接待民宿及其配套设施建设项目2.79万元，河东乡结木村安古塘老年活动场所建设10万元、金川县河东乡结木村嘎尖草坪旅游道路提升改造项目299.65万元。</w:t>
      </w:r>
    </w:p>
    <w:p w14:paraId="6718F3FD">
      <w:pPr>
        <w:keepNext w:val="0"/>
        <w:keepLines w:val="0"/>
        <w:pageBreakBefore w:val="0"/>
        <w:widowControl/>
        <w:numPr>
          <w:ilvl w:val="0"/>
          <w:numId w:val="2"/>
        </w:numPr>
        <w:kinsoku/>
        <w:wordWrap/>
        <w:overflowPunct/>
        <w:topLinePunct w:val="0"/>
        <w:autoSpaceDE/>
        <w:autoSpaceDN/>
        <w:bidi w:val="0"/>
        <w:adjustRightInd w:val="0"/>
        <w:snapToGrid w:val="0"/>
        <w:spacing w:line="560" w:lineRule="exact"/>
        <w:ind w:left="0" w:leftChars="0" w:firstLine="643" w:firstLineChars="200"/>
        <w:contextualSpacing/>
        <w:jc w:val="left"/>
        <w:textAlignment w:val="auto"/>
        <w:outlineLvl w:val="9"/>
        <w:rPr>
          <w:rFonts w:hint="eastAsia" w:ascii="Times New Roman" w:hAnsi="Times New Roman" w:eastAsia="楷体_GB2312" w:cs="Times New Roman"/>
          <w:b/>
          <w:szCs w:val="32"/>
          <w:lang w:eastAsia="zh-CN"/>
        </w:rPr>
      </w:pPr>
      <w:r>
        <w:rPr>
          <w:rFonts w:hint="default" w:ascii="Times New Roman" w:hAnsi="Times New Roman" w:eastAsia="楷体_GB2312" w:cs="Times New Roman"/>
          <w:b/>
          <w:szCs w:val="32"/>
        </w:rPr>
        <w:t>结余分配和结转结余情况</w:t>
      </w:r>
      <w:r>
        <w:rPr>
          <w:rFonts w:hint="eastAsia" w:ascii="Times New Roman" w:hAnsi="Times New Roman" w:eastAsia="楷体_GB2312" w:cs="Times New Roman"/>
          <w:b/>
          <w:szCs w:val="32"/>
          <w:lang w:eastAsia="zh-CN"/>
        </w:rPr>
        <w:t>。</w:t>
      </w:r>
    </w:p>
    <w:p w14:paraId="20CDA350">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ascii="Times New Roman" w:hAnsi="Times New Roman" w:cs="Times New Roman"/>
          <w:szCs w:val="32"/>
          <w:lang w:val="zh-CN" w:eastAsia="zh-CN"/>
        </w:rPr>
      </w:pPr>
      <w:r>
        <w:rPr>
          <w:rFonts w:hint="eastAsia" w:ascii="Times New Roman" w:hAnsi="Times New Roman" w:cs="Times New Roman"/>
          <w:szCs w:val="32"/>
          <w:lang w:val="en-US" w:eastAsia="zh-CN"/>
        </w:rPr>
        <w:t>本单位</w:t>
      </w:r>
      <w:r>
        <w:rPr>
          <w:rFonts w:hint="eastAsia" w:cs="Times New Roman"/>
          <w:szCs w:val="32"/>
          <w:lang w:val="en-US" w:eastAsia="zh-CN"/>
        </w:rPr>
        <w:t>2024</w:t>
      </w:r>
      <w:r>
        <w:rPr>
          <w:rFonts w:hint="eastAsia" w:ascii="Times New Roman" w:hAnsi="Times New Roman" w:cs="Times New Roman"/>
          <w:szCs w:val="32"/>
          <w:lang w:val="en-US" w:eastAsia="zh-CN"/>
        </w:rPr>
        <w:t>年决算报表无</w:t>
      </w:r>
      <w:r>
        <w:rPr>
          <w:rFonts w:hint="default" w:ascii="Times New Roman" w:hAnsi="Times New Roman" w:cs="Times New Roman"/>
          <w:szCs w:val="32"/>
          <w:lang w:val="en-US" w:eastAsia="zh-CN"/>
        </w:rPr>
        <w:t>结转结余</w:t>
      </w:r>
      <w:r>
        <w:rPr>
          <w:rFonts w:hint="eastAsia" w:ascii="Times New Roman" w:hAnsi="Times New Roman" w:cs="Times New Roman"/>
          <w:szCs w:val="32"/>
          <w:lang w:val="en-US" w:eastAsia="zh-CN"/>
        </w:rPr>
        <w:t>情况</w:t>
      </w:r>
      <w:r>
        <w:rPr>
          <w:rFonts w:hint="default" w:ascii="Times New Roman" w:hAnsi="Times New Roman" w:cs="Times New Roman"/>
          <w:szCs w:val="32"/>
          <w:lang w:val="en-US" w:eastAsia="zh-CN"/>
        </w:rPr>
        <w:t>。</w:t>
      </w:r>
    </w:p>
    <w:p w14:paraId="7E1CC8F1">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ascii="Times New Roman" w:hAnsi="Times New Roman" w:eastAsia="黑体" w:cs="Times New Roman"/>
          <w:color w:val="000000" w:themeColor="text1"/>
          <w:kern w:val="0"/>
          <w:szCs w:val="32"/>
          <w:highlight w:val="none"/>
          <w:shd w:val="clear" w:color="auto" w:fill="FFFFFF"/>
          <w14:textFill>
            <w14:solidFill>
              <w14:schemeClr w14:val="tx1"/>
            </w14:solidFill>
          </w14:textFill>
        </w:rPr>
      </w:pPr>
      <w:r>
        <w:rPr>
          <w:rFonts w:hint="default" w:ascii="Times New Roman" w:hAnsi="Times New Roman" w:eastAsia="黑体" w:cs="Times New Roman"/>
          <w:color w:val="auto"/>
          <w:kern w:val="0"/>
          <w:szCs w:val="32"/>
          <w:highlight w:val="none"/>
          <w:shd w:val="clear" w:color="auto" w:fill="FFFFFF"/>
        </w:rPr>
        <w:t>三</w:t>
      </w:r>
      <w:r>
        <w:rPr>
          <w:rFonts w:hint="default" w:ascii="Times New Roman" w:hAnsi="Times New Roman" w:eastAsia="黑体" w:cs="Times New Roman"/>
          <w:color w:val="000000"/>
          <w:kern w:val="0"/>
          <w:szCs w:val="32"/>
          <w:highlight w:val="none"/>
          <w:shd w:val="clear" w:color="auto" w:fill="FFFFFF"/>
        </w:rPr>
        <w:t>、</w:t>
      </w:r>
      <w:r>
        <w:rPr>
          <w:rFonts w:hint="default" w:ascii="Times New Roman" w:hAnsi="Times New Roman" w:eastAsia="黑体" w:cs="Times New Roman"/>
          <w:color w:val="000000"/>
          <w:kern w:val="0"/>
          <w:szCs w:val="32"/>
          <w:highlight w:val="none"/>
          <w:u w:val="none"/>
          <w:shd w:val="clear" w:color="auto" w:fill="FFFFFF"/>
        </w:rPr>
        <w:t>部门</w:t>
      </w:r>
      <w:r>
        <w:rPr>
          <w:rFonts w:hint="default" w:ascii="Times New Roman" w:hAnsi="Times New Roman" w:eastAsia="黑体" w:cs="Times New Roman"/>
          <w:color w:val="000000"/>
          <w:kern w:val="0"/>
          <w:szCs w:val="32"/>
          <w:highlight w:val="none"/>
          <w:u w:val="none"/>
          <w:shd w:val="clear" w:color="auto" w:fill="FFFFFF"/>
          <w:lang w:eastAsia="zh-CN"/>
        </w:rPr>
        <w:t>预算</w:t>
      </w:r>
      <w:r>
        <w:rPr>
          <w:rFonts w:hint="default" w:ascii="Times New Roman" w:hAnsi="Times New Roman" w:eastAsia="黑体" w:cs="Times New Roman"/>
          <w:color w:val="000000"/>
          <w:kern w:val="0"/>
          <w:szCs w:val="32"/>
          <w:highlight w:val="none"/>
          <w:u w:val="none"/>
          <w:shd w:val="clear" w:color="auto" w:fill="FFFFFF"/>
        </w:rPr>
        <w:t>绩效</w:t>
      </w:r>
      <w:r>
        <w:rPr>
          <w:rFonts w:hint="default" w:ascii="Times New Roman" w:hAnsi="Times New Roman" w:eastAsia="黑体" w:cs="Times New Roman"/>
          <w:color w:val="000000"/>
          <w:kern w:val="0"/>
          <w:szCs w:val="32"/>
          <w:highlight w:val="none"/>
          <w:u w:val="none"/>
          <w:shd w:val="clear" w:color="auto" w:fill="FFFFFF"/>
          <w:lang w:eastAsia="zh-CN"/>
        </w:rPr>
        <w:t>分析</w:t>
      </w:r>
    </w:p>
    <w:p w14:paraId="100C615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Cs w:val="32"/>
          <w:highlight w:val="none"/>
          <w:shd w:val="clear" w:color="auto" w:fill="FFFFFF"/>
          <w:lang w:val="zh-CN"/>
        </w:rPr>
      </w:pPr>
      <w:r>
        <w:rPr>
          <w:rFonts w:hint="default" w:ascii="Times New Roman" w:hAnsi="Times New Roman" w:eastAsia="楷体_GB2312" w:cs="Times New Roman"/>
          <w:b/>
          <w:bCs/>
          <w:color w:val="000000"/>
          <w:kern w:val="0"/>
          <w:szCs w:val="32"/>
          <w:highlight w:val="none"/>
          <w:shd w:val="clear" w:color="auto" w:fill="FFFFFF"/>
          <w:lang w:val="zh-CN"/>
        </w:rPr>
        <w:t>（一）</w:t>
      </w:r>
      <w:r>
        <w:rPr>
          <w:rFonts w:hint="eastAsia" w:eastAsia="楷体_GB2312" w:cs="Times New Roman"/>
          <w:b/>
          <w:bCs/>
          <w:color w:val="000000"/>
          <w:kern w:val="0"/>
          <w:szCs w:val="32"/>
          <w:highlight w:val="none"/>
          <w:shd w:val="clear" w:color="auto" w:fill="FFFFFF"/>
          <w:lang w:val="zh-CN"/>
        </w:rPr>
        <w:t>部门预算</w:t>
      </w:r>
      <w:r>
        <w:rPr>
          <w:rFonts w:hint="default" w:ascii="Times New Roman" w:hAnsi="Times New Roman" w:eastAsia="楷体_GB2312" w:cs="Times New Roman"/>
          <w:b/>
          <w:bCs/>
          <w:color w:val="000000"/>
          <w:kern w:val="0"/>
          <w:szCs w:val="32"/>
          <w:highlight w:val="none"/>
          <w:shd w:val="clear" w:color="auto" w:fill="FFFFFF"/>
          <w:lang w:val="zh-CN"/>
        </w:rPr>
        <w:t>总体绩效分析。</w:t>
      </w:r>
    </w:p>
    <w:p w14:paraId="0749EF45">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ascii="Times New Roman" w:hAnsi="Times New Roman" w:cs="Times New Roman"/>
          <w:color w:val="000000"/>
          <w:kern w:val="0"/>
          <w:szCs w:val="32"/>
          <w:highlight w:val="none"/>
          <w:shd w:val="clear" w:color="auto" w:fill="FFFFFF"/>
          <w:lang w:val="zh-CN"/>
        </w:rPr>
      </w:pPr>
      <w:r>
        <w:rPr>
          <w:rFonts w:hint="eastAsia" w:ascii="Times New Roman" w:hAnsi="Times New Roman" w:cs="Times New Roman"/>
          <w:szCs w:val="32"/>
          <w:lang w:val="zh-CN" w:eastAsia="zh-CN"/>
        </w:rPr>
        <w:t>我</w:t>
      </w:r>
      <w:r>
        <w:rPr>
          <w:rFonts w:hint="eastAsia" w:cs="Times New Roman"/>
          <w:szCs w:val="32"/>
          <w:lang w:val="zh-CN" w:eastAsia="zh-CN"/>
        </w:rPr>
        <w:t>乡</w:t>
      </w:r>
      <w:r>
        <w:rPr>
          <w:rFonts w:hint="eastAsia" w:ascii="Times New Roman" w:hAnsi="Times New Roman" w:cs="Times New Roman"/>
          <w:szCs w:val="32"/>
          <w:lang w:val="zh-CN" w:eastAsia="zh-CN"/>
        </w:rPr>
        <w:t>按照规定完全履行职责，整体评价良好，服务对象基本满意从预算执行来情况看，预算资金覆盖我单位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14:paraId="6C973337">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eastAsia" w:ascii="楷体_GB2312" w:hAnsi="楷体_GB2312" w:eastAsia="楷体_GB2312" w:cs="楷体_GB2312"/>
          <w:color w:val="000000"/>
          <w:kern w:val="0"/>
          <w:szCs w:val="32"/>
          <w:highlight w:val="none"/>
          <w:shd w:val="clear" w:color="auto" w:fill="FFFFFF"/>
          <w:lang w:val="zh-CN"/>
        </w:rPr>
      </w:pPr>
      <w:r>
        <w:rPr>
          <w:rFonts w:hint="eastAsia" w:ascii="楷体_GB2312" w:hAnsi="楷体_GB2312" w:eastAsia="楷体_GB2312" w:cs="楷体_GB2312"/>
          <w:color w:val="000000"/>
          <w:kern w:val="0"/>
          <w:szCs w:val="32"/>
          <w:highlight w:val="none"/>
          <w:shd w:val="clear" w:color="auto" w:fill="FFFFFF"/>
          <w:lang w:val="en-US" w:eastAsia="zh-CN"/>
        </w:rPr>
        <w:t>1.</w:t>
      </w:r>
      <w:r>
        <w:rPr>
          <w:rFonts w:hint="eastAsia" w:ascii="楷体_GB2312" w:hAnsi="楷体_GB2312" w:eastAsia="楷体_GB2312" w:cs="楷体_GB2312"/>
          <w:color w:val="000000"/>
          <w:kern w:val="0"/>
          <w:szCs w:val="32"/>
          <w:highlight w:val="none"/>
          <w:shd w:val="clear" w:color="auto" w:fill="FFFFFF"/>
          <w:lang w:val="zh-CN"/>
        </w:rPr>
        <w:t>履职效能。</w:t>
      </w:r>
    </w:p>
    <w:p w14:paraId="4F6BC02F">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eastAsia" w:ascii="Times New Roman" w:hAnsi="Times New Roman" w:cs="Times New Roman"/>
          <w:szCs w:val="32"/>
          <w:lang w:val="zh-CN" w:eastAsia="zh-CN"/>
        </w:rPr>
      </w:pPr>
      <w:r>
        <w:rPr>
          <w:rFonts w:hint="eastAsia" w:ascii="Times New Roman" w:hAnsi="Times New Roman" w:cs="Times New Roman"/>
          <w:szCs w:val="32"/>
          <w:lang w:val="zh-CN" w:eastAsia="zh-CN"/>
        </w:rPr>
        <w:t>数量指标履职效果</w:t>
      </w:r>
      <w:r>
        <w:rPr>
          <w:rFonts w:hint="eastAsia" w:ascii="Times New Roman" w:hAnsi="Times New Roman" w:cs="Times New Roman"/>
          <w:szCs w:val="32"/>
          <w:lang w:val="en-US" w:eastAsia="zh-CN"/>
        </w:rPr>
        <w:t>:严格控制数量确保无遗漏无浪费，厉行节约</w:t>
      </w:r>
      <w:r>
        <w:rPr>
          <w:rFonts w:hint="eastAsia" w:ascii="Times New Roman" w:hAnsi="Times New Roman" w:cs="Times New Roman"/>
          <w:szCs w:val="32"/>
          <w:lang w:val="zh-CN" w:eastAsia="zh-CN"/>
        </w:rPr>
        <w:t>。</w:t>
      </w:r>
    </w:p>
    <w:p w14:paraId="4AB63994">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eastAsia" w:ascii="Times New Roman" w:hAnsi="Times New Roman" w:cs="Times New Roman"/>
          <w:szCs w:val="32"/>
          <w:lang w:val="en-US" w:eastAsia="zh-CN"/>
        </w:rPr>
      </w:pPr>
      <w:r>
        <w:rPr>
          <w:rFonts w:hint="eastAsia" w:ascii="Times New Roman" w:hAnsi="Times New Roman" w:cs="Times New Roman"/>
          <w:szCs w:val="32"/>
          <w:lang w:val="zh-CN" w:eastAsia="zh-CN"/>
        </w:rPr>
        <w:t>质量指标履职效果：</w:t>
      </w:r>
      <w:r>
        <w:rPr>
          <w:rFonts w:hint="eastAsia" w:ascii="Times New Roman" w:hAnsi="Times New Roman" w:cs="Times New Roman"/>
          <w:szCs w:val="32"/>
          <w:lang w:val="en-US" w:eastAsia="zh-CN"/>
        </w:rPr>
        <w:t>严格把控质量关，确保与采购文件相匹配。</w:t>
      </w:r>
    </w:p>
    <w:p w14:paraId="581E059E">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eastAsia" w:ascii="Times New Roman" w:hAnsi="Times New Roman" w:cs="Times New Roman"/>
          <w:szCs w:val="32"/>
          <w:lang w:val="en-US" w:eastAsia="zh-CN"/>
        </w:rPr>
      </w:pPr>
      <w:r>
        <w:rPr>
          <w:rFonts w:hint="eastAsia" w:ascii="Times New Roman" w:hAnsi="Times New Roman" w:cs="Times New Roman"/>
          <w:szCs w:val="32"/>
          <w:lang w:val="en-US" w:eastAsia="zh-CN"/>
        </w:rPr>
        <w:t>社会效益指标履职效果：确保每一项采购项目都能实现单位职能，提高社会效益，促进社会发展。</w:t>
      </w:r>
    </w:p>
    <w:p w14:paraId="3E6C0BD5">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eastAsia" w:ascii="Times New Roman" w:hAnsi="Times New Roman" w:cs="Times New Roman"/>
          <w:szCs w:val="32"/>
          <w:lang w:val="en-US" w:eastAsia="zh-CN"/>
        </w:rPr>
      </w:pPr>
      <w:r>
        <w:rPr>
          <w:rFonts w:hint="default" w:ascii="Times New Roman" w:hAnsi="Times New Roman" w:cs="Times New Roman"/>
          <w:szCs w:val="32"/>
          <w:lang w:val="en-US" w:eastAsia="zh-CN"/>
        </w:rPr>
        <w:t>服务对象满意度</w:t>
      </w:r>
      <w:r>
        <w:rPr>
          <w:rFonts w:hint="eastAsia" w:ascii="Times New Roman" w:hAnsi="Times New Roman" w:cs="Times New Roman"/>
          <w:szCs w:val="32"/>
          <w:lang w:val="en-US" w:eastAsia="zh-CN"/>
        </w:rPr>
        <w:t>指标</w:t>
      </w:r>
      <w:r>
        <w:rPr>
          <w:rFonts w:hint="default" w:ascii="Times New Roman" w:hAnsi="Times New Roman" w:cs="Times New Roman"/>
          <w:szCs w:val="32"/>
          <w:lang w:val="en-US" w:eastAsia="zh-CN"/>
        </w:rPr>
        <w:t>履职效果</w:t>
      </w:r>
      <w:r>
        <w:rPr>
          <w:rFonts w:hint="eastAsia" w:ascii="Times New Roman" w:hAnsi="Times New Roman" w:cs="Times New Roman"/>
          <w:szCs w:val="32"/>
          <w:lang w:val="en-US" w:eastAsia="zh-CN"/>
        </w:rPr>
        <w:t>：以高质量、高标准、高要求实施采购项目，确保受益对象满意度。</w:t>
      </w:r>
    </w:p>
    <w:p w14:paraId="76C8294C">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ascii="Times New Roman" w:hAnsi="Times New Roman" w:cs="Times New Roman"/>
          <w:szCs w:val="32"/>
          <w:lang w:val="en-US" w:eastAsia="zh-CN"/>
        </w:rPr>
      </w:pPr>
      <w:r>
        <w:rPr>
          <w:rFonts w:hint="default" w:ascii="Times New Roman" w:hAnsi="Times New Roman" w:cs="Times New Roman"/>
          <w:szCs w:val="32"/>
          <w:lang w:val="en-US" w:eastAsia="zh-CN"/>
        </w:rPr>
        <w:t>经济成本指标履职效果</w:t>
      </w:r>
      <w:r>
        <w:rPr>
          <w:rFonts w:hint="eastAsia" w:ascii="Times New Roman" w:hAnsi="Times New Roman" w:cs="Times New Roman"/>
          <w:szCs w:val="32"/>
          <w:lang w:val="en-US" w:eastAsia="zh-CN"/>
        </w:rPr>
        <w:t>：经过专业评估，以合理的经济成本实现项目价值。</w:t>
      </w:r>
    </w:p>
    <w:p w14:paraId="5FEC75FB">
      <w:pPr>
        <w:keepNext w:val="0"/>
        <w:keepLines w:val="0"/>
        <w:pageBreakBefore w:val="0"/>
        <w:widowControl/>
        <w:wordWrap w:val="0"/>
        <w:topLinePunct/>
        <w:bidi w:val="0"/>
        <w:adjustRightInd w:val="0"/>
        <w:snapToGrid w:val="0"/>
        <w:spacing w:line="560" w:lineRule="exact"/>
        <w:ind w:firstLine="640" w:firstLineChars="200"/>
        <w:jc w:val="left"/>
        <w:textAlignment w:val="auto"/>
        <w:rPr>
          <w:rFonts w:hint="eastAsia" w:ascii="楷体_GB2312" w:hAnsi="楷体_GB2312" w:eastAsia="楷体_GB2312" w:cs="楷体_GB2312"/>
          <w:color w:val="000000"/>
          <w:kern w:val="0"/>
          <w:szCs w:val="32"/>
          <w:highlight w:val="none"/>
          <w:shd w:val="clear" w:color="auto" w:fill="FFFFFF"/>
          <w:lang w:val="zh-CN"/>
        </w:rPr>
      </w:pPr>
      <w:r>
        <w:rPr>
          <w:rFonts w:hint="eastAsia" w:ascii="楷体_GB2312" w:hAnsi="楷体_GB2312" w:eastAsia="楷体_GB2312" w:cs="楷体_GB2312"/>
          <w:color w:val="000000"/>
          <w:kern w:val="0"/>
          <w:szCs w:val="32"/>
          <w:highlight w:val="none"/>
          <w:shd w:val="clear" w:color="auto" w:fill="FFFFFF"/>
          <w:lang w:val="en-US" w:eastAsia="zh-CN"/>
        </w:rPr>
        <w:t>2.</w:t>
      </w:r>
      <w:r>
        <w:rPr>
          <w:rFonts w:hint="default" w:ascii="楷体_GB2312" w:hAnsi="楷体_GB2312" w:eastAsia="楷体_GB2312" w:cs="楷体_GB2312"/>
          <w:color w:val="000000"/>
          <w:kern w:val="0"/>
          <w:szCs w:val="32"/>
          <w:highlight w:val="none"/>
          <w:shd w:val="clear" w:color="auto" w:fill="FFFFFF"/>
          <w:lang w:val="zh-CN"/>
        </w:rPr>
        <w:t>预算管理</w:t>
      </w:r>
      <w:r>
        <w:rPr>
          <w:rFonts w:hint="eastAsia" w:ascii="楷体_GB2312" w:hAnsi="楷体_GB2312" w:eastAsia="楷体_GB2312" w:cs="楷体_GB2312"/>
          <w:color w:val="000000"/>
          <w:kern w:val="0"/>
          <w:szCs w:val="32"/>
          <w:highlight w:val="none"/>
          <w:shd w:val="clear" w:color="auto" w:fill="FFFFFF"/>
          <w:lang w:val="zh-CN"/>
        </w:rPr>
        <w:t>。</w:t>
      </w:r>
    </w:p>
    <w:p w14:paraId="3FFBC92D">
      <w:pPr>
        <w:keepNext w:val="0"/>
        <w:keepLines w:val="0"/>
        <w:pageBreakBefore w:val="0"/>
        <w:widowControl/>
        <w:wordWrap w:val="0"/>
        <w:topLinePunct/>
        <w:bidi w:val="0"/>
        <w:adjustRightInd w:val="0"/>
        <w:snapToGrid w:val="0"/>
        <w:spacing w:line="560" w:lineRule="exact"/>
        <w:ind w:firstLine="640" w:firstLineChars="200"/>
        <w:jc w:val="left"/>
        <w:textAlignment w:val="auto"/>
        <w:rPr>
          <w:rFonts w:hint="eastAsia" w:ascii="楷体_GB2312" w:hAnsi="楷体_GB2312" w:eastAsia="楷体_GB2312" w:cs="楷体_GB2312"/>
          <w:color w:val="000000"/>
          <w:kern w:val="0"/>
          <w:szCs w:val="32"/>
          <w:highlight w:val="none"/>
          <w:shd w:val="clear" w:color="auto" w:fill="FFFFFF"/>
          <w:lang w:val="zh-CN"/>
        </w:rPr>
      </w:pPr>
      <w:r>
        <w:rPr>
          <w:rFonts w:hint="eastAsia" w:ascii="Times New Roman" w:hAnsi="Times New Roman" w:cs="Times New Roman"/>
          <w:szCs w:val="32"/>
          <w:lang w:val="zh-CN" w:eastAsia="zh-CN"/>
        </w:rPr>
        <w:t>严格按照县级部门预算编制通知和有关要求，按时完成基础库、项目库报送工作，按时完成</w:t>
      </w:r>
      <w:r>
        <w:rPr>
          <w:rFonts w:hint="eastAsia" w:cs="Times New Roman"/>
          <w:szCs w:val="32"/>
          <w:lang w:val="zh-CN" w:eastAsia="zh-CN"/>
        </w:rPr>
        <w:t>2024</w:t>
      </w:r>
      <w:r>
        <w:rPr>
          <w:rFonts w:hint="eastAsia" w:ascii="Times New Roman" w:hAnsi="Times New Roman" w:cs="Times New Roman"/>
          <w:szCs w:val="32"/>
          <w:lang w:val="zh-CN" w:eastAsia="zh-CN"/>
        </w:rPr>
        <w:t>年预算编制工作，并按时提交部门预算草案。预算编制全面、科学。</w:t>
      </w:r>
      <w:r>
        <w:rPr>
          <w:rFonts w:hint="eastAsia" w:cs="Times New Roman"/>
          <w:szCs w:val="32"/>
          <w:lang w:val="zh-CN" w:eastAsia="zh-CN"/>
        </w:rPr>
        <w:t>2024</w:t>
      </w:r>
      <w:r>
        <w:rPr>
          <w:rFonts w:hint="eastAsia" w:ascii="Times New Roman" w:hAnsi="Times New Roman" w:cs="Times New Roman"/>
          <w:szCs w:val="32"/>
          <w:lang w:val="zh-CN" w:eastAsia="zh-CN"/>
        </w:rPr>
        <w:t>年实际支出和部门决算一致，绩效目标填报及年末结余结转都是严格按照县财政局的要求认真完成，不存在违规违纪使用资金的情况并按时完成202</w:t>
      </w:r>
      <w:r>
        <w:rPr>
          <w:rFonts w:hint="eastAsia" w:ascii="Times New Roman" w:hAnsi="Times New Roman" w:cs="Times New Roman"/>
          <w:szCs w:val="32"/>
          <w:lang w:val="en-US" w:eastAsia="zh-CN"/>
        </w:rPr>
        <w:t>4</w:t>
      </w:r>
      <w:r>
        <w:rPr>
          <w:rFonts w:hint="eastAsia" w:ascii="Times New Roman" w:hAnsi="Times New Roman" w:cs="Times New Roman"/>
          <w:szCs w:val="32"/>
          <w:lang w:val="zh-CN" w:eastAsia="zh-CN"/>
        </w:rPr>
        <w:t>年预算编制工作，及时提交了部门预算草案。</w:t>
      </w:r>
    </w:p>
    <w:p w14:paraId="5EF182FB">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楷体_GB2312" w:hAnsi="楷体_GB2312" w:eastAsia="楷体_GB2312" w:cs="楷体_GB2312"/>
          <w:color w:val="000000"/>
          <w:kern w:val="0"/>
          <w:szCs w:val="32"/>
          <w:highlight w:val="none"/>
          <w:shd w:val="clear" w:color="auto" w:fill="FFFFFF"/>
          <w:lang w:val="zh-CN"/>
        </w:rPr>
      </w:pPr>
      <w:r>
        <w:rPr>
          <w:rFonts w:hint="eastAsia" w:ascii="楷体_GB2312" w:hAnsi="楷体_GB2312" w:eastAsia="楷体_GB2312" w:cs="楷体_GB2312"/>
          <w:color w:val="000000"/>
          <w:kern w:val="0"/>
          <w:szCs w:val="32"/>
          <w:highlight w:val="none"/>
          <w:shd w:val="clear" w:color="auto" w:fill="FFFFFF"/>
          <w:lang w:val="en-US" w:eastAsia="zh-CN"/>
        </w:rPr>
        <w:t>3.</w:t>
      </w:r>
      <w:r>
        <w:rPr>
          <w:rFonts w:hint="default" w:ascii="楷体_GB2312" w:hAnsi="楷体_GB2312" w:eastAsia="楷体_GB2312" w:cs="楷体_GB2312"/>
          <w:color w:val="000000"/>
          <w:kern w:val="0"/>
          <w:szCs w:val="32"/>
          <w:highlight w:val="none"/>
          <w:shd w:val="clear" w:color="auto" w:fill="FFFFFF"/>
          <w:lang w:val="zh-CN"/>
        </w:rPr>
        <w:t>财务管理</w:t>
      </w:r>
      <w:r>
        <w:rPr>
          <w:rFonts w:hint="eastAsia" w:ascii="楷体_GB2312" w:hAnsi="楷体_GB2312" w:eastAsia="楷体_GB2312" w:cs="楷体_GB2312"/>
          <w:color w:val="000000"/>
          <w:kern w:val="0"/>
          <w:szCs w:val="32"/>
          <w:highlight w:val="none"/>
          <w:shd w:val="clear" w:color="auto" w:fill="FFFFFF"/>
          <w:lang w:val="zh-CN"/>
        </w:rPr>
        <w:t>。</w:t>
      </w:r>
    </w:p>
    <w:p w14:paraId="20E7F1AE">
      <w:pPr>
        <w:keepNext w:val="0"/>
        <w:keepLines w:val="0"/>
        <w:pageBreakBefore w:val="0"/>
        <w:widowControl/>
        <w:wordWrap w:val="0"/>
        <w:topLinePunct/>
        <w:bidi w:val="0"/>
        <w:adjustRightInd w:val="0"/>
        <w:snapToGrid w:val="0"/>
        <w:spacing w:line="560" w:lineRule="exact"/>
        <w:ind w:firstLine="640" w:firstLineChars="200"/>
        <w:jc w:val="left"/>
        <w:textAlignment w:val="auto"/>
        <w:rPr>
          <w:rFonts w:hint="eastAsia" w:ascii="Times New Roman" w:hAnsi="Times New Roman" w:cs="Times New Roman"/>
          <w:szCs w:val="32"/>
          <w:lang w:val="zh-CN" w:eastAsia="zh-CN"/>
        </w:rPr>
      </w:pPr>
      <w:r>
        <w:rPr>
          <w:rFonts w:hint="eastAsia" w:ascii="仿宋" w:hAnsi="仿宋" w:eastAsia="仿宋" w:cs="仿宋_GB2312"/>
          <w:color w:val="000000"/>
          <w:sz w:val="32"/>
          <w:szCs w:val="32"/>
          <w:lang w:val="zh-CN"/>
        </w:rPr>
        <w:t>根据相关要求，单位使用预算资金基本符合相关的预算财务管理制度。我乡在财政批复后</w:t>
      </w:r>
      <w:r>
        <w:rPr>
          <w:rFonts w:hint="eastAsia" w:ascii="仿宋" w:hAnsi="仿宋" w:eastAsia="仿宋" w:cs="仿宋_GB2312"/>
          <w:color w:val="000000"/>
          <w:sz w:val="32"/>
          <w:szCs w:val="32"/>
        </w:rPr>
        <w:t>20日内在指定网站公开预决算信息。按照相关要求进行绩效自我评价，按要求及时上报，对发现的问题提出整改措施，并整改落实到位。</w:t>
      </w:r>
      <w:r>
        <w:rPr>
          <w:rFonts w:hint="eastAsia" w:ascii="仿宋" w:hAnsi="仿宋" w:eastAsia="仿宋" w:cs="仿宋_GB2312"/>
          <w:color w:val="000000"/>
          <w:sz w:val="32"/>
          <w:szCs w:val="32"/>
          <w:lang w:val="zh-CN"/>
        </w:rPr>
        <w:t>绩效评价及依法接受财政监督情况等。</w:t>
      </w:r>
    </w:p>
    <w:p w14:paraId="22226747">
      <w:pPr>
        <w:keepNext w:val="0"/>
        <w:keepLines w:val="0"/>
        <w:pageBreakBefore w:val="0"/>
        <w:numPr>
          <w:ilvl w:val="0"/>
          <w:numId w:val="0"/>
        </w:numPr>
        <w:bidi w:val="0"/>
        <w:spacing w:before="0" w:after="0" w:line="560" w:lineRule="exact"/>
        <w:ind w:leftChars="200"/>
        <w:jc w:val="both"/>
        <w:textAlignment w:val="auto"/>
        <w:rPr>
          <w:rFonts w:hint="eastAsia" w:ascii="楷体_GB2312" w:hAnsi="楷体_GB2312" w:eastAsia="楷体_GB2312" w:cs="楷体_GB2312"/>
          <w:color w:val="000000"/>
          <w:kern w:val="0"/>
          <w:szCs w:val="32"/>
          <w:highlight w:val="none"/>
          <w:shd w:val="clear" w:color="auto" w:fill="FFFFFF"/>
          <w:lang w:val="zh-CN"/>
        </w:rPr>
      </w:pPr>
      <w:r>
        <w:rPr>
          <w:rFonts w:hint="eastAsia" w:ascii="楷体_GB2312" w:hAnsi="楷体_GB2312" w:eastAsia="楷体_GB2312" w:cs="楷体_GB2312"/>
          <w:color w:val="000000"/>
          <w:kern w:val="0"/>
          <w:szCs w:val="32"/>
          <w:highlight w:val="none"/>
          <w:shd w:val="clear" w:color="auto" w:fill="FFFFFF"/>
          <w:lang w:val="en-US" w:eastAsia="zh-CN"/>
        </w:rPr>
        <w:t>4.</w:t>
      </w:r>
      <w:r>
        <w:rPr>
          <w:rFonts w:hint="default" w:ascii="楷体_GB2312" w:hAnsi="楷体_GB2312" w:eastAsia="楷体_GB2312" w:cs="楷体_GB2312"/>
          <w:color w:val="000000"/>
          <w:kern w:val="0"/>
          <w:szCs w:val="32"/>
          <w:highlight w:val="none"/>
          <w:shd w:val="clear" w:color="auto" w:fill="FFFFFF"/>
          <w:lang w:val="zh-CN"/>
        </w:rPr>
        <w:t>资产管理</w:t>
      </w:r>
      <w:r>
        <w:rPr>
          <w:rFonts w:hint="eastAsia" w:ascii="楷体_GB2312" w:hAnsi="楷体_GB2312" w:eastAsia="楷体_GB2312" w:cs="楷体_GB2312"/>
          <w:color w:val="000000"/>
          <w:kern w:val="0"/>
          <w:szCs w:val="32"/>
          <w:highlight w:val="none"/>
          <w:shd w:val="clear" w:color="auto" w:fill="FFFFFF"/>
          <w:lang w:val="zh-CN"/>
        </w:rPr>
        <w:t>。</w:t>
      </w:r>
    </w:p>
    <w:p w14:paraId="51437C8D">
      <w:pPr>
        <w:keepNext w:val="0"/>
        <w:keepLines w:val="0"/>
        <w:pageBreakBefore w:val="0"/>
        <w:widowControl/>
        <w:wordWrap w:val="0"/>
        <w:topLinePunct/>
        <w:bidi w:val="0"/>
        <w:adjustRightInd w:val="0"/>
        <w:snapToGrid w:val="0"/>
        <w:spacing w:line="560" w:lineRule="exact"/>
        <w:ind w:firstLine="640" w:firstLineChars="200"/>
        <w:jc w:val="left"/>
        <w:textAlignment w:val="auto"/>
        <w:rPr>
          <w:rFonts w:hint="default" w:ascii="Times New Roman" w:hAnsi="Times New Roman" w:cs="Times New Roman"/>
          <w:szCs w:val="32"/>
          <w:lang w:val="en-US" w:eastAsia="zh-CN"/>
        </w:rPr>
      </w:pPr>
      <w:r>
        <w:rPr>
          <w:rFonts w:hint="eastAsia" w:ascii="仿宋" w:hAnsi="仿宋" w:eastAsia="仿宋" w:cs="仿宋_GB2312"/>
          <w:color w:val="000000"/>
          <w:sz w:val="32"/>
          <w:szCs w:val="32"/>
          <w:lang w:val="zh-CN"/>
        </w:rPr>
        <w:t>我乡</w:t>
      </w:r>
      <w:r>
        <w:rPr>
          <w:rFonts w:hint="eastAsia" w:ascii="仿宋" w:hAnsi="仿宋" w:eastAsia="仿宋" w:cs="仿宋_GB2312"/>
          <w:color w:val="000000"/>
          <w:sz w:val="32"/>
          <w:szCs w:val="32"/>
          <w:lang w:eastAsia="zh-CN"/>
        </w:rPr>
        <w:t>2024</w:t>
      </w:r>
      <w:r>
        <w:rPr>
          <w:rFonts w:hint="eastAsia" w:ascii="仿宋" w:hAnsi="仿宋" w:eastAsia="仿宋" w:cs="仿宋_GB2312"/>
          <w:color w:val="000000"/>
          <w:sz w:val="32"/>
          <w:szCs w:val="32"/>
        </w:rPr>
        <w:t>年所有国有资产纳入</w:t>
      </w:r>
      <w:r>
        <w:rPr>
          <w:rFonts w:hint="eastAsia" w:ascii="仿宋" w:hAnsi="仿宋" w:eastAsia="仿宋" w:cs="仿宋_GB2312"/>
          <w:color w:val="000000"/>
          <w:sz w:val="32"/>
          <w:szCs w:val="32"/>
          <w:lang w:val="zh-CN"/>
        </w:rPr>
        <w:t>资产管理系统，及时准确上报并做好资产的管理工作，</w:t>
      </w:r>
      <w:r>
        <w:rPr>
          <w:rFonts w:hint="eastAsia" w:ascii="Times New Roman" w:hAnsi="Times New Roman" w:cs="Times New Roman"/>
          <w:szCs w:val="32"/>
          <w:lang w:val="en-US" w:eastAsia="zh-CN"/>
        </w:rPr>
        <w:t>无闲置资产。</w:t>
      </w:r>
    </w:p>
    <w:p w14:paraId="2298A7AB">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200"/>
        <w:contextualSpacing/>
        <w:jc w:val="left"/>
        <w:textAlignment w:val="auto"/>
        <w:outlineLvl w:val="9"/>
        <w:rPr>
          <w:rFonts w:hint="eastAsia" w:ascii="楷体_GB2312" w:hAnsi="楷体_GB2312" w:eastAsia="楷体_GB2312" w:cs="楷体_GB2312"/>
          <w:color w:val="000000"/>
          <w:kern w:val="0"/>
          <w:szCs w:val="32"/>
          <w:highlight w:val="none"/>
          <w:shd w:val="clear" w:color="auto" w:fill="FFFFFF"/>
          <w:lang w:val="zh-CN"/>
        </w:rPr>
      </w:pPr>
      <w:r>
        <w:rPr>
          <w:rFonts w:hint="eastAsia" w:ascii="楷体_GB2312" w:hAnsi="楷体_GB2312" w:eastAsia="楷体_GB2312" w:cs="楷体_GB2312"/>
          <w:color w:val="000000"/>
          <w:kern w:val="0"/>
          <w:szCs w:val="32"/>
          <w:highlight w:val="none"/>
          <w:shd w:val="clear" w:color="auto" w:fill="FFFFFF"/>
          <w:lang w:val="en-US" w:eastAsia="zh-CN"/>
        </w:rPr>
        <w:t>5.</w:t>
      </w:r>
      <w:r>
        <w:rPr>
          <w:rFonts w:hint="default" w:ascii="楷体_GB2312" w:hAnsi="楷体_GB2312" w:eastAsia="楷体_GB2312" w:cs="楷体_GB2312"/>
          <w:color w:val="000000"/>
          <w:kern w:val="0"/>
          <w:szCs w:val="32"/>
          <w:highlight w:val="none"/>
          <w:shd w:val="clear" w:color="auto" w:fill="FFFFFF"/>
          <w:lang w:val="zh-CN"/>
        </w:rPr>
        <w:t>采购管理</w:t>
      </w:r>
      <w:r>
        <w:rPr>
          <w:rFonts w:hint="eastAsia" w:ascii="楷体_GB2312" w:hAnsi="楷体_GB2312" w:eastAsia="楷体_GB2312" w:cs="楷体_GB2312"/>
          <w:color w:val="000000"/>
          <w:kern w:val="0"/>
          <w:szCs w:val="32"/>
          <w:highlight w:val="none"/>
          <w:shd w:val="clear" w:color="auto" w:fill="FFFFFF"/>
          <w:lang w:val="zh-CN"/>
        </w:rPr>
        <w:t>。</w:t>
      </w:r>
    </w:p>
    <w:p w14:paraId="7D10AFFB">
      <w:pPr>
        <w:keepNext w:val="0"/>
        <w:keepLines w:val="0"/>
        <w:pageBreakBefore w:val="0"/>
        <w:widowControl/>
        <w:numPr>
          <w:ilvl w:val="0"/>
          <w:numId w:val="0"/>
        </w:numPr>
        <w:kinsoku/>
        <w:wordWrap/>
        <w:overflowPunct/>
        <w:topLinePunct w:val="0"/>
        <w:bidi w:val="0"/>
        <w:adjustRightInd w:val="0"/>
        <w:snapToGrid w:val="0"/>
        <w:spacing w:line="560" w:lineRule="exact"/>
        <w:ind w:firstLine="640" w:firstLineChars="200"/>
        <w:contextualSpacing/>
        <w:jc w:val="left"/>
        <w:textAlignment w:val="auto"/>
        <w:rPr>
          <w:rFonts w:hint="eastAsia" w:ascii="Times New Roman" w:hAnsi="Times New Roman" w:cs="Times New Roman"/>
          <w:szCs w:val="32"/>
          <w:lang w:val="zh-CN" w:eastAsia="zh-CN"/>
        </w:rPr>
      </w:pPr>
      <w:r>
        <w:rPr>
          <w:rFonts w:hint="eastAsia" w:ascii="仿宋_GB2312" w:eastAsia="仿宋_GB2312" w:cs="Times New Roman"/>
          <w:kern w:val="2"/>
          <w:sz w:val="32"/>
          <w:szCs w:val="32"/>
          <w:lang w:val="en-US" w:eastAsia="zh-CN" w:bidi="ar-SA"/>
        </w:rPr>
        <w:t>为</w:t>
      </w:r>
      <w:r>
        <w:rPr>
          <w:rFonts w:hint="eastAsia" w:ascii="Times New Roman" w:hAnsi="Times New Roman" w:cs="Times New Roman"/>
          <w:szCs w:val="32"/>
          <w:lang w:val="en-US" w:eastAsia="zh-CN"/>
        </w:rPr>
        <w:t>保障单位正常运转，实现机构只能，根据实际需求按照程序实施政府采购</w:t>
      </w:r>
      <w:r>
        <w:rPr>
          <w:rFonts w:hint="eastAsia" w:ascii="Times New Roman" w:hAnsi="Times New Roman" w:cs="Times New Roman"/>
          <w:szCs w:val="32"/>
          <w:lang w:val="zh-CN" w:eastAsia="zh-CN"/>
        </w:rPr>
        <w:t>、采购</w:t>
      </w:r>
      <w:r>
        <w:rPr>
          <w:rFonts w:hint="eastAsia" w:ascii="Times New Roman" w:hAnsi="Times New Roman" w:cs="Times New Roman"/>
          <w:szCs w:val="32"/>
          <w:lang w:val="en-US" w:eastAsia="zh-CN"/>
        </w:rPr>
        <w:t>项目</w:t>
      </w:r>
      <w:r>
        <w:rPr>
          <w:rFonts w:hint="eastAsia" w:ascii="Times New Roman" w:hAnsi="Times New Roman" w:cs="Times New Roman"/>
          <w:szCs w:val="32"/>
          <w:lang w:val="zh-CN" w:eastAsia="zh-CN"/>
        </w:rPr>
        <w:t>执行率</w:t>
      </w:r>
      <w:r>
        <w:rPr>
          <w:rFonts w:hint="eastAsia" w:ascii="Times New Roman" w:hAnsi="Times New Roman" w:cs="Times New Roman"/>
          <w:szCs w:val="32"/>
          <w:lang w:val="en-US" w:eastAsia="zh-CN"/>
        </w:rPr>
        <w:t>达100%，采购结果与预期目标相匹配，通过科学合理的评价方法和标准，提高采购质量和效益</w:t>
      </w:r>
      <w:r>
        <w:rPr>
          <w:rFonts w:hint="eastAsia" w:ascii="Times New Roman" w:hAnsi="Times New Roman" w:cs="Times New Roman"/>
          <w:szCs w:val="32"/>
          <w:lang w:val="zh-CN" w:eastAsia="zh-CN"/>
        </w:rPr>
        <w:t>。</w:t>
      </w:r>
    </w:p>
    <w:p w14:paraId="37DEE592">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outlineLvl w:val="9"/>
        <w:rPr>
          <w:rFonts w:hint="default" w:ascii="Times New Roman" w:hAnsi="Times New Roman" w:cs="Times New Roman"/>
          <w:color w:val="000000"/>
          <w:kern w:val="0"/>
          <w:szCs w:val="32"/>
          <w:highlight w:val="none"/>
          <w:shd w:val="clear" w:color="auto" w:fill="FFFFFF"/>
          <w:lang w:val="en-US" w:eastAsia="zh-CN"/>
        </w:rPr>
      </w:pPr>
      <w:r>
        <w:rPr>
          <w:rFonts w:hint="default" w:ascii="Times New Roman" w:hAnsi="Times New Roman" w:eastAsia="楷体_GB2312" w:cs="Times New Roman"/>
          <w:b/>
          <w:bCs/>
          <w:color w:val="000000"/>
          <w:kern w:val="0"/>
          <w:szCs w:val="32"/>
          <w:highlight w:val="none"/>
          <w:shd w:val="clear" w:color="auto" w:fill="FFFFFF"/>
          <w:lang w:val="zh-CN"/>
        </w:rPr>
        <w:t>（二）部门预算项目绩效分析。</w:t>
      </w:r>
      <w:r>
        <w:rPr>
          <w:rFonts w:hint="eastAsia" w:ascii="Times New Roman" w:hAnsi="Times New Roman" w:cs="Times New Roman"/>
          <w:color w:val="000000"/>
          <w:kern w:val="0"/>
          <w:szCs w:val="32"/>
          <w:highlight w:val="none"/>
          <w:shd w:val="clear" w:color="auto" w:fill="FFFFFF"/>
          <w:lang w:val="zh-CN" w:eastAsia="zh-CN"/>
        </w:rPr>
        <w:t>填报以下数据，</w:t>
      </w:r>
      <w:r>
        <w:rPr>
          <w:rFonts w:hint="eastAsia" w:cs="Times New Roman"/>
          <w:color w:val="000000"/>
          <w:kern w:val="0"/>
          <w:szCs w:val="32"/>
          <w:highlight w:val="none"/>
          <w:shd w:val="clear" w:color="auto" w:fill="FFFFFF"/>
          <w:lang w:val="zh-CN"/>
        </w:rPr>
        <w:t>并</w:t>
      </w:r>
      <w:r>
        <w:rPr>
          <w:rFonts w:hint="default" w:ascii="Times New Roman" w:hAnsi="Times New Roman" w:cs="Times New Roman"/>
          <w:color w:val="000000"/>
          <w:kern w:val="0"/>
          <w:szCs w:val="32"/>
          <w:highlight w:val="none"/>
          <w:shd w:val="clear" w:color="auto" w:fill="FFFFFF"/>
          <w:lang w:val="zh-CN"/>
        </w:rPr>
        <w:t>根据部门预算绩效评价指标体系“项目绩效”涉及</w:t>
      </w:r>
      <w:r>
        <w:rPr>
          <w:rFonts w:hint="eastAsia" w:ascii="Times New Roman" w:hAnsi="Times New Roman" w:cs="Times New Roman"/>
          <w:color w:val="000000"/>
          <w:kern w:val="0"/>
          <w:szCs w:val="32"/>
          <w:highlight w:val="none"/>
          <w:shd w:val="clear" w:color="auto" w:fill="FFFFFF"/>
          <w:lang w:val="zh-CN"/>
        </w:rPr>
        <w:t>二、三级</w:t>
      </w:r>
      <w:r>
        <w:rPr>
          <w:rFonts w:hint="default" w:ascii="Times New Roman" w:hAnsi="Times New Roman" w:cs="Times New Roman"/>
          <w:color w:val="000000"/>
          <w:kern w:val="0"/>
          <w:szCs w:val="32"/>
          <w:highlight w:val="none"/>
          <w:shd w:val="clear" w:color="auto" w:fill="FFFFFF"/>
          <w:lang w:val="zh-CN"/>
        </w:rPr>
        <w:t>指标进行</w:t>
      </w:r>
      <w:r>
        <w:rPr>
          <w:rFonts w:hint="eastAsia" w:ascii="Times New Roman" w:hAnsi="Times New Roman" w:cs="Times New Roman"/>
          <w:color w:val="000000"/>
          <w:kern w:val="0"/>
          <w:szCs w:val="32"/>
          <w:highlight w:val="none"/>
          <w:shd w:val="clear" w:color="auto" w:fill="FFFFFF"/>
          <w:lang w:val="zh-CN"/>
        </w:rPr>
        <w:t>逐项</w:t>
      </w:r>
      <w:r>
        <w:rPr>
          <w:rFonts w:hint="default" w:ascii="Times New Roman" w:hAnsi="Times New Roman" w:cs="Times New Roman"/>
          <w:color w:val="000000"/>
          <w:kern w:val="0"/>
          <w:szCs w:val="32"/>
          <w:highlight w:val="none"/>
          <w:shd w:val="clear" w:color="auto" w:fill="FFFFFF"/>
          <w:lang w:val="zh-CN"/>
        </w:rPr>
        <w:t>绩效分析</w:t>
      </w:r>
      <w:r>
        <w:rPr>
          <w:rFonts w:hint="eastAsia" w:cs="Times New Roman"/>
          <w:color w:val="000000"/>
          <w:kern w:val="0"/>
          <w:szCs w:val="32"/>
          <w:highlight w:val="none"/>
          <w:shd w:val="clear" w:color="auto" w:fill="FFFFFF"/>
          <w:lang w:val="zh-CN"/>
        </w:rPr>
        <w:t>并评分</w:t>
      </w:r>
      <w:r>
        <w:rPr>
          <w:rFonts w:hint="default" w:ascii="Times New Roman" w:hAnsi="Times New Roman" w:cs="Times New Roman"/>
          <w:color w:val="000000"/>
          <w:kern w:val="0"/>
          <w:szCs w:val="32"/>
          <w:highlight w:val="none"/>
          <w:shd w:val="clear" w:color="auto" w:fill="FFFFFF"/>
          <w:lang w:val="zh-CN"/>
        </w:rPr>
        <w:t>，依次包括项目</w:t>
      </w:r>
      <w:r>
        <w:rPr>
          <w:rFonts w:hint="default" w:ascii="Times New Roman" w:hAnsi="Times New Roman" w:cs="Times New Roman"/>
          <w:color w:val="000000"/>
          <w:kern w:val="0"/>
          <w:szCs w:val="32"/>
          <w:highlight w:val="none"/>
          <w:shd w:val="clear" w:color="auto" w:fill="FFFFFF"/>
          <w:lang w:val="en-US" w:eastAsia="zh-CN"/>
        </w:rPr>
        <w:t>决策、项目执行、目标实现等情况</w:t>
      </w:r>
      <w:r>
        <w:rPr>
          <w:rFonts w:hint="eastAsia" w:ascii="Times New Roman" w:hAnsi="Times New Roman" w:cs="Times New Roman"/>
          <w:color w:val="000000"/>
          <w:kern w:val="0"/>
          <w:szCs w:val="32"/>
          <w:highlight w:val="none"/>
          <w:shd w:val="clear" w:color="auto" w:fill="FFFFFF"/>
          <w:lang w:val="en-US" w:eastAsia="zh-CN"/>
        </w:rPr>
        <w:t>。</w:t>
      </w:r>
    </w:p>
    <w:p w14:paraId="54A391F3">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cs="Times New Roman"/>
          <w:color w:val="000000"/>
          <w:kern w:val="0"/>
          <w:szCs w:val="32"/>
          <w:highlight w:val="none"/>
          <w:shd w:val="clear" w:color="auto" w:fill="FFFFFF"/>
          <w:lang w:val="zh-CN" w:eastAsia="zh-CN"/>
        </w:rPr>
      </w:pPr>
      <w:r>
        <w:rPr>
          <w:rFonts w:hint="default" w:cs="Times New Roman"/>
          <w:color w:val="000000"/>
          <w:kern w:val="0"/>
          <w:szCs w:val="32"/>
          <w:highlight w:val="none"/>
          <w:shd w:val="clear" w:color="auto" w:fill="FFFFFF"/>
          <w:lang w:val="en-US" w:eastAsia="zh-CN"/>
        </w:rPr>
        <w:t>常年项目绩效分析。</w:t>
      </w:r>
      <w:r>
        <w:rPr>
          <w:rFonts w:hint="default" w:cs="Times New Roman"/>
          <w:color w:val="000000"/>
          <w:kern w:val="0"/>
          <w:szCs w:val="32"/>
          <w:highlight w:val="none"/>
          <w:shd w:val="clear" w:color="auto" w:fill="FFFFFF"/>
          <w:lang w:val="zh-CN" w:eastAsia="zh-CN"/>
        </w:rPr>
        <w:t>该类项目总数</w:t>
      </w:r>
      <w:r>
        <w:rPr>
          <w:rFonts w:hint="eastAsia" w:cs="Times New Roman"/>
          <w:color w:val="000000"/>
          <w:kern w:val="0"/>
          <w:szCs w:val="32"/>
          <w:highlight w:val="none"/>
          <w:shd w:val="clear" w:color="auto" w:fill="FFFFFF"/>
          <w:lang w:val="en-US" w:eastAsia="zh-CN"/>
        </w:rPr>
        <w:t>69</w:t>
      </w:r>
      <w:r>
        <w:rPr>
          <w:rFonts w:hint="default" w:cs="Times New Roman"/>
          <w:color w:val="000000"/>
          <w:kern w:val="0"/>
          <w:szCs w:val="32"/>
          <w:highlight w:val="none"/>
          <w:shd w:val="clear" w:color="auto" w:fill="FFFFFF"/>
          <w:lang w:val="zh-CN" w:eastAsia="zh-CN"/>
        </w:rPr>
        <w:t>个，涉及预算总金额</w:t>
      </w:r>
      <w:r>
        <w:rPr>
          <w:rFonts w:hint="eastAsia" w:cs="Times New Roman"/>
          <w:color w:val="000000"/>
          <w:kern w:val="0"/>
          <w:szCs w:val="32"/>
          <w:highlight w:val="none"/>
          <w:shd w:val="clear" w:color="auto" w:fill="FFFFFF"/>
          <w:lang w:val="en-US" w:eastAsia="zh-CN"/>
        </w:rPr>
        <w:t>720.81</w:t>
      </w:r>
      <w:r>
        <w:rPr>
          <w:rFonts w:hint="default" w:cs="Times New Roman"/>
          <w:color w:val="000000"/>
          <w:kern w:val="0"/>
          <w:szCs w:val="32"/>
          <w:highlight w:val="none"/>
          <w:shd w:val="clear" w:color="auto" w:fill="FFFFFF"/>
          <w:lang w:val="zh-CN" w:eastAsia="zh-CN"/>
        </w:rPr>
        <w:t>万元，</w:t>
      </w:r>
      <w:r>
        <w:rPr>
          <w:rFonts w:hint="default" w:cs="Times New Roman"/>
          <w:color w:val="000000"/>
          <w:kern w:val="0"/>
          <w:szCs w:val="32"/>
          <w:highlight w:val="none"/>
          <w:shd w:val="clear" w:color="auto" w:fill="FFFFFF"/>
          <w:lang w:val="zh-CN"/>
        </w:rPr>
        <w:t>1</w:t>
      </w:r>
      <w:r>
        <w:rPr>
          <w:rFonts w:hint="eastAsia" w:cs="Times New Roman"/>
          <w:color w:val="000000"/>
          <w:kern w:val="0"/>
          <w:szCs w:val="32"/>
          <w:highlight w:val="none"/>
          <w:shd w:val="clear" w:color="auto" w:fill="FFFFFF"/>
          <w:lang w:val="zh-CN" w:eastAsia="zh-CN"/>
        </w:rPr>
        <w:t>—</w:t>
      </w:r>
      <w:r>
        <w:rPr>
          <w:rFonts w:hint="default" w:cs="Times New Roman"/>
          <w:color w:val="000000"/>
          <w:kern w:val="0"/>
          <w:szCs w:val="32"/>
          <w:highlight w:val="none"/>
          <w:shd w:val="clear" w:color="auto" w:fill="FFFFFF"/>
          <w:lang w:val="zh-CN"/>
        </w:rPr>
        <w:t>1</w:t>
      </w:r>
      <w:r>
        <w:rPr>
          <w:rFonts w:hint="default" w:cs="Times New Roman"/>
          <w:color w:val="000000"/>
          <w:kern w:val="0"/>
          <w:szCs w:val="32"/>
          <w:highlight w:val="none"/>
          <w:shd w:val="clear" w:color="auto" w:fill="FFFFFF"/>
          <w:lang w:val="en-US" w:eastAsia="zh-CN"/>
        </w:rPr>
        <w:t>2</w:t>
      </w:r>
      <w:r>
        <w:rPr>
          <w:rFonts w:hint="default" w:cs="Times New Roman"/>
          <w:color w:val="000000"/>
          <w:kern w:val="0"/>
          <w:szCs w:val="32"/>
          <w:highlight w:val="none"/>
          <w:shd w:val="clear" w:color="auto" w:fill="FFFFFF"/>
          <w:lang w:val="zh-CN"/>
        </w:rPr>
        <w:t>月预算执行总体进度为</w:t>
      </w:r>
      <w:r>
        <w:rPr>
          <w:rFonts w:hint="eastAsia" w:cs="Times New Roman"/>
          <w:color w:val="000000"/>
          <w:kern w:val="0"/>
          <w:szCs w:val="32"/>
          <w:highlight w:val="none"/>
          <w:shd w:val="clear" w:color="auto" w:fill="FFFFFF"/>
          <w:lang w:val="en-US" w:eastAsia="zh-CN"/>
        </w:rPr>
        <w:t>100</w:t>
      </w:r>
      <w:r>
        <w:rPr>
          <w:rFonts w:hint="default" w:cs="Times New Roman"/>
          <w:color w:val="000000"/>
          <w:kern w:val="0"/>
          <w:szCs w:val="32"/>
          <w:highlight w:val="none"/>
          <w:shd w:val="clear" w:color="auto" w:fill="FFFFFF"/>
          <w:lang w:val="zh-CN"/>
        </w:rPr>
        <w:t>%，其中：</w:t>
      </w:r>
      <w:r>
        <w:rPr>
          <w:rFonts w:hint="default" w:cs="Times New Roman"/>
          <w:color w:val="000000"/>
          <w:kern w:val="0"/>
          <w:szCs w:val="32"/>
          <w:highlight w:val="none"/>
          <w:shd w:val="clear" w:color="auto" w:fill="FFFFFF"/>
          <w:lang w:val="zh-CN" w:eastAsia="zh-CN"/>
        </w:rPr>
        <w:t>预算结余率大于</w:t>
      </w:r>
      <w:r>
        <w:rPr>
          <w:rFonts w:hint="default" w:cs="Times New Roman"/>
          <w:color w:val="000000"/>
          <w:kern w:val="0"/>
          <w:szCs w:val="32"/>
          <w:highlight w:val="none"/>
          <w:shd w:val="clear" w:color="auto" w:fill="FFFFFF"/>
          <w:lang w:val="en-US" w:eastAsia="zh-CN"/>
        </w:rPr>
        <w:t>10%</w:t>
      </w:r>
      <w:r>
        <w:rPr>
          <w:rFonts w:hint="default" w:cs="Times New Roman"/>
          <w:color w:val="000000"/>
          <w:kern w:val="0"/>
          <w:szCs w:val="32"/>
          <w:highlight w:val="none"/>
          <w:shd w:val="clear" w:color="auto" w:fill="FFFFFF"/>
          <w:lang w:val="zh-CN" w:eastAsia="zh-CN"/>
        </w:rPr>
        <w:t>的项目共计</w:t>
      </w:r>
      <w:r>
        <w:rPr>
          <w:rFonts w:hint="default" w:cs="Times New Roman"/>
          <w:color w:val="000000"/>
          <w:kern w:val="0"/>
          <w:szCs w:val="32"/>
          <w:highlight w:val="none"/>
          <w:shd w:val="clear" w:color="auto" w:fill="FFFFFF"/>
          <w:lang w:val="en-US" w:eastAsia="zh-CN"/>
        </w:rPr>
        <w:t xml:space="preserve"> </w:t>
      </w:r>
      <w:r>
        <w:rPr>
          <w:rFonts w:hint="eastAsia" w:cs="Times New Roman"/>
          <w:color w:val="000000"/>
          <w:kern w:val="0"/>
          <w:szCs w:val="32"/>
          <w:highlight w:val="none"/>
          <w:shd w:val="clear" w:color="auto" w:fill="FFFFFF"/>
          <w:lang w:val="en-US" w:eastAsia="zh-CN"/>
        </w:rPr>
        <w:t>0</w:t>
      </w:r>
      <w:r>
        <w:rPr>
          <w:rFonts w:hint="default" w:cs="Times New Roman"/>
          <w:color w:val="000000"/>
          <w:kern w:val="0"/>
          <w:szCs w:val="32"/>
          <w:highlight w:val="none"/>
          <w:shd w:val="clear" w:color="auto" w:fill="FFFFFF"/>
          <w:lang w:val="en-US" w:eastAsia="zh-CN"/>
        </w:rPr>
        <w:t xml:space="preserve">  </w:t>
      </w:r>
      <w:r>
        <w:rPr>
          <w:rFonts w:hint="default" w:cs="Times New Roman"/>
          <w:color w:val="000000"/>
          <w:kern w:val="0"/>
          <w:szCs w:val="32"/>
          <w:highlight w:val="none"/>
          <w:shd w:val="clear" w:color="auto" w:fill="FFFFFF"/>
          <w:lang w:val="zh-CN" w:eastAsia="zh-CN"/>
        </w:rPr>
        <w:t>个。</w:t>
      </w:r>
    </w:p>
    <w:p w14:paraId="72A7DFDB">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cs="Times New Roman"/>
          <w:color w:val="000000"/>
          <w:kern w:val="0"/>
          <w:szCs w:val="32"/>
          <w:highlight w:val="none"/>
          <w:shd w:val="clear" w:color="auto" w:fill="FFFFFF"/>
          <w:lang w:val="zh-CN" w:eastAsia="zh-CN"/>
        </w:rPr>
      </w:pPr>
      <w:r>
        <w:rPr>
          <w:rFonts w:hint="default" w:cs="Times New Roman"/>
          <w:color w:val="000000"/>
          <w:kern w:val="0"/>
          <w:szCs w:val="32"/>
          <w:highlight w:val="none"/>
          <w:shd w:val="clear" w:color="auto" w:fill="FFFFFF"/>
          <w:lang w:val="en-US" w:eastAsia="zh-CN"/>
        </w:rPr>
        <w:t>阶段</w:t>
      </w:r>
      <w:r>
        <w:rPr>
          <w:rFonts w:hint="eastAsia" w:cs="Times New Roman"/>
          <w:color w:val="000000"/>
          <w:kern w:val="0"/>
          <w:szCs w:val="32"/>
          <w:highlight w:val="none"/>
          <w:shd w:val="clear" w:color="auto" w:fill="FFFFFF"/>
          <w:lang w:val="en-US" w:eastAsia="zh-CN"/>
        </w:rPr>
        <w:t>（</w:t>
      </w:r>
      <w:r>
        <w:rPr>
          <w:rFonts w:hint="default" w:cs="Times New Roman"/>
          <w:color w:val="000000"/>
          <w:kern w:val="0"/>
          <w:szCs w:val="32"/>
          <w:highlight w:val="none"/>
          <w:shd w:val="clear" w:color="auto" w:fill="FFFFFF"/>
          <w:lang w:val="en-US" w:eastAsia="zh-CN"/>
        </w:rPr>
        <w:t>一次性</w:t>
      </w:r>
      <w:r>
        <w:rPr>
          <w:rFonts w:hint="eastAsia" w:cs="Times New Roman"/>
          <w:color w:val="000000"/>
          <w:kern w:val="0"/>
          <w:szCs w:val="32"/>
          <w:highlight w:val="none"/>
          <w:shd w:val="clear" w:color="auto" w:fill="FFFFFF"/>
          <w:lang w:val="en-US" w:eastAsia="zh-CN"/>
        </w:rPr>
        <w:t>）</w:t>
      </w:r>
      <w:r>
        <w:rPr>
          <w:rFonts w:hint="default" w:cs="Times New Roman"/>
          <w:color w:val="000000"/>
          <w:kern w:val="0"/>
          <w:szCs w:val="32"/>
          <w:highlight w:val="none"/>
          <w:shd w:val="clear" w:color="auto" w:fill="FFFFFF"/>
          <w:lang w:val="en-US" w:eastAsia="zh-CN"/>
        </w:rPr>
        <w:t>项目绩效分析。</w:t>
      </w:r>
      <w:r>
        <w:rPr>
          <w:rFonts w:hint="default" w:cs="Times New Roman"/>
          <w:color w:val="000000"/>
          <w:kern w:val="0"/>
          <w:szCs w:val="32"/>
          <w:highlight w:val="none"/>
          <w:shd w:val="clear" w:color="auto" w:fill="FFFFFF"/>
          <w:lang w:val="zh-CN" w:eastAsia="zh-CN"/>
        </w:rPr>
        <w:t>该类项目总数</w:t>
      </w:r>
      <w:r>
        <w:rPr>
          <w:rFonts w:hint="eastAsia" w:cs="Times New Roman"/>
          <w:color w:val="000000"/>
          <w:kern w:val="0"/>
          <w:szCs w:val="32"/>
          <w:highlight w:val="none"/>
          <w:shd w:val="clear" w:color="auto" w:fill="FFFFFF"/>
          <w:lang w:val="en-US" w:eastAsia="zh-CN"/>
        </w:rPr>
        <w:t>5</w:t>
      </w:r>
      <w:r>
        <w:rPr>
          <w:rFonts w:hint="default" w:cs="Times New Roman"/>
          <w:color w:val="000000"/>
          <w:kern w:val="0"/>
          <w:szCs w:val="32"/>
          <w:highlight w:val="none"/>
          <w:shd w:val="clear" w:color="auto" w:fill="FFFFFF"/>
          <w:lang w:val="zh-CN" w:eastAsia="zh-CN"/>
        </w:rPr>
        <w:t>个，涉及预算总金额</w:t>
      </w:r>
      <w:r>
        <w:rPr>
          <w:rFonts w:hint="eastAsia" w:ascii="仿宋_GB2312" w:hAnsi="仿宋"/>
          <w:color w:val="000000"/>
          <w:sz w:val="32"/>
          <w:szCs w:val="32"/>
          <w:lang w:val="en-US" w:eastAsia="zh-CN"/>
        </w:rPr>
        <w:t>553.08</w:t>
      </w:r>
      <w:r>
        <w:rPr>
          <w:rFonts w:hint="default" w:cs="Times New Roman"/>
          <w:color w:val="000000"/>
          <w:kern w:val="0"/>
          <w:szCs w:val="32"/>
          <w:highlight w:val="none"/>
          <w:shd w:val="clear" w:color="auto" w:fill="FFFFFF"/>
          <w:lang w:val="zh-CN" w:eastAsia="zh-CN"/>
        </w:rPr>
        <w:t>万元，</w:t>
      </w:r>
      <w:r>
        <w:rPr>
          <w:rFonts w:hint="default" w:cs="Times New Roman"/>
          <w:color w:val="000000"/>
          <w:kern w:val="0"/>
          <w:szCs w:val="32"/>
          <w:highlight w:val="none"/>
          <w:shd w:val="clear" w:color="auto" w:fill="FFFFFF"/>
          <w:lang w:val="zh-CN"/>
        </w:rPr>
        <w:t>1</w:t>
      </w:r>
      <w:r>
        <w:rPr>
          <w:rFonts w:hint="eastAsia" w:cs="Times New Roman"/>
          <w:color w:val="000000"/>
          <w:kern w:val="0"/>
          <w:szCs w:val="32"/>
          <w:highlight w:val="none"/>
          <w:shd w:val="clear" w:color="auto" w:fill="FFFFFF"/>
          <w:lang w:val="zh-CN" w:eastAsia="zh-CN"/>
        </w:rPr>
        <w:t>—</w:t>
      </w:r>
      <w:r>
        <w:rPr>
          <w:rFonts w:hint="default" w:cs="Times New Roman"/>
          <w:color w:val="000000"/>
          <w:kern w:val="0"/>
          <w:szCs w:val="32"/>
          <w:highlight w:val="none"/>
          <w:shd w:val="clear" w:color="auto" w:fill="FFFFFF"/>
          <w:lang w:val="zh-CN"/>
        </w:rPr>
        <w:t>1</w:t>
      </w:r>
      <w:r>
        <w:rPr>
          <w:rFonts w:hint="default" w:cs="Times New Roman"/>
          <w:color w:val="000000"/>
          <w:kern w:val="0"/>
          <w:szCs w:val="32"/>
          <w:highlight w:val="none"/>
          <w:shd w:val="clear" w:color="auto" w:fill="FFFFFF"/>
          <w:lang w:val="en-US" w:eastAsia="zh-CN"/>
        </w:rPr>
        <w:t>2</w:t>
      </w:r>
      <w:r>
        <w:rPr>
          <w:rFonts w:hint="default" w:cs="Times New Roman"/>
          <w:color w:val="000000"/>
          <w:kern w:val="0"/>
          <w:szCs w:val="32"/>
          <w:highlight w:val="none"/>
          <w:shd w:val="clear" w:color="auto" w:fill="FFFFFF"/>
          <w:lang w:val="zh-CN"/>
        </w:rPr>
        <w:t>月预算执行总体进度为</w:t>
      </w:r>
      <w:r>
        <w:rPr>
          <w:rFonts w:hint="eastAsia" w:cs="Times New Roman"/>
          <w:color w:val="000000"/>
          <w:kern w:val="0"/>
          <w:szCs w:val="32"/>
          <w:highlight w:val="none"/>
          <w:shd w:val="clear" w:color="auto" w:fill="FFFFFF"/>
          <w:lang w:val="en-US" w:eastAsia="zh-CN"/>
        </w:rPr>
        <w:t>100</w:t>
      </w:r>
      <w:r>
        <w:rPr>
          <w:rFonts w:hint="default" w:cs="Times New Roman"/>
          <w:color w:val="000000"/>
          <w:kern w:val="0"/>
          <w:szCs w:val="32"/>
          <w:highlight w:val="none"/>
          <w:shd w:val="clear" w:color="auto" w:fill="FFFFFF"/>
          <w:lang w:val="en-US" w:eastAsia="zh-CN"/>
        </w:rPr>
        <w:t xml:space="preserve"> </w:t>
      </w:r>
      <w:r>
        <w:rPr>
          <w:rFonts w:hint="default" w:cs="Times New Roman"/>
          <w:color w:val="000000"/>
          <w:kern w:val="0"/>
          <w:szCs w:val="32"/>
          <w:highlight w:val="none"/>
          <w:shd w:val="clear" w:color="auto" w:fill="FFFFFF"/>
          <w:lang w:val="zh-CN"/>
        </w:rPr>
        <w:t>%，其中：</w:t>
      </w:r>
      <w:r>
        <w:rPr>
          <w:rFonts w:hint="default" w:cs="Times New Roman"/>
          <w:color w:val="000000"/>
          <w:kern w:val="0"/>
          <w:szCs w:val="32"/>
          <w:highlight w:val="none"/>
          <w:shd w:val="clear" w:color="auto" w:fill="FFFFFF"/>
          <w:lang w:val="zh-CN" w:eastAsia="zh-CN"/>
        </w:rPr>
        <w:t>预算结余率大于</w:t>
      </w:r>
      <w:r>
        <w:rPr>
          <w:rFonts w:hint="default" w:cs="Times New Roman"/>
          <w:color w:val="000000"/>
          <w:kern w:val="0"/>
          <w:szCs w:val="32"/>
          <w:highlight w:val="none"/>
          <w:shd w:val="clear" w:color="auto" w:fill="FFFFFF"/>
          <w:lang w:val="en-US" w:eastAsia="zh-CN"/>
        </w:rPr>
        <w:t>10%</w:t>
      </w:r>
      <w:r>
        <w:rPr>
          <w:rFonts w:hint="default" w:cs="Times New Roman"/>
          <w:color w:val="000000"/>
          <w:kern w:val="0"/>
          <w:szCs w:val="32"/>
          <w:highlight w:val="none"/>
          <w:shd w:val="clear" w:color="auto" w:fill="FFFFFF"/>
          <w:lang w:val="zh-CN" w:eastAsia="zh-CN"/>
        </w:rPr>
        <w:t>的项目共计</w:t>
      </w:r>
      <w:r>
        <w:rPr>
          <w:rFonts w:hint="default" w:cs="Times New Roman"/>
          <w:color w:val="000000"/>
          <w:kern w:val="0"/>
          <w:szCs w:val="32"/>
          <w:highlight w:val="none"/>
          <w:shd w:val="clear" w:color="auto" w:fill="FFFFFF"/>
          <w:lang w:val="en-US" w:eastAsia="zh-CN"/>
        </w:rPr>
        <w:t xml:space="preserve"> </w:t>
      </w:r>
      <w:r>
        <w:rPr>
          <w:rFonts w:hint="eastAsia" w:cs="Times New Roman"/>
          <w:color w:val="000000"/>
          <w:kern w:val="0"/>
          <w:szCs w:val="32"/>
          <w:highlight w:val="none"/>
          <w:shd w:val="clear" w:color="auto" w:fill="FFFFFF"/>
          <w:lang w:val="en-US" w:eastAsia="zh-CN"/>
        </w:rPr>
        <w:t>0</w:t>
      </w:r>
      <w:r>
        <w:rPr>
          <w:rFonts w:hint="default" w:cs="Times New Roman"/>
          <w:color w:val="000000"/>
          <w:kern w:val="0"/>
          <w:szCs w:val="32"/>
          <w:highlight w:val="none"/>
          <w:shd w:val="clear" w:color="auto" w:fill="FFFFFF"/>
          <w:lang w:val="en-US" w:eastAsia="zh-CN"/>
        </w:rPr>
        <w:t xml:space="preserve"> </w:t>
      </w:r>
      <w:r>
        <w:rPr>
          <w:rFonts w:hint="default" w:cs="Times New Roman"/>
          <w:color w:val="000000"/>
          <w:kern w:val="0"/>
          <w:szCs w:val="32"/>
          <w:highlight w:val="none"/>
          <w:shd w:val="clear" w:color="auto" w:fill="FFFFFF"/>
          <w:lang w:val="zh-CN" w:eastAsia="zh-CN"/>
        </w:rPr>
        <w:t>个。</w:t>
      </w:r>
    </w:p>
    <w:p w14:paraId="64109577">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eastAsia" w:ascii="楷体_GB2312" w:hAnsi="楷体_GB2312" w:eastAsia="楷体_GB2312" w:cs="楷体_GB2312"/>
          <w:color w:val="000000"/>
          <w:kern w:val="0"/>
          <w:szCs w:val="32"/>
          <w:highlight w:val="none"/>
          <w:shd w:val="clear" w:color="auto" w:fill="FFFFFF"/>
          <w:lang w:val="zh-CN"/>
        </w:rPr>
      </w:pPr>
      <w:r>
        <w:rPr>
          <w:rFonts w:hint="eastAsia" w:ascii="楷体_GB2312" w:hAnsi="楷体_GB2312" w:eastAsia="楷体_GB2312" w:cs="楷体_GB2312"/>
          <w:color w:val="000000"/>
          <w:kern w:val="0"/>
          <w:szCs w:val="32"/>
          <w:highlight w:val="none"/>
          <w:shd w:val="clear" w:color="auto" w:fill="FFFFFF"/>
          <w:lang w:val="en-US" w:eastAsia="zh-CN"/>
        </w:rPr>
        <w:t>1.</w:t>
      </w:r>
      <w:r>
        <w:rPr>
          <w:rFonts w:hint="eastAsia" w:ascii="楷体_GB2312" w:hAnsi="楷体_GB2312" w:eastAsia="楷体_GB2312" w:cs="楷体_GB2312"/>
          <w:color w:val="000000"/>
          <w:kern w:val="0"/>
          <w:szCs w:val="32"/>
          <w:highlight w:val="none"/>
          <w:shd w:val="clear" w:color="auto" w:fill="FFFFFF"/>
          <w:lang w:val="zh-CN"/>
        </w:rPr>
        <w:t>项目决策。</w:t>
      </w:r>
    </w:p>
    <w:p w14:paraId="47C3B878">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eastAsia" w:cs="Times New Roman"/>
          <w:color w:val="000000"/>
          <w:kern w:val="0"/>
          <w:szCs w:val="32"/>
          <w:highlight w:val="none"/>
          <w:shd w:val="clear" w:color="auto" w:fill="FFFFFF"/>
          <w:lang w:val="zh-CN" w:eastAsia="zh-CN"/>
        </w:rPr>
      </w:pPr>
      <w:r>
        <w:rPr>
          <w:rFonts w:hint="eastAsia" w:cs="Times New Roman"/>
          <w:color w:val="000000"/>
          <w:kern w:val="0"/>
          <w:szCs w:val="32"/>
          <w:highlight w:val="none"/>
          <w:shd w:val="clear" w:color="auto" w:fill="FFFFFF"/>
          <w:lang w:val="en-US" w:eastAsia="zh-CN"/>
        </w:rPr>
        <w:t>本单位</w:t>
      </w:r>
      <w:r>
        <w:rPr>
          <w:rFonts w:hint="eastAsia" w:cs="Times New Roman"/>
          <w:color w:val="000000"/>
          <w:kern w:val="0"/>
          <w:szCs w:val="32"/>
          <w:highlight w:val="none"/>
          <w:shd w:val="clear" w:color="auto" w:fill="FFFFFF"/>
          <w:lang w:val="zh-CN" w:eastAsia="zh-CN"/>
        </w:rPr>
        <w:t>预算项目设立</w:t>
      </w:r>
      <w:r>
        <w:rPr>
          <w:rFonts w:hint="eastAsia" w:cs="Times New Roman"/>
          <w:color w:val="000000"/>
          <w:kern w:val="0"/>
          <w:szCs w:val="32"/>
          <w:highlight w:val="none"/>
          <w:shd w:val="clear" w:color="auto" w:fill="FFFFFF"/>
          <w:lang w:val="en-US" w:eastAsia="zh-CN"/>
        </w:rPr>
        <w:t>都</w:t>
      </w:r>
      <w:r>
        <w:rPr>
          <w:rFonts w:hint="eastAsia" w:cs="Times New Roman"/>
          <w:color w:val="000000"/>
          <w:kern w:val="0"/>
          <w:szCs w:val="32"/>
          <w:highlight w:val="none"/>
          <w:shd w:val="clear" w:color="auto" w:fill="FFFFFF"/>
          <w:lang w:val="zh-CN" w:eastAsia="zh-CN"/>
        </w:rPr>
        <w:t>按规定履行评估论证、按程序申报、预算项目绩效目标与计划期内的任务量、预算安排的资金量匹配情况，绩效目标设置科学合理、规范完整、量化细化、预算匹配、预算项目在规定时间</w:t>
      </w:r>
      <w:r>
        <w:rPr>
          <w:rFonts w:hint="eastAsia" w:cs="Times New Roman"/>
          <w:color w:val="000000"/>
          <w:kern w:val="0"/>
          <w:szCs w:val="32"/>
          <w:highlight w:val="none"/>
          <w:shd w:val="clear" w:color="auto" w:fill="FFFFFF"/>
          <w:lang w:val="en-US" w:eastAsia="zh-CN"/>
        </w:rPr>
        <w:t>内</w:t>
      </w:r>
      <w:r>
        <w:rPr>
          <w:rFonts w:hint="eastAsia" w:cs="Times New Roman"/>
          <w:color w:val="000000"/>
          <w:kern w:val="0"/>
          <w:szCs w:val="32"/>
          <w:highlight w:val="none"/>
          <w:shd w:val="clear" w:color="auto" w:fill="FFFFFF"/>
          <w:lang w:val="zh-CN" w:eastAsia="zh-CN"/>
        </w:rPr>
        <w:t>完成项目入库，</w:t>
      </w:r>
      <w:r>
        <w:rPr>
          <w:rFonts w:hint="eastAsia" w:ascii="仿宋" w:hAnsi="仿宋" w:eastAsia="仿宋" w:cs="仿宋_GB2312"/>
          <w:color w:val="000000"/>
          <w:sz w:val="32"/>
          <w:szCs w:val="32"/>
        </w:rPr>
        <w:t>明确绩效目标，控制支行成本，提高项目发挥作用。</w:t>
      </w:r>
    </w:p>
    <w:p w14:paraId="00B9746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eastAsia" w:ascii="楷体_GB2312" w:hAnsi="楷体_GB2312" w:eastAsia="楷体_GB2312" w:cs="楷体_GB2312"/>
          <w:color w:val="000000"/>
          <w:kern w:val="0"/>
          <w:szCs w:val="32"/>
          <w:highlight w:val="none"/>
          <w:shd w:val="clear" w:color="auto" w:fill="FFFFFF"/>
          <w:lang w:val="zh-CN"/>
        </w:rPr>
      </w:pPr>
      <w:r>
        <w:rPr>
          <w:rFonts w:hint="eastAsia" w:ascii="楷体_GB2312" w:hAnsi="楷体_GB2312" w:eastAsia="楷体_GB2312" w:cs="楷体_GB2312"/>
          <w:color w:val="000000"/>
          <w:kern w:val="0"/>
          <w:szCs w:val="32"/>
          <w:highlight w:val="none"/>
          <w:shd w:val="clear" w:color="auto" w:fill="FFFFFF"/>
          <w:lang w:val="en-US" w:eastAsia="zh-CN"/>
        </w:rPr>
        <w:t>2.项目执行</w:t>
      </w:r>
      <w:r>
        <w:rPr>
          <w:rFonts w:hint="eastAsia" w:ascii="楷体_GB2312" w:hAnsi="楷体_GB2312" w:eastAsia="楷体_GB2312" w:cs="楷体_GB2312"/>
          <w:color w:val="000000"/>
          <w:kern w:val="0"/>
          <w:szCs w:val="32"/>
          <w:highlight w:val="none"/>
          <w:shd w:val="clear" w:color="auto" w:fill="FFFFFF"/>
          <w:lang w:val="zh-CN"/>
        </w:rPr>
        <w:t>。</w:t>
      </w:r>
    </w:p>
    <w:p w14:paraId="12CA023C">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eastAsia" w:ascii="楷体_GB2312" w:hAnsi="楷体_GB2312" w:eastAsia="楷体_GB2312" w:cs="楷体_GB2312"/>
          <w:color w:val="000000"/>
          <w:kern w:val="0"/>
          <w:szCs w:val="32"/>
          <w:highlight w:val="none"/>
          <w:shd w:val="clear" w:color="auto" w:fill="FFFFFF"/>
          <w:lang w:val="zh-CN"/>
        </w:rPr>
      </w:pPr>
      <w:r>
        <w:rPr>
          <w:rFonts w:hint="eastAsia" w:ascii="Times New Roman" w:hAnsi="Times New Roman" w:cs="Times New Roman"/>
          <w:color w:val="000000"/>
          <w:kern w:val="0"/>
          <w:szCs w:val="32"/>
          <w:highlight w:val="none"/>
          <w:shd w:val="clear" w:color="auto" w:fill="FFFFFF"/>
          <w:lang w:val="zh-CN"/>
        </w:rPr>
        <w:t>预算项目实际列支内容与绩效目标设置方向相符</w:t>
      </w:r>
      <w:r>
        <w:rPr>
          <w:rFonts w:hint="eastAsia" w:cs="Times New Roman"/>
          <w:color w:val="000000"/>
          <w:kern w:val="0"/>
          <w:szCs w:val="32"/>
          <w:highlight w:val="none"/>
          <w:shd w:val="clear" w:color="auto" w:fill="FFFFFF"/>
          <w:lang w:val="zh-CN"/>
        </w:rPr>
        <w:t>、预算项目采取对应调整措施，</w:t>
      </w:r>
      <w:r>
        <w:rPr>
          <w:rFonts w:hint="eastAsia" w:cs="Times New Roman"/>
          <w:color w:val="000000"/>
          <w:kern w:val="0"/>
          <w:szCs w:val="32"/>
          <w:highlight w:val="none"/>
          <w:shd w:val="clear" w:color="auto" w:fill="FFFFFF"/>
          <w:lang w:val="en-US" w:eastAsia="zh-CN"/>
        </w:rPr>
        <w:t>按程序调整</w:t>
      </w:r>
      <w:r>
        <w:rPr>
          <w:rFonts w:hint="eastAsia" w:cs="Times New Roman"/>
          <w:color w:val="000000"/>
          <w:kern w:val="0"/>
          <w:szCs w:val="32"/>
          <w:highlight w:val="none"/>
          <w:shd w:val="clear" w:color="auto" w:fill="FFFFFF"/>
          <w:lang w:val="zh-CN"/>
        </w:rPr>
        <w:t>、预算项目</w:t>
      </w:r>
      <w:r>
        <w:rPr>
          <w:rFonts w:hint="eastAsia" w:cs="Times New Roman"/>
          <w:color w:val="000000"/>
          <w:kern w:val="0"/>
          <w:szCs w:val="32"/>
          <w:highlight w:val="none"/>
          <w:shd w:val="clear" w:color="auto" w:fill="FFFFFF"/>
          <w:lang w:val="en-US" w:eastAsia="zh-CN"/>
        </w:rPr>
        <w:t>按照文件时间节点有序推进，按时完成并</w:t>
      </w:r>
      <w:r>
        <w:rPr>
          <w:rFonts w:hint="eastAsia" w:ascii="仿宋" w:hAnsi="仿宋" w:eastAsia="仿宋" w:cs="仿宋_GB2312"/>
          <w:color w:val="000000"/>
          <w:sz w:val="32"/>
          <w:szCs w:val="32"/>
          <w:lang w:val="zh-CN"/>
        </w:rPr>
        <w:t>根据财政局统一要求编制了我办整体绩效目标报告及项目整体绩效目标表，并报县财政局。</w:t>
      </w:r>
    </w:p>
    <w:p w14:paraId="11578303">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eastAsia" w:ascii="楷体_GB2312" w:hAnsi="楷体_GB2312" w:eastAsia="楷体_GB2312" w:cs="楷体_GB2312"/>
          <w:color w:val="000000"/>
          <w:kern w:val="0"/>
          <w:szCs w:val="32"/>
          <w:highlight w:val="none"/>
          <w:shd w:val="clear" w:color="auto" w:fill="FFFFFF"/>
          <w:lang w:val="zh-CN"/>
        </w:rPr>
      </w:pPr>
      <w:r>
        <w:rPr>
          <w:rFonts w:hint="eastAsia" w:ascii="楷体_GB2312" w:hAnsi="楷体_GB2312" w:eastAsia="楷体_GB2312" w:cs="楷体_GB2312"/>
          <w:color w:val="000000"/>
          <w:kern w:val="0"/>
          <w:szCs w:val="32"/>
          <w:highlight w:val="none"/>
          <w:shd w:val="clear" w:color="auto" w:fill="FFFFFF"/>
          <w:lang w:val="en-US" w:eastAsia="zh-CN"/>
        </w:rPr>
        <w:t>3.</w:t>
      </w:r>
      <w:r>
        <w:rPr>
          <w:rFonts w:hint="eastAsia" w:ascii="楷体_GB2312" w:hAnsi="楷体_GB2312" w:eastAsia="楷体_GB2312" w:cs="楷体_GB2312"/>
          <w:color w:val="000000"/>
          <w:kern w:val="0"/>
          <w:szCs w:val="32"/>
          <w:highlight w:val="none"/>
          <w:shd w:val="clear" w:color="auto" w:fill="FFFFFF"/>
          <w:lang w:val="zh-CN"/>
        </w:rPr>
        <w:t>目标实现。</w:t>
      </w:r>
    </w:p>
    <w:p w14:paraId="69305F6F">
      <w:pPr>
        <w:keepNext w:val="0"/>
        <w:keepLines w:val="0"/>
        <w:pageBreakBefore w:val="0"/>
        <w:bidi w:val="0"/>
        <w:spacing w:line="560" w:lineRule="exact"/>
        <w:ind w:firstLine="640" w:firstLineChars="200"/>
        <w:textAlignment w:val="auto"/>
        <w:rPr>
          <w:rFonts w:hint="eastAsia" w:ascii="楷体_GB2312" w:hAnsi="楷体_GB2312" w:eastAsia="楷体_GB2312" w:cs="楷体_GB2312"/>
          <w:color w:val="000000"/>
          <w:kern w:val="0"/>
          <w:szCs w:val="32"/>
          <w:highlight w:val="none"/>
          <w:shd w:val="clear" w:color="auto" w:fill="FFFFFF"/>
          <w:lang w:val="zh-CN" w:eastAsia="zh-CN"/>
        </w:rPr>
      </w:pPr>
      <w:r>
        <w:rPr>
          <w:rFonts w:hint="eastAsia" w:ascii="仿宋_GB2312" w:eastAsia="仿宋_GB2312" w:cs="仿宋_GB2312"/>
          <w:sz w:val="32"/>
          <w:szCs w:val="32"/>
        </w:rPr>
        <w:t>根据预算绩效管理要求，我单位在年初预算编制阶段，组织对项目开展了预算事前绩效评估，本部门按要求对</w:t>
      </w:r>
      <w:r>
        <w:rPr>
          <w:rFonts w:hint="eastAsia" w:ascii="仿宋_GB2312" w:cs="仿宋_GB2312"/>
          <w:sz w:val="32"/>
          <w:szCs w:val="32"/>
          <w:lang w:eastAsia="zh-CN"/>
        </w:rPr>
        <w:t>2024</w:t>
      </w:r>
      <w:r>
        <w:rPr>
          <w:rFonts w:hint="eastAsia" w:ascii="仿宋_GB2312" w:eastAsia="仿宋_GB2312" w:cs="仿宋_GB2312"/>
          <w:sz w:val="32"/>
          <w:szCs w:val="32"/>
        </w:rPr>
        <w:t>年部门整体支出开展绩效自评，</w:t>
      </w:r>
      <w:r>
        <w:rPr>
          <w:rFonts w:hint="eastAsia" w:ascii="仿宋_GB2312" w:eastAsia="仿宋_GB2312"/>
          <w:sz w:val="32"/>
          <w:szCs w:val="32"/>
        </w:rPr>
        <w:t>我单位深入贯彻落实</w:t>
      </w:r>
      <w:r>
        <w:rPr>
          <w:rFonts w:hint="eastAsia" w:ascii="仿宋_GB2312" w:eastAsia="仿宋_GB2312"/>
          <w:sz w:val="32"/>
          <w:szCs w:val="32"/>
          <w:lang w:val="en-US" w:eastAsia="zh-CN"/>
        </w:rPr>
        <w:t>二十</w:t>
      </w:r>
      <w:r>
        <w:rPr>
          <w:rFonts w:hint="eastAsia" w:ascii="仿宋_GB2312" w:eastAsia="仿宋_GB2312"/>
          <w:sz w:val="32"/>
          <w:szCs w:val="32"/>
        </w:rPr>
        <w:t>大关于“全面实施绩效管理”的要求，努力提升本单位绩效预算管理业务水平。主动公开绩效结果，加大资金使用效率，提升政府管理水平。及时告知各部门（科室）部门预算及项目支出进度</w:t>
      </w:r>
      <w:r>
        <w:rPr>
          <w:rFonts w:hint="eastAsia" w:ascii="仿宋_GB2312" w:eastAsia="仿宋_GB2312" w:cs="仿宋_GB2312"/>
          <w:sz w:val="32"/>
          <w:szCs w:val="32"/>
        </w:rPr>
        <w:t>。</w:t>
      </w:r>
    </w:p>
    <w:p w14:paraId="4E3B0CF1">
      <w:pPr>
        <w:keepNext w:val="0"/>
        <w:keepLines w:val="0"/>
        <w:pageBreakBefore w:val="0"/>
        <w:widowControl/>
        <w:numPr>
          <w:ilvl w:val="0"/>
          <w:numId w:val="3"/>
        </w:numPr>
        <w:kinsoku/>
        <w:wordWrap/>
        <w:overflowPunct/>
        <w:topLinePunct w:val="0"/>
        <w:autoSpaceDE/>
        <w:autoSpaceDN/>
        <w:bidi w:val="0"/>
        <w:adjustRightInd w:val="0"/>
        <w:snapToGrid w:val="0"/>
        <w:spacing w:line="560"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Cs w:val="32"/>
          <w:highlight w:val="none"/>
          <w:shd w:val="clear" w:color="auto" w:fill="FFFFFF"/>
          <w:lang w:val="zh-CN" w:eastAsia="zh-CN"/>
        </w:rPr>
      </w:pPr>
      <w:r>
        <w:rPr>
          <w:rFonts w:hint="default" w:ascii="Times New Roman" w:hAnsi="Times New Roman" w:eastAsia="楷体_GB2312" w:cs="Times New Roman"/>
          <w:b/>
          <w:bCs/>
          <w:color w:val="000000"/>
          <w:kern w:val="0"/>
          <w:szCs w:val="32"/>
          <w:highlight w:val="none"/>
          <w:shd w:val="clear" w:color="auto" w:fill="FFFFFF"/>
          <w:lang w:val="zh-CN" w:eastAsia="zh-CN"/>
        </w:rPr>
        <w:t>重点领域</w:t>
      </w:r>
      <w:r>
        <w:rPr>
          <w:rFonts w:hint="default" w:ascii="Times New Roman" w:hAnsi="Times New Roman" w:eastAsia="楷体_GB2312" w:cs="Times New Roman"/>
          <w:b/>
          <w:bCs/>
          <w:color w:val="000000"/>
          <w:kern w:val="0"/>
          <w:szCs w:val="32"/>
          <w:highlight w:val="none"/>
          <w:shd w:val="clear" w:color="auto" w:fill="FFFFFF"/>
          <w:lang w:val="zh-CN"/>
        </w:rPr>
        <w:t>绩效分析</w:t>
      </w:r>
      <w:r>
        <w:rPr>
          <w:rFonts w:hint="default" w:ascii="Times New Roman" w:hAnsi="Times New Roman" w:eastAsia="楷体_GB2312" w:cs="Times New Roman"/>
          <w:b/>
          <w:bCs/>
          <w:color w:val="000000"/>
          <w:kern w:val="0"/>
          <w:szCs w:val="32"/>
          <w:highlight w:val="none"/>
          <w:shd w:val="clear" w:color="auto" w:fill="FFFFFF"/>
          <w:lang w:val="zh-CN" w:eastAsia="zh-CN"/>
        </w:rPr>
        <w:t>。</w:t>
      </w:r>
    </w:p>
    <w:p w14:paraId="32C98D2D">
      <w:pPr>
        <w:keepNext w:val="0"/>
        <w:keepLines w:val="0"/>
        <w:pageBreakBefore w:val="0"/>
        <w:bidi w:val="0"/>
        <w:spacing w:line="560" w:lineRule="exact"/>
        <w:ind w:firstLine="640" w:firstLineChars="200"/>
        <w:textAlignment w:val="auto"/>
        <w:rPr>
          <w:rFonts w:hint="default" w:ascii="Times New Roman" w:hAnsi="Times New Roman" w:cs="Times New Roman"/>
          <w:color w:val="000000"/>
          <w:kern w:val="0"/>
          <w:szCs w:val="32"/>
          <w:highlight w:val="none"/>
          <w:shd w:val="clear" w:color="auto" w:fill="FFFFFF"/>
          <w:lang w:val="en-US" w:eastAsia="zh-CN"/>
        </w:rPr>
      </w:pPr>
      <w:r>
        <w:rPr>
          <w:rFonts w:hint="eastAsia" w:ascii="仿宋" w:hAnsi="仿宋" w:eastAsia="仿宋" w:cs="仿宋_GB2312"/>
          <w:color w:val="000000"/>
          <w:sz w:val="32"/>
          <w:szCs w:val="32"/>
          <w:lang w:val="zh-CN"/>
        </w:rPr>
        <w:t>我单位按照规定完全履行职责，整体评价良好，服务对象基本满意从预算执行来情况看，预算资金覆盖我单位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14:paraId="6F0E0E4A">
      <w:pPr>
        <w:keepNext w:val="0"/>
        <w:keepLines w:val="0"/>
        <w:pageBreakBefore w:val="0"/>
        <w:widowControl w:val="0"/>
        <w:numPr>
          <w:ilvl w:val="0"/>
          <w:numId w:val="3"/>
        </w:numPr>
        <w:kinsoku/>
        <w:wordWrap/>
        <w:overflowPunct/>
        <w:topLinePunct w:val="0"/>
        <w:autoSpaceDE/>
        <w:autoSpaceDN/>
        <w:bidi w:val="0"/>
        <w:snapToGrid w:val="0"/>
        <w:spacing w:line="560" w:lineRule="exact"/>
        <w:ind w:left="0" w:leftChars="0" w:firstLine="643" w:firstLineChars="200"/>
        <w:textAlignment w:val="auto"/>
        <w:rPr>
          <w:rFonts w:hint="eastAsia" w:ascii="Times New Roman" w:hAnsi="Times New Roman" w:eastAsia="楷体_GB2312" w:cs="Times New Roman"/>
          <w:b/>
          <w:bCs/>
          <w:szCs w:val="32"/>
          <w:lang w:val="zh-CN"/>
        </w:rPr>
      </w:pPr>
      <w:r>
        <w:rPr>
          <w:rFonts w:hint="default" w:ascii="Times New Roman" w:hAnsi="Times New Roman" w:eastAsia="楷体_GB2312" w:cs="Times New Roman"/>
          <w:b/>
          <w:bCs/>
          <w:szCs w:val="32"/>
          <w:lang w:val="zh-CN"/>
        </w:rPr>
        <w:t>绩效结果应用情况</w:t>
      </w:r>
      <w:r>
        <w:rPr>
          <w:rFonts w:hint="eastAsia" w:ascii="Times New Roman" w:hAnsi="Times New Roman" w:eastAsia="楷体_GB2312" w:cs="Times New Roman"/>
          <w:b/>
          <w:bCs/>
          <w:szCs w:val="32"/>
          <w:lang w:val="zh-CN"/>
        </w:rPr>
        <w:t>。</w:t>
      </w:r>
    </w:p>
    <w:p w14:paraId="43ACC622">
      <w:pPr>
        <w:keepNext w:val="0"/>
        <w:keepLines w:val="0"/>
        <w:pageBreakBefore w:val="0"/>
        <w:bidi w:val="0"/>
        <w:spacing w:line="560" w:lineRule="exact"/>
        <w:ind w:firstLine="640" w:firstLineChars="200"/>
        <w:textAlignment w:val="auto"/>
        <w:rPr>
          <w:rFonts w:hint="default" w:ascii="Times New Roman" w:hAnsi="Times New Roman" w:cs="Times New Roman"/>
          <w:color w:val="000000"/>
          <w:kern w:val="0"/>
          <w:szCs w:val="32"/>
          <w:highlight w:val="none"/>
          <w:shd w:val="clear" w:color="auto" w:fill="FFFFFF"/>
          <w:lang w:val="en-US"/>
        </w:rPr>
      </w:pPr>
      <w:r>
        <w:rPr>
          <w:rFonts w:hint="eastAsia" w:ascii="仿宋_GB2312" w:eastAsia="仿宋_GB2312" w:cs="仿宋_GB2312"/>
          <w:sz w:val="32"/>
          <w:szCs w:val="32"/>
        </w:rPr>
        <w:t>根据预算绩效管理要求，我单位在年初预算编制阶段，组织对项目开展了预算事前绩效评估，本部门按要求对</w:t>
      </w:r>
      <w:r>
        <w:rPr>
          <w:rFonts w:hint="eastAsia" w:ascii="仿宋_GB2312" w:cs="仿宋_GB2312"/>
          <w:sz w:val="32"/>
          <w:szCs w:val="32"/>
          <w:lang w:eastAsia="zh-CN"/>
        </w:rPr>
        <w:t>2024</w:t>
      </w:r>
      <w:r>
        <w:rPr>
          <w:rFonts w:hint="eastAsia" w:ascii="仿宋_GB2312" w:eastAsia="仿宋_GB2312" w:cs="仿宋_GB2312"/>
          <w:sz w:val="32"/>
          <w:szCs w:val="32"/>
        </w:rPr>
        <w:t>年部门整体支出开展绩效自评，</w:t>
      </w:r>
      <w:r>
        <w:rPr>
          <w:rFonts w:hint="eastAsia" w:ascii="仿宋_GB2312" w:eastAsia="仿宋_GB2312"/>
          <w:sz w:val="32"/>
          <w:szCs w:val="32"/>
        </w:rPr>
        <w:t>我单位深入贯彻落实</w:t>
      </w:r>
      <w:r>
        <w:rPr>
          <w:rFonts w:hint="eastAsia" w:ascii="仿宋_GB2312" w:eastAsia="仿宋_GB2312"/>
          <w:sz w:val="32"/>
          <w:szCs w:val="32"/>
          <w:lang w:val="en-US" w:eastAsia="zh-CN"/>
        </w:rPr>
        <w:t>二十</w:t>
      </w:r>
      <w:r>
        <w:rPr>
          <w:rFonts w:hint="eastAsia" w:ascii="仿宋_GB2312" w:eastAsia="仿宋_GB2312"/>
          <w:sz w:val="32"/>
          <w:szCs w:val="32"/>
        </w:rPr>
        <w:t>大关于“全面实施绩效管理”的要求，努力提升本单位绩效预算管理业务水平。主动公开绩效结果，加大资金使用效率，提升政府管理水平。及时告知各部门（科室）部门预算及项目支出进度</w:t>
      </w:r>
      <w:r>
        <w:rPr>
          <w:rFonts w:hint="eastAsia" w:ascii="仿宋_GB2312" w:eastAsia="仿宋_GB2312" w:cs="仿宋_GB2312"/>
          <w:sz w:val="32"/>
          <w:szCs w:val="32"/>
        </w:rPr>
        <w:t>。</w:t>
      </w:r>
    </w:p>
    <w:p w14:paraId="1B8628F7">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ascii="Times New Roman" w:hAnsi="Times New Roman" w:eastAsia="黑体" w:cs="Times New Roman"/>
          <w:color w:val="000000"/>
          <w:kern w:val="0"/>
          <w:szCs w:val="32"/>
          <w:highlight w:val="none"/>
          <w:shd w:val="clear" w:color="auto" w:fill="FFFFFF"/>
        </w:rPr>
      </w:pPr>
      <w:r>
        <w:rPr>
          <w:rFonts w:hint="default" w:ascii="Times New Roman" w:hAnsi="Times New Roman" w:eastAsia="黑体" w:cs="Times New Roman"/>
          <w:color w:val="000000"/>
          <w:kern w:val="0"/>
          <w:szCs w:val="32"/>
          <w:highlight w:val="none"/>
          <w:shd w:val="clear" w:color="auto" w:fill="FFFFFF"/>
          <w:lang w:eastAsia="zh-CN"/>
        </w:rPr>
        <w:t>四、</w:t>
      </w:r>
      <w:r>
        <w:rPr>
          <w:rFonts w:hint="default" w:ascii="Times New Roman" w:hAnsi="Times New Roman" w:eastAsia="黑体" w:cs="Times New Roman"/>
          <w:color w:val="000000"/>
          <w:kern w:val="0"/>
          <w:szCs w:val="32"/>
          <w:highlight w:val="none"/>
          <w:shd w:val="clear" w:color="auto" w:fill="FFFFFF"/>
        </w:rPr>
        <w:t>评价结论及建议</w:t>
      </w:r>
    </w:p>
    <w:p w14:paraId="31873C28">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Cs w:val="32"/>
          <w:highlight w:val="none"/>
          <w:shd w:val="clear" w:color="auto" w:fill="FFFFFF"/>
          <w:lang w:val="zh-CN"/>
        </w:rPr>
      </w:pPr>
      <w:r>
        <w:rPr>
          <w:rFonts w:hint="default" w:ascii="Times New Roman" w:hAnsi="Times New Roman" w:eastAsia="楷体_GB2312" w:cs="Times New Roman"/>
          <w:b/>
          <w:bCs/>
          <w:color w:val="000000"/>
          <w:kern w:val="0"/>
          <w:szCs w:val="32"/>
          <w:highlight w:val="none"/>
          <w:shd w:val="clear" w:color="auto" w:fill="FFFFFF"/>
          <w:lang w:val="zh-CN"/>
        </w:rPr>
        <w:t>（一）评价结论。</w:t>
      </w:r>
    </w:p>
    <w:p w14:paraId="12A8E831">
      <w:pPr>
        <w:keepNext w:val="0"/>
        <w:keepLines w:val="0"/>
        <w:pageBreakBefore w:val="0"/>
        <w:widowControl/>
        <w:kinsoku/>
        <w:wordWrap/>
        <w:overflowPunct/>
        <w:topLinePunct w:val="0"/>
        <w:bidi w:val="0"/>
        <w:adjustRightInd w:val="0"/>
        <w:snapToGrid w:val="0"/>
        <w:spacing w:line="560" w:lineRule="exact"/>
        <w:ind w:firstLine="640" w:firstLineChars="200"/>
        <w:contextualSpacing/>
        <w:jc w:val="left"/>
        <w:textAlignment w:val="auto"/>
        <w:rPr>
          <w:rFonts w:ascii="Times New Roman" w:hAnsi="Times New Roman" w:eastAsia="仿宋_GB2312" w:cs="Times New Roman"/>
          <w:kern w:val="0"/>
          <w:sz w:val="32"/>
          <w:szCs w:val="32"/>
          <w:shd w:val="clear" w:color="auto" w:fill="FFFFFF"/>
          <w:lang w:val="zh-CN"/>
        </w:rPr>
      </w:pPr>
      <w:r>
        <w:rPr>
          <w:rFonts w:ascii="Times New Roman" w:hAnsi="Times New Roman" w:eastAsia="仿宋_GB2312" w:cs="Times New Roman"/>
          <w:bCs/>
          <w:kern w:val="0"/>
          <w:sz w:val="32"/>
          <w:szCs w:val="32"/>
          <w:shd w:val="clear" w:color="auto" w:fill="FFFFFF"/>
          <w:lang w:val="zh-CN" w:eastAsia="zh-CN"/>
        </w:rPr>
        <w:t>我</w:t>
      </w:r>
      <w:r>
        <w:rPr>
          <w:rFonts w:hint="eastAsia" w:cs="Times New Roman"/>
          <w:bCs/>
          <w:kern w:val="0"/>
          <w:sz w:val="32"/>
          <w:szCs w:val="32"/>
          <w:shd w:val="clear" w:color="auto" w:fill="FFFFFF"/>
          <w:lang w:val="zh-CN" w:eastAsia="zh-CN"/>
        </w:rPr>
        <w:t>乡</w:t>
      </w:r>
      <w:r>
        <w:rPr>
          <w:rFonts w:ascii="Times New Roman" w:hAnsi="Times New Roman" w:eastAsia="仿宋_GB2312" w:cs="Times New Roman"/>
          <w:bCs/>
          <w:kern w:val="0"/>
          <w:sz w:val="32"/>
          <w:szCs w:val="32"/>
          <w:shd w:val="clear" w:color="auto" w:fill="FFFFFF"/>
          <w:lang w:val="zh-CN" w:eastAsia="zh-CN"/>
        </w:rPr>
        <w:t>对</w:t>
      </w:r>
      <w:r>
        <w:rPr>
          <w:rFonts w:hint="eastAsia" w:cs="Times New Roman"/>
          <w:bCs/>
          <w:kern w:val="0"/>
          <w:sz w:val="32"/>
          <w:szCs w:val="32"/>
          <w:shd w:val="clear" w:color="auto" w:fill="FFFFFF"/>
          <w:lang w:val="zh-CN" w:eastAsia="zh-CN"/>
        </w:rPr>
        <w:t>2024</w:t>
      </w:r>
      <w:r>
        <w:rPr>
          <w:rFonts w:ascii="Times New Roman" w:hAnsi="Times New Roman" w:eastAsia="仿宋_GB2312" w:cs="Times New Roman"/>
          <w:bCs/>
          <w:kern w:val="0"/>
          <w:sz w:val="32"/>
          <w:szCs w:val="32"/>
          <w:shd w:val="clear" w:color="auto" w:fill="FFFFFF"/>
          <w:lang w:val="zh-CN" w:eastAsia="zh-CN"/>
        </w:rPr>
        <w:t>年度整体支出情况开展自评，得分</w:t>
      </w:r>
      <w:r>
        <w:rPr>
          <w:rFonts w:hint="eastAsia" w:cs="Times New Roman"/>
          <w:bCs/>
          <w:kern w:val="0"/>
          <w:sz w:val="32"/>
          <w:szCs w:val="32"/>
          <w:shd w:val="clear" w:color="auto" w:fill="FFFFFF"/>
          <w:lang w:val="en-US" w:eastAsia="zh-CN"/>
        </w:rPr>
        <w:t>90.53</w:t>
      </w:r>
      <w:r>
        <w:rPr>
          <w:rFonts w:ascii="Times New Roman" w:hAnsi="Times New Roman" w:eastAsia="仿宋_GB2312" w:cs="Times New Roman"/>
          <w:bCs/>
          <w:kern w:val="0"/>
          <w:sz w:val="32"/>
          <w:szCs w:val="32"/>
          <w:shd w:val="clear" w:color="auto" w:fill="FFFFFF"/>
          <w:lang w:val="zh-CN" w:eastAsia="zh-CN"/>
        </w:rPr>
        <w:t>分。从总体性分析评价，全年整体支出较优，实现了年初绩效目标。从结构性分析评价，一般公共预算基本支出完成预算的</w:t>
      </w:r>
      <w:r>
        <w:rPr>
          <w:rFonts w:hint="eastAsia" w:eastAsia="仿宋_GB2312" w:cs="Times New Roman"/>
          <w:bCs/>
          <w:kern w:val="0"/>
          <w:sz w:val="32"/>
          <w:szCs w:val="32"/>
          <w:shd w:val="clear" w:color="auto" w:fill="FFFFFF"/>
          <w:lang w:val="en-US" w:eastAsia="zh-CN"/>
        </w:rPr>
        <w:t>100</w:t>
      </w:r>
      <w:r>
        <w:rPr>
          <w:rFonts w:ascii="Times New Roman" w:hAnsi="Times New Roman" w:eastAsia="仿宋_GB2312" w:cs="Times New Roman"/>
          <w:bCs/>
          <w:kern w:val="0"/>
          <w:sz w:val="32"/>
          <w:szCs w:val="32"/>
          <w:shd w:val="clear" w:color="auto" w:fill="FFFFFF"/>
          <w:lang w:val="zh-CN" w:eastAsia="zh-CN"/>
        </w:rPr>
        <w:t>%，绩效目标实际实现程度与预期目标的偏离度为</w:t>
      </w:r>
      <w:r>
        <w:rPr>
          <w:rFonts w:hint="eastAsia" w:eastAsia="仿宋_GB2312" w:cs="Times New Roman"/>
          <w:bCs/>
          <w:kern w:val="0"/>
          <w:sz w:val="32"/>
          <w:szCs w:val="32"/>
          <w:shd w:val="clear" w:color="auto" w:fill="FFFFFF"/>
          <w:lang w:val="zh-CN" w:eastAsia="zh-CN"/>
        </w:rPr>
        <w:t>持平</w:t>
      </w:r>
      <w:r>
        <w:rPr>
          <w:rFonts w:ascii="Times New Roman" w:hAnsi="Times New Roman" w:eastAsia="仿宋_GB2312" w:cs="Times New Roman"/>
          <w:bCs/>
          <w:kern w:val="0"/>
          <w:sz w:val="32"/>
          <w:szCs w:val="32"/>
          <w:shd w:val="clear" w:color="auto" w:fill="FFFFFF"/>
          <w:lang w:val="zh-CN" w:eastAsia="zh-CN"/>
        </w:rPr>
        <w:t>，整体绩效管理合理合规；一般公共预算项目支出完成预算的</w:t>
      </w:r>
      <w:r>
        <w:rPr>
          <w:rFonts w:hint="eastAsia" w:eastAsia="仿宋_GB2312" w:cs="Times New Roman"/>
          <w:bCs/>
          <w:kern w:val="0"/>
          <w:sz w:val="32"/>
          <w:szCs w:val="32"/>
          <w:shd w:val="clear" w:color="auto" w:fill="FFFFFF"/>
          <w:lang w:val="en-US" w:eastAsia="zh-CN"/>
        </w:rPr>
        <w:t>100</w:t>
      </w:r>
      <w:r>
        <w:rPr>
          <w:rFonts w:ascii="Times New Roman" w:hAnsi="Times New Roman" w:eastAsia="仿宋_GB2312" w:cs="Times New Roman"/>
          <w:bCs/>
          <w:kern w:val="0"/>
          <w:sz w:val="32"/>
          <w:szCs w:val="32"/>
          <w:shd w:val="clear" w:color="auto" w:fill="FFFFFF"/>
          <w:lang w:val="zh-CN" w:eastAsia="zh-CN"/>
        </w:rPr>
        <w:t>%，绩效目标实际实现程度与预期目标的偏离度为</w:t>
      </w:r>
      <w:r>
        <w:rPr>
          <w:rFonts w:hint="eastAsia" w:eastAsia="仿宋_GB2312" w:cs="Times New Roman"/>
          <w:bCs/>
          <w:kern w:val="0"/>
          <w:sz w:val="32"/>
          <w:szCs w:val="32"/>
          <w:shd w:val="clear" w:color="auto" w:fill="FFFFFF"/>
          <w:lang w:val="zh-CN" w:eastAsia="zh-CN"/>
        </w:rPr>
        <w:t>持平</w:t>
      </w:r>
      <w:r>
        <w:rPr>
          <w:rFonts w:ascii="Times New Roman" w:hAnsi="Times New Roman" w:eastAsia="仿宋_GB2312" w:cs="Times New Roman"/>
          <w:bCs/>
          <w:kern w:val="0"/>
          <w:sz w:val="32"/>
          <w:szCs w:val="32"/>
          <w:shd w:val="clear" w:color="auto" w:fill="FFFFFF"/>
          <w:lang w:val="zh-CN" w:eastAsia="zh-CN"/>
        </w:rPr>
        <w:t>，整体绩效管理合理合规。</w:t>
      </w:r>
      <w:r>
        <w:rPr>
          <w:rFonts w:hint="eastAsia" w:cs="Times New Roman"/>
          <w:bCs/>
          <w:kern w:val="0"/>
          <w:sz w:val="32"/>
          <w:szCs w:val="32"/>
          <w:shd w:val="clear" w:color="auto" w:fill="FFFFFF"/>
          <w:lang w:val="zh-CN" w:eastAsia="zh-CN"/>
        </w:rPr>
        <w:t>2024</w:t>
      </w:r>
      <w:r>
        <w:rPr>
          <w:rFonts w:ascii="Times New Roman" w:hAnsi="Times New Roman" w:eastAsia="仿宋_GB2312" w:cs="Times New Roman"/>
          <w:bCs/>
          <w:kern w:val="0"/>
          <w:sz w:val="32"/>
          <w:szCs w:val="32"/>
          <w:shd w:val="clear" w:color="auto" w:fill="FFFFFF"/>
          <w:lang w:val="zh-CN" w:eastAsia="zh-CN"/>
        </w:rPr>
        <w:t>年度整体支出绩效评价优好，无违纪违规问题，预算编制、预算执行、完成结果等均达到既定目标管理。</w:t>
      </w:r>
    </w:p>
    <w:p w14:paraId="46F0EAC8">
      <w:pPr>
        <w:keepNext w:val="0"/>
        <w:keepLines w:val="0"/>
        <w:pageBreakBefore w:val="0"/>
        <w:widowControl/>
        <w:numPr>
          <w:ilvl w:val="0"/>
          <w:numId w:val="4"/>
        </w:numPr>
        <w:kinsoku/>
        <w:wordWrap/>
        <w:overflowPunct/>
        <w:topLinePunct w:val="0"/>
        <w:autoSpaceDE/>
        <w:autoSpaceDN/>
        <w:bidi w:val="0"/>
        <w:adjustRightInd w:val="0"/>
        <w:snapToGrid w:val="0"/>
        <w:spacing w:line="560"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Cs w:val="32"/>
          <w:highlight w:val="none"/>
          <w:shd w:val="clear" w:color="auto" w:fill="FFFFFF"/>
          <w:lang w:val="zh-CN"/>
        </w:rPr>
      </w:pPr>
      <w:r>
        <w:rPr>
          <w:rFonts w:hint="default" w:ascii="Times New Roman" w:hAnsi="Times New Roman" w:eastAsia="楷体_GB2312" w:cs="Times New Roman"/>
          <w:b/>
          <w:bCs/>
          <w:color w:val="000000"/>
          <w:kern w:val="0"/>
          <w:szCs w:val="32"/>
          <w:highlight w:val="none"/>
          <w:shd w:val="clear" w:color="auto" w:fill="FFFFFF"/>
          <w:lang w:val="zh-CN"/>
        </w:rPr>
        <w:t>存在问题。</w:t>
      </w:r>
    </w:p>
    <w:p w14:paraId="6332AB0A">
      <w:pPr>
        <w:keepNext w:val="0"/>
        <w:keepLines w:val="0"/>
        <w:pageBreakBefore w:val="0"/>
        <w:widowControl/>
        <w:kinsoku/>
        <w:wordWrap/>
        <w:overflowPunct/>
        <w:topLinePunct w:val="0"/>
        <w:bidi w:val="0"/>
        <w:adjustRightInd w:val="0"/>
        <w:snapToGrid w:val="0"/>
        <w:spacing w:line="560" w:lineRule="exact"/>
        <w:ind w:firstLine="640" w:firstLineChars="200"/>
        <w:contextualSpacing/>
        <w:jc w:val="left"/>
        <w:textAlignment w:val="auto"/>
        <w:rPr>
          <w:rFonts w:ascii="Times New Roman" w:hAnsi="Times New Roman" w:eastAsia="仿宋_GB2312" w:cs="Times New Roman"/>
          <w:bCs/>
          <w:kern w:val="0"/>
          <w:sz w:val="32"/>
          <w:szCs w:val="32"/>
          <w:shd w:val="clear" w:color="auto" w:fill="FFFFFF"/>
          <w:lang w:val="zh-CN" w:eastAsia="zh-CN"/>
        </w:rPr>
      </w:pPr>
      <w:r>
        <w:rPr>
          <w:rFonts w:ascii="Times New Roman" w:hAnsi="Times New Roman" w:eastAsia="仿宋_GB2312" w:cs="Times New Roman"/>
          <w:bCs/>
          <w:kern w:val="0"/>
          <w:sz w:val="32"/>
          <w:szCs w:val="32"/>
          <w:shd w:val="clear" w:color="auto" w:fill="FFFFFF"/>
          <w:lang w:val="zh-CN" w:eastAsia="zh-CN"/>
        </w:rPr>
        <w:t>个别人员经费和公用经费测算标准及套用公式不够科学精准，部分经济科目在预算执行中存在较早亮红灯</w:t>
      </w:r>
      <w:r>
        <w:rPr>
          <w:rFonts w:hint="eastAsia" w:ascii="Times New Roman" w:hAnsi="Times New Roman" w:eastAsia="仿宋_GB2312" w:cs="Times New Roman"/>
          <w:bCs/>
          <w:kern w:val="0"/>
          <w:sz w:val="32"/>
          <w:szCs w:val="32"/>
          <w:shd w:val="clear" w:color="auto" w:fill="FFFFFF"/>
          <w:lang w:val="zh-CN" w:eastAsia="zh-CN"/>
        </w:rPr>
        <w:t>，预算经费支出进度较快</w:t>
      </w:r>
      <w:r>
        <w:rPr>
          <w:rFonts w:ascii="Times New Roman" w:hAnsi="Times New Roman" w:eastAsia="仿宋_GB2312" w:cs="Times New Roman"/>
          <w:bCs/>
          <w:kern w:val="0"/>
          <w:sz w:val="32"/>
          <w:szCs w:val="32"/>
          <w:shd w:val="clear" w:color="auto" w:fill="FFFFFF"/>
          <w:lang w:val="zh-CN" w:eastAsia="zh-CN"/>
        </w:rPr>
        <w:t>。</w:t>
      </w:r>
    </w:p>
    <w:p w14:paraId="64A6EE90">
      <w:pPr>
        <w:keepNext w:val="0"/>
        <w:keepLines w:val="0"/>
        <w:pageBreakBefore w:val="0"/>
        <w:widowControl/>
        <w:numPr>
          <w:ilvl w:val="0"/>
          <w:numId w:val="4"/>
        </w:numPr>
        <w:kinsoku/>
        <w:wordWrap/>
        <w:overflowPunct/>
        <w:topLinePunct w:val="0"/>
        <w:bidi w:val="0"/>
        <w:adjustRightInd w:val="0"/>
        <w:snapToGrid w:val="0"/>
        <w:spacing w:line="560" w:lineRule="exact"/>
        <w:ind w:left="0" w:leftChars="0" w:firstLine="643" w:firstLineChars="200"/>
        <w:contextualSpacing/>
        <w:jc w:val="left"/>
        <w:textAlignment w:val="auto"/>
        <w:rPr>
          <w:rFonts w:hint="default" w:ascii="Times New Roman" w:hAnsi="Times New Roman" w:eastAsia="楷体_GB2312" w:cs="Times New Roman"/>
          <w:b/>
          <w:bCs/>
          <w:color w:val="000000"/>
          <w:kern w:val="0"/>
          <w:szCs w:val="32"/>
          <w:highlight w:val="none"/>
          <w:shd w:val="clear" w:color="auto" w:fill="FFFFFF"/>
          <w:lang w:val="zh-CN" w:eastAsia="zh-CN"/>
        </w:rPr>
      </w:pPr>
      <w:r>
        <w:rPr>
          <w:rFonts w:hint="default" w:ascii="Times New Roman" w:hAnsi="Times New Roman" w:eastAsia="楷体_GB2312" w:cs="Times New Roman"/>
          <w:b/>
          <w:bCs/>
          <w:color w:val="000000"/>
          <w:kern w:val="0"/>
          <w:szCs w:val="32"/>
          <w:highlight w:val="none"/>
          <w:shd w:val="clear" w:color="auto" w:fill="FFFFFF"/>
          <w:lang w:val="zh-CN" w:eastAsia="zh-CN"/>
        </w:rPr>
        <w:t>改进建议。</w:t>
      </w:r>
      <w:bookmarkStart w:id="77" w:name="_Hlk110546638"/>
    </w:p>
    <w:p w14:paraId="14A6173B">
      <w:pPr>
        <w:keepNext w:val="0"/>
        <w:keepLines w:val="0"/>
        <w:pageBreakBefore w:val="0"/>
        <w:widowControl/>
        <w:kinsoku/>
        <w:wordWrap/>
        <w:overflowPunct/>
        <w:topLinePunct w:val="0"/>
        <w:bidi w:val="0"/>
        <w:adjustRightInd w:val="0"/>
        <w:snapToGrid w:val="0"/>
        <w:spacing w:line="560" w:lineRule="exact"/>
        <w:ind w:firstLine="640" w:firstLineChars="200"/>
        <w:contextualSpacing/>
        <w:jc w:val="left"/>
        <w:textAlignment w:val="auto"/>
        <w:rPr>
          <w:rFonts w:ascii="Times New Roman" w:hAnsi="Times New Roman" w:eastAsia="仿宋_GB2312" w:cs="Times New Roman"/>
          <w:bCs/>
          <w:kern w:val="0"/>
          <w:sz w:val="32"/>
          <w:szCs w:val="32"/>
          <w:shd w:val="clear" w:color="auto" w:fill="FFFFFF"/>
          <w:lang w:val="zh-CN" w:eastAsia="zh-CN"/>
        </w:rPr>
      </w:pPr>
      <w:r>
        <w:rPr>
          <w:rFonts w:ascii="Times New Roman" w:hAnsi="Times New Roman" w:eastAsia="仿宋_GB2312" w:cs="Times New Roman"/>
          <w:bCs/>
          <w:kern w:val="0"/>
          <w:sz w:val="32"/>
          <w:szCs w:val="32"/>
          <w:shd w:val="clear" w:color="auto" w:fill="FFFFFF"/>
          <w:lang w:val="zh-CN" w:eastAsia="zh-CN"/>
        </w:rPr>
        <w:t>我</w:t>
      </w:r>
      <w:r>
        <w:rPr>
          <w:rFonts w:hint="eastAsia" w:cs="Times New Roman"/>
          <w:bCs/>
          <w:kern w:val="0"/>
          <w:sz w:val="32"/>
          <w:szCs w:val="32"/>
          <w:shd w:val="clear" w:color="auto" w:fill="FFFFFF"/>
          <w:lang w:val="zh-CN" w:eastAsia="zh-CN"/>
        </w:rPr>
        <w:t>乡</w:t>
      </w:r>
      <w:r>
        <w:rPr>
          <w:rFonts w:ascii="Times New Roman" w:hAnsi="Times New Roman" w:eastAsia="仿宋_GB2312" w:cs="Times New Roman"/>
          <w:bCs/>
          <w:kern w:val="0"/>
          <w:sz w:val="32"/>
          <w:szCs w:val="32"/>
          <w:shd w:val="clear" w:color="auto" w:fill="FFFFFF"/>
          <w:lang w:val="zh-CN" w:eastAsia="zh-CN"/>
        </w:rPr>
        <w:t>将积极对接财政部门作出技术调整，优化预算测算标准，科学审批年度预算汇编，使资金真正能够因地制宜，发挥实效。进一步做好预算编制前提调研准备工作，根据实际需要积极评估测算，尽量</w:t>
      </w:r>
      <w:r>
        <w:rPr>
          <w:rFonts w:hint="eastAsia" w:cs="Times New Roman"/>
          <w:bCs/>
          <w:kern w:val="0"/>
          <w:sz w:val="32"/>
          <w:szCs w:val="32"/>
          <w:shd w:val="clear" w:color="auto" w:fill="FFFFFF"/>
          <w:lang w:val="zh-CN" w:eastAsia="zh-CN"/>
        </w:rPr>
        <w:t>增加</w:t>
      </w:r>
      <w:r>
        <w:rPr>
          <w:rFonts w:ascii="Times New Roman" w:hAnsi="Times New Roman" w:eastAsia="仿宋_GB2312" w:cs="Times New Roman"/>
          <w:bCs/>
          <w:kern w:val="0"/>
          <w:sz w:val="32"/>
          <w:szCs w:val="32"/>
          <w:shd w:val="clear" w:color="auto" w:fill="FFFFFF"/>
          <w:lang w:val="zh-CN" w:eastAsia="zh-CN"/>
        </w:rPr>
        <w:t>减轻资金闲置或低使用率现象，启用预算执行绩效监控机制，及时提示项目管理部门按照绩效目标开展实施。</w:t>
      </w:r>
    </w:p>
    <w:p w14:paraId="07BD479F">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eastAsia" w:ascii="仿宋_GB2312" w:hAnsi="仿宋_GB2312" w:eastAsia="仿宋_GB2312" w:cs="仿宋_GB2312"/>
          <w:b w:val="0"/>
          <w:bCs w:val="0"/>
          <w:kern w:val="0"/>
          <w:position w:val="0"/>
          <w:sz w:val="32"/>
          <w:szCs w:val="32"/>
          <w:highlight w:val="none"/>
          <w:lang w:val="en" w:eastAsia="zh-CN" w:bidi="ar-SA"/>
        </w:rPr>
      </w:pPr>
    </w:p>
    <w:p w14:paraId="7531BA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cs="Times New Roman"/>
          <w:color w:val="000000"/>
          <w:kern w:val="0"/>
          <w:szCs w:val="32"/>
          <w:highlight w:val="none"/>
          <w:shd w:val="clear" w:color="auto" w:fill="FFFFFF"/>
          <w:lang w:val="en-US" w:eastAsia="zh-CN"/>
        </w:rPr>
      </w:pPr>
      <w:r>
        <w:rPr>
          <w:rFonts w:hint="eastAsia" w:ascii="Times New Roman" w:hAnsi="Times New Roman" w:cs="Times New Roman"/>
          <w:color w:val="000000"/>
          <w:kern w:val="0"/>
          <w:szCs w:val="32"/>
          <w:highlight w:val="none"/>
          <w:shd w:val="clear" w:color="auto" w:fill="FFFFFF"/>
          <w:lang w:val="en-US" w:eastAsia="zh-CN"/>
        </w:rPr>
        <w:t>附表：</w:t>
      </w:r>
      <w:r>
        <w:rPr>
          <w:rFonts w:hint="eastAsia" w:cs="Times New Roman"/>
          <w:color w:val="000000"/>
          <w:kern w:val="0"/>
          <w:szCs w:val="32"/>
          <w:highlight w:val="none"/>
          <w:shd w:val="clear" w:color="auto" w:fill="FFFFFF"/>
          <w:lang w:val="en-US" w:eastAsia="zh-CN"/>
        </w:rPr>
        <w:t>1.部门预算绩效自评打分表</w:t>
      </w:r>
    </w:p>
    <w:p w14:paraId="62DFDEA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600" w:firstLineChars="500"/>
        <w:textAlignment w:val="auto"/>
        <w:rPr>
          <w:rFonts w:hint="eastAsia" w:ascii="仿宋" w:hAnsi="仿宋" w:eastAsia="仿宋" w:cs="仿宋"/>
          <w:color w:val="000000"/>
          <w:kern w:val="0"/>
          <w:szCs w:val="32"/>
          <w:highlight w:val="none"/>
          <w:shd w:val="clear" w:color="auto" w:fill="FFFFFF"/>
          <w:lang w:val="en-US" w:eastAsia="zh-CN"/>
        </w:rPr>
      </w:pPr>
      <w:r>
        <w:rPr>
          <w:rFonts w:hint="eastAsia" w:ascii="仿宋" w:hAnsi="仿宋" w:eastAsia="仿宋" w:cs="仿宋"/>
          <w:color w:val="000000"/>
          <w:kern w:val="0"/>
          <w:szCs w:val="32"/>
          <w:highlight w:val="none"/>
          <w:shd w:val="clear" w:color="auto" w:fill="FFFFFF"/>
          <w:lang w:val="en-US" w:eastAsia="zh-CN"/>
        </w:rPr>
        <w:t>2.部门整体绩效目标完成情况自评表</w:t>
      </w:r>
    </w:p>
    <w:p w14:paraId="1B7F1AA6">
      <w:pPr>
        <w:pStyle w:val="42"/>
        <w:numPr>
          <w:ilvl w:val="0"/>
          <w:numId w:val="0"/>
        </w:numPr>
        <w:ind w:leftChars="0" w:firstLine="1600" w:firstLineChars="500"/>
        <w:rPr>
          <w:rFonts w:hint="eastAsia"/>
          <w:lang w:val="en-US" w:eastAsia="zh-CN"/>
        </w:rPr>
      </w:pPr>
      <w:r>
        <w:rPr>
          <w:rFonts w:hint="eastAsia"/>
          <w:lang w:val="en-US" w:eastAsia="zh-CN"/>
        </w:rPr>
        <w:t>3.部门预算项目支出绩效评价表（2024年度）</w:t>
      </w:r>
    </w:p>
    <w:p w14:paraId="5D28BD58">
      <w:pPr>
        <w:rPr>
          <w:rFonts w:hint="default"/>
          <w:lang w:val="en-US" w:eastAsia="zh-CN"/>
        </w:rPr>
      </w:pPr>
    </w:p>
    <w:p w14:paraId="61B6872A">
      <w:pPr>
        <w:pStyle w:val="42"/>
        <w:keepNext w:val="0"/>
        <w:keepLines w:val="0"/>
        <w:pageBreakBefore w:val="0"/>
        <w:bidi w:val="0"/>
        <w:spacing w:line="560" w:lineRule="exact"/>
        <w:ind w:left="1280" w:leftChars="400" w:firstLine="3520" w:firstLineChars="1100"/>
        <w:jc w:val="right"/>
        <w:textAlignment w:val="auto"/>
        <w:rPr>
          <w:rFonts w:hint="eastAsia" w:ascii="仿宋_GB2312" w:hAnsi="仿宋_GB2312" w:cs="仿宋_GB2312"/>
          <w:b w:val="0"/>
          <w:bCs w:val="0"/>
          <w:kern w:val="0"/>
          <w:position w:val="0"/>
          <w:sz w:val="32"/>
          <w:szCs w:val="32"/>
          <w:highlight w:val="none"/>
          <w:lang w:val="en-US" w:eastAsia="zh-CN" w:bidi="ar-SA"/>
        </w:rPr>
      </w:pPr>
      <w:r>
        <w:rPr>
          <w:rFonts w:hint="eastAsia" w:ascii="仿宋_GB2312" w:hAnsi="仿宋_GB2312" w:cs="仿宋_GB2312"/>
          <w:b w:val="0"/>
          <w:bCs w:val="0"/>
          <w:kern w:val="0"/>
          <w:position w:val="0"/>
          <w:sz w:val="32"/>
          <w:szCs w:val="32"/>
          <w:highlight w:val="none"/>
          <w:lang w:val="en-US" w:eastAsia="zh-CN" w:bidi="ar-SA"/>
        </w:rPr>
        <w:t>金川县河东乡人民政府</w:t>
      </w:r>
    </w:p>
    <w:p w14:paraId="70A35986">
      <w:pPr>
        <w:keepNext w:val="0"/>
        <w:keepLines w:val="0"/>
        <w:pageBreakBefore w:val="0"/>
        <w:bidi w:val="0"/>
        <w:spacing w:line="560" w:lineRule="exact"/>
        <w:ind w:firstLine="5120" w:firstLineChars="1600"/>
        <w:jc w:val="right"/>
        <w:textAlignment w:val="auto"/>
        <w:rPr>
          <w:rFonts w:hint="default"/>
          <w:lang w:val="en-US" w:eastAsia="zh-CN"/>
        </w:rPr>
      </w:pPr>
      <w:r>
        <w:rPr>
          <w:rFonts w:hint="eastAsia" w:ascii="仿宋_GB2312" w:hAnsi="仿宋_GB2312" w:cs="仿宋_GB2312"/>
          <w:b w:val="0"/>
          <w:bCs w:val="0"/>
          <w:kern w:val="0"/>
          <w:position w:val="0"/>
          <w:sz w:val="32"/>
          <w:szCs w:val="32"/>
          <w:highlight w:val="none"/>
          <w:lang w:val="en-US" w:eastAsia="zh-CN" w:bidi="ar-SA"/>
        </w:rPr>
        <w:t>2024年4月30日</w:t>
      </w:r>
    </w:p>
    <w:bookmarkEnd w:id="77"/>
    <w:p w14:paraId="328D7911">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仿宋_GB2312" w:eastAsia="仿宋_GB2312" w:cs="仿宋_GB2312"/>
          <w:b w:val="0"/>
          <w:bCs w:val="0"/>
          <w:kern w:val="0"/>
          <w:position w:val="0"/>
          <w:sz w:val="32"/>
          <w:szCs w:val="32"/>
          <w:highlight w:val="none"/>
          <w:lang w:val="zh-CN" w:eastAsia="zh-CN" w:bidi="ar-SA"/>
        </w:rPr>
      </w:pPr>
    </w:p>
    <w:p w14:paraId="6C5D6F89">
      <w:pPr>
        <w:pStyle w:val="42"/>
        <w:ind w:left="0" w:leftChars="0" w:firstLine="0" w:firstLineChars="0"/>
        <w:rPr>
          <w:rFonts w:hint="default"/>
          <w:lang w:val="en-US" w:eastAsia="zh-CN"/>
        </w:rPr>
      </w:pPr>
    </w:p>
    <w:p w14:paraId="115E7DB8">
      <w:pPr>
        <w:rPr>
          <w:rFonts w:hint="default"/>
          <w:lang w:val="en-US" w:eastAsia="zh-CN"/>
        </w:rPr>
      </w:pPr>
    </w:p>
    <w:p w14:paraId="447B8B8F">
      <w:pPr>
        <w:pStyle w:val="2"/>
        <w:rPr>
          <w:rFonts w:hint="default"/>
          <w:lang w:val="en-US" w:eastAsia="zh-CN"/>
        </w:rPr>
      </w:pPr>
    </w:p>
    <w:p w14:paraId="713C097A">
      <w:pPr>
        <w:pStyle w:val="3"/>
        <w:rPr>
          <w:rFonts w:hint="default"/>
          <w:lang w:val="en-US" w:eastAsia="zh-CN"/>
        </w:rPr>
      </w:pPr>
    </w:p>
    <w:p w14:paraId="403F5FE9">
      <w:pPr>
        <w:pStyle w:val="3"/>
        <w:rPr>
          <w:rFonts w:hint="default"/>
          <w:lang w:val="en-US" w:eastAsia="zh-CN"/>
        </w:rPr>
      </w:pPr>
    </w:p>
    <w:p w14:paraId="47423E42">
      <w:pPr>
        <w:pStyle w:val="3"/>
        <w:rPr>
          <w:rFonts w:hint="default"/>
          <w:lang w:val="en-US" w:eastAsia="zh-CN"/>
        </w:rPr>
      </w:pPr>
    </w:p>
    <w:p w14:paraId="4290A6C3">
      <w:pPr>
        <w:pStyle w:val="42"/>
        <w:ind w:left="0" w:leftChars="0" w:firstLine="0" w:firstLineChars="0"/>
        <w:rPr>
          <w:rFonts w:hint="default" w:ascii="黑体" w:hAnsi="宋体" w:eastAsia="黑体" w:cs="黑体"/>
          <w:i w:val="0"/>
          <w:iCs w:val="0"/>
          <w:color w:val="000000"/>
          <w:kern w:val="0"/>
          <w:sz w:val="36"/>
          <w:szCs w:val="36"/>
          <w:u w:val="none"/>
          <w:lang w:val="en-US" w:eastAsia="zh-CN" w:bidi="ar"/>
        </w:rPr>
      </w:pPr>
      <w:r>
        <w:rPr>
          <w:rFonts w:hint="eastAsia" w:ascii="黑体" w:hAnsi="宋体" w:eastAsia="黑体" w:cs="黑体"/>
          <w:i w:val="0"/>
          <w:iCs w:val="0"/>
          <w:color w:val="000000"/>
          <w:kern w:val="0"/>
          <w:sz w:val="36"/>
          <w:szCs w:val="36"/>
          <w:u w:val="none"/>
          <w:lang w:val="en-US" w:eastAsia="zh-CN" w:bidi="ar"/>
        </w:rPr>
        <w:t>附表2</w:t>
      </w:r>
    </w:p>
    <w:tbl>
      <w:tblPr>
        <w:tblStyle w:val="20"/>
        <w:tblW w:w="105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309"/>
        <w:gridCol w:w="1347"/>
        <w:gridCol w:w="1273"/>
        <w:gridCol w:w="1100"/>
        <w:gridCol w:w="1144"/>
        <w:gridCol w:w="1"/>
        <w:gridCol w:w="1289"/>
        <w:gridCol w:w="1058"/>
        <w:gridCol w:w="926"/>
        <w:gridCol w:w="1113"/>
      </w:tblGrid>
      <w:tr w14:paraId="0F01E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2" w:hRule="exact"/>
          <w:jc w:val="center"/>
        </w:trPr>
        <w:tc>
          <w:tcPr>
            <w:tcW w:w="10560" w:type="dxa"/>
            <w:gridSpan w:val="10"/>
            <w:shd w:val="clear" w:color="auto" w:fill="auto"/>
            <w:vAlign w:val="center"/>
          </w:tcPr>
          <w:p w14:paraId="720BEC71">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default" w:ascii="Times New Roman" w:hAnsi="Times New Roman" w:eastAsia="黑体" w:cs="Times New Roman"/>
                <w:i w:val="0"/>
                <w:color w:val="000000"/>
                <w:sz w:val="28"/>
                <w:szCs w:val="28"/>
                <w:u w:val="none"/>
              </w:rPr>
            </w:pPr>
            <w:r>
              <w:rPr>
                <w:rFonts w:hint="default" w:ascii="Times New Roman" w:hAnsi="Times New Roman" w:eastAsia="方正小标宋简体" w:cs="Times New Roman"/>
                <w:i w:val="0"/>
                <w:color w:val="000000"/>
                <w:kern w:val="0"/>
                <w:sz w:val="44"/>
                <w:szCs w:val="44"/>
                <w:u w:val="none"/>
                <w:lang w:val="en-US" w:eastAsia="zh-CN" w:bidi="ar"/>
              </w:rPr>
              <w:t>部门整体绩效目标完成情况自评表</w:t>
            </w:r>
          </w:p>
        </w:tc>
      </w:tr>
      <w:tr w14:paraId="4612A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0560" w:type="dxa"/>
            <w:gridSpan w:val="10"/>
            <w:shd w:val="clear" w:color="auto" w:fill="auto"/>
            <w:vAlign w:val="center"/>
          </w:tcPr>
          <w:p w14:paraId="2D38D6F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（202</w:t>
            </w:r>
            <w:r>
              <w:rPr>
                <w:rFonts w:hint="eastAsia" w:eastAsia="宋体" w:cs="Times New Roman"/>
                <w:i w:val="0"/>
                <w:color w:val="000000"/>
                <w:kern w:val="0"/>
                <w:sz w:val="28"/>
                <w:szCs w:val="28"/>
                <w:u w:val="none"/>
                <w:lang w:val="en-US" w:eastAsia="zh-CN" w:bidi="ar"/>
              </w:rPr>
              <w:t>4</w:t>
            </w:r>
            <w:r>
              <w:rPr>
                <w:rFonts w:hint="default" w:ascii="Times New Roman" w:hAnsi="Times New Roman" w:eastAsia="宋体" w:cs="Times New Roman"/>
                <w:i w:val="0"/>
                <w:color w:val="000000"/>
                <w:kern w:val="0"/>
                <w:sz w:val="28"/>
                <w:szCs w:val="28"/>
                <w:u w:val="none"/>
                <w:lang w:val="en-US" w:eastAsia="zh-CN" w:bidi="ar"/>
              </w:rPr>
              <w:t>年度）</w:t>
            </w:r>
          </w:p>
        </w:tc>
      </w:tr>
      <w:tr w14:paraId="254EF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0560" w:type="dxa"/>
            <w:gridSpan w:val="10"/>
            <w:tcBorders>
              <w:bottom w:val="single" w:color="000000" w:sz="4" w:space="0"/>
            </w:tcBorders>
            <w:shd w:val="clear" w:color="auto" w:fill="auto"/>
            <w:vAlign w:val="center"/>
          </w:tcPr>
          <w:p w14:paraId="3C507F8D">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单位：万元</w:t>
            </w:r>
          </w:p>
        </w:tc>
      </w:tr>
      <w:tr w14:paraId="2626E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39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65F36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部门名称</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5A78EF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eastAsia" w:eastAsia="宋体" w:cs="Times New Roman"/>
                <w:i w:val="0"/>
                <w:color w:val="000000"/>
                <w:kern w:val="0"/>
                <w:sz w:val="24"/>
                <w:szCs w:val="24"/>
                <w:u w:val="none"/>
                <w:lang w:val="en-US" w:eastAsia="zh-CN" w:bidi="ar"/>
              </w:rPr>
              <w:t>金川县河东乡人民政府</w:t>
            </w:r>
          </w:p>
        </w:tc>
      </w:tr>
      <w:tr w14:paraId="0EE94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2962F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BD954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资金总额</w:t>
            </w:r>
          </w:p>
        </w:tc>
        <w:tc>
          <w:tcPr>
            <w:tcW w:w="22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BEE49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财政拨款</w:t>
            </w:r>
          </w:p>
        </w:tc>
        <w:tc>
          <w:tcPr>
            <w:tcW w:w="43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D8CEB8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其他资金</w:t>
            </w:r>
          </w:p>
        </w:tc>
      </w:tr>
      <w:tr w14:paraId="4BBC7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15D3E2">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D8C84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lang w:val="en-US" w:eastAsia="zh-CN"/>
              </w:rPr>
            </w:pPr>
            <w:r>
              <w:rPr>
                <w:rFonts w:hint="eastAsia" w:ascii="宋体" w:hAnsi="宋体" w:eastAsia="宋体" w:cs="宋体"/>
                <w:sz w:val="24"/>
                <w:szCs w:val="24"/>
                <w:lang w:val="en-US" w:eastAsia="zh-CN"/>
              </w:rPr>
              <w:t>1273.89</w:t>
            </w:r>
          </w:p>
        </w:tc>
        <w:tc>
          <w:tcPr>
            <w:tcW w:w="22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1B8EC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lang w:val="en-US" w:eastAsia="zh-CN"/>
              </w:rPr>
            </w:pPr>
            <w:r>
              <w:rPr>
                <w:rFonts w:hint="eastAsia" w:ascii="宋体" w:hAnsi="宋体" w:eastAsia="宋体" w:cs="宋体"/>
                <w:sz w:val="24"/>
                <w:szCs w:val="24"/>
                <w:lang w:val="en-US" w:eastAsia="zh-CN"/>
              </w:rPr>
              <w:t>1273.89</w:t>
            </w:r>
          </w:p>
        </w:tc>
        <w:tc>
          <w:tcPr>
            <w:tcW w:w="43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E6F51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eastAsia" w:eastAsia="宋体" w:cs="Times New Roman"/>
                <w:i w:val="0"/>
                <w:color w:val="000000"/>
                <w:kern w:val="0"/>
                <w:sz w:val="24"/>
                <w:szCs w:val="24"/>
                <w:u w:val="none"/>
                <w:lang w:val="en-US" w:eastAsia="zh-CN" w:bidi="ar"/>
              </w:rPr>
              <w:t>0</w:t>
            </w:r>
          </w:p>
        </w:tc>
      </w:tr>
      <w:tr w14:paraId="1F4FB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F196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年度总体</w:t>
            </w:r>
          </w:p>
          <w:p w14:paraId="45E15DC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目标</w:t>
            </w:r>
          </w:p>
        </w:tc>
        <w:tc>
          <w:tcPr>
            <w:tcW w:w="925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758536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1、进一步巩固脱贫成果。我乡将接续推进全面脱贫与乡村振兴有效衔接作为工作重点，一是从产业入手，做好发展衔接。坚持因地制宜，培育和发展优势产业及主导产业；二是从机制入手，做好政策衔接。借鉴脱贫攻坚形成的领导体制和工作机制，丰富和完善乡村振兴体制机制；三是从治理入手，做好服务衔接。将脱贫攻坚中形成的治理框架经过一定的再创新后，形成更好服务于乡村振兴的治理体系。持续激发乡村群众的主动性积极性创造性，使乡村振兴获得源源不断的内生动力。</w:t>
            </w:r>
          </w:p>
          <w:p w14:paraId="4B33CF0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2、持续做好疫情防控。全乡上下牢固树立“一盘棋”思想，切实加强组织领导，进一步压实疫情防控责任，保持临战状态，强化宣传引导，筑牢疫情防控常态化工作的安全防线，把防控工作全面做实做细，持续巩固好疫情防控成果。大力推进新冠疫苗接种工作。</w:t>
            </w:r>
          </w:p>
          <w:p w14:paraId="265021D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3、进一步搞好产业发展。根据各村区域位置和产业特点，在抓好高山菜籽油，中药材种植等主导产业，促进乡村旅游产业发展。</w:t>
            </w:r>
          </w:p>
          <w:p w14:paraId="76324FD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4、进一步加大项目争取。紧紧围绕乡村振兴战略，继续加大项目争取力度，依托项目扶持，重点围绕农村经济社会发展的关键领域和重点区域，着力改善城乡环境质量、承载功能、居住条件、特色风貌，努力建设生态宜居、美丽幸福家园。加强搞好基础设施完善。</w:t>
            </w:r>
          </w:p>
          <w:p w14:paraId="76E882E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进一步注重民生工程。解决好人民群众关心的就业、教育、医疗、住房、社保等问题；加大农村环境卫生综合整治力度，集中整治农村环境“脏、乱、差”，彻底消灭生活垃圾乱倒、柴草乱垛、粪土乱堆、建筑垃圾乱放和牌匾标语、横幅、广告乱贴乱画等现象；把维护社会稳定作为基本民生工程，持续深入开展河口与金子岩乡边境联防联控建设，加强社会治安综合治理，认真开展扫黑除恶专项行动，做好信访维稳工作，强化安全生产和食品药品安全，确保全乡社会大局稳定。</w:t>
            </w:r>
          </w:p>
        </w:tc>
      </w:tr>
      <w:tr w14:paraId="4CC4B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84" w:hRule="atLeast"/>
          <w:jc w:val="center"/>
        </w:trPr>
        <w:tc>
          <w:tcPr>
            <w:tcW w:w="1309" w:type="dxa"/>
            <w:vMerge w:val="restart"/>
            <w:tcBorders>
              <w:top w:val="single" w:color="000000" w:sz="4" w:space="0"/>
              <w:left w:val="single" w:color="000000" w:sz="4" w:space="0"/>
              <w:right w:val="single" w:color="000000" w:sz="4" w:space="0"/>
            </w:tcBorders>
            <w:shd w:val="clear" w:color="auto" w:fill="auto"/>
            <w:vAlign w:val="center"/>
          </w:tcPr>
          <w:p w14:paraId="0F1E8DE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年度主要</w:t>
            </w:r>
          </w:p>
          <w:p w14:paraId="79F939B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任务</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17ED9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任务名称</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9DD8E1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主要内容</w:t>
            </w:r>
          </w:p>
        </w:tc>
      </w:tr>
      <w:tr w14:paraId="59D65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03A21371">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D8467B">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开展乡村文化体育和宣传活动</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30B4D86">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开展读书会、村民联欢会等，宣传学习政策法律等。</w:t>
            </w:r>
          </w:p>
        </w:tc>
      </w:tr>
      <w:tr w14:paraId="4F39D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4315F194">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7AB238">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促进发展</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8E06C56">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科学制定发展规划，完善农业社会化服务体系，加强农村劳动力技能培训，提高社会主义新农村建设水平。</w:t>
            </w:r>
          </w:p>
        </w:tc>
      </w:tr>
      <w:tr w14:paraId="0A81A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5E9DC9B8">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65227D">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维护稳定</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014286C">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突出解决人民群众最关心、最直接、最现实的利益问题，建立健全应急机制、化解农村矛盾，维护农村社会稳定。</w:t>
            </w:r>
          </w:p>
        </w:tc>
      </w:tr>
      <w:tr w14:paraId="2CD6B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0A10D9EB">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EE155D">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行政机构主要职责</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A4D4F86">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宣传落实好党的路线、方针、政策和国家的法律、法规，极高、培育村民委员会自制能力。</w:t>
            </w:r>
          </w:p>
        </w:tc>
      </w:tr>
      <w:tr w14:paraId="67DC0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11F2D8A6">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AD79E1">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加强管理</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FA8E71F">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加强社会管理，加强社会主义精神文明建设，提高农村人口素质和农牧民生活质量。</w:t>
            </w:r>
          </w:p>
        </w:tc>
      </w:tr>
      <w:tr w14:paraId="3069C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78866A23">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AE0ED8">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提供服务</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4F98248">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进一步发展和完善农业社会化服务体系，发展公益性事业，加强农村基础设施建设。</w:t>
            </w:r>
          </w:p>
        </w:tc>
      </w:tr>
      <w:tr w14:paraId="3CDB0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282A138B">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4C37AD">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其他事务</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93C2BFC">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承办上级部门交办的其他事项。</w:t>
            </w:r>
          </w:p>
        </w:tc>
      </w:tr>
      <w:tr w14:paraId="3EB3E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bottom w:val="single" w:color="auto" w:sz="4" w:space="0"/>
              <w:right w:val="single" w:color="000000" w:sz="4" w:space="0"/>
            </w:tcBorders>
            <w:shd w:val="clear" w:color="auto" w:fill="auto"/>
            <w:vAlign w:val="center"/>
          </w:tcPr>
          <w:p w14:paraId="4DF5782D">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14:paraId="5D45B027">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事业机构主要职责</w:t>
            </w:r>
          </w:p>
        </w:tc>
        <w:tc>
          <w:tcPr>
            <w:tcW w:w="6631" w:type="dxa"/>
            <w:gridSpan w:val="7"/>
            <w:tcBorders>
              <w:top w:val="single" w:color="000000" w:sz="4" w:space="0"/>
              <w:left w:val="single" w:color="000000" w:sz="4" w:space="0"/>
              <w:bottom w:val="single" w:color="auto" w:sz="4" w:space="0"/>
              <w:right w:val="single" w:color="000000" w:sz="4" w:space="0"/>
            </w:tcBorders>
            <w:shd w:val="clear" w:color="auto" w:fill="auto"/>
            <w:vAlign w:val="center"/>
          </w:tcPr>
          <w:p w14:paraId="00BC5A8C">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宣传落实好党的路线、方针、政策和国家的法律、法规，极高、培育村民委员会自制能力。</w:t>
            </w:r>
          </w:p>
        </w:tc>
      </w:tr>
      <w:tr w14:paraId="63C85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330CF5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年度绩效</w:t>
            </w:r>
          </w:p>
          <w:p w14:paraId="34FC688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347" w:type="dxa"/>
            <w:tcBorders>
              <w:top w:val="single" w:color="auto" w:sz="4" w:space="0"/>
              <w:left w:val="single" w:color="auto" w:sz="4" w:space="0"/>
              <w:bottom w:val="single" w:color="auto" w:sz="4" w:space="0"/>
              <w:right w:val="single" w:color="auto" w:sz="4" w:space="0"/>
            </w:tcBorders>
            <w:shd w:val="clear" w:color="auto" w:fill="auto"/>
            <w:vAlign w:val="center"/>
          </w:tcPr>
          <w:p w14:paraId="208657E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一级指标</w:t>
            </w:r>
          </w:p>
        </w:tc>
        <w:tc>
          <w:tcPr>
            <w:tcW w:w="1273" w:type="dxa"/>
            <w:tcBorders>
              <w:top w:val="single" w:color="auto" w:sz="4" w:space="0"/>
              <w:left w:val="single" w:color="auto" w:sz="4" w:space="0"/>
              <w:bottom w:val="single" w:color="auto" w:sz="4" w:space="0"/>
              <w:right w:val="single" w:color="auto" w:sz="4" w:space="0"/>
            </w:tcBorders>
            <w:shd w:val="clear" w:color="auto" w:fill="auto"/>
            <w:vAlign w:val="center"/>
          </w:tcPr>
          <w:p w14:paraId="5E7541E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二级指标</w:t>
            </w:r>
          </w:p>
        </w:tc>
        <w:tc>
          <w:tcPr>
            <w:tcW w:w="1100" w:type="dxa"/>
            <w:tcBorders>
              <w:top w:val="single" w:color="auto" w:sz="4" w:space="0"/>
              <w:left w:val="single" w:color="auto" w:sz="4" w:space="0"/>
              <w:bottom w:val="single" w:color="auto" w:sz="4" w:space="0"/>
              <w:right w:val="single" w:color="auto" w:sz="4" w:space="0"/>
            </w:tcBorders>
            <w:shd w:val="clear" w:color="auto" w:fill="auto"/>
            <w:vAlign w:val="center"/>
          </w:tcPr>
          <w:p w14:paraId="1266B9D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三级指标</w:t>
            </w:r>
          </w:p>
        </w:tc>
        <w:tc>
          <w:tcPr>
            <w:tcW w:w="114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6E01DE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绩效指标</w:t>
            </w:r>
          </w:p>
          <w:p w14:paraId="1B6994E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性质</w:t>
            </w:r>
          </w:p>
        </w:tc>
        <w:tc>
          <w:tcPr>
            <w:tcW w:w="1289" w:type="dxa"/>
            <w:tcBorders>
              <w:top w:val="single" w:color="auto" w:sz="4" w:space="0"/>
              <w:left w:val="single" w:color="auto" w:sz="4" w:space="0"/>
              <w:bottom w:val="single" w:color="auto" w:sz="4" w:space="0"/>
              <w:right w:val="single" w:color="auto" w:sz="4" w:space="0"/>
            </w:tcBorders>
            <w:shd w:val="clear" w:color="auto" w:fill="auto"/>
            <w:vAlign w:val="center"/>
          </w:tcPr>
          <w:p w14:paraId="00CC5DC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绩效指标值</w:t>
            </w:r>
          </w:p>
        </w:tc>
        <w:tc>
          <w:tcPr>
            <w:tcW w:w="1058" w:type="dxa"/>
            <w:tcBorders>
              <w:top w:val="single" w:color="auto" w:sz="4" w:space="0"/>
              <w:left w:val="single" w:color="auto" w:sz="4" w:space="0"/>
              <w:bottom w:val="single" w:color="auto" w:sz="4" w:space="0"/>
              <w:right w:val="single" w:color="auto" w:sz="4" w:space="0"/>
            </w:tcBorders>
            <w:shd w:val="clear" w:color="auto" w:fill="auto"/>
            <w:vAlign w:val="center"/>
          </w:tcPr>
          <w:p w14:paraId="3E063AA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绩效度量单位</w:t>
            </w:r>
          </w:p>
        </w:tc>
        <w:tc>
          <w:tcPr>
            <w:tcW w:w="926" w:type="dxa"/>
            <w:tcBorders>
              <w:top w:val="single" w:color="auto" w:sz="4" w:space="0"/>
              <w:left w:val="single" w:color="auto" w:sz="4" w:space="0"/>
              <w:bottom w:val="single" w:color="auto" w:sz="4" w:space="0"/>
              <w:right w:val="single" w:color="auto" w:sz="4" w:space="0"/>
            </w:tcBorders>
            <w:shd w:val="clear" w:color="auto" w:fill="auto"/>
            <w:vAlign w:val="center"/>
          </w:tcPr>
          <w:p w14:paraId="2BC10D0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权重</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57E4D6D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实际完成</w:t>
            </w:r>
          </w:p>
          <w:p w14:paraId="78CE4E9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指标值</w:t>
            </w:r>
          </w:p>
        </w:tc>
      </w:tr>
      <w:tr w14:paraId="38C9E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02C87AF">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767A759">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产出指标</w:t>
            </w:r>
          </w:p>
        </w:tc>
        <w:tc>
          <w:tcPr>
            <w:tcW w:w="127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7316692">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数量指标</w:t>
            </w:r>
          </w:p>
        </w:tc>
        <w:tc>
          <w:tcPr>
            <w:tcW w:w="1100" w:type="dxa"/>
            <w:tcBorders>
              <w:top w:val="single" w:color="auto" w:sz="4" w:space="0"/>
              <w:left w:val="single" w:color="auto" w:sz="4" w:space="0"/>
              <w:bottom w:val="single" w:color="auto" w:sz="4" w:space="0"/>
              <w:right w:val="single" w:color="auto" w:sz="4" w:space="0"/>
            </w:tcBorders>
            <w:shd w:val="clear" w:color="auto" w:fill="auto"/>
            <w:vAlign w:val="center"/>
          </w:tcPr>
          <w:p w14:paraId="2BBA9298">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人大主席组织开展人大日常工作，开展乡镇人大代表学习视察调研工作；乡人大代表联系群众工作办公室认真办理乡人大代表建议批评和意见，通过分解和督办</w:t>
            </w:r>
          </w:p>
        </w:tc>
        <w:tc>
          <w:tcPr>
            <w:tcW w:w="114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1FFC144">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w:t>
            </w:r>
          </w:p>
        </w:tc>
        <w:tc>
          <w:tcPr>
            <w:tcW w:w="1289" w:type="dxa"/>
            <w:tcBorders>
              <w:top w:val="single" w:color="auto" w:sz="4" w:space="0"/>
              <w:left w:val="single" w:color="auto" w:sz="4" w:space="0"/>
              <w:bottom w:val="single" w:color="auto" w:sz="4" w:space="0"/>
              <w:right w:val="single" w:color="auto" w:sz="4" w:space="0"/>
            </w:tcBorders>
            <w:shd w:val="clear" w:color="auto" w:fill="auto"/>
            <w:vAlign w:val="center"/>
          </w:tcPr>
          <w:p w14:paraId="57C93F09">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20</w:t>
            </w:r>
          </w:p>
        </w:tc>
        <w:tc>
          <w:tcPr>
            <w:tcW w:w="1058" w:type="dxa"/>
            <w:tcBorders>
              <w:top w:val="single" w:color="auto" w:sz="4" w:space="0"/>
              <w:left w:val="single" w:color="auto" w:sz="4" w:space="0"/>
              <w:bottom w:val="single" w:color="auto" w:sz="4" w:space="0"/>
              <w:right w:val="single" w:color="auto" w:sz="4" w:space="0"/>
            </w:tcBorders>
            <w:shd w:val="clear" w:color="auto" w:fill="auto"/>
            <w:vAlign w:val="center"/>
          </w:tcPr>
          <w:p w14:paraId="52FFEC53">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次/年</w:t>
            </w:r>
          </w:p>
        </w:tc>
        <w:tc>
          <w:tcPr>
            <w:tcW w:w="926" w:type="dxa"/>
            <w:tcBorders>
              <w:top w:val="single" w:color="auto" w:sz="4" w:space="0"/>
              <w:left w:val="single" w:color="auto" w:sz="4" w:space="0"/>
              <w:bottom w:val="single" w:color="auto" w:sz="4" w:space="0"/>
              <w:right w:val="single" w:color="auto" w:sz="4" w:space="0"/>
            </w:tcBorders>
            <w:shd w:val="clear" w:color="auto" w:fill="auto"/>
            <w:vAlign w:val="center"/>
          </w:tcPr>
          <w:p w14:paraId="2980F20B">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10</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6A1355FE">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lang w:val="en-US" w:eastAsia="zh-CN"/>
              </w:rPr>
            </w:pPr>
            <w:r>
              <w:rPr>
                <w:rFonts w:hint="eastAsia" w:ascii="宋体" w:hAnsi="宋体" w:eastAsia="宋体" w:cs="宋体"/>
                <w:i w:val="0"/>
                <w:iCs w:val="0"/>
                <w:color w:val="000000"/>
                <w:kern w:val="0"/>
                <w:sz w:val="22"/>
                <w:szCs w:val="22"/>
                <w:u w:val="none"/>
                <w:lang w:val="en-US" w:eastAsia="zh-CN" w:bidi="ar"/>
              </w:rPr>
              <w:t>20</w:t>
            </w:r>
          </w:p>
        </w:tc>
      </w:tr>
      <w:tr w14:paraId="64F3E8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2D65440">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9EE6FAE">
            <w:pPr>
              <w:jc w:val="left"/>
              <w:rPr>
                <w:rFonts w:hint="default" w:ascii="Times New Roman" w:hAnsi="Times New Roman" w:eastAsia="宋体" w:cs="Times New Roman"/>
                <w:i w:val="0"/>
                <w:color w:val="000000"/>
                <w:kern w:val="0"/>
                <w:sz w:val="24"/>
                <w:szCs w:val="24"/>
                <w:u w:val="none"/>
                <w:lang w:val="en-US" w:eastAsia="zh-CN" w:bidi="ar"/>
              </w:rPr>
            </w:pPr>
          </w:p>
        </w:tc>
        <w:tc>
          <w:tcPr>
            <w:tcW w:w="12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F59DCB2">
            <w:pPr>
              <w:rPr>
                <w:rFonts w:hint="default" w:ascii="Times New Roman" w:hAnsi="Times New Roman" w:eastAsia="宋体" w:cs="Times New Roman"/>
                <w:i w:val="0"/>
                <w:color w:val="000000"/>
                <w:kern w:val="0"/>
                <w:sz w:val="24"/>
                <w:szCs w:val="24"/>
                <w:u w:val="none"/>
                <w:lang w:val="en-US" w:eastAsia="zh-CN" w:bidi="ar"/>
              </w:rPr>
            </w:pPr>
          </w:p>
        </w:tc>
        <w:tc>
          <w:tcPr>
            <w:tcW w:w="1100" w:type="dxa"/>
            <w:tcBorders>
              <w:top w:val="single" w:color="auto" w:sz="4" w:space="0"/>
              <w:left w:val="single" w:color="auto" w:sz="4" w:space="0"/>
              <w:bottom w:val="single" w:color="auto" w:sz="4" w:space="0"/>
              <w:right w:val="single" w:color="auto" w:sz="4" w:space="0"/>
            </w:tcBorders>
            <w:shd w:val="clear" w:color="auto" w:fill="auto"/>
            <w:vAlign w:val="center"/>
          </w:tcPr>
          <w:p w14:paraId="73E907E5">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召开乡镇重要会议</w:t>
            </w:r>
          </w:p>
        </w:tc>
        <w:tc>
          <w:tcPr>
            <w:tcW w:w="114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385690A">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c>
          <w:tcPr>
            <w:tcW w:w="1289" w:type="dxa"/>
            <w:tcBorders>
              <w:top w:val="single" w:color="auto" w:sz="4" w:space="0"/>
              <w:left w:val="single" w:color="auto" w:sz="4" w:space="0"/>
              <w:bottom w:val="single" w:color="auto" w:sz="4" w:space="0"/>
              <w:right w:val="single" w:color="auto" w:sz="4" w:space="0"/>
            </w:tcBorders>
            <w:shd w:val="clear" w:color="auto" w:fill="auto"/>
            <w:vAlign w:val="center"/>
          </w:tcPr>
          <w:p w14:paraId="22B20AAA">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50</w:t>
            </w:r>
          </w:p>
        </w:tc>
        <w:tc>
          <w:tcPr>
            <w:tcW w:w="1058" w:type="dxa"/>
            <w:tcBorders>
              <w:top w:val="single" w:color="auto" w:sz="4" w:space="0"/>
              <w:left w:val="single" w:color="auto" w:sz="4" w:space="0"/>
              <w:bottom w:val="single" w:color="auto" w:sz="4" w:space="0"/>
              <w:right w:val="single" w:color="auto" w:sz="4" w:space="0"/>
            </w:tcBorders>
            <w:shd w:val="clear" w:color="auto" w:fill="auto"/>
            <w:vAlign w:val="center"/>
          </w:tcPr>
          <w:p w14:paraId="0703F534">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群次</w:t>
            </w:r>
          </w:p>
        </w:tc>
        <w:tc>
          <w:tcPr>
            <w:tcW w:w="926" w:type="dxa"/>
            <w:tcBorders>
              <w:top w:val="single" w:color="auto" w:sz="4" w:space="0"/>
              <w:left w:val="single" w:color="auto" w:sz="4" w:space="0"/>
              <w:bottom w:val="single" w:color="auto" w:sz="4" w:space="0"/>
              <w:right w:val="single" w:color="auto" w:sz="4" w:space="0"/>
            </w:tcBorders>
            <w:shd w:val="clear" w:color="auto" w:fill="auto"/>
            <w:vAlign w:val="center"/>
          </w:tcPr>
          <w:p w14:paraId="6FA28319">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0A268B08">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lang w:val="en-US" w:eastAsia="zh-CN"/>
              </w:rPr>
            </w:pPr>
            <w:r>
              <w:rPr>
                <w:rFonts w:hint="eastAsia" w:ascii="宋体" w:hAnsi="宋体" w:eastAsia="宋体" w:cs="宋体"/>
                <w:i w:val="0"/>
                <w:iCs w:val="0"/>
                <w:color w:val="000000"/>
                <w:kern w:val="0"/>
                <w:sz w:val="22"/>
                <w:szCs w:val="22"/>
                <w:u w:val="none"/>
                <w:lang w:val="en-US" w:eastAsia="zh-CN" w:bidi="ar"/>
              </w:rPr>
              <w:t>50</w:t>
            </w:r>
          </w:p>
        </w:tc>
      </w:tr>
      <w:tr w14:paraId="5D825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7F98B07">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4796B9E">
            <w:pPr>
              <w:jc w:val="left"/>
              <w:rPr>
                <w:rFonts w:hint="default" w:ascii="Times New Roman" w:hAnsi="Times New Roman" w:eastAsia="宋体" w:cs="Times New Roman"/>
                <w:i w:val="0"/>
                <w:color w:val="000000"/>
                <w:sz w:val="24"/>
                <w:szCs w:val="24"/>
                <w:u w:val="none"/>
              </w:rPr>
            </w:pPr>
          </w:p>
        </w:tc>
        <w:tc>
          <w:tcPr>
            <w:tcW w:w="12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B7F2B69">
            <w:pPr>
              <w:rPr>
                <w:rFonts w:hint="default" w:ascii="Times New Roman" w:hAnsi="Times New Roman" w:eastAsia="宋体" w:cs="Times New Roman"/>
                <w:i w:val="0"/>
                <w:color w:val="000000"/>
                <w:sz w:val="24"/>
                <w:szCs w:val="24"/>
                <w:u w:val="none"/>
              </w:rPr>
            </w:pPr>
          </w:p>
        </w:tc>
        <w:tc>
          <w:tcPr>
            <w:tcW w:w="1100" w:type="dxa"/>
            <w:tcBorders>
              <w:top w:val="single" w:color="auto" w:sz="4" w:space="0"/>
              <w:left w:val="single" w:color="auto" w:sz="4" w:space="0"/>
              <w:bottom w:val="single" w:color="auto" w:sz="4" w:space="0"/>
              <w:right w:val="single" w:color="auto" w:sz="4" w:space="0"/>
            </w:tcBorders>
            <w:shd w:val="clear" w:color="auto" w:fill="auto"/>
            <w:vAlign w:val="center"/>
          </w:tcPr>
          <w:p w14:paraId="673E781B">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征订机关刊物</w:t>
            </w:r>
          </w:p>
        </w:tc>
        <w:tc>
          <w:tcPr>
            <w:tcW w:w="114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529E11E">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w:t>
            </w:r>
          </w:p>
        </w:tc>
        <w:tc>
          <w:tcPr>
            <w:tcW w:w="1289" w:type="dxa"/>
            <w:tcBorders>
              <w:top w:val="single" w:color="auto" w:sz="4" w:space="0"/>
              <w:left w:val="single" w:color="auto" w:sz="4" w:space="0"/>
              <w:bottom w:val="single" w:color="auto" w:sz="4" w:space="0"/>
              <w:right w:val="single" w:color="auto" w:sz="4" w:space="0"/>
            </w:tcBorders>
            <w:shd w:val="clear" w:color="auto" w:fill="auto"/>
            <w:vAlign w:val="center"/>
          </w:tcPr>
          <w:p w14:paraId="027C0306">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lang w:val="en-US" w:eastAsia="zh-CN"/>
              </w:rPr>
            </w:pPr>
            <w:r>
              <w:rPr>
                <w:rFonts w:hint="eastAsia" w:ascii="宋体" w:hAnsi="宋体" w:eastAsia="宋体" w:cs="宋体"/>
                <w:i w:val="0"/>
                <w:iCs w:val="0"/>
                <w:color w:val="000000"/>
                <w:kern w:val="0"/>
                <w:sz w:val="22"/>
                <w:szCs w:val="22"/>
                <w:u w:val="none"/>
                <w:lang w:val="en-US" w:eastAsia="zh-CN" w:bidi="ar"/>
              </w:rPr>
              <w:t>40</w:t>
            </w:r>
          </w:p>
        </w:tc>
        <w:tc>
          <w:tcPr>
            <w:tcW w:w="1058" w:type="dxa"/>
            <w:tcBorders>
              <w:top w:val="single" w:color="auto" w:sz="4" w:space="0"/>
              <w:left w:val="single" w:color="auto" w:sz="4" w:space="0"/>
              <w:bottom w:val="single" w:color="auto" w:sz="4" w:space="0"/>
              <w:right w:val="single" w:color="auto" w:sz="4" w:space="0"/>
            </w:tcBorders>
            <w:shd w:val="clear" w:color="auto" w:fill="auto"/>
            <w:vAlign w:val="center"/>
          </w:tcPr>
          <w:p w14:paraId="168C514F">
            <w:pPr>
              <w:keepNext w:val="0"/>
              <w:keepLines w:val="0"/>
              <w:widowControl/>
              <w:suppressLineNumbers w:val="0"/>
              <w:jc w:val="left"/>
              <w:textAlignment w:val="center"/>
              <w:rPr>
                <w:rFonts w:hint="eastAsia" w:ascii="Times New Roman" w:hAnsi="Times New Roman" w:eastAsia="宋体" w:cs="Times New Roman"/>
                <w:i w:val="0"/>
                <w:color w:val="000000"/>
                <w:sz w:val="24"/>
                <w:szCs w:val="24"/>
                <w:u w:val="none"/>
                <w:lang w:val="en-US" w:eastAsia="zh-CN"/>
              </w:rPr>
            </w:pPr>
            <w:r>
              <w:rPr>
                <w:rFonts w:hint="eastAsia" w:ascii="宋体" w:hAnsi="宋体" w:eastAsia="宋体" w:cs="宋体"/>
                <w:i w:val="0"/>
                <w:iCs w:val="0"/>
                <w:color w:val="000000"/>
                <w:kern w:val="0"/>
                <w:sz w:val="22"/>
                <w:szCs w:val="22"/>
                <w:u w:val="none"/>
                <w:lang w:val="en-US" w:eastAsia="zh-CN" w:bidi="ar"/>
              </w:rPr>
              <w:t>份</w:t>
            </w:r>
          </w:p>
        </w:tc>
        <w:tc>
          <w:tcPr>
            <w:tcW w:w="926" w:type="dxa"/>
            <w:tcBorders>
              <w:top w:val="single" w:color="auto" w:sz="4" w:space="0"/>
              <w:left w:val="single" w:color="auto" w:sz="4" w:space="0"/>
              <w:bottom w:val="single" w:color="auto" w:sz="4" w:space="0"/>
              <w:right w:val="single" w:color="auto" w:sz="4" w:space="0"/>
            </w:tcBorders>
            <w:shd w:val="clear" w:color="auto" w:fill="auto"/>
            <w:vAlign w:val="center"/>
          </w:tcPr>
          <w:p w14:paraId="6312325B">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6304B1ED">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lang w:val="en-US" w:eastAsia="zh-CN"/>
              </w:rPr>
            </w:pPr>
            <w:r>
              <w:rPr>
                <w:rFonts w:hint="eastAsia" w:ascii="宋体" w:hAnsi="宋体" w:eastAsia="宋体" w:cs="宋体"/>
                <w:i w:val="0"/>
                <w:iCs w:val="0"/>
                <w:color w:val="000000"/>
                <w:kern w:val="0"/>
                <w:sz w:val="22"/>
                <w:szCs w:val="22"/>
                <w:u w:val="none"/>
                <w:lang w:val="en-US" w:eastAsia="zh-CN" w:bidi="ar"/>
              </w:rPr>
              <w:t>40</w:t>
            </w:r>
          </w:p>
        </w:tc>
      </w:tr>
      <w:tr w14:paraId="7D330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AB774A0">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744FCB2">
            <w:pPr>
              <w:jc w:val="left"/>
              <w:rPr>
                <w:rFonts w:hint="default" w:ascii="Times New Roman" w:hAnsi="Times New Roman" w:eastAsia="宋体" w:cs="Times New Roman"/>
                <w:i w:val="0"/>
                <w:color w:val="000000"/>
                <w:sz w:val="24"/>
                <w:szCs w:val="24"/>
                <w:u w:val="none"/>
              </w:rPr>
            </w:pPr>
          </w:p>
        </w:tc>
        <w:tc>
          <w:tcPr>
            <w:tcW w:w="127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1742444">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质量指标</w:t>
            </w:r>
          </w:p>
        </w:tc>
        <w:tc>
          <w:tcPr>
            <w:tcW w:w="1100" w:type="dxa"/>
            <w:tcBorders>
              <w:top w:val="single" w:color="auto" w:sz="4" w:space="0"/>
              <w:left w:val="single" w:color="auto" w:sz="4" w:space="0"/>
              <w:bottom w:val="single" w:color="auto" w:sz="4" w:space="0"/>
              <w:right w:val="single" w:color="auto" w:sz="4" w:space="0"/>
            </w:tcBorders>
            <w:shd w:val="clear" w:color="auto" w:fill="auto"/>
            <w:vAlign w:val="center"/>
          </w:tcPr>
          <w:p w14:paraId="3CC24700">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各项工作任务完成率</w:t>
            </w:r>
          </w:p>
        </w:tc>
        <w:tc>
          <w:tcPr>
            <w:tcW w:w="114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29D31C2">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w:t>
            </w:r>
          </w:p>
        </w:tc>
        <w:tc>
          <w:tcPr>
            <w:tcW w:w="1289" w:type="dxa"/>
            <w:tcBorders>
              <w:top w:val="single" w:color="auto" w:sz="4" w:space="0"/>
              <w:left w:val="single" w:color="auto" w:sz="4" w:space="0"/>
              <w:bottom w:val="single" w:color="auto" w:sz="4" w:space="0"/>
              <w:right w:val="single" w:color="auto" w:sz="4" w:space="0"/>
            </w:tcBorders>
            <w:shd w:val="clear" w:color="auto" w:fill="auto"/>
            <w:vAlign w:val="center"/>
          </w:tcPr>
          <w:p w14:paraId="57A9BD74">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lang w:val="en-US" w:eastAsia="zh-CN"/>
              </w:rPr>
            </w:pPr>
            <w:r>
              <w:rPr>
                <w:rFonts w:hint="eastAsia" w:ascii="宋体" w:hAnsi="宋体" w:eastAsia="宋体" w:cs="宋体"/>
                <w:i w:val="0"/>
                <w:iCs w:val="0"/>
                <w:color w:val="000000"/>
                <w:kern w:val="0"/>
                <w:sz w:val="22"/>
                <w:szCs w:val="22"/>
                <w:u w:val="none"/>
                <w:lang w:val="en-US" w:eastAsia="zh-CN" w:bidi="ar"/>
              </w:rPr>
              <w:t>99</w:t>
            </w:r>
          </w:p>
        </w:tc>
        <w:tc>
          <w:tcPr>
            <w:tcW w:w="1058" w:type="dxa"/>
            <w:tcBorders>
              <w:top w:val="single" w:color="auto" w:sz="4" w:space="0"/>
              <w:left w:val="single" w:color="auto" w:sz="4" w:space="0"/>
              <w:bottom w:val="single" w:color="auto" w:sz="4" w:space="0"/>
              <w:right w:val="single" w:color="auto" w:sz="4" w:space="0"/>
            </w:tcBorders>
            <w:shd w:val="clear" w:color="auto" w:fill="auto"/>
            <w:vAlign w:val="center"/>
          </w:tcPr>
          <w:p w14:paraId="2D6D0D5D">
            <w:pPr>
              <w:keepNext w:val="0"/>
              <w:keepLines w:val="0"/>
              <w:widowControl/>
              <w:suppressLineNumbers w:val="0"/>
              <w:jc w:val="left"/>
              <w:textAlignment w:val="center"/>
              <w:rPr>
                <w:rFonts w:hint="eastAsia" w:ascii="Times New Roman" w:hAnsi="Times New Roman" w:eastAsia="宋体" w:cs="Times New Roman"/>
                <w:i w:val="0"/>
                <w:color w:val="000000"/>
                <w:sz w:val="24"/>
                <w:szCs w:val="24"/>
                <w:u w:val="none"/>
                <w:lang w:val="en-US" w:eastAsia="zh-CN"/>
              </w:rPr>
            </w:pPr>
            <w:r>
              <w:rPr>
                <w:rFonts w:hint="eastAsia" w:ascii="宋体" w:hAnsi="宋体" w:eastAsia="宋体" w:cs="宋体"/>
                <w:i w:val="0"/>
                <w:iCs w:val="0"/>
                <w:color w:val="000000"/>
                <w:kern w:val="0"/>
                <w:sz w:val="22"/>
                <w:szCs w:val="22"/>
                <w:u w:val="none"/>
                <w:lang w:val="en-US" w:eastAsia="zh-CN" w:bidi="ar"/>
              </w:rPr>
              <w:t>%</w:t>
            </w:r>
          </w:p>
        </w:tc>
        <w:tc>
          <w:tcPr>
            <w:tcW w:w="926" w:type="dxa"/>
            <w:tcBorders>
              <w:top w:val="single" w:color="auto" w:sz="4" w:space="0"/>
              <w:left w:val="single" w:color="auto" w:sz="4" w:space="0"/>
              <w:bottom w:val="single" w:color="auto" w:sz="4" w:space="0"/>
              <w:right w:val="single" w:color="auto" w:sz="4" w:space="0"/>
            </w:tcBorders>
            <w:shd w:val="clear" w:color="auto" w:fill="auto"/>
            <w:vAlign w:val="center"/>
          </w:tcPr>
          <w:p w14:paraId="616CCF51">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77FA8CBD">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lang w:val="en-US" w:eastAsia="zh-CN"/>
              </w:rPr>
            </w:pPr>
            <w:r>
              <w:rPr>
                <w:rFonts w:hint="eastAsia" w:ascii="宋体" w:hAnsi="宋体" w:eastAsia="宋体" w:cs="宋体"/>
                <w:i w:val="0"/>
                <w:iCs w:val="0"/>
                <w:color w:val="000000"/>
                <w:kern w:val="0"/>
                <w:sz w:val="22"/>
                <w:szCs w:val="22"/>
                <w:u w:val="none"/>
                <w:lang w:val="en-US" w:eastAsia="zh-CN" w:bidi="ar"/>
              </w:rPr>
              <w:t>99</w:t>
            </w:r>
          </w:p>
        </w:tc>
      </w:tr>
      <w:tr w14:paraId="1F6BC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AFC876C">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0C14A22">
            <w:pPr>
              <w:jc w:val="left"/>
              <w:rPr>
                <w:rFonts w:hint="default" w:ascii="Times New Roman" w:hAnsi="Times New Roman" w:eastAsia="宋体" w:cs="Times New Roman"/>
                <w:i w:val="0"/>
                <w:color w:val="000000"/>
                <w:sz w:val="24"/>
                <w:szCs w:val="24"/>
                <w:u w:val="none"/>
              </w:rPr>
            </w:pPr>
          </w:p>
        </w:tc>
        <w:tc>
          <w:tcPr>
            <w:tcW w:w="12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A8E69FE">
            <w:pPr>
              <w:rPr>
                <w:rFonts w:hint="default" w:ascii="Times New Roman" w:hAnsi="Times New Roman" w:eastAsia="宋体" w:cs="Times New Roman"/>
                <w:i w:val="0"/>
                <w:color w:val="000000"/>
                <w:sz w:val="24"/>
                <w:szCs w:val="24"/>
                <w:u w:val="none"/>
              </w:rPr>
            </w:pPr>
          </w:p>
        </w:tc>
        <w:tc>
          <w:tcPr>
            <w:tcW w:w="1100" w:type="dxa"/>
            <w:tcBorders>
              <w:top w:val="single" w:color="auto" w:sz="4" w:space="0"/>
              <w:left w:val="single" w:color="auto" w:sz="4" w:space="0"/>
              <w:bottom w:val="single" w:color="auto" w:sz="4" w:space="0"/>
              <w:right w:val="single" w:color="auto" w:sz="4" w:space="0"/>
            </w:tcBorders>
            <w:shd w:val="clear" w:color="auto" w:fill="auto"/>
            <w:vAlign w:val="center"/>
          </w:tcPr>
          <w:p w14:paraId="1B27CB88">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提升上级来文处理质效</w:t>
            </w:r>
          </w:p>
        </w:tc>
        <w:tc>
          <w:tcPr>
            <w:tcW w:w="114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F0D077D">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w:t>
            </w:r>
          </w:p>
        </w:tc>
        <w:tc>
          <w:tcPr>
            <w:tcW w:w="1289" w:type="dxa"/>
            <w:tcBorders>
              <w:top w:val="single" w:color="auto" w:sz="4" w:space="0"/>
              <w:left w:val="single" w:color="auto" w:sz="4" w:space="0"/>
              <w:bottom w:val="single" w:color="auto" w:sz="4" w:space="0"/>
              <w:right w:val="single" w:color="auto" w:sz="4" w:space="0"/>
            </w:tcBorders>
            <w:shd w:val="clear" w:color="auto" w:fill="auto"/>
            <w:vAlign w:val="center"/>
          </w:tcPr>
          <w:p w14:paraId="2A22B29B">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lang w:val="en-US" w:eastAsia="zh-CN"/>
              </w:rPr>
            </w:pPr>
            <w:r>
              <w:rPr>
                <w:rFonts w:hint="eastAsia" w:ascii="宋体" w:hAnsi="宋体" w:eastAsia="宋体" w:cs="宋体"/>
                <w:i w:val="0"/>
                <w:iCs w:val="0"/>
                <w:color w:val="000000"/>
                <w:kern w:val="0"/>
                <w:sz w:val="22"/>
                <w:szCs w:val="22"/>
                <w:u w:val="none"/>
                <w:lang w:val="en-US" w:eastAsia="zh-CN" w:bidi="ar"/>
              </w:rPr>
              <w:t>99</w:t>
            </w:r>
          </w:p>
        </w:tc>
        <w:tc>
          <w:tcPr>
            <w:tcW w:w="1058" w:type="dxa"/>
            <w:tcBorders>
              <w:top w:val="single" w:color="auto" w:sz="4" w:space="0"/>
              <w:left w:val="single" w:color="auto" w:sz="4" w:space="0"/>
              <w:bottom w:val="single" w:color="auto" w:sz="4" w:space="0"/>
              <w:right w:val="single" w:color="auto" w:sz="4" w:space="0"/>
            </w:tcBorders>
            <w:shd w:val="clear" w:color="auto" w:fill="auto"/>
            <w:vAlign w:val="center"/>
          </w:tcPr>
          <w:p w14:paraId="323A5EA1">
            <w:pPr>
              <w:keepNext w:val="0"/>
              <w:keepLines w:val="0"/>
              <w:widowControl/>
              <w:suppressLineNumbers w:val="0"/>
              <w:jc w:val="left"/>
              <w:textAlignment w:val="center"/>
              <w:rPr>
                <w:rFonts w:hint="eastAsia" w:ascii="Times New Roman" w:hAnsi="Times New Roman" w:eastAsia="宋体" w:cs="Times New Roman"/>
                <w:i w:val="0"/>
                <w:color w:val="000000"/>
                <w:sz w:val="24"/>
                <w:szCs w:val="24"/>
                <w:u w:val="none"/>
                <w:lang w:val="en-US" w:eastAsia="zh-CN"/>
              </w:rPr>
            </w:pPr>
            <w:r>
              <w:rPr>
                <w:rFonts w:hint="eastAsia" w:ascii="宋体" w:hAnsi="宋体" w:eastAsia="宋体" w:cs="宋体"/>
                <w:i w:val="0"/>
                <w:iCs w:val="0"/>
                <w:color w:val="000000"/>
                <w:kern w:val="0"/>
                <w:sz w:val="22"/>
                <w:szCs w:val="22"/>
                <w:u w:val="none"/>
                <w:lang w:val="en-US" w:eastAsia="zh-CN" w:bidi="ar"/>
              </w:rPr>
              <w:t>%</w:t>
            </w:r>
          </w:p>
        </w:tc>
        <w:tc>
          <w:tcPr>
            <w:tcW w:w="926" w:type="dxa"/>
            <w:tcBorders>
              <w:top w:val="single" w:color="auto" w:sz="4" w:space="0"/>
              <w:left w:val="single" w:color="auto" w:sz="4" w:space="0"/>
              <w:bottom w:val="single" w:color="auto" w:sz="4" w:space="0"/>
              <w:right w:val="single" w:color="auto" w:sz="4" w:space="0"/>
            </w:tcBorders>
            <w:shd w:val="clear" w:color="auto" w:fill="auto"/>
            <w:vAlign w:val="center"/>
          </w:tcPr>
          <w:p w14:paraId="4555F080">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214BBB2D">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lang w:val="en-US" w:eastAsia="zh-CN"/>
              </w:rPr>
            </w:pPr>
            <w:r>
              <w:rPr>
                <w:rFonts w:hint="eastAsia" w:ascii="宋体" w:hAnsi="宋体" w:eastAsia="宋体" w:cs="宋体"/>
                <w:i w:val="0"/>
                <w:iCs w:val="0"/>
                <w:color w:val="000000"/>
                <w:kern w:val="0"/>
                <w:sz w:val="22"/>
                <w:szCs w:val="22"/>
                <w:u w:val="none"/>
                <w:lang w:val="en-US" w:eastAsia="zh-CN" w:bidi="ar"/>
              </w:rPr>
              <w:t>99</w:t>
            </w:r>
          </w:p>
        </w:tc>
      </w:tr>
      <w:tr w14:paraId="2DC54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A1D4C05">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7763A15">
            <w:pPr>
              <w:jc w:val="left"/>
              <w:rPr>
                <w:rFonts w:hint="eastAsia" w:ascii="Times New Roman" w:hAnsi="Times New Roman" w:eastAsia="宋体" w:cs="Times New Roman"/>
                <w:i w:val="0"/>
                <w:color w:val="000000"/>
                <w:sz w:val="24"/>
                <w:szCs w:val="24"/>
                <w:u w:val="none"/>
                <w:lang w:val="en-US" w:eastAsia="zh-CN"/>
              </w:rPr>
            </w:pPr>
          </w:p>
        </w:tc>
        <w:tc>
          <w:tcPr>
            <w:tcW w:w="1273" w:type="dxa"/>
            <w:tcBorders>
              <w:top w:val="single" w:color="auto" w:sz="4" w:space="0"/>
              <w:left w:val="single" w:color="auto" w:sz="4" w:space="0"/>
              <w:bottom w:val="single" w:color="auto" w:sz="4" w:space="0"/>
              <w:right w:val="single" w:color="auto" w:sz="4" w:space="0"/>
            </w:tcBorders>
            <w:shd w:val="clear" w:color="auto" w:fill="auto"/>
            <w:vAlign w:val="center"/>
          </w:tcPr>
          <w:p w14:paraId="6FFDCAA2">
            <w:r>
              <w:rPr>
                <w:rFonts w:hint="eastAsia" w:ascii="宋体" w:hAnsi="宋体" w:eastAsia="宋体" w:cs="宋体"/>
                <w:i w:val="0"/>
                <w:iCs w:val="0"/>
                <w:color w:val="000000"/>
                <w:kern w:val="0"/>
                <w:sz w:val="22"/>
                <w:szCs w:val="22"/>
                <w:u w:val="none"/>
                <w:lang w:val="en-US" w:eastAsia="zh-CN" w:bidi="ar"/>
              </w:rPr>
              <w:t>时效指标</w:t>
            </w:r>
          </w:p>
        </w:tc>
        <w:tc>
          <w:tcPr>
            <w:tcW w:w="1100" w:type="dxa"/>
            <w:tcBorders>
              <w:top w:val="single" w:color="auto" w:sz="4" w:space="0"/>
              <w:left w:val="single" w:color="auto" w:sz="4" w:space="0"/>
              <w:bottom w:val="single" w:color="auto" w:sz="4" w:space="0"/>
              <w:right w:val="single" w:color="auto" w:sz="4" w:space="0"/>
            </w:tcBorders>
            <w:shd w:val="clear" w:color="auto" w:fill="auto"/>
            <w:vAlign w:val="center"/>
          </w:tcPr>
          <w:p w14:paraId="6B0B0215">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各项工作及时完成率</w:t>
            </w:r>
          </w:p>
        </w:tc>
        <w:tc>
          <w:tcPr>
            <w:tcW w:w="114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E70B629">
            <w:pPr>
              <w:keepNext w:val="0"/>
              <w:keepLines w:val="0"/>
              <w:widowControl/>
              <w:suppressLineNumbers w:val="0"/>
              <w:jc w:val="left"/>
              <w:textAlignment w:val="center"/>
              <w:rPr>
                <w:rFonts w:hint="default" w:ascii="Times New Roman" w:hAnsi="Times New Roman" w:eastAsia="宋体" w:cs="Times New Roman"/>
                <w:i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w:t>
            </w:r>
          </w:p>
        </w:tc>
        <w:tc>
          <w:tcPr>
            <w:tcW w:w="1289" w:type="dxa"/>
            <w:tcBorders>
              <w:top w:val="single" w:color="auto" w:sz="4" w:space="0"/>
              <w:left w:val="single" w:color="auto" w:sz="4" w:space="0"/>
              <w:bottom w:val="single" w:color="auto" w:sz="4" w:space="0"/>
              <w:right w:val="single" w:color="auto" w:sz="4" w:space="0"/>
            </w:tcBorders>
            <w:shd w:val="clear" w:color="auto" w:fill="auto"/>
            <w:vAlign w:val="center"/>
          </w:tcPr>
          <w:p w14:paraId="7B33F39D">
            <w:pPr>
              <w:keepNext w:val="0"/>
              <w:keepLines w:val="0"/>
              <w:widowControl/>
              <w:suppressLineNumbers w:val="0"/>
              <w:jc w:val="left"/>
              <w:textAlignment w:val="center"/>
              <w:rPr>
                <w:rFonts w:hint="default" w:ascii="Times New Roman" w:hAnsi="Times New Roman" w:eastAsia="宋体" w:cs="Times New Roman"/>
                <w:i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100</w:t>
            </w:r>
          </w:p>
        </w:tc>
        <w:tc>
          <w:tcPr>
            <w:tcW w:w="1058" w:type="dxa"/>
            <w:tcBorders>
              <w:top w:val="single" w:color="auto" w:sz="4" w:space="0"/>
              <w:left w:val="single" w:color="auto" w:sz="4" w:space="0"/>
              <w:bottom w:val="single" w:color="auto" w:sz="4" w:space="0"/>
              <w:right w:val="single" w:color="auto" w:sz="4" w:space="0"/>
            </w:tcBorders>
            <w:shd w:val="clear" w:color="auto" w:fill="auto"/>
            <w:vAlign w:val="center"/>
          </w:tcPr>
          <w:p w14:paraId="6EDE2360">
            <w:pPr>
              <w:keepNext w:val="0"/>
              <w:keepLines w:val="0"/>
              <w:widowControl/>
              <w:suppressLineNumbers w:val="0"/>
              <w:jc w:val="left"/>
              <w:textAlignment w:val="center"/>
              <w:rPr>
                <w:rFonts w:hint="default" w:ascii="Times New Roman" w:hAnsi="Times New Roman" w:eastAsia="宋体" w:cs="Times New Roman"/>
                <w:i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w:t>
            </w:r>
          </w:p>
        </w:tc>
        <w:tc>
          <w:tcPr>
            <w:tcW w:w="926" w:type="dxa"/>
            <w:tcBorders>
              <w:top w:val="single" w:color="auto" w:sz="4" w:space="0"/>
              <w:left w:val="single" w:color="auto" w:sz="4" w:space="0"/>
              <w:bottom w:val="single" w:color="auto" w:sz="4" w:space="0"/>
              <w:right w:val="single" w:color="auto" w:sz="4" w:space="0"/>
            </w:tcBorders>
            <w:shd w:val="clear" w:color="auto" w:fill="auto"/>
            <w:vAlign w:val="center"/>
          </w:tcPr>
          <w:p w14:paraId="07DFB1A8">
            <w:pPr>
              <w:keepNext w:val="0"/>
              <w:keepLines w:val="0"/>
              <w:widowControl/>
              <w:suppressLineNumbers w:val="0"/>
              <w:jc w:val="left"/>
              <w:textAlignment w:val="center"/>
              <w:rPr>
                <w:rFonts w:hint="default" w:ascii="Times New Roman" w:hAnsi="Times New Roman" w:eastAsia="宋体" w:cs="Times New Roman"/>
                <w:i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14794EC6">
            <w:pPr>
              <w:keepNext w:val="0"/>
              <w:keepLines w:val="0"/>
              <w:widowControl/>
              <w:suppressLineNumbers w:val="0"/>
              <w:jc w:val="left"/>
              <w:textAlignment w:val="center"/>
              <w:rPr>
                <w:rFonts w:hint="default" w:ascii="Times New Roman" w:hAnsi="Times New Roman" w:eastAsia="宋体" w:cs="Times New Roman"/>
                <w:i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100</w:t>
            </w:r>
          </w:p>
        </w:tc>
      </w:tr>
      <w:tr w14:paraId="30B7F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C60AC02">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86B5768">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效益指标</w:t>
            </w:r>
          </w:p>
        </w:tc>
        <w:tc>
          <w:tcPr>
            <w:tcW w:w="1273" w:type="dxa"/>
            <w:tcBorders>
              <w:top w:val="single" w:color="auto" w:sz="4" w:space="0"/>
              <w:left w:val="single" w:color="auto" w:sz="4" w:space="0"/>
              <w:bottom w:val="single" w:color="auto" w:sz="4" w:space="0"/>
              <w:right w:val="single" w:color="auto" w:sz="4" w:space="0"/>
            </w:tcBorders>
            <w:shd w:val="clear" w:color="auto" w:fill="auto"/>
            <w:vAlign w:val="center"/>
          </w:tcPr>
          <w:p w14:paraId="39379231">
            <w:r>
              <w:rPr>
                <w:rFonts w:hint="eastAsia" w:ascii="宋体" w:hAnsi="宋体" w:eastAsia="宋体" w:cs="宋体"/>
                <w:i w:val="0"/>
                <w:iCs w:val="0"/>
                <w:color w:val="000000"/>
                <w:kern w:val="0"/>
                <w:sz w:val="22"/>
                <w:szCs w:val="22"/>
                <w:u w:val="none"/>
                <w:lang w:val="en-US" w:eastAsia="zh-CN" w:bidi="ar"/>
              </w:rPr>
              <w:t>社会效益指标</w:t>
            </w:r>
          </w:p>
        </w:tc>
        <w:tc>
          <w:tcPr>
            <w:tcW w:w="1100" w:type="dxa"/>
            <w:tcBorders>
              <w:top w:val="single" w:color="auto" w:sz="4" w:space="0"/>
              <w:left w:val="single" w:color="auto" w:sz="4" w:space="0"/>
              <w:bottom w:val="single" w:color="auto" w:sz="4" w:space="0"/>
              <w:right w:val="single" w:color="auto" w:sz="4" w:space="0"/>
            </w:tcBorders>
            <w:shd w:val="clear" w:color="auto" w:fill="auto"/>
            <w:vAlign w:val="center"/>
          </w:tcPr>
          <w:p w14:paraId="4409A8C8">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发挥基层党组织先锋模范和战斗堡垒作用，带动全乡建强基层组织。</w:t>
            </w:r>
          </w:p>
        </w:tc>
        <w:tc>
          <w:tcPr>
            <w:tcW w:w="114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888A4E1">
            <w:pPr>
              <w:keepNext w:val="0"/>
              <w:keepLines w:val="0"/>
              <w:widowControl/>
              <w:suppressLineNumbers w:val="0"/>
              <w:jc w:val="left"/>
              <w:textAlignment w:val="center"/>
              <w:rPr>
                <w:rFonts w:hint="default" w:ascii="Times New Roman" w:hAnsi="Times New Roman" w:eastAsia="宋体" w:cs="Times New Roman"/>
                <w:i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定性</w:t>
            </w:r>
          </w:p>
        </w:tc>
        <w:tc>
          <w:tcPr>
            <w:tcW w:w="1289" w:type="dxa"/>
            <w:tcBorders>
              <w:top w:val="single" w:color="auto" w:sz="4" w:space="0"/>
              <w:left w:val="single" w:color="auto" w:sz="4" w:space="0"/>
              <w:bottom w:val="single" w:color="auto" w:sz="4" w:space="0"/>
              <w:right w:val="single" w:color="auto" w:sz="4" w:space="0"/>
            </w:tcBorders>
            <w:shd w:val="clear" w:color="auto" w:fill="auto"/>
            <w:vAlign w:val="center"/>
          </w:tcPr>
          <w:p w14:paraId="02657E10">
            <w:pPr>
              <w:keepNext w:val="0"/>
              <w:keepLines w:val="0"/>
              <w:widowControl/>
              <w:suppressLineNumbers w:val="0"/>
              <w:jc w:val="left"/>
              <w:textAlignment w:val="center"/>
              <w:rPr>
                <w:rFonts w:hint="default" w:ascii="Times New Roman" w:hAnsi="Times New Roman" w:eastAsia="宋体" w:cs="Times New Roman"/>
                <w:i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优</w:t>
            </w:r>
          </w:p>
        </w:tc>
        <w:tc>
          <w:tcPr>
            <w:tcW w:w="1058" w:type="dxa"/>
            <w:tcBorders>
              <w:top w:val="single" w:color="auto" w:sz="4" w:space="0"/>
              <w:left w:val="single" w:color="auto" w:sz="4" w:space="0"/>
              <w:bottom w:val="single" w:color="auto" w:sz="4" w:space="0"/>
              <w:right w:val="single" w:color="auto" w:sz="4" w:space="0"/>
            </w:tcBorders>
            <w:shd w:val="clear" w:color="auto" w:fill="auto"/>
            <w:vAlign w:val="center"/>
          </w:tcPr>
          <w:p w14:paraId="7686EA99">
            <w:pPr>
              <w:jc w:val="left"/>
              <w:rPr>
                <w:rFonts w:hint="default" w:ascii="Times New Roman" w:hAnsi="Times New Roman" w:eastAsia="宋体" w:cs="Times New Roman"/>
                <w:i w:val="0"/>
                <w:color w:val="000000"/>
                <w:kern w:val="2"/>
                <w:sz w:val="24"/>
                <w:szCs w:val="24"/>
                <w:u w:val="none"/>
                <w:lang w:val="en-US" w:eastAsia="zh-CN" w:bidi="ar-SA"/>
              </w:rPr>
            </w:pPr>
          </w:p>
        </w:tc>
        <w:tc>
          <w:tcPr>
            <w:tcW w:w="926" w:type="dxa"/>
            <w:tcBorders>
              <w:top w:val="single" w:color="auto" w:sz="4" w:space="0"/>
              <w:left w:val="single" w:color="auto" w:sz="4" w:space="0"/>
              <w:bottom w:val="single" w:color="auto" w:sz="4" w:space="0"/>
              <w:right w:val="single" w:color="auto" w:sz="4" w:space="0"/>
            </w:tcBorders>
            <w:shd w:val="clear" w:color="auto" w:fill="auto"/>
            <w:vAlign w:val="center"/>
          </w:tcPr>
          <w:p w14:paraId="5E164905">
            <w:pPr>
              <w:keepNext w:val="0"/>
              <w:keepLines w:val="0"/>
              <w:widowControl/>
              <w:suppressLineNumbers w:val="0"/>
              <w:jc w:val="left"/>
              <w:textAlignment w:val="center"/>
              <w:rPr>
                <w:rFonts w:hint="default" w:ascii="Times New Roman" w:hAnsi="Times New Roman" w:eastAsia="宋体" w:cs="Times New Roman"/>
                <w:i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15</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07407FE2">
            <w:pPr>
              <w:keepNext w:val="0"/>
              <w:keepLines w:val="0"/>
              <w:widowControl/>
              <w:suppressLineNumbers w:val="0"/>
              <w:jc w:val="left"/>
              <w:textAlignment w:val="center"/>
              <w:rPr>
                <w:rFonts w:hint="default" w:ascii="Times New Roman" w:hAnsi="Times New Roman" w:eastAsia="宋体" w:cs="Times New Roman"/>
                <w:i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优</w:t>
            </w:r>
          </w:p>
        </w:tc>
      </w:tr>
      <w:tr w14:paraId="4C44C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0238F27">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78E762D">
            <w:pPr>
              <w:jc w:val="left"/>
              <w:rPr>
                <w:rFonts w:hint="default" w:ascii="Times New Roman" w:hAnsi="Times New Roman" w:eastAsia="宋体" w:cs="Times New Roman"/>
                <w:i w:val="0"/>
                <w:color w:val="000000"/>
                <w:sz w:val="24"/>
                <w:szCs w:val="24"/>
                <w:u w:val="none"/>
              </w:rPr>
            </w:pPr>
          </w:p>
        </w:tc>
        <w:tc>
          <w:tcPr>
            <w:tcW w:w="1273" w:type="dxa"/>
            <w:tcBorders>
              <w:top w:val="single" w:color="auto" w:sz="4" w:space="0"/>
              <w:left w:val="single" w:color="auto" w:sz="4" w:space="0"/>
              <w:bottom w:val="single" w:color="auto" w:sz="4" w:space="0"/>
              <w:right w:val="single" w:color="auto" w:sz="4" w:space="0"/>
            </w:tcBorders>
            <w:shd w:val="clear" w:color="auto" w:fill="auto"/>
            <w:vAlign w:val="center"/>
          </w:tcPr>
          <w:p w14:paraId="7B274B50">
            <w:r>
              <w:rPr>
                <w:rFonts w:hint="eastAsia" w:ascii="宋体" w:hAnsi="宋体" w:eastAsia="宋体" w:cs="宋体"/>
                <w:i w:val="0"/>
                <w:iCs w:val="0"/>
                <w:color w:val="000000"/>
                <w:kern w:val="0"/>
                <w:sz w:val="22"/>
                <w:szCs w:val="22"/>
                <w:u w:val="none"/>
                <w:lang w:val="en-US" w:eastAsia="zh-CN" w:bidi="ar"/>
              </w:rPr>
              <w:t>可持续发展指标</w:t>
            </w:r>
          </w:p>
        </w:tc>
        <w:tc>
          <w:tcPr>
            <w:tcW w:w="1100" w:type="dxa"/>
            <w:tcBorders>
              <w:top w:val="single" w:color="auto" w:sz="4" w:space="0"/>
              <w:left w:val="single" w:color="auto" w:sz="4" w:space="0"/>
              <w:bottom w:val="single" w:color="auto" w:sz="4" w:space="0"/>
              <w:right w:val="single" w:color="auto" w:sz="4" w:space="0"/>
            </w:tcBorders>
            <w:shd w:val="clear" w:color="auto" w:fill="auto"/>
            <w:vAlign w:val="center"/>
          </w:tcPr>
          <w:p w14:paraId="24B84F6C">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持续保障政府机关正常运行，做好稳定服务工作，持续提升人民群众幸福指数</w:t>
            </w:r>
          </w:p>
        </w:tc>
        <w:tc>
          <w:tcPr>
            <w:tcW w:w="114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CB1D17E">
            <w:pPr>
              <w:keepNext w:val="0"/>
              <w:keepLines w:val="0"/>
              <w:widowControl/>
              <w:suppressLineNumbers w:val="0"/>
              <w:jc w:val="left"/>
              <w:textAlignment w:val="center"/>
              <w:rPr>
                <w:rFonts w:hint="default" w:ascii="Times New Roman" w:hAnsi="Times New Roman" w:eastAsia="宋体" w:cs="Times New Roman"/>
                <w:i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定性</w:t>
            </w:r>
          </w:p>
        </w:tc>
        <w:tc>
          <w:tcPr>
            <w:tcW w:w="1289" w:type="dxa"/>
            <w:tcBorders>
              <w:top w:val="single" w:color="auto" w:sz="4" w:space="0"/>
              <w:left w:val="single" w:color="auto" w:sz="4" w:space="0"/>
              <w:bottom w:val="single" w:color="auto" w:sz="4" w:space="0"/>
              <w:right w:val="single" w:color="auto" w:sz="4" w:space="0"/>
            </w:tcBorders>
            <w:shd w:val="clear" w:color="auto" w:fill="auto"/>
            <w:vAlign w:val="center"/>
          </w:tcPr>
          <w:p w14:paraId="1DAC0795">
            <w:pPr>
              <w:keepNext w:val="0"/>
              <w:keepLines w:val="0"/>
              <w:widowControl/>
              <w:suppressLineNumbers w:val="0"/>
              <w:jc w:val="left"/>
              <w:textAlignment w:val="center"/>
              <w:rPr>
                <w:rFonts w:hint="default" w:ascii="Times New Roman" w:hAnsi="Times New Roman" w:eastAsia="宋体" w:cs="Times New Roman"/>
                <w:i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效果显著</w:t>
            </w:r>
          </w:p>
        </w:tc>
        <w:tc>
          <w:tcPr>
            <w:tcW w:w="1058" w:type="dxa"/>
            <w:tcBorders>
              <w:top w:val="single" w:color="auto" w:sz="4" w:space="0"/>
              <w:left w:val="single" w:color="auto" w:sz="4" w:space="0"/>
              <w:bottom w:val="single" w:color="auto" w:sz="4" w:space="0"/>
              <w:right w:val="single" w:color="auto" w:sz="4" w:space="0"/>
            </w:tcBorders>
            <w:shd w:val="clear" w:color="auto" w:fill="auto"/>
            <w:vAlign w:val="center"/>
          </w:tcPr>
          <w:p w14:paraId="2E0CAB07">
            <w:pPr>
              <w:jc w:val="left"/>
              <w:rPr>
                <w:rFonts w:hint="default" w:ascii="Times New Roman" w:hAnsi="Times New Roman" w:eastAsia="宋体" w:cs="Times New Roman"/>
                <w:i w:val="0"/>
                <w:color w:val="000000"/>
                <w:kern w:val="2"/>
                <w:sz w:val="24"/>
                <w:szCs w:val="24"/>
                <w:u w:val="none"/>
                <w:lang w:val="en-US" w:eastAsia="zh-CN" w:bidi="ar-SA"/>
              </w:rPr>
            </w:pPr>
          </w:p>
        </w:tc>
        <w:tc>
          <w:tcPr>
            <w:tcW w:w="926" w:type="dxa"/>
            <w:tcBorders>
              <w:top w:val="single" w:color="auto" w:sz="4" w:space="0"/>
              <w:left w:val="single" w:color="auto" w:sz="4" w:space="0"/>
              <w:bottom w:val="single" w:color="auto" w:sz="4" w:space="0"/>
              <w:right w:val="single" w:color="auto" w:sz="4" w:space="0"/>
            </w:tcBorders>
            <w:shd w:val="clear" w:color="auto" w:fill="auto"/>
            <w:vAlign w:val="center"/>
          </w:tcPr>
          <w:p w14:paraId="263BA23A">
            <w:pPr>
              <w:keepNext w:val="0"/>
              <w:keepLines w:val="0"/>
              <w:widowControl/>
              <w:suppressLineNumbers w:val="0"/>
              <w:jc w:val="left"/>
              <w:textAlignment w:val="center"/>
              <w:rPr>
                <w:rFonts w:hint="default" w:ascii="Times New Roman" w:hAnsi="Times New Roman" w:eastAsia="宋体" w:cs="Times New Roman"/>
                <w:i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15</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3E73741A">
            <w:pPr>
              <w:keepNext w:val="0"/>
              <w:keepLines w:val="0"/>
              <w:widowControl/>
              <w:suppressLineNumbers w:val="0"/>
              <w:jc w:val="left"/>
              <w:textAlignment w:val="center"/>
              <w:rPr>
                <w:rFonts w:hint="default" w:ascii="Times New Roman" w:hAnsi="Times New Roman" w:eastAsia="宋体" w:cs="Times New Roman"/>
                <w:i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效果显著</w:t>
            </w:r>
          </w:p>
        </w:tc>
      </w:tr>
      <w:tr w14:paraId="541F6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C166683">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tcBorders>
              <w:top w:val="single" w:color="auto" w:sz="4" w:space="0"/>
              <w:left w:val="single" w:color="auto" w:sz="4" w:space="0"/>
              <w:bottom w:val="single" w:color="auto" w:sz="4" w:space="0"/>
              <w:right w:val="single" w:color="auto" w:sz="4" w:space="0"/>
            </w:tcBorders>
            <w:shd w:val="clear" w:color="auto" w:fill="auto"/>
            <w:vAlign w:val="center"/>
          </w:tcPr>
          <w:p w14:paraId="325032DB">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273" w:type="dxa"/>
            <w:tcBorders>
              <w:top w:val="single" w:color="auto" w:sz="4" w:space="0"/>
              <w:left w:val="single" w:color="auto" w:sz="4" w:space="0"/>
              <w:bottom w:val="single" w:color="auto" w:sz="4" w:space="0"/>
              <w:right w:val="single" w:color="auto" w:sz="4" w:space="0"/>
            </w:tcBorders>
            <w:shd w:val="clear" w:color="auto" w:fill="auto"/>
            <w:vAlign w:val="center"/>
          </w:tcPr>
          <w:p w14:paraId="5DA1B321">
            <w:r>
              <w:rPr>
                <w:rFonts w:hint="eastAsia" w:ascii="宋体" w:hAnsi="宋体" w:eastAsia="宋体" w:cs="宋体"/>
                <w:i w:val="0"/>
                <w:iCs w:val="0"/>
                <w:color w:val="000000"/>
                <w:kern w:val="0"/>
                <w:sz w:val="22"/>
                <w:szCs w:val="22"/>
                <w:u w:val="none"/>
                <w:lang w:val="en-US" w:eastAsia="zh-CN" w:bidi="ar"/>
              </w:rPr>
              <w:t>服务对象满意度指标</w:t>
            </w:r>
          </w:p>
        </w:tc>
        <w:tc>
          <w:tcPr>
            <w:tcW w:w="1100" w:type="dxa"/>
            <w:tcBorders>
              <w:top w:val="single" w:color="auto" w:sz="4" w:space="0"/>
              <w:left w:val="single" w:color="auto" w:sz="4" w:space="0"/>
              <w:bottom w:val="single" w:color="auto" w:sz="4" w:space="0"/>
              <w:right w:val="single" w:color="auto" w:sz="4" w:space="0"/>
            </w:tcBorders>
            <w:shd w:val="clear" w:color="auto" w:fill="auto"/>
            <w:vAlign w:val="center"/>
          </w:tcPr>
          <w:p w14:paraId="413BE5FE">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群众办事达到“一站式”效果，做到简政增效，做的办成事，办好事。</w:t>
            </w:r>
          </w:p>
        </w:tc>
        <w:tc>
          <w:tcPr>
            <w:tcW w:w="114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C3B2E6D">
            <w:pPr>
              <w:keepNext w:val="0"/>
              <w:keepLines w:val="0"/>
              <w:widowControl/>
              <w:suppressLineNumbers w:val="0"/>
              <w:jc w:val="left"/>
              <w:textAlignment w:val="center"/>
              <w:rPr>
                <w:rFonts w:hint="default" w:ascii="Times New Roman" w:hAnsi="Times New Roman" w:eastAsia="宋体" w:cs="Times New Roman"/>
                <w:i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w:t>
            </w:r>
          </w:p>
        </w:tc>
        <w:tc>
          <w:tcPr>
            <w:tcW w:w="1289" w:type="dxa"/>
            <w:tcBorders>
              <w:top w:val="single" w:color="auto" w:sz="4" w:space="0"/>
              <w:left w:val="single" w:color="auto" w:sz="4" w:space="0"/>
              <w:bottom w:val="single" w:color="auto" w:sz="4" w:space="0"/>
              <w:right w:val="single" w:color="auto" w:sz="4" w:space="0"/>
            </w:tcBorders>
            <w:shd w:val="clear" w:color="auto" w:fill="auto"/>
            <w:vAlign w:val="center"/>
          </w:tcPr>
          <w:p w14:paraId="01635E10">
            <w:pPr>
              <w:keepNext w:val="0"/>
              <w:keepLines w:val="0"/>
              <w:widowControl/>
              <w:suppressLineNumbers w:val="0"/>
              <w:jc w:val="left"/>
              <w:textAlignment w:val="center"/>
              <w:rPr>
                <w:rFonts w:hint="default" w:ascii="Times New Roman" w:hAnsi="Times New Roman" w:eastAsia="宋体" w:cs="Times New Roman"/>
                <w:i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99</w:t>
            </w:r>
          </w:p>
        </w:tc>
        <w:tc>
          <w:tcPr>
            <w:tcW w:w="1058" w:type="dxa"/>
            <w:tcBorders>
              <w:top w:val="single" w:color="auto" w:sz="4" w:space="0"/>
              <w:left w:val="single" w:color="auto" w:sz="4" w:space="0"/>
              <w:bottom w:val="single" w:color="auto" w:sz="4" w:space="0"/>
              <w:right w:val="single" w:color="auto" w:sz="4" w:space="0"/>
            </w:tcBorders>
            <w:shd w:val="clear" w:color="auto" w:fill="auto"/>
            <w:vAlign w:val="center"/>
          </w:tcPr>
          <w:p w14:paraId="58EB93E6">
            <w:pPr>
              <w:keepNext w:val="0"/>
              <w:keepLines w:val="0"/>
              <w:widowControl/>
              <w:suppressLineNumbers w:val="0"/>
              <w:jc w:val="left"/>
              <w:textAlignment w:val="center"/>
              <w:rPr>
                <w:rFonts w:hint="default" w:ascii="Times New Roman" w:hAnsi="Times New Roman" w:eastAsia="宋体" w:cs="Times New Roman"/>
                <w:i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w:t>
            </w:r>
          </w:p>
        </w:tc>
        <w:tc>
          <w:tcPr>
            <w:tcW w:w="926" w:type="dxa"/>
            <w:tcBorders>
              <w:top w:val="single" w:color="auto" w:sz="4" w:space="0"/>
              <w:left w:val="single" w:color="auto" w:sz="4" w:space="0"/>
              <w:bottom w:val="single" w:color="auto" w:sz="4" w:space="0"/>
              <w:right w:val="single" w:color="auto" w:sz="4" w:space="0"/>
            </w:tcBorders>
            <w:shd w:val="clear" w:color="auto" w:fill="auto"/>
            <w:vAlign w:val="center"/>
          </w:tcPr>
          <w:p w14:paraId="13EA3193">
            <w:pPr>
              <w:keepNext w:val="0"/>
              <w:keepLines w:val="0"/>
              <w:widowControl/>
              <w:suppressLineNumbers w:val="0"/>
              <w:jc w:val="left"/>
              <w:textAlignment w:val="center"/>
              <w:rPr>
                <w:rFonts w:hint="default" w:ascii="Times New Roman" w:hAnsi="Times New Roman" w:eastAsia="宋体" w:cs="Times New Roman"/>
                <w:i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0D2B5329">
            <w:pPr>
              <w:keepNext w:val="0"/>
              <w:keepLines w:val="0"/>
              <w:widowControl/>
              <w:suppressLineNumbers w:val="0"/>
              <w:jc w:val="left"/>
              <w:textAlignment w:val="center"/>
              <w:rPr>
                <w:rFonts w:hint="default" w:ascii="Times New Roman" w:hAnsi="Times New Roman" w:eastAsia="宋体" w:cs="Times New Roman"/>
                <w:i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99</w:t>
            </w:r>
          </w:p>
        </w:tc>
      </w:tr>
    </w:tbl>
    <w:p w14:paraId="6EA82779">
      <w:pPr>
        <w:rPr>
          <w:rFonts w:hint="default" w:ascii="Times New Roman" w:hAnsi="Times New Roman" w:eastAsia="黑体" w:cs="Times New Roman"/>
          <w:sz w:val="24"/>
          <w:szCs w:val="24"/>
          <w:highlight w:val="none"/>
          <w:lang w:val="en-US" w:eastAsia="zh-CN"/>
        </w:rPr>
      </w:pPr>
    </w:p>
    <w:p w14:paraId="60DA63A6">
      <w:pPr>
        <w:rPr>
          <w:rStyle w:val="41"/>
          <w:rFonts w:hint="eastAsia" w:ascii="黑体" w:hAnsi="黑体" w:eastAsia="黑体"/>
          <w:b w:val="0"/>
          <w:color w:val="auto"/>
          <w:highlight w:val="none"/>
        </w:rPr>
      </w:pPr>
      <w:bookmarkStart w:id="78" w:name="_Toc21200"/>
      <w:bookmarkStart w:id="79" w:name="_Toc79163635"/>
      <w:bookmarkStart w:id="80" w:name="_Toc111208512"/>
      <w:bookmarkStart w:id="81" w:name="_Toc79163885"/>
      <w:r>
        <w:rPr>
          <w:rStyle w:val="41"/>
          <w:rFonts w:hint="eastAsia" w:ascii="黑体" w:hAnsi="黑体" w:eastAsia="黑体"/>
          <w:b w:val="0"/>
          <w:color w:val="auto"/>
          <w:highlight w:val="none"/>
        </w:rPr>
        <w:br w:type="page"/>
      </w:r>
    </w:p>
    <w:p w14:paraId="1DD58993">
      <w:pPr>
        <w:suppressAutoHyphens/>
        <w:bidi w:val="0"/>
        <w:spacing w:line="600" w:lineRule="exact"/>
        <w:jc w:val="center"/>
        <w:outlineLvl w:val="0"/>
        <w:rPr>
          <w:rFonts w:hint="eastAsia" w:ascii="思源黑体 CN Normal" w:hAnsi="思源黑体 CN Normal" w:eastAsia="思源黑体 CN Normal" w:cs="思源黑体 CN Normal"/>
          <w:b w:val="0"/>
          <w:bCs w:val="0"/>
        </w:rPr>
      </w:pPr>
      <w:r>
        <w:rPr>
          <w:rStyle w:val="41"/>
          <w:rFonts w:hint="eastAsia" w:ascii="黑体" w:hAnsi="黑体" w:eastAsia="黑体"/>
          <w:b w:val="0"/>
          <w:color w:val="auto"/>
          <w:highlight w:val="none"/>
        </w:rPr>
        <w:t>第五部分 附表</w:t>
      </w:r>
      <w:bookmarkEnd w:id="78"/>
      <w:bookmarkEnd w:id="79"/>
      <w:bookmarkEnd w:id="80"/>
      <w:bookmarkEnd w:id="81"/>
    </w:p>
    <w:p w14:paraId="39407B2D">
      <w:pPr>
        <w:pStyle w:val="6"/>
        <w:ind w:firstLine="640" w:firstLineChars="200"/>
        <w:rPr>
          <w:rFonts w:hint="eastAsia" w:ascii="仿宋" w:hAnsi="仿宋" w:eastAsia="仿宋" w:cs="仿宋"/>
          <w:b w:val="0"/>
          <w:bCs/>
          <w:color w:val="000000"/>
        </w:rPr>
      </w:pPr>
      <w:bookmarkStart w:id="82" w:name="_Toc16431"/>
      <w:r>
        <w:rPr>
          <w:rFonts w:hint="eastAsia" w:ascii="仿宋" w:hAnsi="仿宋" w:eastAsia="仿宋" w:cs="仿宋"/>
          <w:b w:val="0"/>
          <w:bCs/>
          <w:color w:val="000000"/>
        </w:rPr>
        <w:t>一、收入支出决算总表</w:t>
      </w:r>
      <w:bookmarkEnd w:id="82"/>
    </w:p>
    <w:p w14:paraId="2B7DC4AC">
      <w:pPr>
        <w:pStyle w:val="6"/>
        <w:ind w:firstLine="640" w:firstLineChars="200"/>
        <w:rPr>
          <w:rFonts w:hint="eastAsia" w:ascii="仿宋" w:hAnsi="仿宋" w:eastAsia="仿宋" w:cs="仿宋"/>
          <w:b w:val="0"/>
          <w:bCs/>
          <w:color w:val="000000"/>
        </w:rPr>
      </w:pPr>
      <w:bookmarkStart w:id="83" w:name="_Toc25389"/>
      <w:r>
        <w:rPr>
          <w:rFonts w:hint="eastAsia" w:ascii="仿宋" w:hAnsi="仿宋" w:eastAsia="仿宋" w:cs="仿宋"/>
          <w:b w:val="0"/>
          <w:bCs/>
          <w:color w:val="000000"/>
        </w:rPr>
        <w:t>二、收入决算表</w:t>
      </w:r>
      <w:bookmarkEnd w:id="83"/>
    </w:p>
    <w:p w14:paraId="7858E927">
      <w:pPr>
        <w:pStyle w:val="6"/>
        <w:ind w:firstLine="640" w:firstLineChars="200"/>
        <w:rPr>
          <w:rFonts w:hint="eastAsia" w:ascii="仿宋" w:hAnsi="仿宋" w:eastAsia="仿宋" w:cs="仿宋"/>
          <w:b w:val="0"/>
          <w:bCs/>
          <w:color w:val="000000"/>
        </w:rPr>
      </w:pPr>
      <w:bookmarkStart w:id="84" w:name="_Toc10450"/>
      <w:r>
        <w:rPr>
          <w:rFonts w:hint="eastAsia" w:ascii="仿宋" w:hAnsi="仿宋" w:eastAsia="仿宋" w:cs="仿宋"/>
          <w:b w:val="0"/>
          <w:bCs/>
          <w:color w:val="000000"/>
        </w:rPr>
        <w:t>三、支出决算表</w:t>
      </w:r>
      <w:bookmarkEnd w:id="84"/>
    </w:p>
    <w:p w14:paraId="31EC7FA5">
      <w:pPr>
        <w:pStyle w:val="6"/>
        <w:ind w:firstLine="640" w:firstLineChars="200"/>
        <w:rPr>
          <w:rFonts w:hint="eastAsia" w:ascii="仿宋" w:hAnsi="仿宋" w:eastAsia="仿宋" w:cs="仿宋"/>
          <w:b w:val="0"/>
          <w:bCs/>
          <w:color w:val="000000"/>
        </w:rPr>
      </w:pPr>
      <w:bookmarkStart w:id="85" w:name="_Toc15415"/>
      <w:r>
        <w:rPr>
          <w:rFonts w:hint="eastAsia" w:ascii="仿宋" w:hAnsi="仿宋" w:eastAsia="仿宋" w:cs="仿宋"/>
          <w:b w:val="0"/>
          <w:bCs/>
          <w:color w:val="000000"/>
        </w:rPr>
        <w:t>四、财政拨款收入支出决算总表</w:t>
      </w:r>
      <w:bookmarkEnd w:id="85"/>
    </w:p>
    <w:p w14:paraId="4A2F30BB">
      <w:pPr>
        <w:pStyle w:val="6"/>
        <w:ind w:firstLine="640" w:firstLineChars="200"/>
        <w:rPr>
          <w:rFonts w:hint="eastAsia" w:ascii="仿宋" w:hAnsi="仿宋" w:eastAsia="仿宋" w:cs="仿宋"/>
          <w:b w:val="0"/>
          <w:bCs/>
          <w:color w:val="000000"/>
        </w:rPr>
      </w:pPr>
      <w:bookmarkStart w:id="86" w:name="_Toc17530"/>
      <w:r>
        <w:rPr>
          <w:rFonts w:hint="eastAsia" w:ascii="仿宋" w:hAnsi="仿宋" w:eastAsia="仿宋" w:cs="仿宋"/>
          <w:b w:val="0"/>
          <w:bCs/>
          <w:color w:val="000000"/>
        </w:rPr>
        <w:t>五、财政拨款支出决算明细表</w:t>
      </w:r>
      <w:bookmarkEnd w:id="86"/>
    </w:p>
    <w:p w14:paraId="712C880D">
      <w:pPr>
        <w:pStyle w:val="6"/>
        <w:ind w:firstLine="640" w:firstLineChars="200"/>
        <w:rPr>
          <w:rFonts w:hint="eastAsia" w:ascii="仿宋" w:hAnsi="仿宋" w:eastAsia="仿宋" w:cs="仿宋"/>
          <w:b w:val="0"/>
          <w:bCs/>
          <w:color w:val="000000"/>
        </w:rPr>
      </w:pPr>
      <w:bookmarkStart w:id="87" w:name="_Toc22032"/>
      <w:r>
        <w:rPr>
          <w:rFonts w:hint="eastAsia" w:ascii="仿宋" w:hAnsi="仿宋" w:eastAsia="仿宋" w:cs="仿宋"/>
          <w:b w:val="0"/>
          <w:bCs/>
          <w:color w:val="000000"/>
        </w:rPr>
        <w:t>六、一般公共预算财政拨款支出决算表</w:t>
      </w:r>
      <w:bookmarkEnd w:id="87"/>
    </w:p>
    <w:p w14:paraId="51429EF5">
      <w:pPr>
        <w:pStyle w:val="6"/>
        <w:ind w:firstLine="640" w:firstLineChars="200"/>
        <w:rPr>
          <w:rFonts w:hint="eastAsia" w:ascii="仿宋" w:hAnsi="仿宋" w:eastAsia="仿宋" w:cs="仿宋"/>
          <w:b w:val="0"/>
          <w:bCs/>
          <w:color w:val="000000"/>
        </w:rPr>
      </w:pPr>
      <w:bookmarkStart w:id="88" w:name="_Toc3364"/>
      <w:r>
        <w:rPr>
          <w:rFonts w:hint="eastAsia" w:ascii="仿宋" w:hAnsi="仿宋" w:eastAsia="仿宋" w:cs="仿宋"/>
          <w:b w:val="0"/>
          <w:bCs/>
          <w:color w:val="000000"/>
        </w:rPr>
        <w:t>七、一般公共预算财政拨款支出决算明细表</w:t>
      </w:r>
      <w:bookmarkEnd w:id="88"/>
    </w:p>
    <w:p w14:paraId="672B9B4D">
      <w:pPr>
        <w:pStyle w:val="6"/>
        <w:ind w:firstLine="640" w:firstLineChars="200"/>
        <w:rPr>
          <w:rFonts w:hint="eastAsia" w:ascii="仿宋" w:hAnsi="仿宋" w:eastAsia="仿宋" w:cs="仿宋"/>
          <w:b w:val="0"/>
          <w:bCs/>
          <w:color w:val="000000"/>
        </w:rPr>
      </w:pPr>
      <w:bookmarkStart w:id="89" w:name="_Toc9110"/>
      <w:r>
        <w:rPr>
          <w:rFonts w:hint="eastAsia" w:ascii="仿宋" w:hAnsi="仿宋" w:eastAsia="仿宋" w:cs="仿宋"/>
          <w:b w:val="0"/>
          <w:bCs/>
          <w:color w:val="000000"/>
        </w:rPr>
        <w:t>八、一般公共预算财政拨款基本支出决算表</w:t>
      </w:r>
      <w:bookmarkEnd w:id="89"/>
    </w:p>
    <w:p w14:paraId="2002A273">
      <w:pPr>
        <w:pStyle w:val="6"/>
        <w:ind w:firstLine="640" w:firstLineChars="200"/>
        <w:rPr>
          <w:rFonts w:hint="eastAsia" w:ascii="仿宋" w:hAnsi="仿宋" w:eastAsia="仿宋" w:cs="仿宋"/>
          <w:b w:val="0"/>
          <w:bCs/>
          <w:color w:val="000000"/>
        </w:rPr>
      </w:pPr>
      <w:bookmarkStart w:id="90" w:name="_Toc28582"/>
      <w:r>
        <w:rPr>
          <w:rFonts w:hint="eastAsia" w:ascii="仿宋" w:hAnsi="仿宋" w:eastAsia="仿宋" w:cs="仿宋"/>
          <w:b w:val="0"/>
          <w:bCs/>
          <w:color w:val="000000"/>
        </w:rPr>
        <w:t>九、一般公共预算财政拨款项目支出决算表</w:t>
      </w:r>
      <w:bookmarkEnd w:id="90"/>
    </w:p>
    <w:p w14:paraId="0A36D281">
      <w:pPr>
        <w:pStyle w:val="6"/>
        <w:ind w:firstLine="640" w:firstLineChars="200"/>
        <w:rPr>
          <w:rFonts w:hint="eastAsia" w:ascii="仿宋" w:hAnsi="仿宋" w:eastAsia="仿宋" w:cs="仿宋"/>
          <w:b w:val="0"/>
          <w:bCs/>
          <w:color w:val="000000"/>
        </w:rPr>
      </w:pPr>
      <w:bookmarkStart w:id="91" w:name="_Toc22001"/>
      <w:r>
        <w:rPr>
          <w:rFonts w:hint="eastAsia" w:ascii="仿宋" w:hAnsi="仿宋" w:eastAsia="仿宋" w:cs="仿宋"/>
          <w:b w:val="0"/>
          <w:bCs/>
          <w:color w:val="000000"/>
        </w:rPr>
        <w:t>十、政府性基金预算财政拨款收入支出决算表</w:t>
      </w:r>
      <w:bookmarkEnd w:id="91"/>
    </w:p>
    <w:p w14:paraId="0BD12BAB">
      <w:pPr>
        <w:pStyle w:val="6"/>
        <w:ind w:firstLine="640" w:firstLineChars="200"/>
        <w:rPr>
          <w:rFonts w:hint="eastAsia" w:ascii="仿宋" w:hAnsi="仿宋" w:eastAsia="仿宋" w:cs="仿宋"/>
          <w:b w:val="0"/>
          <w:bCs/>
          <w:color w:val="000000"/>
        </w:rPr>
      </w:pPr>
      <w:bookmarkStart w:id="92" w:name="_Toc6538"/>
      <w:r>
        <w:rPr>
          <w:rFonts w:hint="eastAsia" w:ascii="仿宋" w:hAnsi="仿宋" w:eastAsia="仿宋" w:cs="仿宋"/>
          <w:b w:val="0"/>
          <w:bCs/>
          <w:color w:val="000000"/>
        </w:rPr>
        <w:t>十一、国有资本经营预算财政拨款收入支出决算表</w:t>
      </w:r>
      <w:bookmarkEnd w:id="92"/>
    </w:p>
    <w:p w14:paraId="124CF2DF">
      <w:pPr>
        <w:pStyle w:val="6"/>
        <w:ind w:firstLine="640" w:firstLineChars="200"/>
        <w:rPr>
          <w:rFonts w:hint="eastAsia" w:ascii="仿宋" w:hAnsi="仿宋" w:eastAsia="仿宋" w:cs="仿宋"/>
          <w:b w:val="0"/>
          <w:bCs/>
          <w:color w:val="000000"/>
        </w:rPr>
      </w:pPr>
      <w:bookmarkStart w:id="93" w:name="_Toc10625"/>
      <w:r>
        <w:rPr>
          <w:rFonts w:hint="eastAsia" w:ascii="仿宋" w:hAnsi="仿宋" w:eastAsia="仿宋" w:cs="仿宋"/>
          <w:b w:val="0"/>
          <w:bCs/>
          <w:color w:val="000000"/>
        </w:rPr>
        <w:t>十二、国有资本经营预算财政拨款支出决算表</w:t>
      </w:r>
      <w:bookmarkEnd w:id="93"/>
    </w:p>
    <w:p w14:paraId="39A925A5">
      <w:pPr>
        <w:pStyle w:val="6"/>
        <w:ind w:firstLine="640" w:firstLineChars="200"/>
        <w:rPr>
          <w:rFonts w:hint="eastAsia" w:ascii="仿宋" w:hAnsi="仿宋" w:eastAsia="仿宋" w:cs="仿宋"/>
          <w:b w:val="0"/>
          <w:bCs/>
          <w:color w:val="000000"/>
        </w:rPr>
      </w:pPr>
      <w:bookmarkStart w:id="94" w:name="_Toc28356"/>
      <w:r>
        <w:rPr>
          <w:rFonts w:hint="eastAsia" w:ascii="仿宋" w:hAnsi="仿宋" w:eastAsia="仿宋" w:cs="仿宋"/>
          <w:b w:val="0"/>
          <w:bCs/>
          <w:color w:val="000000"/>
        </w:rPr>
        <w:t>十三、财政拨款“三公”经费支出决算表</w:t>
      </w:r>
      <w:bookmarkEnd w:id="94"/>
    </w:p>
    <w:sectPr>
      <w:footerReference r:id="rId9" w:type="first"/>
      <w:footerReference r:id="rId8" w:type="default"/>
      <w:pgSz w:w="11906" w:h="16838"/>
      <w:pgMar w:top="1440" w:right="1800" w:bottom="1440" w:left="1800" w:header="851" w:footer="992" w:gutter="0"/>
      <w:pgNumType w:fmt="decimal" w:start="3"/>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9C8959B-AD9E-4C19-AA79-338ADE98605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embedRegular r:id="rId2" w:fontKey="{77DDE343-4529-4750-B399-D53B90208600}"/>
  </w:font>
  <w:font w:name="仿宋">
    <w:panose1 w:val="02010609060101010101"/>
    <w:charset w:val="86"/>
    <w:family w:val="modern"/>
    <w:pitch w:val="default"/>
    <w:sig w:usb0="800002BF" w:usb1="38CF7CFA" w:usb2="00000016" w:usb3="00000000" w:csb0="00040001" w:csb1="00000000"/>
    <w:embedRegular r:id="rId3" w:fontKey="{23AB2E63-906B-439F-8689-5915C54CB230}"/>
  </w:font>
  <w:font w:name="Cambria">
    <w:panose1 w:val="02040503050406030204"/>
    <w:charset w:val="00"/>
    <w:family w:val="roman"/>
    <w:pitch w:val="default"/>
    <w:sig w:usb0="E00006FF" w:usb1="420024FF" w:usb2="02000000" w:usb3="00000000" w:csb0="2000019F" w:csb1="00000000"/>
  </w:font>
  <w:font w:nam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Wingdings 2">
    <w:altName w:val="Wingdings"/>
    <w:panose1 w:val="00000000000000000000"/>
    <w:charset w:val="00"/>
    <w:family w:val="auto"/>
    <w:pitch w:val="default"/>
    <w:sig w:usb0="00000000" w:usb1="00000000" w:usb2="00000000" w:usb3="00000000" w:csb0="00000000" w:csb1="00000000"/>
  </w:font>
  <w:font w:name="思源黑体 CN Normal">
    <w:altName w:val="黑体"/>
    <w:panose1 w:val="020B0400000000000000"/>
    <w:charset w:val="86"/>
    <w:family w:val="auto"/>
    <w:pitch w:val="default"/>
    <w:sig w:usb0="00000000" w:usb1="00000000" w:usb2="00000016" w:usb3="00000000" w:csb0="60060107" w:csb1="00000000"/>
    <w:embedRegular r:id="rId4" w:fontKey="{B09C8EC1-A136-44BF-A79F-950729ADA458}"/>
  </w:font>
  <w:font w:name="方正小标宋简体">
    <w:panose1 w:val="02000000000000000000"/>
    <w:charset w:val="86"/>
    <w:family w:val="auto"/>
    <w:pitch w:val="default"/>
    <w:sig w:usb0="00000001" w:usb1="08000000" w:usb2="00000000" w:usb3="00000000" w:csb0="00040000" w:csb1="00000000"/>
    <w:embedRegular r:id="rId5" w:fontKey="{0FAE0D0F-9727-4D14-8475-2D24F5AB2591}"/>
  </w:font>
  <w:font w:name="楷体">
    <w:panose1 w:val="02010609060101010101"/>
    <w:charset w:val="86"/>
    <w:family w:val="auto"/>
    <w:pitch w:val="default"/>
    <w:sig w:usb0="800002BF" w:usb1="38CF7CFA" w:usb2="00000016" w:usb3="00000000" w:csb0="00040001" w:csb1="00000000"/>
    <w:embedRegular r:id="rId6" w:fontKey="{CABE05DC-A443-4D4F-B779-6983F1B23030}"/>
  </w:font>
  <w:font w:name="方正小标宋_GBK">
    <w:altName w:val="微软雅黑"/>
    <w:panose1 w:val="00000000000000000000"/>
    <w:charset w:val="00"/>
    <w:family w:val="auto"/>
    <w:pitch w:val="default"/>
    <w:sig w:usb0="00000000" w:usb1="00000000" w:usb2="00000000" w:usb3="00000000" w:csb0="00000000" w:csb1="00000000"/>
    <w:embedRegular r:id="rId7" w:fontKey="{1579291E-0917-4A91-AC28-88CADBE8A849}"/>
  </w:font>
  <w:font w:name="微软雅黑">
    <w:panose1 w:val="020B0503020204020204"/>
    <w:charset w:val="86"/>
    <w:family w:val="auto"/>
    <w:pitch w:val="default"/>
    <w:sig w:usb0="80000287" w:usb1="2ACF3C50" w:usb2="00000016" w:usb3="00000000" w:csb0="0004001F" w:csb1="00000000"/>
  </w:font>
  <w:font w:name="楷体_GB2312">
    <w:altName w:val="楷体"/>
    <w:panose1 w:val="00000000000000000000"/>
    <w:charset w:val="00"/>
    <w:family w:val="auto"/>
    <w:pitch w:val="default"/>
    <w:sig w:usb0="00000000" w:usb1="00000000" w:usb2="00000000" w:usb3="00000000" w:csb0="00000000" w:csb1="00000000"/>
    <w:embedRegular r:id="rId8" w:fontKey="{AD02EBCD-7626-4F9B-BCF8-CEECBF64D832}"/>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FF7B9">
    <w:pPr>
      <w:pStyle w:val="14"/>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DB48C9">
                          <w:pPr>
                            <w:pStyle w:val="1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0DB48C9">
                    <w:pPr>
                      <w:pStyle w:val="14"/>
                    </w:pPr>
                    <w:r>
                      <w:fldChar w:fldCharType="begin"/>
                    </w:r>
                    <w:r>
                      <w:instrText xml:space="preserve"> PAGE  \* MERGEFORMAT </w:instrText>
                    </w:r>
                    <w:r>
                      <w:fldChar w:fldCharType="separate"/>
                    </w:r>
                    <w:r>
                      <w:t>2</w:t>
                    </w:r>
                    <w:r>
                      <w:fldChar w:fldCharType="end"/>
                    </w:r>
                  </w:p>
                </w:txbxContent>
              </v:textbox>
            </v:shape>
          </w:pict>
        </mc:Fallback>
      </mc:AlternateContent>
    </w:r>
  </w:p>
  <w:p w14:paraId="40092139">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1A954">
    <w:pPr>
      <w:pStyle w:val="14"/>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C376EE">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02C376EE">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1C8819">
    <w:pPr>
      <w:pStyle w:val="14"/>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72329E">
                          <w:pPr>
                            <w:pStyle w:val="1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3772329E">
                    <w:pPr>
                      <w:pStyle w:val="14"/>
                    </w:pPr>
                    <w:r>
                      <w:fldChar w:fldCharType="begin"/>
                    </w:r>
                    <w:r>
                      <w:instrText xml:space="preserve"> PAGE  \* MERGEFORMAT </w:instrText>
                    </w:r>
                    <w:r>
                      <w:fldChar w:fldCharType="separate"/>
                    </w:r>
                    <w:r>
                      <w:t>2</w:t>
                    </w:r>
                    <w:r>
                      <w:fldChar w:fldCharType="end"/>
                    </w:r>
                  </w:p>
                </w:txbxContent>
              </v:textbox>
            </v:shape>
          </w:pict>
        </mc:Fallback>
      </mc:AlternateContent>
    </w:r>
  </w:p>
  <w:p w14:paraId="7ADB3DB5">
    <w:pPr>
      <w:pStyle w:val="1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4B5C0">
    <w:pPr>
      <w:pStyle w:val="14"/>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E34B24">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64E34B24">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F41CB">
    <w:pPr>
      <w:pStyle w:val="1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4856"/>
                          </w:sdtPr>
                          <w:sdtContent>
                            <w:p w14:paraId="18159799">
                              <w:pPr>
                                <w:pStyle w:val="14"/>
                                <w:jc w:val="center"/>
                              </w:pPr>
                              <w:r>
                                <w:fldChar w:fldCharType="begin"/>
                              </w:r>
                              <w:r>
                                <w:instrText xml:space="preserve">PAGE   \* MERGEFORMAT</w:instrText>
                              </w:r>
                              <w:r>
                                <w:fldChar w:fldCharType="separate"/>
                              </w:r>
                              <w:r>
                                <w:rPr>
                                  <w:lang w:val="zh-CN"/>
                                </w:rPr>
                                <w:t>4</w:t>
                              </w:r>
                              <w:r>
                                <w:fldChar w:fldCharType="end"/>
                              </w:r>
                            </w:p>
                          </w:sdtContent>
                        </w:sdt>
                        <w:p w14:paraId="0D4E28F1">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sdt>
                    <w:sdtPr>
                      <w:id w:val="147464856"/>
                    </w:sdtPr>
                    <w:sdtContent>
                      <w:p w14:paraId="18159799">
                        <w:pPr>
                          <w:pStyle w:val="14"/>
                          <w:jc w:val="center"/>
                        </w:pPr>
                        <w:r>
                          <w:fldChar w:fldCharType="begin"/>
                        </w:r>
                        <w:r>
                          <w:instrText xml:space="preserve">PAGE   \* MERGEFORMAT</w:instrText>
                        </w:r>
                        <w:r>
                          <w:fldChar w:fldCharType="separate"/>
                        </w:r>
                        <w:r>
                          <w:rPr>
                            <w:lang w:val="zh-CN"/>
                          </w:rPr>
                          <w:t>4</w:t>
                        </w:r>
                        <w:r>
                          <w:fldChar w:fldCharType="end"/>
                        </w:r>
                      </w:p>
                    </w:sdtContent>
                  </w:sdt>
                  <w:p w14:paraId="0D4E28F1">
                    <w:pPr>
                      <w:pStyle w:val="2"/>
                    </w:pPr>
                  </w:p>
                </w:txbxContent>
              </v:textbox>
            </v:shape>
          </w:pict>
        </mc:Fallback>
      </mc:AlternateContent>
    </w:r>
  </w:p>
  <w:p w14:paraId="6AA3FF41">
    <w:pPr>
      <w:pStyle w:val="14"/>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AA8348">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D0CC68">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03D0CC68">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EE576">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205925"/>
    <w:multiLevelType w:val="singleLevel"/>
    <w:tmpl w:val="BF205925"/>
    <w:lvl w:ilvl="0" w:tentative="0">
      <w:start w:val="2"/>
      <w:numFmt w:val="chineseCounting"/>
      <w:suff w:val="nothing"/>
      <w:lvlText w:val="（%1）"/>
      <w:lvlJc w:val="left"/>
      <w:rPr>
        <w:rFonts w:hint="eastAsia"/>
      </w:rPr>
    </w:lvl>
  </w:abstractNum>
  <w:abstractNum w:abstractNumId="1">
    <w:nsid w:val="CF092B84"/>
    <w:multiLevelType w:val="singleLevel"/>
    <w:tmpl w:val="CF092B84"/>
    <w:lvl w:ilvl="0" w:tentative="0">
      <w:start w:val="2"/>
      <w:numFmt w:val="chineseCounting"/>
      <w:suff w:val="nothing"/>
      <w:lvlText w:val="（%1）"/>
      <w:lvlJc w:val="left"/>
      <w:rPr>
        <w:rFonts w:hint="eastAsia"/>
      </w:rPr>
    </w:lvl>
  </w:abstractNum>
  <w:abstractNum w:abstractNumId="2">
    <w:nsid w:val="0053208E"/>
    <w:multiLevelType w:val="singleLevel"/>
    <w:tmpl w:val="0053208E"/>
    <w:lvl w:ilvl="0" w:tentative="0">
      <w:start w:val="1"/>
      <w:numFmt w:val="decimal"/>
      <w:suff w:val="nothing"/>
      <w:lvlText w:val="（%1）"/>
      <w:lvlJc w:val="left"/>
    </w:lvl>
  </w:abstractNum>
  <w:abstractNum w:abstractNumId="3">
    <w:nsid w:val="59ADCABA"/>
    <w:multiLevelType w:val="singleLevel"/>
    <w:tmpl w:val="59ADCABA"/>
    <w:lvl w:ilvl="0" w:tentative="0">
      <w:start w:val="3"/>
      <w:numFmt w:val="chineseCounting"/>
      <w:suff w:val="nothing"/>
      <w:lvlText w:val="（%1）"/>
      <w:lvlJc w:val="left"/>
      <w:rPr>
        <w:rFonts w:hint="eastAsia"/>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hmNjAzMWJlZjFkMmQwODUwMTJkYzE2ODFiYmFmYTcifQ=="/>
  </w:docVars>
  <w:rsids>
    <w:rsidRoot w:val="00F1361C"/>
    <w:rsid w:val="000000BC"/>
    <w:rsid w:val="00000665"/>
    <w:rsid w:val="00000B38"/>
    <w:rsid w:val="000015A2"/>
    <w:rsid w:val="00002628"/>
    <w:rsid w:val="00003E5B"/>
    <w:rsid w:val="00004806"/>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1D"/>
    <w:rsid w:val="00034D24"/>
    <w:rsid w:val="00035A69"/>
    <w:rsid w:val="000366B3"/>
    <w:rsid w:val="00036E57"/>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1CB"/>
    <w:rsid w:val="000925CB"/>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136"/>
    <w:rsid w:val="000D1267"/>
    <w:rsid w:val="000D17A8"/>
    <w:rsid w:val="000D1D50"/>
    <w:rsid w:val="000D304F"/>
    <w:rsid w:val="000D4033"/>
    <w:rsid w:val="000D5782"/>
    <w:rsid w:val="000D620F"/>
    <w:rsid w:val="000D74AA"/>
    <w:rsid w:val="000E3AC5"/>
    <w:rsid w:val="000E4C84"/>
    <w:rsid w:val="000E6613"/>
    <w:rsid w:val="000E6663"/>
    <w:rsid w:val="000E7119"/>
    <w:rsid w:val="000E75B2"/>
    <w:rsid w:val="000F0D1B"/>
    <w:rsid w:val="000F3E1D"/>
    <w:rsid w:val="000F7336"/>
    <w:rsid w:val="00101546"/>
    <w:rsid w:val="00106B75"/>
    <w:rsid w:val="0010727E"/>
    <w:rsid w:val="00107CCA"/>
    <w:rsid w:val="00110310"/>
    <w:rsid w:val="0011211B"/>
    <w:rsid w:val="00112787"/>
    <w:rsid w:val="00114E9B"/>
    <w:rsid w:val="0011649B"/>
    <w:rsid w:val="00116E5E"/>
    <w:rsid w:val="0012218E"/>
    <w:rsid w:val="0012398F"/>
    <w:rsid w:val="00124113"/>
    <w:rsid w:val="00124BFE"/>
    <w:rsid w:val="0012516D"/>
    <w:rsid w:val="00125224"/>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1128"/>
    <w:rsid w:val="0015213E"/>
    <w:rsid w:val="001544D9"/>
    <w:rsid w:val="00156D25"/>
    <w:rsid w:val="00156D5D"/>
    <w:rsid w:val="00157BAB"/>
    <w:rsid w:val="0016151A"/>
    <w:rsid w:val="00163B54"/>
    <w:rsid w:val="00163F03"/>
    <w:rsid w:val="001654D1"/>
    <w:rsid w:val="00166A14"/>
    <w:rsid w:val="00166F25"/>
    <w:rsid w:val="0016730C"/>
    <w:rsid w:val="00167FD7"/>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41F1"/>
    <w:rsid w:val="001A5CF3"/>
    <w:rsid w:val="001A63BB"/>
    <w:rsid w:val="001B1840"/>
    <w:rsid w:val="001B1FA9"/>
    <w:rsid w:val="001B2FB3"/>
    <w:rsid w:val="001B5F65"/>
    <w:rsid w:val="001B6640"/>
    <w:rsid w:val="001B7FF7"/>
    <w:rsid w:val="001C0962"/>
    <w:rsid w:val="001C1941"/>
    <w:rsid w:val="001C1A81"/>
    <w:rsid w:val="001C38A5"/>
    <w:rsid w:val="001C597C"/>
    <w:rsid w:val="001C6464"/>
    <w:rsid w:val="001C746B"/>
    <w:rsid w:val="001D14B6"/>
    <w:rsid w:val="001D342B"/>
    <w:rsid w:val="001D6C1E"/>
    <w:rsid w:val="001D7531"/>
    <w:rsid w:val="001E0A1B"/>
    <w:rsid w:val="001E1402"/>
    <w:rsid w:val="001E2922"/>
    <w:rsid w:val="001E3680"/>
    <w:rsid w:val="001E6926"/>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4F1D"/>
    <w:rsid w:val="00225CB7"/>
    <w:rsid w:val="0023060C"/>
    <w:rsid w:val="00234E40"/>
    <w:rsid w:val="00235629"/>
    <w:rsid w:val="0023740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3BD"/>
    <w:rsid w:val="00280496"/>
    <w:rsid w:val="00283D63"/>
    <w:rsid w:val="00283E91"/>
    <w:rsid w:val="002856F9"/>
    <w:rsid w:val="002866CA"/>
    <w:rsid w:val="00286C21"/>
    <w:rsid w:val="002875BF"/>
    <w:rsid w:val="0029076F"/>
    <w:rsid w:val="0029094E"/>
    <w:rsid w:val="00291DC2"/>
    <w:rsid w:val="00292626"/>
    <w:rsid w:val="00292E6B"/>
    <w:rsid w:val="00295495"/>
    <w:rsid w:val="002A0D55"/>
    <w:rsid w:val="002A0E88"/>
    <w:rsid w:val="002A1940"/>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6074"/>
    <w:rsid w:val="002D1F9E"/>
    <w:rsid w:val="002D30E8"/>
    <w:rsid w:val="002E0F9C"/>
    <w:rsid w:val="002E1F75"/>
    <w:rsid w:val="002E202A"/>
    <w:rsid w:val="002E5C3A"/>
    <w:rsid w:val="002E64D0"/>
    <w:rsid w:val="002F1818"/>
    <w:rsid w:val="002F1A28"/>
    <w:rsid w:val="002F2C84"/>
    <w:rsid w:val="002F335F"/>
    <w:rsid w:val="002F567B"/>
    <w:rsid w:val="002F66D8"/>
    <w:rsid w:val="002F7353"/>
    <w:rsid w:val="0030080A"/>
    <w:rsid w:val="0030298F"/>
    <w:rsid w:val="00302AF1"/>
    <w:rsid w:val="00305126"/>
    <w:rsid w:val="0030593B"/>
    <w:rsid w:val="00310306"/>
    <w:rsid w:val="0031156F"/>
    <w:rsid w:val="00317FD1"/>
    <w:rsid w:val="00321358"/>
    <w:rsid w:val="003216A9"/>
    <w:rsid w:val="00322D89"/>
    <w:rsid w:val="00325332"/>
    <w:rsid w:val="00325856"/>
    <w:rsid w:val="00325985"/>
    <w:rsid w:val="003278AA"/>
    <w:rsid w:val="00332726"/>
    <w:rsid w:val="0033309F"/>
    <w:rsid w:val="00335ED6"/>
    <w:rsid w:val="00337694"/>
    <w:rsid w:val="003431B7"/>
    <w:rsid w:val="0034381A"/>
    <w:rsid w:val="003440C6"/>
    <w:rsid w:val="00350C26"/>
    <w:rsid w:val="003515CF"/>
    <w:rsid w:val="00353569"/>
    <w:rsid w:val="00354D51"/>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3877"/>
    <w:rsid w:val="00385025"/>
    <w:rsid w:val="00386455"/>
    <w:rsid w:val="00390D36"/>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794"/>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1F2"/>
    <w:rsid w:val="0045723A"/>
    <w:rsid w:val="00460A67"/>
    <w:rsid w:val="00461A98"/>
    <w:rsid w:val="00462B33"/>
    <w:rsid w:val="0046346E"/>
    <w:rsid w:val="004700E2"/>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173A"/>
    <w:rsid w:val="00512FDA"/>
    <w:rsid w:val="00513ED7"/>
    <w:rsid w:val="0051467D"/>
    <w:rsid w:val="00520DA0"/>
    <w:rsid w:val="005225FC"/>
    <w:rsid w:val="00524AC4"/>
    <w:rsid w:val="0052729E"/>
    <w:rsid w:val="0052733D"/>
    <w:rsid w:val="00530E19"/>
    <w:rsid w:val="00530F71"/>
    <w:rsid w:val="005322EB"/>
    <w:rsid w:val="0053459C"/>
    <w:rsid w:val="00550726"/>
    <w:rsid w:val="00550F95"/>
    <w:rsid w:val="0055106D"/>
    <w:rsid w:val="005559A4"/>
    <w:rsid w:val="0056304B"/>
    <w:rsid w:val="005651E3"/>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F2B"/>
    <w:rsid w:val="005935E9"/>
    <w:rsid w:val="005939BC"/>
    <w:rsid w:val="00593D4E"/>
    <w:rsid w:val="005975DB"/>
    <w:rsid w:val="00597919"/>
    <w:rsid w:val="005A0204"/>
    <w:rsid w:val="005A0CF8"/>
    <w:rsid w:val="005A324B"/>
    <w:rsid w:val="005B186A"/>
    <w:rsid w:val="005B553C"/>
    <w:rsid w:val="005B57DB"/>
    <w:rsid w:val="005B58F9"/>
    <w:rsid w:val="005B5ACB"/>
    <w:rsid w:val="005B76E6"/>
    <w:rsid w:val="005C0AF7"/>
    <w:rsid w:val="005C0B82"/>
    <w:rsid w:val="005C0D5C"/>
    <w:rsid w:val="005C4A4C"/>
    <w:rsid w:val="005C52C6"/>
    <w:rsid w:val="005C7204"/>
    <w:rsid w:val="005D1C8B"/>
    <w:rsid w:val="005D5CED"/>
    <w:rsid w:val="005D6054"/>
    <w:rsid w:val="005E1522"/>
    <w:rsid w:val="005E3365"/>
    <w:rsid w:val="005E5517"/>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816"/>
    <w:rsid w:val="00607E6C"/>
    <w:rsid w:val="006101B1"/>
    <w:rsid w:val="00611AD3"/>
    <w:rsid w:val="00612209"/>
    <w:rsid w:val="00614423"/>
    <w:rsid w:val="00614E44"/>
    <w:rsid w:val="006155B0"/>
    <w:rsid w:val="006205F4"/>
    <w:rsid w:val="00620717"/>
    <w:rsid w:val="00622830"/>
    <w:rsid w:val="006256DB"/>
    <w:rsid w:val="00630AEF"/>
    <w:rsid w:val="00630BB3"/>
    <w:rsid w:val="006325F8"/>
    <w:rsid w:val="00633AE4"/>
    <w:rsid w:val="006348B1"/>
    <w:rsid w:val="00634C9A"/>
    <w:rsid w:val="00635FC7"/>
    <w:rsid w:val="00636040"/>
    <w:rsid w:val="00642529"/>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2E2F"/>
    <w:rsid w:val="006B471C"/>
    <w:rsid w:val="006B4C59"/>
    <w:rsid w:val="006B533E"/>
    <w:rsid w:val="006C04D7"/>
    <w:rsid w:val="006C1937"/>
    <w:rsid w:val="006C397F"/>
    <w:rsid w:val="006C6427"/>
    <w:rsid w:val="006C76DB"/>
    <w:rsid w:val="006D1F0B"/>
    <w:rsid w:val="006D42C6"/>
    <w:rsid w:val="006E0081"/>
    <w:rsid w:val="006E0706"/>
    <w:rsid w:val="006E3700"/>
    <w:rsid w:val="006E6C66"/>
    <w:rsid w:val="006F020C"/>
    <w:rsid w:val="006F3DF7"/>
    <w:rsid w:val="006F7849"/>
    <w:rsid w:val="006F7CBD"/>
    <w:rsid w:val="0070094B"/>
    <w:rsid w:val="007040F2"/>
    <w:rsid w:val="00705B7C"/>
    <w:rsid w:val="00705E24"/>
    <w:rsid w:val="00707EEC"/>
    <w:rsid w:val="007115FE"/>
    <w:rsid w:val="007127B7"/>
    <w:rsid w:val="00713977"/>
    <w:rsid w:val="00714DBE"/>
    <w:rsid w:val="007220F2"/>
    <w:rsid w:val="007231D9"/>
    <w:rsid w:val="007244D2"/>
    <w:rsid w:val="00725B08"/>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6078E"/>
    <w:rsid w:val="00760D5E"/>
    <w:rsid w:val="0076182A"/>
    <w:rsid w:val="00763BC1"/>
    <w:rsid w:val="0076499D"/>
    <w:rsid w:val="007656DB"/>
    <w:rsid w:val="007676D8"/>
    <w:rsid w:val="00767A7D"/>
    <w:rsid w:val="00767B7E"/>
    <w:rsid w:val="00767BE6"/>
    <w:rsid w:val="00775A39"/>
    <w:rsid w:val="00776900"/>
    <w:rsid w:val="007770C3"/>
    <w:rsid w:val="00780AAA"/>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762F"/>
    <w:rsid w:val="007B0CA2"/>
    <w:rsid w:val="007B5C15"/>
    <w:rsid w:val="007B6032"/>
    <w:rsid w:val="007B6B9B"/>
    <w:rsid w:val="007C014E"/>
    <w:rsid w:val="007C0C20"/>
    <w:rsid w:val="007C0E0A"/>
    <w:rsid w:val="007C2008"/>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77427"/>
    <w:rsid w:val="0088122F"/>
    <w:rsid w:val="00885AF4"/>
    <w:rsid w:val="00886435"/>
    <w:rsid w:val="008875FA"/>
    <w:rsid w:val="00887A58"/>
    <w:rsid w:val="008918AA"/>
    <w:rsid w:val="008918C9"/>
    <w:rsid w:val="008920D1"/>
    <w:rsid w:val="008939CD"/>
    <w:rsid w:val="00893E7C"/>
    <w:rsid w:val="00895862"/>
    <w:rsid w:val="00896814"/>
    <w:rsid w:val="00897199"/>
    <w:rsid w:val="008A04BB"/>
    <w:rsid w:val="008A6293"/>
    <w:rsid w:val="008A6BC0"/>
    <w:rsid w:val="008A7CE3"/>
    <w:rsid w:val="008B045D"/>
    <w:rsid w:val="008B2B26"/>
    <w:rsid w:val="008B5614"/>
    <w:rsid w:val="008B6287"/>
    <w:rsid w:val="008B69A5"/>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109D0"/>
    <w:rsid w:val="00910FAA"/>
    <w:rsid w:val="00912DEB"/>
    <w:rsid w:val="00913706"/>
    <w:rsid w:val="00913A29"/>
    <w:rsid w:val="00915BE4"/>
    <w:rsid w:val="009205F5"/>
    <w:rsid w:val="009215C3"/>
    <w:rsid w:val="00923564"/>
    <w:rsid w:val="0092392E"/>
    <w:rsid w:val="00923F58"/>
    <w:rsid w:val="00924FB0"/>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B2C43"/>
    <w:rsid w:val="009B4EAE"/>
    <w:rsid w:val="009B6C92"/>
    <w:rsid w:val="009B7573"/>
    <w:rsid w:val="009C0EF0"/>
    <w:rsid w:val="009C1B2D"/>
    <w:rsid w:val="009C22F4"/>
    <w:rsid w:val="009C2AE3"/>
    <w:rsid w:val="009C2E98"/>
    <w:rsid w:val="009C5896"/>
    <w:rsid w:val="009C6399"/>
    <w:rsid w:val="009D3447"/>
    <w:rsid w:val="009D3AA6"/>
    <w:rsid w:val="009D4711"/>
    <w:rsid w:val="009D5EF4"/>
    <w:rsid w:val="009E0018"/>
    <w:rsid w:val="009E2320"/>
    <w:rsid w:val="009E2C7B"/>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07E24"/>
    <w:rsid w:val="00A1247B"/>
    <w:rsid w:val="00A13443"/>
    <w:rsid w:val="00A13CC1"/>
    <w:rsid w:val="00A15286"/>
    <w:rsid w:val="00A1571F"/>
    <w:rsid w:val="00A1637E"/>
    <w:rsid w:val="00A16684"/>
    <w:rsid w:val="00A16847"/>
    <w:rsid w:val="00A1745F"/>
    <w:rsid w:val="00A2301F"/>
    <w:rsid w:val="00A237D8"/>
    <w:rsid w:val="00A25634"/>
    <w:rsid w:val="00A268C4"/>
    <w:rsid w:val="00A27771"/>
    <w:rsid w:val="00A300FE"/>
    <w:rsid w:val="00A307CD"/>
    <w:rsid w:val="00A3233A"/>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D20"/>
    <w:rsid w:val="00A54687"/>
    <w:rsid w:val="00A54CE0"/>
    <w:rsid w:val="00A55073"/>
    <w:rsid w:val="00A55447"/>
    <w:rsid w:val="00A55ED8"/>
    <w:rsid w:val="00A56DF2"/>
    <w:rsid w:val="00A56E1B"/>
    <w:rsid w:val="00A57F63"/>
    <w:rsid w:val="00A61738"/>
    <w:rsid w:val="00A62ECF"/>
    <w:rsid w:val="00A63814"/>
    <w:rsid w:val="00A64138"/>
    <w:rsid w:val="00A64421"/>
    <w:rsid w:val="00A659FC"/>
    <w:rsid w:val="00A65DE6"/>
    <w:rsid w:val="00A66D73"/>
    <w:rsid w:val="00A67AB5"/>
    <w:rsid w:val="00A70317"/>
    <w:rsid w:val="00A72FA8"/>
    <w:rsid w:val="00A76B3A"/>
    <w:rsid w:val="00A77CB7"/>
    <w:rsid w:val="00A804D8"/>
    <w:rsid w:val="00A85003"/>
    <w:rsid w:val="00A85A0C"/>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C6A20"/>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286"/>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1BBE"/>
    <w:rsid w:val="00B53703"/>
    <w:rsid w:val="00B53C56"/>
    <w:rsid w:val="00B53E4F"/>
    <w:rsid w:val="00B54341"/>
    <w:rsid w:val="00B545A6"/>
    <w:rsid w:val="00B5556B"/>
    <w:rsid w:val="00B60A7E"/>
    <w:rsid w:val="00B6427E"/>
    <w:rsid w:val="00B67CE3"/>
    <w:rsid w:val="00B706F1"/>
    <w:rsid w:val="00B725E6"/>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777"/>
    <w:rsid w:val="00BA0AED"/>
    <w:rsid w:val="00BA22CD"/>
    <w:rsid w:val="00BA3028"/>
    <w:rsid w:val="00BA3356"/>
    <w:rsid w:val="00BA49E7"/>
    <w:rsid w:val="00BA5298"/>
    <w:rsid w:val="00BB1990"/>
    <w:rsid w:val="00BB2D7E"/>
    <w:rsid w:val="00BB4C52"/>
    <w:rsid w:val="00BB4DF0"/>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6CE"/>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033"/>
    <w:rsid w:val="00C77575"/>
    <w:rsid w:val="00C77955"/>
    <w:rsid w:val="00C77D11"/>
    <w:rsid w:val="00C80BE1"/>
    <w:rsid w:val="00C80E5E"/>
    <w:rsid w:val="00C87773"/>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7C"/>
    <w:rsid w:val="00D35489"/>
    <w:rsid w:val="00D41FB4"/>
    <w:rsid w:val="00D42D3C"/>
    <w:rsid w:val="00D43BB3"/>
    <w:rsid w:val="00D4531F"/>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769DB"/>
    <w:rsid w:val="00D8058B"/>
    <w:rsid w:val="00D811F1"/>
    <w:rsid w:val="00D81CF0"/>
    <w:rsid w:val="00D86259"/>
    <w:rsid w:val="00D87885"/>
    <w:rsid w:val="00D9128F"/>
    <w:rsid w:val="00D938FB"/>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6D81"/>
    <w:rsid w:val="00DB7682"/>
    <w:rsid w:val="00DB774B"/>
    <w:rsid w:val="00DB7B27"/>
    <w:rsid w:val="00DB7ED3"/>
    <w:rsid w:val="00DC1D19"/>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A5E4F"/>
    <w:rsid w:val="00EB2461"/>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3D8"/>
    <w:rsid w:val="00F118C3"/>
    <w:rsid w:val="00F1361C"/>
    <w:rsid w:val="00F14902"/>
    <w:rsid w:val="00F160C7"/>
    <w:rsid w:val="00F16FDE"/>
    <w:rsid w:val="00F20320"/>
    <w:rsid w:val="00F20532"/>
    <w:rsid w:val="00F21001"/>
    <w:rsid w:val="00F228F9"/>
    <w:rsid w:val="00F248A8"/>
    <w:rsid w:val="00F24E3F"/>
    <w:rsid w:val="00F26D60"/>
    <w:rsid w:val="00F30138"/>
    <w:rsid w:val="00F301B6"/>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5CC0"/>
    <w:rsid w:val="00F75CCC"/>
    <w:rsid w:val="00F75F9D"/>
    <w:rsid w:val="00F81FD9"/>
    <w:rsid w:val="00F82490"/>
    <w:rsid w:val="00F8281D"/>
    <w:rsid w:val="00F835D4"/>
    <w:rsid w:val="00F841AA"/>
    <w:rsid w:val="00F845B5"/>
    <w:rsid w:val="00F86932"/>
    <w:rsid w:val="00F875DB"/>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2F3CEB"/>
    <w:rsid w:val="01B354EA"/>
    <w:rsid w:val="01CF32DE"/>
    <w:rsid w:val="01D74DB7"/>
    <w:rsid w:val="01D86637"/>
    <w:rsid w:val="01F04616"/>
    <w:rsid w:val="037A757D"/>
    <w:rsid w:val="03F359AA"/>
    <w:rsid w:val="043A3897"/>
    <w:rsid w:val="045647CC"/>
    <w:rsid w:val="0463543B"/>
    <w:rsid w:val="048D6B52"/>
    <w:rsid w:val="04A56E6E"/>
    <w:rsid w:val="04D45254"/>
    <w:rsid w:val="04D550AF"/>
    <w:rsid w:val="051A6F96"/>
    <w:rsid w:val="05C25E8C"/>
    <w:rsid w:val="06951176"/>
    <w:rsid w:val="07001BE1"/>
    <w:rsid w:val="07267DE7"/>
    <w:rsid w:val="088F55D5"/>
    <w:rsid w:val="089C4B49"/>
    <w:rsid w:val="09081517"/>
    <w:rsid w:val="091B747D"/>
    <w:rsid w:val="092E626A"/>
    <w:rsid w:val="09330033"/>
    <w:rsid w:val="09A572B6"/>
    <w:rsid w:val="0A19737C"/>
    <w:rsid w:val="0B7218AA"/>
    <w:rsid w:val="0B99373B"/>
    <w:rsid w:val="0BA37CB5"/>
    <w:rsid w:val="0D0429D6"/>
    <w:rsid w:val="0D093B48"/>
    <w:rsid w:val="0D322E51"/>
    <w:rsid w:val="0D6C338E"/>
    <w:rsid w:val="0DB37F58"/>
    <w:rsid w:val="0DB742A8"/>
    <w:rsid w:val="0E6D2010"/>
    <w:rsid w:val="0EC00B7E"/>
    <w:rsid w:val="0F5E6610"/>
    <w:rsid w:val="0FB52B86"/>
    <w:rsid w:val="0FDB629D"/>
    <w:rsid w:val="0FFD0B0D"/>
    <w:rsid w:val="103747CF"/>
    <w:rsid w:val="103F4D68"/>
    <w:rsid w:val="10C055FF"/>
    <w:rsid w:val="116A6D7C"/>
    <w:rsid w:val="11761AF6"/>
    <w:rsid w:val="11851C0B"/>
    <w:rsid w:val="11D56DF6"/>
    <w:rsid w:val="11ED6591"/>
    <w:rsid w:val="11F85D8C"/>
    <w:rsid w:val="13367661"/>
    <w:rsid w:val="136F089E"/>
    <w:rsid w:val="13D81ACD"/>
    <w:rsid w:val="14D728AA"/>
    <w:rsid w:val="15F1786F"/>
    <w:rsid w:val="1665477F"/>
    <w:rsid w:val="16BB723D"/>
    <w:rsid w:val="17283764"/>
    <w:rsid w:val="17BC7656"/>
    <w:rsid w:val="17EA348C"/>
    <w:rsid w:val="1840212F"/>
    <w:rsid w:val="184656CF"/>
    <w:rsid w:val="193C261A"/>
    <w:rsid w:val="19934117"/>
    <w:rsid w:val="19943114"/>
    <w:rsid w:val="19DE22C0"/>
    <w:rsid w:val="1AB026BC"/>
    <w:rsid w:val="1ABB32B6"/>
    <w:rsid w:val="1B787B60"/>
    <w:rsid w:val="1BF70747"/>
    <w:rsid w:val="1C06153F"/>
    <w:rsid w:val="1C986C96"/>
    <w:rsid w:val="1D7371C3"/>
    <w:rsid w:val="1DDC2BB3"/>
    <w:rsid w:val="1E34479D"/>
    <w:rsid w:val="1EF81F78"/>
    <w:rsid w:val="1F467389"/>
    <w:rsid w:val="1F620905"/>
    <w:rsid w:val="1FD12B34"/>
    <w:rsid w:val="201A6AB0"/>
    <w:rsid w:val="203B66A0"/>
    <w:rsid w:val="206D278F"/>
    <w:rsid w:val="211A679A"/>
    <w:rsid w:val="21253DA0"/>
    <w:rsid w:val="21A94BCD"/>
    <w:rsid w:val="22857975"/>
    <w:rsid w:val="23844B7E"/>
    <w:rsid w:val="23902475"/>
    <w:rsid w:val="23FA0B3C"/>
    <w:rsid w:val="240371BF"/>
    <w:rsid w:val="2435534E"/>
    <w:rsid w:val="244017F7"/>
    <w:rsid w:val="24534F10"/>
    <w:rsid w:val="24DF6C66"/>
    <w:rsid w:val="253D03DB"/>
    <w:rsid w:val="253F66D1"/>
    <w:rsid w:val="25A20B86"/>
    <w:rsid w:val="25B1070F"/>
    <w:rsid w:val="25BC6564"/>
    <w:rsid w:val="25DD571A"/>
    <w:rsid w:val="265C1D1F"/>
    <w:rsid w:val="26BB36DB"/>
    <w:rsid w:val="271C5A93"/>
    <w:rsid w:val="276F1834"/>
    <w:rsid w:val="27B459F9"/>
    <w:rsid w:val="27C51E91"/>
    <w:rsid w:val="280173B2"/>
    <w:rsid w:val="28513369"/>
    <w:rsid w:val="28BF6D42"/>
    <w:rsid w:val="28C822A0"/>
    <w:rsid w:val="292E058E"/>
    <w:rsid w:val="29FD04D3"/>
    <w:rsid w:val="2C1E1BB4"/>
    <w:rsid w:val="2CAE1BBE"/>
    <w:rsid w:val="2CCF04B2"/>
    <w:rsid w:val="2DF079DB"/>
    <w:rsid w:val="2E4C04E0"/>
    <w:rsid w:val="2E67588F"/>
    <w:rsid w:val="2F803D16"/>
    <w:rsid w:val="2FF22B1D"/>
    <w:rsid w:val="30CB71E3"/>
    <w:rsid w:val="30E36C85"/>
    <w:rsid w:val="31810DA9"/>
    <w:rsid w:val="31903F88"/>
    <w:rsid w:val="319F7F4E"/>
    <w:rsid w:val="31B72CAD"/>
    <w:rsid w:val="32004B5E"/>
    <w:rsid w:val="323A1C2F"/>
    <w:rsid w:val="329448A6"/>
    <w:rsid w:val="32F45598"/>
    <w:rsid w:val="33204932"/>
    <w:rsid w:val="33447C07"/>
    <w:rsid w:val="345D075E"/>
    <w:rsid w:val="35244754"/>
    <w:rsid w:val="361C390A"/>
    <w:rsid w:val="364D41F6"/>
    <w:rsid w:val="36FD0156"/>
    <w:rsid w:val="38207F4E"/>
    <w:rsid w:val="38F8371D"/>
    <w:rsid w:val="39226F5F"/>
    <w:rsid w:val="39902098"/>
    <w:rsid w:val="39FD5F33"/>
    <w:rsid w:val="3A3A0F35"/>
    <w:rsid w:val="3A4E1148"/>
    <w:rsid w:val="3AF15A98"/>
    <w:rsid w:val="3C8D2F9D"/>
    <w:rsid w:val="3CE0510E"/>
    <w:rsid w:val="3D0E3B71"/>
    <w:rsid w:val="3D1927CA"/>
    <w:rsid w:val="3D1E4B3E"/>
    <w:rsid w:val="3D6F2272"/>
    <w:rsid w:val="3D8344ED"/>
    <w:rsid w:val="3E03620E"/>
    <w:rsid w:val="3E343C22"/>
    <w:rsid w:val="3F512FA9"/>
    <w:rsid w:val="3F7C601F"/>
    <w:rsid w:val="3FAC4683"/>
    <w:rsid w:val="3FEA5DFB"/>
    <w:rsid w:val="40035B02"/>
    <w:rsid w:val="401C35B7"/>
    <w:rsid w:val="40EA7211"/>
    <w:rsid w:val="4119235A"/>
    <w:rsid w:val="41677310"/>
    <w:rsid w:val="422C2C46"/>
    <w:rsid w:val="4251506E"/>
    <w:rsid w:val="42B75819"/>
    <w:rsid w:val="43684120"/>
    <w:rsid w:val="444F07DA"/>
    <w:rsid w:val="44601E28"/>
    <w:rsid w:val="472E4611"/>
    <w:rsid w:val="475E72DC"/>
    <w:rsid w:val="47F514AF"/>
    <w:rsid w:val="4839282C"/>
    <w:rsid w:val="48FD75BD"/>
    <w:rsid w:val="49243056"/>
    <w:rsid w:val="494C4A06"/>
    <w:rsid w:val="4A113668"/>
    <w:rsid w:val="4A277A41"/>
    <w:rsid w:val="4A745623"/>
    <w:rsid w:val="4B187071"/>
    <w:rsid w:val="4B2B2DCB"/>
    <w:rsid w:val="4B6A5BC2"/>
    <w:rsid w:val="4B6D2BD3"/>
    <w:rsid w:val="4C7555EC"/>
    <w:rsid w:val="4D135D42"/>
    <w:rsid w:val="4D846266"/>
    <w:rsid w:val="4D8D78A2"/>
    <w:rsid w:val="4DF123A8"/>
    <w:rsid w:val="4E290981"/>
    <w:rsid w:val="4E832A53"/>
    <w:rsid w:val="4E9E44C2"/>
    <w:rsid w:val="4EBC1A30"/>
    <w:rsid w:val="4F395B30"/>
    <w:rsid w:val="4F3B530F"/>
    <w:rsid w:val="4F6F7A34"/>
    <w:rsid w:val="4FD74194"/>
    <w:rsid w:val="4FDA49F5"/>
    <w:rsid w:val="50AE413E"/>
    <w:rsid w:val="51E1640E"/>
    <w:rsid w:val="51EE42CA"/>
    <w:rsid w:val="52195E38"/>
    <w:rsid w:val="52302EF2"/>
    <w:rsid w:val="526E48F5"/>
    <w:rsid w:val="52ED6284"/>
    <w:rsid w:val="5322283B"/>
    <w:rsid w:val="532B0C13"/>
    <w:rsid w:val="533D4F08"/>
    <w:rsid w:val="53BA6F17"/>
    <w:rsid w:val="53BE2B80"/>
    <w:rsid w:val="54136CE6"/>
    <w:rsid w:val="541505F1"/>
    <w:rsid w:val="542D2749"/>
    <w:rsid w:val="54992FD0"/>
    <w:rsid w:val="55872E29"/>
    <w:rsid w:val="55923320"/>
    <w:rsid w:val="56D0674C"/>
    <w:rsid w:val="57D23F06"/>
    <w:rsid w:val="58BA52C3"/>
    <w:rsid w:val="58BC5D23"/>
    <w:rsid w:val="58DF0829"/>
    <w:rsid w:val="59177DCC"/>
    <w:rsid w:val="59E040FC"/>
    <w:rsid w:val="59E11CD3"/>
    <w:rsid w:val="5A857BDE"/>
    <w:rsid w:val="5B2A4567"/>
    <w:rsid w:val="5BD42235"/>
    <w:rsid w:val="5BE202EA"/>
    <w:rsid w:val="5CAD7C22"/>
    <w:rsid w:val="5CE95B0C"/>
    <w:rsid w:val="5CFA7F1D"/>
    <w:rsid w:val="5D577E65"/>
    <w:rsid w:val="5D6F6B2F"/>
    <w:rsid w:val="5E2506F8"/>
    <w:rsid w:val="5E5E7F75"/>
    <w:rsid w:val="5EA316D6"/>
    <w:rsid w:val="5ECE1AC8"/>
    <w:rsid w:val="5EF556B7"/>
    <w:rsid w:val="5F3A07D2"/>
    <w:rsid w:val="5F593A88"/>
    <w:rsid w:val="5FE356D0"/>
    <w:rsid w:val="5FF901AE"/>
    <w:rsid w:val="60651EAC"/>
    <w:rsid w:val="60BB3927"/>
    <w:rsid w:val="6200749A"/>
    <w:rsid w:val="620F0B35"/>
    <w:rsid w:val="6240022D"/>
    <w:rsid w:val="62A42EE2"/>
    <w:rsid w:val="62BE686B"/>
    <w:rsid w:val="62F14F12"/>
    <w:rsid w:val="630D013F"/>
    <w:rsid w:val="63347FC4"/>
    <w:rsid w:val="63604CB9"/>
    <w:rsid w:val="64A36D0B"/>
    <w:rsid w:val="64C656C1"/>
    <w:rsid w:val="64F77166"/>
    <w:rsid w:val="65201386"/>
    <w:rsid w:val="657F4183"/>
    <w:rsid w:val="658466A7"/>
    <w:rsid w:val="6596487B"/>
    <w:rsid w:val="65DF63C9"/>
    <w:rsid w:val="65E950BC"/>
    <w:rsid w:val="662A7F2C"/>
    <w:rsid w:val="66627873"/>
    <w:rsid w:val="66D65FFA"/>
    <w:rsid w:val="67C24194"/>
    <w:rsid w:val="67EB36EB"/>
    <w:rsid w:val="68DA2DB6"/>
    <w:rsid w:val="69725134"/>
    <w:rsid w:val="6B4666B6"/>
    <w:rsid w:val="6BB306BC"/>
    <w:rsid w:val="6CC85DA9"/>
    <w:rsid w:val="6D2A5F93"/>
    <w:rsid w:val="6D8F2D6B"/>
    <w:rsid w:val="6DB91990"/>
    <w:rsid w:val="6DC31436"/>
    <w:rsid w:val="6E6F4E2B"/>
    <w:rsid w:val="6ECB49CF"/>
    <w:rsid w:val="6ECB5A2B"/>
    <w:rsid w:val="6F806E0F"/>
    <w:rsid w:val="70202A42"/>
    <w:rsid w:val="70ED3F4C"/>
    <w:rsid w:val="72227D09"/>
    <w:rsid w:val="72E476B5"/>
    <w:rsid w:val="72F22338"/>
    <w:rsid w:val="73327580"/>
    <w:rsid w:val="733572FD"/>
    <w:rsid w:val="73BE3A62"/>
    <w:rsid w:val="746C7E4B"/>
    <w:rsid w:val="750E6C6B"/>
    <w:rsid w:val="755E374E"/>
    <w:rsid w:val="75884CEA"/>
    <w:rsid w:val="75B310E7"/>
    <w:rsid w:val="75B318F4"/>
    <w:rsid w:val="761A4623"/>
    <w:rsid w:val="76377F56"/>
    <w:rsid w:val="764B35A7"/>
    <w:rsid w:val="769E6A57"/>
    <w:rsid w:val="77B238DE"/>
    <w:rsid w:val="78A4106B"/>
    <w:rsid w:val="78FC7875"/>
    <w:rsid w:val="79975481"/>
    <w:rsid w:val="79B4511D"/>
    <w:rsid w:val="79F60BE5"/>
    <w:rsid w:val="7A1B4027"/>
    <w:rsid w:val="7A965738"/>
    <w:rsid w:val="7ABC1C9C"/>
    <w:rsid w:val="7B022DCE"/>
    <w:rsid w:val="7B272834"/>
    <w:rsid w:val="7B8F71DF"/>
    <w:rsid w:val="7C1568F9"/>
    <w:rsid w:val="7CB2612E"/>
    <w:rsid w:val="7CC25607"/>
    <w:rsid w:val="7DE859ED"/>
    <w:rsid w:val="7E4C610E"/>
    <w:rsid w:val="7ECA59B1"/>
    <w:rsid w:val="7F09108F"/>
    <w:rsid w:val="7FDC49A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name="footnote text"/>
    <w:lsdException w:qFormat="1"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qFormat="1" w:unhideWhenUsed="0" w:uiPriority="0"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5">
    <w:name w:val="heading 1"/>
    <w:basedOn w:val="1"/>
    <w:next w:val="1"/>
    <w:link w:val="41"/>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3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49"/>
    <w:unhideWhenUsed/>
    <w:qFormat/>
    <w:uiPriority w:val="9"/>
    <w:pPr>
      <w:keepNext/>
      <w:keepLines/>
      <w:spacing w:before="260" w:after="260" w:line="416" w:lineRule="auto"/>
      <w:outlineLvl w:val="2"/>
    </w:pPr>
    <w:rPr>
      <w:b/>
      <w:bCs/>
      <w:sz w:val="32"/>
      <w:szCs w:val="32"/>
    </w:rPr>
  </w:style>
  <w:style w:type="character" w:default="1" w:styleId="22">
    <w:name w:val="Default Paragraph Font"/>
    <w:link w:val="23"/>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link w:val="47"/>
    <w:unhideWhenUsed/>
    <w:qFormat/>
    <w:uiPriority w:val="99"/>
    <w:pPr>
      <w:ind w:firstLine="420" w:firstLineChars="200"/>
    </w:pPr>
  </w:style>
  <w:style w:type="paragraph" w:styleId="4">
    <w:name w:val="Body Text Indent"/>
    <w:basedOn w:val="1"/>
    <w:next w:val="3"/>
    <w:qFormat/>
    <w:uiPriority w:val="0"/>
    <w:pPr>
      <w:spacing w:after="120"/>
      <w:ind w:leftChars="200"/>
    </w:pPr>
    <w:rPr>
      <w:rFonts w:ascii="仿宋_GB2312"/>
      <w:szCs w:val="32"/>
    </w:rPr>
  </w:style>
  <w:style w:type="paragraph" w:styleId="8">
    <w:name w:val="Normal Indent"/>
    <w:basedOn w:val="1"/>
    <w:qFormat/>
    <w:uiPriority w:val="0"/>
    <w:pPr>
      <w:spacing w:before="156" w:beforeLines="50" w:line="360" w:lineRule="auto"/>
      <w:ind w:firstLine="480" w:firstLineChars="200"/>
    </w:pPr>
    <w:rPr>
      <w:rFonts w:eastAsia="仿宋"/>
      <w:sz w:val="24"/>
      <w:szCs w:val="23"/>
      <w:lang w:eastAsia="ar-SA"/>
    </w:rPr>
  </w:style>
  <w:style w:type="paragraph" w:styleId="9">
    <w:name w:val="Document Map"/>
    <w:basedOn w:val="1"/>
    <w:link w:val="24"/>
    <w:qFormat/>
    <w:uiPriority w:val="0"/>
    <w:rPr>
      <w:rFonts w:ascii="宋体" w:eastAsia="宋体"/>
      <w:sz w:val="18"/>
      <w:szCs w:val="18"/>
    </w:rPr>
  </w:style>
  <w:style w:type="paragraph" w:styleId="10">
    <w:name w:val="annotation text"/>
    <w:basedOn w:val="1"/>
    <w:semiHidden/>
    <w:unhideWhenUsed/>
    <w:qFormat/>
    <w:uiPriority w:val="99"/>
    <w:pPr>
      <w:jc w:val="left"/>
    </w:pPr>
  </w:style>
  <w:style w:type="paragraph" w:styleId="11">
    <w:name w:val="Body Text"/>
    <w:basedOn w:val="1"/>
    <w:link w:val="34"/>
    <w:qFormat/>
    <w:uiPriority w:val="0"/>
    <w:pPr>
      <w:spacing w:after="120"/>
    </w:pPr>
  </w:style>
  <w:style w:type="paragraph" w:styleId="12">
    <w:name w:val="toc 3"/>
    <w:basedOn w:val="1"/>
    <w:next w:val="1"/>
    <w:unhideWhenUsed/>
    <w:qFormat/>
    <w:uiPriority w:val="39"/>
    <w:pPr>
      <w:tabs>
        <w:tab w:val="right" w:leader="dot" w:pos="8296"/>
      </w:tabs>
      <w:ind w:left="840" w:leftChars="400"/>
    </w:pPr>
  </w:style>
  <w:style w:type="paragraph" w:styleId="13">
    <w:name w:val="Balloon Text"/>
    <w:basedOn w:val="1"/>
    <w:link w:val="39"/>
    <w:semiHidden/>
    <w:qFormat/>
    <w:uiPriority w:val="0"/>
    <w:rPr>
      <w:sz w:val="18"/>
      <w:szCs w:val="18"/>
    </w:rPr>
  </w:style>
  <w:style w:type="paragraph" w:styleId="14">
    <w:name w:val="footer"/>
    <w:basedOn w:val="1"/>
    <w:link w:val="32"/>
    <w:qFormat/>
    <w:uiPriority w:val="99"/>
    <w:pPr>
      <w:tabs>
        <w:tab w:val="center" w:pos="4153"/>
        <w:tab w:val="right" w:pos="8306"/>
      </w:tabs>
      <w:snapToGrid w:val="0"/>
      <w:jc w:val="left"/>
    </w:pPr>
    <w:rPr>
      <w:rFonts w:eastAsia="宋体"/>
      <w:sz w:val="18"/>
      <w:szCs w:val="18"/>
    </w:rPr>
  </w:style>
  <w:style w:type="paragraph" w:styleId="15">
    <w:name w:val="header"/>
    <w:basedOn w:val="1"/>
    <w:link w:val="30"/>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16">
    <w:name w:val="toc 1"/>
    <w:basedOn w:val="1"/>
    <w:next w:val="1"/>
    <w:qFormat/>
    <w:uiPriority w:val="0"/>
    <w:pPr>
      <w:tabs>
        <w:tab w:val="right" w:leader="dot" w:pos="8296"/>
      </w:tabs>
    </w:pPr>
  </w:style>
  <w:style w:type="paragraph" w:styleId="17">
    <w:name w:val="table of figures"/>
    <w:basedOn w:val="1"/>
    <w:next w:val="1"/>
    <w:autoRedefine/>
    <w:qFormat/>
    <w:uiPriority w:val="0"/>
    <w:pPr>
      <w:ind w:left="200" w:leftChars="200" w:hanging="200" w:hangingChars="200"/>
    </w:pPr>
  </w:style>
  <w:style w:type="paragraph" w:styleId="18">
    <w:name w:val="toc 2"/>
    <w:basedOn w:val="1"/>
    <w:next w:val="1"/>
    <w:autoRedefine/>
    <w:unhideWhenUsed/>
    <w:qFormat/>
    <w:uiPriority w:val="39"/>
    <w:pPr>
      <w:tabs>
        <w:tab w:val="right" w:leader="dot" w:pos="8296"/>
      </w:tabs>
      <w:ind w:left="420" w:leftChars="200"/>
    </w:pPr>
  </w:style>
  <w:style w:type="paragraph" w:styleId="19">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3">
    <w:name w:val="四号正文"/>
    <w:basedOn w:val="1"/>
    <w:link w:val="22"/>
    <w:qFormat/>
    <w:uiPriority w:val="0"/>
    <w:pPr>
      <w:spacing w:line="360" w:lineRule="auto"/>
    </w:pPr>
    <w:rPr>
      <w:rFonts w:ascii="??" w:hAnsi="??" w:eastAsia="宋体" w:cs="宋体"/>
      <w:color w:val="000000"/>
      <w:kern w:val="0"/>
      <w:sz w:val="28"/>
      <w:szCs w:val="21"/>
    </w:rPr>
  </w:style>
  <w:style w:type="character" w:styleId="24">
    <w:name w:val="Strong"/>
    <w:basedOn w:val="22"/>
    <w:link w:val="9"/>
    <w:qFormat/>
    <w:uiPriority w:val="99"/>
    <w:rPr>
      <w:b/>
    </w:rPr>
  </w:style>
  <w:style w:type="character" w:styleId="25">
    <w:name w:val="page number"/>
    <w:basedOn w:val="22"/>
    <w:qFormat/>
    <w:uiPriority w:val="0"/>
  </w:style>
  <w:style w:type="character" w:styleId="26">
    <w:name w:val="Hyperlink"/>
    <w:basedOn w:val="22"/>
    <w:unhideWhenUsed/>
    <w:qFormat/>
    <w:uiPriority w:val="99"/>
    <w:rPr>
      <w:color w:val="0000FF" w:themeColor="hyperlink"/>
      <w:u w:val="single"/>
      <w14:textFill>
        <w14:solidFill>
          <w14:schemeClr w14:val="hlink"/>
        </w14:solidFill>
      </w14:textFill>
    </w:rPr>
  </w:style>
  <w:style w:type="character" w:styleId="27">
    <w:name w:val="annotation reference"/>
    <w:basedOn w:val="22"/>
    <w:link w:val="14"/>
    <w:semiHidden/>
    <w:unhideWhenUsed/>
    <w:qFormat/>
    <w:uiPriority w:val="99"/>
    <w:rPr>
      <w:sz w:val="21"/>
      <w:szCs w:val="21"/>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9">
    <w:name w:val="Header Char"/>
    <w:basedOn w:val="22"/>
    <w:semiHidden/>
    <w:qFormat/>
    <w:uiPriority w:val="99"/>
    <w:rPr>
      <w:rFonts w:ascii="Times New Roman" w:hAnsi="Times New Roman"/>
      <w:sz w:val="18"/>
      <w:szCs w:val="18"/>
    </w:rPr>
  </w:style>
  <w:style w:type="character" w:customStyle="1" w:styleId="30">
    <w:name w:val="页眉 字符"/>
    <w:link w:val="15"/>
    <w:semiHidden/>
    <w:qFormat/>
    <w:locked/>
    <w:uiPriority w:val="99"/>
    <w:rPr>
      <w:sz w:val="18"/>
    </w:rPr>
  </w:style>
  <w:style w:type="character" w:customStyle="1" w:styleId="31">
    <w:name w:val="Footer Char"/>
    <w:basedOn w:val="22"/>
    <w:autoRedefine/>
    <w:semiHidden/>
    <w:qFormat/>
    <w:uiPriority w:val="99"/>
    <w:rPr>
      <w:rFonts w:ascii="Times New Roman" w:hAnsi="Times New Roman"/>
      <w:sz w:val="18"/>
      <w:szCs w:val="18"/>
    </w:rPr>
  </w:style>
  <w:style w:type="character" w:customStyle="1" w:styleId="32">
    <w:name w:val="页脚 字符"/>
    <w:link w:val="14"/>
    <w:autoRedefine/>
    <w:qFormat/>
    <w:locked/>
    <w:uiPriority w:val="99"/>
    <w:rPr>
      <w:sz w:val="18"/>
    </w:rPr>
  </w:style>
  <w:style w:type="character" w:customStyle="1" w:styleId="33">
    <w:name w:val="Body Text Char"/>
    <w:basedOn w:val="22"/>
    <w:semiHidden/>
    <w:qFormat/>
    <w:uiPriority w:val="99"/>
    <w:rPr>
      <w:rFonts w:ascii="Times New Roman" w:hAnsi="Times New Roman"/>
      <w:szCs w:val="24"/>
    </w:rPr>
  </w:style>
  <w:style w:type="character" w:customStyle="1" w:styleId="34">
    <w:name w:val="正文文本 字符"/>
    <w:link w:val="11"/>
    <w:qFormat/>
    <w:locked/>
    <w:uiPriority w:val="99"/>
    <w:rPr>
      <w:rFonts w:ascii="仿宋_GB2312" w:hAnsi="Times New Roman" w:eastAsia="仿宋_GB2312"/>
      <w:sz w:val="24"/>
    </w:rPr>
  </w:style>
  <w:style w:type="paragraph" w:styleId="35">
    <w:name w:val="List Paragraph"/>
    <w:basedOn w:val="1"/>
    <w:autoRedefine/>
    <w:qFormat/>
    <w:uiPriority w:val="34"/>
    <w:pPr>
      <w:ind w:firstLine="420" w:firstLineChars="200"/>
    </w:pPr>
  </w:style>
  <w:style w:type="character" w:customStyle="1" w:styleId="36">
    <w:name w:val="标题 1 字符"/>
    <w:basedOn w:val="22"/>
    <w:link w:val="5"/>
    <w:qFormat/>
    <w:uiPriority w:val="9"/>
    <w:rPr>
      <w:rFonts w:ascii="Times New Roman" w:hAnsi="Times New Roman"/>
      <w:b/>
      <w:bCs/>
      <w:kern w:val="44"/>
      <w:sz w:val="44"/>
      <w:szCs w:val="44"/>
    </w:rPr>
  </w:style>
  <w:style w:type="character" w:customStyle="1" w:styleId="37">
    <w:name w:val="标题 2 字符"/>
    <w:basedOn w:val="22"/>
    <w:link w:val="6"/>
    <w:qFormat/>
    <w:uiPriority w:val="9"/>
    <w:rPr>
      <w:rFonts w:asciiTheme="majorHAnsi" w:hAnsiTheme="majorHAnsi" w:eastAsiaTheme="majorEastAsia" w:cstheme="majorBidi"/>
      <w:b/>
      <w:bCs/>
      <w:kern w:val="2"/>
      <w:sz w:val="32"/>
      <w:szCs w:val="32"/>
    </w:rPr>
  </w:style>
  <w:style w:type="paragraph" w:customStyle="1" w:styleId="38">
    <w:name w:val="TOC 标题1"/>
    <w:basedOn w:val="5"/>
    <w:next w:val="1"/>
    <w:autoRedefine/>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9">
    <w:name w:val="批注框文本 字符"/>
    <w:basedOn w:val="22"/>
    <w:link w:val="13"/>
    <w:autoRedefine/>
    <w:semiHidden/>
    <w:qFormat/>
    <w:uiPriority w:val="99"/>
    <w:rPr>
      <w:rFonts w:ascii="Times New Roman" w:hAnsi="Times New Roman"/>
      <w:kern w:val="2"/>
      <w:sz w:val="18"/>
      <w:szCs w:val="18"/>
    </w:rPr>
  </w:style>
  <w:style w:type="character" w:customStyle="1" w:styleId="40">
    <w:name w:val="标题 3 字符"/>
    <w:basedOn w:val="22"/>
    <w:link w:val="7"/>
    <w:autoRedefine/>
    <w:qFormat/>
    <w:uiPriority w:val="9"/>
    <w:rPr>
      <w:rFonts w:ascii="Times New Roman" w:hAnsi="Times New Roman"/>
      <w:b/>
      <w:bCs/>
      <w:kern w:val="2"/>
      <w:sz w:val="32"/>
      <w:szCs w:val="32"/>
    </w:rPr>
  </w:style>
  <w:style w:type="character" w:customStyle="1" w:styleId="41">
    <w:name w:val="标题 1 Char"/>
    <w:basedOn w:val="22"/>
    <w:link w:val="5"/>
    <w:qFormat/>
    <w:uiPriority w:val="9"/>
    <w:rPr>
      <w:b/>
      <w:bCs/>
      <w:kern w:val="44"/>
      <w:sz w:val="44"/>
      <w:szCs w:val="44"/>
    </w:rPr>
  </w:style>
  <w:style w:type="paragraph" w:customStyle="1" w:styleId="42">
    <w:name w:val="table of figures"/>
    <w:basedOn w:val="1"/>
    <w:next w:val="1"/>
    <w:qFormat/>
    <w:uiPriority w:val="0"/>
    <w:pPr>
      <w:spacing w:before="100" w:beforeLines="0" w:beforeAutospacing="1" w:after="100" w:afterLines="0" w:afterAutospacing="1"/>
      <w:ind w:left="200" w:leftChars="200" w:hanging="200" w:hangingChars="200"/>
    </w:pPr>
  </w:style>
  <w:style w:type="paragraph" w:customStyle="1" w:styleId="43">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customStyle="1" w:styleId="44">
    <w:name w:val="table of figures1"/>
    <w:basedOn w:val="1"/>
    <w:next w:val="1"/>
    <w:qFormat/>
    <w:uiPriority w:val="0"/>
    <w:pPr>
      <w:spacing w:before="100" w:beforeAutospacing="1" w:after="100" w:afterAutospacing="1"/>
      <w:ind w:left="400" w:leftChars="200" w:hanging="200" w:hangingChars="200"/>
    </w:pPr>
  </w:style>
  <w:style w:type="paragraph" w:customStyle="1" w:styleId="45">
    <w:name w:val="图表目录1"/>
    <w:basedOn w:val="1"/>
    <w:next w:val="1"/>
    <w:qFormat/>
    <w:uiPriority w:val="0"/>
    <w:pPr>
      <w:spacing w:beforeAutospacing="1" w:afterAutospacing="1"/>
      <w:ind w:left="200" w:leftChars="200" w:hanging="200" w:hangingChars="200"/>
    </w:pPr>
  </w:style>
  <w:style w:type="character" w:customStyle="1" w:styleId="46">
    <w:name w:val="四号正文 Char"/>
    <w:basedOn w:val="22"/>
    <w:qFormat/>
    <w:uiPriority w:val="0"/>
    <w:rPr>
      <w:rFonts w:ascii="??" w:hAnsi="??" w:eastAsia="宋体" w:cs="宋体"/>
      <w:color w:val="000000"/>
      <w:sz w:val="28"/>
      <w:szCs w:val="21"/>
      <w:lang w:val="en-US" w:eastAsia="zh-CN" w:bidi="ar-SA"/>
    </w:rPr>
  </w:style>
  <w:style w:type="character" w:customStyle="1" w:styleId="47">
    <w:name w:val="文档结构图 Char"/>
    <w:basedOn w:val="22"/>
    <w:link w:val="3"/>
    <w:qFormat/>
    <w:uiPriority w:val="0"/>
    <w:rPr>
      <w:rFonts w:ascii="宋体"/>
      <w:kern w:val="2"/>
      <w:sz w:val="18"/>
      <w:szCs w:val="18"/>
    </w:rPr>
  </w:style>
  <w:style w:type="paragraph" w:customStyle="1" w:styleId="48">
    <w:name w:val="a"/>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49">
    <w:name w:val="页脚 Char"/>
    <w:basedOn w:val="22"/>
    <w:link w:val="7"/>
    <w:qFormat/>
    <w:uiPriority w:val="99"/>
    <w:rPr>
      <w:kern w:val="2"/>
      <w:sz w:val="18"/>
      <w:szCs w:val="18"/>
    </w:rPr>
  </w:style>
  <w:style w:type="character" w:customStyle="1" w:styleId="50">
    <w:name w:val="font31"/>
    <w:basedOn w:val="22"/>
    <w:qFormat/>
    <w:uiPriority w:val="0"/>
    <w:rPr>
      <w:rFonts w:hint="eastAsia" w:ascii="宋体" w:hAnsi="宋体" w:eastAsia="宋体" w:cs="宋体"/>
      <w:color w:val="000000"/>
      <w:sz w:val="24"/>
      <w:szCs w:val="24"/>
      <w:u w:val="none"/>
    </w:rPr>
  </w:style>
  <w:style w:type="character" w:customStyle="1" w:styleId="51">
    <w:name w:val="font51"/>
    <w:basedOn w:val="22"/>
    <w:qFormat/>
    <w:uiPriority w:val="0"/>
    <w:rPr>
      <w:rFonts w:hint="default" w:ascii="Wingdings 2" w:hAnsi="Wingdings 2" w:eastAsia="Wingdings 2" w:cs="Wingdings 2"/>
      <w:color w:val="000000"/>
      <w:sz w:val="18"/>
      <w:szCs w:val="18"/>
      <w:u w:val="none"/>
    </w:rPr>
  </w:style>
  <w:style w:type="character" w:customStyle="1" w:styleId="52">
    <w:name w:val="font01"/>
    <w:basedOn w:val="22"/>
    <w:qFormat/>
    <w:uiPriority w:val="0"/>
    <w:rPr>
      <w:rFonts w:ascii="宋体" w:hAnsi="宋体" w:eastAsia="宋体" w:cs="宋体"/>
      <w:color w:val="000000"/>
      <w:sz w:val="18"/>
      <w:szCs w:val="18"/>
      <w:u w:val="none"/>
    </w:rPr>
  </w:style>
  <w:style w:type="character" w:customStyle="1" w:styleId="53">
    <w:name w:val="font41"/>
    <w:basedOn w:val="22"/>
    <w:qFormat/>
    <w:uiPriority w:val="0"/>
    <w:rPr>
      <w:rFonts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chart" Target="charts/chart7.xml"/><Relationship Id="rId16" Type="http://schemas.openxmlformats.org/officeDocument/2006/relationships/chart" Target="charts/chart6.xml"/><Relationship Id="rId15" Type="http://schemas.openxmlformats.org/officeDocument/2006/relationships/chart" Target="charts/chart5.xml"/><Relationship Id="rId14" Type="http://schemas.openxmlformats.org/officeDocument/2006/relationships/chart" Target="charts/chart4.xml"/><Relationship Id="rId13" Type="http://schemas.openxmlformats.org/officeDocument/2006/relationships/chart" Target="charts/chart3.xml"/><Relationship Id="rId12" Type="http://schemas.openxmlformats.org/officeDocument/2006/relationships/chart" Target="charts/chart2.xml"/><Relationship Id="rId11" Type="http://schemas.openxmlformats.org/officeDocument/2006/relationships/chart" Target="charts/chart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收、支决算总计变动情况图</a:t>
            </a:r>
            <a:endParaRPr lang="en-US" sz="1100"/>
          </a:p>
        </c:rich>
      </c:tx>
      <c:layout/>
      <c:overlay val="0"/>
    </c:title>
    <c:autoTitleDeleted val="0"/>
    <c:plotArea>
      <c:layout>
        <c:manualLayout>
          <c:layoutTarget val="inner"/>
          <c:xMode val="edge"/>
          <c:yMode val="edge"/>
          <c:x val="0.0559816218099468"/>
          <c:y val="0.247865112907836"/>
          <c:w val="0.800713012477719"/>
          <c:h val="0.654027777777778"/>
        </c:manualLayout>
      </c:layout>
      <c:barChart>
        <c:barDir val="col"/>
        <c:grouping val="clustered"/>
        <c:varyColors val="0"/>
        <c:ser>
          <c:idx val="1"/>
          <c:order val="0"/>
          <c:tx>
            <c:strRef>
              <c:f>收支总计</c:f>
              <c:strCache>
                <c:ptCount val="1"/>
                <c:pt idx="0">
                  <c:v>收支总计</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{"2023","2024"}</c:f>
              <c:strCache>
                <c:ptCount val="2"/>
                <c:pt idx="0">
                  <c:v>2023</c:v>
                </c:pt>
                <c:pt idx="1">
                  <c:v>2024</c:v>
                </c:pt>
              </c:strCache>
            </c:strRef>
          </c:cat>
          <c:val>
            <c:numRef>
              <c:f>{1230.2,1273.89}</c:f>
              <c:numCache>
                <c:formatCode>General</c:formatCode>
                <c:ptCount val="2"/>
                <c:pt idx="0">
                  <c:v>1230.2</c:v>
                </c:pt>
                <c:pt idx="1">
                  <c:v>1273.89</c:v>
                </c:pt>
              </c:numCache>
            </c:numRef>
          </c:val>
        </c:ser>
        <c:dLbls>
          <c:showLegendKey val="0"/>
          <c:showVal val="1"/>
          <c:showCatName val="0"/>
          <c:showSerName val="0"/>
          <c:showPercent val="0"/>
          <c:showBubbleSize val="0"/>
        </c:dLbls>
        <c:gapWidth val="41"/>
        <c:axId val="261387392"/>
        <c:axId val="261388928"/>
      </c:barChart>
      <c:catAx>
        <c:axId val="261387392"/>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dk1">
                    <a:lumMod val="65000"/>
                    <a:lumOff val="35000"/>
                  </a:schemeClr>
                </a:solidFill>
                <a:effectLst/>
                <a:latin typeface="+mn-lt"/>
                <a:ea typeface="+mn-ea"/>
                <a:cs typeface="+mn-cs"/>
              </a:defRPr>
            </a:pPr>
          </a:p>
        </c:txPr>
        <c:crossAx val="261388928"/>
        <c:crosses val="autoZero"/>
        <c:auto val="1"/>
        <c:lblAlgn val="ctr"/>
        <c:lblOffset val="100"/>
        <c:noMultiLvlLbl val="0"/>
      </c:catAx>
      <c:valAx>
        <c:axId val="261388928"/>
        <c:scaling>
          <c:orientation val="minMax"/>
        </c:scaling>
        <c:delete val="1"/>
        <c:axPos val="l"/>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1387392"/>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56e6b1b-a5c7-4896-8b45-eb61aad265cb}"/>
      </c:ext>
    </c:extLst>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收入决算结构图</a:t>
            </a:r>
            <a:endParaRPr lang="en-US" sz="1100"/>
          </a:p>
        </c:rich>
      </c:tx>
      <c:layout/>
      <c:overlay val="0"/>
    </c:title>
    <c:autoTitleDeleted val="0"/>
    <c:plotArea>
      <c:layout/>
      <c:pieChart>
        <c:varyColors val="1"/>
        <c:ser>
          <c:idx val="1"/>
          <c:order val="0"/>
          <c:explosion val="0"/>
          <c:dPt>
            <c:idx val="0"/>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c:f>
              <c:strCache>
                <c:ptCount val="1"/>
                <c:pt idx="0">
                  <c:v>一般公共预算财政拨款收入</c:v>
                </c:pt>
              </c:strCache>
            </c:strRef>
          </c:cat>
          <c:val>
            <c:numRef>
              <c:f>{1273.89}</c:f>
              <c:numCache>
                <c:formatCode>General</c:formatCode>
                <c:ptCount val="1"/>
                <c:pt idx="0">
                  <c:v>1273.89</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extLst>
      <c:ext uri="{0b15fc19-7d7d-44ad-8c2d-2c3a37ce22c3}">
        <chartProps xmlns="https://web.wps.cn/et/2018/main" chartId="{e3effd8a-66c7-4ba0-80a2-8d63075e80f9}"/>
      </c:ext>
    </c:extLst>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支出决算结构图</a:t>
            </a:r>
            <a:endParaRPr lang="en-US" sz="1100"/>
          </a:p>
        </c:rich>
      </c:tx>
      <c:layout/>
      <c:overlay val="0"/>
    </c:title>
    <c:autoTitleDeleted val="0"/>
    <c:plotArea>
      <c:layout/>
      <c:pieChart>
        <c:varyColors val="1"/>
        <c:ser>
          <c:idx val="1"/>
          <c:order val="0"/>
          <c:explosion val="0"/>
          <c:dPt>
            <c:idx val="0"/>
            <c:bubble3D val="0"/>
          </c:dPt>
          <c:dPt>
            <c:idx val="1"/>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{"基本支出","项目支出"}</c:f>
              <c:strCache>
                <c:ptCount val="2"/>
                <c:pt idx="0">
                  <c:v>基本支出</c:v>
                </c:pt>
                <c:pt idx="1">
                  <c:v>项目支出</c:v>
                </c:pt>
              </c:strCache>
            </c:strRef>
          </c:cat>
          <c:val>
            <c:numRef>
              <c:f>{720.81,553.08}</c:f>
              <c:numCache>
                <c:formatCode>General</c:formatCode>
                <c:ptCount val="2"/>
                <c:pt idx="0">
                  <c:v>720.81</c:v>
                </c:pt>
                <c:pt idx="1">
                  <c:v>553.08</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extLst>
      <c:ext uri="{0b15fc19-7d7d-44ad-8c2d-2c3a37ce22c3}">
        <chartProps xmlns="https://web.wps.cn/et/2018/main" chartId="{f2932d16-61fe-4e19-9081-2d4f0a0a64c1}"/>
      </c:ext>
    </c:extLst>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2"/>
                </a:solidFill>
                <a:latin typeface="+mn-lt"/>
                <a:ea typeface="+mn-ea"/>
                <a:cs typeface="+mn-cs"/>
              </a:defRPr>
            </a:pPr>
            <a:r>
              <a:rPr lang="en-US" altLang="zh-CN"/>
              <a:t>财政拨款收、支决算总计变动情况</a:t>
            </a:r>
            <a:endParaRPr lang="en-US" altLang="zh-CN"/>
          </a:p>
        </c:rich>
      </c:tx>
      <c:layout/>
      <c:overlay val="0"/>
      <c:spPr>
        <a:noFill/>
        <a:ln>
          <a:noFill/>
        </a:ln>
        <a:effectLst/>
      </c:spPr>
    </c:title>
    <c:autoTitleDeleted val="0"/>
    <c:plotArea>
      <c:layout/>
      <c:barChart>
        <c:barDir val="col"/>
        <c:grouping val="clustered"/>
        <c:varyColors val="0"/>
        <c:ser>
          <c:idx val="1"/>
          <c:order val="0"/>
          <c:tx>
            <c:strRef>
              <c:f>收支总计</c:f>
              <c:strCache>
                <c:ptCount val="1"/>
                <c:pt idx="0">
                  <c:v>收支总计</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{"2023","2024"}</c:f>
              <c:strCache>
                <c:ptCount val="2"/>
                <c:pt idx="0">
                  <c:v>2023</c:v>
                </c:pt>
                <c:pt idx="1">
                  <c:v>2024</c:v>
                </c:pt>
              </c:strCache>
            </c:strRef>
          </c:cat>
          <c:val>
            <c:numRef>
              <c:f>{1230.2,1273.89}</c:f>
              <c:numCache>
                <c:formatCode>General</c:formatCode>
                <c:ptCount val="2"/>
                <c:pt idx="0">
                  <c:v>1230.2</c:v>
                </c:pt>
                <c:pt idx="1">
                  <c:v>1273.89</c:v>
                </c:pt>
              </c:numCache>
            </c:numRef>
          </c:val>
        </c:ser>
        <c:dLbls>
          <c:showLegendKey val="0"/>
          <c:showVal val="1"/>
          <c:showCatName val="0"/>
          <c:showSerName val="0"/>
          <c:showPercent val="0"/>
          <c:showBubbleSize val="0"/>
        </c:dLbls>
        <c:gapWidth val="100"/>
        <c:overlap val="-24"/>
        <c:axId val="263359104"/>
        <c:axId val="263373184"/>
      </c:barChart>
      <c:catAx>
        <c:axId val="263359104"/>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solidFill>
              <a:schemeClr val="tx2">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73184"/>
        <c:crosses val="autoZero"/>
        <c:auto val="1"/>
        <c:lblAlgn val="ctr"/>
        <c:lblOffset val="100"/>
        <c:noMultiLvlLbl val="0"/>
      </c:catAx>
      <c:valAx>
        <c:axId val="263373184"/>
        <c:scaling>
          <c:orientation val="minMax"/>
        </c:scaling>
        <c:delete val="0"/>
        <c:axPos val="l"/>
        <c:majorGridlines>
          <c:spPr>
            <a:ln w="9525" cap="flat" cmpd="sng" algn="ctr">
              <a:solidFill>
                <a:schemeClr val="tx2">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59104"/>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legend>
    <c:plotVisOnly val="1"/>
    <c:dispBlanksAs val="gap"/>
    <c:showDLblsOverMax val="0"/>
    <c:extLst>
      <c:ext uri="{0b15fc19-7d7d-44ad-8c2d-2c3a37ce22c3}">
        <chartProps xmlns="https://web.wps.cn/et/2018/main" chartId="{59487755-1466-4a80-ae4f-b996273c4387}"/>
      </c:ext>
    </c:extLst>
  </c:chart>
  <c:spPr>
    <a:solidFill>
      <a:schemeClr val="bg1"/>
    </a:solidFill>
    <a:ln w="9525" cap="flat" cmpd="sng" algn="ctr">
      <a:solidFill>
        <a:schemeClr val="tx2">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1">
                    <a:lumMod val="65000"/>
                    <a:lumOff val="35000"/>
                  </a:schemeClr>
                </a:solidFill>
                <a:latin typeface="+mn-lt"/>
                <a:ea typeface="+mn-ea"/>
                <a:cs typeface="+mn-cs"/>
              </a:defRPr>
            </a:pPr>
            <a:r>
              <a:rPr lang="zh-CN" altLang="en-US" sz="1200"/>
              <a:t>一般公共预算财政拨款支出</a:t>
            </a:r>
            <a:endParaRPr lang="zh-CN" altLang="en-US" sz="1200"/>
          </a:p>
        </c:rich>
      </c:tx>
      <c:layout/>
      <c:overlay val="0"/>
      <c:spPr>
        <a:noFill/>
        <a:ln>
          <a:noFill/>
        </a:ln>
        <a:effectLst/>
      </c:spPr>
    </c:title>
    <c:autoTitleDeleted val="0"/>
    <c:plotArea>
      <c:layout>
        <c:manualLayout>
          <c:layoutTarget val="inner"/>
          <c:xMode val="edge"/>
          <c:yMode val="edge"/>
          <c:x val="0.0736333103993069"/>
          <c:y val="0.199582873033408"/>
          <c:w val="0.767623678108199"/>
          <c:h val="0.708506514060342"/>
        </c:manualLayout>
      </c:layout>
      <c:barChart>
        <c:barDir val="col"/>
        <c:grouping val="clustered"/>
        <c:varyColors val="0"/>
        <c:ser>
          <c:idx val="1"/>
          <c:order val="0"/>
          <c:tx>
            <c:strRef>
              <c:f>2023</c:f>
              <c:strCache>
                <c:ptCount val="1"/>
                <c:pt idx="0">
                  <c:v>2023</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{1230.2}</c:f>
              <c:numCache>
                <c:formatCode>General</c:formatCode>
                <c:ptCount val="1"/>
                <c:pt idx="0">
                  <c:v>1230.2</c:v>
                </c:pt>
              </c:numCache>
            </c:numRef>
          </c:val>
        </c:ser>
        <c:ser>
          <c:idx val="2"/>
          <c:order val="1"/>
          <c:tx>
            <c:strRef>
              <c:f>2024</c:f>
              <c:strCache>
                <c:ptCount val="1"/>
                <c:pt idx="0">
                  <c:v>2024</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{1273.89}</c:f>
              <c:numCache>
                <c:formatCode>General</c:formatCode>
                <c:ptCount val="1"/>
                <c:pt idx="0">
                  <c:v>1273.89</c:v>
                </c:pt>
              </c:numCache>
            </c:numRef>
          </c:val>
        </c:ser>
        <c:dLbls>
          <c:showLegendKey val="0"/>
          <c:showVal val="1"/>
          <c:showCatName val="0"/>
          <c:showSerName val="0"/>
          <c:showPercent val="0"/>
          <c:showBubbleSize val="0"/>
        </c:dLbls>
        <c:gapWidth val="100"/>
        <c:overlap val="-24"/>
        <c:axId val="263440640"/>
        <c:axId val="263135232"/>
      </c:barChart>
      <c:catAx>
        <c:axId val="263440640"/>
        <c:scaling>
          <c:orientation val="minMax"/>
        </c:scaling>
        <c:delete val="1"/>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3135232"/>
        <c:crosses val="autoZero"/>
        <c:auto val="1"/>
        <c:lblAlgn val="ctr"/>
        <c:lblOffset val="100"/>
        <c:noMultiLvlLbl val="0"/>
      </c:catAx>
      <c:valAx>
        <c:axId val="263135232"/>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344064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6951291-93c5-49e5-9867-c8397a7c53dd}"/>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一般公共预算财政拨款支出</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Pt>
            <c:idx val="4"/>
            <c:bubble3D val="0"/>
          </c:dPt>
          <c:dPt>
            <c:idx val="5"/>
            <c:bubble3D val="0"/>
          </c:dPt>
          <c:dPt>
            <c:idx val="6"/>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{"一般公共服务支出","社会保障和就业支出","卫生健康支出","节能环保支出","农林水支出","交通运输支出","住房保障支出"}</c:f>
              <c:strCache>
                <c:ptCount val="7"/>
                <c:pt idx="0">
                  <c:v>一般公共服务支出</c:v>
                </c:pt>
                <c:pt idx="1">
                  <c:v>社会保障和就业支出</c:v>
                </c:pt>
                <c:pt idx="2">
                  <c:v>卫生健康支出</c:v>
                </c:pt>
                <c:pt idx="3">
                  <c:v>节能环保支出</c:v>
                </c:pt>
                <c:pt idx="4">
                  <c:v>农林水支出</c:v>
                </c:pt>
                <c:pt idx="5">
                  <c:v>交通运输支出</c:v>
                </c:pt>
                <c:pt idx="6">
                  <c:v>住房保障支出</c:v>
                </c:pt>
              </c:strCache>
            </c:strRef>
          </c:cat>
          <c:val>
            <c:numRef>
              <c:f>{324,101.74,40.16,2.78,448.53,299.65,57.04}</c:f>
              <c:numCache>
                <c:formatCode>General</c:formatCode>
                <c:ptCount val="7"/>
                <c:pt idx="0">
                  <c:v>324</c:v>
                </c:pt>
                <c:pt idx="1">
                  <c:v>101.74</c:v>
                </c:pt>
                <c:pt idx="2">
                  <c:v>40.16</c:v>
                </c:pt>
                <c:pt idx="3">
                  <c:v>2.78</c:v>
                </c:pt>
                <c:pt idx="4">
                  <c:v>448.53</c:v>
                </c:pt>
                <c:pt idx="5">
                  <c:v>299.65</c:v>
                </c:pt>
                <c:pt idx="6">
                  <c:v>57.04</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520552e2-769c-4caa-9419-c8327308f8d9}"/>
      </c:ext>
    </c:extLst>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三公经费</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{0,4.84,0}</c:f>
              <c:numCache>
                <c:formatCode>General</c:formatCode>
                <c:ptCount val="3"/>
                <c:pt idx="0">
                  <c:v>0</c:v>
                </c:pt>
                <c:pt idx="1">
                  <c:v>4.84</c:v>
                </c:pt>
                <c:pt idx="2">
                  <c:v>0</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25c7f3fb-64f9-4c45-9ac8-a841c7b3b897}"/>
      </c:ext>
    </c:extLst>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4FC5A5-8DE4-4565-B639-6D345C1D7E6D}">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34</Pages>
  <Words>11665</Words>
  <Characters>12623</Characters>
  <Lines>48</Lines>
  <Paragraphs>13</Paragraphs>
  <TotalTime>0</TotalTime>
  <ScaleCrop>false</ScaleCrop>
  <LinksUpToDate>false</LinksUpToDate>
  <CharactersWithSpaces>12849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2023-08-18T07:28:00Z</dcterms:created>
  <dc:creator>pjf</dc:creator>
  <cp:lastModifiedBy>！！！！！！</cp:lastModifiedBy>
  <cp:lastPrinted>2021-09-26T08:39:00Z</cp:lastPrinted>
  <dcterms:modified xsi:type="dcterms:W3CDTF">2025-08-28T08:15:13Z</dcterms:modified>
  <dc:title>四川省决算编制说明</dc:title>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900157963DC347278B4E83DAE2C3F1F6_13</vt:lpwstr>
  </property>
  <property fmtid="{D5CDD505-2E9C-101B-9397-08002B2CF9AE}" pid="4" name="KSOTemplateDocerSaveRecord">
    <vt:lpwstr>eyJoZGlkIjoiNjFiYzUwY2QwZjNiY2Q3NTllZDlhNzUxNDEwOGI1ODIiLCJ1c2VySWQiOiIzNDExNjQxNjEifQ==</vt:lpwstr>
  </property>
</Properties>
</file>