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CB07B1">
      <w:pPr>
        <w:widowControl/>
        <w:spacing w:line="560" w:lineRule="exact"/>
        <w:ind w:firstLine="60"/>
        <w:jc w:val="center"/>
        <w:rPr>
          <w:rFonts w:ascii="Times New Roman" w:hAnsi="Times New Roman" w:eastAsia="方正小标宋_GBK" w:cs="Times New Roman"/>
          <w:color w:val="333333"/>
          <w:kern w:val="0"/>
          <w:sz w:val="44"/>
          <w:szCs w:val="44"/>
          <w:lang w:val="en-US" w:eastAsia="zh-CN" w:bidi="ar-SA"/>
        </w:rPr>
      </w:pPr>
      <w:bookmarkStart w:id="0" w:name="_GoBack"/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金川县2025年</w:t>
      </w:r>
      <w:r>
        <w:rPr>
          <w:rFonts w:hint="eastAsia" w:ascii="Times New Roman" w:hAnsi="Times New Roman" w:eastAsia="方正小标宋_GBK" w:cs="Times New Roman"/>
          <w:color w:val="333333"/>
          <w:kern w:val="0"/>
          <w:sz w:val="44"/>
          <w:szCs w:val="44"/>
          <w:lang w:val="en-US" w:eastAsia="zh-CN" w:bidi="ar-SA"/>
        </w:rPr>
        <w:t>河东乡人民政府</w:t>
      </w:r>
    </w:p>
    <w:p w14:paraId="37AC5B34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46073AAA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5D010C9A">
      <w:pPr>
        <w:pStyle w:val="2"/>
        <w:jc w:val="left"/>
      </w:pPr>
    </w:p>
    <w:p w14:paraId="6C0DA373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2025年，我单位部门预算814.48万元 ，均严格按绩效管理要求实现项目绩效目标管理，其中重点项目预算0个，现将情况说明如下：</w:t>
      </w:r>
    </w:p>
    <w:p w14:paraId="6403C5C6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06501C6E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完成了2025年本级部门预算整体绩效目标申报和0个项目预算绩效目标申报，并编报0个项目预算事前绩效评估报告。</w:t>
      </w:r>
    </w:p>
    <w:p w14:paraId="07C63A7E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7EBFFC45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在县委、县政府和乡党委的坚强领导下，乡人民政府坚持以习近平新时代中国特色社会主义思想为指导，认真贯彻落实中央大政方针和省委、州委、县委重大决策部署，坚持科学发展、高质量发展理念，积极应对脱贫攻坚、抢险救灾等复杂严峻的发展形势，统筹推进经济建设、政治建设、文化建设、社会建设和生态文明建设，全面压实主体责任、转变干部作风、细化工作措施，全乡呈现出经济持续稳定发展、民生持续改善、社会和谐稳定、干群奋发有为的良好局面。    </w:t>
      </w:r>
    </w:p>
    <w:p w14:paraId="146B8441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 w14:paraId="049E156B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 w14:paraId="57DB0D2B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三是坚定贯彻总体国家安全观，旗帜鲜明开展反分维稳斗争，扫黑除恶专项斗争强力推进，天网、雪亮工程拓展延伸，平安防线牢不可破。</w:t>
      </w:r>
    </w:p>
    <w:p w14:paraId="1B53A9D9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518D94B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重点项目1：河东乡人民政府办公室日常公用经费</w:t>
      </w:r>
    </w:p>
    <w:p w14:paraId="7E1E313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13692F1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7A98E46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重点项目2：基层组织活动和公共服务运行经费</w:t>
      </w:r>
    </w:p>
    <w:p w14:paraId="0799E078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根据《四川省财政厅关于印发《四川省基层组织活动和公共服务运行维护费使用管理办法》的通知》的要求，村级经费补助分配基层活动和运行经费（阿坝州、甘孜州、凉山木里县）平均每村不低于11万元/年、社区不低于6万元/年。现申请我乡3个村的公务运行维护费7万元/年/村，共计21万元；党建费2万元/年/村，共计6万元；办公费2万元/年/村，共计6万元。2024年每年每村增加4万元，以上合计45万元（大写：肆拾伍万元整）。</w:t>
      </w:r>
    </w:p>
    <w:p w14:paraId="0EFD455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 w14:paraId="4D18FC3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重点项目3：河东乡党委办公室日常公用经费</w:t>
      </w:r>
    </w:p>
    <w:p w14:paraId="777E350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3257876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074FFD0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重点项目4：河东乡人大常委会办公室日常公用经费</w:t>
      </w:r>
    </w:p>
    <w:p w14:paraId="125770F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5DB66D0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61D01B8D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重点项目5：河东乡综合服务中心日常公用经费</w:t>
      </w:r>
    </w:p>
    <w:p w14:paraId="46C1E89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0284137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bookmarkEnd w:id="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NjNmYjBmMmI4YzQ4M2Q2MDRmOWU4YmEzNzUxOTYyMTkifQ=="/>
  </w:docVars>
  <w:rsids>
    <w:rsidRoot w:val="00000000"/>
    <w:rsid w:val="7E6370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1224</Words>
  <Characters>1244</Characters>
  <Lines>62</Lines>
  <Paragraphs>27</Paragraphs>
  <TotalTime>13</TotalTime>
  <ScaleCrop>false</ScaleCrop>
  <LinksUpToDate>false</LinksUpToDate>
  <CharactersWithSpaces>1249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2025-03-04T04:42:46Z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E5EC48C25E77463894A55E992294F486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