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Times New Roman" w:hAnsi="Times New Roman" w:eastAsia="方正小标宋简体" w:cs="Times New Roman"/>
          <w:sz w:val="72"/>
          <w:szCs w:val="72"/>
        </w:rPr>
      </w:pPr>
      <w:bookmarkStart w:id="0" w:name="_Toc15377193"/>
      <w:bookmarkStart w:id="1" w:name="_Toc15378441"/>
      <w:bookmarkStart w:id="2" w:name="_Toc15396597"/>
      <w:bookmarkStart w:id="3" w:name="_Toc15396475"/>
      <w:bookmarkStart w:id="4" w:name="_Toc15377425"/>
      <w:bookmarkStart w:id="5" w:name="_Toc15306267"/>
    </w:p>
    <w:p>
      <w:pPr>
        <w:spacing w:line="600" w:lineRule="exact"/>
        <w:jc w:val="center"/>
        <w:outlineLvl w:val="0"/>
        <w:rPr>
          <w:rFonts w:ascii="Times New Roman" w:hAnsi="Times New Roman" w:eastAsia="方正小标宋简体" w:cs="Times New Roman"/>
          <w:sz w:val="72"/>
          <w:szCs w:val="72"/>
        </w:rPr>
      </w:pPr>
    </w:p>
    <w:p>
      <w:pPr>
        <w:spacing w:line="600" w:lineRule="exact"/>
        <w:jc w:val="center"/>
        <w:outlineLvl w:val="0"/>
        <w:rPr>
          <w:rFonts w:ascii="Times New Roman" w:hAnsi="Times New Roman" w:eastAsia="方正小标宋简体" w:cs="Times New Roman"/>
          <w:sz w:val="72"/>
          <w:szCs w:val="72"/>
        </w:rPr>
      </w:pPr>
    </w:p>
    <w:p>
      <w:pPr>
        <w:spacing w:line="600" w:lineRule="exact"/>
        <w:jc w:val="center"/>
        <w:outlineLvl w:val="0"/>
        <w:rPr>
          <w:rFonts w:ascii="Times New Roman" w:hAnsi="Times New Roman" w:eastAsia="方正小标宋简体" w:cs="Times New Roman"/>
          <w:sz w:val="72"/>
          <w:szCs w:val="72"/>
        </w:rPr>
      </w:pPr>
    </w:p>
    <w:p>
      <w:pPr>
        <w:adjustRightInd w:val="0"/>
        <w:snapToGrid w:val="0"/>
        <w:spacing w:line="360" w:lineRule="auto"/>
        <w:jc w:val="center"/>
        <w:outlineLvl w:val="0"/>
        <w:rPr>
          <w:rFonts w:ascii="Times New Roman" w:hAnsi="Times New Roman" w:eastAsia="方正小标宋简体" w:cs="Times New Roman"/>
          <w:sz w:val="72"/>
          <w:szCs w:val="72"/>
        </w:rPr>
      </w:pPr>
      <w:bookmarkStart w:id="6" w:name="_Toc26843601"/>
      <w:r>
        <w:rPr>
          <w:rFonts w:hint="eastAsia" w:eastAsia="方正小标宋简体" w:cs="Times New Roman"/>
          <w:sz w:val="72"/>
          <w:szCs w:val="72"/>
          <w:lang w:eastAsia="zh-CN"/>
        </w:rPr>
        <w:t>2022</w:t>
      </w:r>
      <w:r>
        <w:rPr>
          <w:rFonts w:ascii="Times New Roman" w:hAnsi="Times New Roman" w:eastAsia="方正小标宋简体" w:cs="Times New Roman"/>
          <w:sz w:val="72"/>
          <w:szCs w:val="72"/>
        </w:rPr>
        <w:t>年度</w:t>
      </w:r>
      <w:bookmarkEnd w:id="0"/>
      <w:bookmarkEnd w:id="1"/>
      <w:bookmarkEnd w:id="2"/>
      <w:bookmarkEnd w:id="3"/>
      <w:bookmarkEnd w:id="4"/>
      <w:bookmarkEnd w:id="6"/>
    </w:p>
    <w:bookmarkEnd w:id="5"/>
    <w:p>
      <w:pPr>
        <w:adjustRightInd w:val="0"/>
        <w:snapToGrid w:val="0"/>
        <w:spacing w:line="360" w:lineRule="auto"/>
        <w:jc w:val="center"/>
        <w:outlineLvl w:val="0"/>
        <w:rPr>
          <w:rFonts w:hint="eastAsia" w:eastAsia="方正小标宋简体" w:cs="Times New Roman"/>
          <w:sz w:val="72"/>
          <w:szCs w:val="72"/>
          <w:lang w:val="en-US" w:eastAsia="zh-CN"/>
        </w:rPr>
      </w:pPr>
      <w:bookmarkStart w:id="7" w:name="_Toc15377194"/>
      <w:bookmarkStart w:id="8" w:name="_Toc15396598"/>
      <w:bookmarkStart w:id="9" w:name="_Toc26843603"/>
      <w:bookmarkStart w:id="10" w:name="_Toc15378442"/>
      <w:bookmarkStart w:id="11" w:name="_Toc15377426"/>
      <w:bookmarkStart w:id="12" w:name="_Toc15306268"/>
      <w:bookmarkStart w:id="13" w:name="_Toc15396476"/>
      <w:r>
        <w:rPr>
          <w:rFonts w:hint="eastAsia" w:eastAsia="方正小标宋简体" w:cs="Times New Roman"/>
          <w:sz w:val="72"/>
          <w:szCs w:val="72"/>
          <w:lang w:val="en-US" w:eastAsia="zh-CN"/>
        </w:rPr>
        <w:t>金川县河东乡</w:t>
      </w:r>
    </w:p>
    <w:p>
      <w:pPr>
        <w:adjustRightInd w:val="0"/>
        <w:snapToGrid w:val="0"/>
        <w:spacing w:line="360" w:lineRule="auto"/>
        <w:jc w:val="center"/>
        <w:outlineLvl w:val="0"/>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部门决算</w:t>
      </w:r>
      <w:bookmarkEnd w:id="7"/>
      <w:bookmarkEnd w:id="8"/>
      <w:bookmarkEnd w:id="9"/>
      <w:bookmarkEnd w:id="10"/>
      <w:bookmarkEnd w:id="11"/>
      <w:bookmarkEnd w:id="12"/>
      <w:bookmarkEnd w:id="13"/>
    </w:p>
    <w:p>
      <w:pPr>
        <w:pStyle w:val="2"/>
        <w:spacing w:before="93" w:beforeLines="0"/>
        <w:rPr>
          <w:rFonts w:ascii="Times New Roman" w:hAnsi="Times New Roman" w:eastAsia="方正小标宋简体" w:cs="Times New Roman"/>
          <w:sz w:val="52"/>
          <w:szCs w:val="52"/>
        </w:rPr>
      </w:pPr>
    </w:p>
    <w:p>
      <w:pPr>
        <w:pStyle w:val="2"/>
        <w:spacing w:before="93" w:beforeLines="0"/>
        <w:rPr>
          <w:rFonts w:ascii="Times New Roman" w:hAnsi="Times New Roman" w:cs="Times New Roman"/>
        </w:rPr>
      </w:pPr>
    </w:p>
    <w:p>
      <w:pPr>
        <w:pStyle w:val="2"/>
        <w:spacing w:before="93" w:beforeLines="0"/>
        <w:rPr>
          <w:rFonts w:ascii="Times New Roman" w:hAnsi="Times New Roman" w:cs="Times New Roman"/>
        </w:rPr>
      </w:pPr>
    </w:p>
    <w:p>
      <w:pPr>
        <w:pStyle w:val="2"/>
        <w:spacing w:before="93" w:beforeLines="0"/>
        <w:rPr>
          <w:rFonts w:ascii="Times New Roman" w:hAnsi="Times New Roman" w:cs="Times New Roman"/>
        </w:rPr>
      </w:pPr>
    </w:p>
    <w:p>
      <w:pPr>
        <w:pStyle w:val="2"/>
        <w:spacing w:before="93" w:beforeLines="0"/>
        <w:rPr>
          <w:rFonts w:ascii="Times New Roman" w:hAnsi="Times New Roman" w:cs="Times New Roman"/>
        </w:rPr>
      </w:pPr>
    </w:p>
    <w:p>
      <w:pPr>
        <w:pStyle w:val="2"/>
        <w:spacing w:before="93" w:beforeLines="0"/>
        <w:rPr>
          <w:rFonts w:ascii="Times New Roman" w:hAnsi="Times New Roman" w:cs="Times New Roman"/>
        </w:rPr>
      </w:pPr>
    </w:p>
    <w:p>
      <w:pPr>
        <w:pStyle w:val="2"/>
        <w:spacing w:before="93" w:beforeLines="0"/>
        <w:rPr>
          <w:rFonts w:ascii="Times New Roman" w:hAnsi="Times New Roman" w:cs="Times New Roman"/>
        </w:rPr>
      </w:pPr>
    </w:p>
    <w:p>
      <w:pPr>
        <w:widowControl/>
        <w:jc w:val="center"/>
        <w:rPr>
          <w:rFonts w:ascii="Times New Roman" w:hAnsi="Times New Roman" w:eastAsia="方正小标宋简体" w:cs="Times New Roman"/>
          <w:sz w:val="36"/>
          <w:szCs w:val="36"/>
        </w:rPr>
      </w:pPr>
    </w:p>
    <w:p>
      <w:pPr>
        <w:widowControl/>
        <w:jc w:val="center"/>
        <w:rPr>
          <w:rFonts w:ascii="Times New Roman" w:hAnsi="Times New Roman" w:eastAsia="黑体" w:cs="Times New Roman"/>
          <w:sz w:val="48"/>
          <w:szCs w:val="48"/>
        </w:rPr>
      </w:pPr>
      <w:r>
        <w:rPr>
          <w:rFonts w:ascii="Times New Roman" w:hAnsi="Times New Roman" w:eastAsia="方正小标宋简体" w:cs="Times New Roman"/>
          <w:sz w:val="36"/>
          <w:szCs w:val="36"/>
        </w:rPr>
        <w:br w:type="page"/>
      </w:r>
      <w:r>
        <w:rPr>
          <w:rFonts w:ascii="Times New Roman" w:hAnsi="Times New Roman" w:eastAsia="黑体" w:cs="Times New Roman"/>
          <w:sz w:val="48"/>
          <w:szCs w:val="48"/>
        </w:rPr>
        <w:t>目录</w:t>
      </w:r>
    </w:p>
    <w:p>
      <w:pPr>
        <w:widowControl/>
        <w:jc w:val="center"/>
        <w:rPr>
          <w:rFonts w:ascii="Times New Roman" w:hAnsi="Times New Roman" w:eastAsia="黑体" w:cs="Times New Roman"/>
          <w:sz w:val="28"/>
          <w:szCs w:val="28"/>
        </w:rPr>
      </w:pPr>
    </w:p>
    <w:p>
      <w:pPr>
        <w:pStyle w:val="1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TOC \o "1-2" \h \u </w:instrText>
      </w:r>
      <w:r>
        <w:rPr>
          <w:rFonts w:ascii="Times New Roman" w:hAnsi="Times New Roman" w:cs="Times New Roman"/>
        </w:rPr>
        <w:fldChar w:fldCharType="separate"/>
      </w:r>
      <w:r>
        <w:rPr>
          <w:rFonts w:ascii="Times New Roman" w:hAnsi="Times New Roman" w:eastAsia="仿宋" w:cs="Times New Roman"/>
          <w:sz w:val="24"/>
          <w:szCs w:val="28"/>
        </w:rPr>
        <w:fldChar w:fldCharType="begin"/>
      </w:r>
      <w:r>
        <w:rPr>
          <w:rFonts w:ascii="Times New Roman" w:hAnsi="Times New Roman" w:eastAsia="仿宋" w:cs="Times New Roman"/>
          <w:sz w:val="24"/>
          <w:szCs w:val="28"/>
        </w:rPr>
        <w:instrText xml:space="preserve">Hyperlink \l "_Toc26843604"</w:instrText>
      </w:r>
      <w:r>
        <w:rPr>
          <w:rFonts w:ascii="Times New Roman" w:hAnsi="Times New Roman" w:eastAsia="仿宋" w:cs="Times New Roman"/>
          <w:sz w:val="24"/>
          <w:szCs w:val="28"/>
        </w:rPr>
        <w:fldChar w:fldCharType="separate"/>
      </w:r>
      <w:r>
        <w:rPr>
          <w:rFonts w:ascii="Times New Roman" w:hAnsi="Times New Roman" w:eastAsia="仿宋" w:cs="Times New Roman"/>
          <w:sz w:val="24"/>
          <w:szCs w:val="28"/>
        </w:rPr>
        <w:t xml:space="preserve">第一部分 </w:t>
      </w:r>
      <w:r>
        <w:rPr>
          <w:rFonts w:ascii="Times New Roman" w:hAnsi="Times New Roman" w:eastAsia="仿宋" w:cs="Times New Roman"/>
          <w:bCs/>
          <w:sz w:val="24"/>
          <w:szCs w:val="28"/>
          <w:lang w:val="en-US" w:eastAsia="zh-CN" w:bidi="ar-SA"/>
        </w:rPr>
        <w:t>部门概况</w:t>
      </w:r>
      <w:r>
        <w:rPr>
          <w:rFonts w:ascii="Times New Roman" w:hAnsi="Times New Roman" w:eastAsia="仿宋" w:cs="Times New Roman"/>
          <w:sz w:val="24"/>
          <w:szCs w:val="28"/>
        </w:rPr>
        <w:tab/>
      </w:r>
      <w:r>
        <w:rPr>
          <w:rFonts w:ascii="Times New Roman" w:hAnsi="Times New Roman" w:eastAsia="仿宋" w:cs="Times New Roman"/>
          <w:sz w:val="24"/>
          <w:szCs w:val="28"/>
        </w:rPr>
        <w:fldChar w:fldCharType="begin"/>
      </w:r>
      <w:r>
        <w:rPr>
          <w:rFonts w:ascii="Times New Roman" w:hAnsi="Times New Roman" w:eastAsia="仿宋" w:cs="Times New Roman"/>
          <w:sz w:val="24"/>
          <w:szCs w:val="28"/>
        </w:rPr>
        <w:instrText xml:space="preserve">PageRef _Toc26843604 \h</w:instrText>
      </w:r>
      <w:r>
        <w:rPr>
          <w:rFonts w:ascii="Times New Roman" w:hAnsi="Times New Roman" w:eastAsia="仿宋" w:cs="Times New Roman"/>
          <w:sz w:val="24"/>
          <w:szCs w:val="28"/>
        </w:rPr>
        <w:fldChar w:fldCharType="separate"/>
      </w:r>
      <w:r>
        <w:rPr>
          <w:rFonts w:ascii="Times New Roman" w:hAnsi="Times New Roman" w:eastAsia="仿宋" w:cs="Times New Roman"/>
          <w:sz w:val="24"/>
          <w:szCs w:val="28"/>
        </w:rPr>
        <w:t>4</w:t>
      </w:r>
      <w:r>
        <w:rPr>
          <w:rFonts w:ascii="Times New Roman" w:hAnsi="Times New Roman" w:eastAsia="仿宋" w:cs="Times New Roman"/>
          <w:sz w:val="24"/>
          <w:szCs w:val="28"/>
        </w:rPr>
        <w:fldChar w:fldCharType="end"/>
      </w:r>
      <w:r>
        <w:rPr>
          <w:rFonts w:ascii="Times New Roman" w:hAnsi="Times New Roman" w:eastAsia="仿宋" w:cs="Times New Roman"/>
          <w:sz w:val="24"/>
          <w:szCs w:val="28"/>
        </w:rPr>
        <w:fldChar w:fldCharType="end"/>
      </w:r>
    </w:p>
    <w:p>
      <w:pPr>
        <w:pStyle w:val="12"/>
        <w:adjustRightInd w:val="0"/>
        <w:snapToGrid w:val="0"/>
        <w:spacing w:line="440" w:lineRule="exact"/>
        <w:jc w:val="lef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"_Toc26843605"</w:instrText>
      </w:r>
      <w:r>
        <w:rPr>
          <w:rFonts w:ascii="Times New Roman" w:hAnsi="Times New Roman" w:cs="Times New Roman"/>
          <w:sz w:val="24"/>
        </w:rPr>
        <w:fldChar w:fldCharType="separate"/>
      </w:r>
      <w:r>
        <w:rPr>
          <w:rFonts w:ascii="Times New Roman" w:hAnsi="Times New Roman" w:cs="Times New Roman"/>
          <w:sz w:val="24"/>
        </w:rPr>
        <w:t>一、基</w:t>
      </w:r>
      <w:r>
        <w:rPr>
          <w:rFonts w:ascii="Times New Roman" w:hAnsi="Times New Roman" w:cs="Times New Roman"/>
          <w:bCs/>
          <w:sz w:val="24"/>
          <w:lang w:val="en-US" w:eastAsia="zh-CN" w:bidi="ar-SA"/>
        </w:rPr>
        <w:t>本职能及主要工作</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PageRef _Toc26843605 \h</w:instrText>
      </w:r>
      <w:r>
        <w:rPr>
          <w:rFonts w:ascii="Times New Roman" w:hAnsi="Times New Roman" w:cs="Times New Roman"/>
          <w:sz w:val="24"/>
        </w:rPr>
        <w:fldChar w:fldCharType="separate"/>
      </w:r>
      <w:r>
        <w:rPr>
          <w:rFonts w:ascii="Times New Roman" w:hAnsi="Times New Roman" w:cs="Times New Roman"/>
          <w:sz w:val="24"/>
        </w:rPr>
        <w:t>4</w:t>
      </w:r>
      <w:r>
        <w:rPr>
          <w:rFonts w:ascii="Times New Roman" w:hAnsi="Times New Roman" w:cs="Times New Roman"/>
          <w:sz w:val="24"/>
        </w:rPr>
        <w:fldChar w:fldCharType="end"/>
      </w:r>
      <w:r>
        <w:rPr>
          <w:rFonts w:ascii="Times New Roman" w:hAnsi="Times New Roman" w:cs="Times New Roman"/>
          <w:sz w:val="24"/>
        </w:rPr>
        <w:fldChar w:fldCharType="end"/>
      </w:r>
    </w:p>
    <w:p>
      <w:pPr>
        <w:pStyle w:val="12"/>
        <w:adjustRightInd w:val="0"/>
        <w:snapToGrid w:val="0"/>
        <w:spacing w:line="440" w:lineRule="exact"/>
        <w:jc w:val="lef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"_Toc26843606"</w:instrText>
      </w:r>
      <w:r>
        <w:rPr>
          <w:rFonts w:ascii="Times New Roman" w:hAnsi="Times New Roman" w:cs="Times New Roman"/>
          <w:sz w:val="24"/>
        </w:rPr>
        <w:fldChar w:fldCharType="separate"/>
      </w:r>
      <w:r>
        <w:rPr>
          <w:rFonts w:ascii="Times New Roman" w:hAnsi="Times New Roman" w:cs="Times New Roman"/>
          <w:sz w:val="24"/>
        </w:rPr>
        <w:t>二、机</w:t>
      </w:r>
      <w:r>
        <w:rPr>
          <w:rFonts w:ascii="Times New Roman" w:hAnsi="Times New Roman" w:cs="Times New Roman"/>
          <w:bCs/>
          <w:sz w:val="24"/>
          <w:lang w:val="en-US" w:eastAsia="zh-CN" w:bidi="ar-SA"/>
        </w:rPr>
        <w:t>构设置</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PageRef _Toc26843606 \h</w:instrText>
      </w:r>
      <w:r>
        <w:rPr>
          <w:rFonts w:ascii="Times New Roman" w:hAnsi="Times New Roman" w:cs="Times New Roman"/>
          <w:sz w:val="24"/>
        </w:rPr>
        <w:fldChar w:fldCharType="separate"/>
      </w:r>
      <w:r>
        <w:rPr>
          <w:rFonts w:ascii="Times New Roman" w:hAnsi="Times New Roman" w:cs="Times New Roman"/>
          <w:sz w:val="24"/>
        </w:rPr>
        <w:t>7</w:t>
      </w:r>
      <w:r>
        <w:rPr>
          <w:rFonts w:ascii="Times New Roman" w:hAnsi="Times New Roman" w:cs="Times New Roman"/>
          <w:sz w:val="24"/>
        </w:rPr>
        <w:fldChar w:fldCharType="end"/>
      </w:r>
      <w:r>
        <w:rPr>
          <w:rFonts w:ascii="Times New Roman" w:hAnsi="Times New Roman" w:cs="Times New Roman"/>
          <w:sz w:val="24"/>
        </w:rPr>
        <w:fldChar w:fldCharType="end"/>
      </w:r>
    </w:p>
    <w:p>
      <w:pPr>
        <w:pStyle w:val="10"/>
        <w:adjustRightInd w:val="0"/>
        <w:snapToGrid w:val="0"/>
        <w:spacing w:before="0" w:line="440" w:lineRule="exact"/>
        <w:jc w:val="lef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"_Toc26843607"</w:instrText>
      </w:r>
      <w:r>
        <w:rPr>
          <w:rFonts w:ascii="Times New Roman" w:hAnsi="Times New Roman" w:cs="Times New Roman"/>
          <w:sz w:val="24"/>
        </w:rPr>
        <w:fldChar w:fldCharType="separate"/>
      </w:r>
      <w:r>
        <w:rPr>
          <w:rFonts w:ascii="Times New Roman" w:hAnsi="Times New Roman" w:cs="Times New Roman"/>
          <w:sz w:val="24"/>
        </w:rPr>
        <w:t xml:space="preserve">第二部分 </w:t>
      </w:r>
      <w:r>
        <w:rPr>
          <w:rFonts w:hint="eastAsia" w:ascii="Times New Roman" w:cs="Times New Roman"/>
          <w:sz w:val="24"/>
          <w:lang w:eastAsia="zh-CN"/>
        </w:rPr>
        <w:t>2022</w:t>
      </w:r>
      <w:r>
        <w:rPr>
          <w:rFonts w:ascii="Times New Roman" w:hAnsi="Times New Roman" w:cs="Times New Roman"/>
          <w:sz w:val="24"/>
        </w:rPr>
        <w:t>年度</w:t>
      </w:r>
      <w:r>
        <w:rPr>
          <w:rFonts w:ascii="Times New Roman" w:hAnsi="Times New Roman" w:eastAsia="仿宋" w:cs="Times New Roman"/>
          <w:bCs/>
          <w:sz w:val="24"/>
          <w:szCs w:val="28"/>
          <w:lang w:val="en-US" w:eastAsia="zh-CN" w:bidi="ar-SA"/>
        </w:rPr>
        <w:t>部门决算情况说明</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PageRef _Toc26843607 \h</w:instrText>
      </w:r>
      <w:r>
        <w:rPr>
          <w:rFonts w:ascii="Times New Roman" w:hAnsi="Times New Roman" w:cs="Times New Roman"/>
          <w:sz w:val="24"/>
        </w:rPr>
        <w:fldChar w:fldCharType="separate"/>
      </w:r>
      <w:r>
        <w:rPr>
          <w:rFonts w:ascii="Times New Roman" w:hAnsi="Times New Roman" w:cs="Times New Roman"/>
          <w:sz w:val="24"/>
        </w:rPr>
        <w:t>8</w:t>
      </w:r>
      <w:r>
        <w:rPr>
          <w:rFonts w:ascii="Times New Roman" w:hAnsi="Times New Roman" w:cs="Times New Roman"/>
          <w:sz w:val="24"/>
        </w:rPr>
        <w:fldChar w:fldCharType="end"/>
      </w:r>
      <w:r>
        <w:rPr>
          <w:rFonts w:ascii="Times New Roman" w:hAnsi="Times New Roman" w:cs="Times New Roman"/>
          <w:sz w:val="24"/>
        </w:rPr>
        <w:fldChar w:fldCharType="end"/>
      </w:r>
    </w:p>
    <w:p>
      <w:pPr>
        <w:pStyle w:val="12"/>
        <w:adjustRightInd w:val="0"/>
        <w:snapToGrid w:val="0"/>
        <w:spacing w:line="440" w:lineRule="exact"/>
        <w:jc w:val="lef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"_Toc26843608"</w:instrText>
      </w:r>
      <w:r>
        <w:rPr>
          <w:rFonts w:ascii="Times New Roman" w:hAnsi="Times New Roman" w:cs="Times New Roman"/>
          <w:sz w:val="24"/>
        </w:rPr>
        <w:fldChar w:fldCharType="separate"/>
      </w:r>
      <w:r>
        <w:rPr>
          <w:rFonts w:ascii="Times New Roman" w:hAnsi="Times New Roman" w:cs="Times New Roman"/>
          <w:bCs/>
          <w:sz w:val="24"/>
          <w:lang w:val="en-US" w:eastAsia="zh-CN" w:bidi="ar-SA"/>
        </w:rPr>
        <w:t>一、</w:t>
      </w:r>
      <w:r>
        <w:rPr>
          <w:rFonts w:ascii="Times New Roman" w:hAnsi="Times New Roman" w:cs="Times New Roman"/>
          <w:sz w:val="24"/>
        </w:rPr>
        <w:t xml:space="preserve">  收</w:t>
      </w:r>
      <w:r>
        <w:rPr>
          <w:rFonts w:ascii="Times New Roman" w:hAnsi="Times New Roman" w:cs="Times New Roman"/>
          <w:bCs/>
          <w:sz w:val="24"/>
          <w:lang w:val="en-US" w:eastAsia="zh-CN" w:bidi="ar-SA"/>
        </w:rPr>
        <w:t>入支出决算总体情况说明</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PageRef _Toc26843608 \h</w:instrText>
      </w:r>
      <w:r>
        <w:rPr>
          <w:rFonts w:ascii="Times New Roman" w:hAnsi="Times New Roman" w:cs="Times New Roman"/>
          <w:sz w:val="24"/>
        </w:rPr>
        <w:fldChar w:fldCharType="separate"/>
      </w:r>
      <w:r>
        <w:rPr>
          <w:rFonts w:ascii="Times New Roman" w:hAnsi="Times New Roman" w:cs="Times New Roman"/>
          <w:sz w:val="24"/>
        </w:rPr>
        <w:t>8</w:t>
      </w:r>
      <w:r>
        <w:rPr>
          <w:rFonts w:ascii="Times New Roman" w:hAnsi="Times New Roman" w:cs="Times New Roman"/>
          <w:sz w:val="24"/>
        </w:rPr>
        <w:fldChar w:fldCharType="end"/>
      </w:r>
      <w:r>
        <w:rPr>
          <w:rFonts w:ascii="Times New Roman" w:hAnsi="Times New Roman" w:cs="Times New Roman"/>
          <w:sz w:val="24"/>
        </w:rPr>
        <w:fldChar w:fldCharType="end"/>
      </w:r>
    </w:p>
    <w:p>
      <w:pPr>
        <w:pStyle w:val="12"/>
        <w:adjustRightInd w:val="0"/>
        <w:snapToGrid w:val="0"/>
        <w:spacing w:line="440" w:lineRule="exact"/>
        <w:jc w:val="lef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"_Toc26843609"</w:instrText>
      </w:r>
      <w:r>
        <w:rPr>
          <w:rFonts w:ascii="Times New Roman" w:hAnsi="Times New Roman" w:cs="Times New Roman"/>
          <w:sz w:val="24"/>
        </w:rPr>
        <w:fldChar w:fldCharType="separate"/>
      </w:r>
      <w:r>
        <w:rPr>
          <w:rFonts w:ascii="Times New Roman" w:hAnsi="Times New Roman" w:cs="Times New Roman"/>
          <w:bCs/>
          <w:sz w:val="24"/>
          <w:lang w:val="en-US" w:eastAsia="zh-CN" w:bidi="ar-SA"/>
        </w:rPr>
        <w:t>二、</w:t>
      </w:r>
      <w:r>
        <w:rPr>
          <w:rFonts w:ascii="Times New Roman" w:hAnsi="Times New Roman" w:cs="Times New Roman"/>
          <w:sz w:val="24"/>
        </w:rPr>
        <w:t xml:space="preserve">  收</w:t>
      </w:r>
      <w:r>
        <w:rPr>
          <w:rFonts w:ascii="Times New Roman" w:hAnsi="Times New Roman" w:cs="Times New Roman"/>
          <w:bCs/>
          <w:sz w:val="24"/>
          <w:lang w:val="en-US" w:eastAsia="zh-CN" w:bidi="ar-SA"/>
        </w:rPr>
        <w:t>入决算情况说明</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PageRef _Toc26843609 \h</w:instrText>
      </w:r>
      <w:r>
        <w:rPr>
          <w:rFonts w:ascii="Times New Roman" w:hAnsi="Times New Roman" w:cs="Times New Roman"/>
          <w:sz w:val="24"/>
        </w:rPr>
        <w:fldChar w:fldCharType="separate"/>
      </w:r>
      <w:r>
        <w:rPr>
          <w:rFonts w:ascii="Times New Roman" w:hAnsi="Times New Roman" w:cs="Times New Roman"/>
          <w:sz w:val="24"/>
        </w:rPr>
        <w:t>8</w:t>
      </w:r>
      <w:r>
        <w:rPr>
          <w:rFonts w:ascii="Times New Roman" w:hAnsi="Times New Roman" w:cs="Times New Roman"/>
          <w:sz w:val="24"/>
        </w:rPr>
        <w:fldChar w:fldCharType="end"/>
      </w:r>
      <w:r>
        <w:rPr>
          <w:rFonts w:ascii="Times New Roman" w:hAnsi="Times New Roman" w:cs="Times New Roman"/>
          <w:sz w:val="24"/>
        </w:rPr>
        <w:fldChar w:fldCharType="end"/>
      </w:r>
    </w:p>
    <w:p>
      <w:pPr>
        <w:pStyle w:val="12"/>
        <w:adjustRightInd w:val="0"/>
        <w:snapToGrid w:val="0"/>
        <w:spacing w:line="440" w:lineRule="exact"/>
        <w:jc w:val="lef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"_Toc26843612"</w:instrText>
      </w:r>
      <w:r>
        <w:rPr>
          <w:rFonts w:ascii="Times New Roman" w:hAnsi="Times New Roman" w:cs="Times New Roman"/>
          <w:sz w:val="24"/>
        </w:rPr>
        <w:fldChar w:fldCharType="separate"/>
      </w:r>
      <w:r>
        <w:rPr>
          <w:rFonts w:ascii="Times New Roman" w:hAnsi="Times New Roman" w:cs="Times New Roman"/>
          <w:bCs/>
          <w:sz w:val="24"/>
          <w:lang w:val="en-US" w:eastAsia="zh-CN" w:bidi="ar-SA"/>
        </w:rPr>
        <w:t>三、</w:t>
      </w:r>
      <w:r>
        <w:rPr>
          <w:rFonts w:ascii="Times New Roman" w:hAnsi="Times New Roman" w:cs="Times New Roman"/>
          <w:sz w:val="24"/>
        </w:rPr>
        <w:t xml:space="preserve">  支</w:t>
      </w:r>
      <w:r>
        <w:rPr>
          <w:rFonts w:ascii="Times New Roman" w:hAnsi="Times New Roman" w:cs="Times New Roman"/>
          <w:bCs/>
          <w:sz w:val="24"/>
          <w:lang w:val="en-US" w:eastAsia="zh-CN" w:bidi="ar-SA"/>
        </w:rPr>
        <w:t>出决算情况说明</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PageRef _Toc26843612 \h</w:instrText>
      </w:r>
      <w:r>
        <w:rPr>
          <w:rFonts w:ascii="Times New Roman" w:hAnsi="Times New Roman" w:cs="Times New Roman"/>
          <w:sz w:val="24"/>
        </w:rPr>
        <w:fldChar w:fldCharType="separate"/>
      </w:r>
      <w:r>
        <w:rPr>
          <w:rFonts w:ascii="Times New Roman" w:hAnsi="Times New Roman" w:cs="Times New Roman"/>
          <w:sz w:val="24"/>
        </w:rPr>
        <w:t>9</w:t>
      </w:r>
      <w:r>
        <w:rPr>
          <w:rFonts w:ascii="Times New Roman" w:hAnsi="Times New Roman" w:cs="Times New Roman"/>
          <w:sz w:val="24"/>
        </w:rPr>
        <w:fldChar w:fldCharType="end"/>
      </w:r>
      <w:r>
        <w:rPr>
          <w:rFonts w:ascii="Times New Roman" w:hAnsi="Times New Roman" w:cs="Times New Roman"/>
          <w:sz w:val="24"/>
        </w:rPr>
        <w:fldChar w:fldCharType="end"/>
      </w:r>
    </w:p>
    <w:p>
      <w:pPr>
        <w:pStyle w:val="12"/>
        <w:adjustRightInd w:val="0"/>
        <w:snapToGrid w:val="0"/>
        <w:spacing w:line="440" w:lineRule="exact"/>
        <w:jc w:val="lef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"_Toc26843615"</w:instrText>
      </w:r>
      <w:r>
        <w:rPr>
          <w:rFonts w:ascii="Times New Roman" w:hAnsi="Times New Roman" w:cs="Times New Roman"/>
          <w:sz w:val="24"/>
        </w:rPr>
        <w:fldChar w:fldCharType="separate"/>
      </w:r>
      <w:r>
        <w:rPr>
          <w:rFonts w:ascii="Times New Roman" w:hAnsi="Times New Roman" w:cs="Times New Roman"/>
          <w:sz w:val="24"/>
        </w:rPr>
        <w:t>四、财</w:t>
      </w:r>
      <w:r>
        <w:rPr>
          <w:rFonts w:ascii="Times New Roman" w:hAnsi="Times New Roman" w:cs="Times New Roman"/>
          <w:bCs/>
          <w:sz w:val="24"/>
          <w:lang w:val="en-US" w:eastAsia="zh-CN" w:bidi="ar-SA"/>
        </w:rPr>
        <w:t>政拨款收入支出决算总体情况说明</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PageRef _Toc26843615 \h</w:instrText>
      </w:r>
      <w:r>
        <w:rPr>
          <w:rFonts w:ascii="Times New Roman" w:hAnsi="Times New Roman" w:cs="Times New Roman"/>
          <w:sz w:val="24"/>
        </w:rPr>
        <w:fldChar w:fldCharType="separate"/>
      </w:r>
      <w:r>
        <w:rPr>
          <w:rFonts w:ascii="Times New Roman" w:hAnsi="Times New Roman" w:cs="Times New Roman"/>
          <w:sz w:val="24"/>
        </w:rPr>
        <w:t>9</w:t>
      </w:r>
      <w:r>
        <w:rPr>
          <w:rFonts w:ascii="Times New Roman" w:hAnsi="Times New Roman" w:cs="Times New Roman"/>
          <w:sz w:val="24"/>
        </w:rPr>
        <w:fldChar w:fldCharType="end"/>
      </w:r>
      <w:r>
        <w:rPr>
          <w:rFonts w:ascii="Times New Roman" w:hAnsi="Times New Roman" w:cs="Times New Roman"/>
          <w:sz w:val="24"/>
        </w:rPr>
        <w:fldChar w:fldCharType="end"/>
      </w:r>
    </w:p>
    <w:p>
      <w:pPr>
        <w:pStyle w:val="12"/>
        <w:adjustRightInd w:val="0"/>
        <w:snapToGrid w:val="0"/>
        <w:spacing w:line="440" w:lineRule="exact"/>
        <w:jc w:val="lef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"_Toc26843616"</w:instrText>
      </w:r>
      <w:r>
        <w:rPr>
          <w:rFonts w:ascii="Times New Roman" w:hAnsi="Times New Roman" w:cs="Times New Roman"/>
          <w:sz w:val="24"/>
        </w:rPr>
        <w:fldChar w:fldCharType="separate"/>
      </w:r>
      <w:r>
        <w:rPr>
          <w:rFonts w:ascii="Times New Roman" w:hAnsi="Times New Roman" w:cs="Times New Roman"/>
          <w:sz w:val="24"/>
        </w:rPr>
        <w:t>五、一</w:t>
      </w:r>
      <w:r>
        <w:rPr>
          <w:rFonts w:ascii="Times New Roman" w:hAnsi="Times New Roman" w:cs="Times New Roman"/>
          <w:bCs/>
          <w:sz w:val="24"/>
          <w:lang w:val="en-US" w:eastAsia="zh-CN" w:bidi="ar-SA"/>
        </w:rPr>
        <w:t>般公共预算财政拨款支出决算情况说明</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PageRef _Toc26843616 \h</w:instrText>
      </w:r>
      <w:r>
        <w:rPr>
          <w:rFonts w:ascii="Times New Roman" w:hAnsi="Times New Roman" w:cs="Times New Roman"/>
          <w:sz w:val="24"/>
        </w:rPr>
        <w:fldChar w:fldCharType="separate"/>
      </w:r>
      <w:r>
        <w:rPr>
          <w:rFonts w:ascii="Times New Roman" w:hAnsi="Times New Roman" w:cs="Times New Roman"/>
          <w:sz w:val="24"/>
        </w:rPr>
        <w:t>10</w:t>
      </w:r>
      <w:r>
        <w:rPr>
          <w:rFonts w:ascii="Times New Roman" w:hAnsi="Times New Roman" w:cs="Times New Roman"/>
          <w:sz w:val="24"/>
        </w:rPr>
        <w:fldChar w:fldCharType="end"/>
      </w:r>
      <w:r>
        <w:rPr>
          <w:rFonts w:ascii="Times New Roman" w:hAnsi="Times New Roman" w:cs="Times New Roman"/>
          <w:sz w:val="24"/>
        </w:rPr>
        <w:fldChar w:fldCharType="end"/>
      </w:r>
    </w:p>
    <w:p>
      <w:pPr>
        <w:pStyle w:val="12"/>
        <w:adjustRightInd w:val="0"/>
        <w:snapToGrid w:val="0"/>
        <w:spacing w:line="440" w:lineRule="exact"/>
        <w:jc w:val="lef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"_Toc26843617"</w:instrText>
      </w:r>
      <w:r>
        <w:rPr>
          <w:rFonts w:ascii="Times New Roman" w:hAnsi="Times New Roman" w:cs="Times New Roman"/>
          <w:sz w:val="24"/>
        </w:rPr>
        <w:fldChar w:fldCharType="separate"/>
      </w:r>
      <w:r>
        <w:rPr>
          <w:rFonts w:ascii="Times New Roman" w:hAnsi="Times New Roman" w:cs="Times New Roman"/>
          <w:sz w:val="24"/>
        </w:rPr>
        <w:t>六、一</w:t>
      </w:r>
      <w:r>
        <w:rPr>
          <w:rFonts w:ascii="Times New Roman" w:hAnsi="Times New Roman" w:cs="Times New Roman"/>
          <w:bCs/>
          <w:sz w:val="24"/>
          <w:lang w:val="en-US" w:eastAsia="zh-CN" w:bidi="ar-SA"/>
        </w:rPr>
        <w:t>般公共预算财政拨款基本支出决算情况说明</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PageRef _Toc26843617 \h</w:instrText>
      </w:r>
      <w:r>
        <w:rPr>
          <w:rFonts w:ascii="Times New Roman" w:hAnsi="Times New Roman" w:cs="Times New Roman"/>
          <w:sz w:val="24"/>
        </w:rPr>
        <w:fldChar w:fldCharType="separate"/>
      </w:r>
      <w:r>
        <w:rPr>
          <w:rFonts w:ascii="Times New Roman" w:hAnsi="Times New Roman" w:cs="Times New Roman"/>
          <w:sz w:val="24"/>
        </w:rPr>
        <w:t>13</w:t>
      </w:r>
      <w:r>
        <w:rPr>
          <w:rFonts w:ascii="Times New Roman" w:hAnsi="Times New Roman" w:cs="Times New Roman"/>
          <w:sz w:val="24"/>
        </w:rPr>
        <w:fldChar w:fldCharType="end"/>
      </w:r>
      <w:r>
        <w:rPr>
          <w:rFonts w:ascii="Times New Roman" w:hAnsi="Times New Roman" w:cs="Times New Roman"/>
          <w:sz w:val="24"/>
        </w:rPr>
        <w:fldChar w:fldCharType="end"/>
      </w:r>
    </w:p>
    <w:p>
      <w:pPr>
        <w:pStyle w:val="12"/>
        <w:adjustRightInd w:val="0"/>
        <w:snapToGrid w:val="0"/>
        <w:spacing w:line="440" w:lineRule="exact"/>
        <w:jc w:val="lef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"_Toc26843618"</w:instrText>
      </w:r>
      <w:r>
        <w:rPr>
          <w:rFonts w:ascii="Times New Roman" w:hAnsi="Times New Roman" w:cs="Times New Roman"/>
          <w:sz w:val="24"/>
        </w:rPr>
        <w:fldChar w:fldCharType="separate"/>
      </w:r>
      <w:r>
        <w:rPr>
          <w:rFonts w:ascii="Times New Roman" w:hAnsi="Times New Roman" w:cs="Times New Roman"/>
          <w:sz w:val="24"/>
        </w:rPr>
        <w:t>七、</w:t>
      </w:r>
      <w:r>
        <w:rPr>
          <w:rFonts w:ascii="Times New Roman" w:hAnsi="Times New Roman" w:cs="Times New Roman"/>
          <w:bCs/>
          <w:sz w:val="24"/>
          <w:lang w:val="en-US" w:eastAsia="zh-CN" w:bidi="ar-SA"/>
        </w:rPr>
        <w:t>“三公”经费财政拨款支出决算情况说明</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PageRef _Toc26843618 \h</w:instrText>
      </w:r>
      <w:r>
        <w:rPr>
          <w:rFonts w:ascii="Times New Roman" w:hAnsi="Times New Roman" w:cs="Times New Roman"/>
          <w:sz w:val="24"/>
        </w:rPr>
        <w:fldChar w:fldCharType="separate"/>
      </w:r>
      <w:r>
        <w:rPr>
          <w:rFonts w:ascii="Times New Roman" w:hAnsi="Times New Roman" w:cs="Times New Roman"/>
          <w:sz w:val="24"/>
        </w:rPr>
        <w:t>14</w:t>
      </w:r>
      <w:r>
        <w:rPr>
          <w:rFonts w:ascii="Times New Roman" w:hAnsi="Times New Roman" w:cs="Times New Roman"/>
          <w:sz w:val="24"/>
        </w:rPr>
        <w:fldChar w:fldCharType="end"/>
      </w:r>
      <w:r>
        <w:rPr>
          <w:rFonts w:ascii="Times New Roman" w:hAnsi="Times New Roman" w:cs="Times New Roman"/>
          <w:sz w:val="24"/>
        </w:rPr>
        <w:fldChar w:fldCharType="end"/>
      </w:r>
    </w:p>
    <w:p>
      <w:pPr>
        <w:pStyle w:val="12"/>
        <w:adjustRightInd w:val="0"/>
        <w:snapToGrid w:val="0"/>
        <w:spacing w:line="440" w:lineRule="exact"/>
        <w:jc w:val="lef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"_Toc26843619"</w:instrText>
      </w:r>
      <w:r>
        <w:rPr>
          <w:rFonts w:ascii="Times New Roman" w:hAnsi="Times New Roman" w:cs="Times New Roman"/>
          <w:sz w:val="24"/>
        </w:rPr>
        <w:fldChar w:fldCharType="separate"/>
      </w:r>
      <w:r>
        <w:rPr>
          <w:rFonts w:ascii="Times New Roman" w:hAnsi="Times New Roman" w:cs="Times New Roman"/>
          <w:sz w:val="24"/>
        </w:rPr>
        <w:t>八、</w:t>
      </w:r>
      <w:r>
        <w:rPr>
          <w:rFonts w:ascii="Times New Roman" w:hAnsi="Times New Roman" w:cs="Times New Roman"/>
          <w:bCs/>
          <w:sz w:val="24"/>
          <w:lang w:val="en-US" w:eastAsia="zh-CN" w:bidi="ar-SA"/>
        </w:rPr>
        <w:t>政府性基金预算支出决算情况说明</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PageRef _Toc26843619 \h</w:instrText>
      </w:r>
      <w:r>
        <w:rPr>
          <w:rFonts w:ascii="Times New Roman" w:hAnsi="Times New Roman" w:cs="Times New Roman"/>
          <w:sz w:val="24"/>
        </w:rPr>
        <w:fldChar w:fldCharType="separate"/>
      </w:r>
      <w:r>
        <w:rPr>
          <w:rFonts w:ascii="Times New Roman" w:hAnsi="Times New Roman" w:cs="Times New Roman"/>
          <w:sz w:val="24"/>
        </w:rPr>
        <w:t>16</w:t>
      </w:r>
      <w:r>
        <w:rPr>
          <w:rFonts w:ascii="Times New Roman" w:hAnsi="Times New Roman" w:cs="Times New Roman"/>
          <w:sz w:val="24"/>
        </w:rPr>
        <w:fldChar w:fldCharType="end"/>
      </w:r>
      <w:r>
        <w:rPr>
          <w:rFonts w:ascii="Times New Roman" w:hAnsi="Times New Roman" w:cs="Times New Roman"/>
          <w:sz w:val="24"/>
        </w:rPr>
        <w:fldChar w:fldCharType="end"/>
      </w:r>
    </w:p>
    <w:p>
      <w:pPr>
        <w:pStyle w:val="12"/>
        <w:adjustRightInd w:val="0"/>
        <w:snapToGrid w:val="0"/>
        <w:spacing w:line="440" w:lineRule="exact"/>
        <w:jc w:val="lef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"_Toc26843620"</w:instrText>
      </w:r>
      <w:r>
        <w:rPr>
          <w:rFonts w:ascii="Times New Roman" w:hAnsi="Times New Roman" w:cs="Times New Roman"/>
          <w:sz w:val="24"/>
        </w:rPr>
        <w:fldChar w:fldCharType="separate"/>
      </w:r>
      <w:r>
        <w:rPr>
          <w:rFonts w:ascii="Times New Roman" w:hAnsi="Times New Roman" w:cs="Times New Roman"/>
          <w:bCs/>
          <w:sz w:val="24"/>
          <w:lang w:val="en-US" w:eastAsia="zh-CN" w:bidi="ar-SA"/>
        </w:rPr>
        <w:t>九、</w:t>
      </w:r>
      <w:r>
        <w:rPr>
          <w:rFonts w:ascii="Times New Roman" w:hAnsi="Times New Roman" w:cs="Times New Roman"/>
          <w:sz w:val="24"/>
        </w:rPr>
        <w:t xml:space="preserve">  </w:t>
      </w:r>
      <w:r>
        <w:rPr>
          <w:rFonts w:ascii="Times New Roman" w:hAnsi="Times New Roman" w:cs="Times New Roman"/>
          <w:bCs/>
          <w:sz w:val="24"/>
          <w:lang w:val="en-US" w:eastAsia="zh-CN" w:bidi="ar-SA"/>
        </w:rPr>
        <w:t>国有资本经营预算支出决算情况说明</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PageRef _Toc26843620 \h</w:instrText>
      </w:r>
      <w:r>
        <w:rPr>
          <w:rFonts w:ascii="Times New Roman" w:hAnsi="Times New Roman" w:cs="Times New Roman"/>
          <w:sz w:val="24"/>
        </w:rPr>
        <w:fldChar w:fldCharType="separate"/>
      </w:r>
      <w:r>
        <w:rPr>
          <w:rFonts w:ascii="Times New Roman" w:hAnsi="Times New Roman" w:cs="Times New Roman"/>
          <w:sz w:val="24"/>
        </w:rPr>
        <w:t>16</w:t>
      </w:r>
      <w:r>
        <w:rPr>
          <w:rFonts w:ascii="Times New Roman" w:hAnsi="Times New Roman" w:cs="Times New Roman"/>
          <w:sz w:val="24"/>
        </w:rPr>
        <w:fldChar w:fldCharType="end"/>
      </w:r>
      <w:r>
        <w:rPr>
          <w:rFonts w:ascii="Times New Roman" w:hAnsi="Times New Roman" w:cs="Times New Roman"/>
          <w:sz w:val="24"/>
        </w:rPr>
        <w:fldChar w:fldCharType="end"/>
      </w:r>
    </w:p>
    <w:p>
      <w:pPr>
        <w:pStyle w:val="12"/>
        <w:adjustRightInd w:val="0"/>
        <w:snapToGrid w:val="0"/>
        <w:spacing w:line="440" w:lineRule="exact"/>
        <w:jc w:val="lef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"_Toc26843621"</w:instrText>
      </w:r>
      <w:r>
        <w:rPr>
          <w:rFonts w:ascii="Times New Roman" w:hAnsi="Times New Roman" w:cs="Times New Roman"/>
          <w:sz w:val="24"/>
        </w:rPr>
        <w:fldChar w:fldCharType="separate"/>
      </w:r>
      <w:r>
        <w:rPr>
          <w:rFonts w:ascii="Times New Roman" w:hAnsi="Times New Roman" w:cs="Times New Roman"/>
          <w:bCs/>
          <w:sz w:val="24"/>
          <w:lang w:val="en-US" w:eastAsia="zh-CN" w:bidi="ar-SA"/>
        </w:rPr>
        <w:t>十、</w:t>
      </w:r>
      <w:r>
        <w:rPr>
          <w:rFonts w:ascii="Times New Roman" w:hAnsi="Times New Roman" w:cs="Times New Roman"/>
          <w:sz w:val="24"/>
        </w:rPr>
        <w:t xml:space="preserve">  </w:t>
      </w:r>
      <w:r>
        <w:rPr>
          <w:rFonts w:ascii="Times New Roman" w:hAnsi="Times New Roman" w:cs="Times New Roman"/>
          <w:bCs/>
          <w:sz w:val="24"/>
          <w:lang w:val="en-US" w:eastAsia="zh-CN" w:bidi="ar-SA"/>
        </w:rPr>
        <w:t>其他重要事项的情况说明</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PageRef _Toc26843621 \h</w:instrText>
      </w:r>
      <w:r>
        <w:rPr>
          <w:rFonts w:ascii="Times New Roman" w:hAnsi="Times New Roman" w:cs="Times New Roman"/>
          <w:sz w:val="24"/>
        </w:rPr>
        <w:fldChar w:fldCharType="separate"/>
      </w:r>
      <w:r>
        <w:rPr>
          <w:rFonts w:ascii="Times New Roman" w:hAnsi="Times New Roman" w:cs="Times New Roman"/>
          <w:sz w:val="24"/>
        </w:rPr>
        <w:t>16</w:t>
      </w:r>
      <w:r>
        <w:rPr>
          <w:rFonts w:ascii="Times New Roman" w:hAnsi="Times New Roman" w:cs="Times New Roman"/>
          <w:sz w:val="24"/>
        </w:rPr>
        <w:fldChar w:fldCharType="end"/>
      </w:r>
      <w:r>
        <w:rPr>
          <w:rFonts w:ascii="Times New Roman" w:hAnsi="Times New Roman" w:cs="Times New Roman"/>
          <w:sz w:val="24"/>
        </w:rPr>
        <w:fldChar w:fldCharType="end"/>
      </w:r>
    </w:p>
    <w:p>
      <w:pPr>
        <w:pStyle w:val="10"/>
        <w:adjustRightInd w:val="0"/>
        <w:snapToGrid w:val="0"/>
        <w:spacing w:before="0" w:line="440" w:lineRule="exact"/>
        <w:jc w:val="lef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"_Toc26843622"</w:instrText>
      </w:r>
      <w:r>
        <w:rPr>
          <w:rFonts w:ascii="Times New Roman" w:hAnsi="Times New Roman" w:cs="Times New Roman"/>
          <w:sz w:val="24"/>
        </w:rPr>
        <w:fldChar w:fldCharType="separate"/>
      </w:r>
      <w:r>
        <w:rPr>
          <w:rFonts w:ascii="Times New Roman" w:hAnsi="Times New Roman" w:eastAsia="仿宋" w:cs="Times New Roman"/>
          <w:bCs/>
          <w:sz w:val="24"/>
          <w:szCs w:val="28"/>
          <w:lang w:val="en-US" w:eastAsia="zh-CN" w:bidi="ar-SA"/>
        </w:rPr>
        <w:t>第三部分</w:t>
      </w:r>
      <w:r>
        <w:rPr>
          <w:rFonts w:ascii="Times New Roman" w:hAnsi="Times New Roman" w:cs="Times New Roman"/>
          <w:sz w:val="24"/>
        </w:rPr>
        <w:t xml:space="preserve">  名</w:t>
      </w:r>
      <w:r>
        <w:rPr>
          <w:rFonts w:ascii="Times New Roman" w:hAnsi="Times New Roman" w:eastAsia="仿宋" w:cs="Times New Roman"/>
          <w:bCs/>
          <w:sz w:val="24"/>
          <w:szCs w:val="28"/>
          <w:lang w:val="en-US" w:eastAsia="zh-CN" w:bidi="ar-SA"/>
        </w:rPr>
        <w:t>词解释</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PageRef _Toc26843622 \h</w:instrText>
      </w:r>
      <w:r>
        <w:rPr>
          <w:rFonts w:ascii="Times New Roman" w:hAnsi="Times New Roman" w:cs="Times New Roman"/>
          <w:sz w:val="24"/>
        </w:rPr>
        <w:fldChar w:fldCharType="separate"/>
      </w:r>
      <w:r>
        <w:rPr>
          <w:rFonts w:ascii="Times New Roman" w:hAnsi="Times New Roman" w:cs="Times New Roman"/>
          <w:sz w:val="24"/>
        </w:rPr>
        <w:t>18</w:t>
      </w:r>
      <w:r>
        <w:rPr>
          <w:rFonts w:ascii="Times New Roman" w:hAnsi="Times New Roman" w:cs="Times New Roman"/>
          <w:sz w:val="24"/>
        </w:rPr>
        <w:fldChar w:fldCharType="end"/>
      </w:r>
      <w:r>
        <w:rPr>
          <w:rFonts w:ascii="Times New Roman" w:hAnsi="Times New Roman" w:cs="Times New Roman"/>
          <w:sz w:val="24"/>
        </w:rPr>
        <w:fldChar w:fldCharType="end"/>
      </w:r>
    </w:p>
    <w:p>
      <w:pPr>
        <w:pStyle w:val="10"/>
        <w:adjustRightInd w:val="0"/>
        <w:snapToGrid w:val="0"/>
        <w:spacing w:before="0" w:line="440" w:lineRule="exact"/>
        <w:jc w:val="lef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"_Toc26843623"</w:instrText>
      </w:r>
      <w:r>
        <w:rPr>
          <w:rFonts w:ascii="Times New Roman" w:hAnsi="Times New Roman" w:cs="Times New Roman"/>
          <w:sz w:val="24"/>
        </w:rPr>
        <w:fldChar w:fldCharType="separate"/>
      </w:r>
      <w:r>
        <w:rPr>
          <w:rFonts w:ascii="Times New Roman" w:hAnsi="Times New Roman" w:cs="Times New Roman"/>
          <w:sz w:val="24"/>
        </w:rPr>
        <w:t>第</w:t>
      </w:r>
      <w:r>
        <w:rPr>
          <w:rFonts w:ascii="Times New Roman" w:hAnsi="Times New Roman" w:eastAsia="仿宋" w:cs="Times New Roman"/>
          <w:bCs/>
          <w:sz w:val="24"/>
          <w:szCs w:val="28"/>
          <w:lang w:val="en-US" w:eastAsia="zh-CN" w:bidi="ar-SA"/>
        </w:rPr>
        <w:t>四部分 附件</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PageRef _Toc26843623 \h</w:instrText>
      </w:r>
      <w:r>
        <w:rPr>
          <w:rFonts w:ascii="Times New Roman" w:hAnsi="Times New Roman" w:cs="Times New Roman"/>
          <w:sz w:val="24"/>
        </w:rPr>
        <w:fldChar w:fldCharType="separate"/>
      </w:r>
      <w:r>
        <w:rPr>
          <w:rFonts w:ascii="Times New Roman" w:hAnsi="Times New Roman" w:cs="Times New Roman"/>
          <w:sz w:val="24"/>
        </w:rPr>
        <w:t>20</w:t>
      </w:r>
      <w:r>
        <w:rPr>
          <w:rFonts w:ascii="Times New Roman" w:hAnsi="Times New Roman" w:cs="Times New Roman"/>
          <w:sz w:val="24"/>
        </w:rPr>
        <w:fldChar w:fldCharType="end"/>
      </w:r>
      <w:r>
        <w:rPr>
          <w:rFonts w:ascii="Times New Roman" w:hAnsi="Times New Roman" w:cs="Times New Roman"/>
          <w:sz w:val="24"/>
        </w:rPr>
        <w:fldChar w:fldCharType="end"/>
      </w:r>
    </w:p>
    <w:p>
      <w:pPr>
        <w:pStyle w:val="10"/>
        <w:adjustRightInd w:val="0"/>
        <w:snapToGrid w:val="0"/>
        <w:spacing w:before="0" w:line="440" w:lineRule="exact"/>
        <w:jc w:val="lef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"_Toc26843625"</w:instrText>
      </w:r>
      <w:r>
        <w:rPr>
          <w:rFonts w:ascii="Times New Roman" w:hAnsi="Times New Roman" w:cs="Times New Roman"/>
          <w:sz w:val="24"/>
        </w:rPr>
        <w:fldChar w:fldCharType="separate"/>
      </w:r>
      <w:r>
        <w:rPr>
          <w:rFonts w:ascii="Times New Roman" w:hAnsi="Times New Roman" w:cs="Times New Roman"/>
          <w:sz w:val="24"/>
        </w:rPr>
        <w:t>第</w:t>
      </w:r>
      <w:r>
        <w:rPr>
          <w:rFonts w:ascii="Times New Roman" w:hAnsi="Times New Roman" w:eastAsia="仿宋" w:cs="Times New Roman"/>
          <w:bCs/>
          <w:sz w:val="24"/>
          <w:szCs w:val="28"/>
          <w:lang w:val="en-US" w:eastAsia="zh-CN" w:bidi="ar-SA"/>
        </w:rPr>
        <w:t>五部分 附表</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PageRef _Toc26843625 \h</w:instrText>
      </w:r>
      <w:r>
        <w:rPr>
          <w:rFonts w:ascii="Times New Roman" w:hAnsi="Times New Roman" w:cs="Times New Roman"/>
          <w:sz w:val="24"/>
        </w:rPr>
        <w:fldChar w:fldCharType="separate"/>
      </w:r>
      <w:r>
        <w:rPr>
          <w:rFonts w:ascii="Times New Roman" w:hAnsi="Times New Roman" w:cs="Times New Roman"/>
          <w:sz w:val="24"/>
        </w:rPr>
        <w:t>33</w:t>
      </w:r>
      <w:r>
        <w:rPr>
          <w:rFonts w:ascii="Times New Roman" w:hAnsi="Times New Roman" w:cs="Times New Roman"/>
          <w:sz w:val="24"/>
        </w:rPr>
        <w:fldChar w:fldCharType="end"/>
      </w:r>
      <w:r>
        <w:rPr>
          <w:rFonts w:ascii="Times New Roman" w:hAnsi="Times New Roman" w:cs="Times New Roman"/>
          <w:sz w:val="24"/>
        </w:rPr>
        <w:fldChar w:fldCharType="end"/>
      </w:r>
    </w:p>
    <w:p>
      <w:pPr>
        <w:pStyle w:val="12"/>
        <w:adjustRightInd w:val="0"/>
        <w:snapToGrid w:val="0"/>
        <w:spacing w:line="440" w:lineRule="exact"/>
        <w:jc w:val="lef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"_Toc26843626"</w:instrText>
      </w:r>
      <w:r>
        <w:rPr>
          <w:rFonts w:ascii="Times New Roman" w:hAnsi="Times New Roman" w:cs="Times New Roman"/>
          <w:sz w:val="24"/>
        </w:rPr>
        <w:fldChar w:fldCharType="separate"/>
      </w:r>
      <w:r>
        <w:rPr>
          <w:rFonts w:ascii="Times New Roman" w:hAnsi="Times New Roman" w:cs="Times New Roman"/>
          <w:sz w:val="24"/>
        </w:rPr>
        <w:t>一、收</w:t>
      </w:r>
      <w:r>
        <w:rPr>
          <w:rFonts w:ascii="Times New Roman" w:hAnsi="Times New Roman" w:cs="Times New Roman"/>
          <w:bCs/>
          <w:sz w:val="24"/>
          <w:lang w:val="en-US" w:eastAsia="zh-CN" w:bidi="ar-SA"/>
        </w:rPr>
        <w:t>入支出决算总表</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PageRef _Toc26843626 \h</w:instrText>
      </w:r>
      <w:r>
        <w:rPr>
          <w:rFonts w:ascii="Times New Roman" w:hAnsi="Times New Roman" w:cs="Times New Roman"/>
          <w:sz w:val="24"/>
        </w:rPr>
        <w:fldChar w:fldCharType="separate"/>
      </w:r>
      <w:r>
        <w:rPr>
          <w:rFonts w:ascii="Times New Roman" w:hAnsi="Times New Roman" w:cs="Times New Roman"/>
          <w:sz w:val="24"/>
        </w:rPr>
        <w:t>33</w:t>
      </w:r>
      <w:r>
        <w:rPr>
          <w:rFonts w:ascii="Times New Roman" w:hAnsi="Times New Roman" w:cs="Times New Roman"/>
          <w:sz w:val="24"/>
        </w:rPr>
        <w:fldChar w:fldCharType="end"/>
      </w:r>
      <w:r>
        <w:rPr>
          <w:rFonts w:ascii="Times New Roman" w:hAnsi="Times New Roman" w:cs="Times New Roman"/>
          <w:sz w:val="24"/>
        </w:rPr>
        <w:fldChar w:fldCharType="end"/>
      </w:r>
    </w:p>
    <w:p>
      <w:pPr>
        <w:pStyle w:val="12"/>
        <w:adjustRightInd w:val="0"/>
        <w:snapToGrid w:val="0"/>
        <w:spacing w:line="440" w:lineRule="exact"/>
        <w:jc w:val="lef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"_Toc26843627"</w:instrText>
      </w:r>
      <w:r>
        <w:rPr>
          <w:rFonts w:ascii="Times New Roman" w:hAnsi="Times New Roman" w:cs="Times New Roman"/>
          <w:sz w:val="24"/>
        </w:rPr>
        <w:fldChar w:fldCharType="separate"/>
      </w:r>
      <w:r>
        <w:rPr>
          <w:rFonts w:ascii="Times New Roman" w:hAnsi="Times New Roman" w:cs="Times New Roman"/>
          <w:sz w:val="24"/>
        </w:rPr>
        <w:t>二、收</w:t>
      </w:r>
      <w:r>
        <w:rPr>
          <w:rFonts w:ascii="Times New Roman" w:hAnsi="Times New Roman" w:cs="Times New Roman"/>
          <w:bCs/>
          <w:sz w:val="24"/>
          <w:lang w:val="en-US" w:eastAsia="zh-CN" w:bidi="ar-SA"/>
        </w:rPr>
        <w:t>入决算表</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PageRef _Toc26843627 \h</w:instrText>
      </w:r>
      <w:r>
        <w:rPr>
          <w:rFonts w:ascii="Times New Roman" w:hAnsi="Times New Roman" w:cs="Times New Roman"/>
          <w:sz w:val="24"/>
        </w:rPr>
        <w:fldChar w:fldCharType="separate"/>
      </w:r>
      <w:r>
        <w:rPr>
          <w:rFonts w:ascii="Times New Roman" w:hAnsi="Times New Roman" w:cs="Times New Roman"/>
          <w:sz w:val="24"/>
        </w:rPr>
        <w:t>33</w:t>
      </w:r>
      <w:r>
        <w:rPr>
          <w:rFonts w:ascii="Times New Roman" w:hAnsi="Times New Roman" w:cs="Times New Roman"/>
          <w:sz w:val="24"/>
        </w:rPr>
        <w:fldChar w:fldCharType="end"/>
      </w:r>
      <w:r>
        <w:rPr>
          <w:rFonts w:ascii="Times New Roman" w:hAnsi="Times New Roman" w:cs="Times New Roman"/>
          <w:sz w:val="24"/>
        </w:rPr>
        <w:fldChar w:fldCharType="end"/>
      </w:r>
    </w:p>
    <w:p>
      <w:pPr>
        <w:pStyle w:val="12"/>
        <w:adjustRightInd w:val="0"/>
        <w:snapToGrid w:val="0"/>
        <w:spacing w:line="440" w:lineRule="exact"/>
        <w:jc w:val="lef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"_Toc26843628"</w:instrText>
      </w:r>
      <w:r>
        <w:rPr>
          <w:rFonts w:ascii="Times New Roman" w:hAnsi="Times New Roman" w:cs="Times New Roman"/>
          <w:sz w:val="24"/>
        </w:rPr>
        <w:fldChar w:fldCharType="separate"/>
      </w:r>
      <w:r>
        <w:rPr>
          <w:rFonts w:ascii="Times New Roman" w:hAnsi="Times New Roman" w:cs="Times New Roman"/>
          <w:bCs/>
          <w:sz w:val="24"/>
          <w:lang w:val="en-US" w:eastAsia="zh-CN" w:bidi="ar-SA"/>
        </w:rPr>
        <w:t>三、</w:t>
      </w:r>
      <w:r>
        <w:rPr>
          <w:rFonts w:ascii="Times New Roman" w:hAnsi="Times New Roman" w:cs="Times New Roman"/>
          <w:sz w:val="24"/>
        </w:rPr>
        <w:t>支</w:t>
      </w:r>
      <w:r>
        <w:rPr>
          <w:rFonts w:ascii="Times New Roman" w:hAnsi="Times New Roman" w:cs="Times New Roman"/>
          <w:bCs/>
          <w:sz w:val="24"/>
          <w:lang w:val="en-US" w:eastAsia="zh-CN" w:bidi="ar-SA"/>
        </w:rPr>
        <w:t>出决算表</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PageRef _Toc26843628 \h</w:instrText>
      </w:r>
      <w:r>
        <w:rPr>
          <w:rFonts w:ascii="Times New Roman" w:hAnsi="Times New Roman" w:cs="Times New Roman"/>
          <w:sz w:val="24"/>
        </w:rPr>
        <w:fldChar w:fldCharType="separate"/>
      </w:r>
      <w:r>
        <w:rPr>
          <w:rFonts w:ascii="Times New Roman" w:hAnsi="Times New Roman" w:cs="Times New Roman"/>
          <w:sz w:val="24"/>
        </w:rPr>
        <w:t>33</w:t>
      </w:r>
      <w:r>
        <w:rPr>
          <w:rFonts w:ascii="Times New Roman" w:hAnsi="Times New Roman" w:cs="Times New Roman"/>
          <w:sz w:val="24"/>
        </w:rPr>
        <w:fldChar w:fldCharType="end"/>
      </w:r>
      <w:r>
        <w:rPr>
          <w:rFonts w:ascii="Times New Roman" w:hAnsi="Times New Roman" w:cs="Times New Roman"/>
          <w:sz w:val="24"/>
        </w:rPr>
        <w:fldChar w:fldCharType="end"/>
      </w:r>
    </w:p>
    <w:p>
      <w:pPr>
        <w:pStyle w:val="12"/>
        <w:adjustRightInd w:val="0"/>
        <w:snapToGrid w:val="0"/>
        <w:spacing w:line="440" w:lineRule="exact"/>
        <w:jc w:val="lef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"_Toc26843629"</w:instrText>
      </w:r>
      <w:r>
        <w:rPr>
          <w:rFonts w:ascii="Times New Roman" w:hAnsi="Times New Roman" w:cs="Times New Roman"/>
          <w:sz w:val="24"/>
        </w:rPr>
        <w:fldChar w:fldCharType="separate"/>
      </w:r>
      <w:r>
        <w:rPr>
          <w:rFonts w:ascii="Times New Roman" w:hAnsi="Times New Roman" w:cs="Times New Roman"/>
          <w:bCs/>
          <w:sz w:val="24"/>
          <w:lang w:val="en-US" w:eastAsia="zh-CN" w:bidi="ar-SA"/>
        </w:rPr>
        <w:t>四、</w:t>
      </w:r>
      <w:r>
        <w:rPr>
          <w:rFonts w:ascii="Times New Roman" w:hAnsi="Times New Roman" w:cs="Times New Roman"/>
          <w:sz w:val="24"/>
        </w:rPr>
        <w:t>财</w:t>
      </w:r>
      <w:r>
        <w:rPr>
          <w:rFonts w:ascii="Times New Roman" w:hAnsi="Times New Roman" w:cs="Times New Roman"/>
          <w:bCs/>
          <w:sz w:val="24"/>
          <w:lang w:val="en-US" w:eastAsia="zh-CN" w:bidi="ar-SA"/>
        </w:rPr>
        <w:t>政拨款收入支出决算总表</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PageRef _Toc26843629 \h</w:instrText>
      </w:r>
      <w:r>
        <w:rPr>
          <w:rFonts w:ascii="Times New Roman" w:hAnsi="Times New Roman" w:cs="Times New Roman"/>
          <w:sz w:val="24"/>
        </w:rPr>
        <w:fldChar w:fldCharType="separate"/>
      </w:r>
      <w:r>
        <w:rPr>
          <w:rFonts w:ascii="Times New Roman" w:hAnsi="Times New Roman" w:cs="Times New Roman"/>
          <w:sz w:val="24"/>
        </w:rPr>
        <w:t>33</w:t>
      </w:r>
      <w:r>
        <w:rPr>
          <w:rFonts w:ascii="Times New Roman" w:hAnsi="Times New Roman" w:cs="Times New Roman"/>
          <w:sz w:val="24"/>
        </w:rPr>
        <w:fldChar w:fldCharType="end"/>
      </w:r>
      <w:r>
        <w:rPr>
          <w:rFonts w:ascii="Times New Roman" w:hAnsi="Times New Roman" w:cs="Times New Roman"/>
          <w:sz w:val="24"/>
        </w:rPr>
        <w:fldChar w:fldCharType="end"/>
      </w:r>
    </w:p>
    <w:p>
      <w:pPr>
        <w:pStyle w:val="12"/>
        <w:adjustRightInd w:val="0"/>
        <w:snapToGrid w:val="0"/>
        <w:spacing w:line="440" w:lineRule="exact"/>
        <w:jc w:val="lef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"_Toc26843630"</w:instrText>
      </w:r>
      <w:r>
        <w:rPr>
          <w:rFonts w:ascii="Times New Roman" w:hAnsi="Times New Roman" w:cs="Times New Roman"/>
          <w:sz w:val="24"/>
        </w:rPr>
        <w:fldChar w:fldCharType="separate"/>
      </w:r>
      <w:r>
        <w:rPr>
          <w:rFonts w:ascii="Times New Roman" w:hAnsi="Times New Roman" w:cs="Times New Roman"/>
          <w:bCs/>
          <w:sz w:val="24"/>
          <w:lang w:val="en-US" w:eastAsia="zh-CN" w:bidi="ar-SA"/>
        </w:rPr>
        <w:t>五、</w:t>
      </w:r>
      <w:r>
        <w:rPr>
          <w:rFonts w:ascii="Times New Roman" w:hAnsi="Times New Roman" w:cs="Times New Roman"/>
          <w:sz w:val="24"/>
        </w:rPr>
        <w:t>财</w:t>
      </w:r>
      <w:r>
        <w:rPr>
          <w:rFonts w:ascii="Times New Roman" w:hAnsi="Times New Roman" w:cs="Times New Roman"/>
          <w:bCs/>
          <w:sz w:val="24"/>
          <w:lang w:val="en-US" w:eastAsia="zh-CN" w:bidi="ar-SA"/>
        </w:rPr>
        <w:t>政拨款支出决算明细表</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PageRef _Toc26843630 \h</w:instrText>
      </w:r>
      <w:r>
        <w:rPr>
          <w:rFonts w:ascii="Times New Roman" w:hAnsi="Times New Roman" w:cs="Times New Roman"/>
          <w:sz w:val="24"/>
        </w:rPr>
        <w:fldChar w:fldCharType="separate"/>
      </w:r>
      <w:r>
        <w:rPr>
          <w:rFonts w:ascii="Times New Roman" w:hAnsi="Times New Roman" w:cs="Times New Roman"/>
          <w:sz w:val="24"/>
        </w:rPr>
        <w:t>33</w:t>
      </w:r>
      <w:r>
        <w:rPr>
          <w:rFonts w:ascii="Times New Roman" w:hAnsi="Times New Roman" w:cs="Times New Roman"/>
          <w:sz w:val="24"/>
        </w:rPr>
        <w:fldChar w:fldCharType="end"/>
      </w:r>
      <w:r>
        <w:rPr>
          <w:rFonts w:ascii="Times New Roman" w:hAnsi="Times New Roman" w:cs="Times New Roman"/>
          <w:sz w:val="24"/>
        </w:rPr>
        <w:fldChar w:fldCharType="end"/>
      </w:r>
    </w:p>
    <w:p>
      <w:pPr>
        <w:pStyle w:val="12"/>
        <w:adjustRightInd w:val="0"/>
        <w:snapToGrid w:val="0"/>
        <w:spacing w:line="440" w:lineRule="exact"/>
        <w:jc w:val="lef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"_Toc26843631"</w:instrText>
      </w:r>
      <w:r>
        <w:rPr>
          <w:rFonts w:ascii="Times New Roman" w:hAnsi="Times New Roman" w:cs="Times New Roman"/>
          <w:sz w:val="24"/>
        </w:rPr>
        <w:fldChar w:fldCharType="separate"/>
      </w:r>
      <w:r>
        <w:rPr>
          <w:rFonts w:ascii="Times New Roman" w:hAnsi="Times New Roman" w:cs="Times New Roman"/>
          <w:bCs/>
          <w:sz w:val="24"/>
          <w:lang w:val="en-US" w:eastAsia="zh-CN" w:bidi="ar-SA"/>
        </w:rPr>
        <w:t>六、</w:t>
      </w:r>
      <w:r>
        <w:rPr>
          <w:rFonts w:ascii="Times New Roman" w:hAnsi="Times New Roman" w:cs="Times New Roman"/>
          <w:sz w:val="24"/>
        </w:rPr>
        <w:t>一</w:t>
      </w:r>
      <w:r>
        <w:rPr>
          <w:rFonts w:ascii="Times New Roman" w:hAnsi="Times New Roman" w:cs="Times New Roman"/>
          <w:bCs/>
          <w:sz w:val="24"/>
          <w:lang w:val="en-US" w:eastAsia="zh-CN" w:bidi="ar-SA"/>
        </w:rPr>
        <w:t>般公共预算财政拨款支出决算表</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PageRef _Toc26843631 \h</w:instrText>
      </w:r>
      <w:r>
        <w:rPr>
          <w:rFonts w:ascii="Times New Roman" w:hAnsi="Times New Roman" w:cs="Times New Roman"/>
          <w:sz w:val="24"/>
        </w:rPr>
        <w:fldChar w:fldCharType="separate"/>
      </w:r>
      <w:r>
        <w:rPr>
          <w:rFonts w:ascii="Times New Roman" w:hAnsi="Times New Roman" w:cs="Times New Roman"/>
          <w:sz w:val="24"/>
        </w:rPr>
        <w:t>33</w:t>
      </w:r>
      <w:r>
        <w:rPr>
          <w:rFonts w:ascii="Times New Roman" w:hAnsi="Times New Roman" w:cs="Times New Roman"/>
          <w:sz w:val="24"/>
        </w:rPr>
        <w:fldChar w:fldCharType="end"/>
      </w:r>
      <w:r>
        <w:rPr>
          <w:rFonts w:ascii="Times New Roman" w:hAnsi="Times New Roman" w:cs="Times New Roman"/>
          <w:sz w:val="24"/>
        </w:rPr>
        <w:fldChar w:fldCharType="end"/>
      </w:r>
    </w:p>
    <w:p>
      <w:pPr>
        <w:pStyle w:val="12"/>
        <w:adjustRightInd w:val="0"/>
        <w:snapToGrid w:val="0"/>
        <w:spacing w:line="440" w:lineRule="exact"/>
        <w:jc w:val="lef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"_Toc26843632"</w:instrText>
      </w:r>
      <w:r>
        <w:rPr>
          <w:rFonts w:ascii="Times New Roman" w:hAnsi="Times New Roman" w:cs="Times New Roman"/>
          <w:sz w:val="24"/>
        </w:rPr>
        <w:fldChar w:fldCharType="separate"/>
      </w:r>
      <w:r>
        <w:rPr>
          <w:rFonts w:ascii="Times New Roman" w:hAnsi="Times New Roman" w:cs="Times New Roman"/>
          <w:bCs/>
          <w:sz w:val="24"/>
          <w:lang w:val="en-US" w:eastAsia="zh-CN" w:bidi="ar-SA"/>
        </w:rPr>
        <w:t>七、</w:t>
      </w:r>
      <w:r>
        <w:rPr>
          <w:rFonts w:ascii="Times New Roman" w:hAnsi="Times New Roman" w:cs="Times New Roman"/>
          <w:sz w:val="24"/>
        </w:rPr>
        <w:t>一</w:t>
      </w:r>
      <w:r>
        <w:rPr>
          <w:rFonts w:ascii="Times New Roman" w:hAnsi="Times New Roman" w:cs="Times New Roman"/>
          <w:bCs/>
          <w:sz w:val="24"/>
          <w:lang w:val="en-US" w:eastAsia="zh-CN" w:bidi="ar-SA"/>
        </w:rPr>
        <w:t>般公共预算财政拨款支出决算明细表</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PageRef _Toc26843632 \h</w:instrText>
      </w:r>
      <w:r>
        <w:rPr>
          <w:rFonts w:ascii="Times New Roman" w:hAnsi="Times New Roman" w:cs="Times New Roman"/>
          <w:sz w:val="24"/>
        </w:rPr>
        <w:fldChar w:fldCharType="separate"/>
      </w:r>
      <w:r>
        <w:rPr>
          <w:rFonts w:ascii="Times New Roman" w:hAnsi="Times New Roman" w:cs="Times New Roman"/>
          <w:sz w:val="24"/>
        </w:rPr>
        <w:t>33</w:t>
      </w:r>
      <w:r>
        <w:rPr>
          <w:rFonts w:ascii="Times New Roman" w:hAnsi="Times New Roman" w:cs="Times New Roman"/>
          <w:sz w:val="24"/>
        </w:rPr>
        <w:fldChar w:fldCharType="end"/>
      </w:r>
      <w:r>
        <w:rPr>
          <w:rFonts w:ascii="Times New Roman" w:hAnsi="Times New Roman" w:cs="Times New Roman"/>
          <w:sz w:val="24"/>
        </w:rPr>
        <w:fldChar w:fldCharType="end"/>
      </w:r>
    </w:p>
    <w:p>
      <w:pPr>
        <w:pStyle w:val="12"/>
        <w:adjustRightInd w:val="0"/>
        <w:snapToGrid w:val="0"/>
        <w:spacing w:line="440" w:lineRule="exact"/>
        <w:jc w:val="lef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"_Toc26843633"</w:instrText>
      </w:r>
      <w:r>
        <w:rPr>
          <w:rFonts w:ascii="Times New Roman" w:hAnsi="Times New Roman" w:cs="Times New Roman"/>
          <w:sz w:val="24"/>
        </w:rPr>
        <w:fldChar w:fldCharType="separate"/>
      </w:r>
      <w:r>
        <w:rPr>
          <w:rFonts w:ascii="Times New Roman" w:hAnsi="Times New Roman" w:cs="Times New Roman"/>
          <w:bCs/>
          <w:sz w:val="24"/>
          <w:lang w:val="en-US" w:eastAsia="zh-CN" w:bidi="ar-SA"/>
        </w:rPr>
        <w:t>八、</w:t>
      </w:r>
      <w:r>
        <w:rPr>
          <w:rFonts w:ascii="Times New Roman" w:hAnsi="Times New Roman" w:cs="Times New Roman"/>
          <w:sz w:val="24"/>
        </w:rPr>
        <w:t>一</w:t>
      </w:r>
      <w:r>
        <w:rPr>
          <w:rFonts w:ascii="Times New Roman" w:hAnsi="Times New Roman" w:cs="Times New Roman"/>
          <w:bCs/>
          <w:sz w:val="24"/>
          <w:lang w:val="en-US" w:eastAsia="zh-CN" w:bidi="ar-SA"/>
        </w:rPr>
        <w:t>般公共预算财政拨款基本支出决算表</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PageRef _Toc26843633 \h</w:instrText>
      </w:r>
      <w:r>
        <w:rPr>
          <w:rFonts w:ascii="Times New Roman" w:hAnsi="Times New Roman" w:cs="Times New Roman"/>
          <w:sz w:val="24"/>
        </w:rPr>
        <w:fldChar w:fldCharType="separate"/>
      </w:r>
      <w:r>
        <w:rPr>
          <w:rFonts w:ascii="Times New Roman" w:hAnsi="Times New Roman" w:cs="Times New Roman"/>
          <w:sz w:val="24"/>
        </w:rPr>
        <w:t>33</w:t>
      </w:r>
      <w:r>
        <w:rPr>
          <w:rFonts w:ascii="Times New Roman" w:hAnsi="Times New Roman" w:cs="Times New Roman"/>
          <w:sz w:val="24"/>
        </w:rPr>
        <w:fldChar w:fldCharType="end"/>
      </w:r>
      <w:r>
        <w:rPr>
          <w:rFonts w:ascii="Times New Roman" w:hAnsi="Times New Roman" w:cs="Times New Roman"/>
          <w:sz w:val="24"/>
        </w:rPr>
        <w:fldChar w:fldCharType="end"/>
      </w:r>
    </w:p>
    <w:p>
      <w:pPr>
        <w:pStyle w:val="12"/>
        <w:adjustRightInd w:val="0"/>
        <w:snapToGrid w:val="0"/>
        <w:spacing w:line="440" w:lineRule="exact"/>
        <w:jc w:val="lef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"_Toc26843634"</w:instrText>
      </w:r>
      <w:r>
        <w:rPr>
          <w:rFonts w:ascii="Times New Roman" w:hAnsi="Times New Roman" w:cs="Times New Roman"/>
          <w:sz w:val="24"/>
        </w:rPr>
        <w:fldChar w:fldCharType="separate"/>
      </w:r>
      <w:r>
        <w:rPr>
          <w:rFonts w:ascii="Times New Roman" w:hAnsi="Times New Roman" w:cs="Times New Roman"/>
          <w:bCs/>
          <w:sz w:val="24"/>
          <w:lang w:val="en-US" w:eastAsia="zh-CN" w:bidi="ar-SA"/>
        </w:rPr>
        <w:t>九、</w:t>
      </w:r>
      <w:r>
        <w:rPr>
          <w:rFonts w:ascii="Times New Roman" w:hAnsi="Times New Roman" w:cs="Times New Roman"/>
          <w:sz w:val="24"/>
        </w:rPr>
        <w:t>一</w:t>
      </w:r>
      <w:r>
        <w:rPr>
          <w:rFonts w:ascii="Times New Roman" w:hAnsi="Times New Roman" w:cs="Times New Roman"/>
          <w:bCs/>
          <w:sz w:val="24"/>
          <w:lang w:val="en-US" w:eastAsia="zh-CN" w:bidi="ar-SA"/>
        </w:rPr>
        <w:t>般公共预算财政拨款项目支出决算表</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PageRef _Toc26843634 \h</w:instrText>
      </w:r>
      <w:r>
        <w:rPr>
          <w:rFonts w:ascii="Times New Roman" w:hAnsi="Times New Roman" w:cs="Times New Roman"/>
          <w:sz w:val="24"/>
        </w:rPr>
        <w:fldChar w:fldCharType="separate"/>
      </w:r>
      <w:r>
        <w:rPr>
          <w:rFonts w:ascii="Times New Roman" w:hAnsi="Times New Roman" w:cs="Times New Roman"/>
          <w:sz w:val="24"/>
        </w:rPr>
        <w:t>33</w:t>
      </w:r>
      <w:r>
        <w:rPr>
          <w:rFonts w:ascii="Times New Roman" w:hAnsi="Times New Roman" w:cs="Times New Roman"/>
          <w:sz w:val="24"/>
        </w:rPr>
        <w:fldChar w:fldCharType="end"/>
      </w:r>
      <w:r>
        <w:rPr>
          <w:rFonts w:ascii="Times New Roman" w:hAnsi="Times New Roman" w:cs="Times New Roman"/>
          <w:sz w:val="24"/>
        </w:rPr>
        <w:fldChar w:fldCharType="end"/>
      </w:r>
    </w:p>
    <w:p>
      <w:pPr>
        <w:pStyle w:val="12"/>
        <w:adjustRightInd w:val="0"/>
        <w:snapToGrid w:val="0"/>
        <w:spacing w:line="440" w:lineRule="exact"/>
        <w:jc w:val="lef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"_Toc26843636"</w:instrText>
      </w:r>
      <w:r>
        <w:rPr>
          <w:rFonts w:ascii="Times New Roman" w:hAnsi="Times New Roman" w:cs="Times New Roman"/>
          <w:sz w:val="24"/>
        </w:rPr>
        <w:fldChar w:fldCharType="separate"/>
      </w:r>
      <w:r>
        <w:rPr>
          <w:rFonts w:ascii="Times New Roman" w:hAnsi="Times New Roman" w:cs="Times New Roman"/>
          <w:bCs/>
          <w:sz w:val="24"/>
          <w:lang w:val="en-US" w:eastAsia="zh-CN" w:bidi="ar-SA"/>
        </w:rPr>
        <w:t>十、</w:t>
      </w:r>
      <w:r>
        <w:rPr>
          <w:rFonts w:ascii="Times New Roman" w:hAnsi="Times New Roman" w:cs="Times New Roman"/>
          <w:sz w:val="24"/>
        </w:rPr>
        <w:t>政</w:t>
      </w:r>
      <w:r>
        <w:rPr>
          <w:rFonts w:ascii="Times New Roman" w:hAnsi="Times New Roman" w:cs="Times New Roman"/>
          <w:bCs/>
          <w:sz w:val="24"/>
          <w:lang w:val="en-US" w:eastAsia="zh-CN" w:bidi="ar-SA"/>
        </w:rPr>
        <w:t>府性基金预算财政拨款收入支出决算表</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PageRef _Toc26843636 \h</w:instrText>
      </w:r>
      <w:r>
        <w:rPr>
          <w:rFonts w:ascii="Times New Roman" w:hAnsi="Times New Roman" w:cs="Times New Roman"/>
          <w:sz w:val="24"/>
        </w:rPr>
        <w:fldChar w:fldCharType="separate"/>
      </w:r>
      <w:r>
        <w:rPr>
          <w:rFonts w:ascii="Times New Roman" w:hAnsi="Times New Roman" w:cs="Times New Roman"/>
          <w:sz w:val="24"/>
        </w:rPr>
        <w:t>33</w:t>
      </w:r>
      <w:r>
        <w:rPr>
          <w:rFonts w:ascii="Times New Roman" w:hAnsi="Times New Roman" w:cs="Times New Roman"/>
          <w:sz w:val="24"/>
        </w:rPr>
        <w:fldChar w:fldCharType="end"/>
      </w:r>
      <w:r>
        <w:rPr>
          <w:rFonts w:ascii="Times New Roman" w:hAnsi="Times New Roman" w:cs="Times New Roman"/>
          <w:sz w:val="24"/>
        </w:rPr>
        <w:fldChar w:fldCharType="end"/>
      </w:r>
    </w:p>
    <w:p>
      <w:pPr>
        <w:pStyle w:val="12"/>
        <w:adjustRightInd w:val="0"/>
        <w:snapToGrid w:val="0"/>
        <w:spacing w:line="440" w:lineRule="exact"/>
        <w:jc w:val="lef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"_Toc26843638"</w:instrText>
      </w:r>
      <w:r>
        <w:rPr>
          <w:rFonts w:ascii="Times New Roman" w:hAnsi="Times New Roman" w:cs="Times New Roman"/>
          <w:sz w:val="24"/>
        </w:rPr>
        <w:fldChar w:fldCharType="separate"/>
      </w:r>
      <w:r>
        <w:rPr>
          <w:rFonts w:ascii="Times New Roman" w:hAnsi="Times New Roman" w:cs="Times New Roman"/>
          <w:bCs/>
          <w:sz w:val="24"/>
          <w:lang w:val="en-US" w:eastAsia="zh-CN" w:bidi="ar-SA"/>
        </w:rPr>
        <w:t>十</w:t>
      </w:r>
      <w:r>
        <w:rPr>
          <w:rFonts w:hint="eastAsia" w:cs="Times New Roman"/>
          <w:bCs/>
          <w:sz w:val="24"/>
          <w:lang w:val="en-US" w:eastAsia="zh-CN" w:bidi="ar-SA"/>
        </w:rPr>
        <w:t>一</w:t>
      </w:r>
      <w:r>
        <w:rPr>
          <w:rFonts w:ascii="Times New Roman" w:hAnsi="Times New Roman" w:cs="Times New Roman"/>
          <w:bCs/>
          <w:sz w:val="24"/>
          <w:lang w:val="en-US" w:eastAsia="zh-CN" w:bidi="ar-SA"/>
        </w:rPr>
        <w:t>、</w:t>
      </w:r>
      <w:r>
        <w:rPr>
          <w:rFonts w:ascii="Times New Roman" w:hAnsi="Times New Roman" w:cs="Times New Roman"/>
          <w:sz w:val="24"/>
        </w:rPr>
        <w:t>国</w:t>
      </w:r>
      <w:r>
        <w:rPr>
          <w:rFonts w:ascii="Times New Roman" w:hAnsi="Times New Roman" w:cs="Times New Roman"/>
          <w:bCs/>
          <w:sz w:val="24"/>
          <w:lang w:val="en-US" w:eastAsia="zh-CN" w:bidi="ar-SA"/>
        </w:rPr>
        <w:t>有资本经营预算财政拨款收入支出决算表</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PageRef _Toc26843638 \h</w:instrText>
      </w:r>
      <w:r>
        <w:rPr>
          <w:rFonts w:ascii="Times New Roman" w:hAnsi="Times New Roman" w:cs="Times New Roman"/>
          <w:sz w:val="24"/>
        </w:rPr>
        <w:fldChar w:fldCharType="separate"/>
      </w:r>
      <w:r>
        <w:rPr>
          <w:rFonts w:ascii="Times New Roman" w:hAnsi="Times New Roman" w:cs="Times New Roman"/>
          <w:sz w:val="24"/>
        </w:rPr>
        <w:t>33</w:t>
      </w:r>
      <w:r>
        <w:rPr>
          <w:rFonts w:ascii="Times New Roman" w:hAnsi="Times New Roman" w:cs="Times New Roman"/>
          <w:sz w:val="24"/>
        </w:rPr>
        <w:fldChar w:fldCharType="end"/>
      </w:r>
      <w:r>
        <w:rPr>
          <w:rFonts w:ascii="Times New Roman" w:hAnsi="Times New Roman" w:cs="Times New Roman"/>
          <w:sz w:val="24"/>
        </w:rPr>
        <w:fldChar w:fldCharType="end"/>
      </w:r>
    </w:p>
    <w:p>
      <w:pPr>
        <w:pStyle w:val="12"/>
        <w:adjustRightInd w:val="0"/>
        <w:snapToGrid w:val="0"/>
        <w:spacing w:line="440" w:lineRule="exact"/>
        <w:jc w:val="left"/>
        <w:rPr>
          <w:rFonts w:ascii="Times New Roman" w:hAnsi="Times New Roman" w:cs="Times New Roman"/>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"_Toc26843639"</w:instrText>
      </w:r>
      <w:r>
        <w:rPr>
          <w:rFonts w:ascii="Times New Roman" w:hAnsi="Times New Roman" w:cs="Times New Roman"/>
          <w:sz w:val="24"/>
        </w:rPr>
        <w:fldChar w:fldCharType="separate"/>
      </w:r>
      <w:r>
        <w:rPr>
          <w:rFonts w:ascii="Times New Roman" w:hAnsi="Times New Roman" w:cs="Times New Roman"/>
          <w:sz w:val="24"/>
          <w:lang w:val="en-US" w:eastAsia="zh-CN" w:bidi="ar-SA"/>
        </w:rPr>
        <w:t>十</w:t>
      </w:r>
      <w:r>
        <w:rPr>
          <w:rFonts w:hint="eastAsia" w:cs="Times New Roman"/>
          <w:sz w:val="24"/>
          <w:lang w:val="en-US" w:eastAsia="zh-CN" w:bidi="ar-SA"/>
        </w:rPr>
        <w:t>二</w:t>
      </w:r>
      <w:r>
        <w:rPr>
          <w:rFonts w:ascii="Times New Roman" w:hAnsi="Times New Roman" w:cs="Times New Roman"/>
          <w:sz w:val="24"/>
          <w:lang w:val="en-US" w:eastAsia="zh-CN" w:bidi="ar-SA"/>
        </w:rPr>
        <w:t>、国有资本经营预算财政拨款支出决算表</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PageRef _Toc26843639 \h</w:instrText>
      </w:r>
      <w:r>
        <w:rPr>
          <w:rFonts w:ascii="Times New Roman" w:hAnsi="Times New Roman" w:cs="Times New Roman"/>
          <w:sz w:val="24"/>
        </w:rPr>
        <w:fldChar w:fldCharType="separate"/>
      </w:r>
      <w:r>
        <w:rPr>
          <w:rFonts w:ascii="Times New Roman" w:hAnsi="Times New Roman" w:cs="Times New Roman"/>
          <w:sz w:val="24"/>
        </w:rPr>
        <w:t>33</w:t>
      </w:r>
      <w:r>
        <w:rPr>
          <w:rFonts w:ascii="Times New Roman" w:hAnsi="Times New Roman" w:cs="Times New Roman"/>
          <w:sz w:val="24"/>
        </w:rPr>
        <w:fldChar w:fldCharType="end"/>
      </w:r>
      <w:r>
        <w:rPr>
          <w:rFonts w:ascii="Times New Roman" w:hAnsi="Times New Roman" w:cs="Times New Roman"/>
          <w:sz w:val="24"/>
        </w:rPr>
        <w:fldChar w:fldCharType="end"/>
      </w:r>
      <w:r>
        <w:rPr>
          <w:rFonts w:ascii="Times New Roman" w:hAnsi="Times New Roman" w:cs="Times New Roman"/>
        </w:rPr>
        <w:fldChar w:fldCharType="end"/>
      </w:r>
      <w:bookmarkStart w:id="14" w:name="_Toc15396599"/>
      <w:bookmarkStart w:id="15" w:name="_Toc15377196"/>
    </w:p>
    <w:p>
      <w:pPr>
        <w:pStyle w:val="12"/>
        <w:adjustRightInd w:val="0"/>
        <w:snapToGrid w:val="0"/>
        <w:spacing w:line="440" w:lineRule="exact"/>
        <w:jc w:val="left"/>
        <w:rPr>
          <w:rFonts w:ascii="Times New Roman" w:hAnsi="Times New Roman" w:eastAsia="仿宋" w:cs="Times New Roman"/>
          <w:bCs/>
          <w:kern w:val="44"/>
          <w:sz w:val="24"/>
        </w:rPr>
      </w:pPr>
      <w:r>
        <w:rPr>
          <w:rFonts w:ascii="Times New Roman" w:hAnsi="Times New Roman" w:cs="Times New Roman"/>
          <w:sz w:val="24"/>
        </w:rPr>
        <w:fldChar w:fldCharType="begin"/>
      </w:r>
      <w:r>
        <w:rPr>
          <w:rFonts w:ascii="Times New Roman" w:hAnsi="Times New Roman" w:cs="Times New Roman"/>
          <w:sz w:val="24"/>
        </w:rPr>
        <w:instrText xml:space="preserve">Hyperlink \l "_Toc26843639"</w:instrText>
      </w:r>
      <w:r>
        <w:rPr>
          <w:rFonts w:ascii="Times New Roman" w:hAnsi="Times New Roman" w:cs="Times New Roman"/>
          <w:sz w:val="24"/>
        </w:rPr>
        <w:fldChar w:fldCharType="separate"/>
      </w:r>
      <w:r>
        <w:rPr>
          <w:rFonts w:ascii="Times New Roman" w:hAnsi="Times New Roman" w:cs="Times New Roman"/>
          <w:sz w:val="24"/>
          <w:lang w:val="en-US" w:eastAsia="zh-CN" w:bidi="ar-SA"/>
        </w:rPr>
        <w:t>十</w:t>
      </w:r>
      <w:r>
        <w:rPr>
          <w:rFonts w:hint="eastAsia" w:cs="Times New Roman"/>
          <w:sz w:val="24"/>
          <w:lang w:val="en-US" w:eastAsia="zh-CN" w:bidi="ar-SA"/>
        </w:rPr>
        <w:t>三</w:t>
      </w:r>
      <w:r>
        <w:rPr>
          <w:rFonts w:ascii="Times New Roman" w:hAnsi="Times New Roman" w:cs="Times New Roman"/>
          <w:sz w:val="24"/>
          <w:lang w:val="en-US" w:eastAsia="zh-CN" w:bidi="ar-SA"/>
        </w:rPr>
        <w:t>、</w:t>
      </w:r>
      <w:r>
        <w:rPr>
          <w:rFonts w:hint="eastAsia" w:cs="Times New Roman"/>
          <w:sz w:val="24"/>
          <w:lang w:val="en-US" w:eastAsia="zh-CN" w:bidi="ar-SA"/>
        </w:rPr>
        <w:t>财政拨款“三公”经费支出决算表</w:t>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PageRef _Toc26843639 \h</w:instrText>
      </w:r>
      <w:r>
        <w:rPr>
          <w:rFonts w:ascii="Times New Roman" w:hAnsi="Times New Roman" w:cs="Times New Roman"/>
          <w:sz w:val="24"/>
        </w:rPr>
        <w:fldChar w:fldCharType="separate"/>
      </w:r>
      <w:r>
        <w:rPr>
          <w:rFonts w:ascii="Times New Roman" w:hAnsi="Times New Roman" w:cs="Times New Roman"/>
          <w:sz w:val="24"/>
        </w:rPr>
        <w:t>33</w:t>
      </w:r>
      <w:r>
        <w:rPr>
          <w:rFonts w:ascii="Times New Roman" w:hAnsi="Times New Roman" w:cs="Times New Roman"/>
          <w:sz w:val="24"/>
        </w:rPr>
        <w:fldChar w:fldCharType="end"/>
      </w:r>
      <w:r>
        <w:rPr>
          <w:rFonts w:ascii="Times New Roman" w:hAnsi="Times New Roman" w:cs="Times New Roman"/>
          <w:sz w:val="24"/>
        </w:rPr>
        <w:fldChar w:fldCharType="end"/>
      </w:r>
      <w:r>
        <w:rPr>
          <w:rFonts w:ascii="Times New Roman" w:hAnsi="Times New Roman" w:eastAsia="仿宋" w:cs="Times New Roman"/>
          <w:b/>
          <w:sz w:val="24"/>
        </w:rPr>
        <w:br w:type="page"/>
      </w:r>
    </w:p>
    <w:p>
      <w:pPr>
        <w:pStyle w:val="3"/>
        <w:keepNext/>
        <w:keepLines/>
        <w:pageBreakBefore w:val="0"/>
        <w:widowControl w:val="0"/>
        <w:kinsoku/>
        <w:wordWrap/>
        <w:overflowPunct/>
        <w:topLinePunct w:val="0"/>
        <w:bidi w:val="0"/>
        <w:spacing w:line="576" w:lineRule="exact"/>
        <w:jc w:val="center"/>
        <w:rPr>
          <w:rStyle w:val="19"/>
          <w:rFonts w:ascii="Times New Roman" w:hAnsi="Times New Roman" w:eastAsia="黑体" w:cs="Times New Roman"/>
          <w:b/>
          <w:bCs w:val="0"/>
        </w:rPr>
      </w:pPr>
      <w:bookmarkStart w:id="16" w:name="_Toc26843604"/>
      <w:r>
        <w:rPr>
          <w:rFonts w:ascii="Times New Roman" w:hAnsi="Times New Roman" w:eastAsia="黑体" w:cs="Times New Roman"/>
          <w:b w:val="0"/>
        </w:rPr>
        <w:t xml:space="preserve">第一部分 </w:t>
      </w:r>
      <w:r>
        <w:rPr>
          <w:rFonts w:ascii="Times New Roman" w:hAnsi="Times New Roman" w:eastAsia="黑体" w:cs="Times New Roman"/>
          <w:b w:val="0"/>
          <w:kern w:val="44"/>
          <w:sz w:val="44"/>
          <w:szCs w:val="44"/>
        </w:rPr>
        <w:t>部门概况</w:t>
      </w:r>
      <w:bookmarkEnd w:id="14"/>
      <w:bookmarkEnd w:id="15"/>
      <w:bookmarkEnd w:id="16"/>
    </w:p>
    <w:p>
      <w:pPr>
        <w:pageBreakBefore w:val="0"/>
        <w:widowControl/>
        <w:kinsoku/>
        <w:wordWrap/>
        <w:overflowPunct/>
        <w:topLinePunct w:val="0"/>
        <w:bidi w:val="0"/>
        <w:spacing w:line="576" w:lineRule="exact"/>
        <w:jc w:val="left"/>
        <w:rPr>
          <w:rFonts w:ascii="Times New Roman" w:hAnsi="Times New Roman" w:eastAsia="黑体" w:cs="Times New Roman"/>
          <w:sz w:val="32"/>
          <w:szCs w:val="32"/>
        </w:rPr>
      </w:pPr>
    </w:p>
    <w:p>
      <w:pPr>
        <w:pStyle w:val="4"/>
        <w:keepNext/>
        <w:keepLines/>
        <w:pageBreakBefore w:val="0"/>
        <w:widowControl w:val="0"/>
        <w:kinsoku/>
        <w:wordWrap/>
        <w:overflowPunct/>
        <w:topLinePunct w:val="0"/>
        <w:bidi w:val="0"/>
        <w:spacing w:after="0" w:line="576" w:lineRule="exact"/>
        <w:rPr>
          <w:rStyle w:val="20"/>
          <w:rFonts w:ascii="Times New Roman" w:hAnsi="Times New Roman" w:eastAsia="黑体" w:cs="Times New Roman"/>
          <w:b w:val="0"/>
          <w:bCs w:val="0"/>
        </w:rPr>
      </w:pPr>
      <w:bookmarkStart w:id="17" w:name="_Toc26843605"/>
      <w:bookmarkStart w:id="18" w:name="_Toc15396600"/>
      <w:bookmarkStart w:id="19" w:name="_Toc15377197"/>
      <w:r>
        <w:rPr>
          <w:rStyle w:val="20"/>
          <w:rFonts w:ascii="Times New Roman" w:hAnsi="Times New Roman" w:eastAsia="黑体" w:cs="Times New Roman"/>
          <w:b w:val="0"/>
          <w:bCs w:val="0"/>
        </w:rPr>
        <w:t>一、基本职能及主要工作</w:t>
      </w:r>
      <w:bookmarkEnd w:id="17"/>
      <w:bookmarkEnd w:id="18"/>
      <w:bookmarkEnd w:id="19"/>
    </w:p>
    <w:p>
      <w:pPr>
        <w:pStyle w:val="7"/>
        <w:pageBreakBefore w:val="0"/>
        <w:widowControl w:val="0"/>
        <w:kinsoku/>
        <w:wordWrap/>
        <w:overflowPunct/>
        <w:topLinePunct w:val="0"/>
        <w:bidi w:val="0"/>
        <w:adjustRightInd w:val="0"/>
        <w:snapToGrid w:val="0"/>
        <w:spacing w:before="93" w:line="576" w:lineRule="exact"/>
        <w:ind w:left="0" w:firstLine="668" w:firstLineChars="208"/>
        <w:outlineLvl w:val="2"/>
        <w:rPr>
          <w:rFonts w:ascii="Times New Roman" w:hAnsi="Times New Roman" w:eastAsia="楷体" w:cs="Times New Roman"/>
          <w:b/>
          <w:color w:val="000000"/>
          <w:kern w:val="0"/>
          <w:sz w:val="32"/>
          <w:szCs w:val="32"/>
          <w:shd w:val="clear" w:color="auto" w:fill="auto"/>
        </w:rPr>
      </w:pPr>
      <w:bookmarkStart w:id="20" w:name="_Toc15378445"/>
      <w:bookmarkStart w:id="21" w:name="_Toc15377198"/>
      <w:r>
        <w:rPr>
          <w:rFonts w:ascii="Times New Roman" w:hAnsi="Times New Roman" w:eastAsia="楷体" w:cs="Times New Roman"/>
          <w:b/>
          <w:color w:val="000000"/>
          <w:kern w:val="0"/>
          <w:sz w:val="32"/>
          <w:szCs w:val="32"/>
          <w:shd w:val="clear" w:color="auto" w:fill="auto"/>
        </w:rPr>
        <w:t>（一）主要职能。</w:t>
      </w:r>
      <w:bookmarkEnd w:id="20"/>
      <w:bookmarkEnd w:id="21"/>
    </w:p>
    <w:p>
      <w:pPr>
        <w:snapToGrid w:val="0"/>
        <w:ind w:firstLine="640" w:firstLineChars="200"/>
        <w:rPr>
          <w:rFonts w:ascii="仿宋_GB2312" w:eastAsia="仿宋_GB2312"/>
          <w:bCs/>
          <w:sz w:val="32"/>
        </w:rPr>
      </w:pPr>
      <w:bookmarkStart w:id="22" w:name="OLE_LINK6"/>
      <w:bookmarkStart w:id="23" w:name="_Toc15378446"/>
      <w:bookmarkStart w:id="24" w:name="_Toc15377199"/>
      <w:r>
        <w:rPr>
          <w:rFonts w:hint="eastAsia" w:ascii="仿宋_GB2312" w:hAnsi="宋体" w:eastAsia="仿宋_GB2312" w:cs="宋体"/>
          <w:kern w:val="0"/>
          <w:sz w:val="32"/>
          <w:szCs w:val="32"/>
        </w:rPr>
        <w:t>根据金川府发﹝2009﹞2号文件规定，主要职责是：</w:t>
      </w:r>
    </w:p>
    <w:p>
      <w:pPr>
        <w:numPr>
          <w:ilvl w:val="0"/>
          <w:numId w:val="1"/>
        </w:numPr>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xml:space="preserve">、制定和组织实施经济、科技和社会发展计划，制定资源开发技术改造和产业结构调整方案，组织指导好各业生产，搞好商品流通，协调好本乡与外地区的经济交流与合作，抓好招商引资，人才引进项目开发，不断培育市场体系，保护各种经济组织的合法权益，组织经济运行，促进经济发展。 </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xml:space="preserve">    （2）、制定并组织实施村镇建设规划，部署重点工程建设，地方道路建设及公共设施，水利设施的管理，负责土地、林木、水等自然资源和生态环境的保护，做好护林防火工作。 </w:t>
      </w:r>
    </w:p>
    <w:p>
      <w:pPr>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xml:space="preserve">（3）、负责本行政区域内的民政、计划生育、文化教育、卫生、体育等社会公益事业的综合性工作，维护一切经济单位和个人的正当经济权益，取缔非法经济活动，调解和处理民事纠纷，打击刑事犯罪维护社会稳定。 </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xml:space="preserve">    （4）、按计划组织本级财政收入和地方税的征收，完成国家财政计划，不断培植税源，管好财政资金，增强财政实力。 </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xml:space="preserve">   （5）、抓好精神文明建设，丰富群众文化生活，提倡移风易俗，反对封建迷信，破除陈规陋习，树立社会主义新风尚。 </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xml:space="preserve">   （6）、完成上级政府交办的其它事项。</w:t>
      </w:r>
    </w:p>
    <w:p>
      <w:pPr>
        <w:spacing w:line="560" w:lineRule="exac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xml:space="preserve">   （7）、执行本级人民代表大会的决议和上级国家行政机关的决定和命令，发布决定和命令。</w:t>
      </w:r>
    </w:p>
    <w:p>
      <w:pPr>
        <w:spacing w:line="560" w:lineRule="exac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（8）、保护社会主义的全民所有的财产和劳动群众集体所有的财产，保护公民私人所有的合法财产，维护社会秩序，保障公民的人身权利、民主权利和其他权利。</w:t>
      </w:r>
    </w:p>
    <w:bookmarkEnd w:id="22"/>
    <w:p>
      <w:pPr>
        <w:pStyle w:val="7"/>
        <w:pageBreakBefore w:val="0"/>
        <w:widowControl w:val="0"/>
        <w:kinsoku/>
        <w:wordWrap/>
        <w:overflowPunct/>
        <w:topLinePunct w:val="0"/>
        <w:bidi w:val="0"/>
        <w:adjustRightInd w:val="0"/>
        <w:snapToGrid w:val="0"/>
        <w:spacing w:before="93" w:line="576" w:lineRule="exact"/>
        <w:ind w:left="0" w:firstLine="666" w:firstLineChars="208"/>
        <w:outlineLvl w:val="2"/>
        <w:rPr>
          <w:rFonts w:ascii="Times New Roman" w:hAnsi="Times New Roman" w:eastAsia="方正楷体_GBK" w:cs="Times New Roman"/>
          <w:b/>
          <w:bCs/>
          <w:color w:val="000000"/>
          <w:kern w:val="0"/>
          <w:sz w:val="32"/>
          <w:szCs w:val="32"/>
          <w:shd w:val="clear" w:color="auto" w:fill="auto"/>
        </w:rPr>
      </w:pPr>
      <w:r>
        <w:rPr>
          <w:rFonts w:ascii="Times New Roman" w:hAnsi="Times New Roman" w:eastAsia="方正楷体_GBK" w:cs="Times New Roman"/>
          <w:b/>
          <w:bCs/>
          <w:color w:val="000000"/>
          <w:kern w:val="0"/>
          <w:sz w:val="32"/>
          <w:szCs w:val="32"/>
          <w:shd w:val="clear" w:color="auto" w:fill="auto"/>
        </w:rPr>
        <w:t>（二）</w:t>
      </w:r>
      <w:r>
        <w:rPr>
          <w:rFonts w:hint="eastAsia" w:eastAsia="方正楷体_GBK" w:cs="Times New Roman"/>
          <w:b/>
          <w:bCs/>
          <w:color w:val="000000"/>
          <w:kern w:val="0"/>
          <w:sz w:val="32"/>
          <w:szCs w:val="32"/>
          <w:shd w:val="clear" w:color="auto" w:fill="auto"/>
          <w:lang w:eastAsia="zh-CN"/>
        </w:rPr>
        <w:t>2022</w:t>
      </w:r>
      <w:r>
        <w:rPr>
          <w:rFonts w:ascii="Times New Roman" w:hAnsi="Times New Roman" w:eastAsia="方正楷体_GBK" w:cs="Times New Roman"/>
          <w:b/>
          <w:bCs/>
          <w:color w:val="000000"/>
          <w:kern w:val="0"/>
          <w:sz w:val="32"/>
          <w:szCs w:val="32"/>
          <w:shd w:val="clear" w:color="auto" w:fill="auto"/>
        </w:rPr>
        <w:t>年重点工作完成情况。</w:t>
      </w:r>
      <w:bookmarkEnd w:id="23"/>
      <w:bookmarkEnd w:id="24"/>
    </w:p>
    <w:p>
      <w:pPr>
        <w:spacing w:line="560" w:lineRule="exact"/>
        <w:ind w:firstLine="640" w:firstLineChars="200"/>
        <w:rPr>
          <w:rFonts w:hint="eastAsia" w:ascii="仿宋_GB2312" w:hAnsi="宋体" w:eastAsia="仿宋_GB2312" w:cs="宋体"/>
          <w:kern w:val="0"/>
          <w:sz w:val="32"/>
          <w:szCs w:val="32"/>
        </w:rPr>
      </w:pPr>
      <w:bookmarkStart w:id="25" w:name="_Toc79163855"/>
      <w:bookmarkStart w:id="26" w:name="_Toc79163605"/>
      <w:r>
        <w:rPr>
          <w:rFonts w:hint="eastAsia" w:ascii="仿宋_GB2312" w:hAnsi="宋体" w:eastAsia="仿宋_GB2312" w:cs="宋体"/>
          <w:kern w:val="0"/>
          <w:sz w:val="32"/>
          <w:szCs w:val="32"/>
        </w:rPr>
        <w:t>1、千方百计抓农业生产。新冠疫情期间，我乡抓住劳动力在家这一有利时机，认真做好春耕备耕工作，实现耕地满栽满种。全年粮食安全产量达700吨；我乡巩固特色水果基地400亩，新建花椒基地389亩，云杉苗木基地400余亩，青脆李基地250亩，桃树基地60亩。抓好春季雪梨高接换优工作，共刷白、修枝剪形10100余株，做好田间管理和病虫害防治工作；全年河东乡世强云杉苗木专业合作社销售苗木收入达到了153.12万余元，使用建档立卡贫困户劳动力210余人次；全年生产总值预计达4750万元。</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2、畜牧养殖提质增值。加大现代畜牧业投入和防疫力度，加强非洲猪瘟疫情防控工作，开展春秋冬防疫率达100%；全乡无一起大的疫情发生。我乡脱贫建卡贫困户９０%都是发展生猪和肉牛养殖；今</w:t>
      </w:r>
      <w:r>
        <w:rPr>
          <w:rFonts w:hint="eastAsia" w:ascii="仿宋_GB2312" w:hAnsi="宋体" w:eastAsia="仿宋_GB2312" w:cs="宋体"/>
          <w:kern w:val="0"/>
          <w:sz w:val="32"/>
          <w:szCs w:val="32"/>
          <w:lang w:val="en-US" w:eastAsia="zh-CN"/>
        </w:rPr>
        <w:t>年</w:t>
      </w:r>
      <w:r>
        <w:rPr>
          <w:rFonts w:hint="eastAsia" w:ascii="仿宋_GB2312" w:hAnsi="宋体" w:eastAsia="仿宋_GB2312" w:cs="宋体"/>
          <w:kern w:val="0"/>
          <w:sz w:val="32"/>
          <w:szCs w:val="32"/>
        </w:rPr>
        <w:t>为了项固脱贫成果，加大了生猪养殖，</w:t>
      </w:r>
      <w:r>
        <w:rPr>
          <w:rFonts w:hint="eastAsia" w:ascii="仿宋_GB2312" w:hAnsi="宋体" w:eastAsia="仿宋_GB2312" w:cs="宋体"/>
          <w:kern w:val="0"/>
          <w:sz w:val="32"/>
          <w:szCs w:val="32"/>
          <w:lang w:val="en-US" w:eastAsia="zh-CN"/>
        </w:rPr>
        <w:t>鼓励</w:t>
      </w:r>
      <w:r>
        <w:rPr>
          <w:rFonts w:hint="eastAsia" w:ascii="仿宋_GB2312" w:hAnsi="宋体" w:eastAsia="仿宋_GB2312" w:cs="宋体"/>
          <w:kern w:val="0"/>
          <w:sz w:val="32"/>
          <w:szCs w:val="32"/>
        </w:rPr>
        <w:t>农户养猪，新增一头能繁母猪补助300元，全年已新增37头，出栏生猪一头补助10元，并完成补助资金兑付工作，大大鼓舞了养猪户的热情。今年国家投入20万元完成牧场社农业公共安全与生态资源保护利用工程项目建设，大大提升了我乡牧场牲畜出栏率。</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林业工作纵深推进。加强全年森林草原防灭火工作，扎实开展防灭火安全知识宣传，加强７５名生态管护员的管护工作，发放宣传手册3000余份，签订各项防火责任书500余份，开展防灭火民兵应急集结3次，扑火工具使用培训3次，演练4次；并按照中央督导四川森林草原防灭火工作要求，我乡成立专项整治工作机构，并制定专项整治方案，认真扎实开展专项整治工作。继续巩固全乡退耕还林2300余亩，认真开展第二轮46.9亩退耕还林工作。抓好了野生动物保护工作，严防</w:t>
      </w:r>
      <w:r>
        <w:rPr>
          <w:rFonts w:hint="eastAsia" w:ascii="仿宋_GB2312" w:hAnsi="宋体" w:eastAsia="仿宋_GB2312" w:cs="宋体"/>
          <w:kern w:val="0"/>
          <w:sz w:val="32"/>
          <w:szCs w:val="32"/>
          <w:lang w:val="en-US" w:eastAsia="zh-CN"/>
        </w:rPr>
        <w:t>乱砍滥伐</w:t>
      </w:r>
      <w:r>
        <w:rPr>
          <w:rFonts w:hint="eastAsia" w:ascii="仿宋_GB2312" w:hAnsi="宋体" w:eastAsia="仿宋_GB2312" w:cs="宋体"/>
          <w:kern w:val="0"/>
          <w:sz w:val="32"/>
          <w:szCs w:val="32"/>
        </w:rPr>
        <w:t>，偷拉盗运。</w:t>
      </w:r>
    </w:p>
    <w:p>
      <w:pPr>
        <w:pStyle w:val="4"/>
        <w:keepNext/>
        <w:keepLines/>
        <w:pageBreakBefore w:val="0"/>
        <w:widowControl w:val="0"/>
        <w:kinsoku/>
        <w:wordWrap/>
        <w:overflowPunct/>
        <w:topLinePunct w:val="0"/>
        <w:bidi w:val="0"/>
        <w:spacing w:after="0" w:line="576" w:lineRule="exact"/>
        <w:rPr>
          <w:rStyle w:val="20"/>
          <w:rFonts w:ascii="Times New Roman" w:hAnsi="Times New Roman" w:eastAsia="方正黑体_GBK" w:cs="Times New Roman"/>
          <w:b w:val="0"/>
          <w:bCs w:val="0"/>
        </w:rPr>
      </w:pPr>
      <w:r>
        <w:rPr>
          <w:rFonts w:ascii="Times New Roman" w:hAnsi="Times New Roman" w:eastAsia="黑体" w:cs="Times New Roman"/>
          <w:b w:val="0"/>
          <w:color w:val="000000"/>
          <w:lang w:val="en-US" w:eastAsia="zh-CN"/>
        </w:rPr>
        <w:t xml:space="preserve">   </w:t>
      </w:r>
      <w:bookmarkEnd w:id="25"/>
      <w:bookmarkEnd w:id="26"/>
      <w:bookmarkStart w:id="27" w:name="_Toc15396601"/>
      <w:bookmarkStart w:id="28" w:name="_Toc26843606"/>
      <w:bookmarkStart w:id="29" w:name="_Toc15377200"/>
      <w:r>
        <w:rPr>
          <w:rStyle w:val="20"/>
          <w:rFonts w:ascii="Times New Roman" w:hAnsi="Times New Roman" w:eastAsia="黑体" w:cs="Times New Roman"/>
          <w:b w:val="0"/>
          <w:bCs w:val="0"/>
        </w:rPr>
        <w:t>二、机构设置</w:t>
      </w:r>
      <w:bookmarkEnd w:id="27"/>
      <w:bookmarkEnd w:id="28"/>
      <w:bookmarkEnd w:id="29"/>
    </w:p>
    <w:p>
      <w:pPr>
        <w:snapToGrid w:val="0"/>
        <w:ind w:firstLine="640" w:firstLineChars="200"/>
        <w:rPr>
          <w:rFonts w:hint="eastAsia" w:ascii="仿宋_GB2312" w:hAnsi="仿宋" w:eastAsia="仿宋_GB2312"/>
          <w:sz w:val="32"/>
          <w:szCs w:val="32"/>
          <w:lang w:eastAsia="zh-CN"/>
        </w:rPr>
      </w:pPr>
      <w:bookmarkStart w:id="30" w:name="_Toc15377204"/>
      <w:bookmarkStart w:id="31" w:name="_Toc15396602"/>
      <w:bookmarkStart w:id="32" w:name="_Toc26843607"/>
      <w:r>
        <w:rPr>
          <w:rFonts w:hint="eastAsia" w:ascii="仿宋_GB2312" w:eastAsia="仿宋_GB2312"/>
          <w:bCs/>
          <w:sz w:val="32"/>
        </w:rPr>
        <w:t>我乡2022年有</w:t>
      </w:r>
      <w:r>
        <w:rPr>
          <w:rFonts w:hint="eastAsia" w:ascii="仿宋_GB2312" w:eastAsia="仿宋_GB2312"/>
          <w:bCs/>
          <w:sz w:val="32"/>
          <w:lang w:val="en-US" w:eastAsia="zh-CN"/>
        </w:rPr>
        <w:t>4</w:t>
      </w:r>
      <w:r>
        <w:rPr>
          <w:rFonts w:hint="eastAsia" w:ascii="仿宋_GB2312" w:eastAsia="仿宋_GB2312"/>
          <w:bCs/>
          <w:sz w:val="32"/>
        </w:rPr>
        <w:t>个机构</w:t>
      </w:r>
      <w:r>
        <w:rPr>
          <w:rFonts w:hint="eastAsia" w:ascii="仿宋_GB2312" w:eastAsia="仿宋_GB2312"/>
          <w:bCs/>
          <w:sz w:val="32"/>
          <w:lang w:eastAsia="zh-CN"/>
        </w:rPr>
        <w:t>。</w:t>
      </w:r>
    </w:p>
    <w:p>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2022年年初在职30人（</w:t>
      </w:r>
      <w:r>
        <w:rPr>
          <w:rFonts w:hint="eastAsia" w:ascii="仿宋_GB2312" w:hAnsi="宋体" w:eastAsia="仿宋_GB2312" w:cs="宋体"/>
          <w:kern w:val="0"/>
          <w:sz w:val="32"/>
          <w:szCs w:val="32"/>
        </w:rPr>
        <w:t>行政人员16人，行政工勤2人，事业管理5人，事业专技5人，事业工勤2人</w:t>
      </w:r>
      <w:r>
        <w:rPr>
          <w:rFonts w:hint="eastAsia" w:ascii="仿宋_GB2312" w:hAnsi="仿宋" w:eastAsia="仿宋_GB2312"/>
          <w:sz w:val="32"/>
          <w:szCs w:val="32"/>
        </w:rPr>
        <w:t>）；</w:t>
      </w:r>
    </w:p>
    <w:p>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2022年年末在职30人（</w:t>
      </w:r>
      <w:r>
        <w:rPr>
          <w:rFonts w:hint="eastAsia" w:ascii="仿宋_GB2312" w:hAnsi="宋体" w:eastAsia="仿宋_GB2312" w:cs="宋体"/>
          <w:kern w:val="0"/>
          <w:sz w:val="32"/>
          <w:szCs w:val="32"/>
        </w:rPr>
        <w:t>行政人员16人，行政工勤2人，事业管理7人，事业专技4人，事业工勤1人</w:t>
      </w:r>
      <w:r>
        <w:rPr>
          <w:rFonts w:hint="eastAsia" w:ascii="仿宋_GB2312" w:hAnsi="仿宋" w:eastAsia="仿宋_GB2312"/>
          <w:sz w:val="32"/>
          <w:szCs w:val="32"/>
        </w:rPr>
        <w:t>）。</w:t>
      </w:r>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2022年事业管理增加2人，事业专技减少1人，事业工勤减少一人。</w:t>
      </w:r>
    </w:p>
    <w:p>
      <w:pPr>
        <w:pStyle w:val="3"/>
        <w:keepNext/>
        <w:keepLines/>
        <w:pageBreakBefore w:val="0"/>
        <w:widowControl w:val="0"/>
        <w:kinsoku/>
        <w:wordWrap/>
        <w:overflowPunct/>
        <w:topLinePunct w:val="0"/>
        <w:bidi w:val="0"/>
        <w:spacing w:line="576" w:lineRule="exact"/>
        <w:ind w:right="440"/>
        <w:jc w:val="center"/>
        <w:rPr>
          <w:rStyle w:val="19"/>
          <w:rFonts w:ascii="Times New Roman" w:hAnsi="Times New Roman" w:eastAsia="黑体" w:cs="Times New Roman"/>
          <w:b w:val="0"/>
          <w:bCs/>
        </w:rPr>
      </w:pPr>
      <w:r>
        <w:rPr>
          <w:rFonts w:ascii="Times New Roman" w:hAnsi="Times New Roman" w:eastAsia="黑体" w:cs="Times New Roman"/>
          <w:b w:val="0"/>
        </w:rPr>
        <w:t xml:space="preserve">第二部分 </w:t>
      </w:r>
      <w:r>
        <w:rPr>
          <w:rFonts w:hint="eastAsia" w:eastAsia="黑体" w:cs="Times New Roman"/>
          <w:b w:val="0"/>
          <w:lang w:eastAsia="zh-CN"/>
        </w:rPr>
        <w:t>2022</w:t>
      </w:r>
      <w:r>
        <w:rPr>
          <w:rFonts w:ascii="Times New Roman" w:hAnsi="Times New Roman" w:eastAsia="黑体" w:cs="Times New Roman"/>
          <w:b w:val="0"/>
        </w:rPr>
        <w:t>年度</w:t>
      </w:r>
      <w:r>
        <w:rPr>
          <w:rFonts w:ascii="Times New Roman" w:hAnsi="Times New Roman" w:eastAsia="黑体" w:cs="Times New Roman"/>
          <w:b w:val="0"/>
          <w:kern w:val="44"/>
          <w:sz w:val="44"/>
          <w:szCs w:val="44"/>
        </w:rPr>
        <w:t>部门决算情况说明</w:t>
      </w:r>
      <w:bookmarkEnd w:id="30"/>
      <w:bookmarkEnd w:id="31"/>
      <w:bookmarkEnd w:id="32"/>
    </w:p>
    <w:p>
      <w:pPr>
        <w:pageBreakBefore w:val="0"/>
        <w:widowControl w:val="0"/>
        <w:kinsoku/>
        <w:wordWrap/>
        <w:overflowPunct/>
        <w:topLinePunct w:val="0"/>
        <w:bidi w:val="0"/>
        <w:spacing w:line="576" w:lineRule="exact"/>
        <w:rPr>
          <w:rFonts w:ascii="Times New Roman" w:hAnsi="Times New Roman" w:cs="Times New Roman"/>
        </w:rPr>
      </w:pPr>
    </w:p>
    <w:p>
      <w:pPr>
        <w:snapToGrid w:val="0"/>
        <w:spacing w:line="360" w:lineRule="auto"/>
        <w:ind w:firstLine="643" w:firstLineChars="200"/>
        <w:rPr>
          <w:rFonts w:hint="eastAsia" w:ascii="仿宋_GB2312" w:hAnsi="宋体" w:eastAsia="仿宋_GB2312" w:cs="宋体"/>
          <w:b/>
          <w:bCs/>
          <w:kern w:val="0"/>
          <w:sz w:val="32"/>
          <w:szCs w:val="32"/>
        </w:rPr>
      </w:pPr>
      <w:bookmarkStart w:id="33" w:name="_Toc15377215"/>
      <w:bookmarkStart w:id="34" w:name="_Toc26843618"/>
      <w:bookmarkStart w:id="35" w:name="_Toc15396609"/>
      <w:r>
        <w:rPr>
          <w:rFonts w:hint="eastAsia" w:ascii="仿宋_GB2312" w:hAnsi="宋体" w:eastAsia="仿宋_GB2312" w:cs="宋体"/>
          <w:b/>
          <w:bCs/>
          <w:kern w:val="0"/>
          <w:sz w:val="32"/>
          <w:szCs w:val="32"/>
        </w:rPr>
        <w:t>（一）收入支出预算安排情况。</w:t>
      </w:r>
    </w:p>
    <w:p>
      <w:pPr>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2022年年初预算</w:t>
      </w:r>
      <w:bookmarkStart w:id="36" w:name="OLE_LINK7"/>
      <w:r>
        <w:rPr>
          <w:rFonts w:hint="eastAsia" w:ascii="仿宋_GB2312" w:hAnsi="宋体" w:eastAsia="仿宋_GB2312" w:cs="宋体"/>
          <w:kern w:val="0"/>
          <w:sz w:val="32"/>
          <w:szCs w:val="32"/>
        </w:rPr>
        <w:t>562.92万元</w:t>
      </w:r>
      <w:bookmarkEnd w:id="36"/>
      <w:r>
        <w:rPr>
          <w:rFonts w:hint="eastAsia" w:ascii="仿宋_GB2312" w:hAnsi="宋体" w:eastAsia="仿宋_GB2312" w:cs="宋体"/>
          <w:kern w:val="0"/>
          <w:sz w:val="32"/>
          <w:szCs w:val="32"/>
        </w:rPr>
        <w:t>，与上年对比有所增加，原因为人员调资。</w:t>
      </w:r>
    </w:p>
    <w:p>
      <w:pPr>
        <w:snapToGrid w:val="0"/>
        <w:spacing w:line="360" w:lineRule="auto"/>
        <w:ind w:firstLine="643" w:firstLineChars="200"/>
        <w:rPr>
          <w:rFonts w:hint="eastAsia" w:ascii="仿宋_GB2312" w:hAnsi="宋体" w:eastAsia="仿宋_GB2312" w:cs="宋体"/>
          <w:b/>
          <w:bCs/>
          <w:kern w:val="0"/>
          <w:sz w:val="32"/>
          <w:szCs w:val="32"/>
        </w:rPr>
      </w:pPr>
      <w:r>
        <w:rPr>
          <w:rFonts w:hint="eastAsia" w:ascii="仿宋_GB2312" w:hAnsi="宋体" w:eastAsia="仿宋_GB2312" w:cs="宋体"/>
          <w:b/>
          <w:bCs/>
          <w:kern w:val="0"/>
          <w:sz w:val="32"/>
          <w:szCs w:val="32"/>
        </w:rPr>
        <w:t>（二）收入支出预算执行情况。</w:t>
      </w:r>
    </w:p>
    <w:p>
      <w:pPr>
        <w:snapToGrid w:val="0"/>
        <w:spacing w:line="360" w:lineRule="auto"/>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2022年总收入992.24万元，总支出992.24万元，与上年度对比，基本支出增加，原因是2022年人员调资，项目支出增加，原因是2022年实施项目增加。</w:t>
      </w:r>
    </w:p>
    <w:p>
      <w:pPr>
        <w:snapToGrid w:val="0"/>
        <w:spacing w:line="360" w:lineRule="auto"/>
        <w:ind w:firstLine="420" w:firstLineChars="200"/>
        <w:rPr>
          <w:rFonts w:hint="eastAsia"/>
          <w:szCs w:val="32"/>
        </w:rPr>
      </w:pPr>
      <w:r>
        <w:drawing>
          <wp:inline distT="0" distB="0" distL="114300" distR="114300">
            <wp:extent cx="4572000" cy="2743200"/>
            <wp:effectExtent l="4445" t="4445" r="14605" b="14605"/>
            <wp:docPr id="2" name="图表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snapToGrid w:val="0"/>
        <w:spacing w:line="360" w:lineRule="auto"/>
        <w:ind w:firstLine="643" w:firstLineChars="200"/>
        <w:rPr>
          <w:rFonts w:hint="eastAsia" w:ascii="仿宋_GB2312" w:hAnsi="宋体" w:eastAsia="仿宋_GB2312" w:cs="宋体"/>
          <w:b/>
          <w:bCs/>
          <w:kern w:val="0"/>
          <w:sz w:val="32"/>
          <w:szCs w:val="32"/>
        </w:rPr>
      </w:pPr>
      <w:r>
        <w:rPr>
          <w:rFonts w:hint="eastAsia" w:ascii="仿宋_GB2312" w:hAnsi="宋体" w:eastAsia="仿宋_GB2312" w:cs="宋体"/>
          <w:b/>
          <w:bCs/>
          <w:kern w:val="0"/>
          <w:sz w:val="32"/>
          <w:szCs w:val="32"/>
        </w:rPr>
        <w:t>1．收入支出与预算对比分析。</w:t>
      </w:r>
    </w:p>
    <w:p>
      <w:pPr>
        <w:snapToGrid w:val="0"/>
        <w:spacing w:line="360" w:lineRule="auto"/>
        <w:ind w:firstLine="643" w:firstLineChars="200"/>
        <w:rPr>
          <w:rFonts w:hint="eastAsia" w:ascii="仿宋_GB2312" w:hAnsi="宋体" w:eastAsia="仿宋_GB2312" w:cs="宋体"/>
          <w:b/>
          <w:bCs/>
          <w:kern w:val="0"/>
          <w:sz w:val="32"/>
          <w:szCs w:val="32"/>
        </w:rPr>
      </w:pPr>
      <w:r>
        <w:rPr>
          <w:rFonts w:hint="eastAsia" w:ascii="仿宋_GB2312" w:hAnsi="宋体" w:eastAsia="仿宋_GB2312" w:cs="宋体"/>
          <w:b/>
          <w:bCs/>
          <w:kern w:val="0"/>
          <w:sz w:val="32"/>
          <w:szCs w:val="32"/>
        </w:rPr>
        <w:t>（1）预、决算差异情况。</w:t>
      </w:r>
    </w:p>
    <w:tbl>
      <w:tblPr>
        <w:tblStyle w:val="15"/>
        <w:tblW w:w="0" w:type="auto"/>
        <w:tblInd w:w="91" w:type="dxa"/>
        <w:tblLayout w:type="fixed"/>
        <w:tblCellMar>
          <w:top w:w="0" w:type="dxa"/>
          <w:left w:w="108" w:type="dxa"/>
          <w:bottom w:w="0" w:type="dxa"/>
          <w:right w:w="108" w:type="dxa"/>
        </w:tblCellMar>
      </w:tblPr>
      <w:tblGrid>
        <w:gridCol w:w="1140"/>
        <w:gridCol w:w="2670"/>
        <w:gridCol w:w="2220"/>
        <w:gridCol w:w="2280"/>
        <w:gridCol w:w="15"/>
      </w:tblGrid>
      <w:tr>
        <w:tblPrEx>
          <w:tblCellMar>
            <w:top w:w="0" w:type="dxa"/>
            <w:left w:w="108" w:type="dxa"/>
            <w:bottom w:w="0" w:type="dxa"/>
            <w:right w:w="108" w:type="dxa"/>
          </w:tblCellMar>
        </w:tblPrEx>
        <w:trPr>
          <w:trHeight w:val="397" w:hRule="atLeast"/>
        </w:trPr>
        <w:tc>
          <w:tcPr>
            <w:tcW w:w="8325" w:type="dxa"/>
            <w:gridSpan w:val="5"/>
            <w:tcBorders>
              <w:top w:val="nil"/>
              <w:left w:val="nil"/>
              <w:bottom w:val="single" w:color="auto" w:sz="4" w:space="0"/>
              <w:right w:val="nil"/>
            </w:tcBorders>
            <w:noWrap w:val="0"/>
            <w:vAlign w:val="center"/>
          </w:tcPr>
          <w:p>
            <w:pPr>
              <w:widowControl/>
              <w:jc w:val="center"/>
              <w:rPr>
                <w:rFonts w:ascii="宋体" w:hAnsi="宋体" w:cs="宋体"/>
                <w:kern w:val="0"/>
                <w:sz w:val="24"/>
              </w:rPr>
            </w:pPr>
            <w:r>
              <w:rPr>
                <w:rFonts w:hint="eastAsia" w:ascii="宋体" w:hAnsi="宋体" w:cs="宋体"/>
                <w:kern w:val="0"/>
                <w:sz w:val="28"/>
                <w:szCs w:val="28"/>
              </w:rPr>
              <w:t>收入与预算对比</w:t>
            </w:r>
          </w:p>
        </w:tc>
      </w:tr>
      <w:tr>
        <w:tblPrEx>
          <w:tblCellMar>
            <w:top w:w="0" w:type="dxa"/>
            <w:left w:w="108" w:type="dxa"/>
            <w:bottom w:w="0" w:type="dxa"/>
            <w:right w:w="108" w:type="dxa"/>
          </w:tblCellMar>
        </w:tblPrEx>
        <w:trPr>
          <w:trHeight w:val="397" w:hRule="atLeast"/>
        </w:trPr>
        <w:tc>
          <w:tcPr>
            <w:tcW w:w="1140"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　</w:t>
            </w:r>
          </w:p>
        </w:tc>
        <w:tc>
          <w:tcPr>
            <w:tcW w:w="2670"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　</w:t>
            </w:r>
          </w:p>
        </w:tc>
        <w:tc>
          <w:tcPr>
            <w:tcW w:w="2220"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收入决算数</w:t>
            </w:r>
          </w:p>
        </w:tc>
        <w:tc>
          <w:tcPr>
            <w:tcW w:w="2295"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预算数</w:t>
            </w:r>
          </w:p>
        </w:tc>
      </w:tr>
      <w:tr>
        <w:tblPrEx>
          <w:tblCellMar>
            <w:top w:w="0" w:type="dxa"/>
            <w:left w:w="108" w:type="dxa"/>
            <w:bottom w:w="0" w:type="dxa"/>
            <w:right w:w="108" w:type="dxa"/>
          </w:tblCellMar>
        </w:tblPrEx>
        <w:trPr>
          <w:trHeight w:val="397" w:hRule="atLeast"/>
        </w:trPr>
        <w:tc>
          <w:tcPr>
            <w:tcW w:w="1140" w:type="dxa"/>
            <w:tcBorders>
              <w:top w:val="nil"/>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kern w:val="0"/>
                <w:sz w:val="24"/>
              </w:rPr>
            </w:pPr>
            <w:bookmarkStart w:id="37" w:name="OLE_LINK1" w:colFirst="1" w:colLast="1"/>
            <w:r>
              <w:rPr>
                <w:rFonts w:hint="eastAsia" w:ascii="宋体" w:hAnsi="宋体" w:cs="宋体"/>
                <w:color w:val="000000"/>
                <w:kern w:val="0"/>
                <w:sz w:val="22"/>
                <w:szCs w:val="22"/>
                <w:lang w:bidi="ar"/>
              </w:rPr>
              <w:t>2010101</w:t>
            </w:r>
          </w:p>
        </w:tc>
        <w:tc>
          <w:tcPr>
            <w:tcW w:w="2670" w:type="dxa"/>
            <w:tcBorders>
              <w:top w:val="nil"/>
              <w:left w:val="nil"/>
              <w:bottom w:val="single" w:color="auto" w:sz="4" w:space="0"/>
              <w:right w:val="single" w:color="auto" w:sz="4" w:space="0"/>
            </w:tcBorders>
            <w:noWrap w:val="0"/>
            <w:vAlign w:val="center"/>
          </w:tcPr>
          <w:p>
            <w:pPr>
              <w:widowControl/>
              <w:jc w:val="left"/>
              <w:textAlignment w:val="center"/>
              <w:rPr>
                <w:rFonts w:hint="eastAsia" w:ascii="宋体" w:hAnsi="宋体" w:cs="宋体"/>
                <w:kern w:val="0"/>
                <w:sz w:val="24"/>
              </w:rPr>
            </w:pPr>
            <w:r>
              <w:rPr>
                <w:rFonts w:hint="eastAsia" w:ascii="宋体" w:hAnsi="宋体" w:cs="宋体"/>
                <w:color w:val="000000"/>
                <w:kern w:val="0"/>
                <w:sz w:val="22"/>
                <w:szCs w:val="22"/>
                <w:lang w:bidi="ar"/>
              </w:rPr>
              <w:t xml:space="preserve">  人大运行</w:t>
            </w:r>
          </w:p>
        </w:tc>
        <w:tc>
          <w:tcPr>
            <w:tcW w:w="2220" w:type="dxa"/>
            <w:tcBorders>
              <w:top w:val="nil"/>
              <w:left w:val="nil"/>
              <w:bottom w:val="single" w:color="auto" w:sz="4" w:space="0"/>
              <w:right w:val="single" w:color="auto" w:sz="4" w:space="0"/>
            </w:tcBorders>
            <w:noWrap w:val="0"/>
            <w:vAlign w:val="center"/>
          </w:tcPr>
          <w:p>
            <w:pPr>
              <w:widowControl/>
              <w:jc w:val="right"/>
              <w:textAlignment w:val="center"/>
              <w:rPr>
                <w:rFonts w:hint="eastAsia" w:ascii="宋体" w:hAnsi="宋体" w:cs="宋体"/>
                <w:kern w:val="0"/>
                <w:sz w:val="24"/>
              </w:rPr>
            </w:pPr>
            <w:r>
              <w:rPr>
                <w:rFonts w:hint="eastAsia" w:ascii="宋体" w:hAnsi="宋体" w:cs="宋体"/>
                <w:color w:val="000000"/>
                <w:kern w:val="0"/>
                <w:sz w:val="22"/>
                <w:szCs w:val="22"/>
                <w:lang w:bidi="ar"/>
              </w:rPr>
              <w:t>210,270.78</w:t>
            </w:r>
          </w:p>
        </w:tc>
        <w:tc>
          <w:tcPr>
            <w:tcW w:w="2295"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 w:val="24"/>
              </w:rPr>
            </w:pPr>
            <w:r>
              <w:rPr>
                <w:rFonts w:hint="eastAsia" w:ascii="宋体" w:hAnsi="宋体" w:cs="宋体"/>
                <w:kern w:val="0"/>
                <w:sz w:val="24"/>
              </w:rPr>
              <w:t>98,542.00</w:t>
            </w:r>
          </w:p>
        </w:tc>
      </w:tr>
      <w:tr>
        <w:tblPrEx>
          <w:tblCellMar>
            <w:top w:w="0" w:type="dxa"/>
            <w:left w:w="108" w:type="dxa"/>
            <w:bottom w:w="0" w:type="dxa"/>
            <w:right w:w="108" w:type="dxa"/>
          </w:tblCellMar>
        </w:tblPrEx>
        <w:trPr>
          <w:trHeight w:val="90" w:hRule="atLeast"/>
        </w:trPr>
        <w:tc>
          <w:tcPr>
            <w:tcW w:w="1140" w:type="dxa"/>
            <w:tcBorders>
              <w:top w:val="nil"/>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kern w:val="0"/>
                <w:sz w:val="24"/>
              </w:rPr>
            </w:pPr>
            <w:r>
              <w:rPr>
                <w:rFonts w:hint="eastAsia" w:ascii="宋体" w:hAnsi="宋体" w:cs="宋体"/>
                <w:color w:val="000000"/>
                <w:kern w:val="0"/>
                <w:sz w:val="22"/>
                <w:szCs w:val="22"/>
                <w:lang w:bidi="ar"/>
              </w:rPr>
              <w:t>2010104</w:t>
            </w:r>
          </w:p>
        </w:tc>
        <w:tc>
          <w:tcPr>
            <w:tcW w:w="2670" w:type="dxa"/>
            <w:tcBorders>
              <w:top w:val="nil"/>
              <w:left w:val="nil"/>
              <w:bottom w:val="single" w:color="auto" w:sz="4" w:space="0"/>
              <w:right w:val="single" w:color="auto" w:sz="4" w:space="0"/>
            </w:tcBorders>
            <w:noWrap w:val="0"/>
            <w:vAlign w:val="center"/>
          </w:tcPr>
          <w:p>
            <w:pPr>
              <w:widowControl/>
              <w:jc w:val="left"/>
              <w:textAlignment w:val="center"/>
              <w:rPr>
                <w:rFonts w:hint="eastAsia" w:ascii="宋体" w:hAnsi="宋体" w:cs="宋体"/>
                <w:kern w:val="0"/>
                <w:sz w:val="24"/>
              </w:rPr>
            </w:pPr>
            <w:r>
              <w:rPr>
                <w:rFonts w:hint="eastAsia" w:ascii="宋体" w:hAnsi="宋体" w:cs="宋体"/>
                <w:color w:val="000000"/>
                <w:kern w:val="0"/>
                <w:sz w:val="22"/>
                <w:szCs w:val="22"/>
                <w:lang w:bidi="ar"/>
              </w:rPr>
              <w:t xml:space="preserve">  人大会议</w:t>
            </w:r>
          </w:p>
        </w:tc>
        <w:tc>
          <w:tcPr>
            <w:tcW w:w="2220" w:type="dxa"/>
            <w:tcBorders>
              <w:top w:val="nil"/>
              <w:left w:val="nil"/>
              <w:bottom w:val="single" w:color="auto" w:sz="4" w:space="0"/>
              <w:right w:val="single" w:color="auto" w:sz="4" w:space="0"/>
            </w:tcBorders>
            <w:noWrap w:val="0"/>
            <w:vAlign w:val="center"/>
          </w:tcPr>
          <w:p>
            <w:pPr>
              <w:widowControl/>
              <w:jc w:val="right"/>
              <w:textAlignment w:val="center"/>
              <w:rPr>
                <w:rFonts w:hint="eastAsia" w:ascii="宋体" w:hAnsi="宋体" w:cs="宋体"/>
                <w:kern w:val="0"/>
                <w:sz w:val="24"/>
              </w:rPr>
            </w:pPr>
            <w:r>
              <w:rPr>
                <w:rFonts w:hint="eastAsia" w:ascii="宋体" w:hAnsi="宋体" w:cs="宋体"/>
                <w:color w:val="000000"/>
                <w:kern w:val="0"/>
                <w:sz w:val="22"/>
                <w:szCs w:val="22"/>
                <w:lang w:bidi="ar"/>
              </w:rPr>
              <w:t>2,000.00</w:t>
            </w:r>
          </w:p>
        </w:tc>
        <w:tc>
          <w:tcPr>
            <w:tcW w:w="2295"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 w:val="24"/>
              </w:rPr>
            </w:pPr>
            <w:r>
              <w:rPr>
                <w:rFonts w:hint="eastAsia" w:ascii="宋体" w:hAnsi="宋体" w:cs="宋体"/>
                <w:kern w:val="0"/>
                <w:sz w:val="24"/>
              </w:rPr>
              <w:t>2,000.00</w:t>
            </w:r>
          </w:p>
        </w:tc>
      </w:tr>
      <w:tr>
        <w:tblPrEx>
          <w:tblCellMar>
            <w:top w:w="0" w:type="dxa"/>
            <w:left w:w="108" w:type="dxa"/>
            <w:bottom w:w="0" w:type="dxa"/>
            <w:right w:w="108" w:type="dxa"/>
          </w:tblCellMar>
        </w:tblPrEx>
        <w:trPr>
          <w:trHeight w:val="397" w:hRule="atLeast"/>
        </w:trPr>
        <w:tc>
          <w:tcPr>
            <w:tcW w:w="1140" w:type="dxa"/>
            <w:tcBorders>
              <w:top w:val="nil"/>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kern w:val="0"/>
                <w:sz w:val="24"/>
              </w:rPr>
            </w:pPr>
            <w:r>
              <w:rPr>
                <w:rFonts w:hint="eastAsia" w:ascii="宋体" w:hAnsi="宋体" w:cs="宋体"/>
                <w:color w:val="000000"/>
                <w:kern w:val="0"/>
                <w:sz w:val="22"/>
                <w:szCs w:val="22"/>
                <w:lang w:bidi="ar"/>
              </w:rPr>
              <w:t>2010301</w:t>
            </w:r>
          </w:p>
        </w:tc>
        <w:tc>
          <w:tcPr>
            <w:tcW w:w="2670" w:type="dxa"/>
            <w:tcBorders>
              <w:top w:val="nil"/>
              <w:left w:val="nil"/>
              <w:bottom w:val="single" w:color="auto" w:sz="4" w:space="0"/>
              <w:right w:val="single" w:color="auto" w:sz="4" w:space="0"/>
            </w:tcBorders>
            <w:noWrap w:val="0"/>
            <w:vAlign w:val="center"/>
          </w:tcPr>
          <w:p>
            <w:pPr>
              <w:widowControl/>
              <w:jc w:val="left"/>
              <w:textAlignment w:val="center"/>
              <w:rPr>
                <w:rFonts w:hint="eastAsia" w:ascii="宋体" w:hAnsi="宋体" w:cs="宋体"/>
                <w:kern w:val="0"/>
                <w:sz w:val="24"/>
              </w:rPr>
            </w:pPr>
            <w:r>
              <w:rPr>
                <w:rFonts w:hint="eastAsia" w:ascii="宋体" w:hAnsi="宋体" w:cs="宋体"/>
                <w:color w:val="000000"/>
                <w:kern w:val="0"/>
                <w:sz w:val="22"/>
                <w:szCs w:val="22"/>
                <w:lang w:bidi="ar"/>
              </w:rPr>
              <w:t xml:space="preserve">  行政运行</w:t>
            </w:r>
          </w:p>
        </w:tc>
        <w:tc>
          <w:tcPr>
            <w:tcW w:w="2220" w:type="dxa"/>
            <w:tcBorders>
              <w:top w:val="nil"/>
              <w:left w:val="nil"/>
              <w:bottom w:val="single" w:color="auto" w:sz="4" w:space="0"/>
              <w:right w:val="single" w:color="auto" w:sz="4" w:space="0"/>
            </w:tcBorders>
            <w:noWrap w:val="0"/>
            <w:vAlign w:val="center"/>
          </w:tcPr>
          <w:p>
            <w:pPr>
              <w:widowControl/>
              <w:jc w:val="right"/>
              <w:textAlignment w:val="center"/>
              <w:rPr>
                <w:rFonts w:hint="eastAsia" w:ascii="宋体" w:hAnsi="宋体" w:cs="宋体"/>
                <w:kern w:val="0"/>
                <w:sz w:val="24"/>
              </w:rPr>
            </w:pPr>
            <w:r>
              <w:rPr>
                <w:rFonts w:hint="eastAsia" w:ascii="宋体" w:hAnsi="宋体" w:cs="宋体"/>
                <w:color w:val="000000"/>
                <w:kern w:val="0"/>
                <w:sz w:val="22"/>
                <w:szCs w:val="22"/>
                <w:lang w:bidi="ar"/>
              </w:rPr>
              <w:t>2,893,611.07</w:t>
            </w:r>
          </w:p>
        </w:tc>
        <w:tc>
          <w:tcPr>
            <w:tcW w:w="2295"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 w:val="24"/>
              </w:rPr>
            </w:pPr>
            <w:r>
              <w:rPr>
                <w:rFonts w:hint="eastAsia" w:ascii="宋体" w:hAnsi="宋体" w:cs="宋体"/>
                <w:kern w:val="0"/>
                <w:sz w:val="24"/>
              </w:rPr>
              <w:t>1,117,559.00</w:t>
            </w:r>
          </w:p>
        </w:tc>
      </w:tr>
      <w:tr>
        <w:tblPrEx>
          <w:tblCellMar>
            <w:top w:w="0" w:type="dxa"/>
            <w:left w:w="108" w:type="dxa"/>
            <w:bottom w:w="0" w:type="dxa"/>
            <w:right w:w="108" w:type="dxa"/>
          </w:tblCellMar>
        </w:tblPrEx>
        <w:trPr>
          <w:gridAfter w:val="1"/>
          <w:wAfter w:w="15" w:type="dxa"/>
          <w:trHeight w:val="397" w:hRule="atLeast"/>
        </w:trPr>
        <w:tc>
          <w:tcPr>
            <w:tcW w:w="1140" w:type="dxa"/>
            <w:tcBorders>
              <w:top w:val="nil"/>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kern w:val="0"/>
                <w:sz w:val="24"/>
              </w:rPr>
            </w:pPr>
            <w:r>
              <w:rPr>
                <w:rFonts w:hint="eastAsia" w:ascii="宋体" w:hAnsi="宋体" w:cs="宋体"/>
                <w:color w:val="000000"/>
                <w:kern w:val="0"/>
                <w:sz w:val="22"/>
                <w:szCs w:val="22"/>
                <w:lang w:bidi="ar"/>
              </w:rPr>
              <w:t>2013101</w:t>
            </w:r>
          </w:p>
        </w:tc>
        <w:tc>
          <w:tcPr>
            <w:tcW w:w="2670" w:type="dxa"/>
            <w:tcBorders>
              <w:top w:val="nil"/>
              <w:left w:val="nil"/>
              <w:bottom w:val="single" w:color="auto" w:sz="4" w:space="0"/>
              <w:right w:val="single" w:color="auto" w:sz="4" w:space="0"/>
            </w:tcBorders>
            <w:noWrap w:val="0"/>
            <w:vAlign w:val="center"/>
          </w:tcPr>
          <w:p>
            <w:pPr>
              <w:widowControl/>
              <w:jc w:val="left"/>
              <w:textAlignment w:val="center"/>
              <w:rPr>
                <w:rFonts w:hint="eastAsia" w:ascii="宋体" w:hAnsi="宋体" w:cs="宋体"/>
                <w:kern w:val="0"/>
                <w:sz w:val="24"/>
              </w:rPr>
            </w:pPr>
            <w:r>
              <w:rPr>
                <w:rFonts w:hint="eastAsia" w:ascii="宋体" w:hAnsi="宋体" w:cs="宋体"/>
                <w:color w:val="000000"/>
                <w:kern w:val="0"/>
                <w:sz w:val="22"/>
                <w:szCs w:val="22"/>
                <w:lang w:bidi="ar"/>
              </w:rPr>
              <w:t xml:space="preserve">  党委运行</w:t>
            </w:r>
          </w:p>
        </w:tc>
        <w:tc>
          <w:tcPr>
            <w:tcW w:w="2220" w:type="dxa"/>
            <w:tcBorders>
              <w:top w:val="nil"/>
              <w:left w:val="nil"/>
              <w:bottom w:val="single" w:color="auto" w:sz="4" w:space="0"/>
              <w:right w:val="single" w:color="auto" w:sz="4" w:space="0"/>
            </w:tcBorders>
            <w:noWrap w:val="0"/>
            <w:vAlign w:val="center"/>
          </w:tcPr>
          <w:p>
            <w:pPr>
              <w:widowControl/>
              <w:jc w:val="right"/>
              <w:textAlignment w:val="center"/>
              <w:rPr>
                <w:rFonts w:hint="eastAsia" w:ascii="宋体" w:hAnsi="宋体" w:cs="宋体"/>
                <w:kern w:val="0"/>
                <w:sz w:val="24"/>
              </w:rPr>
            </w:pPr>
            <w:r>
              <w:rPr>
                <w:rFonts w:hint="eastAsia" w:ascii="宋体" w:hAnsi="宋体" w:cs="宋体"/>
                <w:color w:val="000000"/>
                <w:kern w:val="0"/>
                <w:sz w:val="22"/>
                <w:szCs w:val="22"/>
                <w:lang w:bidi="ar"/>
              </w:rPr>
              <w:t>201,575.60</w:t>
            </w:r>
          </w:p>
        </w:tc>
        <w:tc>
          <w:tcPr>
            <w:tcW w:w="228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 w:val="24"/>
              </w:rPr>
            </w:pPr>
            <w:r>
              <w:rPr>
                <w:rFonts w:hint="eastAsia" w:ascii="宋体" w:hAnsi="宋体" w:cs="宋体"/>
                <w:kern w:val="0"/>
                <w:sz w:val="24"/>
              </w:rPr>
              <w:t>79,699.00</w:t>
            </w:r>
          </w:p>
        </w:tc>
      </w:tr>
      <w:tr>
        <w:tblPrEx>
          <w:tblCellMar>
            <w:top w:w="0" w:type="dxa"/>
            <w:left w:w="108" w:type="dxa"/>
            <w:bottom w:w="0" w:type="dxa"/>
            <w:right w:w="108" w:type="dxa"/>
          </w:tblCellMar>
        </w:tblPrEx>
        <w:trPr>
          <w:gridAfter w:val="1"/>
          <w:wAfter w:w="15" w:type="dxa"/>
          <w:trHeight w:val="397" w:hRule="atLeast"/>
        </w:trPr>
        <w:tc>
          <w:tcPr>
            <w:tcW w:w="1140" w:type="dxa"/>
            <w:tcBorders>
              <w:top w:val="nil"/>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kern w:val="0"/>
                <w:sz w:val="24"/>
              </w:rPr>
            </w:pPr>
            <w:r>
              <w:rPr>
                <w:rFonts w:hint="eastAsia" w:ascii="宋体" w:hAnsi="宋体" w:cs="宋体"/>
                <w:color w:val="000000"/>
                <w:kern w:val="0"/>
                <w:sz w:val="22"/>
                <w:szCs w:val="22"/>
                <w:lang w:bidi="ar"/>
              </w:rPr>
              <w:t>2080505</w:t>
            </w:r>
          </w:p>
        </w:tc>
        <w:tc>
          <w:tcPr>
            <w:tcW w:w="2670" w:type="dxa"/>
            <w:tcBorders>
              <w:top w:val="nil"/>
              <w:left w:val="nil"/>
              <w:bottom w:val="single" w:color="auto" w:sz="4" w:space="0"/>
              <w:right w:val="single" w:color="auto" w:sz="4" w:space="0"/>
            </w:tcBorders>
            <w:noWrap w:val="0"/>
            <w:vAlign w:val="center"/>
          </w:tcPr>
          <w:p>
            <w:pPr>
              <w:widowControl/>
              <w:jc w:val="left"/>
              <w:textAlignment w:val="center"/>
              <w:rPr>
                <w:rFonts w:hint="eastAsia" w:ascii="宋体" w:hAnsi="宋体" w:cs="宋体"/>
                <w:kern w:val="0"/>
                <w:sz w:val="24"/>
              </w:rPr>
            </w:pPr>
            <w:r>
              <w:rPr>
                <w:rFonts w:hint="eastAsia" w:ascii="宋体" w:hAnsi="宋体" w:cs="宋体"/>
                <w:color w:val="000000"/>
                <w:kern w:val="0"/>
                <w:sz w:val="22"/>
                <w:szCs w:val="22"/>
                <w:lang w:bidi="ar"/>
              </w:rPr>
              <w:t xml:space="preserve">  机关事业单位基本养老保险缴费支出</w:t>
            </w:r>
          </w:p>
        </w:tc>
        <w:tc>
          <w:tcPr>
            <w:tcW w:w="2220" w:type="dxa"/>
            <w:tcBorders>
              <w:top w:val="nil"/>
              <w:left w:val="nil"/>
              <w:bottom w:val="single" w:color="auto" w:sz="4" w:space="0"/>
              <w:right w:val="single" w:color="auto" w:sz="4" w:space="0"/>
            </w:tcBorders>
            <w:noWrap w:val="0"/>
            <w:vAlign w:val="center"/>
          </w:tcPr>
          <w:p>
            <w:pPr>
              <w:widowControl/>
              <w:jc w:val="right"/>
              <w:textAlignment w:val="center"/>
              <w:rPr>
                <w:rFonts w:hint="eastAsia" w:ascii="宋体" w:hAnsi="宋体" w:cs="宋体"/>
                <w:kern w:val="0"/>
                <w:sz w:val="24"/>
              </w:rPr>
            </w:pPr>
            <w:r>
              <w:rPr>
                <w:rFonts w:hint="eastAsia" w:ascii="宋体" w:hAnsi="宋体" w:cs="宋体"/>
                <w:color w:val="000000"/>
                <w:kern w:val="0"/>
                <w:sz w:val="22"/>
                <w:szCs w:val="22"/>
                <w:lang w:bidi="ar"/>
              </w:rPr>
              <w:t>491,201.76</w:t>
            </w:r>
          </w:p>
        </w:tc>
        <w:tc>
          <w:tcPr>
            <w:tcW w:w="228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 w:val="24"/>
              </w:rPr>
            </w:pPr>
            <w:r>
              <w:rPr>
                <w:rFonts w:hint="eastAsia" w:ascii="宋体" w:hAnsi="宋体" w:cs="宋体"/>
                <w:kern w:val="0"/>
                <w:sz w:val="24"/>
              </w:rPr>
              <w:t>276,673.00</w:t>
            </w:r>
          </w:p>
        </w:tc>
      </w:tr>
      <w:tr>
        <w:tblPrEx>
          <w:tblCellMar>
            <w:top w:w="0" w:type="dxa"/>
            <w:left w:w="108" w:type="dxa"/>
            <w:bottom w:w="0" w:type="dxa"/>
            <w:right w:w="108" w:type="dxa"/>
          </w:tblCellMar>
        </w:tblPrEx>
        <w:trPr>
          <w:gridAfter w:val="1"/>
          <w:wAfter w:w="15" w:type="dxa"/>
          <w:trHeight w:val="397" w:hRule="atLeast"/>
        </w:trPr>
        <w:tc>
          <w:tcPr>
            <w:tcW w:w="1140" w:type="dxa"/>
            <w:tcBorders>
              <w:top w:val="nil"/>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kern w:val="0"/>
                <w:sz w:val="24"/>
              </w:rPr>
            </w:pPr>
            <w:r>
              <w:rPr>
                <w:rFonts w:hint="eastAsia" w:ascii="宋体" w:hAnsi="宋体" w:cs="宋体"/>
                <w:color w:val="000000"/>
                <w:kern w:val="0"/>
                <w:sz w:val="22"/>
                <w:szCs w:val="22"/>
                <w:lang w:bidi="ar"/>
              </w:rPr>
              <w:t>2080506</w:t>
            </w:r>
          </w:p>
        </w:tc>
        <w:tc>
          <w:tcPr>
            <w:tcW w:w="2670" w:type="dxa"/>
            <w:tcBorders>
              <w:top w:val="nil"/>
              <w:left w:val="nil"/>
              <w:bottom w:val="single" w:color="auto" w:sz="4" w:space="0"/>
              <w:right w:val="single" w:color="auto" w:sz="4" w:space="0"/>
            </w:tcBorders>
            <w:noWrap w:val="0"/>
            <w:vAlign w:val="center"/>
          </w:tcPr>
          <w:p>
            <w:pPr>
              <w:widowControl/>
              <w:jc w:val="left"/>
              <w:textAlignment w:val="center"/>
              <w:rPr>
                <w:rFonts w:hint="eastAsia" w:ascii="宋体" w:hAnsi="宋体" w:cs="宋体"/>
                <w:kern w:val="0"/>
                <w:sz w:val="24"/>
              </w:rPr>
            </w:pPr>
            <w:r>
              <w:rPr>
                <w:rFonts w:hint="eastAsia" w:ascii="宋体" w:hAnsi="宋体" w:cs="宋体"/>
                <w:color w:val="000000"/>
                <w:kern w:val="0"/>
                <w:sz w:val="22"/>
                <w:szCs w:val="22"/>
                <w:lang w:bidi="ar"/>
              </w:rPr>
              <w:t xml:space="preserve">  机关事业单位职业年金缴费支出</w:t>
            </w:r>
          </w:p>
        </w:tc>
        <w:tc>
          <w:tcPr>
            <w:tcW w:w="2220" w:type="dxa"/>
            <w:tcBorders>
              <w:top w:val="nil"/>
              <w:left w:val="nil"/>
              <w:bottom w:val="single" w:color="auto" w:sz="4" w:space="0"/>
              <w:right w:val="single" w:color="auto" w:sz="4" w:space="0"/>
            </w:tcBorders>
            <w:noWrap w:val="0"/>
            <w:vAlign w:val="center"/>
          </w:tcPr>
          <w:p>
            <w:pPr>
              <w:widowControl/>
              <w:jc w:val="right"/>
              <w:textAlignment w:val="center"/>
              <w:rPr>
                <w:rFonts w:hint="eastAsia" w:ascii="宋体" w:hAnsi="宋体" w:cs="宋体"/>
                <w:kern w:val="0"/>
                <w:sz w:val="24"/>
              </w:rPr>
            </w:pPr>
            <w:r>
              <w:rPr>
                <w:rFonts w:hint="eastAsia" w:ascii="宋体" w:hAnsi="宋体" w:cs="宋体"/>
                <w:color w:val="000000"/>
                <w:kern w:val="0"/>
                <w:sz w:val="22"/>
                <w:szCs w:val="22"/>
                <w:lang w:bidi="ar"/>
              </w:rPr>
              <w:t>245,600.88</w:t>
            </w:r>
          </w:p>
        </w:tc>
        <w:tc>
          <w:tcPr>
            <w:tcW w:w="228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 w:val="24"/>
              </w:rPr>
            </w:pPr>
            <w:r>
              <w:rPr>
                <w:rFonts w:hint="eastAsia" w:ascii="宋体" w:hAnsi="宋体" w:cs="宋体"/>
                <w:kern w:val="0"/>
                <w:sz w:val="24"/>
              </w:rPr>
              <w:t>320,534.00</w:t>
            </w:r>
          </w:p>
        </w:tc>
      </w:tr>
      <w:tr>
        <w:tblPrEx>
          <w:tblCellMar>
            <w:top w:w="0" w:type="dxa"/>
            <w:left w:w="108" w:type="dxa"/>
            <w:bottom w:w="0" w:type="dxa"/>
            <w:right w:w="108" w:type="dxa"/>
          </w:tblCellMar>
        </w:tblPrEx>
        <w:trPr>
          <w:gridAfter w:val="1"/>
          <w:wAfter w:w="15" w:type="dxa"/>
          <w:trHeight w:val="397" w:hRule="atLeast"/>
        </w:trPr>
        <w:tc>
          <w:tcPr>
            <w:tcW w:w="1140" w:type="dxa"/>
            <w:tcBorders>
              <w:top w:val="nil"/>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kern w:val="0"/>
                <w:sz w:val="24"/>
              </w:rPr>
            </w:pPr>
            <w:r>
              <w:rPr>
                <w:rFonts w:hint="eastAsia" w:ascii="宋体" w:hAnsi="宋体" w:cs="宋体"/>
                <w:color w:val="000000"/>
                <w:kern w:val="0"/>
                <w:sz w:val="22"/>
                <w:szCs w:val="22"/>
                <w:lang w:bidi="ar"/>
              </w:rPr>
              <w:t>2100410</w:t>
            </w:r>
          </w:p>
        </w:tc>
        <w:tc>
          <w:tcPr>
            <w:tcW w:w="2670" w:type="dxa"/>
            <w:tcBorders>
              <w:top w:val="nil"/>
              <w:left w:val="nil"/>
              <w:bottom w:val="single" w:color="auto" w:sz="4" w:space="0"/>
              <w:right w:val="single" w:color="auto" w:sz="4" w:space="0"/>
            </w:tcBorders>
            <w:noWrap w:val="0"/>
            <w:vAlign w:val="center"/>
          </w:tcPr>
          <w:p>
            <w:pPr>
              <w:widowControl/>
              <w:jc w:val="left"/>
              <w:textAlignment w:val="center"/>
              <w:rPr>
                <w:rFonts w:hint="eastAsia" w:ascii="宋体" w:hAnsi="宋体" w:cs="宋体"/>
                <w:kern w:val="0"/>
                <w:sz w:val="24"/>
              </w:rPr>
            </w:pPr>
            <w:r>
              <w:rPr>
                <w:rFonts w:hint="eastAsia" w:ascii="宋体" w:hAnsi="宋体" w:cs="宋体"/>
                <w:color w:val="000000"/>
                <w:kern w:val="0"/>
                <w:sz w:val="22"/>
                <w:szCs w:val="22"/>
                <w:lang w:bidi="ar"/>
              </w:rPr>
              <w:t xml:space="preserve">  突发公共卫生事件应急处理</w:t>
            </w:r>
          </w:p>
        </w:tc>
        <w:tc>
          <w:tcPr>
            <w:tcW w:w="2220" w:type="dxa"/>
            <w:tcBorders>
              <w:top w:val="nil"/>
              <w:left w:val="nil"/>
              <w:bottom w:val="single" w:color="auto" w:sz="4" w:space="0"/>
              <w:right w:val="single" w:color="auto" w:sz="4" w:space="0"/>
            </w:tcBorders>
            <w:noWrap w:val="0"/>
            <w:vAlign w:val="center"/>
          </w:tcPr>
          <w:p>
            <w:pPr>
              <w:widowControl/>
              <w:jc w:val="right"/>
              <w:textAlignment w:val="center"/>
              <w:rPr>
                <w:rFonts w:hint="eastAsia" w:ascii="宋体" w:hAnsi="宋体" w:cs="宋体"/>
                <w:kern w:val="0"/>
                <w:sz w:val="24"/>
              </w:rPr>
            </w:pPr>
            <w:r>
              <w:rPr>
                <w:rFonts w:hint="eastAsia" w:ascii="宋体" w:hAnsi="宋体" w:cs="宋体"/>
                <w:color w:val="000000"/>
                <w:kern w:val="0"/>
                <w:sz w:val="22"/>
                <w:szCs w:val="22"/>
                <w:lang w:bidi="ar"/>
              </w:rPr>
              <w:t>50,000.00</w:t>
            </w:r>
          </w:p>
        </w:tc>
        <w:tc>
          <w:tcPr>
            <w:tcW w:w="2280" w:type="dxa"/>
            <w:tcBorders>
              <w:top w:val="nil"/>
              <w:left w:val="nil"/>
              <w:bottom w:val="single" w:color="auto" w:sz="4" w:space="0"/>
              <w:right w:val="single" w:color="auto" w:sz="4" w:space="0"/>
            </w:tcBorders>
            <w:noWrap w:val="0"/>
            <w:vAlign w:val="center"/>
          </w:tcPr>
          <w:p>
            <w:pPr>
              <w:jc w:val="center"/>
              <w:rPr>
                <w:rFonts w:hint="eastAsia" w:ascii="宋体" w:hAnsi="宋体" w:cs="宋体"/>
                <w:kern w:val="0"/>
                <w:sz w:val="24"/>
              </w:rPr>
            </w:pPr>
            <w:r>
              <w:rPr>
                <w:rFonts w:hint="eastAsia" w:ascii="宋体" w:hAnsi="宋体" w:cs="宋体"/>
                <w:kern w:val="0"/>
                <w:sz w:val="24"/>
              </w:rPr>
              <w:t>128,213.00</w:t>
            </w:r>
          </w:p>
        </w:tc>
      </w:tr>
      <w:tr>
        <w:tblPrEx>
          <w:tblCellMar>
            <w:top w:w="0" w:type="dxa"/>
            <w:left w:w="108" w:type="dxa"/>
            <w:bottom w:w="0" w:type="dxa"/>
            <w:right w:w="108" w:type="dxa"/>
          </w:tblCellMar>
        </w:tblPrEx>
        <w:trPr>
          <w:gridAfter w:val="1"/>
          <w:wAfter w:w="15" w:type="dxa"/>
          <w:trHeight w:val="397" w:hRule="atLeast"/>
        </w:trPr>
        <w:tc>
          <w:tcPr>
            <w:tcW w:w="1140" w:type="dxa"/>
            <w:tcBorders>
              <w:top w:val="nil"/>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kern w:val="0"/>
                <w:sz w:val="24"/>
              </w:rPr>
            </w:pPr>
            <w:r>
              <w:rPr>
                <w:rFonts w:hint="eastAsia" w:ascii="宋体" w:hAnsi="宋体" w:cs="宋体"/>
                <w:color w:val="000000"/>
                <w:kern w:val="0"/>
                <w:sz w:val="22"/>
                <w:szCs w:val="22"/>
                <w:lang w:bidi="ar"/>
              </w:rPr>
              <w:t>2101101</w:t>
            </w:r>
          </w:p>
        </w:tc>
        <w:tc>
          <w:tcPr>
            <w:tcW w:w="2670" w:type="dxa"/>
            <w:tcBorders>
              <w:top w:val="nil"/>
              <w:left w:val="nil"/>
              <w:bottom w:val="single" w:color="auto" w:sz="4" w:space="0"/>
              <w:right w:val="single" w:color="auto" w:sz="4" w:space="0"/>
            </w:tcBorders>
            <w:noWrap w:val="0"/>
            <w:vAlign w:val="center"/>
          </w:tcPr>
          <w:p>
            <w:pPr>
              <w:widowControl/>
              <w:jc w:val="left"/>
              <w:textAlignment w:val="center"/>
              <w:rPr>
                <w:rFonts w:hint="eastAsia" w:ascii="宋体" w:hAnsi="宋体" w:cs="宋体"/>
                <w:kern w:val="0"/>
                <w:sz w:val="24"/>
              </w:rPr>
            </w:pPr>
            <w:r>
              <w:rPr>
                <w:rFonts w:hint="eastAsia" w:ascii="宋体" w:hAnsi="宋体" w:cs="宋体"/>
                <w:color w:val="000000"/>
                <w:kern w:val="0"/>
                <w:sz w:val="22"/>
                <w:szCs w:val="22"/>
                <w:lang w:bidi="ar"/>
              </w:rPr>
              <w:t xml:space="preserve">  行政单位医疗</w:t>
            </w:r>
          </w:p>
        </w:tc>
        <w:tc>
          <w:tcPr>
            <w:tcW w:w="2220" w:type="dxa"/>
            <w:tcBorders>
              <w:top w:val="nil"/>
              <w:left w:val="nil"/>
              <w:bottom w:val="single" w:color="auto" w:sz="4" w:space="0"/>
              <w:right w:val="single" w:color="auto" w:sz="4" w:space="0"/>
            </w:tcBorders>
            <w:noWrap w:val="0"/>
            <w:vAlign w:val="center"/>
          </w:tcPr>
          <w:p>
            <w:pPr>
              <w:widowControl/>
              <w:jc w:val="right"/>
              <w:textAlignment w:val="center"/>
              <w:rPr>
                <w:rFonts w:hint="eastAsia" w:ascii="宋体" w:hAnsi="宋体" w:cs="宋体"/>
                <w:kern w:val="0"/>
                <w:sz w:val="24"/>
              </w:rPr>
            </w:pPr>
            <w:r>
              <w:rPr>
                <w:rFonts w:hint="eastAsia" w:ascii="宋体" w:hAnsi="宋体" w:cs="宋体"/>
                <w:color w:val="000000"/>
                <w:kern w:val="0"/>
                <w:sz w:val="22"/>
                <w:szCs w:val="22"/>
                <w:lang w:bidi="ar"/>
              </w:rPr>
              <w:t>144,290.77</w:t>
            </w:r>
          </w:p>
        </w:tc>
        <w:tc>
          <w:tcPr>
            <w:tcW w:w="2280" w:type="dxa"/>
            <w:tcBorders>
              <w:top w:val="nil"/>
              <w:left w:val="nil"/>
              <w:bottom w:val="single" w:color="auto" w:sz="4" w:space="0"/>
              <w:right w:val="single" w:color="auto" w:sz="4" w:space="0"/>
            </w:tcBorders>
            <w:noWrap w:val="0"/>
            <w:vAlign w:val="center"/>
          </w:tcPr>
          <w:p>
            <w:pPr>
              <w:jc w:val="center"/>
              <w:rPr>
                <w:rFonts w:ascii="宋体" w:hAnsi="宋体" w:cs="宋体"/>
                <w:kern w:val="0"/>
                <w:sz w:val="24"/>
              </w:rPr>
            </w:pPr>
            <w:r>
              <w:rPr>
                <w:rFonts w:hint="eastAsia" w:ascii="宋体" w:hAnsi="宋体" w:cs="宋体"/>
                <w:kern w:val="0"/>
                <w:sz w:val="24"/>
              </w:rPr>
              <w:t>93,720.00</w:t>
            </w:r>
          </w:p>
        </w:tc>
      </w:tr>
      <w:tr>
        <w:tblPrEx>
          <w:tblCellMar>
            <w:top w:w="0" w:type="dxa"/>
            <w:left w:w="108" w:type="dxa"/>
            <w:bottom w:w="0" w:type="dxa"/>
            <w:right w:w="108" w:type="dxa"/>
          </w:tblCellMar>
        </w:tblPrEx>
        <w:trPr>
          <w:gridAfter w:val="1"/>
          <w:wAfter w:w="15" w:type="dxa"/>
          <w:trHeight w:val="412" w:hRule="atLeast"/>
        </w:trPr>
        <w:tc>
          <w:tcPr>
            <w:tcW w:w="1140" w:type="dxa"/>
            <w:tcBorders>
              <w:top w:val="nil"/>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kern w:val="0"/>
                <w:sz w:val="24"/>
              </w:rPr>
            </w:pPr>
            <w:r>
              <w:rPr>
                <w:rFonts w:hint="eastAsia" w:ascii="宋体" w:hAnsi="宋体" w:cs="宋体"/>
                <w:color w:val="000000"/>
                <w:kern w:val="0"/>
                <w:sz w:val="22"/>
                <w:szCs w:val="22"/>
                <w:lang w:bidi="ar"/>
              </w:rPr>
              <w:t>2101102</w:t>
            </w:r>
          </w:p>
        </w:tc>
        <w:tc>
          <w:tcPr>
            <w:tcW w:w="2670" w:type="dxa"/>
            <w:tcBorders>
              <w:top w:val="nil"/>
              <w:left w:val="nil"/>
              <w:bottom w:val="single" w:color="auto" w:sz="4" w:space="0"/>
              <w:right w:val="single" w:color="auto" w:sz="4" w:space="0"/>
            </w:tcBorders>
            <w:noWrap w:val="0"/>
            <w:vAlign w:val="center"/>
          </w:tcPr>
          <w:p>
            <w:pPr>
              <w:widowControl/>
              <w:jc w:val="left"/>
              <w:textAlignment w:val="center"/>
              <w:rPr>
                <w:rFonts w:hint="eastAsia" w:ascii="宋体" w:hAnsi="宋体" w:cs="宋体"/>
                <w:kern w:val="0"/>
                <w:sz w:val="24"/>
              </w:rPr>
            </w:pPr>
            <w:r>
              <w:rPr>
                <w:rFonts w:hint="eastAsia" w:ascii="宋体" w:hAnsi="宋体" w:cs="宋体"/>
                <w:color w:val="000000"/>
                <w:kern w:val="0"/>
                <w:sz w:val="22"/>
                <w:szCs w:val="22"/>
                <w:lang w:bidi="ar"/>
              </w:rPr>
              <w:t xml:space="preserve">  事业单位医疗</w:t>
            </w:r>
          </w:p>
        </w:tc>
        <w:tc>
          <w:tcPr>
            <w:tcW w:w="2220" w:type="dxa"/>
            <w:tcBorders>
              <w:top w:val="nil"/>
              <w:left w:val="nil"/>
              <w:bottom w:val="single" w:color="auto" w:sz="4" w:space="0"/>
              <w:right w:val="single" w:color="auto" w:sz="4" w:space="0"/>
            </w:tcBorders>
            <w:noWrap w:val="0"/>
            <w:vAlign w:val="center"/>
          </w:tcPr>
          <w:p>
            <w:pPr>
              <w:widowControl/>
              <w:jc w:val="right"/>
              <w:textAlignment w:val="center"/>
              <w:rPr>
                <w:rFonts w:hint="eastAsia" w:ascii="宋体" w:hAnsi="宋体" w:cs="宋体"/>
                <w:kern w:val="0"/>
                <w:sz w:val="24"/>
              </w:rPr>
            </w:pPr>
            <w:r>
              <w:rPr>
                <w:rFonts w:hint="eastAsia" w:ascii="宋体" w:hAnsi="宋体" w:cs="宋体"/>
                <w:color w:val="000000"/>
                <w:kern w:val="0"/>
                <w:sz w:val="22"/>
                <w:szCs w:val="22"/>
                <w:lang w:bidi="ar"/>
              </w:rPr>
              <w:t>89,039.97</w:t>
            </w:r>
          </w:p>
        </w:tc>
        <w:tc>
          <w:tcPr>
            <w:tcW w:w="2280" w:type="dxa"/>
            <w:tcBorders>
              <w:top w:val="nil"/>
              <w:left w:val="nil"/>
              <w:bottom w:val="single" w:color="auto" w:sz="4" w:space="0"/>
              <w:right w:val="single" w:color="auto" w:sz="4" w:space="0"/>
            </w:tcBorders>
            <w:noWrap w:val="0"/>
            <w:vAlign w:val="center"/>
          </w:tcPr>
          <w:p>
            <w:pPr>
              <w:jc w:val="center"/>
              <w:rPr>
                <w:rFonts w:ascii="宋体" w:hAnsi="宋体" w:cs="宋体"/>
                <w:kern w:val="0"/>
                <w:sz w:val="24"/>
              </w:rPr>
            </w:pPr>
            <w:r>
              <w:rPr>
                <w:rFonts w:hint="eastAsia" w:ascii="宋体" w:hAnsi="宋体" w:cs="宋体"/>
                <w:kern w:val="0"/>
                <w:sz w:val="24"/>
              </w:rPr>
              <w:t>15,229.00</w:t>
            </w:r>
          </w:p>
        </w:tc>
      </w:tr>
      <w:tr>
        <w:tblPrEx>
          <w:tblCellMar>
            <w:top w:w="0" w:type="dxa"/>
            <w:left w:w="108" w:type="dxa"/>
            <w:bottom w:w="0" w:type="dxa"/>
            <w:right w:w="108" w:type="dxa"/>
          </w:tblCellMar>
        </w:tblPrEx>
        <w:trPr>
          <w:gridAfter w:val="1"/>
          <w:wAfter w:w="15" w:type="dxa"/>
          <w:trHeight w:val="397" w:hRule="atLeast"/>
        </w:trPr>
        <w:tc>
          <w:tcPr>
            <w:tcW w:w="1140" w:type="dxa"/>
            <w:tcBorders>
              <w:top w:val="nil"/>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kern w:val="0"/>
                <w:sz w:val="24"/>
              </w:rPr>
            </w:pPr>
            <w:r>
              <w:rPr>
                <w:rFonts w:hint="eastAsia" w:ascii="宋体" w:hAnsi="宋体" w:cs="宋体"/>
                <w:color w:val="000000"/>
                <w:kern w:val="0"/>
                <w:sz w:val="22"/>
                <w:szCs w:val="22"/>
                <w:lang w:bidi="ar"/>
              </w:rPr>
              <w:t>2101103</w:t>
            </w:r>
          </w:p>
        </w:tc>
        <w:tc>
          <w:tcPr>
            <w:tcW w:w="2670" w:type="dxa"/>
            <w:tcBorders>
              <w:top w:val="nil"/>
              <w:left w:val="nil"/>
              <w:bottom w:val="single" w:color="auto" w:sz="4" w:space="0"/>
              <w:right w:val="single" w:color="auto" w:sz="4" w:space="0"/>
            </w:tcBorders>
            <w:noWrap w:val="0"/>
            <w:vAlign w:val="center"/>
          </w:tcPr>
          <w:p>
            <w:pPr>
              <w:widowControl/>
              <w:jc w:val="left"/>
              <w:textAlignment w:val="center"/>
              <w:rPr>
                <w:rFonts w:hint="eastAsia" w:ascii="宋体" w:hAnsi="宋体" w:cs="宋体"/>
                <w:kern w:val="0"/>
                <w:sz w:val="24"/>
              </w:rPr>
            </w:pPr>
            <w:r>
              <w:rPr>
                <w:rFonts w:hint="eastAsia" w:ascii="宋体" w:hAnsi="宋体" w:cs="宋体"/>
                <w:color w:val="000000"/>
                <w:kern w:val="0"/>
                <w:sz w:val="22"/>
                <w:szCs w:val="22"/>
                <w:lang w:bidi="ar"/>
              </w:rPr>
              <w:t xml:space="preserve">  公务员医疗补助</w:t>
            </w:r>
          </w:p>
        </w:tc>
        <w:tc>
          <w:tcPr>
            <w:tcW w:w="2220" w:type="dxa"/>
            <w:tcBorders>
              <w:top w:val="nil"/>
              <w:left w:val="nil"/>
              <w:bottom w:val="single" w:color="auto" w:sz="4" w:space="0"/>
              <w:right w:val="single" w:color="auto" w:sz="4" w:space="0"/>
            </w:tcBorders>
            <w:noWrap w:val="0"/>
            <w:vAlign w:val="center"/>
          </w:tcPr>
          <w:p>
            <w:pPr>
              <w:widowControl/>
              <w:jc w:val="right"/>
              <w:textAlignment w:val="center"/>
              <w:rPr>
                <w:rFonts w:hint="eastAsia" w:ascii="宋体" w:hAnsi="宋体" w:cs="宋体"/>
                <w:kern w:val="0"/>
                <w:sz w:val="24"/>
              </w:rPr>
            </w:pPr>
            <w:r>
              <w:rPr>
                <w:rFonts w:hint="eastAsia" w:ascii="宋体" w:hAnsi="宋体" w:cs="宋体"/>
                <w:color w:val="000000"/>
                <w:kern w:val="0"/>
                <w:sz w:val="22"/>
                <w:szCs w:val="22"/>
                <w:lang w:bidi="ar"/>
              </w:rPr>
              <w:t>34,726.94</w:t>
            </w:r>
          </w:p>
        </w:tc>
        <w:tc>
          <w:tcPr>
            <w:tcW w:w="2280" w:type="dxa"/>
            <w:tcBorders>
              <w:top w:val="nil"/>
              <w:left w:val="nil"/>
              <w:bottom w:val="single" w:color="auto" w:sz="4" w:space="0"/>
              <w:right w:val="single" w:color="auto" w:sz="4" w:space="0"/>
            </w:tcBorders>
            <w:noWrap w:val="0"/>
            <w:vAlign w:val="center"/>
          </w:tcPr>
          <w:p>
            <w:pPr>
              <w:jc w:val="center"/>
              <w:rPr>
                <w:rFonts w:ascii="宋体" w:hAnsi="宋体" w:cs="宋体"/>
                <w:kern w:val="0"/>
                <w:sz w:val="24"/>
              </w:rPr>
            </w:pPr>
            <w:r>
              <w:rPr>
                <w:rFonts w:hint="eastAsia" w:ascii="宋体" w:hAnsi="宋体" w:cs="宋体"/>
                <w:kern w:val="0"/>
                <w:sz w:val="24"/>
              </w:rPr>
              <w:t>11,500.00</w:t>
            </w:r>
          </w:p>
        </w:tc>
      </w:tr>
      <w:tr>
        <w:tblPrEx>
          <w:tblCellMar>
            <w:top w:w="0" w:type="dxa"/>
            <w:left w:w="108" w:type="dxa"/>
            <w:bottom w:w="0" w:type="dxa"/>
            <w:right w:w="108" w:type="dxa"/>
          </w:tblCellMar>
        </w:tblPrEx>
        <w:trPr>
          <w:gridAfter w:val="1"/>
          <w:wAfter w:w="15" w:type="dxa"/>
          <w:trHeight w:val="397" w:hRule="atLeast"/>
        </w:trPr>
        <w:tc>
          <w:tcPr>
            <w:tcW w:w="1140" w:type="dxa"/>
            <w:tcBorders>
              <w:top w:val="nil"/>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kern w:val="0"/>
                <w:sz w:val="24"/>
              </w:rPr>
            </w:pPr>
            <w:r>
              <w:rPr>
                <w:rFonts w:hint="eastAsia" w:ascii="宋体" w:hAnsi="宋体" w:cs="宋体"/>
                <w:color w:val="000000"/>
                <w:kern w:val="0"/>
                <w:sz w:val="22"/>
                <w:szCs w:val="22"/>
                <w:lang w:bidi="ar"/>
              </w:rPr>
              <w:t>2101199</w:t>
            </w:r>
          </w:p>
        </w:tc>
        <w:tc>
          <w:tcPr>
            <w:tcW w:w="2670" w:type="dxa"/>
            <w:tcBorders>
              <w:top w:val="nil"/>
              <w:left w:val="nil"/>
              <w:bottom w:val="single" w:color="auto" w:sz="4" w:space="0"/>
              <w:right w:val="single" w:color="auto" w:sz="4" w:space="0"/>
            </w:tcBorders>
            <w:noWrap w:val="0"/>
            <w:vAlign w:val="center"/>
          </w:tcPr>
          <w:p>
            <w:pPr>
              <w:widowControl/>
              <w:jc w:val="left"/>
              <w:textAlignment w:val="center"/>
              <w:rPr>
                <w:rFonts w:ascii="宋体" w:hAnsi="宋体" w:cs="宋体"/>
                <w:kern w:val="0"/>
                <w:sz w:val="24"/>
              </w:rPr>
            </w:pPr>
            <w:r>
              <w:rPr>
                <w:rFonts w:hint="eastAsia" w:ascii="宋体" w:hAnsi="宋体" w:cs="宋体"/>
                <w:color w:val="000000"/>
                <w:kern w:val="0"/>
                <w:sz w:val="22"/>
                <w:szCs w:val="22"/>
                <w:lang w:bidi="ar"/>
              </w:rPr>
              <w:t xml:space="preserve">  其他行政事业单位医疗支出</w:t>
            </w:r>
          </w:p>
        </w:tc>
        <w:tc>
          <w:tcPr>
            <w:tcW w:w="2220" w:type="dxa"/>
            <w:tcBorders>
              <w:top w:val="nil"/>
              <w:left w:val="nil"/>
              <w:bottom w:val="single" w:color="auto" w:sz="4" w:space="0"/>
              <w:right w:val="single" w:color="auto" w:sz="4" w:space="0"/>
            </w:tcBorders>
            <w:noWrap w:val="0"/>
            <w:vAlign w:val="center"/>
          </w:tcPr>
          <w:p>
            <w:pPr>
              <w:widowControl/>
              <w:jc w:val="right"/>
              <w:textAlignment w:val="center"/>
              <w:rPr>
                <w:rFonts w:hint="eastAsia" w:ascii="宋体" w:hAnsi="宋体" w:cs="宋体"/>
                <w:kern w:val="0"/>
                <w:sz w:val="24"/>
              </w:rPr>
            </w:pPr>
            <w:r>
              <w:rPr>
                <w:rFonts w:hint="eastAsia" w:ascii="宋体" w:hAnsi="宋体" w:cs="宋体"/>
                <w:color w:val="000000"/>
                <w:kern w:val="0"/>
                <w:sz w:val="22"/>
                <w:szCs w:val="22"/>
                <w:lang w:bidi="ar"/>
              </w:rPr>
              <w:t>22,028.64</w:t>
            </w:r>
          </w:p>
        </w:tc>
        <w:tc>
          <w:tcPr>
            <w:tcW w:w="2280" w:type="dxa"/>
            <w:tcBorders>
              <w:top w:val="nil"/>
              <w:left w:val="nil"/>
              <w:bottom w:val="single" w:color="auto" w:sz="4" w:space="0"/>
              <w:right w:val="single" w:color="auto" w:sz="4" w:space="0"/>
            </w:tcBorders>
            <w:noWrap w:val="0"/>
            <w:vAlign w:val="center"/>
          </w:tcPr>
          <w:p>
            <w:pPr>
              <w:jc w:val="center"/>
              <w:rPr>
                <w:rFonts w:ascii="宋体" w:hAnsi="宋体" w:cs="宋体"/>
                <w:kern w:val="0"/>
                <w:sz w:val="24"/>
              </w:rPr>
            </w:pPr>
            <w:r>
              <w:rPr>
                <w:rFonts w:hint="eastAsia" w:ascii="宋体" w:hAnsi="宋体" w:cs="宋体"/>
                <w:kern w:val="0"/>
                <w:sz w:val="24"/>
              </w:rPr>
              <w:t>234,635.00</w:t>
            </w:r>
          </w:p>
        </w:tc>
      </w:tr>
      <w:tr>
        <w:tblPrEx>
          <w:tblCellMar>
            <w:top w:w="0" w:type="dxa"/>
            <w:left w:w="108" w:type="dxa"/>
            <w:bottom w:w="0" w:type="dxa"/>
            <w:right w:w="108" w:type="dxa"/>
          </w:tblCellMar>
        </w:tblPrEx>
        <w:trPr>
          <w:gridAfter w:val="1"/>
          <w:wAfter w:w="15" w:type="dxa"/>
          <w:trHeight w:val="397" w:hRule="atLeast"/>
        </w:trPr>
        <w:tc>
          <w:tcPr>
            <w:tcW w:w="1140" w:type="dxa"/>
            <w:tcBorders>
              <w:top w:val="nil"/>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kern w:val="0"/>
                <w:sz w:val="24"/>
              </w:rPr>
            </w:pPr>
            <w:r>
              <w:rPr>
                <w:rFonts w:hint="eastAsia" w:ascii="宋体" w:hAnsi="宋体" w:cs="宋体"/>
                <w:color w:val="000000"/>
                <w:kern w:val="0"/>
                <w:sz w:val="22"/>
                <w:szCs w:val="22"/>
                <w:lang w:bidi="ar"/>
              </w:rPr>
              <w:t>2110401</w:t>
            </w:r>
          </w:p>
        </w:tc>
        <w:tc>
          <w:tcPr>
            <w:tcW w:w="2670" w:type="dxa"/>
            <w:tcBorders>
              <w:top w:val="nil"/>
              <w:left w:val="nil"/>
              <w:bottom w:val="single" w:color="auto" w:sz="4" w:space="0"/>
              <w:right w:val="single" w:color="auto" w:sz="4" w:space="0"/>
            </w:tcBorders>
            <w:noWrap w:val="0"/>
            <w:vAlign w:val="center"/>
          </w:tcPr>
          <w:p>
            <w:pPr>
              <w:widowControl/>
              <w:jc w:val="left"/>
              <w:textAlignment w:val="center"/>
              <w:rPr>
                <w:rFonts w:hint="eastAsia" w:ascii="宋体" w:hAnsi="宋体" w:cs="宋体"/>
                <w:kern w:val="0"/>
                <w:sz w:val="24"/>
              </w:rPr>
            </w:pPr>
            <w:r>
              <w:rPr>
                <w:rFonts w:hint="eastAsia" w:ascii="宋体" w:hAnsi="宋体" w:cs="宋体"/>
                <w:color w:val="000000"/>
                <w:kern w:val="0"/>
                <w:sz w:val="22"/>
                <w:szCs w:val="22"/>
                <w:lang w:bidi="ar"/>
              </w:rPr>
              <w:t xml:space="preserve">  生态保护</w:t>
            </w:r>
          </w:p>
        </w:tc>
        <w:tc>
          <w:tcPr>
            <w:tcW w:w="2220" w:type="dxa"/>
            <w:tcBorders>
              <w:top w:val="nil"/>
              <w:left w:val="nil"/>
              <w:bottom w:val="single" w:color="auto" w:sz="4" w:space="0"/>
              <w:right w:val="single" w:color="auto" w:sz="4" w:space="0"/>
            </w:tcBorders>
            <w:noWrap w:val="0"/>
            <w:vAlign w:val="center"/>
          </w:tcPr>
          <w:p>
            <w:pPr>
              <w:widowControl/>
              <w:jc w:val="right"/>
              <w:textAlignment w:val="center"/>
              <w:rPr>
                <w:rFonts w:hint="eastAsia" w:ascii="宋体" w:hAnsi="宋体" w:cs="宋体"/>
                <w:kern w:val="0"/>
                <w:sz w:val="24"/>
              </w:rPr>
            </w:pPr>
            <w:r>
              <w:rPr>
                <w:rFonts w:hint="eastAsia" w:ascii="宋体" w:hAnsi="宋体" w:cs="宋体"/>
                <w:color w:val="000000"/>
                <w:kern w:val="0"/>
                <w:sz w:val="22"/>
                <w:szCs w:val="22"/>
                <w:lang w:bidi="ar"/>
              </w:rPr>
              <w:t>936,169.40</w:t>
            </w:r>
          </w:p>
        </w:tc>
        <w:tc>
          <w:tcPr>
            <w:tcW w:w="2280" w:type="dxa"/>
            <w:tcBorders>
              <w:top w:val="nil"/>
              <w:left w:val="nil"/>
              <w:bottom w:val="single" w:color="auto" w:sz="4" w:space="0"/>
              <w:right w:val="single" w:color="auto" w:sz="4" w:space="0"/>
            </w:tcBorders>
            <w:noWrap w:val="0"/>
            <w:vAlign w:val="center"/>
          </w:tcPr>
          <w:p>
            <w:pPr>
              <w:jc w:val="center"/>
              <w:rPr>
                <w:rFonts w:ascii="宋体" w:hAnsi="宋体" w:cs="宋体"/>
                <w:kern w:val="0"/>
                <w:sz w:val="24"/>
              </w:rPr>
            </w:pPr>
            <w:r>
              <w:rPr>
                <w:rFonts w:hint="eastAsia" w:ascii="宋体" w:hAnsi="宋体" w:cs="宋体"/>
                <w:kern w:val="0"/>
                <w:sz w:val="24"/>
              </w:rPr>
              <w:t>36,240.00</w:t>
            </w:r>
          </w:p>
        </w:tc>
      </w:tr>
      <w:tr>
        <w:tblPrEx>
          <w:tblCellMar>
            <w:top w:w="0" w:type="dxa"/>
            <w:left w:w="108" w:type="dxa"/>
            <w:bottom w:w="0" w:type="dxa"/>
            <w:right w:w="108" w:type="dxa"/>
          </w:tblCellMar>
        </w:tblPrEx>
        <w:trPr>
          <w:gridAfter w:val="1"/>
          <w:wAfter w:w="15" w:type="dxa"/>
          <w:trHeight w:val="397" w:hRule="atLeast"/>
        </w:trPr>
        <w:tc>
          <w:tcPr>
            <w:tcW w:w="1140" w:type="dxa"/>
            <w:tcBorders>
              <w:top w:val="nil"/>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kern w:val="0"/>
                <w:sz w:val="24"/>
              </w:rPr>
            </w:pPr>
            <w:r>
              <w:rPr>
                <w:rFonts w:hint="eastAsia" w:ascii="宋体" w:hAnsi="宋体" w:cs="宋体"/>
                <w:color w:val="000000"/>
                <w:kern w:val="0"/>
                <w:sz w:val="22"/>
                <w:szCs w:val="22"/>
                <w:lang w:bidi="ar"/>
              </w:rPr>
              <w:t>2130104</w:t>
            </w:r>
          </w:p>
        </w:tc>
        <w:tc>
          <w:tcPr>
            <w:tcW w:w="2670" w:type="dxa"/>
            <w:tcBorders>
              <w:top w:val="nil"/>
              <w:left w:val="nil"/>
              <w:bottom w:val="single" w:color="auto" w:sz="4" w:space="0"/>
              <w:right w:val="single" w:color="auto" w:sz="4" w:space="0"/>
            </w:tcBorders>
            <w:noWrap w:val="0"/>
            <w:vAlign w:val="center"/>
          </w:tcPr>
          <w:p>
            <w:pPr>
              <w:widowControl/>
              <w:jc w:val="left"/>
              <w:textAlignment w:val="center"/>
              <w:rPr>
                <w:rFonts w:hint="eastAsia" w:ascii="宋体" w:hAnsi="宋体" w:cs="宋体"/>
                <w:kern w:val="0"/>
                <w:sz w:val="24"/>
              </w:rPr>
            </w:pPr>
            <w:r>
              <w:rPr>
                <w:rFonts w:hint="eastAsia" w:ascii="宋体" w:hAnsi="宋体" w:cs="宋体"/>
                <w:color w:val="000000"/>
                <w:kern w:val="0"/>
                <w:sz w:val="22"/>
                <w:szCs w:val="22"/>
                <w:lang w:bidi="ar"/>
              </w:rPr>
              <w:t xml:space="preserve">  事业运行</w:t>
            </w:r>
          </w:p>
        </w:tc>
        <w:tc>
          <w:tcPr>
            <w:tcW w:w="2220" w:type="dxa"/>
            <w:tcBorders>
              <w:top w:val="nil"/>
              <w:left w:val="nil"/>
              <w:bottom w:val="single" w:color="auto" w:sz="4" w:space="0"/>
              <w:right w:val="single" w:color="auto" w:sz="4" w:space="0"/>
            </w:tcBorders>
            <w:noWrap w:val="0"/>
            <w:vAlign w:val="center"/>
          </w:tcPr>
          <w:p>
            <w:pPr>
              <w:widowControl/>
              <w:jc w:val="right"/>
              <w:textAlignment w:val="center"/>
              <w:rPr>
                <w:rFonts w:hint="eastAsia" w:ascii="宋体" w:hAnsi="宋体" w:cs="宋体"/>
                <w:kern w:val="0"/>
                <w:sz w:val="24"/>
              </w:rPr>
            </w:pPr>
            <w:r>
              <w:rPr>
                <w:rFonts w:hint="eastAsia" w:ascii="宋体" w:hAnsi="宋体" w:cs="宋体"/>
                <w:color w:val="000000"/>
                <w:kern w:val="0"/>
                <w:sz w:val="22"/>
                <w:szCs w:val="22"/>
                <w:lang w:bidi="ar"/>
              </w:rPr>
              <w:t>1,885,626.52</w:t>
            </w:r>
          </w:p>
        </w:tc>
        <w:tc>
          <w:tcPr>
            <w:tcW w:w="228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 w:val="24"/>
              </w:rPr>
            </w:pPr>
          </w:p>
        </w:tc>
      </w:tr>
      <w:tr>
        <w:tblPrEx>
          <w:tblCellMar>
            <w:top w:w="0" w:type="dxa"/>
            <w:left w:w="108" w:type="dxa"/>
            <w:bottom w:w="0" w:type="dxa"/>
            <w:right w:w="108" w:type="dxa"/>
          </w:tblCellMar>
        </w:tblPrEx>
        <w:trPr>
          <w:gridAfter w:val="1"/>
          <w:wAfter w:w="15" w:type="dxa"/>
          <w:trHeight w:val="397" w:hRule="atLeast"/>
        </w:trPr>
        <w:tc>
          <w:tcPr>
            <w:tcW w:w="1140" w:type="dxa"/>
            <w:tcBorders>
              <w:top w:val="nil"/>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kern w:val="0"/>
                <w:sz w:val="24"/>
              </w:rPr>
            </w:pPr>
            <w:r>
              <w:rPr>
                <w:rFonts w:hint="eastAsia" w:ascii="宋体" w:hAnsi="宋体" w:cs="宋体"/>
                <w:color w:val="000000"/>
                <w:kern w:val="0"/>
                <w:sz w:val="22"/>
                <w:szCs w:val="22"/>
                <w:lang w:bidi="ar"/>
              </w:rPr>
              <w:t>2130705</w:t>
            </w:r>
          </w:p>
        </w:tc>
        <w:tc>
          <w:tcPr>
            <w:tcW w:w="2670" w:type="dxa"/>
            <w:tcBorders>
              <w:top w:val="nil"/>
              <w:left w:val="nil"/>
              <w:bottom w:val="single" w:color="auto" w:sz="4" w:space="0"/>
              <w:right w:val="single" w:color="auto" w:sz="4" w:space="0"/>
            </w:tcBorders>
            <w:noWrap w:val="0"/>
            <w:vAlign w:val="center"/>
          </w:tcPr>
          <w:p>
            <w:pPr>
              <w:widowControl/>
              <w:jc w:val="left"/>
              <w:textAlignment w:val="center"/>
              <w:rPr>
                <w:rFonts w:hint="eastAsia" w:ascii="宋体" w:hAnsi="宋体" w:cs="宋体"/>
                <w:kern w:val="0"/>
                <w:sz w:val="24"/>
              </w:rPr>
            </w:pPr>
            <w:r>
              <w:rPr>
                <w:rFonts w:hint="eastAsia" w:ascii="宋体" w:hAnsi="宋体" w:cs="宋体"/>
                <w:color w:val="000000"/>
                <w:kern w:val="0"/>
                <w:sz w:val="22"/>
                <w:szCs w:val="22"/>
                <w:lang w:bidi="ar"/>
              </w:rPr>
              <w:t xml:space="preserve">  对村民委员会和村党支部的补助</w:t>
            </w:r>
          </w:p>
        </w:tc>
        <w:tc>
          <w:tcPr>
            <w:tcW w:w="2220" w:type="dxa"/>
            <w:tcBorders>
              <w:top w:val="nil"/>
              <w:left w:val="nil"/>
              <w:bottom w:val="single" w:color="auto" w:sz="4" w:space="0"/>
              <w:right w:val="single" w:color="auto" w:sz="4" w:space="0"/>
            </w:tcBorders>
            <w:noWrap w:val="0"/>
            <w:vAlign w:val="center"/>
          </w:tcPr>
          <w:p>
            <w:pPr>
              <w:widowControl/>
              <w:jc w:val="right"/>
              <w:textAlignment w:val="center"/>
              <w:rPr>
                <w:rFonts w:hint="eastAsia" w:ascii="宋体" w:hAnsi="宋体" w:cs="宋体"/>
                <w:kern w:val="0"/>
                <w:sz w:val="24"/>
              </w:rPr>
            </w:pPr>
            <w:r>
              <w:rPr>
                <w:rFonts w:hint="eastAsia" w:ascii="宋体" w:hAnsi="宋体" w:cs="宋体"/>
                <w:color w:val="000000"/>
                <w:kern w:val="0"/>
                <w:sz w:val="22"/>
                <w:szCs w:val="22"/>
                <w:lang w:bidi="ar"/>
              </w:rPr>
              <w:t>1,232,740.00</w:t>
            </w:r>
          </w:p>
        </w:tc>
        <w:tc>
          <w:tcPr>
            <w:tcW w:w="228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 w:val="24"/>
              </w:rPr>
            </w:pPr>
          </w:p>
        </w:tc>
      </w:tr>
      <w:tr>
        <w:tblPrEx>
          <w:tblCellMar>
            <w:top w:w="0" w:type="dxa"/>
            <w:left w:w="108" w:type="dxa"/>
            <w:bottom w:w="0" w:type="dxa"/>
            <w:right w:w="108" w:type="dxa"/>
          </w:tblCellMar>
        </w:tblPrEx>
        <w:trPr>
          <w:gridAfter w:val="1"/>
          <w:wAfter w:w="15" w:type="dxa"/>
          <w:trHeight w:val="397" w:hRule="atLeast"/>
        </w:trPr>
        <w:tc>
          <w:tcPr>
            <w:tcW w:w="1140" w:type="dxa"/>
            <w:tcBorders>
              <w:top w:val="nil"/>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kern w:val="0"/>
                <w:sz w:val="24"/>
              </w:rPr>
            </w:pPr>
            <w:r>
              <w:rPr>
                <w:rFonts w:hint="eastAsia" w:ascii="宋体" w:hAnsi="宋体" w:cs="宋体"/>
                <w:color w:val="000000"/>
                <w:kern w:val="0"/>
                <w:sz w:val="22"/>
                <w:szCs w:val="22"/>
                <w:lang w:bidi="ar"/>
              </w:rPr>
              <w:t>2210201</w:t>
            </w:r>
          </w:p>
        </w:tc>
        <w:tc>
          <w:tcPr>
            <w:tcW w:w="2670" w:type="dxa"/>
            <w:tcBorders>
              <w:top w:val="nil"/>
              <w:left w:val="nil"/>
              <w:bottom w:val="single" w:color="auto" w:sz="4" w:space="0"/>
              <w:right w:val="single" w:color="auto" w:sz="4" w:space="0"/>
            </w:tcBorders>
            <w:noWrap w:val="0"/>
            <w:vAlign w:val="center"/>
          </w:tcPr>
          <w:p>
            <w:pPr>
              <w:widowControl/>
              <w:jc w:val="left"/>
              <w:textAlignment w:val="center"/>
              <w:rPr>
                <w:rFonts w:ascii="宋体" w:hAnsi="宋体" w:cs="宋体"/>
                <w:kern w:val="0"/>
                <w:sz w:val="24"/>
              </w:rPr>
            </w:pPr>
            <w:r>
              <w:rPr>
                <w:rFonts w:hint="eastAsia" w:ascii="宋体" w:hAnsi="宋体" w:cs="宋体"/>
                <w:color w:val="000000"/>
                <w:kern w:val="0"/>
                <w:sz w:val="22"/>
                <w:szCs w:val="22"/>
                <w:lang w:bidi="ar"/>
              </w:rPr>
              <w:t xml:space="preserve">  住房公积金</w:t>
            </w:r>
          </w:p>
        </w:tc>
        <w:tc>
          <w:tcPr>
            <w:tcW w:w="2220" w:type="dxa"/>
            <w:tcBorders>
              <w:top w:val="nil"/>
              <w:left w:val="nil"/>
              <w:bottom w:val="single" w:color="auto" w:sz="4" w:space="0"/>
              <w:right w:val="single" w:color="auto" w:sz="4" w:space="0"/>
            </w:tcBorders>
            <w:noWrap w:val="0"/>
            <w:vAlign w:val="center"/>
          </w:tcPr>
          <w:p>
            <w:pPr>
              <w:widowControl/>
              <w:jc w:val="right"/>
              <w:textAlignment w:val="center"/>
              <w:rPr>
                <w:rFonts w:hint="eastAsia" w:ascii="宋体" w:hAnsi="宋体" w:cs="宋体"/>
                <w:kern w:val="0"/>
                <w:sz w:val="24"/>
              </w:rPr>
            </w:pPr>
            <w:r>
              <w:rPr>
                <w:rFonts w:hint="eastAsia" w:ascii="宋体" w:hAnsi="宋体" w:cs="宋体"/>
                <w:color w:val="000000"/>
                <w:kern w:val="0"/>
                <w:sz w:val="22"/>
                <w:szCs w:val="22"/>
                <w:lang w:bidi="ar"/>
              </w:rPr>
              <w:t>471,882.24</w:t>
            </w:r>
          </w:p>
        </w:tc>
        <w:tc>
          <w:tcPr>
            <w:tcW w:w="2280" w:type="dxa"/>
            <w:tcBorders>
              <w:top w:val="nil"/>
              <w:left w:val="nil"/>
              <w:bottom w:val="single" w:color="auto" w:sz="4" w:space="0"/>
              <w:right w:val="single" w:color="auto" w:sz="4" w:space="0"/>
            </w:tcBorders>
            <w:noWrap w:val="0"/>
            <w:vAlign w:val="center"/>
          </w:tcPr>
          <w:p>
            <w:pPr>
              <w:jc w:val="center"/>
              <w:rPr>
                <w:rFonts w:ascii="宋体" w:hAnsi="宋体" w:cs="宋体"/>
                <w:kern w:val="0"/>
                <w:sz w:val="24"/>
              </w:rPr>
            </w:pPr>
            <w:r>
              <w:rPr>
                <w:rFonts w:hint="eastAsia" w:ascii="宋体" w:hAnsi="宋体" w:cs="宋体"/>
                <w:kern w:val="0"/>
                <w:sz w:val="24"/>
              </w:rPr>
              <w:t>926,360.00</w:t>
            </w:r>
          </w:p>
        </w:tc>
      </w:tr>
      <w:tr>
        <w:tblPrEx>
          <w:tblCellMar>
            <w:top w:w="0" w:type="dxa"/>
            <w:left w:w="108" w:type="dxa"/>
            <w:bottom w:w="0" w:type="dxa"/>
            <w:right w:w="108" w:type="dxa"/>
          </w:tblCellMar>
        </w:tblPrEx>
        <w:trPr>
          <w:gridAfter w:val="1"/>
          <w:wAfter w:w="15" w:type="dxa"/>
          <w:trHeight w:val="397" w:hRule="atLeast"/>
        </w:trPr>
        <w:tc>
          <w:tcPr>
            <w:tcW w:w="1140" w:type="dxa"/>
            <w:tcBorders>
              <w:top w:val="nil"/>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kern w:val="0"/>
                <w:sz w:val="24"/>
              </w:rPr>
            </w:pPr>
            <w:r>
              <w:rPr>
                <w:rFonts w:hint="eastAsia" w:ascii="宋体" w:hAnsi="宋体" w:cs="宋体"/>
                <w:color w:val="000000"/>
                <w:kern w:val="0"/>
                <w:sz w:val="22"/>
                <w:szCs w:val="22"/>
                <w:lang w:bidi="ar"/>
              </w:rPr>
              <w:t>2299999</w:t>
            </w:r>
          </w:p>
        </w:tc>
        <w:tc>
          <w:tcPr>
            <w:tcW w:w="2670" w:type="dxa"/>
            <w:tcBorders>
              <w:top w:val="nil"/>
              <w:left w:val="nil"/>
              <w:bottom w:val="single" w:color="auto" w:sz="4" w:space="0"/>
              <w:right w:val="single" w:color="auto" w:sz="4" w:space="0"/>
            </w:tcBorders>
            <w:noWrap w:val="0"/>
            <w:vAlign w:val="center"/>
          </w:tcPr>
          <w:p>
            <w:pPr>
              <w:widowControl/>
              <w:jc w:val="left"/>
              <w:textAlignment w:val="center"/>
              <w:rPr>
                <w:rFonts w:hint="eastAsia" w:ascii="宋体" w:hAnsi="宋体" w:cs="宋体"/>
                <w:kern w:val="0"/>
                <w:sz w:val="24"/>
              </w:rPr>
            </w:pPr>
            <w:r>
              <w:rPr>
                <w:rFonts w:hint="eastAsia" w:ascii="宋体" w:hAnsi="宋体" w:cs="宋体"/>
                <w:color w:val="000000"/>
                <w:kern w:val="0"/>
                <w:sz w:val="22"/>
                <w:szCs w:val="22"/>
                <w:lang w:bidi="ar"/>
              </w:rPr>
              <w:t xml:space="preserve">  其他支出</w:t>
            </w:r>
          </w:p>
        </w:tc>
        <w:tc>
          <w:tcPr>
            <w:tcW w:w="2220" w:type="dxa"/>
            <w:tcBorders>
              <w:top w:val="nil"/>
              <w:left w:val="nil"/>
              <w:bottom w:val="single" w:color="auto" w:sz="4" w:space="0"/>
              <w:right w:val="single" w:color="auto" w:sz="4" w:space="0"/>
            </w:tcBorders>
            <w:noWrap w:val="0"/>
            <w:vAlign w:val="center"/>
          </w:tcPr>
          <w:p>
            <w:pPr>
              <w:widowControl/>
              <w:jc w:val="right"/>
              <w:textAlignment w:val="center"/>
              <w:rPr>
                <w:rFonts w:hint="eastAsia" w:ascii="宋体" w:hAnsi="宋体" w:cs="宋体"/>
                <w:kern w:val="0"/>
                <w:sz w:val="24"/>
              </w:rPr>
            </w:pPr>
            <w:r>
              <w:rPr>
                <w:rFonts w:hint="eastAsia" w:ascii="宋体" w:hAnsi="宋体" w:cs="宋体"/>
                <w:color w:val="000000"/>
                <w:kern w:val="0"/>
                <w:sz w:val="22"/>
                <w:szCs w:val="22"/>
                <w:lang w:bidi="ar"/>
              </w:rPr>
              <w:t>1,011,646.00</w:t>
            </w:r>
          </w:p>
        </w:tc>
        <w:tc>
          <w:tcPr>
            <w:tcW w:w="2280" w:type="dxa"/>
            <w:tcBorders>
              <w:top w:val="nil"/>
              <w:left w:val="nil"/>
              <w:bottom w:val="single" w:color="auto" w:sz="4" w:space="0"/>
              <w:right w:val="single" w:color="auto" w:sz="4" w:space="0"/>
            </w:tcBorders>
            <w:noWrap w:val="0"/>
            <w:vAlign w:val="center"/>
          </w:tcPr>
          <w:p>
            <w:pPr>
              <w:jc w:val="center"/>
              <w:rPr>
                <w:rFonts w:hint="eastAsia" w:ascii="宋体" w:hAnsi="宋体" w:cs="宋体"/>
                <w:kern w:val="0"/>
                <w:sz w:val="24"/>
              </w:rPr>
            </w:pPr>
            <w:r>
              <w:rPr>
                <w:rFonts w:hint="eastAsia" w:ascii="宋体" w:hAnsi="宋体" w:cs="宋体"/>
                <w:kern w:val="0"/>
                <w:sz w:val="24"/>
              </w:rPr>
              <w:t>236,465.00</w:t>
            </w:r>
          </w:p>
        </w:tc>
      </w:tr>
      <w:bookmarkEnd w:id="37"/>
    </w:tbl>
    <w:p>
      <w:pPr>
        <w:snapToGrid w:val="0"/>
        <w:spacing w:line="360" w:lineRule="auto"/>
        <w:ind w:firstLine="643" w:firstLineChars="200"/>
        <w:rPr>
          <w:rFonts w:hint="eastAsia" w:ascii="仿宋_GB2312" w:hAnsi="宋体" w:eastAsia="仿宋_GB2312" w:cs="宋体"/>
          <w:b/>
          <w:bCs/>
          <w:kern w:val="0"/>
          <w:sz w:val="32"/>
          <w:szCs w:val="32"/>
        </w:rPr>
      </w:pPr>
    </w:p>
    <w:tbl>
      <w:tblPr>
        <w:tblStyle w:val="15"/>
        <w:tblW w:w="0" w:type="auto"/>
        <w:tblInd w:w="91" w:type="dxa"/>
        <w:tblLayout w:type="fixed"/>
        <w:tblCellMar>
          <w:top w:w="0" w:type="dxa"/>
          <w:left w:w="108" w:type="dxa"/>
          <w:bottom w:w="0" w:type="dxa"/>
          <w:right w:w="108" w:type="dxa"/>
        </w:tblCellMar>
      </w:tblPr>
      <w:tblGrid>
        <w:gridCol w:w="1140"/>
        <w:gridCol w:w="2670"/>
        <w:gridCol w:w="2220"/>
        <w:gridCol w:w="2280"/>
        <w:gridCol w:w="15"/>
      </w:tblGrid>
      <w:tr>
        <w:tblPrEx>
          <w:tblCellMar>
            <w:top w:w="0" w:type="dxa"/>
            <w:left w:w="108" w:type="dxa"/>
            <w:bottom w:w="0" w:type="dxa"/>
            <w:right w:w="108" w:type="dxa"/>
          </w:tblCellMar>
        </w:tblPrEx>
        <w:trPr>
          <w:trHeight w:val="397" w:hRule="atLeast"/>
        </w:trPr>
        <w:tc>
          <w:tcPr>
            <w:tcW w:w="8325" w:type="dxa"/>
            <w:gridSpan w:val="5"/>
            <w:tcBorders>
              <w:top w:val="nil"/>
              <w:left w:val="nil"/>
              <w:bottom w:val="single" w:color="auto" w:sz="4" w:space="0"/>
              <w:right w:val="nil"/>
            </w:tcBorders>
            <w:noWrap w:val="0"/>
            <w:vAlign w:val="center"/>
          </w:tcPr>
          <w:p>
            <w:pPr>
              <w:widowControl/>
              <w:jc w:val="center"/>
              <w:rPr>
                <w:rFonts w:ascii="宋体" w:hAnsi="宋体" w:cs="宋体"/>
                <w:kern w:val="0"/>
                <w:sz w:val="24"/>
              </w:rPr>
            </w:pPr>
            <w:r>
              <w:rPr>
                <w:rFonts w:hint="eastAsia" w:ascii="宋体" w:hAnsi="宋体" w:cs="宋体"/>
                <w:kern w:val="0"/>
                <w:sz w:val="28"/>
                <w:szCs w:val="28"/>
              </w:rPr>
              <w:t>支出与预算对比</w:t>
            </w:r>
          </w:p>
        </w:tc>
      </w:tr>
      <w:tr>
        <w:tblPrEx>
          <w:tblCellMar>
            <w:top w:w="0" w:type="dxa"/>
            <w:left w:w="108" w:type="dxa"/>
            <w:bottom w:w="0" w:type="dxa"/>
            <w:right w:w="108" w:type="dxa"/>
          </w:tblCellMar>
        </w:tblPrEx>
        <w:trPr>
          <w:trHeight w:val="397" w:hRule="atLeast"/>
        </w:trPr>
        <w:tc>
          <w:tcPr>
            <w:tcW w:w="1140"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　</w:t>
            </w:r>
          </w:p>
        </w:tc>
        <w:tc>
          <w:tcPr>
            <w:tcW w:w="2670"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　</w:t>
            </w:r>
          </w:p>
        </w:tc>
        <w:tc>
          <w:tcPr>
            <w:tcW w:w="2220"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支出决算数</w:t>
            </w:r>
          </w:p>
        </w:tc>
        <w:tc>
          <w:tcPr>
            <w:tcW w:w="2295"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预算数</w:t>
            </w:r>
          </w:p>
        </w:tc>
      </w:tr>
      <w:tr>
        <w:tblPrEx>
          <w:tblCellMar>
            <w:top w:w="0" w:type="dxa"/>
            <w:left w:w="108" w:type="dxa"/>
            <w:bottom w:w="0" w:type="dxa"/>
            <w:right w:w="108" w:type="dxa"/>
          </w:tblCellMar>
        </w:tblPrEx>
        <w:trPr>
          <w:trHeight w:val="397" w:hRule="atLeast"/>
        </w:trPr>
        <w:tc>
          <w:tcPr>
            <w:tcW w:w="1140" w:type="dxa"/>
            <w:tcBorders>
              <w:top w:val="nil"/>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kern w:val="0"/>
                <w:sz w:val="24"/>
              </w:rPr>
            </w:pPr>
            <w:r>
              <w:rPr>
                <w:rFonts w:hint="eastAsia" w:ascii="宋体" w:hAnsi="宋体" w:cs="宋体"/>
                <w:color w:val="000000"/>
                <w:kern w:val="0"/>
                <w:sz w:val="22"/>
                <w:szCs w:val="22"/>
                <w:lang w:bidi="ar"/>
              </w:rPr>
              <w:t>2010101</w:t>
            </w:r>
          </w:p>
        </w:tc>
        <w:tc>
          <w:tcPr>
            <w:tcW w:w="2670" w:type="dxa"/>
            <w:tcBorders>
              <w:top w:val="nil"/>
              <w:left w:val="nil"/>
              <w:bottom w:val="single" w:color="auto" w:sz="4" w:space="0"/>
              <w:right w:val="single" w:color="auto" w:sz="4" w:space="0"/>
            </w:tcBorders>
            <w:noWrap w:val="0"/>
            <w:vAlign w:val="center"/>
          </w:tcPr>
          <w:p>
            <w:pPr>
              <w:widowControl/>
              <w:jc w:val="left"/>
              <w:textAlignment w:val="center"/>
              <w:rPr>
                <w:rFonts w:hint="eastAsia" w:ascii="宋体" w:hAnsi="宋体" w:cs="宋体"/>
                <w:kern w:val="0"/>
                <w:sz w:val="24"/>
              </w:rPr>
            </w:pPr>
            <w:r>
              <w:rPr>
                <w:rFonts w:hint="eastAsia" w:ascii="宋体" w:hAnsi="宋体" w:cs="宋体"/>
                <w:color w:val="000000"/>
                <w:kern w:val="0"/>
                <w:sz w:val="22"/>
                <w:szCs w:val="22"/>
                <w:lang w:bidi="ar"/>
              </w:rPr>
              <w:t xml:space="preserve">  人大运行</w:t>
            </w:r>
          </w:p>
        </w:tc>
        <w:tc>
          <w:tcPr>
            <w:tcW w:w="2220" w:type="dxa"/>
            <w:tcBorders>
              <w:top w:val="nil"/>
              <w:left w:val="nil"/>
              <w:bottom w:val="single" w:color="auto" w:sz="4" w:space="0"/>
              <w:right w:val="single" w:color="auto" w:sz="4" w:space="0"/>
            </w:tcBorders>
            <w:noWrap w:val="0"/>
            <w:vAlign w:val="center"/>
          </w:tcPr>
          <w:p>
            <w:pPr>
              <w:widowControl/>
              <w:jc w:val="right"/>
              <w:textAlignment w:val="center"/>
              <w:rPr>
                <w:rFonts w:hint="eastAsia" w:ascii="宋体" w:hAnsi="宋体" w:cs="宋体"/>
                <w:kern w:val="0"/>
                <w:sz w:val="24"/>
              </w:rPr>
            </w:pPr>
            <w:r>
              <w:rPr>
                <w:rFonts w:hint="eastAsia" w:ascii="宋体" w:hAnsi="宋体" w:cs="宋体"/>
                <w:color w:val="000000"/>
                <w:kern w:val="0"/>
                <w:sz w:val="22"/>
                <w:szCs w:val="22"/>
                <w:lang w:bidi="ar"/>
              </w:rPr>
              <w:t>210,270.78</w:t>
            </w:r>
          </w:p>
        </w:tc>
        <w:tc>
          <w:tcPr>
            <w:tcW w:w="2295"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 w:val="24"/>
              </w:rPr>
            </w:pPr>
            <w:r>
              <w:rPr>
                <w:rFonts w:hint="eastAsia" w:ascii="宋体" w:hAnsi="宋体" w:cs="宋体"/>
                <w:kern w:val="0"/>
                <w:sz w:val="24"/>
              </w:rPr>
              <w:t>98,542.00</w:t>
            </w:r>
          </w:p>
        </w:tc>
      </w:tr>
      <w:tr>
        <w:tblPrEx>
          <w:tblCellMar>
            <w:top w:w="0" w:type="dxa"/>
            <w:left w:w="108" w:type="dxa"/>
            <w:bottom w:w="0" w:type="dxa"/>
            <w:right w:w="108" w:type="dxa"/>
          </w:tblCellMar>
        </w:tblPrEx>
        <w:trPr>
          <w:trHeight w:val="90" w:hRule="atLeast"/>
        </w:trPr>
        <w:tc>
          <w:tcPr>
            <w:tcW w:w="1140" w:type="dxa"/>
            <w:tcBorders>
              <w:top w:val="nil"/>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kern w:val="0"/>
                <w:sz w:val="24"/>
              </w:rPr>
            </w:pPr>
            <w:r>
              <w:rPr>
                <w:rFonts w:hint="eastAsia" w:ascii="宋体" w:hAnsi="宋体" w:cs="宋体"/>
                <w:color w:val="000000"/>
                <w:kern w:val="0"/>
                <w:sz w:val="22"/>
                <w:szCs w:val="22"/>
                <w:lang w:bidi="ar"/>
              </w:rPr>
              <w:t>2010104</w:t>
            </w:r>
          </w:p>
        </w:tc>
        <w:tc>
          <w:tcPr>
            <w:tcW w:w="2670" w:type="dxa"/>
            <w:tcBorders>
              <w:top w:val="nil"/>
              <w:left w:val="nil"/>
              <w:bottom w:val="single" w:color="auto" w:sz="4" w:space="0"/>
              <w:right w:val="single" w:color="auto" w:sz="4" w:space="0"/>
            </w:tcBorders>
            <w:noWrap w:val="0"/>
            <w:vAlign w:val="center"/>
          </w:tcPr>
          <w:p>
            <w:pPr>
              <w:widowControl/>
              <w:jc w:val="left"/>
              <w:textAlignment w:val="center"/>
              <w:rPr>
                <w:rFonts w:hint="eastAsia" w:ascii="宋体" w:hAnsi="宋体" w:cs="宋体"/>
                <w:kern w:val="0"/>
                <w:sz w:val="24"/>
              </w:rPr>
            </w:pPr>
            <w:r>
              <w:rPr>
                <w:rFonts w:hint="eastAsia" w:ascii="宋体" w:hAnsi="宋体" w:cs="宋体"/>
                <w:color w:val="000000"/>
                <w:kern w:val="0"/>
                <w:sz w:val="22"/>
                <w:szCs w:val="22"/>
                <w:lang w:bidi="ar"/>
              </w:rPr>
              <w:t xml:space="preserve">  人大会议</w:t>
            </w:r>
          </w:p>
        </w:tc>
        <w:tc>
          <w:tcPr>
            <w:tcW w:w="2220" w:type="dxa"/>
            <w:tcBorders>
              <w:top w:val="nil"/>
              <w:left w:val="nil"/>
              <w:bottom w:val="single" w:color="auto" w:sz="4" w:space="0"/>
              <w:right w:val="single" w:color="auto" w:sz="4" w:space="0"/>
            </w:tcBorders>
            <w:noWrap w:val="0"/>
            <w:vAlign w:val="center"/>
          </w:tcPr>
          <w:p>
            <w:pPr>
              <w:widowControl/>
              <w:jc w:val="right"/>
              <w:textAlignment w:val="center"/>
              <w:rPr>
                <w:rFonts w:hint="eastAsia" w:ascii="宋体" w:hAnsi="宋体" w:cs="宋体"/>
                <w:kern w:val="0"/>
                <w:sz w:val="24"/>
              </w:rPr>
            </w:pPr>
            <w:r>
              <w:rPr>
                <w:rFonts w:hint="eastAsia" w:ascii="宋体" w:hAnsi="宋体" w:cs="宋体"/>
                <w:color w:val="000000"/>
                <w:kern w:val="0"/>
                <w:sz w:val="22"/>
                <w:szCs w:val="22"/>
                <w:lang w:bidi="ar"/>
              </w:rPr>
              <w:t>2,000.00</w:t>
            </w:r>
          </w:p>
        </w:tc>
        <w:tc>
          <w:tcPr>
            <w:tcW w:w="2295"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 w:val="24"/>
              </w:rPr>
            </w:pPr>
            <w:r>
              <w:rPr>
                <w:rFonts w:hint="eastAsia" w:ascii="宋体" w:hAnsi="宋体" w:cs="宋体"/>
                <w:kern w:val="0"/>
                <w:sz w:val="24"/>
              </w:rPr>
              <w:t>2,000.00</w:t>
            </w:r>
          </w:p>
        </w:tc>
      </w:tr>
      <w:tr>
        <w:tblPrEx>
          <w:tblCellMar>
            <w:top w:w="0" w:type="dxa"/>
            <w:left w:w="108" w:type="dxa"/>
            <w:bottom w:w="0" w:type="dxa"/>
            <w:right w:w="108" w:type="dxa"/>
          </w:tblCellMar>
        </w:tblPrEx>
        <w:trPr>
          <w:trHeight w:val="397" w:hRule="atLeast"/>
        </w:trPr>
        <w:tc>
          <w:tcPr>
            <w:tcW w:w="1140" w:type="dxa"/>
            <w:tcBorders>
              <w:top w:val="nil"/>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kern w:val="0"/>
                <w:sz w:val="24"/>
              </w:rPr>
            </w:pPr>
            <w:r>
              <w:rPr>
                <w:rFonts w:hint="eastAsia" w:ascii="宋体" w:hAnsi="宋体" w:cs="宋体"/>
                <w:color w:val="000000"/>
                <w:kern w:val="0"/>
                <w:sz w:val="22"/>
                <w:szCs w:val="22"/>
                <w:lang w:bidi="ar"/>
              </w:rPr>
              <w:t>2010301</w:t>
            </w:r>
          </w:p>
        </w:tc>
        <w:tc>
          <w:tcPr>
            <w:tcW w:w="2670" w:type="dxa"/>
            <w:tcBorders>
              <w:top w:val="nil"/>
              <w:left w:val="nil"/>
              <w:bottom w:val="single" w:color="auto" w:sz="4" w:space="0"/>
              <w:right w:val="single" w:color="auto" w:sz="4" w:space="0"/>
            </w:tcBorders>
            <w:noWrap w:val="0"/>
            <w:vAlign w:val="center"/>
          </w:tcPr>
          <w:p>
            <w:pPr>
              <w:widowControl/>
              <w:jc w:val="left"/>
              <w:textAlignment w:val="center"/>
              <w:rPr>
                <w:rFonts w:hint="eastAsia" w:ascii="宋体" w:hAnsi="宋体" w:cs="宋体"/>
                <w:kern w:val="0"/>
                <w:sz w:val="24"/>
              </w:rPr>
            </w:pPr>
            <w:r>
              <w:rPr>
                <w:rFonts w:hint="eastAsia" w:ascii="宋体" w:hAnsi="宋体" w:cs="宋体"/>
                <w:color w:val="000000"/>
                <w:kern w:val="0"/>
                <w:sz w:val="22"/>
                <w:szCs w:val="22"/>
                <w:lang w:bidi="ar"/>
              </w:rPr>
              <w:t xml:space="preserve">  行政运行</w:t>
            </w:r>
          </w:p>
        </w:tc>
        <w:tc>
          <w:tcPr>
            <w:tcW w:w="2220" w:type="dxa"/>
            <w:tcBorders>
              <w:top w:val="nil"/>
              <w:left w:val="nil"/>
              <w:bottom w:val="single" w:color="auto" w:sz="4" w:space="0"/>
              <w:right w:val="single" w:color="auto" w:sz="4" w:space="0"/>
            </w:tcBorders>
            <w:noWrap w:val="0"/>
            <w:vAlign w:val="center"/>
          </w:tcPr>
          <w:p>
            <w:pPr>
              <w:widowControl/>
              <w:jc w:val="right"/>
              <w:textAlignment w:val="center"/>
              <w:rPr>
                <w:rFonts w:hint="eastAsia" w:ascii="宋体" w:hAnsi="宋体" w:cs="宋体"/>
                <w:kern w:val="0"/>
                <w:sz w:val="24"/>
              </w:rPr>
            </w:pPr>
            <w:r>
              <w:rPr>
                <w:rFonts w:hint="eastAsia" w:ascii="宋体" w:hAnsi="宋体" w:cs="宋体"/>
                <w:color w:val="000000"/>
                <w:kern w:val="0"/>
                <w:sz w:val="22"/>
                <w:szCs w:val="22"/>
                <w:lang w:bidi="ar"/>
              </w:rPr>
              <w:t>2,893,611.07</w:t>
            </w:r>
          </w:p>
        </w:tc>
        <w:tc>
          <w:tcPr>
            <w:tcW w:w="2295"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 w:val="24"/>
              </w:rPr>
            </w:pPr>
            <w:r>
              <w:rPr>
                <w:rFonts w:hint="eastAsia" w:ascii="宋体" w:hAnsi="宋体" w:cs="宋体"/>
                <w:kern w:val="0"/>
                <w:sz w:val="24"/>
              </w:rPr>
              <w:t>1,117,559.00</w:t>
            </w:r>
          </w:p>
        </w:tc>
      </w:tr>
      <w:tr>
        <w:tblPrEx>
          <w:tblCellMar>
            <w:top w:w="0" w:type="dxa"/>
            <w:left w:w="108" w:type="dxa"/>
            <w:bottom w:w="0" w:type="dxa"/>
            <w:right w:w="108" w:type="dxa"/>
          </w:tblCellMar>
        </w:tblPrEx>
        <w:trPr>
          <w:gridAfter w:val="1"/>
          <w:wAfter w:w="15" w:type="dxa"/>
          <w:trHeight w:val="397" w:hRule="atLeast"/>
        </w:trPr>
        <w:tc>
          <w:tcPr>
            <w:tcW w:w="1140" w:type="dxa"/>
            <w:tcBorders>
              <w:top w:val="nil"/>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kern w:val="0"/>
                <w:sz w:val="24"/>
              </w:rPr>
            </w:pPr>
            <w:r>
              <w:rPr>
                <w:rFonts w:hint="eastAsia" w:ascii="宋体" w:hAnsi="宋体" w:cs="宋体"/>
                <w:color w:val="000000"/>
                <w:kern w:val="0"/>
                <w:sz w:val="22"/>
                <w:szCs w:val="22"/>
                <w:lang w:bidi="ar"/>
              </w:rPr>
              <w:t>2013101</w:t>
            </w:r>
          </w:p>
        </w:tc>
        <w:tc>
          <w:tcPr>
            <w:tcW w:w="2670" w:type="dxa"/>
            <w:tcBorders>
              <w:top w:val="nil"/>
              <w:left w:val="nil"/>
              <w:bottom w:val="single" w:color="auto" w:sz="4" w:space="0"/>
              <w:right w:val="single" w:color="auto" w:sz="4" w:space="0"/>
            </w:tcBorders>
            <w:noWrap w:val="0"/>
            <w:vAlign w:val="center"/>
          </w:tcPr>
          <w:p>
            <w:pPr>
              <w:widowControl/>
              <w:jc w:val="left"/>
              <w:textAlignment w:val="center"/>
              <w:rPr>
                <w:rFonts w:hint="eastAsia" w:ascii="宋体" w:hAnsi="宋体" w:cs="宋体"/>
                <w:kern w:val="0"/>
                <w:sz w:val="24"/>
              </w:rPr>
            </w:pPr>
            <w:r>
              <w:rPr>
                <w:rFonts w:hint="eastAsia" w:ascii="宋体" w:hAnsi="宋体" w:cs="宋体"/>
                <w:color w:val="000000"/>
                <w:kern w:val="0"/>
                <w:sz w:val="22"/>
                <w:szCs w:val="22"/>
                <w:lang w:bidi="ar"/>
              </w:rPr>
              <w:t xml:space="preserve">  党委运行</w:t>
            </w:r>
          </w:p>
        </w:tc>
        <w:tc>
          <w:tcPr>
            <w:tcW w:w="2220" w:type="dxa"/>
            <w:tcBorders>
              <w:top w:val="nil"/>
              <w:left w:val="nil"/>
              <w:bottom w:val="single" w:color="auto" w:sz="4" w:space="0"/>
              <w:right w:val="single" w:color="auto" w:sz="4" w:space="0"/>
            </w:tcBorders>
            <w:noWrap w:val="0"/>
            <w:vAlign w:val="center"/>
          </w:tcPr>
          <w:p>
            <w:pPr>
              <w:widowControl/>
              <w:jc w:val="right"/>
              <w:textAlignment w:val="center"/>
              <w:rPr>
                <w:rFonts w:hint="eastAsia" w:ascii="宋体" w:hAnsi="宋体" w:cs="宋体"/>
                <w:kern w:val="0"/>
                <w:sz w:val="24"/>
              </w:rPr>
            </w:pPr>
            <w:r>
              <w:rPr>
                <w:rFonts w:hint="eastAsia" w:ascii="宋体" w:hAnsi="宋体" w:cs="宋体"/>
                <w:color w:val="000000"/>
                <w:kern w:val="0"/>
                <w:sz w:val="22"/>
                <w:szCs w:val="22"/>
                <w:lang w:bidi="ar"/>
              </w:rPr>
              <w:t>201,575.60</w:t>
            </w:r>
          </w:p>
        </w:tc>
        <w:tc>
          <w:tcPr>
            <w:tcW w:w="228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 w:val="24"/>
              </w:rPr>
            </w:pPr>
            <w:r>
              <w:rPr>
                <w:rFonts w:hint="eastAsia" w:ascii="宋体" w:hAnsi="宋体" w:cs="宋体"/>
                <w:kern w:val="0"/>
                <w:sz w:val="24"/>
              </w:rPr>
              <w:t>79,699.00</w:t>
            </w:r>
          </w:p>
        </w:tc>
      </w:tr>
      <w:tr>
        <w:tblPrEx>
          <w:tblCellMar>
            <w:top w:w="0" w:type="dxa"/>
            <w:left w:w="108" w:type="dxa"/>
            <w:bottom w:w="0" w:type="dxa"/>
            <w:right w:w="108" w:type="dxa"/>
          </w:tblCellMar>
        </w:tblPrEx>
        <w:trPr>
          <w:gridAfter w:val="1"/>
          <w:wAfter w:w="15" w:type="dxa"/>
          <w:trHeight w:val="397" w:hRule="atLeast"/>
        </w:trPr>
        <w:tc>
          <w:tcPr>
            <w:tcW w:w="1140" w:type="dxa"/>
            <w:tcBorders>
              <w:top w:val="nil"/>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kern w:val="0"/>
                <w:sz w:val="24"/>
              </w:rPr>
            </w:pPr>
            <w:r>
              <w:rPr>
                <w:rFonts w:hint="eastAsia" w:ascii="宋体" w:hAnsi="宋体" w:cs="宋体"/>
                <w:color w:val="000000"/>
                <w:kern w:val="0"/>
                <w:sz w:val="22"/>
                <w:szCs w:val="22"/>
                <w:lang w:bidi="ar"/>
              </w:rPr>
              <w:t>2080505</w:t>
            </w:r>
          </w:p>
        </w:tc>
        <w:tc>
          <w:tcPr>
            <w:tcW w:w="2670" w:type="dxa"/>
            <w:tcBorders>
              <w:top w:val="nil"/>
              <w:left w:val="nil"/>
              <w:bottom w:val="single" w:color="auto" w:sz="4" w:space="0"/>
              <w:right w:val="single" w:color="auto" w:sz="4" w:space="0"/>
            </w:tcBorders>
            <w:noWrap w:val="0"/>
            <w:vAlign w:val="center"/>
          </w:tcPr>
          <w:p>
            <w:pPr>
              <w:widowControl/>
              <w:jc w:val="left"/>
              <w:textAlignment w:val="center"/>
              <w:rPr>
                <w:rFonts w:hint="eastAsia" w:ascii="宋体" w:hAnsi="宋体" w:cs="宋体"/>
                <w:kern w:val="0"/>
                <w:sz w:val="24"/>
              </w:rPr>
            </w:pPr>
            <w:r>
              <w:rPr>
                <w:rFonts w:hint="eastAsia" w:ascii="宋体" w:hAnsi="宋体" w:cs="宋体"/>
                <w:color w:val="000000"/>
                <w:kern w:val="0"/>
                <w:sz w:val="22"/>
                <w:szCs w:val="22"/>
                <w:lang w:bidi="ar"/>
              </w:rPr>
              <w:t xml:space="preserve">  机关事业单位基本养老保险缴费支出</w:t>
            </w:r>
          </w:p>
        </w:tc>
        <w:tc>
          <w:tcPr>
            <w:tcW w:w="2220" w:type="dxa"/>
            <w:tcBorders>
              <w:top w:val="nil"/>
              <w:left w:val="nil"/>
              <w:bottom w:val="single" w:color="auto" w:sz="4" w:space="0"/>
              <w:right w:val="single" w:color="auto" w:sz="4" w:space="0"/>
            </w:tcBorders>
            <w:noWrap w:val="0"/>
            <w:vAlign w:val="center"/>
          </w:tcPr>
          <w:p>
            <w:pPr>
              <w:widowControl/>
              <w:jc w:val="right"/>
              <w:textAlignment w:val="center"/>
              <w:rPr>
                <w:rFonts w:hint="eastAsia" w:ascii="宋体" w:hAnsi="宋体" w:cs="宋体"/>
                <w:kern w:val="0"/>
                <w:sz w:val="24"/>
              </w:rPr>
            </w:pPr>
            <w:r>
              <w:rPr>
                <w:rFonts w:hint="eastAsia" w:ascii="宋体" w:hAnsi="宋体" w:cs="宋体"/>
                <w:color w:val="000000"/>
                <w:kern w:val="0"/>
                <w:sz w:val="22"/>
                <w:szCs w:val="22"/>
                <w:lang w:bidi="ar"/>
              </w:rPr>
              <w:t>491,201.76</w:t>
            </w:r>
          </w:p>
        </w:tc>
        <w:tc>
          <w:tcPr>
            <w:tcW w:w="228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 w:val="24"/>
              </w:rPr>
            </w:pPr>
            <w:r>
              <w:rPr>
                <w:rFonts w:hint="eastAsia" w:ascii="宋体" w:hAnsi="宋体" w:cs="宋体"/>
                <w:kern w:val="0"/>
                <w:sz w:val="24"/>
              </w:rPr>
              <w:t>276,673.00</w:t>
            </w:r>
          </w:p>
        </w:tc>
      </w:tr>
      <w:tr>
        <w:tblPrEx>
          <w:tblCellMar>
            <w:top w:w="0" w:type="dxa"/>
            <w:left w:w="108" w:type="dxa"/>
            <w:bottom w:w="0" w:type="dxa"/>
            <w:right w:w="108" w:type="dxa"/>
          </w:tblCellMar>
        </w:tblPrEx>
        <w:trPr>
          <w:gridAfter w:val="1"/>
          <w:wAfter w:w="15" w:type="dxa"/>
          <w:trHeight w:val="397" w:hRule="atLeast"/>
        </w:trPr>
        <w:tc>
          <w:tcPr>
            <w:tcW w:w="1140" w:type="dxa"/>
            <w:tcBorders>
              <w:top w:val="nil"/>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kern w:val="0"/>
                <w:sz w:val="24"/>
              </w:rPr>
            </w:pPr>
            <w:r>
              <w:rPr>
                <w:rFonts w:hint="eastAsia" w:ascii="宋体" w:hAnsi="宋体" w:cs="宋体"/>
                <w:color w:val="000000"/>
                <w:kern w:val="0"/>
                <w:sz w:val="22"/>
                <w:szCs w:val="22"/>
                <w:lang w:bidi="ar"/>
              </w:rPr>
              <w:t>2080506</w:t>
            </w:r>
          </w:p>
        </w:tc>
        <w:tc>
          <w:tcPr>
            <w:tcW w:w="2670" w:type="dxa"/>
            <w:tcBorders>
              <w:top w:val="nil"/>
              <w:left w:val="nil"/>
              <w:bottom w:val="single" w:color="auto" w:sz="4" w:space="0"/>
              <w:right w:val="single" w:color="auto" w:sz="4" w:space="0"/>
            </w:tcBorders>
            <w:noWrap w:val="0"/>
            <w:vAlign w:val="center"/>
          </w:tcPr>
          <w:p>
            <w:pPr>
              <w:widowControl/>
              <w:jc w:val="left"/>
              <w:textAlignment w:val="center"/>
              <w:rPr>
                <w:rFonts w:hint="eastAsia" w:ascii="宋体" w:hAnsi="宋体" w:cs="宋体"/>
                <w:kern w:val="0"/>
                <w:sz w:val="24"/>
              </w:rPr>
            </w:pPr>
            <w:r>
              <w:rPr>
                <w:rFonts w:hint="eastAsia" w:ascii="宋体" w:hAnsi="宋体" w:cs="宋体"/>
                <w:color w:val="000000"/>
                <w:kern w:val="0"/>
                <w:sz w:val="22"/>
                <w:szCs w:val="22"/>
                <w:lang w:bidi="ar"/>
              </w:rPr>
              <w:t xml:space="preserve">  机关事业单位职业年金缴费支出</w:t>
            </w:r>
          </w:p>
        </w:tc>
        <w:tc>
          <w:tcPr>
            <w:tcW w:w="2220" w:type="dxa"/>
            <w:tcBorders>
              <w:top w:val="nil"/>
              <w:left w:val="nil"/>
              <w:bottom w:val="single" w:color="auto" w:sz="4" w:space="0"/>
              <w:right w:val="single" w:color="auto" w:sz="4" w:space="0"/>
            </w:tcBorders>
            <w:noWrap w:val="0"/>
            <w:vAlign w:val="center"/>
          </w:tcPr>
          <w:p>
            <w:pPr>
              <w:widowControl/>
              <w:jc w:val="right"/>
              <w:textAlignment w:val="center"/>
              <w:rPr>
                <w:rFonts w:hint="eastAsia" w:ascii="宋体" w:hAnsi="宋体" w:cs="宋体"/>
                <w:kern w:val="0"/>
                <w:sz w:val="24"/>
              </w:rPr>
            </w:pPr>
            <w:r>
              <w:rPr>
                <w:rFonts w:hint="eastAsia" w:ascii="宋体" w:hAnsi="宋体" w:cs="宋体"/>
                <w:color w:val="000000"/>
                <w:kern w:val="0"/>
                <w:sz w:val="22"/>
                <w:szCs w:val="22"/>
                <w:lang w:bidi="ar"/>
              </w:rPr>
              <w:t>245,600.88</w:t>
            </w:r>
          </w:p>
        </w:tc>
        <w:tc>
          <w:tcPr>
            <w:tcW w:w="228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 w:val="24"/>
              </w:rPr>
            </w:pPr>
            <w:r>
              <w:rPr>
                <w:rFonts w:hint="eastAsia" w:ascii="宋体" w:hAnsi="宋体" w:cs="宋体"/>
                <w:kern w:val="0"/>
                <w:sz w:val="24"/>
              </w:rPr>
              <w:t>320,534.00</w:t>
            </w:r>
          </w:p>
        </w:tc>
      </w:tr>
      <w:tr>
        <w:tblPrEx>
          <w:tblCellMar>
            <w:top w:w="0" w:type="dxa"/>
            <w:left w:w="108" w:type="dxa"/>
            <w:bottom w:w="0" w:type="dxa"/>
            <w:right w:w="108" w:type="dxa"/>
          </w:tblCellMar>
        </w:tblPrEx>
        <w:trPr>
          <w:gridAfter w:val="1"/>
          <w:wAfter w:w="15" w:type="dxa"/>
          <w:trHeight w:val="397" w:hRule="atLeast"/>
        </w:trPr>
        <w:tc>
          <w:tcPr>
            <w:tcW w:w="1140" w:type="dxa"/>
            <w:tcBorders>
              <w:top w:val="nil"/>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kern w:val="0"/>
                <w:sz w:val="24"/>
              </w:rPr>
            </w:pPr>
            <w:r>
              <w:rPr>
                <w:rFonts w:hint="eastAsia" w:ascii="宋体" w:hAnsi="宋体" w:cs="宋体"/>
                <w:color w:val="000000"/>
                <w:kern w:val="0"/>
                <w:sz w:val="22"/>
                <w:szCs w:val="22"/>
                <w:lang w:bidi="ar"/>
              </w:rPr>
              <w:t>2100410</w:t>
            </w:r>
          </w:p>
        </w:tc>
        <w:tc>
          <w:tcPr>
            <w:tcW w:w="2670" w:type="dxa"/>
            <w:tcBorders>
              <w:top w:val="nil"/>
              <w:left w:val="nil"/>
              <w:bottom w:val="single" w:color="auto" w:sz="4" w:space="0"/>
              <w:right w:val="single" w:color="auto" w:sz="4" w:space="0"/>
            </w:tcBorders>
            <w:noWrap w:val="0"/>
            <w:vAlign w:val="center"/>
          </w:tcPr>
          <w:p>
            <w:pPr>
              <w:widowControl/>
              <w:jc w:val="left"/>
              <w:textAlignment w:val="center"/>
              <w:rPr>
                <w:rFonts w:hint="eastAsia" w:ascii="宋体" w:hAnsi="宋体" w:cs="宋体"/>
                <w:kern w:val="0"/>
                <w:sz w:val="24"/>
              </w:rPr>
            </w:pPr>
            <w:r>
              <w:rPr>
                <w:rFonts w:hint="eastAsia" w:ascii="宋体" w:hAnsi="宋体" w:cs="宋体"/>
                <w:color w:val="000000"/>
                <w:kern w:val="0"/>
                <w:sz w:val="22"/>
                <w:szCs w:val="22"/>
                <w:lang w:bidi="ar"/>
              </w:rPr>
              <w:t xml:space="preserve">  突发公共卫生事件应急处理</w:t>
            </w:r>
          </w:p>
        </w:tc>
        <w:tc>
          <w:tcPr>
            <w:tcW w:w="2220" w:type="dxa"/>
            <w:tcBorders>
              <w:top w:val="nil"/>
              <w:left w:val="nil"/>
              <w:bottom w:val="single" w:color="auto" w:sz="4" w:space="0"/>
              <w:right w:val="single" w:color="auto" w:sz="4" w:space="0"/>
            </w:tcBorders>
            <w:noWrap w:val="0"/>
            <w:vAlign w:val="center"/>
          </w:tcPr>
          <w:p>
            <w:pPr>
              <w:widowControl/>
              <w:jc w:val="right"/>
              <w:textAlignment w:val="center"/>
              <w:rPr>
                <w:rFonts w:hint="eastAsia" w:ascii="宋体" w:hAnsi="宋体" w:cs="宋体"/>
                <w:kern w:val="0"/>
                <w:sz w:val="24"/>
              </w:rPr>
            </w:pPr>
            <w:r>
              <w:rPr>
                <w:rFonts w:hint="eastAsia" w:ascii="宋体" w:hAnsi="宋体" w:cs="宋体"/>
                <w:color w:val="000000"/>
                <w:kern w:val="0"/>
                <w:sz w:val="22"/>
                <w:szCs w:val="22"/>
                <w:lang w:bidi="ar"/>
              </w:rPr>
              <w:t>50,000.00</w:t>
            </w:r>
          </w:p>
        </w:tc>
        <w:tc>
          <w:tcPr>
            <w:tcW w:w="2280" w:type="dxa"/>
            <w:tcBorders>
              <w:top w:val="nil"/>
              <w:left w:val="nil"/>
              <w:bottom w:val="single" w:color="auto" w:sz="4" w:space="0"/>
              <w:right w:val="single" w:color="auto" w:sz="4" w:space="0"/>
            </w:tcBorders>
            <w:noWrap w:val="0"/>
            <w:vAlign w:val="center"/>
          </w:tcPr>
          <w:p>
            <w:pPr>
              <w:jc w:val="center"/>
              <w:rPr>
                <w:rFonts w:hint="eastAsia" w:ascii="宋体" w:hAnsi="宋体" w:cs="宋体"/>
                <w:kern w:val="0"/>
                <w:sz w:val="24"/>
              </w:rPr>
            </w:pPr>
            <w:r>
              <w:rPr>
                <w:rFonts w:hint="eastAsia" w:ascii="宋体" w:hAnsi="宋体" w:cs="宋体"/>
                <w:kern w:val="0"/>
                <w:sz w:val="24"/>
              </w:rPr>
              <w:t>128,213.00</w:t>
            </w:r>
          </w:p>
        </w:tc>
      </w:tr>
      <w:tr>
        <w:tblPrEx>
          <w:tblCellMar>
            <w:top w:w="0" w:type="dxa"/>
            <w:left w:w="108" w:type="dxa"/>
            <w:bottom w:w="0" w:type="dxa"/>
            <w:right w:w="108" w:type="dxa"/>
          </w:tblCellMar>
        </w:tblPrEx>
        <w:trPr>
          <w:gridAfter w:val="1"/>
          <w:wAfter w:w="15" w:type="dxa"/>
          <w:trHeight w:val="397" w:hRule="atLeast"/>
        </w:trPr>
        <w:tc>
          <w:tcPr>
            <w:tcW w:w="1140" w:type="dxa"/>
            <w:tcBorders>
              <w:top w:val="nil"/>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kern w:val="0"/>
                <w:sz w:val="24"/>
              </w:rPr>
            </w:pPr>
            <w:r>
              <w:rPr>
                <w:rFonts w:hint="eastAsia" w:ascii="宋体" w:hAnsi="宋体" w:cs="宋体"/>
                <w:color w:val="000000"/>
                <w:kern w:val="0"/>
                <w:sz w:val="22"/>
                <w:szCs w:val="22"/>
                <w:lang w:bidi="ar"/>
              </w:rPr>
              <w:t>2101101</w:t>
            </w:r>
          </w:p>
        </w:tc>
        <w:tc>
          <w:tcPr>
            <w:tcW w:w="2670" w:type="dxa"/>
            <w:tcBorders>
              <w:top w:val="nil"/>
              <w:left w:val="nil"/>
              <w:bottom w:val="single" w:color="auto" w:sz="4" w:space="0"/>
              <w:right w:val="single" w:color="auto" w:sz="4" w:space="0"/>
            </w:tcBorders>
            <w:noWrap w:val="0"/>
            <w:vAlign w:val="center"/>
          </w:tcPr>
          <w:p>
            <w:pPr>
              <w:widowControl/>
              <w:jc w:val="left"/>
              <w:textAlignment w:val="center"/>
              <w:rPr>
                <w:rFonts w:hint="eastAsia" w:ascii="宋体" w:hAnsi="宋体" w:cs="宋体"/>
                <w:kern w:val="0"/>
                <w:sz w:val="24"/>
              </w:rPr>
            </w:pPr>
            <w:r>
              <w:rPr>
                <w:rFonts w:hint="eastAsia" w:ascii="宋体" w:hAnsi="宋体" w:cs="宋体"/>
                <w:color w:val="000000"/>
                <w:kern w:val="0"/>
                <w:sz w:val="22"/>
                <w:szCs w:val="22"/>
                <w:lang w:bidi="ar"/>
              </w:rPr>
              <w:t xml:space="preserve">  行政单位医疗</w:t>
            </w:r>
          </w:p>
        </w:tc>
        <w:tc>
          <w:tcPr>
            <w:tcW w:w="2220" w:type="dxa"/>
            <w:tcBorders>
              <w:top w:val="nil"/>
              <w:left w:val="nil"/>
              <w:bottom w:val="single" w:color="auto" w:sz="4" w:space="0"/>
              <w:right w:val="single" w:color="auto" w:sz="4" w:space="0"/>
            </w:tcBorders>
            <w:noWrap w:val="0"/>
            <w:vAlign w:val="center"/>
          </w:tcPr>
          <w:p>
            <w:pPr>
              <w:widowControl/>
              <w:jc w:val="right"/>
              <w:textAlignment w:val="center"/>
              <w:rPr>
                <w:rFonts w:hint="eastAsia" w:ascii="宋体" w:hAnsi="宋体" w:cs="宋体"/>
                <w:kern w:val="0"/>
                <w:sz w:val="24"/>
              </w:rPr>
            </w:pPr>
            <w:r>
              <w:rPr>
                <w:rFonts w:hint="eastAsia" w:ascii="宋体" w:hAnsi="宋体" w:cs="宋体"/>
                <w:color w:val="000000"/>
                <w:kern w:val="0"/>
                <w:sz w:val="22"/>
                <w:szCs w:val="22"/>
                <w:lang w:bidi="ar"/>
              </w:rPr>
              <w:t>144,290.77</w:t>
            </w:r>
          </w:p>
        </w:tc>
        <w:tc>
          <w:tcPr>
            <w:tcW w:w="2280" w:type="dxa"/>
            <w:tcBorders>
              <w:top w:val="nil"/>
              <w:left w:val="nil"/>
              <w:bottom w:val="single" w:color="auto" w:sz="4" w:space="0"/>
              <w:right w:val="single" w:color="auto" w:sz="4" w:space="0"/>
            </w:tcBorders>
            <w:noWrap w:val="0"/>
            <w:vAlign w:val="center"/>
          </w:tcPr>
          <w:p>
            <w:pPr>
              <w:jc w:val="center"/>
              <w:rPr>
                <w:rFonts w:ascii="宋体" w:hAnsi="宋体" w:cs="宋体"/>
                <w:kern w:val="0"/>
                <w:sz w:val="24"/>
              </w:rPr>
            </w:pPr>
            <w:r>
              <w:rPr>
                <w:rFonts w:hint="eastAsia" w:ascii="宋体" w:hAnsi="宋体" w:cs="宋体"/>
                <w:kern w:val="0"/>
                <w:sz w:val="24"/>
              </w:rPr>
              <w:t>93,720.00</w:t>
            </w:r>
          </w:p>
        </w:tc>
      </w:tr>
      <w:tr>
        <w:tblPrEx>
          <w:tblCellMar>
            <w:top w:w="0" w:type="dxa"/>
            <w:left w:w="108" w:type="dxa"/>
            <w:bottom w:w="0" w:type="dxa"/>
            <w:right w:w="108" w:type="dxa"/>
          </w:tblCellMar>
        </w:tblPrEx>
        <w:trPr>
          <w:gridAfter w:val="1"/>
          <w:wAfter w:w="15" w:type="dxa"/>
          <w:trHeight w:val="412" w:hRule="atLeast"/>
        </w:trPr>
        <w:tc>
          <w:tcPr>
            <w:tcW w:w="1140" w:type="dxa"/>
            <w:tcBorders>
              <w:top w:val="nil"/>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kern w:val="0"/>
                <w:sz w:val="24"/>
              </w:rPr>
            </w:pPr>
            <w:r>
              <w:rPr>
                <w:rFonts w:hint="eastAsia" w:ascii="宋体" w:hAnsi="宋体" w:cs="宋体"/>
                <w:color w:val="000000"/>
                <w:kern w:val="0"/>
                <w:sz w:val="22"/>
                <w:szCs w:val="22"/>
                <w:lang w:bidi="ar"/>
              </w:rPr>
              <w:t>2101102</w:t>
            </w:r>
          </w:p>
        </w:tc>
        <w:tc>
          <w:tcPr>
            <w:tcW w:w="2670" w:type="dxa"/>
            <w:tcBorders>
              <w:top w:val="nil"/>
              <w:left w:val="nil"/>
              <w:bottom w:val="single" w:color="auto" w:sz="4" w:space="0"/>
              <w:right w:val="single" w:color="auto" w:sz="4" w:space="0"/>
            </w:tcBorders>
            <w:noWrap w:val="0"/>
            <w:vAlign w:val="center"/>
          </w:tcPr>
          <w:p>
            <w:pPr>
              <w:widowControl/>
              <w:jc w:val="left"/>
              <w:textAlignment w:val="center"/>
              <w:rPr>
                <w:rFonts w:hint="eastAsia" w:ascii="宋体" w:hAnsi="宋体" w:cs="宋体"/>
                <w:kern w:val="0"/>
                <w:sz w:val="24"/>
              </w:rPr>
            </w:pPr>
            <w:r>
              <w:rPr>
                <w:rFonts w:hint="eastAsia" w:ascii="宋体" w:hAnsi="宋体" w:cs="宋体"/>
                <w:color w:val="000000"/>
                <w:kern w:val="0"/>
                <w:sz w:val="22"/>
                <w:szCs w:val="22"/>
                <w:lang w:bidi="ar"/>
              </w:rPr>
              <w:t xml:space="preserve">  事业单位医疗</w:t>
            </w:r>
          </w:p>
        </w:tc>
        <w:tc>
          <w:tcPr>
            <w:tcW w:w="2220" w:type="dxa"/>
            <w:tcBorders>
              <w:top w:val="nil"/>
              <w:left w:val="nil"/>
              <w:bottom w:val="single" w:color="auto" w:sz="4" w:space="0"/>
              <w:right w:val="single" w:color="auto" w:sz="4" w:space="0"/>
            </w:tcBorders>
            <w:noWrap w:val="0"/>
            <w:vAlign w:val="center"/>
          </w:tcPr>
          <w:p>
            <w:pPr>
              <w:widowControl/>
              <w:jc w:val="right"/>
              <w:textAlignment w:val="center"/>
              <w:rPr>
                <w:rFonts w:hint="eastAsia" w:ascii="宋体" w:hAnsi="宋体" w:cs="宋体"/>
                <w:kern w:val="0"/>
                <w:sz w:val="24"/>
              </w:rPr>
            </w:pPr>
            <w:r>
              <w:rPr>
                <w:rFonts w:hint="eastAsia" w:ascii="宋体" w:hAnsi="宋体" w:cs="宋体"/>
                <w:color w:val="000000"/>
                <w:kern w:val="0"/>
                <w:sz w:val="22"/>
                <w:szCs w:val="22"/>
                <w:lang w:bidi="ar"/>
              </w:rPr>
              <w:t>89,039.97</w:t>
            </w:r>
          </w:p>
        </w:tc>
        <w:tc>
          <w:tcPr>
            <w:tcW w:w="2280" w:type="dxa"/>
            <w:tcBorders>
              <w:top w:val="nil"/>
              <w:left w:val="nil"/>
              <w:bottom w:val="single" w:color="auto" w:sz="4" w:space="0"/>
              <w:right w:val="single" w:color="auto" w:sz="4" w:space="0"/>
            </w:tcBorders>
            <w:noWrap w:val="0"/>
            <w:vAlign w:val="center"/>
          </w:tcPr>
          <w:p>
            <w:pPr>
              <w:jc w:val="center"/>
              <w:rPr>
                <w:rFonts w:ascii="宋体" w:hAnsi="宋体" w:cs="宋体"/>
                <w:kern w:val="0"/>
                <w:sz w:val="24"/>
              </w:rPr>
            </w:pPr>
            <w:r>
              <w:rPr>
                <w:rFonts w:hint="eastAsia" w:ascii="宋体" w:hAnsi="宋体" w:cs="宋体"/>
                <w:kern w:val="0"/>
                <w:sz w:val="24"/>
              </w:rPr>
              <w:t>15,229.00</w:t>
            </w:r>
          </w:p>
        </w:tc>
      </w:tr>
      <w:tr>
        <w:tblPrEx>
          <w:tblCellMar>
            <w:top w:w="0" w:type="dxa"/>
            <w:left w:w="108" w:type="dxa"/>
            <w:bottom w:w="0" w:type="dxa"/>
            <w:right w:w="108" w:type="dxa"/>
          </w:tblCellMar>
        </w:tblPrEx>
        <w:trPr>
          <w:gridAfter w:val="1"/>
          <w:wAfter w:w="15" w:type="dxa"/>
          <w:trHeight w:val="397" w:hRule="atLeast"/>
        </w:trPr>
        <w:tc>
          <w:tcPr>
            <w:tcW w:w="1140" w:type="dxa"/>
            <w:tcBorders>
              <w:top w:val="nil"/>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kern w:val="0"/>
                <w:sz w:val="24"/>
              </w:rPr>
            </w:pPr>
            <w:r>
              <w:rPr>
                <w:rFonts w:hint="eastAsia" w:ascii="宋体" w:hAnsi="宋体" w:cs="宋体"/>
                <w:color w:val="000000"/>
                <w:kern w:val="0"/>
                <w:sz w:val="22"/>
                <w:szCs w:val="22"/>
                <w:lang w:bidi="ar"/>
              </w:rPr>
              <w:t>2101103</w:t>
            </w:r>
          </w:p>
        </w:tc>
        <w:tc>
          <w:tcPr>
            <w:tcW w:w="2670" w:type="dxa"/>
            <w:tcBorders>
              <w:top w:val="nil"/>
              <w:left w:val="nil"/>
              <w:bottom w:val="single" w:color="auto" w:sz="4" w:space="0"/>
              <w:right w:val="single" w:color="auto" w:sz="4" w:space="0"/>
            </w:tcBorders>
            <w:noWrap w:val="0"/>
            <w:vAlign w:val="center"/>
          </w:tcPr>
          <w:p>
            <w:pPr>
              <w:widowControl/>
              <w:jc w:val="left"/>
              <w:textAlignment w:val="center"/>
              <w:rPr>
                <w:rFonts w:hint="eastAsia" w:ascii="宋体" w:hAnsi="宋体" w:cs="宋体"/>
                <w:kern w:val="0"/>
                <w:sz w:val="24"/>
              </w:rPr>
            </w:pPr>
            <w:r>
              <w:rPr>
                <w:rFonts w:hint="eastAsia" w:ascii="宋体" w:hAnsi="宋体" w:cs="宋体"/>
                <w:color w:val="000000"/>
                <w:kern w:val="0"/>
                <w:sz w:val="22"/>
                <w:szCs w:val="22"/>
                <w:lang w:bidi="ar"/>
              </w:rPr>
              <w:t xml:space="preserve">  公务员医疗补助</w:t>
            </w:r>
          </w:p>
        </w:tc>
        <w:tc>
          <w:tcPr>
            <w:tcW w:w="2220" w:type="dxa"/>
            <w:tcBorders>
              <w:top w:val="nil"/>
              <w:left w:val="nil"/>
              <w:bottom w:val="single" w:color="auto" w:sz="4" w:space="0"/>
              <w:right w:val="single" w:color="auto" w:sz="4" w:space="0"/>
            </w:tcBorders>
            <w:noWrap w:val="0"/>
            <w:vAlign w:val="center"/>
          </w:tcPr>
          <w:p>
            <w:pPr>
              <w:widowControl/>
              <w:jc w:val="right"/>
              <w:textAlignment w:val="center"/>
              <w:rPr>
                <w:rFonts w:hint="eastAsia" w:ascii="宋体" w:hAnsi="宋体" w:cs="宋体"/>
                <w:kern w:val="0"/>
                <w:sz w:val="24"/>
              </w:rPr>
            </w:pPr>
            <w:r>
              <w:rPr>
                <w:rFonts w:hint="eastAsia" w:ascii="宋体" w:hAnsi="宋体" w:cs="宋体"/>
                <w:color w:val="000000"/>
                <w:kern w:val="0"/>
                <w:sz w:val="22"/>
                <w:szCs w:val="22"/>
                <w:lang w:bidi="ar"/>
              </w:rPr>
              <w:t>34,726.94</w:t>
            </w:r>
          </w:p>
        </w:tc>
        <w:tc>
          <w:tcPr>
            <w:tcW w:w="2280" w:type="dxa"/>
            <w:tcBorders>
              <w:top w:val="nil"/>
              <w:left w:val="nil"/>
              <w:bottom w:val="single" w:color="auto" w:sz="4" w:space="0"/>
              <w:right w:val="single" w:color="auto" w:sz="4" w:space="0"/>
            </w:tcBorders>
            <w:noWrap w:val="0"/>
            <w:vAlign w:val="center"/>
          </w:tcPr>
          <w:p>
            <w:pPr>
              <w:jc w:val="center"/>
              <w:rPr>
                <w:rFonts w:ascii="宋体" w:hAnsi="宋体" w:cs="宋体"/>
                <w:kern w:val="0"/>
                <w:sz w:val="24"/>
              </w:rPr>
            </w:pPr>
            <w:r>
              <w:rPr>
                <w:rFonts w:hint="eastAsia" w:ascii="宋体" w:hAnsi="宋体" w:cs="宋体"/>
                <w:kern w:val="0"/>
                <w:sz w:val="24"/>
              </w:rPr>
              <w:t>11,500.00</w:t>
            </w:r>
          </w:p>
        </w:tc>
      </w:tr>
      <w:tr>
        <w:tblPrEx>
          <w:tblCellMar>
            <w:top w:w="0" w:type="dxa"/>
            <w:left w:w="108" w:type="dxa"/>
            <w:bottom w:w="0" w:type="dxa"/>
            <w:right w:w="108" w:type="dxa"/>
          </w:tblCellMar>
        </w:tblPrEx>
        <w:trPr>
          <w:gridAfter w:val="1"/>
          <w:wAfter w:w="15" w:type="dxa"/>
          <w:trHeight w:val="397" w:hRule="atLeast"/>
        </w:trPr>
        <w:tc>
          <w:tcPr>
            <w:tcW w:w="1140" w:type="dxa"/>
            <w:tcBorders>
              <w:top w:val="nil"/>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kern w:val="0"/>
                <w:sz w:val="24"/>
              </w:rPr>
            </w:pPr>
            <w:r>
              <w:rPr>
                <w:rFonts w:hint="eastAsia" w:ascii="宋体" w:hAnsi="宋体" w:cs="宋体"/>
                <w:color w:val="000000"/>
                <w:kern w:val="0"/>
                <w:sz w:val="22"/>
                <w:szCs w:val="22"/>
                <w:lang w:bidi="ar"/>
              </w:rPr>
              <w:t>2101199</w:t>
            </w:r>
          </w:p>
        </w:tc>
        <w:tc>
          <w:tcPr>
            <w:tcW w:w="2670" w:type="dxa"/>
            <w:tcBorders>
              <w:top w:val="nil"/>
              <w:left w:val="nil"/>
              <w:bottom w:val="single" w:color="auto" w:sz="4" w:space="0"/>
              <w:right w:val="single" w:color="auto" w:sz="4" w:space="0"/>
            </w:tcBorders>
            <w:noWrap w:val="0"/>
            <w:vAlign w:val="center"/>
          </w:tcPr>
          <w:p>
            <w:pPr>
              <w:widowControl/>
              <w:jc w:val="left"/>
              <w:textAlignment w:val="center"/>
              <w:rPr>
                <w:rFonts w:ascii="宋体" w:hAnsi="宋体" w:cs="宋体"/>
                <w:kern w:val="0"/>
                <w:sz w:val="24"/>
              </w:rPr>
            </w:pPr>
            <w:r>
              <w:rPr>
                <w:rFonts w:hint="eastAsia" w:ascii="宋体" w:hAnsi="宋体" w:cs="宋体"/>
                <w:color w:val="000000"/>
                <w:kern w:val="0"/>
                <w:sz w:val="22"/>
                <w:szCs w:val="22"/>
                <w:lang w:bidi="ar"/>
              </w:rPr>
              <w:t xml:space="preserve">  其他行政事业单位医疗支出</w:t>
            </w:r>
          </w:p>
        </w:tc>
        <w:tc>
          <w:tcPr>
            <w:tcW w:w="2220" w:type="dxa"/>
            <w:tcBorders>
              <w:top w:val="nil"/>
              <w:left w:val="nil"/>
              <w:bottom w:val="single" w:color="auto" w:sz="4" w:space="0"/>
              <w:right w:val="single" w:color="auto" w:sz="4" w:space="0"/>
            </w:tcBorders>
            <w:noWrap w:val="0"/>
            <w:vAlign w:val="center"/>
          </w:tcPr>
          <w:p>
            <w:pPr>
              <w:widowControl/>
              <w:jc w:val="right"/>
              <w:textAlignment w:val="center"/>
              <w:rPr>
                <w:rFonts w:hint="eastAsia" w:ascii="宋体" w:hAnsi="宋体" w:cs="宋体"/>
                <w:kern w:val="0"/>
                <w:sz w:val="24"/>
              </w:rPr>
            </w:pPr>
            <w:r>
              <w:rPr>
                <w:rFonts w:hint="eastAsia" w:ascii="宋体" w:hAnsi="宋体" w:cs="宋体"/>
                <w:color w:val="000000"/>
                <w:kern w:val="0"/>
                <w:sz w:val="22"/>
                <w:szCs w:val="22"/>
                <w:lang w:bidi="ar"/>
              </w:rPr>
              <w:t>22,028.64</w:t>
            </w:r>
          </w:p>
        </w:tc>
        <w:tc>
          <w:tcPr>
            <w:tcW w:w="2280" w:type="dxa"/>
            <w:tcBorders>
              <w:top w:val="nil"/>
              <w:left w:val="nil"/>
              <w:bottom w:val="single" w:color="auto" w:sz="4" w:space="0"/>
              <w:right w:val="single" w:color="auto" w:sz="4" w:space="0"/>
            </w:tcBorders>
            <w:noWrap w:val="0"/>
            <w:vAlign w:val="center"/>
          </w:tcPr>
          <w:p>
            <w:pPr>
              <w:jc w:val="center"/>
              <w:rPr>
                <w:rFonts w:ascii="宋体" w:hAnsi="宋体" w:cs="宋体"/>
                <w:kern w:val="0"/>
                <w:sz w:val="24"/>
              </w:rPr>
            </w:pPr>
            <w:r>
              <w:rPr>
                <w:rFonts w:hint="eastAsia" w:ascii="宋体" w:hAnsi="宋体" w:cs="宋体"/>
                <w:kern w:val="0"/>
                <w:sz w:val="24"/>
              </w:rPr>
              <w:t>234,635.00</w:t>
            </w:r>
          </w:p>
        </w:tc>
      </w:tr>
      <w:tr>
        <w:tblPrEx>
          <w:tblCellMar>
            <w:top w:w="0" w:type="dxa"/>
            <w:left w:w="108" w:type="dxa"/>
            <w:bottom w:w="0" w:type="dxa"/>
            <w:right w:w="108" w:type="dxa"/>
          </w:tblCellMar>
        </w:tblPrEx>
        <w:trPr>
          <w:gridAfter w:val="1"/>
          <w:wAfter w:w="15" w:type="dxa"/>
          <w:trHeight w:val="397" w:hRule="atLeast"/>
        </w:trPr>
        <w:tc>
          <w:tcPr>
            <w:tcW w:w="1140" w:type="dxa"/>
            <w:tcBorders>
              <w:top w:val="nil"/>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kern w:val="0"/>
                <w:sz w:val="24"/>
              </w:rPr>
            </w:pPr>
            <w:r>
              <w:rPr>
                <w:rFonts w:hint="eastAsia" w:ascii="宋体" w:hAnsi="宋体" w:cs="宋体"/>
                <w:color w:val="000000"/>
                <w:kern w:val="0"/>
                <w:sz w:val="22"/>
                <w:szCs w:val="22"/>
                <w:lang w:bidi="ar"/>
              </w:rPr>
              <w:t>2110401</w:t>
            </w:r>
          </w:p>
        </w:tc>
        <w:tc>
          <w:tcPr>
            <w:tcW w:w="2670" w:type="dxa"/>
            <w:tcBorders>
              <w:top w:val="nil"/>
              <w:left w:val="nil"/>
              <w:bottom w:val="single" w:color="auto" w:sz="4" w:space="0"/>
              <w:right w:val="single" w:color="auto" w:sz="4" w:space="0"/>
            </w:tcBorders>
            <w:noWrap w:val="0"/>
            <w:vAlign w:val="center"/>
          </w:tcPr>
          <w:p>
            <w:pPr>
              <w:widowControl/>
              <w:jc w:val="left"/>
              <w:textAlignment w:val="center"/>
              <w:rPr>
                <w:rFonts w:hint="eastAsia" w:ascii="宋体" w:hAnsi="宋体" w:cs="宋体"/>
                <w:kern w:val="0"/>
                <w:sz w:val="24"/>
              </w:rPr>
            </w:pPr>
            <w:r>
              <w:rPr>
                <w:rFonts w:hint="eastAsia" w:ascii="宋体" w:hAnsi="宋体" w:cs="宋体"/>
                <w:color w:val="000000"/>
                <w:kern w:val="0"/>
                <w:sz w:val="22"/>
                <w:szCs w:val="22"/>
                <w:lang w:bidi="ar"/>
              </w:rPr>
              <w:t xml:space="preserve">  生态保护</w:t>
            </w:r>
          </w:p>
        </w:tc>
        <w:tc>
          <w:tcPr>
            <w:tcW w:w="2220" w:type="dxa"/>
            <w:tcBorders>
              <w:top w:val="nil"/>
              <w:left w:val="nil"/>
              <w:bottom w:val="single" w:color="auto" w:sz="4" w:space="0"/>
              <w:right w:val="single" w:color="auto" w:sz="4" w:space="0"/>
            </w:tcBorders>
            <w:noWrap w:val="0"/>
            <w:vAlign w:val="center"/>
          </w:tcPr>
          <w:p>
            <w:pPr>
              <w:widowControl/>
              <w:jc w:val="right"/>
              <w:textAlignment w:val="center"/>
              <w:rPr>
                <w:rFonts w:hint="eastAsia" w:ascii="宋体" w:hAnsi="宋体" w:cs="宋体"/>
                <w:kern w:val="0"/>
                <w:sz w:val="24"/>
              </w:rPr>
            </w:pPr>
            <w:r>
              <w:rPr>
                <w:rFonts w:hint="eastAsia" w:ascii="宋体" w:hAnsi="宋体" w:cs="宋体"/>
                <w:color w:val="000000"/>
                <w:kern w:val="0"/>
                <w:sz w:val="22"/>
                <w:szCs w:val="22"/>
                <w:lang w:bidi="ar"/>
              </w:rPr>
              <w:t>936,169.40</w:t>
            </w:r>
          </w:p>
        </w:tc>
        <w:tc>
          <w:tcPr>
            <w:tcW w:w="2280" w:type="dxa"/>
            <w:tcBorders>
              <w:top w:val="nil"/>
              <w:left w:val="nil"/>
              <w:bottom w:val="single" w:color="auto" w:sz="4" w:space="0"/>
              <w:right w:val="single" w:color="auto" w:sz="4" w:space="0"/>
            </w:tcBorders>
            <w:noWrap w:val="0"/>
            <w:vAlign w:val="center"/>
          </w:tcPr>
          <w:p>
            <w:pPr>
              <w:jc w:val="center"/>
              <w:rPr>
                <w:rFonts w:ascii="宋体" w:hAnsi="宋体" w:cs="宋体"/>
                <w:kern w:val="0"/>
                <w:sz w:val="24"/>
              </w:rPr>
            </w:pPr>
            <w:r>
              <w:rPr>
                <w:rFonts w:hint="eastAsia" w:ascii="宋体" w:hAnsi="宋体" w:cs="宋体"/>
                <w:kern w:val="0"/>
                <w:sz w:val="24"/>
              </w:rPr>
              <w:t>36,240.00</w:t>
            </w:r>
          </w:p>
        </w:tc>
      </w:tr>
      <w:tr>
        <w:tblPrEx>
          <w:tblCellMar>
            <w:top w:w="0" w:type="dxa"/>
            <w:left w:w="108" w:type="dxa"/>
            <w:bottom w:w="0" w:type="dxa"/>
            <w:right w:w="108" w:type="dxa"/>
          </w:tblCellMar>
        </w:tblPrEx>
        <w:trPr>
          <w:gridAfter w:val="1"/>
          <w:wAfter w:w="15" w:type="dxa"/>
          <w:trHeight w:val="397" w:hRule="atLeast"/>
        </w:trPr>
        <w:tc>
          <w:tcPr>
            <w:tcW w:w="1140" w:type="dxa"/>
            <w:tcBorders>
              <w:top w:val="nil"/>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kern w:val="0"/>
                <w:sz w:val="24"/>
              </w:rPr>
            </w:pPr>
            <w:r>
              <w:rPr>
                <w:rFonts w:hint="eastAsia" w:ascii="宋体" w:hAnsi="宋体" w:cs="宋体"/>
                <w:color w:val="000000"/>
                <w:kern w:val="0"/>
                <w:sz w:val="22"/>
                <w:szCs w:val="22"/>
                <w:lang w:bidi="ar"/>
              </w:rPr>
              <w:t>2130104</w:t>
            </w:r>
          </w:p>
        </w:tc>
        <w:tc>
          <w:tcPr>
            <w:tcW w:w="2670" w:type="dxa"/>
            <w:tcBorders>
              <w:top w:val="nil"/>
              <w:left w:val="nil"/>
              <w:bottom w:val="single" w:color="auto" w:sz="4" w:space="0"/>
              <w:right w:val="single" w:color="auto" w:sz="4" w:space="0"/>
            </w:tcBorders>
            <w:noWrap w:val="0"/>
            <w:vAlign w:val="center"/>
          </w:tcPr>
          <w:p>
            <w:pPr>
              <w:widowControl/>
              <w:jc w:val="left"/>
              <w:textAlignment w:val="center"/>
              <w:rPr>
                <w:rFonts w:hint="eastAsia" w:ascii="宋体" w:hAnsi="宋体" w:cs="宋体"/>
                <w:kern w:val="0"/>
                <w:sz w:val="24"/>
              </w:rPr>
            </w:pPr>
            <w:r>
              <w:rPr>
                <w:rFonts w:hint="eastAsia" w:ascii="宋体" w:hAnsi="宋体" w:cs="宋体"/>
                <w:color w:val="000000"/>
                <w:kern w:val="0"/>
                <w:sz w:val="22"/>
                <w:szCs w:val="22"/>
                <w:lang w:bidi="ar"/>
              </w:rPr>
              <w:t xml:space="preserve">  事业运行</w:t>
            </w:r>
          </w:p>
        </w:tc>
        <w:tc>
          <w:tcPr>
            <w:tcW w:w="2220" w:type="dxa"/>
            <w:tcBorders>
              <w:top w:val="nil"/>
              <w:left w:val="nil"/>
              <w:bottom w:val="single" w:color="auto" w:sz="4" w:space="0"/>
              <w:right w:val="single" w:color="auto" w:sz="4" w:space="0"/>
            </w:tcBorders>
            <w:noWrap w:val="0"/>
            <w:vAlign w:val="center"/>
          </w:tcPr>
          <w:p>
            <w:pPr>
              <w:widowControl/>
              <w:jc w:val="right"/>
              <w:textAlignment w:val="center"/>
              <w:rPr>
                <w:rFonts w:hint="eastAsia" w:ascii="宋体" w:hAnsi="宋体" w:cs="宋体"/>
                <w:kern w:val="0"/>
                <w:sz w:val="24"/>
              </w:rPr>
            </w:pPr>
            <w:r>
              <w:rPr>
                <w:rFonts w:hint="eastAsia" w:ascii="宋体" w:hAnsi="宋体" w:cs="宋体"/>
                <w:color w:val="000000"/>
                <w:kern w:val="0"/>
                <w:sz w:val="22"/>
                <w:szCs w:val="22"/>
                <w:lang w:bidi="ar"/>
              </w:rPr>
              <w:t>1,885,626.52</w:t>
            </w:r>
          </w:p>
        </w:tc>
        <w:tc>
          <w:tcPr>
            <w:tcW w:w="228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 w:val="24"/>
              </w:rPr>
            </w:pPr>
          </w:p>
        </w:tc>
      </w:tr>
      <w:tr>
        <w:tblPrEx>
          <w:tblCellMar>
            <w:top w:w="0" w:type="dxa"/>
            <w:left w:w="108" w:type="dxa"/>
            <w:bottom w:w="0" w:type="dxa"/>
            <w:right w:w="108" w:type="dxa"/>
          </w:tblCellMar>
        </w:tblPrEx>
        <w:trPr>
          <w:gridAfter w:val="1"/>
          <w:wAfter w:w="15" w:type="dxa"/>
          <w:trHeight w:val="397" w:hRule="atLeast"/>
        </w:trPr>
        <w:tc>
          <w:tcPr>
            <w:tcW w:w="1140" w:type="dxa"/>
            <w:tcBorders>
              <w:top w:val="nil"/>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kern w:val="0"/>
                <w:sz w:val="24"/>
              </w:rPr>
            </w:pPr>
            <w:r>
              <w:rPr>
                <w:rFonts w:hint="eastAsia" w:ascii="宋体" w:hAnsi="宋体" w:cs="宋体"/>
                <w:color w:val="000000"/>
                <w:kern w:val="0"/>
                <w:sz w:val="22"/>
                <w:szCs w:val="22"/>
                <w:lang w:bidi="ar"/>
              </w:rPr>
              <w:t>2130705</w:t>
            </w:r>
          </w:p>
        </w:tc>
        <w:tc>
          <w:tcPr>
            <w:tcW w:w="2670" w:type="dxa"/>
            <w:tcBorders>
              <w:top w:val="nil"/>
              <w:left w:val="nil"/>
              <w:bottom w:val="single" w:color="auto" w:sz="4" w:space="0"/>
              <w:right w:val="single" w:color="auto" w:sz="4" w:space="0"/>
            </w:tcBorders>
            <w:noWrap w:val="0"/>
            <w:vAlign w:val="center"/>
          </w:tcPr>
          <w:p>
            <w:pPr>
              <w:widowControl/>
              <w:jc w:val="left"/>
              <w:textAlignment w:val="center"/>
              <w:rPr>
                <w:rFonts w:hint="eastAsia" w:ascii="宋体" w:hAnsi="宋体" w:cs="宋体"/>
                <w:kern w:val="0"/>
                <w:sz w:val="24"/>
              </w:rPr>
            </w:pPr>
            <w:r>
              <w:rPr>
                <w:rFonts w:hint="eastAsia" w:ascii="宋体" w:hAnsi="宋体" w:cs="宋体"/>
                <w:color w:val="000000"/>
                <w:kern w:val="0"/>
                <w:sz w:val="22"/>
                <w:szCs w:val="22"/>
                <w:lang w:bidi="ar"/>
              </w:rPr>
              <w:t xml:space="preserve">  对村民委员会和村党支部的补助</w:t>
            </w:r>
          </w:p>
        </w:tc>
        <w:tc>
          <w:tcPr>
            <w:tcW w:w="2220" w:type="dxa"/>
            <w:tcBorders>
              <w:top w:val="nil"/>
              <w:left w:val="nil"/>
              <w:bottom w:val="single" w:color="auto" w:sz="4" w:space="0"/>
              <w:right w:val="single" w:color="auto" w:sz="4" w:space="0"/>
            </w:tcBorders>
            <w:noWrap w:val="0"/>
            <w:vAlign w:val="center"/>
          </w:tcPr>
          <w:p>
            <w:pPr>
              <w:widowControl/>
              <w:jc w:val="right"/>
              <w:textAlignment w:val="center"/>
              <w:rPr>
                <w:rFonts w:hint="eastAsia" w:ascii="宋体" w:hAnsi="宋体" w:cs="宋体"/>
                <w:kern w:val="0"/>
                <w:sz w:val="24"/>
              </w:rPr>
            </w:pPr>
            <w:r>
              <w:rPr>
                <w:rFonts w:hint="eastAsia" w:ascii="宋体" w:hAnsi="宋体" w:cs="宋体"/>
                <w:color w:val="000000"/>
                <w:kern w:val="0"/>
                <w:sz w:val="22"/>
                <w:szCs w:val="22"/>
                <w:lang w:bidi="ar"/>
              </w:rPr>
              <w:t>1,232,740.00</w:t>
            </w:r>
          </w:p>
        </w:tc>
        <w:tc>
          <w:tcPr>
            <w:tcW w:w="228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 w:val="24"/>
              </w:rPr>
            </w:pPr>
          </w:p>
        </w:tc>
      </w:tr>
      <w:tr>
        <w:tblPrEx>
          <w:tblCellMar>
            <w:top w:w="0" w:type="dxa"/>
            <w:left w:w="108" w:type="dxa"/>
            <w:bottom w:w="0" w:type="dxa"/>
            <w:right w:w="108" w:type="dxa"/>
          </w:tblCellMar>
        </w:tblPrEx>
        <w:trPr>
          <w:gridAfter w:val="1"/>
          <w:wAfter w:w="15" w:type="dxa"/>
          <w:trHeight w:val="397" w:hRule="atLeast"/>
        </w:trPr>
        <w:tc>
          <w:tcPr>
            <w:tcW w:w="1140" w:type="dxa"/>
            <w:tcBorders>
              <w:top w:val="nil"/>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kern w:val="0"/>
                <w:sz w:val="24"/>
              </w:rPr>
            </w:pPr>
            <w:r>
              <w:rPr>
                <w:rFonts w:hint="eastAsia" w:ascii="宋体" w:hAnsi="宋体" w:cs="宋体"/>
                <w:color w:val="000000"/>
                <w:kern w:val="0"/>
                <w:sz w:val="22"/>
                <w:szCs w:val="22"/>
                <w:lang w:bidi="ar"/>
              </w:rPr>
              <w:t>2210201</w:t>
            </w:r>
          </w:p>
        </w:tc>
        <w:tc>
          <w:tcPr>
            <w:tcW w:w="2670" w:type="dxa"/>
            <w:tcBorders>
              <w:top w:val="nil"/>
              <w:left w:val="nil"/>
              <w:bottom w:val="single" w:color="auto" w:sz="4" w:space="0"/>
              <w:right w:val="single" w:color="auto" w:sz="4" w:space="0"/>
            </w:tcBorders>
            <w:noWrap w:val="0"/>
            <w:vAlign w:val="center"/>
          </w:tcPr>
          <w:p>
            <w:pPr>
              <w:widowControl/>
              <w:jc w:val="left"/>
              <w:textAlignment w:val="center"/>
              <w:rPr>
                <w:rFonts w:ascii="宋体" w:hAnsi="宋体" w:cs="宋体"/>
                <w:kern w:val="0"/>
                <w:sz w:val="24"/>
              </w:rPr>
            </w:pPr>
            <w:r>
              <w:rPr>
                <w:rFonts w:hint="eastAsia" w:ascii="宋体" w:hAnsi="宋体" w:cs="宋体"/>
                <w:color w:val="000000"/>
                <w:kern w:val="0"/>
                <w:sz w:val="22"/>
                <w:szCs w:val="22"/>
                <w:lang w:bidi="ar"/>
              </w:rPr>
              <w:t xml:space="preserve">  住房公积金</w:t>
            </w:r>
          </w:p>
        </w:tc>
        <w:tc>
          <w:tcPr>
            <w:tcW w:w="2220" w:type="dxa"/>
            <w:tcBorders>
              <w:top w:val="nil"/>
              <w:left w:val="nil"/>
              <w:bottom w:val="single" w:color="auto" w:sz="4" w:space="0"/>
              <w:right w:val="single" w:color="auto" w:sz="4" w:space="0"/>
            </w:tcBorders>
            <w:noWrap w:val="0"/>
            <w:vAlign w:val="center"/>
          </w:tcPr>
          <w:p>
            <w:pPr>
              <w:widowControl/>
              <w:jc w:val="right"/>
              <w:textAlignment w:val="center"/>
              <w:rPr>
                <w:rFonts w:hint="eastAsia" w:ascii="宋体" w:hAnsi="宋体" w:cs="宋体"/>
                <w:kern w:val="0"/>
                <w:sz w:val="24"/>
              </w:rPr>
            </w:pPr>
            <w:r>
              <w:rPr>
                <w:rFonts w:hint="eastAsia" w:ascii="宋体" w:hAnsi="宋体" w:cs="宋体"/>
                <w:color w:val="000000"/>
                <w:kern w:val="0"/>
                <w:sz w:val="22"/>
                <w:szCs w:val="22"/>
                <w:lang w:bidi="ar"/>
              </w:rPr>
              <w:t>471,882.24</w:t>
            </w:r>
          </w:p>
        </w:tc>
        <w:tc>
          <w:tcPr>
            <w:tcW w:w="2280" w:type="dxa"/>
            <w:tcBorders>
              <w:top w:val="nil"/>
              <w:left w:val="nil"/>
              <w:bottom w:val="single" w:color="auto" w:sz="4" w:space="0"/>
              <w:right w:val="single" w:color="auto" w:sz="4" w:space="0"/>
            </w:tcBorders>
            <w:noWrap w:val="0"/>
            <w:vAlign w:val="center"/>
          </w:tcPr>
          <w:p>
            <w:pPr>
              <w:jc w:val="center"/>
              <w:rPr>
                <w:rFonts w:ascii="宋体" w:hAnsi="宋体" w:cs="宋体"/>
                <w:kern w:val="0"/>
                <w:sz w:val="24"/>
              </w:rPr>
            </w:pPr>
            <w:r>
              <w:rPr>
                <w:rFonts w:hint="eastAsia" w:ascii="宋体" w:hAnsi="宋体" w:cs="宋体"/>
                <w:kern w:val="0"/>
                <w:sz w:val="24"/>
              </w:rPr>
              <w:t>926,360.00</w:t>
            </w:r>
          </w:p>
        </w:tc>
      </w:tr>
      <w:tr>
        <w:tblPrEx>
          <w:tblCellMar>
            <w:top w:w="0" w:type="dxa"/>
            <w:left w:w="108" w:type="dxa"/>
            <w:bottom w:w="0" w:type="dxa"/>
            <w:right w:w="108" w:type="dxa"/>
          </w:tblCellMar>
        </w:tblPrEx>
        <w:trPr>
          <w:gridAfter w:val="1"/>
          <w:wAfter w:w="15" w:type="dxa"/>
          <w:trHeight w:val="397" w:hRule="atLeast"/>
        </w:trPr>
        <w:tc>
          <w:tcPr>
            <w:tcW w:w="1140" w:type="dxa"/>
            <w:tcBorders>
              <w:top w:val="nil"/>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kern w:val="0"/>
                <w:sz w:val="24"/>
              </w:rPr>
            </w:pPr>
            <w:r>
              <w:rPr>
                <w:rFonts w:hint="eastAsia" w:ascii="宋体" w:hAnsi="宋体" w:cs="宋体"/>
                <w:color w:val="000000"/>
                <w:kern w:val="0"/>
                <w:sz w:val="22"/>
                <w:szCs w:val="22"/>
                <w:lang w:bidi="ar"/>
              </w:rPr>
              <w:t>2299999</w:t>
            </w:r>
          </w:p>
        </w:tc>
        <w:tc>
          <w:tcPr>
            <w:tcW w:w="2670" w:type="dxa"/>
            <w:tcBorders>
              <w:top w:val="nil"/>
              <w:left w:val="nil"/>
              <w:bottom w:val="single" w:color="auto" w:sz="4" w:space="0"/>
              <w:right w:val="single" w:color="auto" w:sz="4" w:space="0"/>
            </w:tcBorders>
            <w:noWrap w:val="0"/>
            <w:vAlign w:val="center"/>
          </w:tcPr>
          <w:p>
            <w:pPr>
              <w:widowControl/>
              <w:jc w:val="left"/>
              <w:textAlignment w:val="center"/>
              <w:rPr>
                <w:rFonts w:hint="eastAsia" w:ascii="宋体" w:hAnsi="宋体" w:cs="宋体"/>
                <w:kern w:val="0"/>
                <w:sz w:val="24"/>
              </w:rPr>
            </w:pPr>
            <w:r>
              <w:rPr>
                <w:rFonts w:hint="eastAsia" w:ascii="宋体" w:hAnsi="宋体" w:cs="宋体"/>
                <w:color w:val="000000"/>
                <w:kern w:val="0"/>
                <w:sz w:val="22"/>
                <w:szCs w:val="22"/>
                <w:lang w:bidi="ar"/>
              </w:rPr>
              <w:t xml:space="preserve">  其他支出</w:t>
            </w:r>
          </w:p>
        </w:tc>
        <w:tc>
          <w:tcPr>
            <w:tcW w:w="2220" w:type="dxa"/>
            <w:tcBorders>
              <w:top w:val="nil"/>
              <w:left w:val="nil"/>
              <w:bottom w:val="single" w:color="auto" w:sz="4" w:space="0"/>
              <w:right w:val="single" w:color="auto" w:sz="4" w:space="0"/>
            </w:tcBorders>
            <w:noWrap w:val="0"/>
            <w:vAlign w:val="center"/>
          </w:tcPr>
          <w:p>
            <w:pPr>
              <w:widowControl/>
              <w:jc w:val="right"/>
              <w:textAlignment w:val="center"/>
              <w:rPr>
                <w:rFonts w:hint="eastAsia" w:ascii="宋体" w:hAnsi="宋体" w:cs="宋体"/>
                <w:kern w:val="0"/>
                <w:sz w:val="24"/>
              </w:rPr>
            </w:pPr>
            <w:r>
              <w:rPr>
                <w:rFonts w:hint="eastAsia" w:ascii="宋体" w:hAnsi="宋体" w:cs="宋体"/>
                <w:color w:val="000000"/>
                <w:kern w:val="0"/>
                <w:sz w:val="22"/>
                <w:szCs w:val="22"/>
                <w:lang w:bidi="ar"/>
              </w:rPr>
              <w:t>1,011,646.00</w:t>
            </w:r>
          </w:p>
        </w:tc>
        <w:tc>
          <w:tcPr>
            <w:tcW w:w="2280" w:type="dxa"/>
            <w:tcBorders>
              <w:top w:val="nil"/>
              <w:left w:val="nil"/>
              <w:bottom w:val="single" w:color="auto" w:sz="4" w:space="0"/>
              <w:right w:val="single" w:color="auto" w:sz="4" w:space="0"/>
            </w:tcBorders>
            <w:noWrap w:val="0"/>
            <w:vAlign w:val="center"/>
          </w:tcPr>
          <w:p>
            <w:pPr>
              <w:jc w:val="center"/>
              <w:rPr>
                <w:rFonts w:hint="eastAsia" w:ascii="宋体" w:hAnsi="宋体" w:cs="宋体"/>
                <w:kern w:val="0"/>
                <w:sz w:val="24"/>
              </w:rPr>
            </w:pPr>
            <w:r>
              <w:rPr>
                <w:rFonts w:hint="eastAsia" w:ascii="宋体" w:hAnsi="宋体" w:cs="宋体"/>
                <w:kern w:val="0"/>
                <w:sz w:val="24"/>
              </w:rPr>
              <w:t>236,465.00</w:t>
            </w:r>
          </w:p>
        </w:tc>
      </w:tr>
    </w:tbl>
    <w:p>
      <w:pPr>
        <w:numPr>
          <w:ilvl w:val="0"/>
          <w:numId w:val="2"/>
        </w:numPr>
        <w:snapToGrid w:val="0"/>
        <w:spacing w:line="360" w:lineRule="auto"/>
        <w:ind w:firstLine="643" w:firstLineChars="200"/>
        <w:rPr>
          <w:rFonts w:hint="eastAsia" w:ascii="仿宋_GB2312" w:hAnsi="宋体" w:eastAsia="仿宋_GB2312" w:cs="宋体"/>
          <w:b/>
          <w:bCs/>
          <w:kern w:val="0"/>
          <w:sz w:val="32"/>
          <w:szCs w:val="32"/>
        </w:rPr>
      </w:pPr>
      <w:r>
        <w:rPr>
          <w:rFonts w:hint="eastAsia" w:ascii="仿宋_GB2312" w:hAnsi="宋体" w:eastAsia="仿宋_GB2312" w:cs="宋体"/>
          <w:b/>
          <w:bCs/>
          <w:kern w:val="0"/>
          <w:sz w:val="32"/>
          <w:szCs w:val="32"/>
        </w:rPr>
        <w:t>差异原因分析</w:t>
      </w:r>
    </w:p>
    <w:p>
      <w:pPr>
        <w:snapToGrid w:val="0"/>
        <w:spacing w:line="360" w:lineRule="auto"/>
        <w:ind w:firstLine="640" w:firstLineChars="200"/>
        <w:rPr>
          <w:rFonts w:hint="eastAsia" w:ascii="仿宋_GB2312" w:hAnsi="宋体" w:eastAsia="仿宋_GB2312" w:cs="宋体"/>
          <w:bCs/>
          <w:kern w:val="0"/>
          <w:sz w:val="32"/>
          <w:szCs w:val="32"/>
        </w:rPr>
      </w:pPr>
      <w:r>
        <w:rPr>
          <w:rFonts w:hint="eastAsia" w:ascii="仿宋_GB2312" w:eastAsia="仿宋_GB2312"/>
          <w:bCs/>
          <w:sz w:val="32"/>
        </w:rPr>
        <w:t>决算收入数大于预算数，原因是2022年</w:t>
      </w:r>
      <w:r>
        <w:rPr>
          <w:rFonts w:hint="eastAsia" w:ascii="仿宋_GB2312" w:hAnsi="宋体" w:eastAsia="仿宋_GB2312" w:cs="宋体"/>
          <w:kern w:val="0"/>
          <w:sz w:val="32"/>
          <w:szCs w:val="32"/>
        </w:rPr>
        <w:t>职工变动及人员调资</w:t>
      </w:r>
      <w:r>
        <w:rPr>
          <w:rFonts w:hint="eastAsia" w:ascii="仿宋_GB2312" w:eastAsia="仿宋_GB2312"/>
          <w:bCs/>
          <w:sz w:val="32"/>
        </w:rPr>
        <w:t>；决算支出数大于预算数，原因是支出2022年</w:t>
      </w:r>
      <w:r>
        <w:rPr>
          <w:rFonts w:hint="eastAsia" w:ascii="仿宋_GB2312" w:hAnsi="宋体" w:eastAsia="仿宋_GB2312" w:cs="宋体"/>
          <w:kern w:val="0"/>
          <w:sz w:val="32"/>
          <w:szCs w:val="32"/>
        </w:rPr>
        <w:t>职工人数增加及人员调资</w:t>
      </w:r>
      <w:r>
        <w:rPr>
          <w:rFonts w:hint="eastAsia" w:ascii="仿宋_GB2312" w:eastAsia="仿宋_GB2312"/>
          <w:bCs/>
          <w:sz w:val="32"/>
        </w:rPr>
        <w:t>。</w:t>
      </w:r>
    </w:p>
    <w:p>
      <w:pPr>
        <w:snapToGrid w:val="0"/>
        <w:spacing w:line="520" w:lineRule="exact"/>
        <w:ind w:firstLine="643" w:firstLineChars="200"/>
        <w:rPr>
          <w:rFonts w:hint="eastAsia" w:ascii="仿宋_GB2312" w:hAnsi="仿宋" w:eastAsia="仿宋_GB2312"/>
          <w:b/>
          <w:sz w:val="32"/>
          <w:szCs w:val="32"/>
        </w:rPr>
      </w:pPr>
      <w:r>
        <w:rPr>
          <w:rFonts w:hint="eastAsia" w:ascii="仿宋_GB2312" w:hAnsi="仿宋" w:eastAsia="仿宋_GB2312"/>
          <w:b/>
          <w:sz w:val="32"/>
          <w:szCs w:val="32"/>
        </w:rPr>
        <w:t>2．收入支出结构分析</w:t>
      </w:r>
    </w:p>
    <w:p>
      <w:pPr>
        <w:snapToGrid w:val="0"/>
        <w:spacing w:line="520" w:lineRule="exact"/>
        <w:ind w:firstLine="643" w:firstLineChars="200"/>
        <w:rPr>
          <w:rFonts w:hint="eastAsia" w:ascii="仿宋_GB2312" w:hAnsi="仿宋" w:eastAsia="仿宋_GB2312"/>
          <w:b/>
          <w:bCs/>
          <w:sz w:val="32"/>
          <w:szCs w:val="32"/>
        </w:rPr>
      </w:pPr>
      <w:r>
        <w:rPr>
          <w:rFonts w:hint="eastAsia" w:ascii="仿宋_GB2312" w:hAnsi="仿宋" w:eastAsia="仿宋_GB2312"/>
          <w:b/>
          <w:bCs/>
          <w:sz w:val="32"/>
          <w:szCs w:val="32"/>
        </w:rPr>
        <w:t>（1）各项收入占总收入的比重</w:t>
      </w:r>
    </w:p>
    <w:p>
      <w:pPr>
        <w:rPr>
          <w:rFonts w:hint="eastAsia"/>
          <w:szCs w:val="32"/>
        </w:rPr>
      </w:pPr>
      <w:r>
        <w:drawing>
          <wp:inline distT="0" distB="0" distL="114300" distR="114300">
            <wp:extent cx="5276850" cy="4267200"/>
            <wp:effectExtent l="4445" t="4445" r="14605" b="14605"/>
            <wp:docPr id="1"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numPr>
          <w:ilvl w:val="0"/>
          <w:numId w:val="3"/>
        </w:numPr>
        <w:snapToGrid w:val="0"/>
        <w:spacing w:line="360" w:lineRule="auto"/>
        <w:ind w:firstLine="643" w:firstLineChars="200"/>
        <w:rPr>
          <w:rFonts w:hint="eastAsia" w:ascii="仿宋_GB2312" w:eastAsia="仿宋_GB2312"/>
          <w:b/>
          <w:bCs/>
          <w:sz w:val="32"/>
        </w:rPr>
      </w:pPr>
      <w:r>
        <w:rPr>
          <w:rFonts w:hint="eastAsia" w:ascii="仿宋_GB2312" w:eastAsia="仿宋_GB2312"/>
          <w:b/>
          <w:bCs/>
          <w:sz w:val="32"/>
        </w:rPr>
        <w:t>各项支出占总支出的比重</w:t>
      </w:r>
    </w:p>
    <w:p>
      <w:pPr>
        <w:snapToGrid w:val="0"/>
        <w:spacing w:line="360" w:lineRule="auto"/>
        <w:rPr>
          <w:rFonts w:hint="eastAsia"/>
          <w:szCs w:val="32"/>
        </w:rPr>
      </w:pPr>
      <w:r>
        <w:drawing>
          <wp:inline distT="0" distB="0" distL="114300" distR="114300">
            <wp:extent cx="5276850" cy="4267200"/>
            <wp:effectExtent l="4445" t="4445" r="14605" b="14605"/>
            <wp:docPr id="3" name="图表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napToGrid w:val="0"/>
        <w:spacing w:line="520" w:lineRule="exact"/>
        <w:ind w:firstLine="643" w:firstLineChars="200"/>
        <w:rPr>
          <w:rFonts w:hint="eastAsia" w:ascii="仿宋_GB2312" w:hAnsi="仿宋" w:eastAsia="仿宋_GB2312"/>
          <w:b/>
          <w:sz w:val="32"/>
          <w:szCs w:val="32"/>
        </w:rPr>
      </w:pPr>
      <w:r>
        <w:rPr>
          <w:rFonts w:hint="eastAsia" w:ascii="仿宋_GB2312" w:hAnsi="仿宋" w:eastAsia="仿宋_GB2312"/>
          <w:b/>
          <w:sz w:val="32"/>
          <w:szCs w:val="32"/>
        </w:rPr>
        <w:t>3．支出按经济分类科目分析。</w:t>
      </w:r>
    </w:p>
    <w:p>
      <w:pPr>
        <w:spacing w:line="600" w:lineRule="exact"/>
        <w:ind w:firstLine="645"/>
        <w:rPr>
          <w:rFonts w:hint="default" w:ascii="仿宋_GB2312" w:eastAsia="仿宋_GB2312"/>
          <w:color w:val="000000"/>
          <w:sz w:val="32"/>
          <w:szCs w:val="32"/>
          <w:lang w:val="en-US" w:eastAsia="zh-CN"/>
        </w:rPr>
      </w:pPr>
      <w:r>
        <w:rPr>
          <w:rFonts w:hint="eastAsia" w:ascii="仿宋_GB2312" w:eastAsia="仿宋_GB2312"/>
          <w:color w:val="000000"/>
          <w:sz w:val="32"/>
          <w:szCs w:val="32"/>
        </w:rPr>
        <w:t>2022年度一般公共预算财政拨款支出</w:t>
      </w:r>
      <w:r>
        <w:rPr>
          <w:rFonts w:hint="eastAsia" w:ascii="仿宋_GB2312" w:eastAsia="仿宋_GB2312"/>
          <w:color w:val="000000"/>
          <w:sz w:val="32"/>
          <w:szCs w:val="32"/>
          <w:lang w:eastAsia="zh-CN"/>
        </w:rPr>
        <w:t>992.24</w:t>
      </w:r>
      <w:r>
        <w:rPr>
          <w:rFonts w:hint="eastAsia" w:ascii="仿宋_GB2312" w:eastAsia="仿宋_GB2312"/>
          <w:color w:val="000000"/>
          <w:sz w:val="32"/>
          <w:szCs w:val="32"/>
        </w:rPr>
        <w:t>万元，其中</w:t>
      </w:r>
      <w:r>
        <w:rPr>
          <w:rFonts w:hint="eastAsia" w:ascii="仿宋_GB2312" w:eastAsia="仿宋_GB2312"/>
          <w:color w:val="000000"/>
          <w:sz w:val="32"/>
          <w:szCs w:val="32"/>
          <w:lang w:val="en-US" w:eastAsia="zh-CN"/>
        </w:rPr>
        <w:t>基本支出668.98万元，项目支出323.26万元</w:t>
      </w:r>
    </w:p>
    <w:p>
      <w:pPr>
        <w:snapToGrid w:val="0"/>
        <w:spacing w:line="520" w:lineRule="exact"/>
        <w:ind w:firstLine="640" w:firstLineChars="200"/>
        <w:rPr>
          <w:rFonts w:hint="eastAsia" w:ascii="仿宋_GB2312" w:hAnsi="仿宋_GB2312" w:eastAsia="仿宋_GB2312" w:cs="仿宋_GB2312"/>
          <w:bCs/>
          <w:sz w:val="32"/>
          <w:szCs w:val="32"/>
        </w:rPr>
      </w:pPr>
      <w:r>
        <w:rPr>
          <w:rFonts w:hint="eastAsia" w:ascii="仿宋_GB2312" w:hAnsi="仿宋" w:eastAsia="仿宋_GB2312"/>
          <w:color w:val="000000"/>
          <w:sz w:val="32"/>
          <w:szCs w:val="32"/>
        </w:rPr>
        <w:t>人员经费支出636.27万元，</w:t>
      </w:r>
      <w:r>
        <w:rPr>
          <w:rFonts w:hint="eastAsia" w:ascii="仿宋_GB2312" w:eastAsia="仿宋_GB2312"/>
          <w:color w:val="000000"/>
          <w:sz w:val="32"/>
          <w:szCs w:val="32"/>
        </w:rPr>
        <w:t>主要包括：基本工资122.51万元、津贴补贴143.89万元、奖金115.15万元、绩效工资34.22万元、机关事业单位基本养老保险缴费49.12万元、职业年金缴费24.56万元、其他社会保障缴费3.55万元、住房公积金47.19万元、职工基本医疗保险缴费23.33万元、公务员医疗补助3.47万元、生活补助4.48万元、奖励金64.81万元。</w:t>
      </w:r>
    </w:p>
    <w:p>
      <w:pPr>
        <w:spacing w:line="600" w:lineRule="exact"/>
        <w:ind w:firstLine="645"/>
        <w:rPr>
          <w:rFonts w:hint="eastAsia" w:ascii="仿宋_GB2312" w:hAnsi="仿宋_GB2312" w:eastAsia="仿宋_GB2312" w:cs="仿宋_GB2312"/>
          <w:color w:val="000000"/>
          <w:sz w:val="32"/>
          <w:szCs w:val="32"/>
        </w:rPr>
      </w:pPr>
      <w:r>
        <w:rPr>
          <w:rFonts w:hint="eastAsia" w:ascii="仿宋_GB2312" w:hAnsi="仿宋" w:eastAsia="仿宋_GB2312"/>
          <w:color w:val="000000"/>
          <w:sz w:val="32"/>
          <w:szCs w:val="32"/>
        </w:rPr>
        <w:t>日常公用经费支出32.71万元，</w:t>
      </w:r>
      <w:r>
        <w:rPr>
          <w:rFonts w:hint="eastAsia" w:ascii="仿宋_GB2312" w:eastAsia="仿宋_GB2312"/>
          <w:color w:val="000000"/>
          <w:sz w:val="32"/>
          <w:szCs w:val="32"/>
        </w:rPr>
        <w:t>主要包括：办公费12.57万元、印刷费1.8万元、电费2万元、邮电费2.2万元、差旅费4.89万元、劳务费3.4万元、公务用车运行维护费4.85万元、其他交通费用1万元。</w:t>
      </w:r>
    </w:p>
    <w:p>
      <w:pPr>
        <w:snapToGrid w:val="0"/>
        <w:spacing w:line="520" w:lineRule="exact"/>
        <w:ind w:firstLine="640" w:firstLineChars="200"/>
        <w:rPr>
          <w:rFonts w:hint="eastAsia" w:ascii="仿宋_GB2312" w:hAnsi="仿宋" w:eastAsia="仿宋_GB2312"/>
          <w:b/>
          <w:sz w:val="32"/>
          <w:szCs w:val="32"/>
        </w:rPr>
      </w:pPr>
      <w:r>
        <w:rPr>
          <w:rFonts w:hint="eastAsia" w:ascii="仿宋_GB2312" w:hAnsi="仿宋" w:eastAsia="仿宋_GB2312"/>
          <w:color w:val="000000"/>
          <w:sz w:val="32"/>
          <w:szCs w:val="32"/>
        </w:rPr>
        <w:t>项目支出323.26万元，</w:t>
      </w:r>
      <w:r>
        <w:rPr>
          <w:rFonts w:hint="eastAsia" w:ascii="仿宋_GB2312" w:eastAsia="仿宋_GB2312"/>
          <w:color w:val="000000"/>
          <w:sz w:val="32"/>
          <w:szCs w:val="32"/>
        </w:rPr>
        <w:t>主要包括：人大会议费0.2万元，</w:t>
      </w:r>
      <w:r>
        <w:rPr>
          <w:rFonts w:hint="eastAsia" w:ascii="仿宋_GB2312" w:hAnsi="仿宋" w:eastAsia="仿宋_GB2312"/>
          <w:color w:val="000000"/>
          <w:sz w:val="32"/>
          <w:szCs w:val="32"/>
        </w:rPr>
        <w:t>对村干部生活补助支出79.27万元，村级维护费办公费44万元</w:t>
      </w:r>
      <w:r>
        <w:rPr>
          <w:rFonts w:hint="eastAsia" w:ascii="仿宋_GB2312" w:hAnsi="仿宋_GB2312" w:eastAsia="仿宋_GB2312" w:cs="仿宋_GB2312"/>
          <w:color w:val="000000"/>
          <w:sz w:val="32"/>
          <w:szCs w:val="32"/>
        </w:rPr>
        <w:t>（其中公共运行维护费28万元、基层党组织活动经费8万元、办公费8万元）</w:t>
      </w:r>
      <w:r>
        <w:rPr>
          <w:rFonts w:hint="eastAsia" w:ascii="仿宋_GB2312" w:hAnsi="仿宋" w:eastAsia="仿宋_GB2312"/>
          <w:color w:val="000000"/>
          <w:sz w:val="32"/>
          <w:szCs w:val="32"/>
        </w:rPr>
        <w:t>，三老干部生活补助0.96万元，疫情防控经费5万元，河东乡旦甲木足村马尔脚水毁道路恢复项目93.61万元，河东乡噶尖草坪旅游配套设施建设项目95.2万元，职工之家维修建设5万元。</w:t>
      </w:r>
    </w:p>
    <w:p>
      <w:pPr>
        <w:pageBreakBefore w:val="0"/>
        <w:widowControl w:val="0"/>
        <w:kinsoku/>
        <w:wordWrap/>
        <w:overflowPunct/>
        <w:topLinePunct w:val="0"/>
        <w:bidi w:val="0"/>
        <w:spacing w:line="576" w:lineRule="exact"/>
        <w:ind w:firstLine="640"/>
        <w:outlineLvl w:val="1"/>
        <w:rPr>
          <w:rStyle w:val="20"/>
          <w:rFonts w:ascii="Times New Roman" w:hAnsi="Times New Roman" w:eastAsia="黑体" w:cs="Times New Roman"/>
          <w:b w:val="0"/>
        </w:rPr>
      </w:pPr>
      <w:r>
        <w:rPr>
          <w:rFonts w:ascii="Times New Roman" w:hAnsi="Times New Roman" w:eastAsia="黑体" w:cs="Times New Roman"/>
          <w:sz w:val="32"/>
          <w:szCs w:val="32"/>
        </w:rPr>
        <w:t>七、</w:t>
      </w:r>
      <w:r>
        <w:rPr>
          <w:rStyle w:val="20"/>
          <w:rFonts w:ascii="Times New Roman" w:hAnsi="Times New Roman" w:eastAsia="黑体" w:cs="Times New Roman"/>
        </w:rPr>
        <w:t>“</w:t>
      </w:r>
      <w:r>
        <w:rPr>
          <w:rStyle w:val="20"/>
          <w:rFonts w:ascii="Times New Roman" w:hAnsi="Times New Roman" w:eastAsia="黑体" w:cs="Times New Roman"/>
          <w:b w:val="0"/>
        </w:rPr>
        <w:t>三公”经费财政拨款支出决算情况说明</w:t>
      </w:r>
      <w:bookmarkEnd w:id="33"/>
      <w:bookmarkEnd w:id="34"/>
      <w:bookmarkEnd w:id="35"/>
    </w:p>
    <w:p>
      <w:pPr>
        <w:snapToGrid w:val="0"/>
        <w:spacing w:line="520" w:lineRule="exact"/>
        <w:ind w:firstLine="643" w:firstLineChars="200"/>
        <w:rPr>
          <w:rFonts w:hint="eastAsia" w:ascii="仿宋_GB2312" w:hAnsi="仿宋" w:eastAsia="仿宋_GB2312"/>
          <w:b/>
          <w:bCs/>
          <w:sz w:val="32"/>
          <w:szCs w:val="32"/>
        </w:rPr>
      </w:pPr>
      <w:bookmarkStart w:id="38" w:name="_Toc15396610"/>
      <w:bookmarkStart w:id="39" w:name="_Toc15377218"/>
      <w:r>
        <w:rPr>
          <w:rFonts w:hint="eastAsia" w:ascii="仿宋_GB2312" w:hAnsi="仿宋" w:eastAsia="仿宋_GB2312"/>
          <w:b/>
          <w:bCs/>
          <w:sz w:val="32"/>
          <w:szCs w:val="32"/>
        </w:rPr>
        <w:t>（1）“三公”经费支出情况</w:t>
      </w:r>
    </w:p>
    <w:p>
      <w:pPr>
        <w:snapToGrid w:val="0"/>
        <w:spacing w:line="520" w:lineRule="exact"/>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2022年“三公”经费财政拨款支出决算为4.85万元，完成预算100.00%</w:t>
      </w:r>
    </w:p>
    <w:p>
      <w:pPr>
        <w:snapToGrid w:val="0"/>
        <w:spacing w:line="520" w:lineRule="exact"/>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2022年“三公”经费财政拨款支出决算中，因公出国（境）费支出决算0.00万元，占0.00%；公务用车购置及运行维护费支出决算4.85万元，占100.00%；公务接待费支出决算0.00万元，占0.00%。具体情况如下：</w:t>
      </w:r>
    </w:p>
    <w:p>
      <w:pPr>
        <w:rPr>
          <w:rFonts w:hint="eastAsia"/>
        </w:rPr>
      </w:pPr>
      <w:r>
        <w:drawing>
          <wp:inline distT="0" distB="0" distL="114300" distR="114300">
            <wp:extent cx="4870450" cy="2922270"/>
            <wp:effectExtent l="4445" t="5080" r="20955" b="6350"/>
            <wp:docPr id="5" name="图表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napToGrid w:val="0"/>
        <w:spacing w:line="520" w:lineRule="exact"/>
        <w:ind w:firstLine="640" w:firstLineChars="200"/>
        <w:rPr>
          <w:rFonts w:hint="eastAsia" w:ascii="仿宋_GB2312" w:hAnsi="仿宋" w:eastAsia="仿宋_GB2312" w:cs="Times New Roman"/>
          <w:color w:val="000000"/>
          <w:sz w:val="32"/>
          <w:szCs w:val="32"/>
        </w:rPr>
      </w:pPr>
      <w:bookmarkStart w:id="40" w:name="_Toc26843619"/>
      <w:r>
        <w:rPr>
          <w:rFonts w:hint="eastAsia" w:ascii="仿宋_GB2312" w:hAnsi="仿宋" w:eastAsia="仿宋_GB2312" w:cs="Times New Roman"/>
          <w:color w:val="000000"/>
          <w:sz w:val="32"/>
          <w:szCs w:val="32"/>
        </w:rPr>
        <w:t>因公出国（境）经费支出0.00万元，完成预算0.00%。全年安排因公出国（境）团组0次，出国（境）0人。</w:t>
      </w:r>
    </w:p>
    <w:p>
      <w:pPr>
        <w:snapToGrid w:val="0"/>
        <w:spacing w:line="520" w:lineRule="exact"/>
        <w:ind w:firstLine="640" w:firstLineChars="200"/>
        <w:rPr>
          <w:rFonts w:hint="eastAsia" w:ascii="仿宋_GB2312" w:hAnsi="仿宋" w:eastAsia="仿宋_GB2312" w:cs="Times New Roman"/>
          <w:color w:val="000000"/>
          <w:sz w:val="32"/>
          <w:szCs w:val="32"/>
        </w:rPr>
      </w:pPr>
      <w:r>
        <w:rPr>
          <w:rFonts w:hint="eastAsia" w:ascii="仿宋_GB2312" w:hAnsi="仿宋" w:eastAsia="仿宋_GB2312" w:cs="Times New Roman"/>
          <w:color w:val="000000"/>
          <w:sz w:val="32"/>
          <w:szCs w:val="32"/>
          <w:lang w:val="en-US" w:eastAsia="zh-CN"/>
        </w:rPr>
        <w:t>2.</w:t>
      </w:r>
      <w:r>
        <w:rPr>
          <w:rFonts w:hint="eastAsia" w:ascii="仿宋_GB2312" w:hAnsi="仿宋" w:eastAsia="仿宋_GB2312" w:cs="Times New Roman"/>
          <w:color w:val="000000"/>
          <w:sz w:val="32"/>
          <w:szCs w:val="32"/>
        </w:rPr>
        <w:t>公务用车购置及运行维护费支出4.85万元,完成预算100.00%。公务用车购置及运行维护费支出决算比2021年增加</w:t>
      </w:r>
      <w:r>
        <w:rPr>
          <w:rFonts w:hint="eastAsia" w:ascii="仿宋_GB2312" w:hAnsi="仿宋" w:eastAsia="仿宋_GB2312" w:cs="Times New Roman"/>
          <w:color w:val="000000"/>
          <w:sz w:val="32"/>
          <w:szCs w:val="32"/>
          <w:lang w:val="en-US" w:eastAsia="zh-CN"/>
        </w:rPr>
        <w:t>0</w:t>
      </w:r>
      <w:r>
        <w:rPr>
          <w:rFonts w:hint="eastAsia" w:ascii="仿宋_GB2312" w:hAnsi="仿宋" w:eastAsia="仿宋_GB2312" w:cs="Times New Roman"/>
          <w:color w:val="000000"/>
          <w:sz w:val="32"/>
          <w:szCs w:val="32"/>
        </w:rPr>
        <w:t>万元，增长0.00%。</w:t>
      </w:r>
    </w:p>
    <w:p>
      <w:pPr>
        <w:snapToGrid w:val="0"/>
        <w:spacing w:line="520" w:lineRule="exact"/>
        <w:ind w:firstLine="640" w:firstLineChars="200"/>
        <w:rPr>
          <w:rFonts w:hint="default" w:ascii="仿宋_GB2312" w:hAnsi="仿宋" w:eastAsia="仿宋_GB2312" w:cs="Times New Roman"/>
          <w:color w:val="000000"/>
          <w:sz w:val="32"/>
          <w:szCs w:val="32"/>
          <w:lang w:val="en-US" w:eastAsia="zh-CN"/>
        </w:rPr>
      </w:pPr>
      <w:r>
        <w:rPr>
          <w:rFonts w:hint="eastAsia" w:ascii="仿宋_GB2312" w:hAnsi="仿宋" w:eastAsia="仿宋_GB2312" w:cs="Times New Roman"/>
          <w:color w:val="000000"/>
          <w:sz w:val="32"/>
          <w:szCs w:val="32"/>
        </w:rPr>
        <w:t>其中：公务用车购置支出0.00万元。全年按规定更新购置公务用车0辆，截至202</w:t>
      </w:r>
      <w:r>
        <w:rPr>
          <w:rFonts w:hint="eastAsia" w:ascii="仿宋_GB2312" w:hAnsi="仿宋" w:eastAsia="仿宋_GB2312" w:cs="Times New Roman"/>
          <w:color w:val="000000"/>
          <w:sz w:val="32"/>
          <w:szCs w:val="32"/>
          <w:lang w:val="en-US" w:eastAsia="zh-CN"/>
        </w:rPr>
        <w:t>2</w:t>
      </w:r>
      <w:r>
        <w:rPr>
          <w:rFonts w:hint="eastAsia" w:ascii="仿宋_GB2312" w:hAnsi="仿宋" w:eastAsia="仿宋_GB2312" w:cs="Times New Roman"/>
          <w:color w:val="000000"/>
          <w:sz w:val="32"/>
          <w:szCs w:val="32"/>
        </w:rPr>
        <w:t>年12月底，单位共有公务用车</w:t>
      </w:r>
      <w:r>
        <w:rPr>
          <w:rFonts w:hint="eastAsia" w:ascii="仿宋_GB2312" w:hAnsi="仿宋" w:eastAsia="仿宋_GB2312" w:cs="Times New Roman"/>
          <w:color w:val="000000"/>
          <w:sz w:val="32"/>
          <w:szCs w:val="32"/>
          <w:lang w:val="en-US" w:eastAsia="zh-CN"/>
        </w:rPr>
        <w:t>4</w:t>
      </w:r>
      <w:r>
        <w:rPr>
          <w:rFonts w:hint="eastAsia" w:ascii="仿宋_GB2312" w:hAnsi="仿宋" w:eastAsia="仿宋_GB2312" w:cs="Times New Roman"/>
          <w:color w:val="000000"/>
          <w:sz w:val="32"/>
          <w:szCs w:val="32"/>
        </w:rPr>
        <w:t>辆，其中：</w:t>
      </w:r>
      <w:r>
        <w:rPr>
          <w:rFonts w:hint="eastAsia" w:ascii="仿宋_GB2312" w:hAnsi="仿宋" w:eastAsia="仿宋_GB2312" w:cs="Times New Roman"/>
          <w:color w:val="000000"/>
          <w:sz w:val="32"/>
          <w:szCs w:val="32"/>
          <w:lang w:val="en-US" w:eastAsia="zh-CN"/>
        </w:rPr>
        <w:t>应急保障用车4辆</w:t>
      </w:r>
    </w:p>
    <w:p>
      <w:pPr>
        <w:snapToGrid w:val="0"/>
        <w:spacing w:line="520" w:lineRule="exact"/>
        <w:ind w:firstLine="640" w:firstLineChars="200"/>
        <w:rPr>
          <w:rFonts w:hint="eastAsia"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公务用车运行维护费支出4.85万元。主要用于</w:t>
      </w:r>
      <w:r>
        <w:rPr>
          <w:rFonts w:hint="eastAsia" w:ascii="仿宋_GB2312" w:hAnsi="仿宋" w:eastAsia="仿宋_GB2312" w:cs="Times New Roman"/>
          <w:color w:val="000000"/>
          <w:sz w:val="32"/>
          <w:szCs w:val="32"/>
          <w:lang w:val="en-US" w:eastAsia="zh-CN"/>
        </w:rPr>
        <w:t>日常下村办事</w:t>
      </w:r>
      <w:r>
        <w:rPr>
          <w:rFonts w:hint="eastAsia" w:ascii="仿宋_GB2312" w:hAnsi="仿宋" w:eastAsia="仿宋_GB2312" w:cs="Times New Roman"/>
          <w:color w:val="000000"/>
          <w:sz w:val="32"/>
          <w:szCs w:val="32"/>
        </w:rPr>
        <w:t>所需的公务用车燃料费、维修费</w:t>
      </w:r>
      <w:r>
        <w:rPr>
          <w:rFonts w:hint="eastAsia" w:ascii="仿宋_GB2312" w:hAnsi="仿宋" w:eastAsia="仿宋_GB2312" w:cs="Times New Roman"/>
          <w:color w:val="000000"/>
          <w:sz w:val="32"/>
          <w:szCs w:val="32"/>
          <w:lang w:eastAsia="zh-CN"/>
        </w:rPr>
        <w:t>、</w:t>
      </w:r>
      <w:r>
        <w:rPr>
          <w:rFonts w:hint="eastAsia" w:ascii="仿宋_GB2312" w:hAnsi="仿宋" w:eastAsia="仿宋_GB2312" w:cs="Times New Roman"/>
          <w:color w:val="000000"/>
          <w:sz w:val="32"/>
          <w:szCs w:val="32"/>
        </w:rPr>
        <w:t>保险费等支出。</w:t>
      </w:r>
    </w:p>
    <w:p>
      <w:pPr>
        <w:snapToGrid w:val="0"/>
        <w:spacing w:line="520" w:lineRule="exact"/>
        <w:ind w:firstLine="640" w:firstLineChars="200"/>
        <w:rPr>
          <w:rFonts w:hint="eastAsia"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3.公务接待费支出0.00万元，完成预算100%。</w:t>
      </w:r>
    </w:p>
    <w:p>
      <w:pPr>
        <w:pageBreakBefore w:val="0"/>
        <w:widowControl w:val="0"/>
        <w:kinsoku/>
        <w:wordWrap/>
        <w:overflowPunct/>
        <w:topLinePunct w:val="0"/>
        <w:bidi w:val="0"/>
        <w:spacing w:line="576" w:lineRule="exact"/>
        <w:ind w:firstLine="640"/>
        <w:outlineLvl w:val="1"/>
        <w:rPr>
          <w:rStyle w:val="20"/>
          <w:rFonts w:ascii="Times New Roman" w:hAnsi="Times New Roman" w:eastAsia="黑体" w:cs="Times New Roman"/>
        </w:rPr>
      </w:pPr>
      <w:r>
        <w:rPr>
          <w:rFonts w:ascii="Times New Roman" w:hAnsi="Times New Roman" w:eastAsia="黑体" w:cs="Times New Roman"/>
          <w:sz w:val="32"/>
          <w:szCs w:val="32"/>
        </w:rPr>
        <w:t>八、</w:t>
      </w:r>
      <w:r>
        <w:rPr>
          <w:rStyle w:val="20"/>
          <w:rFonts w:ascii="Times New Roman" w:hAnsi="Times New Roman" w:eastAsia="黑体" w:cs="Times New Roman"/>
          <w:b w:val="0"/>
        </w:rPr>
        <w:t>政府性基金预算支出决算情况说明</w:t>
      </w:r>
      <w:bookmarkEnd w:id="38"/>
      <w:bookmarkEnd w:id="39"/>
      <w:bookmarkEnd w:id="40"/>
    </w:p>
    <w:p>
      <w:pPr>
        <w:pageBreakBefore w:val="0"/>
        <w:widowControl w:val="0"/>
        <w:kinsoku/>
        <w:wordWrap/>
        <w:overflowPunct/>
        <w:topLinePunct w:val="0"/>
        <w:bidi w:val="0"/>
        <w:spacing w:line="576" w:lineRule="exact"/>
        <w:ind w:firstLine="640"/>
        <w:rPr>
          <w:rFonts w:ascii="Times New Roman" w:hAnsi="Times New Roman" w:eastAsia="仿宋_GB2312" w:cs="Times New Roman"/>
          <w:sz w:val="32"/>
          <w:szCs w:val="32"/>
        </w:rPr>
      </w:pPr>
      <w:r>
        <w:rPr>
          <w:rFonts w:hint="eastAsia" w:eastAsia="仿宋_GB2312" w:cs="Times New Roman"/>
          <w:sz w:val="32"/>
          <w:szCs w:val="32"/>
          <w:lang w:eastAsia="zh-CN"/>
        </w:rPr>
        <w:t>2022</w:t>
      </w:r>
      <w:r>
        <w:rPr>
          <w:rFonts w:ascii="Times New Roman" w:hAnsi="Times New Roman" w:eastAsia="仿宋_GB2312" w:cs="Times New Roman"/>
          <w:sz w:val="32"/>
          <w:szCs w:val="32"/>
        </w:rPr>
        <w:t>年政府性基金预算财政拨款支出0万元。</w:t>
      </w:r>
    </w:p>
    <w:p>
      <w:pPr>
        <w:pageBreakBefore w:val="0"/>
        <w:widowControl w:val="0"/>
        <w:kinsoku/>
        <w:wordWrap/>
        <w:overflowPunct/>
        <w:topLinePunct w:val="0"/>
        <w:bidi w:val="0"/>
        <w:spacing w:line="576" w:lineRule="exact"/>
        <w:ind w:firstLine="640"/>
        <w:rPr>
          <w:rFonts w:ascii="Times New Roman" w:hAnsi="Times New Roman" w:eastAsia="仿宋_GB2312" w:cs="Times New Roman"/>
          <w:sz w:val="32"/>
          <w:szCs w:val="32"/>
        </w:rPr>
      </w:pPr>
    </w:p>
    <w:p>
      <w:pPr>
        <w:pageBreakBefore w:val="0"/>
        <w:widowControl w:val="0"/>
        <w:numPr>
          <w:ilvl w:val="0"/>
          <w:numId w:val="4"/>
        </w:numPr>
        <w:kinsoku/>
        <w:wordWrap/>
        <w:overflowPunct/>
        <w:topLinePunct w:val="0"/>
        <w:bidi w:val="0"/>
        <w:spacing w:line="576" w:lineRule="exact"/>
        <w:ind w:left="0" w:firstLine="640"/>
        <w:outlineLvl w:val="1"/>
        <w:rPr>
          <w:rStyle w:val="20"/>
          <w:rFonts w:ascii="Times New Roman" w:hAnsi="Times New Roman" w:eastAsia="黑体" w:cs="Times New Roman"/>
          <w:b w:val="0"/>
        </w:rPr>
      </w:pPr>
      <w:bookmarkStart w:id="41" w:name="_Toc15377219"/>
      <w:bookmarkStart w:id="42" w:name="_Toc15396611"/>
      <w:bookmarkStart w:id="43" w:name="_Toc26843620"/>
      <w:r>
        <w:rPr>
          <w:rStyle w:val="20"/>
          <w:rFonts w:ascii="Times New Roman" w:hAnsi="Times New Roman" w:eastAsia="黑体" w:cs="Times New Roman"/>
          <w:b w:val="0"/>
        </w:rPr>
        <w:t>国有资本经营预算支出决算情况说明</w:t>
      </w:r>
      <w:bookmarkEnd w:id="41"/>
      <w:bookmarkEnd w:id="42"/>
      <w:bookmarkEnd w:id="43"/>
    </w:p>
    <w:p>
      <w:pPr>
        <w:pageBreakBefore w:val="0"/>
        <w:widowControl w:val="0"/>
        <w:kinsoku/>
        <w:wordWrap/>
        <w:overflowPunct/>
        <w:topLinePunct w:val="0"/>
        <w:bidi w:val="0"/>
        <w:spacing w:line="576" w:lineRule="exact"/>
        <w:ind w:firstLine="640"/>
        <w:rPr>
          <w:rFonts w:ascii="Times New Roman" w:hAnsi="Times New Roman" w:eastAsia="仿宋_GB2312" w:cs="Times New Roman"/>
          <w:sz w:val="32"/>
          <w:szCs w:val="32"/>
        </w:rPr>
      </w:pPr>
      <w:r>
        <w:rPr>
          <w:rFonts w:hint="eastAsia" w:eastAsia="仿宋_GB2312" w:cs="Times New Roman"/>
          <w:sz w:val="32"/>
          <w:szCs w:val="32"/>
          <w:lang w:eastAsia="zh-CN"/>
        </w:rPr>
        <w:t>2022</w:t>
      </w:r>
      <w:r>
        <w:rPr>
          <w:rFonts w:ascii="Times New Roman" w:hAnsi="Times New Roman" w:eastAsia="仿宋_GB2312" w:cs="Times New Roman"/>
          <w:sz w:val="32"/>
          <w:szCs w:val="32"/>
        </w:rPr>
        <w:t>年国有资本经营预算财政拨款支出0万元。</w:t>
      </w:r>
    </w:p>
    <w:p>
      <w:pPr>
        <w:pageBreakBefore w:val="0"/>
        <w:widowControl w:val="0"/>
        <w:kinsoku/>
        <w:wordWrap/>
        <w:overflowPunct/>
        <w:topLinePunct w:val="0"/>
        <w:bidi w:val="0"/>
        <w:spacing w:line="576" w:lineRule="exact"/>
        <w:jc w:val="center"/>
        <w:rPr>
          <w:rFonts w:ascii="Times New Roman" w:hAnsi="Times New Roman" w:eastAsia="方正小标宋简体" w:cs="Times New Roman"/>
          <w:sz w:val="44"/>
          <w:szCs w:val="44"/>
        </w:rPr>
      </w:pPr>
    </w:p>
    <w:p>
      <w:pPr>
        <w:pageBreakBefore w:val="0"/>
        <w:widowControl w:val="0"/>
        <w:numPr>
          <w:ilvl w:val="0"/>
          <w:numId w:val="4"/>
        </w:numPr>
        <w:kinsoku/>
        <w:wordWrap/>
        <w:overflowPunct/>
        <w:topLinePunct w:val="0"/>
        <w:bidi w:val="0"/>
        <w:spacing w:line="576" w:lineRule="exact"/>
        <w:ind w:left="0" w:firstLine="640"/>
        <w:outlineLvl w:val="1"/>
        <w:rPr>
          <w:rStyle w:val="20"/>
          <w:rFonts w:ascii="Times New Roman" w:hAnsi="Times New Roman" w:eastAsia="黑体" w:cs="Times New Roman"/>
          <w:b w:val="0"/>
        </w:rPr>
      </w:pPr>
      <w:bookmarkStart w:id="44" w:name="_Toc26843621"/>
      <w:bookmarkStart w:id="45" w:name="_Toc15396612"/>
      <w:bookmarkStart w:id="46" w:name="_Toc15377221"/>
      <w:r>
        <w:rPr>
          <w:rStyle w:val="20"/>
          <w:rFonts w:ascii="Times New Roman" w:hAnsi="Times New Roman" w:eastAsia="黑体" w:cs="Times New Roman"/>
          <w:b w:val="0"/>
        </w:rPr>
        <w:t>其他重要事项的情况说明</w:t>
      </w:r>
      <w:bookmarkEnd w:id="44"/>
      <w:bookmarkEnd w:id="45"/>
      <w:bookmarkEnd w:id="46"/>
    </w:p>
    <w:p>
      <w:pPr>
        <w:pageBreakBefore w:val="0"/>
        <w:widowControl w:val="0"/>
        <w:numPr>
          <w:numId w:val="0"/>
        </w:numPr>
        <w:kinsoku/>
        <w:wordWrap/>
        <w:overflowPunct/>
        <w:topLinePunct w:val="0"/>
        <w:bidi w:val="0"/>
        <w:spacing w:line="576" w:lineRule="exact"/>
        <w:ind w:left="640" w:leftChars="0"/>
        <w:outlineLvl w:val="1"/>
      </w:pPr>
      <w:r>
        <w:rPr>
          <w:rStyle w:val="20"/>
          <w:rFonts w:hint="eastAsia" w:eastAsia="黑体" w:cs="Times New Roman"/>
          <w:b w:val="0"/>
        </w:rPr>
        <w:t>（</w:t>
      </w:r>
      <w:r>
        <w:rPr>
          <w:rStyle w:val="17"/>
        </w:rPr>
        <w:t>一）机关运行经费支出情况</w:t>
      </w:r>
    </w:p>
    <w:p>
      <w:pPr>
        <w:pageBreakBefore w:val="0"/>
        <w:widowControl w:val="0"/>
        <w:kinsoku/>
        <w:wordWrap/>
        <w:overflowPunct/>
        <w:topLinePunct w:val="0"/>
        <w:bidi w:val="0"/>
        <w:spacing w:line="576" w:lineRule="exact"/>
        <w:jc w:val="left"/>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2022年，阿坝州金川县河东乡人民政府机关运行经费支出21.19万元.</w:t>
      </w:r>
    </w:p>
    <w:p>
      <w:pPr>
        <w:pStyle w:val="14"/>
        <w:keepNext w:val="0"/>
        <w:keepLines w:val="0"/>
        <w:widowControl/>
        <w:suppressLineNumbers w:val="0"/>
        <w:jc w:val="left"/>
      </w:pPr>
      <w:r>
        <w:rPr>
          <w:rStyle w:val="17"/>
        </w:rPr>
        <w:t>（二）政府采购支出情况</w:t>
      </w:r>
    </w:p>
    <w:p>
      <w:pPr>
        <w:pageBreakBefore w:val="0"/>
        <w:widowControl w:val="0"/>
        <w:kinsoku/>
        <w:wordWrap/>
        <w:overflowPunct/>
        <w:topLinePunct w:val="0"/>
        <w:bidi w:val="0"/>
        <w:spacing w:line="576" w:lineRule="exact"/>
        <w:jc w:val="left"/>
      </w:pPr>
      <w:r>
        <w:rPr>
          <w:rFonts w:hint="eastAsia" w:ascii="Times New Roman" w:hAnsi="Times New Roman" w:eastAsia="仿宋_GB2312" w:cs="Times New Roman"/>
          <w:sz w:val="32"/>
          <w:szCs w:val="32"/>
          <w:lang w:val="en-US" w:eastAsia="zh-CN"/>
        </w:rPr>
        <w:t>2022年，阿坝州金川县河东乡人民政府政府采购支出总额0.00万元。</w:t>
      </w:r>
    </w:p>
    <w:p>
      <w:pPr>
        <w:pStyle w:val="14"/>
        <w:keepNext w:val="0"/>
        <w:keepLines w:val="0"/>
        <w:widowControl/>
        <w:suppressLineNumbers w:val="0"/>
        <w:jc w:val="left"/>
      </w:pPr>
      <w:r>
        <w:rPr>
          <w:rStyle w:val="17"/>
        </w:rPr>
        <w:t>（三）国有资产占有使用情况</w:t>
      </w:r>
    </w:p>
    <w:p>
      <w:pPr>
        <w:pageBreakBefore w:val="0"/>
        <w:widowControl w:val="0"/>
        <w:kinsoku/>
        <w:wordWrap/>
        <w:overflowPunct/>
        <w:topLinePunct w:val="0"/>
        <w:bidi w:val="0"/>
        <w:spacing w:line="576" w:lineRule="exact"/>
        <w:jc w:val="left"/>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截至2022年12月31日，阿坝州金川县河东乡人民政府共有车辆4辆，其中：主要领导干部用车0辆、机要通信用车0辆、应急保障用车4辆、其他用车0辆。</w:t>
      </w:r>
    </w:p>
    <w:p>
      <w:pPr>
        <w:pStyle w:val="14"/>
        <w:keepNext w:val="0"/>
        <w:keepLines w:val="0"/>
        <w:widowControl/>
        <w:suppressLineNumbers w:val="0"/>
        <w:jc w:val="left"/>
      </w:pPr>
      <w:r>
        <w:rPr>
          <w:rStyle w:val="17"/>
        </w:rPr>
        <w:t>（四）预算绩效管理情况</w:t>
      </w:r>
    </w:p>
    <w:p>
      <w:pPr>
        <w:pageBreakBefore w:val="0"/>
        <w:widowControl w:val="0"/>
        <w:kinsoku/>
        <w:wordWrap/>
        <w:overflowPunct/>
        <w:topLinePunct w:val="0"/>
        <w:bidi w:val="0"/>
        <w:spacing w:line="576"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根据预算绩效管理要求，本部门在202</w:t>
      </w:r>
      <w:r>
        <w:rPr>
          <w:rFonts w:hint="eastAsia" w:eastAsia="仿宋_GB2312" w:cs="Times New Roman"/>
          <w:sz w:val="32"/>
          <w:szCs w:val="32"/>
          <w:lang w:val="en-US" w:eastAsia="zh-CN"/>
        </w:rPr>
        <w:t>2</w:t>
      </w:r>
      <w:r>
        <w:rPr>
          <w:rFonts w:ascii="Times New Roman" w:hAnsi="Times New Roman" w:eastAsia="仿宋_GB2312" w:cs="Times New Roman"/>
          <w:sz w:val="32"/>
          <w:szCs w:val="32"/>
        </w:rPr>
        <w:t>年度预算编制阶段，组织对</w:t>
      </w:r>
      <w:r>
        <w:rPr>
          <w:rFonts w:hint="eastAsia" w:ascii="Times New Roman" w:hAnsi="Times New Roman" w:eastAsia="仿宋_GB2312" w:cs="Times New Roman"/>
          <w:sz w:val="32"/>
          <w:szCs w:val="32"/>
          <w:lang w:val="en-US" w:eastAsia="zh-CN"/>
        </w:rPr>
        <w:t>河东乡马尔脚水毁道路修复</w:t>
      </w:r>
      <w:r>
        <w:rPr>
          <w:rFonts w:ascii="Times New Roman" w:hAnsi="Times New Roman" w:eastAsia="仿宋_GB2312" w:cs="Times New Roman"/>
          <w:sz w:val="32"/>
          <w:szCs w:val="32"/>
        </w:rPr>
        <w:t>项目</w:t>
      </w:r>
      <w:r>
        <w:rPr>
          <w:rFonts w:hint="eastAsia" w:ascii="Times New Roman" w:hAnsi="Times New Roman" w:eastAsia="仿宋_GB2312" w:cs="Times New Roman"/>
          <w:sz w:val="32"/>
          <w:szCs w:val="32"/>
          <w:lang w:val="en-US" w:eastAsia="zh-CN"/>
        </w:rPr>
        <w:t>工程</w:t>
      </w:r>
      <w:r>
        <w:rPr>
          <w:rFonts w:ascii="Times New Roman" w:hAnsi="Times New Roman" w:eastAsia="仿宋_GB2312" w:cs="Times New Roman"/>
          <w:sz w:val="32"/>
          <w:szCs w:val="32"/>
        </w:rPr>
        <w:t>等</w:t>
      </w:r>
      <w:r>
        <w:rPr>
          <w:rFonts w:hint="eastAsia" w:eastAsia="仿宋_GB2312" w:cs="Times New Roman"/>
          <w:sz w:val="32"/>
          <w:szCs w:val="32"/>
          <w:lang w:val="en-US" w:eastAsia="zh-CN"/>
        </w:rPr>
        <w:t>10</w:t>
      </w:r>
      <w:r>
        <w:rPr>
          <w:rFonts w:ascii="Times New Roman" w:hAnsi="Times New Roman" w:eastAsia="仿宋_GB2312" w:cs="Times New Roman"/>
          <w:sz w:val="32"/>
          <w:szCs w:val="32"/>
        </w:rPr>
        <w:t>个项目开展了预算事前绩效评估，对</w:t>
      </w:r>
      <w:r>
        <w:rPr>
          <w:rFonts w:hint="eastAsia" w:eastAsia="仿宋_GB2312" w:cs="Times New Roman"/>
          <w:sz w:val="32"/>
          <w:szCs w:val="32"/>
          <w:lang w:val="en-US" w:eastAsia="zh-CN"/>
        </w:rPr>
        <w:t>10</w:t>
      </w:r>
      <w:r>
        <w:rPr>
          <w:rFonts w:ascii="Times New Roman" w:hAnsi="Times New Roman" w:eastAsia="仿宋_GB2312" w:cs="Times New Roman"/>
          <w:sz w:val="32"/>
          <w:szCs w:val="32"/>
        </w:rPr>
        <w:t>个项目编制了绩效目标，对</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个项目开展了绩效自评。同时，本部门对202</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年部门整展绩效自评</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金川县河东乡人民政府</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年部门整体绩效评价报告》见附件（第四部分）。</w:t>
      </w:r>
    </w:p>
    <w:p>
      <w:pPr>
        <w:pageBreakBefore w:val="0"/>
        <w:widowControl/>
        <w:kinsoku/>
        <w:wordWrap/>
        <w:overflowPunct/>
        <w:topLinePunct w:val="0"/>
        <w:bidi w:val="0"/>
        <w:spacing w:line="576" w:lineRule="exact"/>
        <w:jc w:val="left"/>
        <w:rPr>
          <w:rFonts w:ascii="Times New Roman" w:hAnsi="Times New Roman" w:eastAsia="仿宋_GB2312" w:cs="Times New Roman"/>
          <w:b/>
          <w:sz w:val="32"/>
          <w:szCs w:val="32"/>
        </w:rPr>
      </w:pPr>
      <w:bookmarkStart w:id="79" w:name="_GoBack"/>
      <w:bookmarkEnd w:id="79"/>
    </w:p>
    <w:p>
      <w:pPr>
        <w:pageBreakBefore w:val="0"/>
        <w:widowControl w:val="0"/>
        <w:numPr>
          <w:ilvl w:val="0"/>
          <w:numId w:val="5"/>
        </w:numPr>
        <w:kinsoku/>
        <w:wordWrap/>
        <w:overflowPunct/>
        <w:topLinePunct w:val="0"/>
        <w:bidi w:val="0"/>
        <w:spacing w:line="576" w:lineRule="exact"/>
        <w:ind w:left="0" w:firstLine="660" w:firstLineChars="150"/>
        <w:jc w:val="center"/>
        <w:outlineLvl w:val="0"/>
        <w:rPr>
          <w:rStyle w:val="19"/>
          <w:rFonts w:ascii="Times New Roman" w:hAnsi="Times New Roman" w:eastAsia="黑体" w:cs="Times New Roman"/>
          <w:b w:val="0"/>
        </w:rPr>
      </w:pPr>
      <w:bookmarkStart w:id="47" w:name="_Toc15396613"/>
      <w:bookmarkStart w:id="48" w:name="_Toc26843622"/>
      <w:bookmarkStart w:id="49" w:name="_Toc15377225"/>
      <w:r>
        <w:rPr>
          <w:rFonts w:ascii="Times New Roman" w:hAnsi="Times New Roman" w:eastAsia="黑体" w:cs="Times New Roman"/>
          <w:sz w:val="44"/>
          <w:szCs w:val="44"/>
        </w:rPr>
        <w:t>名</w:t>
      </w:r>
      <w:r>
        <w:rPr>
          <w:rStyle w:val="19"/>
          <w:rFonts w:ascii="Times New Roman" w:hAnsi="Times New Roman" w:eastAsia="黑体" w:cs="Times New Roman"/>
          <w:b w:val="0"/>
        </w:rPr>
        <w:t>词解释</w:t>
      </w:r>
      <w:bookmarkEnd w:id="47"/>
      <w:bookmarkEnd w:id="48"/>
      <w:bookmarkEnd w:id="49"/>
    </w:p>
    <w:p>
      <w:pPr>
        <w:pageBreakBefore w:val="0"/>
        <w:widowControl w:val="0"/>
        <w:kinsoku/>
        <w:wordWrap/>
        <w:overflowPunct/>
        <w:topLinePunct w:val="0"/>
        <w:bidi w:val="0"/>
        <w:spacing w:line="576" w:lineRule="exact"/>
        <w:jc w:val="left"/>
        <w:rPr>
          <w:rFonts w:ascii="Times New Roman" w:hAnsi="Times New Roman" w:cs="Times New Roman"/>
          <w:b/>
          <w:sz w:val="44"/>
          <w:szCs w:val="44"/>
        </w:rPr>
      </w:pPr>
    </w:p>
    <w:p>
      <w:pPr>
        <w:pStyle w:val="24"/>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1.财政拨款收入：指单位从同级财政部门取得的财政预算资金。</w:t>
      </w:r>
    </w:p>
    <w:p>
      <w:pPr>
        <w:pStyle w:val="24"/>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2.事业收入：指事业单位开展专业业务活动及辅助活动取得的收入。</w:t>
      </w:r>
    </w:p>
    <w:p>
      <w:pPr>
        <w:pStyle w:val="24"/>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3.经营收入：指事业单位在专业业务活动及其辅助活动之外开展非独立核算经营活动取得的收入</w:t>
      </w:r>
    </w:p>
    <w:p>
      <w:pPr>
        <w:pStyle w:val="24"/>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4.其他收入：指单位取得的除上述收入以外的各项收入。主要是利息收入等。 </w:t>
      </w:r>
    </w:p>
    <w:p>
      <w:pPr>
        <w:pStyle w:val="24"/>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5.使用非财政拨款结余：指事业单位使用以前年度积累的非财政拨款结余弥补当年收支差额的金额。 </w:t>
      </w:r>
    </w:p>
    <w:p>
      <w:pPr>
        <w:pStyle w:val="24"/>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6.年初结转和结余：指以前年度尚未完成、结转到本年按有关规定继续使用的资金。 </w:t>
      </w:r>
    </w:p>
    <w:p>
      <w:pPr>
        <w:pStyle w:val="24"/>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7.结余分配：指事业单位按照会计制度规定缴纳的所得税、提取的专用结余以及转入非财政拨款结余的金额等。</w:t>
      </w:r>
    </w:p>
    <w:p>
      <w:pPr>
        <w:pStyle w:val="24"/>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8、年末结转和结余：指单位按有关规定结转到下年或以后年度继续使用的资金。</w:t>
      </w:r>
    </w:p>
    <w:p>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9.</w:t>
      </w:r>
      <w:r>
        <w:rPr>
          <w:rFonts w:ascii="Times New Roman" w:hAnsi="Times New Roman" w:eastAsia="仿宋_GB2312" w:cs="Times New Roman"/>
          <w:bCs/>
          <w:kern w:val="0"/>
          <w:sz w:val="32"/>
          <w:szCs w:val="32"/>
        </w:rPr>
        <w:t>一般公共服务：行政运行</w:t>
      </w:r>
      <w:r>
        <w:rPr>
          <w:rFonts w:ascii="Times New Roman" w:hAnsi="Times New Roman" w:eastAsia="仿宋_GB2312" w:cs="Times New Roman"/>
          <w:bCs/>
          <w:kern w:val="0"/>
          <w:sz w:val="32"/>
          <w:szCs w:val="32"/>
          <w:lang w:eastAsia="zh-CN"/>
        </w:rPr>
        <w:t>，</w:t>
      </w:r>
      <w:r>
        <w:rPr>
          <w:rFonts w:ascii="Times New Roman" w:hAnsi="Times New Roman" w:eastAsia="仿宋_GB2312" w:cs="Times New Roman"/>
          <w:bCs/>
          <w:kern w:val="0"/>
          <w:sz w:val="32"/>
          <w:szCs w:val="32"/>
        </w:rPr>
        <w:t>反映党委办公厅（室）及相关机构的支出；一般行政管理事务</w:t>
      </w:r>
      <w:r>
        <w:rPr>
          <w:rFonts w:ascii="Times New Roman" w:hAnsi="Times New Roman" w:eastAsia="仿宋_GB2312" w:cs="Times New Roman"/>
          <w:bCs/>
          <w:kern w:val="0"/>
          <w:sz w:val="32"/>
          <w:szCs w:val="32"/>
          <w:lang w:eastAsia="zh-CN"/>
        </w:rPr>
        <w:t>，</w:t>
      </w:r>
      <w:r>
        <w:rPr>
          <w:rFonts w:ascii="Times New Roman" w:hAnsi="Times New Roman" w:eastAsia="仿宋_GB2312" w:cs="Times New Roman"/>
          <w:bCs/>
          <w:kern w:val="0"/>
          <w:sz w:val="32"/>
          <w:szCs w:val="32"/>
        </w:rPr>
        <w:t>反映行政单位（包括实行公务员管理的事业单位）未单独设置项级科目的其他项目支出。</w:t>
      </w:r>
    </w:p>
    <w:p>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10.</w:t>
      </w:r>
      <w:r>
        <w:rPr>
          <w:rFonts w:ascii="Times New Roman" w:hAnsi="Times New Roman" w:eastAsia="仿宋_GB2312" w:cs="Times New Roman"/>
          <w:bCs/>
          <w:kern w:val="0"/>
          <w:sz w:val="32"/>
          <w:szCs w:val="32"/>
        </w:rPr>
        <w:t>社会保障和就业：反映政府在社会保障与就业方面的支出</w:t>
      </w:r>
      <w:r>
        <w:rPr>
          <w:rFonts w:ascii="Times New Roman" w:hAnsi="Times New Roman" w:eastAsia="仿宋_GB2312" w:cs="Times New Roman"/>
          <w:bCs/>
          <w:kern w:val="0"/>
          <w:sz w:val="32"/>
          <w:szCs w:val="32"/>
          <w:lang w:eastAsia="zh-CN"/>
        </w:rPr>
        <w:t>。</w:t>
      </w:r>
    </w:p>
    <w:p>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11.</w:t>
      </w:r>
      <w:r>
        <w:rPr>
          <w:rFonts w:ascii="Times New Roman" w:hAnsi="Times New Roman" w:eastAsia="仿宋_GB2312" w:cs="Times New Roman"/>
          <w:bCs/>
          <w:sz w:val="32"/>
          <w:szCs w:val="32"/>
        </w:rPr>
        <w:t>医疗卫生与计划生育：反映政府医疗卫生计划生育管理方面的支出</w:t>
      </w:r>
      <w:r>
        <w:rPr>
          <w:rFonts w:ascii="Times New Roman" w:hAnsi="Times New Roman" w:eastAsia="仿宋_GB2312" w:cs="Times New Roman"/>
          <w:bCs/>
          <w:sz w:val="32"/>
          <w:szCs w:val="32"/>
          <w:lang w:eastAsia="zh-CN"/>
        </w:rPr>
        <w:t>。</w:t>
      </w:r>
    </w:p>
    <w:p>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12.住房保障支出：集中反映政府用于住房方面的支出。</w:t>
      </w:r>
    </w:p>
    <w:p>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13.基本支出：指为保障机构正常运转、完成日常工作任务而发生的人员支出和公用支出。</w:t>
      </w:r>
    </w:p>
    <w:p>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14.项目支出：指在基本支出之外为完成特定行政任务和事业发展目标所发生的支出。 </w:t>
      </w:r>
    </w:p>
    <w:p>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15.经营支出：指事业单位在专业业务活动及其辅助活动之外开展非独立核算经营活动发生的支出。</w:t>
      </w:r>
    </w:p>
    <w:p>
      <w:pPr>
        <w:pStyle w:val="24"/>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16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ageBreakBefore w:val="0"/>
        <w:widowControl w:val="0"/>
        <w:kinsoku/>
        <w:wordWrap/>
        <w:overflowPunct/>
        <w:topLinePunct w:val="0"/>
        <w:bidi w:val="0"/>
        <w:spacing w:line="576" w:lineRule="exact"/>
        <w:jc w:val="center"/>
        <w:outlineLvl w:val="0"/>
        <w:rPr>
          <w:rStyle w:val="19"/>
          <w:rFonts w:ascii="Times New Roman" w:hAnsi="Times New Roman" w:eastAsia="黑体" w:cs="Times New Roman"/>
          <w:b w:val="0"/>
        </w:rPr>
      </w:pPr>
      <w:bookmarkStart w:id="50" w:name="_Toc15377226"/>
      <w:r>
        <w:rPr>
          <w:rFonts w:ascii="Times New Roman" w:hAnsi="Times New Roman" w:cs="Times New Roman"/>
          <w:b/>
          <w:sz w:val="44"/>
          <w:szCs w:val="44"/>
        </w:rPr>
        <w:br w:type="page"/>
      </w:r>
      <w:bookmarkStart w:id="51" w:name="_Toc15396614"/>
      <w:bookmarkStart w:id="52" w:name="_Toc26843623"/>
      <w:r>
        <w:rPr>
          <w:rFonts w:ascii="Times New Roman" w:hAnsi="Times New Roman" w:eastAsia="黑体" w:cs="Times New Roman"/>
          <w:sz w:val="44"/>
          <w:szCs w:val="44"/>
        </w:rPr>
        <w:t>第</w:t>
      </w:r>
      <w:r>
        <w:rPr>
          <w:rStyle w:val="19"/>
          <w:rFonts w:ascii="Times New Roman" w:hAnsi="Times New Roman" w:eastAsia="黑体" w:cs="Times New Roman"/>
          <w:b w:val="0"/>
        </w:rPr>
        <w:t>四部分 附件</w:t>
      </w:r>
      <w:bookmarkEnd w:id="51"/>
      <w:bookmarkEnd w:id="52"/>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202</w:t>
      </w:r>
      <w:r>
        <w:rPr>
          <w:rFonts w:hint="eastAsia" w:ascii="方正小标宋_GBK" w:hAnsi="方正小标宋_GBK" w:eastAsia="方正小标宋_GBK" w:cs="方正小标宋_GBK"/>
          <w:sz w:val="44"/>
          <w:szCs w:val="44"/>
          <w:lang w:val="en-US" w:eastAsia="zh-CN"/>
        </w:rPr>
        <w:t>3</w:t>
      </w:r>
      <w:r>
        <w:rPr>
          <w:rFonts w:hint="eastAsia" w:ascii="方正小标宋_GBK" w:hAnsi="方正小标宋_GBK" w:eastAsia="方正小标宋_GBK" w:cs="方正小标宋_GBK"/>
          <w:sz w:val="44"/>
          <w:szCs w:val="44"/>
        </w:rPr>
        <w:t>年</w:t>
      </w:r>
      <w:r>
        <w:rPr>
          <w:rFonts w:hint="eastAsia" w:ascii="方正小标宋_GBK" w:hAnsi="方正小标宋_GBK" w:eastAsia="方正小标宋_GBK" w:cs="方正小标宋_GBK"/>
          <w:sz w:val="44"/>
          <w:szCs w:val="44"/>
          <w:lang w:val="en-US" w:eastAsia="zh-CN"/>
        </w:rPr>
        <w:t>金川县河东乡</w:t>
      </w:r>
      <w:r>
        <w:rPr>
          <w:rFonts w:hint="eastAsia" w:ascii="方正小标宋_GBK" w:hAnsi="方正小标宋_GBK" w:eastAsia="方正小标宋_GBK" w:cs="方正小标宋_GBK"/>
          <w:sz w:val="44"/>
          <w:szCs w:val="44"/>
        </w:rPr>
        <w:t>整体支出</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方正小标宋_GBK" w:hAnsi="方正小标宋_GBK" w:eastAsia="方正小标宋_GBK" w:cs="方正小标宋_GBK"/>
          <w:sz w:val="44"/>
          <w:szCs w:val="44"/>
          <w:lang w:val="en-US" w:eastAsia="en-US"/>
        </w:rPr>
      </w:pPr>
      <w:r>
        <w:rPr>
          <w:rFonts w:hint="eastAsia" w:ascii="方正小标宋_GBK" w:hAnsi="方正小标宋_GBK" w:eastAsia="方正小标宋_GBK" w:cs="方正小标宋_GBK"/>
          <w:sz w:val="44"/>
          <w:szCs w:val="44"/>
        </w:rPr>
        <w:t>绩效评价报告</w:t>
      </w:r>
    </w:p>
    <w:p>
      <w:pPr>
        <w:pStyle w:val="13"/>
        <w:keepNext w:val="0"/>
        <w:keepLines w:val="0"/>
        <w:widowControl/>
        <w:suppressLineNumbers w:val="0"/>
        <w:ind w:left="0" w:firstLine="640"/>
      </w:pPr>
      <w:r>
        <w:rPr>
          <w:rFonts w:hint="eastAsia" w:ascii="黑体" w:hAnsi="宋体" w:eastAsia="黑体" w:cs="黑体"/>
          <w:color w:val="000000"/>
          <w:sz w:val="31"/>
          <w:szCs w:val="31"/>
        </w:rPr>
        <w:t>一、部门（单位）概况</w:t>
      </w:r>
    </w:p>
    <w:p>
      <w:pPr>
        <w:pStyle w:val="13"/>
        <w:keepNext w:val="0"/>
        <w:keepLines w:val="0"/>
        <w:widowControl/>
        <w:suppressLineNumbers w:val="0"/>
        <w:ind w:left="0" w:firstLine="640"/>
        <w:rPr>
          <w:rFonts w:hint="eastAsia" w:ascii="仿宋_GB2312" w:eastAsia="仿宋_GB2312" w:cs="仿宋_GB2312"/>
          <w:color w:val="000000"/>
          <w:sz w:val="31"/>
          <w:szCs w:val="31"/>
        </w:rPr>
      </w:pPr>
      <w:r>
        <w:rPr>
          <w:rFonts w:hint="eastAsia" w:ascii="仿宋_GB2312" w:eastAsia="仿宋_GB2312" w:cs="仿宋_GB2312"/>
          <w:color w:val="000000"/>
          <w:sz w:val="31"/>
          <w:szCs w:val="31"/>
        </w:rPr>
        <w:t>（一）机构组成。</w:t>
      </w:r>
    </w:p>
    <w:p>
      <w:pPr>
        <w:ind w:firstLine="640" w:firstLineChars="200"/>
        <w:rPr>
          <w:rFonts w:hint="eastAsia" w:ascii="仿宋_GB2312" w:eastAsia="仿宋_GB2312" w:cs="仿宋_GB2312"/>
          <w:color w:val="000000"/>
          <w:sz w:val="31"/>
          <w:szCs w:val="31"/>
        </w:rPr>
      </w:pPr>
      <w:r>
        <w:rPr>
          <w:rFonts w:hint="eastAsia" w:ascii="仿宋_GB2312" w:eastAsia="仿宋_GB2312"/>
          <w:color w:val="000000"/>
          <w:sz w:val="32"/>
          <w:szCs w:val="32"/>
        </w:rPr>
        <w:t>根据《</w:t>
      </w:r>
      <w:r>
        <w:rPr>
          <w:rFonts w:hint="eastAsia" w:ascii="仿宋_GB2312" w:eastAsia="仿宋_GB2312"/>
          <w:color w:val="000000"/>
          <w:sz w:val="32"/>
          <w:szCs w:val="32"/>
          <w:lang w:val="en-US" w:eastAsia="zh-CN"/>
        </w:rPr>
        <w:t>金川县</w:t>
      </w:r>
      <w:r>
        <w:rPr>
          <w:rFonts w:hint="eastAsia" w:ascii="仿宋_GB2312" w:eastAsia="仿宋_GB2312"/>
          <w:color w:val="000000"/>
          <w:sz w:val="32"/>
          <w:szCs w:val="32"/>
        </w:rPr>
        <w:t>财政局关于开展</w:t>
      </w: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部门、政策和项目</w:t>
      </w:r>
      <w:r>
        <w:rPr>
          <w:rFonts w:hint="eastAsia" w:ascii="仿宋_GB2312" w:eastAsia="仿宋_GB2312"/>
          <w:color w:val="000000"/>
          <w:sz w:val="32"/>
          <w:szCs w:val="32"/>
        </w:rPr>
        <w:t>支出绩效评价工作的通知》（阿州财</w:t>
      </w:r>
      <w:r>
        <w:rPr>
          <w:rFonts w:hint="eastAsia" w:ascii="仿宋_GB2312" w:eastAsia="仿宋_GB2312"/>
          <w:color w:val="000000"/>
          <w:sz w:val="32"/>
          <w:szCs w:val="32"/>
          <w:lang w:val="en-US" w:eastAsia="zh-CN"/>
        </w:rPr>
        <w:t>金</w:t>
      </w:r>
      <w:r>
        <w:rPr>
          <w:rFonts w:hint="eastAsia" w:ascii="仿宋_GB2312" w:eastAsia="仿宋_GB2312"/>
          <w:color w:val="000000"/>
          <w:sz w:val="32"/>
          <w:szCs w:val="32"/>
        </w:rPr>
        <w:t>监绩〔</w:t>
      </w: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32</w:t>
      </w:r>
      <w:r>
        <w:rPr>
          <w:rFonts w:hint="eastAsia" w:ascii="仿宋_GB2312" w:eastAsia="仿宋_GB2312"/>
          <w:color w:val="000000"/>
          <w:sz w:val="32"/>
          <w:szCs w:val="32"/>
        </w:rPr>
        <w:t>号）文件精神，组建金川县</w:t>
      </w:r>
      <w:r>
        <w:rPr>
          <w:rFonts w:hint="eastAsia" w:ascii="仿宋_GB2312" w:eastAsia="仿宋_GB2312"/>
          <w:color w:val="000000"/>
          <w:sz w:val="32"/>
          <w:szCs w:val="32"/>
          <w:lang w:val="en-US" w:eastAsia="zh-CN"/>
        </w:rPr>
        <w:t>河东乡人民政府</w:t>
      </w:r>
      <w:r>
        <w:rPr>
          <w:rFonts w:hint="eastAsia" w:ascii="仿宋_GB2312" w:eastAsia="仿宋_GB2312"/>
          <w:color w:val="000000"/>
          <w:sz w:val="32"/>
          <w:szCs w:val="32"/>
        </w:rPr>
        <w:t>，下设</w:t>
      </w:r>
      <w:r>
        <w:rPr>
          <w:rFonts w:hint="eastAsia" w:ascii="仿宋_GB2312" w:eastAsia="仿宋_GB2312"/>
          <w:color w:val="000000"/>
          <w:sz w:val="32"/>
          <w:szCs w:val="32"/>
          <w:lang w:val="en-US" w:eastAsia="zh-CN"/>
        </w:rPr>
        <w:t>四个部门，分别为河东乡政府办公室、河东乡党委办公室、河东乡人大办公室、河东乡综合服务中心。</w:t>
      </w:r>
    </w:p>
    <w:p>
      <w:pPr>
        <w:pStyle w:val="13"/>
        <w:keepNext w:val="0"/>
        <w:keepLines w:val="0"/>
        <w:widowControl/>
        <w:numPr>
          <w:ilvl w:val="0"/>
          <w:numId w:val="6"/>
        </w:numPr>
        <w:suppressLineNumbers w:val="0"/>
        <w:ind w:left="0" w:firstLine="640"/>
        <w:rPr>
          <w:rFonts w:hint="eastAsia" w:ascii="仿宋_GB2312" w:eastAsia="仿宋_GB2312" w:hAnsiTheme="minorHAnsi" w:cstheme="minorBidi"/>
          <w:color w:val="000000"/>
          <w:kern w:val="2"/>
          <w:sz w:val="32"/>
          <w:szCs w:val="32"/>
          <w:lang w:val="en-US" w:eastAsia="zh-CN" w:bidi="ar-SA"/>
        </w:rPr>
      </w:pPr>
      <w:r>
        <w:rPr>
          <w:rFonts w:hint="eastAsia" w:ascii="仿宋_GB2312" w:eastAsia="仿宋_GB2312" w:hAnsiTheme="minorHAnsi" w:cstheme="minorBidi"/>
          <w:color w:val="000000"/>
          <w:kern w:val="2"/>
          <w:sz w:val="32"/>
          <w:szCs w:val="32"/>
          <w:lang w:val="en-US" w:eastAsia="zh-CN" w:bidi="ar-SA"/>
        </w:rPr>
        <w:t>机构职能。</w:t>
      </w:r>
    </w:p>
    <w:p>
      <w:pPr>
        <w:keepNext w:val="0"/>
        <w:keepLines w:val="0"/>
        <w:widowControl/>
        <w:suppressLineNumbers w:val="0"/>
        <w:ind w:firstLine="640" w:firstLineChars="200"/>
        <w:jc w:val="left"/>
        <w:rPr>
          <w:rFonts w:hint="eastAsia" w:ascii="仿宋_GB2312" w:eastAsia="仿宋_GB2312" w:hAnsiTheme="minorHAnsi" w:cstheme="minorBidi"/>
          <w:color w:val="000000"/>
          <w:kern w:val="2"/>
          <w:sz w:val="32"/>
          <w:szCs w:val="32"/>
          <w:lang w:val="en-US" w:eastAsia="zh-CN" w:bidi="ar-SA"/>
        </w:rPr>
      </w:pPr>
      <w:r>
        <w:rPr>
          <w:rFonts w:hint="eastAsia" w:ascii="仿宋_GB2312" w:eastAsia="仿宋_GB2312" w:hAnsiTheme="minorHAnsi" w:cstheme="minorBidi"/>
          <w:color w:val="000000"/>
          <w:kern w:val="2"/>
          <w:sz w:val="32"/>
          <w:szCs w:val="32"/>
          <w:lang w:val="en-US" w:eastAsia="zh-CN" w:bidi="ar-SA"/>
        </w:rPr>
        <w:t>落实国家政策，严格依法行政，发挥经济管理职能，加强政策引导，制定发展规划，服务市场主体和营造发展环境，搞好市场监管，大力促进社会事业发展，发展镇村经济，文化和社会事业，提供公共服务，维护社会稳定，构建社会主义和谐社会。</w:t>
      </w:r>
    </w:p>
    <w:p>
      <w:pPr>
        <w:keepNext w:val="0"/>
        <w:keepLines w:val="0"/>
        <w:widowControl/>
        <w:suppressLineNumbers w:val="0"/>
        <w:ind w:firstLine="640" w:firstLineChars="200"/>
        <w:jc w:val="left"/>
        <w:rPr>
          <w:rFonts w:hint="eastAsia" w:ascii="仿宋_GB2312" w:eastAsia="仿宋_GB2312" w:hAnsiTheme="minorHAnsi" w:cstheme="minorBidi"/>
          <w:color w:val="000000"/>
          <w:kern w:val="2"/>
          <w:sz w:val="32"/>
          <w:szCs w:val="32"/>
          <w:lang w:val="en-US" w:eastAsia="zh-CN" w:bidi="ar-SA"/>
        </w:rPr>
      </w:pPr>
      <w:r>
        <w:rPr>
          <w:rFonts w:hint="eastAsia" w:ascii="仿宋_GB2312" w:eastAsia="仿宋_GB2312" w:hAnsiTheme="minorHAnsi" w:cstheme="minorBidi"/>
          <w:color w:val="000000"/>
          <w:kern w:val="2"/>
          <w:sz w:val="32"/>
          <w:szCs w:val="32"/>
          <w:lang w:val="en-US" w:eastAsia="zh-CN" w:bidi="ar-SA"/>
        </w:rPr>
        <w:t>1.执行本级人民代表大会的决议和上级国家行政机关的决定和命令，发布决定和命令；</w:t>
      </w:r>
    </w:p>
    <w:p>
      <w:pPr>
        <w:keepNext w:val="0"/>
        <w:keepLines w:val="0"/>
        <w:widowControl/>
        <w:suppressLineNumbers w:val="0"/>
        <w:ind w:firstLine="640" w:firstLineChars="200"/>
        <w:jc w:val="left"/>
        <w:rPr>
          <w:rFonts w:hint="eastAsia" w:ascii="仿宋_GB2312" w:eastAsia="仿宋_GB2312" w:hAnsiTheme="minorHAnsi" w:cstheme="minorBidi"/>
          <w:color w:val="000000"/>
          <w:kern w:val="2"/>
          <w:sz w:val="32"/>
          <w:szCs w:val="32"/>
          <w:lang w:val="en-US" w:eastAsia="zh-CN" w:bidi="ar-SA"/>
        </w:rPr>
      </w:pPr>
      <w:r>
        <w:rPr>
          <w:rFonts w:hint="eastAsia" w:ascii="仿宋_GB2312" w:eastAsia="仿宋_GB2312" w:hAnsiTheme="minorHAnsi" w:cstheme="minorBidi"/>
          <w:color w:val="000000"/>
          <w:kern w:val="2"/>
          <w:sz w:val="32"/>
          <w:szCs w:val="32"/>
          <w:lang w:val="en-US" w:eastAsia="zh-CN" w:bidi="ar-SA"/>
        </w:rPr>
        <w:t>2.执行本行政区域内的经济社会发展计划，预算，管理本行政区域内的经济，教育，科学，文化，卫生，体育事业和财政，民政，公安，司法行政，计划生育等行政工作;</w:t>
      </w:r>
    </w:p>
    <w:p>
      <w:pPr>
        <w:keepNext w:val="0"/>
        <w:keepLines w:val="0"/>
        <w:widowControl/>
        <w:suppressLineNumbers w:val="0"/>
        <w:ind w:firstLine="640" w:firstLineChars="200"/>
        <w:jc w:val="left"/>
        <w:rPr>
          <w:rFonts w:hint="eastAsia" w:ascii="仿宋_GB2312" w:eastAsia="仿宋_GB2312" w:hAnsiTheme="minorHAnsi" w:cstheme="minorBidi"/>
          <w:color w:val="000000"/>
          <w:kern w:val="2"/>
          <w:sz w:val="32"/>
          <w:szCs w:val="32"/>
          <w:lang w:val="en-US" w:eastAsia="zh-CN" w:bidi="ar-SA"/>
        </w:rPr>
      </w:pPr>
      <w:r>
        <w:rPr>
          <w:rFonts w:hint="eastAsia" w:ascii="仿宋_GB2312" w:eastAsia="仿宋_GB2312" w:hAnsiTheme="minorHAnsi" w:cstheme="minorBidi"/>
          <w:color w:val="000000"/>
          <w:kern w:val="2"/>
          <w:sz w:val="32"/>
          <w:szCs w:val="32"/>
          <w:lang w:val="en-US" w:eastAsia="zh-CN" w:bidi="ar-SA"/>
        </w:rPr>
        <w:t>3.保护社会主义的全民所有财产和劳动群众的集体所有的财产，保护公民私人所有的合法财产，维护社会秩序，保障公民的人生权利，民主权利和其他权利；</w:t>
      </w:r>
    </w:p>
    <w:p>
      <w:pPr>
        <w:keepNext w:val="0"/>
        <w:keepLines w:val="0"/>
        <w:widowControl/>
        <w:suppressLineNumbers w:val="0"/>
        <w:ind w:firstLine="640" w:firstLineChars="200"/>
        <w:jc w:val="left"/>
        <w:rPr>
          <w:rFonts w:hint="eastAsia" w:ascii="仿宋_GB2312" w:eastAsia="仿宋_GB2312" w:hAnsiTheme="minorHAnsi" w:cstheme="minorBidi"/>
          <w:color w:val="000000"/>
          <w:kern w:val="2"/>
          <w:sz w:val="32"/>
          <w:szCs w:val="32"/>
          <w:lang w:val="en-US" w:eastAsia="zh-CN" w:bidi="ar-SA"/>
        </w:rPr>
      </w:pPr>
      <w:r>
        <w:rPr>
          <w:rFonts w:hint="eastAsia" w:ascii="仿宋_GB2312" w:eastAsia="仿宋_GB2312" w:hAnsiTheme="minorHAnsi" w:cstheme="minorBidi"/>
          <w:color w:val="000000"/>
          <w:kern w:val="2"/>
          <w:sz w:val="32"/>
          <w:szCs w:val="32"/>
          <w:lang w:val="en-US" w:eastAsia="zh-CN" w:bidi="ar-SA"/>
        </w:rPr>
        <w:t>4.保护各种经济组织的合法权益；</w:t>
      </w:r>
    </w:p>
    <w:p>
      <w:pPr>
        <w:keepNext w:val="0"/>
        <w:keepLines w:val="0"/>
        <w:widowControl/>
        <w:suppressLineNumbers w:val="0"/>
        <w:ind w:firstLine="640" w:firstLineChars="200"/>
        <w:jc w:val="left"/>
        <w:rPr>
          <w:rFonts w:hint="eastAsia" w:ascii="仿宋_GB2312" w:eastAsia="仿宋_GB2312" w:hAnsiTheme="minorHAnsi" w:cstheme="minorBidi"/>
          <w:color w:val="000000"/>
          <w:kern w:val="2"/>
          <w:sz w:val="32"/>
          <w:szCs w:val="32"/>
          <w:lang w:val="en-US" w:eastAsia="zh-CN" w:bidi="ar-SA"/>
        </w:rPr>
      </w:pPr>
      <w:r>
        <w:rPr>
          <w:rFonts w:hint="eastAsia" w:ascii="仿宋_GB2312" w:eastAsia="仿宋_GB2312" w:hAnsiTheme="minorHAnsi" w:cstheme="minorBidi"/>
          <w:color w:val="000000"/>
          <w:kern w:val="2"/>
          <w:sz w:val="32"/>
          <w:szCs w:val="32"/>
          <w:lang w:val="en-US" w:eastAsia="zh-CN" w:bidi="ar-SA"/>
        </w:rPr>
        <w:t>5.保障少数民族的权利和尊重少数民族的风俗习惯；</w:t>
      </w:r>
    </w:p>
    <w:p>
      <w:pPr>
        <w:keepNext w:val="0"/>
        <w:keepLines w:val="0"/>
        <w:widowControl/>
        <w:suppressLineNumbers w:val="0"/>
        <w:ind w:firstLine="640" w:firstLineChars="200"/>
        <w:jc w:val="left"/>
        <w:rPr>
          <w:rFonts w:hint="eastAsia" w:ascii="仿宋_GB2312" w:eastAsia="仿宋_GB2312" w:cs="仿宋_GB2312"/>
          <w:color w:val="000000"/>
          <w:sz w:val="31"/>
          <w:szCs w:val="31"/>
        </w:rPr>
      </w:pPr>
      <w:r>
        <w:rPr>
          <w:rFonts w:hint="eastAsia" w:ascii="仿宋_GB2312" w:eastAsia="仿宋_GB2312" w:hAnsiTheme="minorHAnsi" w:cstheme="minorBidi"/>
          <w:color w:val="000000"/>
          <w:kern w:val="2"/>
          <w:sz w:val="32"/>
          <w:szCs w:val="32"/>
          <w:lang w:val="en-US" w:eastAsia="zh-CN" w:bidi="ar-SA"/>
        </w:rPr>
        <w:t>6.办理上级人民政府交办的其他事项</w:t>
      </w:r>
    </w:p>
    <w:p>
      <w:pPr>
        <w:pStyle w:val="13"/>
        <w:keepNext w:val="0"/>
        <w:keepLines w:val="0"/>
        <w:widowControl/>
        <w:suppressLineNumbers w:val="0"/>
        <w:ind w:left="0" w:firstLine="640"/>
        <w:rPr>
          <w:rFonts w:hint="eastAsia" w:ascii="仿宋_GB2312" w:eastAsia="仿宋_GB2312" w:cs="仿宋_GB2312"/>
          <w:color w:val="000000"/>
          <w:sz w:val="31"/>
          <w:szCs w:val="31"/>
        </w:rPr>
      </w:pPr>
      <w:r>
        <w:rPr>
          <w:rFonts w:hint="eastAsia" w:ascii="仿宋_GB2312" w:eastAsia="仿宋_GB2312" w:cs="仿宋_GB2312"/>
          <w:color w:val="000000"/>
          <w:sz w:val="31"/>
          <w:szCs w:val="31"/>
        </w:rPr>
        <w:t>（三）人员概况。</w:t>
      </w:r>
    </w:p>
    <w:p>
      <w:pPr>
        <w:snapToGrid w:val="0"/>
        <w:spacing w:line="360" w:lineRule="auto"/>
        <w:ind w:firstLine="640" w:firstLineChars="200"/>
        <w:rPr>
          <w:rFonts w:ascii="仿宋_GB2312" w:eastAsia="仿宋_GB2312"/>
          <w:sz w:val="32"/>
          <w:szCs w:val="32"/>
        </w:rPr>
      </w:pPr>
      <w:r>
        <w:rPr>
          <w:rFonts w:hint="eastAsia" w:ascii="仿宋_GB2312" w:eastAsia="仿宋_GB2312"/>
          <w:color w:val="000000"/>
          <w:sz w:val="32"/>
          <w:szCs w:val="32"/>
        </w:rPr>
        <w:t>金川县</w:t>
      </w:r>
      <w:r>
        <w:rPr>
          <w:rFonts w:hint="eastAsia" w:ascii="仿宋_GB2312" w:eastAsia="仿宋_GB2312"/>
          <w:color w:val="000000"/>
          <w:sz w:val="32"/>
          <w:szCs w:val="32"/>
          <w:lang w:val="en-US" w:eastAsia="zh-CN"/>
        </w:rPr>
        <w:t>河东乡</w:t>
      </w:r>
      <w:r>
        <w:rPr>
          <w:rFonts w:hint="eastAsia" w:ascii="仿宋_GB2312" w:eastAsia="仿宋_GB2312"/>
          <w:color w:val="000000"/>
          <w:sz w:val="32"/>
          <w:szCs w:val="32"/>
        </w:rPr>
        <w:t>属于财政补助的一级预算机关单位，执行的是行政会计制度，编制人数为</w:t>
      </w:r>
      <w:r>
        <w:rPr>
          <w:rFonts w:hint="eastAsia" w:ascii="仿宋_GB2312" w:eastAsia="仿宋_GB2312"/>
          <w:color w:val="000000"/>
          <w:sz w:val="32"/>
          <w:szCs w:val="32"/>
          <w:lang w:val="en-US" w:eastAsia="zh-CN"/>
        </w:rPr>
        <w:t>30个</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其中：</w:t>
      </w:r>
      <w:r>
        <w:rPr>
          <w:rFonts w:hint="eastAsia" w:ascii="仿宋_GB2312" w:eastAsia="仿宋_GB2312"/>
          <w:sz w:val="32"/>
          <w:szCs w:val="32"/>
          <w:lang w:val="en-US" w:eastAsia="zh-CN"/>
        </w:rPr>
        <w:t>公务员</w:t>
      </w:r>
      <w:r>
        <w:rPr>
          <w:rFonts w:hint="eastAsia" w:ascii="仿宋_GB2312" w:eastAsia="仿宋_GB2312"/>
          <w:sz w:val="32"/>
          <w:szCs w:val="32"/>
        </w:rPr>
        <w:t>编制</w:t>
      </w:r>
      <w:r>
        <w:rPr>
          <w:rFonts w:hint="eastAsia" w:ascii="仿宋_GB2312" w:eastAsia="仿宋_GB2312"/>
          <w:sz w:val="32"/>
          <w:szCs w:val="32"/>
          <w:lang w:val="en-US" w:eastAsia="zh-CN"/>
        </w:rPr>
        <w:t>16个</w:t>
      </w:r>
      <w:r>
        <w:rPr>
          <w:rFonts w:hint="eastAsia" w:ascii="仿宋_GB2312" w:eastAsia="仿宋_GB2312"/>
          <w:sz w:val="32"/>
          <w:szCs w:val="32"/>
        </w:rPr>
        <w:t>，</w:t>
      </w:r>
      <w:r>
        <w:rPr>
          <w:rFonts w:hint="eastAsia" w:ascii="仿宋_GB2312" w:eastAsia="仿宋_GB2312"/>
          <w:sz w:val="32"/>
          <w:szCs w:val="32"/>
          <w:lang w:val="en-US" w:eastAsia="zh-CN"/>
        </w:rPr>
        <w:t>机关</w:t>
      </w:r>
      <w:r>
        <w:rPr>
          <w:rFonts w:hint="eastAsia" w:ascii="仿宋_GB2312" w:eastAsia="仿宋_GB2312"/>
          <w:sz w:val="32"/>
          <w:szCs w:val="32"/>
        </w:rPr>
        <w:t>工勤编制</w:t>
      </w:r>
      <w:r>
        <w:rPr>
          <w:rFonts w:hint="eastAsia" w:ascii="仿宋_GB2312" w:eastAsia="仿宋_GB2312"/>
          <w:sz w:val="32"/>
          <w:szCs w:val="32"/>
          <w:lang w:val="en-US" w:eastAsia="zh-CN"/>
        </w:rPr>
        <w:t>2个</w:t>
      </w:r>
      <w:r>
        <w:rPr>
          <w:rFonts w:hint="eastAsia" w:ascii="仿宋_GB2312" w:eastAsia="仿宋_GB2312"/>
          <w:sz w:val="32"/>
          <w:szCs w:val="32"/>
        </w:rPr>
        <w:t>、事业</w:t>
      </w:r>
      <w:r>
        <w:rPr>
          <w:rFonts w:hint="eastAsia" w:ascii="仿宋_GB2312" w:eastAsia="仿宋_GB2312"/>
          <w:bCs/>
          <w:sz w:val="32"/>
          <w:szCs w:val="32"/>
        </w:rPr>
        <w:t>编制</w:t>
      </w:r>
      <w:r>
        <w:rPr>
          <w:rFonts w:hint="eastAsia" w:ascii="仿宋_GB2312" w:eastAsia="仿宋_GB2312"/>
          <w:bCs/>
          <w:sz w:val="32"/>
          <w:szCs w:val="32"/>
          <w:lang w:val="en-US" w:eastAsia="zh-CN"/>
        </w:rPr>
        <w:t>12个</w:t>
      </w:r>
      <w:r>
        <w:rPr>
          <w:rFonts w:hint="eastAsia" w:ascii="仿宋_GB2312" w:eastAsia="仿宋_GB2312"/>
          <w:sz w:val="32"/>
          <w:szCs w:val="32"/>
        </w:rPr>
        <w:t>。</w:t>
      </w:r>
    </w:p>
    <w:p>
      <w:pPr>
        <w:snapToGrid w:val="0"/>
        <w:spacing w:line="360" w:lineRule="auto"/>
        <w:ind w:firstLine="640" w:firstLineChars="200"/>
        <w:rPr>
          <w:rFonts w:hint="eastAsia" w:ascii="仿宋_GB2312" w:eastAsia="仿宋_GB2312" w:cs="仿宋_GB2312"/>
          <w:color w:val="000000"/>
          <w:sz w:val="31"/>
          <w:szCs w:val="31"/>
        </w:rPr>
      </w:pPr>
      <w:r>
        <w:rPr>
          <w:rFonts w:hint="eastAsia" w:ascii="仿宋_GB2312" w:eastAsia="仿宋_GB2312"/>
          <w:sz w:val="32"/>
          <w:szCs w:val="32"/>
        </w:rPr>
        <w:t>我局</w:t>
      </w:r>
      <w:r>
        <w:rPr>
          <w:rFonts w:hint="eastAsia" w:ascii="仿宋_GB2312" w:eastAsia="仿宋_GB2312"/>
          <w:sz w:val="32"/>
          <w:szCs w:val="32"/>
          <w:lang w:eastAsia="zh-CN"/>
        </w:rPr>
        <w:t>202</w:t>
      </w:r>
      <w:r>
        <w:rPr>
          <w:rFonts w:hint="eastAsia" w:ascii="仿宋_GB2312" w:eastAsia="仿宋_GB2312"/>
          <w:sz w:val="32"/>
          <w:szCs w:val="32"/>
          <w:lang w:val="en-US" w:eastAsia="zh-CN"/>
        </w:rPr>
        <w:t>2</w:t>
      </w:r>
      <w:r>
        <w:rPr>
          <w:rFonts w:hint="eastAsia" w:ascii="仿宋_GB2312" w:eastAsia="仿宋_GB2312"/>
          <w:sz w:val="32"/>
          <w:szCs w:val="32"/>
        </w:rPr>
        <w:t>年年末在职</w:t>
      </w:r>
      <w:r>
        <w:rPr>
          <w:rFonts w:hint="eastAsia" w:ascii="仿宋_GB2312" w:eastAsia="仿宋_GB2312"/>
          <w:sz w:val="32"/>
          <w:szCs w:val="32"/>
          <w:lang w:val="en-US" w:eastAsia="zh-CN"/>
        </w:rPr>
        <w:t>30</w:t>
      </w:r>
      <w:r>
        <w:rPr>
          <w:rFonts w:hint="eastAsia" w:ascii="仿宋_GB2312" w:eastAsia="仿宋_GB2312"/>
          <w:sz w:val="32"/>
          <w:szCs w:val="32"/>
        </w:rPr>
        <w:t>人，</w:t>
      </w:r>
      <w:r>
        <w:rPr>
          <w:rFonts w:hint="eastAsia" w:ascii="仿宋_GB2312" w:eastAsia="仿宋_GB2312"/>
          <w:sz w:val="32"/>
          <w:szCs w:val="32"/>
          <w:lang w:val="en-US" w:eastAsia="zh-CN"/>
        </w:rPr>
        <w:t>其</w:t>
      </w:r>
      <w:r>
        <w:rPr>
          <w:rFonts w:hint="eastAsia" w:ascii="仿宋_GB2312" w:eastAsia="仿宋_GB2312"/>
          <w:sz w:val="32"/>
          <w:szCs w:val="32"/>
        </w:rPr>
        <w:t>中</w:t>
      </w:r>
      <w:r>
        <w:rPr>
          <w:rFonts w:hint="eastAsia" w:ascii="仿宋_GB2312" w:eastAsia="仿宋_GB2312"/>
          <w:sz w:val="32"/>
          <w:szCs w:val="32"/>
          <w:lang w:eastAsia="zh-CN"/>
        </w:rPr>
        <w:t>：</w:t>
      </w:r>
      <w:r>
        <w:rPr>
          <w:rFonts w:hint="eastAsia" w:ascii="仿宋_GB2312" w:eastAsia="仿宋_GB2312"/>
          <w:sz w:val="32"/>
          <w:szCs w:val="32"/>
          <w:lang w:val="en-US" w:eastAsia="zh-CN"/>
        </w:rPr>
        <w:t>公务员16人</w:t>
      </w:r>
      <w:r>
        <w:rPr>
          <w:rFonts w:hint="eastAsia" w:ascii="仿宋_GB2312" w:eastAsia="仿宋_GB2312"/>
          <w:sz w:val="32"/>
          <w:szCs w:val="32"/>
        </w:rPr>
        <w:t>，</w:t>
      </w:r>
      <w:r>
        <w:rPr>
          <w:rFonts w:hint="eastAsia" w:ascii="仿宋_GB2312" w:eastAsia="仿宋_GB2312"/>
          <w:sz w:val="32"/>
          <w:szCs w:val="32"/>
          <w:lang w:val="en-US" w:eastAsia="zh-CN"/>
        </w:rPr>
        <w:t>机关</w:t>
      </w:r>
      <w:r>
        <w:rPr>
          <w:rFonts w:hint="eastAsia" w:ascii="仿宋_GB2312" w:eastAsia="仿宋_GB2312"/>
          <w:sz w:val="32"/>
          <w:szCs w:val="32"/>
        </w:rPr>
        <w:t>工勤</w:t>
      </w:r>
      <w:r>
        <w:rPr>
          <w:rFonts w:hint="eastAsia" w:ascii="仿宋_GB2312" w:eastAsia="仿宋_GB2312"/>
          <w:sz w:val="32"/>
          <w:szCs w:val="32"/>
          <w:lang w:val="en-US" w:eastAsia="zh-CN"/>
        </w:rPr>
        <w:t>2人</w:t>
      </w:r>
      <w:r>
        <w:rPr>
          <w:rFonts w:hint="eastAsia" w:ascii="仿宋_GB2312" w:eastAsia="仿宋_GB2312"/>
          <w:sz w:val="32"/>
          <w:szCs w:val="32"/>
        </w:rPr>
        <w:t>、</w:t>
      </w:r>
      <w:r>
        <w:rPr>
          <w:rFonts w:hint="eastAsia" w:ascii="仿宋_GB2312" w:eastAsia="仿宋_GB2312"/>
          <w:sz w:val="32"/>
          <w:szCs w:val="32"/>
          <w:lang w:val="en-US" w:eastAsia="zh-CN"/>
        </w:rPr>
        <w:t>其他</w:t>
      </w:r>
      <w:r>
        <w:rPr>
          <w:rFonts w:hint="eastAsia" w:ascii="仿宋_GB2312" w:eastAsia="仿宋_GB2312"/>
          <w:sz w:val="32"/>
          <w:szCs w:val="32"/>
        </w:rPr>
        <w:t>事业</w:t>
      </w:r>
      <w:r>
        <w:rPr>
          <w:rFonts w:hint="eastAsia" w:ascii="仿宋_GB2312" w:eastAsia="仿宋_GB2312"/>
          <w:bCs/>
          <w:sz w:val="32"/>
          <w:szCs w:val="32"/>
          <w:lang w:val="en-US" w:eastAsia="zh-CN"/>
        </w:rPr>
        <w:t>12人，</w:t>
      </w:r>
      <w:r>
        <w:rPr>
          <w:rFonts w:hint="eastAsia" w:ascii="仿宋_GB2312" w:eastAsia="仿宋_GB2312"/>
          <w:color w:val="000000"/>
          <w:sz w:val="32"/>
          <w:szCs w:val="32"/>
        </w:rPr>
        <w:t>退休人数</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人，遗嘱0人。</w:t>
      </w:r>
    </w:p>
    <w:p>
      <w:pPr>
        <w:pStyle w:val="13"/>
        <w:keepNext w:val="0"/>
        <w:keepLines w:val="0"/>
        <w:widowControl/>
        <w:suppressLineNumbers w:val="0"/>
        <w:ind w:left="0" w:firstLine="640"/>
      </w:pPr>
      <w:r>
        <w:rPr>
          <w:rFonts w:hint="eastAsia" w:ascii="黑体" w:hAnsi="宋体" w:eastAsia="黑体" w:cs="黑体"/>
          <w:color w:val="000000"/>
          <w:sz w:val="31"/>
          <w:szCs w:val="31"/>
        </w:rPr>
        <w:t>二、部门财政资金收支情况</w:t>
      </w:r>
    </w:p>
    <w:p>
      <w:pPr>
        <w:pStyle w:val="13"/>
        <w:keepNext w:val="0"/>
        <w:keepLines w:val="0"/>
        <w:widowControl/>
        <w:suppressLineNumbers w:val="0"/>
        <w:ind w:left="0" w:firstLine="640"/>
        <w:rPr>
          <w:rFonts w:hint="eastAsia" w:ascii="仿宋_GB2312" w:eastAsia="仿宋_GB2312" w:cs="仿宋_GB2312"/>
          <w:color w:val="000000"/>
          <w:sz w:val="31"/>
          <w:szCs w:val="31"/>
        </w:rPr>
      </w:pPr>
      <w:r>
        <w:rPr>
          <w:rFonts w:hint="eastAsia" w:ascii="仿宋_GB2312" w:eastAsia="仿宋_GB2312" w:cs="仿宋_GB2312"/>
          <w:color w:val="000000"/>
          <w:sz w:val="31"/>
          <w:szCs w:val="31"/>
        </w:rPr>
        <w:t>（一）部门财政资金收入情况。</w:t>
      </w:r>
    </w:p>
    <w:p>
      <w:pPr>
        <w:snapToGrid w:val="0"/>
        <w:spacing w:line="360" w:lineRule="auto"/>
        <w:ind w:firstLine="640" w:firstLineChars="200"/>
        <w:rPr>
          <w:rFonts w:hint="eastAsia" w:ascii="仿宋_GB2312" w:eastAsia="仿宋_GB2312"/>
          <w:sz w:val="32"/>
          <w:szCs w:val="32"/>
        </w:rPr>
      </w:pPr>
      <w:bookmarkStart w:id="53" w:name="_Toc22912"/>
      <w:r>
        <w:rPr>
          <w:rFonts w:hint="eastAsia" w:ascii="仿宋_GB2312" w:eastAsia="仿宋_GB2312"/>
          <w:sz w:val="32"/>
          <w:szCs w:val="32"/>
          <w:lang w:eastAsia="zh-CN"/>
        </w:rPr>
        <w:t>2022</w:t>
      </w:r>
      <w:r>
        <w:rPr>
          <w:rFonts w:hint="eastAsia" w:ascii="仿宋_GB2312" w:eastAsia="仿宋_GB2312"/>
          <w:sz w:val="32"/>
          <w:szCs w:val="32"/>
        </w:rPr>
        <w:t>年总收入</w:t>
      </w:r>
      <w:r>
        <w:rPr>
          <w:rFonts w:hint="eastAsia" w:ascii="仿宋_GB2312" w:eastAsia="仿宋_GB2312"/>
          <w:sz w:val="32"/>
          <w:szCs w:val="32"/>
          <w:lang w:val="en-US" w:eastAsia="zh-CN"/>
        </w:rPr>
        <w:t>992.24</w:t>
      </w:r>
      <w:r>
        <w:rPr>
          <w:rFonts w:hint="eastAsia" w:ascii="仿宋_GB2312" w:eastAsia="仿宋_GB2312"/>
          <w:sz w:val="32"/>
          <w:szCs w:val="32"/>
        </w:rPr>
        <w:t>万元，其中：一般公共预算财政拨款收入</w:t>
      </w:r>
      <w:r>
        <w:rPr>
          <w:rFonts w:hint="eastAsia" w:ascii="仿宋_GB2312" w:eastAsia="仿宋_GB2312"/>
          <w:sz w:val="32"/>
          <w:szCs w:val="32"/>
          <w:lang w:val="en-US" w:eastAsia="zh-CN"/>
        </w:rPr>
        <w:t>992.24</w:t>
      </w:r>
      <w:r>
        <w:rPr>
          <w:rFonts w:hint="eastAsia" w:ascii="仿宋_GB2312" w:eastAsia="仿宋_GB2312"/>
          <w:sz w:val="32"/>
          <w:szCs w:val="32"/>
        </w:rPr>
        <w:t>万元，占100%；政府性基金预算财政拨款收入0万元，占0%；国有资本经营预算财政拨款收入0万元，占0%；事业收入0万元，占0%；经营收入0万元，占0%；附属单位上缴收入0万元，占0%；其他收入0万元，占0%。</w:t>
      </w:r>
      <w:bookmarkEnd w:id="53"/>
    </w:p>
    <w:p>
      <w:pPr>
        <w:pStyle w:val="13"/>
        <w:keepNext w:val="0"/>
        <w:keepLines w:val="0"/>
        <w:widowControl/>
        <w:numPr>
          <w:ilvl w:val="0"/>
          <w:numId w:val="6"/>
        </w:numPr>
        <w:suppressLineNumbers w:val="0"/>
        <w:ind w:left="0" w:leftChars="0" w:firstLine="640" w:firstLineChars="0"/>
        <w:rPr>
          <w:rFonts w:hint="eastAsia" w:ascii="仿宋_GB2312" w:eastAsia="仿宋_GB2312" w:cs="仿宋_GB2312"/>
          <w:color w:val="000000"/>
          <w:sz w:val="31"/>
          <w:szCs w:val="31"/>
        </w:rPr>
      </w:pPr>
      <w:r>
        <w:rPr>
          <w:rFonts w:hint="eastAsia" w:ascii="仿宋_GB2312" w:eastAsia="仿宋_GB2312" w:cs="仿宋_GB2312"/>
          <w:color w:val="000000"/>
          <w:sz w:val="31"/>
          <w:szCs w:val="31"/>
        </w:rPr>
        <w:t>部门财政资金支出情况。</w:t>
      </w:r>
    </w:p>
    <w:p>
      <w:pPr>
        <w:spacing w:line="600" w:lineRule="exact"/>
        <w:ind w:firstLine="645"/>
        <w:rPr>
          <w:rFonts w:hint="eastAsia" w:ascii="仿宋_GB2312" w:eastAsia="仿宋_GB2312"/>
          <w:color w:val="000000"/>
          <w:sz w:val="32"/>
          <w:szCs w:val="32"/>
        </w:rPr>
      </w:pP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年度一般公共预算财政拨款基本支出</w:t>
      </w:r>
      <w:r>
        <w:rPr>
          <w:rFonts w:hint="eastAsia" w:ascii="仿宋_GB2312" w:eastAsia="仿宋_GB2312"/>
          <w:color w:val="000000"/>
          <w:sz w:val="32"/>
          <w:szCs w:val="32"/>
          <w:lang w:val="en-US" w:eastAsia="zh-CN"/>
        </w:rPr>
        <w:t>992.24</w:t>
      </w:r>
      <w:r>
        <w:rPr>
          <w:rFonts w:hint="eastAsia" w:ascii="仿宋_GB2312" w:eastAsia="仿宋_GB2312"/>
          <w:color w:val="000000"/>
          <w:sz w:val="32"/>
          <w:szCs w:val="32"/>
        </w:rPr>
        <w:t>万元，其中：</w:t>
      </w:r>
    </w:p>
    <w:p>
      <w:pPr>
        <w:snapToGrid w:val="0"/>
        <w:spacing w:line="520" w:lineRule="exact"/>
        <w:ind w:firstLine="640" w:firstLineChars="200"/>
        <w:rPr>
          <w:rFonts w:hint="eastAsia" w:ascii="仿宋_GB2312" w:hAnsi="仿宋_GB2312" w:eastAsia="仿宋_GB2312" w:cs="仿宋_GB2312"/>
          <w:bCs/>
          <w:sz w:val="32"/>
          <w:szCs w:val="32"/>
        </w:rPr>
      </w:pPr>
      <w:r>
        <w:rPr>
          <w:rFonts w:hint="eastAsia" w:ascii="仿宋_GB2312" w:hAnsi="仿宋" w:eastAsia="仿宋_GB2312"/>
          <w:color w:val="000000"/>
          <w:sz w:val="32"/>
          <w:szCs w:val="32"/>
        </w:rPr>
        <w:t>人员经费支出</w:t>
      </w:r>
      <w:r>
        <w:rPr>
          <w:rFonts w:hint="eastAsia" w:ascii="仿宋_GB2312" w:hAnsi="仿宋" w:eastAsia="仿宋_GB2312"/>
          <w:color w:val="000000"/>
          <w:sz w:val="32"/>
          <w:szCs w:val="32"/>
          <w:lang w:val="en-US" w:eastAsia="zh-CN"/>
        </w:rPr>
        <w:t>636.27</w:t>
      </w:r>
      <w:r>
        <w:rPr>
          <w:rFonts w:hint="eastAsia" w:ascii="仿宋_GB2312" w:hAnsi="仿宋" w:eastAsia="仿宋_GB2312"/>
          <w:color w:val="000000"/>
          <w:sz w:val="32"/>
          <w:szCs w:val="32"/>
        </w:rPr>
        <w:t>万元，</w:t>
      </w:r>
      <w:r>
        <w:rPr>
          <w:rFonts w:hint="eastAsia" w:ascii="仿宋_GB2312" w:eastAsia="仿宋_GB2312"/>
          <w:color w:val="000000"/>
          <w:sz w:val="32"/>
          <w:szCs w:val="32"/>
        </w:rPr>
        <w:t>主要包括：基本工资</w:t>
      </w:r>
      <w:r>
        <w:rPr>
          <w:rFonts w:hint="eastAsia" w:ascii="仿宋_GB2312" w:eastAsia="仿宋_GB2312"/>
          <w:color w:val="000000"/>
          <w:sz w:val="32"/>
          <w:szCs w:val="32"/>
          <w:lang w:val="en-US" w:eastAsia="zh-CN"/>
        </w:rPr>
        <w:t>122.51</w:t>
      </w:r>
      <w:r>
        <w:rPr>
          <w:rFonts w:hint="eastAsia" w:ascii="仿宋_GB2312" w:eastAsia="仿宋_GB2312"/>
          <w:color w:val="000000"/>
          <w:sz w:val="32"/>
          <w:szCs w:val="32"/>
        </w:rPr>
        <w:t>万元、津贴补贴</w:t>
      </w:r>
      <w:r>
        <w:rPr>
          <w:rFonts w:hint="eastAsia" w:ascii="仿宋_GB2312" w:eastAsia="仿宋_GB2312"/>
          <w:color w:val="000000"/>
          <w:sz w:val="32"/>
          <w:szCs w:val="32"/>
          <w:lang w:val="en-US" w:eastAsia="zh-CN"/>
        </w:rPr>
        <w:t>143.89</w:t>
      </w:r>
      <w:r>
        <w:rPr>
          <w:rFonts w:hint="eastAsia" w:ascii="仿宋_GB2312" w:eastAsia="仿宋_GB2312"/>
          <w:color w:val="000000"/>
          <w:sz w:val="32"/>
          <w:szCs w:val="32"/>
        </w:rPr>
        <w:t>万元、奖金</w:t>
      </w:r>
      <w:r>
        <w:rPr>
          <w:rFonts w:hint="eastAsia" w:ascii="仿宋_GB2312" w:eastAsia="仿宋_GB2312"/>
          <w:color w:val="000000"/>
          <w:sz w:val="32"/>
          <w:szCs w:val="32"/>
          <w:lang w:val="en-US" w:eastAsia="zh-CN"/>
        </w:rPr>
        <w:t>115.15</w:t>
      </w:r>
      <w:r>
        <w:rPr>
          <w:rFonts w:hint="eastAsia" w:ascii="仿宋_GB2312" w:eastAsia="仿宋_GB2312"/>
          <w:color w:val="000000"/>
          <w:sz w:val="32"/>
          <w:szCs w:val="32"/>
        </w:rPr>
        <w:t>万元、绩效工资</w:t>
      </w:r>
      <w:r>
        <w:rPr>
          <w:rFonts w:hint="eastAsia" w:ascii="仿宋_GB2312" w:eastAsia="仿宋_GB2312"/>
          <w:color w:val="000000"/>
          <w:sz w:val="32"/>
          <w:szCs w:val="32"/>
          <w:lang w:val="en-US" w:eastAsia="zh-CN"/>
        </w:rPr>
        <w:t>34.22</w:t>
      </w:r>
      <w:r>
        <w:rPr>
          <w:rFonts w:hint="eastAsia" w:ascii="仿宋_GB2312" w:eastAsia="仿宋_GB2312"/>
          <w:color w:val="000000"/>
          <w:sz w:val="32"/>
          <w:szCs w:val="32"/>
        </w:rPr>
        <w:t>万元、机关事业单位基本养老保险缴费</w:t>
      </w:r>
      <w:r>
        <w:rPr>
          <w:rFonts w:hint="eastAsia" w:ascii="仿宋_GB2312" w:eastAsia="仿宋_GB2312"/>
          <w:color w:val="000000"/>
          <w:sz w:val="32"/>
          <w:szCs w:val="32"/>
          <w:lang w:val="en-US" w:eastAsia="zh-CN"/>
        </w:rPr>
        <w:t>49.12</w:t>
      </w:r>
      <w:r>
        <w:rPr>
          <w:rFonts w:hint="eastAsia" w:ascii="仿宋_GB2312" w:eastAsia="仿宋_GB2312"/>
          <w:color w:val="000000"/>
          <w:sz w:val="32"/>
          <w:szCs w:val="32"/>
        </w:rPr>
        <w:t>万元、职业年金缴费</w:t>
      </w:r>
      <w:r>
        <w:rPr>
          <w:rFonts w:hint="eastAsia" w:ascii="仿宋_GB2312" w:eastAsia="仿宋_GB2312"/>
          <w:color w:val="000000"/>
          <w:sz w:val="32"/>
          <w:szCs w:val="32"/>
          <w:lang w:val="en-US" w:eastAsia="zh-CN"/>
        </w:rPr>
        <w:t>24.56</w:t>
      </w:r>
      <w:r>
        <w:rPr>
          <w:rFonts w:hint="eastAsia" w:ascii="仿宋_GB2312" w:eastAsia="仿宋_GB2312"/>
          <w:color w:val="000000"/>
          <w:sz w:val="32"/>
          <w:szCs w:val="32"/>
        </w:rPr>
        <w:t>万元、其他社会保障缴费</w:t>
      </w:r>
      <w:r>
        <w:rPr>
          <w:rFonts w:hint="eastAsia" w:ascii="仿宋_GB2312" w:eastAsia="仿宋_GB2312"/>
          <w:color w:val="000000"/>
          <w:sz w:val="32"/>
          <w:szCs w:val="32"/>
          <w:lang w:val="en-US" w:eastAsia="zh-CN"/>
        </w:rPr>
        <w:t>3.55</w:t>
      </w:r>
      <w:r>
        <w:rPr>
          <w:rFonts w:hint="eastAsia" w:ascii="仿宋_GB2312" w:eastAsia="仿宋_GB2312"/>
          <w:color w:val="000000"/>
          <w:sz w:val="32"/>
          <w:szCs w:val="32"/>
        </w:rPr>
        <w:t>万元、住房公积金</w:t>
      </w:r>
      <w:r>
        <w:rPr>
          <w:rFonts w:hint="eastAsia" w:ascii="仿宋_GB2312" w:eastAsia="仿宋_GB2312"/>
          <w:color w:val="000000"/>
          <w:sz w:val="32"/>
          <w:szCs w:val="32"/>
          <w:lang w:val="en-US" w:eastAsia="zh-CN"/>
        </w:rPr>
        <w:t>47.19</w:t>
      </w:r>
      <w:r>
        <w:rPr>
          <w:rFonts w:hint="eastAsia" w:ascii="仿宋_GB2312" w:eastAsia="仿宋_GB2312"/>
          <w:color w:val="000000"/>
          <w:sz w:val="32"/>
          <w:szCs w:val="32"/>
        </w:rPr>
        <w:t>万元、职工基本医疗保险缴费</w:t>
      </w:r>
      <w:r>
        <w:rPr>
          <w:rFonts w:hint="eastAsia" w:ascii="仿宋_GB2312" w:eastAsia="仿宋_GB2312"/>
          <w:color w:val="000000"/>
          <w:sz w:val="32"/>
          <w:szCs w:val="32"/>
          <w:lang w:val="en-US" w:eastAsia="zh-CN"/>
        </w:rPr>
        <w:t>23.33</w:t>
      </w:r>
      <w:r>
        <w:rPr>
          <w:rFonts w:hint="eastAsia" w:ascii="仿宋_GB2312" w:eastAsia="仿宋_GB2312"/>
          <w:color w:val="000000"/>
          <w:sz w:val="32"/>
          <w:szCs w:val="32"/>
        </w:rPr>
        <w:t>万元、公务员医疗补助</w:t>
      </w:r>
      <w:r>
        <w:rPr>
          <w:rFonts w:hint="eastAsia" w:ascii="仿宋_GB2312" w:eastAsia="仿宋_GB2312"/>
          <w:color w:val="000000"/>
          <w:sz w:val="32"/>
          <w:szCs w:val="32"/>
          <w:lang w:val="en-US" w:eastAsia="zh-CN"/>
        </w:rPr>
        <w:t>3.47</w:t>
      </w:r>
      <w:r>
        <w:rPr>
          <w:rFonts w:hint="eastAsia" w:ascii="仿宋_GB2312" w:eastAsia="仿宋_GB2312"/>
          <w:color w:val="000000"/>
          <w:sz w:val="32"/>
          <w:szCs w:val="32"/>
        </w:rPr>
        <w:t>万元、生活补助</w:t>
      </w:r>
      <w:r>
        <w:rPr>
          <w:rFonts w:hint="eastAsia" w:ascii="仿宋_GB2312" w:eastAsia="仿宋_GB2312"/>
          <w:color w:val="000000"/>
          <w:sz w:val="32"/>
          <w:szCs w:val="32"/>
          <w:lang w:val="en-US" w:eastAsia="zh-CN"/>
        </w:rPr>
        <w:t>4.48</w:t>
      </w:r>
      <w:r>
        <w:rPr>
          <w:rFonts w:hint="eastAsia" w:ascii="仿宋_GB2312" w:eastAsia="仿宋_GB2312"/>
          <w:color w:val="000000"/>
          <w:sz w:val="32"/>
          <w:szCs w:val="32"/>
        </w:rPr>
        <w:t>万元、奖励金</w:t>
      </w:r>
      <w:r>
        <w:rPr>
          <w:rFonts w:hint="eastAsia" w:ascii="仿宋_GB2312" w:eastAsia="仿宋_GB2312"/>
          <w:color w:val="000000"/>
          <w:sz w:val="32"/>
          <w:szCs w:val="32"/>
          <w:lang w:val="en-US" w:eastAsia="zh-CN"/>
        </w:rPr>
        <w:t>64.81</w:t>
      </w:r>
      <w:r>
        <w:rPr>
          <w:rFonts w:hint="eastAsia" w:ascii="仿宋_GB2312" w:eastAsia="仿宋_GB2312"/>
          <w:color w:val="000000"/>
          <w:sz w:val="32"/>
          <w:szCs w:val="32"/>
        </w:rPr>
        <w:t>万元。</w:t>
      </w:r>
    </w:p>
    <w:p>
      <w:pPr>
        <w:spacing w:line="600" w:lineRule="exact"/>
        <w:ind w:firstLine="645"/>
        <w:rPr>
          <w:rFonts w:hint="eastAsia" w:ascii="仿宋_GB2312" w:hAnsi="仿宋_GB2312" w:eastAsia="仿宋_GB2312" w:cs="仿宋_GB2312"/>
          <w:color w:val="000000"/>
          <w:sz w:val="32"/>
          <w:szCs w:val="32"/>
        </w:rPr>
      </w:pPr>
      <w:r>
        <w:rPr>
          <w:rFonts w:hint="eastAsia" w:ascii="仿宋_GB2312" w:hAnsi="仿宋" w:eastAsia="仿宋_GB2312"/>
          <w:color w:val="000000"/>
          <w:sz w:val="32"/>
          <w:szCs w:val="32"/>
        </w:rPr>
        <w:t>日常公用经费支出</w:t>
      </w:r>
      <w:r>
        <w:rPr>
          <w:rFonts w:hint="eastAsia" w:ascii="仿宋_GB2312" w:hAnsi="仿宋" w:eastAsia="仿宋_GB2312"/>
          <w:color w:val="000000"/>
          <w:sz w:val="32"/>
          <w:szCs w:val="32"/>
          <w:lang w:val="en-US" w:eastAsia="zh-CN"/>
        </w:rPr>
        <w:t>32.71</w:t>
      </w:r>
      <w:r>
        <w:rPr>
          <w:rFonts w:hint="eastAsia" w:ascii="仿宋_GB2312" w:hAnsi="仿宋" w:eastAsia="仿宋_GB2312"/>
          <w:color w:val="000000"/>
          <w:sz w:val="32"/>
          <w:szCs w:val="32"/>
        </w:rPr>
        <w:t>万元，</w:t>
      </w:r>
      <w:r>
        <w:rPr>
          <w:rFonts w:hint="eastAsia" w:ascii="仿宋_GB2312" w:eastAsia="仿宋_GB2312"/>
          <w:color w:val="000000"/>
          <w:sz w:val="32"/>
          <w:szCs w:val="32"/>
        </w:rPr>
        <w:t>主要包括：办公费</w:t>
      </w:r>
      <w:r>
        <w:rPr>
          <w:rFonts w:hint="eastAsia" w:ascii="仿宋_GB2312" w:eastAsia="仿宋_GB2312"/>
          <w:color w:val="000000"/>
          <w:sz w:val="32"/>
          <w:szCs w:val="32"/>
          <w:lang w:val="en-US" w:eastAsia="zh-CN"/>
        </w:rPr>
        <w:t>12.57</w:t>
      </w:r>
      <w:r>
        <w:rPr>
          <w:rFonts w:hint="eastAsia" w:ascii="仿宋_GB2312" w:eastAsia="仿宋_GB2312"/>
          <w:color w:val="000000"/>
          <w:sz w:val="32"/>
          <w:szCs w:val="32"/>
        </w:rPr>
        <w:t>万元、印刷费</w:t>
      </w:r>
      <w:r>
        <w:rPr>
          <w:rFonts w:hint="eastAsia" w:ascii="仿宋_GB2312" w:eastAsia="仿宋_GB2312"/>
          <w:color w:val="000000"/>
          <w:sz w:val="32"/>
          <w:szCs w:val="32"/>
          <w:lang w:val="en-US" w:eastAsia="zh-CN"/>
        </w:rPr>
        <w:t>1.8</w:t>
      </w:r>
      <w:r>
        <w:rPr>
          <w:rFonts w:hint="eastAsia" w:ascii="仿宋_GB2312" w:eastAsia="仿宋_GB2312"/>
          <w:color w:val="000000"/>
          <w:sz w:val="32"/>
          <w:szCs w:val="32"/>
        </w:rPr>
        <w:t>万元、电费</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万元、邮电费2.2万元、差旅费</w:t>
      </w:r>
      <w:r>
        <w:rPr>
          <w:rFonts w:hint="eastAsia" w:ascii="仿宋_GB2312" w:eastAsia="仿宋_GB2312"/>
          <w:color w:val="000000"/>
          <w:sz w:val="32"/>
          <w:szCs w:val="32"/>
          <w:lang w:val="en-US" w:eastAsia="zh-CN"/>
        </w:rPr>
        <w:t>4.89</w:t>
      </w:r>
      <w:r>
        <w:rPr>
          <w:rFonts w:hint="eastAsia" w:ascii="仿宋_GB2312" w:eastAsia="仿宋_GB2312"/>
          <w:color w:val="000000"/>
          <w:sz w:val="32"/>
          <w:szCs w:val="32"/>
        </w:rPr>
        <w:t>万元、劳务费3.4万元、公务用车运行维护费4.85万元、其他交通费用1万元。</w:t>
      </w:r>
    </w:p>
    <w:p>
      <w:pPr>
        <w:snapToGrid w:val="0"/>
        <w:spacing w:line="520" w:lineRule="exact"/>
        <w:ind w:firstLine="640" w:firstLineChars="200"/>
        <w:rPr>
          <w:rFonts w:hint="eastAsia" w:ascii="仿宋_GB2312" w:hAnsi="仿宋" w:eastAsia="仿宋_GB2312"/>
          <w:b/>
          <w:sz w:val="32"/>
          <w:szCs w:val="32"/>
        </w:rPr>
      </w:pPr>
      <w:r>
        <w:rPr>
          <w:rFonts w:hint="eastAsia" w:ascii="仿宋_GB2312" w:hAnsi="仿宋" w:eastAsia="仿宋_GB2312"/>
          <w:color w:val="000000"/>
          <w:sz w:val="32"/>
          <w:szCs w:val="32"/>
        </w:rPr>
        <w:t>项目支出</w:t>
      </w:r>
      <w:r>
        <w:rPr>
          <w:rFonts w:hint="eastAsia" w:ascii="仿宋_GB2312" w:hAnsi="仿宋" w:eastAsia="仿宋_GB2312"/>
          <w:color w:val="000000"/>
          <w:sz w:val="32"/>
          <w:szCs w:val="32"/>
          <w:lang w:val="en-US" w:eastAsia="zh-CN"/>
        </w:rPr>
        <w:t>323.26</w:t>
      </w:r>
      <w:r>
        <w:rPr>
          <w:rFonts w:hint="eastAsia" w:ascii="仿宋_GB2312" w:hAnsi="仿宋" w:eastAsia="仿宋_GB2312"/>
          <w:color w:val="000000"/>
          <w:sz w:val="32"/>
          <w:szCs w:val="32"/>
        </w:rPr>
        <w:t>万元，</w:t>
      </w:r>
      <w:r>
        <w:rPr>
          <w:rFonts w:hint="eastAsia" w:ascii="仿宋_GB2312" w:eastAsia="仿宋_GB2312"/>
          <w:color w:val="000000"/>
          <w:sz w:val="32"/>
          <w:szCs w:val="32"/>
        </w:rPr>
        <w:t>主要包括：</w:t>
      </w:r>
      <w:r>
        <w:rPr>
          <w:rFonts w:hint="eastAsia" w:ascii="仿宋_GB2312" w:eastAsia="仿宋_GB2312"/>
          <w:color w:val="000000"/>
          <w:sz w:val="32"/>
          <w:szCs w:val="32"/>
          <w:lang w:val="en-US" w:eastAsia="zh-CN"/>
        </w:rPr>
        <w:t>人大会议费0.2万元，</w:t>
      </w:r>
      <w:r>
        <w:rPr>
          <w:rFonts w:hint="eastAsia" w:ascii="仿宋_GB2312" w:hAnsi="仿宋" w:eastAsia="仿宋_GB2312"/>
          <w:color w:val="000000"/>
          <w:sz w:val="32"/>
          <w:szCs w:val="32"/>
        </w:rPr>
        <w:t>对村干部生活补助支出</w:t>
      </w:r>
      <w:r>
        <w:rPr>
          <w:rFonts w:hint="eastAsia" w:ascii="仿宋_GB2312" w:hAnsi="仿宋" w:eastAsia="仿宋_GB2312"/>
          <w:color w:val="000000"/>
          <w:sz w:val="32"/>
          <w:szCs w:val="32"/>
          <w:lang w:val="en-US" w:eastAsia="zh-CN"/>
        </w:rPr>
        <w:t>79.27</w:t>
      </w:r>
      <w:r>
        <w:rPr>
          <w:rFonts w:hint="eastAsia" w:ascii="仿宋_GB2312" w:hAnsi="仿宋" w:eastAsia="仿宋_GB2312"/>
          <w:color w:val="000000"/>
          <w:sz w:val="32"/>
          <w:szCs w:val="32"/>
        </w:rPr>
        <w:t>万元，村级维护费办公费44万元</w:t>
      </w:r>
      <w:r>
        <w:rPr>
          <w:rFonts w:hint="eastAsia" w:ascii="仿宋_GB2312" w:hAnsi="仿宋_GB2312" w:eastAsia="仿宋_GB2312" w:cs="仿宋_GB2312"/>
          <w:color w:val="000000"/>
          <w:sz w:val="32"/>
          <w:szCs w:val="32"/>
        </w:rPr>
        <w:t>（其中公共运行维护费28万元、基层党组织活动经费8万元、办公费8万元）</w:t>
      </w:r>
      <w:r>
        <w:rPr>
          <w:rFonts w:hint="eastAsia" w:ascii="仿宋_GB2312" w:hAnsi="仿宋" w:eastAsia="仿宋_GB2312"/>
          <w:color w:val="000000"/>
          <w:sz w:val="32"/>
          <w:szCs w:val="32"/>
        </w:rPr>
        <w:t>，三老干部生活补助</w:t>
      </w:r>
      <w:r>
        <w:rPr>
          <w:rFonts w:hint="eastAsia" w:ascii="仿宋_GB2312" w:hAnsi="仿宋" w:eastAsia="仿宋_GB2312"/>
          <w:color w:val="000000"/>
          <w:sz w:val="32"/>
          <w:szCs w:val="32"/>
          <w:lang w:val="en-US" w:eastAsia="zh-CN"/>
        </w:rPr>
        <w:t>0.96</w:t>
      </w:r>
      <w:r>
        <w:rPr>
          <w:rFonts w:hint="eastAsia" w:ascii="仿宋_GB2312" w:hAnsi="仿宋" w:eastAsia="仿宋_GB2312"/>
          <w:color w:val="000000"/>
          <w:sz w:val="32"/>
          <w:szCs w:val="32"/>
        </w:rPr>
        <w:t>万元</w:t>
      </w:r>
      <w:r>
        <w:rPr>
          <w:rFonts w:hint="eastAsia" w:ascii="仿宋_GB2312" w:hAnsi="仿宋" w:eastAsia="仿宋_GB2312"/>
          <w:color w:val="000000"/>
          <w:sz w:val="32"/>
          <w:szCs w:val="32"/>
          <w:lang w:eastAsia="zh-CN"/>
        </w:rPr>
        <w:t>，</w:t>
      </w:r>
      <w:r>
        <w:rPr>
          <w:rFonts w:hint="eastAsia" w:ascii="仿宋_GB2312" w:hAnsi="仿宋" w:eastAsia="仿宋_GB2312"/>
          <w:color w:val="000000"/>
          <w:sz w:val="32"/>
          <w:szCs w:val="32"/>
          <w:lang w:val="en-US" w:eastAsia="zh-CN"/>
        </w:rPr>
        <w:t>疫情防控经费5万元，河东乡旦甲木足村马尔脚水毁道路恢复项目93.61万元，河东乡噶尖草坪旅游配套设施建设项目95.2万元，职工之家维修建设5万元</w:t>
      </w:r>
      <w:r>
        <w:rPr>
          <w:rFonts w:hint="eastAsia" w:ascii="仿宋_GB2312" w:hAnsi="仿宋" w:eastAsia="仿宋_GB2312"/>
          <w:color w:val="000000"/>
          <w:sz w:val="32"/>
          <w:szCs w:val="32"/>
        </w:rPr>
        <w:t>。</w:t>
      </w:r>
    </w:p>
    <w:p>
      <w:pPr>
        <w:pStyle w:val="13"/>
        <w:keepNext w:val="0"/>
        <w:keepLines w:val="0"/>
        <w:widowControl/>
        <w:numPr>
          <w:ilvl w:val="0"/>
          <w:numId w:val="7"/>
        </w:numPr>
        <w:suppressLineNumbers w:val="0"/>
        <w:ind w:left="0" w:firstLine="640"/>
        <w:rPr>
          <w:rFonts w:hint="eastAsia" w:ascii="黑体" w:hAnsi="宋体" w:eastAsia="黑体" w:cs="黑体"/>
          <w:color w:val="000000"/>
          <w:sz w:val="31"/>
          <w:szCs w:val="31"/>
        </w:rPr>
      </w:pPr>
      <w:r>
        <w:rPr>
          <w:rFonts w:hint="eastAsia" w:ascii="黑体" w:hAnsi="宋体" w:eastAsia="黑体" w:cs="黑体"/>
          <w:color w:val="000000"/>
          <w:sz w:val="31"/>
          <w:szCs w:val="31"/>
        </w:rPr>
        <w:t>部门整体预算绩效管理情况</w:t>
      </w:r>
    </w:p>
    <w:p>
      <w:pPr>
        <w:pStyle w:val="13"/>
        <w:keepNext w:val="0"/>
        <w:keepLines w:val="0"/>
        <w:widowControl/>
        <w:numPr>
          <w:ilvl w:val="0"/>
          <w:numId w:val="0"/>
        </w:numPr>
        <w:suppressLineNumbers w:val="0"/>
        <w:ind w:left="640" w:leftChars="0"/>
      </w:pPr>
      <w:r>
        <w:rPr>
          <w:rFonts w:hint="eastAsia" w:ascii="仿宋_GB2312" w:eastAsia="仿宋_GB2312" w:cs="仿宋_GB2312"/>
          <w:color w:val="000000"/>
          <w:sz w:val="31"/>
          <w:szCs w:val="31"/>
        </w:rPr>
        <w:t>（一）部门预算管理。</w:t>
      </w:r>
    </w:p>
    <w:p>
      <w:pPr>
        <w:pStyle w:val="13"/>
        <w:keepNext w:val="0"/>
        <w:keepLines w:val="0"/>
        <w:widowControl/>
        <w:suppressLineNumbers w:val="0"/>
        <w:ind w:firstLine="640" w:firstLineChars="200"/>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一是预算编制。严格按照财政部门预算编制通知明确的范围、标准等编制部门预算；人员和公用支出预算按定员定额标准编制，项目支出预算真实；按规定开展项目评审；没有事业收入、事业单位经营收入、其他收入等单位自有资金收入；编制结转资金与上年部门决算数据衔接；上报预算履行集体决策程序。</w:t>
      </w:r>
    </w:p>
    <w:p>
      <w:pPr>
        <w:pStyle w:val="13"/>
        <w:keepNext w:val="0"/>
        <w:keepLines w:val="0"/>
        <w:widowControl/>
        <w:suppressLineNumbers w:val="0"/>
        <w:ind w:firstLine="640" w:firstLineChars="200"/>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二是预算执行。没有行政事业性收费、罚没收入、国有资源（资产）有偿使用收入等非税收入；不存在无预算、超预算、超标准、超范围列支人员经费、公用经费和项目经费情况；不存在违规发放工资、奖金、津贴补贴等问题；贯彻落实预算执行管理有关规定，按财政部门监管要求规范预算执行；分配专项资金履行集体决策程序；按规定履行预算调剂程序。</w:t>
      </w:r>
    </w:p>
    <w:p>
      <w:pPr>
        <w:pStyle w:val="13"/>
        <w:keepNext w:val="0"/>
        <w:keepLines w:val="0"/>
        <w:widowControl/>
        <w:suppressLineNumbers w:val="0"/>
        <w:ind w:left="0" w:firstLine="640"/>
      </w:pPr>
      <w:r>
        <w:rPr>
          <w:rFonts w:hint="eastAsia" w:ascii="黑体" w:hAnsi="宋体" w:eastAsia="黑体" w:cs="黑体"/>
          <w:color w:val="000000"/>
          <w:sz w:val="31"/>
          <w:szCs w:val="31"/>
        </w:rPr>
        <w:t>四、评价结论及建议</w:t>
      </w:r>
    </w:p>
    <w:p>
      <w:pPr>
        <w:widowControl/>
        <w:adjustRightInd w:val="0"/>
        <w:snapToGrid w:val="0"/>
        <w:spacing w:line="480" w:lineRule="exact"/>
        <w:ind w:firstLine="720"/>
        <w:jc w:val="left"/>
        <w:rPr>
          <w:rFonts w:hint="eastAsia" w:ascii="仿宋_GB2312" w:eastAsia="仿宋_GB2312" w:hAnsiTheme="minorHAnsi" w:cstheme="minorBidi"/>
          <w:kern w:val="2"/>
          <w:sz w:val="32"/>
          <w:szCs w:val="32"/>
          <w:lang w:val="zh-CN" w:eastAsia="zh-CN" w:bidi="ar-SA"/>
        </w:rPr>
      </w:pPr>
      <w:r>
        <w:rPr>
          <w:rFonts w:hint="eastAsia" w:ascii="仿宋_GB2312" w:eastAsia="仿宋_GB2312" w:hAnsiTheme="minorHAnsi" w:cstheme="minorBidi"/>
          <w:kern w:val="2"/>
          <w:sz w:val="32"/>
          <w:szCs w:val="32"/>
          <w:lang w:val="zh-CN" w:eastAsia="zh-CN" w:bidi="ar-SA"/>
        </w:rPr>
        <w:t>（一）评价结论</w:t>
      </w:r>
    </w:p>
    <w:p>
      <w:pPr>
        <w:ind w:firstLine="640" w:firstLineChars="200"/>
        <w:rPr>
          <w:rFonts w:hint="eastAsia" w:ascii="仿宋_GB2312" w:eastAsia="仿宋_GB2312" w:hAnsiTheme="minorHAnsi" w:cstheme="minorBidi"/>
          <w:kern w:val="2"/>
          <w:sz w:val="32"/>
          <w:szCs w:val="32"/>
          <w:lang w:val="zh-CN" w:eastAsia="zh-CN" w:bidi="ar-SA"/>
        </w:rPr>
      </w:pPr>
      <w:r>
        <w:rPr>
          <w:rFonts w:hint="eastAsia" w:ascii="仿宋_GB2312" w:eastAsia="仿宋_GB2312" w:hAnsiTheme="minorHAnsi" w:cstheme="minorBidi"/>
          <w:kern w:val="2"/>
          <w:sz w:val="32"/>
          <w:szCs w:val="32"/>
          <w:lang w:val="zh-CN" w:eastAsia="zh-CN" w:bidi="ar-SA"/>
        </w:rPr>
        <w:t>我单位严格执行支出绩效评价，自评打分9</w:t>
      </w:r>
      <w:r>
        <w:rPr>
          <w:rFonts w:hint="eastAsia" w:ascii="仿宋_GB2312" w:eastAsia="仿宋_GB2312" w:cstheme="minorBidi"/>
          <w:kern w:val="2"/>
          <w:sz w:val="32"/>
          <w:szCs w:val="32"/>
          <w:lang w:val="en-US" w:eastAsia="zh-CN" w:bidi="ar-SA"/>
        </w:rPr>
        <w:t>5</w:t>
      </w:r>
      <w:r>
        <w:rPr>
          <w:rFonts w:hint="eastAsia" w:ascii="仿宋_GB2312" w:eastAsia="仿宋_GB2312" w:hAnsiTheme="minorHAnsi" w:cstheme="minorBidi"/>
          <w:kern w:val="2"/>
          <w:sz w:val="32"/>
          <w:szCs w:val="32"/>
          <w:lang w:val="zh-CN" w:eastAsia="zh-CN" w:bidi="ar-SA"/>
        </w:rPr>
        <w:t>分，部门整体绩效运行良好。。</w:t>
      </w:r>
    </w:p>
    <w:p>
      <w:pPr>
        <w:ind w:firstLine="640" w:firstLineChars="200"/>
        <w:rPr>
          <w:rFonts w:hint="eastAsia" w:ascii="仿宋_GB2312" w:eastAsia="仿宋_GB2312" w:hAnsiTheme="minorHAnsi" w:cstheme="minorBidi"/>
          <w:kern w:val="2"/>
          <w:sz w:val="32"/>
          <w:szCs w:val="32"/>
          <w:lang w:val="zh-CN" w:eastAsia="zh-CN" w:bidi="ar-SA"/>
        </w:rPr>
      </w:pPr>
      <w:r>
        <w:rPr>
          <w:rFonts w:hint="eastAsia" w:ascii="仿宋_GB2312" w:eastAsia="仿宋_GB2312" w:hAnsiTheme="minorHAnsi" w:cstheme="minorBidi"/>
          <w:kern w:val="2"/>
          <w:sz w:val="32"/>
          <w:szCs w:val="32"/>
          <w:lang w:val="zh-CN" w:eastAsia="zh-CN" w:bidi="ar-SA"/>
        </w:rPr>
        <w:t>我单位无收费项目，无其他行政事业性收费，故无预算外资金。</w:t>
      </w:r>
    </w:p>
    <w:p>
      <w:pPr>
        <w:ind w:firstLine="640" w:firstLineChars="200"/>
        <w:rPr>
          <w:rFonts w:hint="eastAsia" w:ascii="仿宋_GB2312" w:eastAsia="仿宋_GB2312" w:hAnsiTheme="minorHAnsi" w:cstheme="minorBidi"/>
          <w:kern w:val="2"/>
          <w:sz w:val="32"/>
          <w:szCs w:val="32"/>
          <w:lang w:val="zh-CN" w:eastAsia="zh-CN" w:bidi="ar-SA"/>
        </w:rPr>
      </w:pPr>
      <w:r>
        <w:rPr>
          <w:rFonts w:hint="eastAsia" w:ascii="仿宋_GB2312" w:eastAsia="仿宋_GB2312" w:hAnsiTheme="minorHAnsi" w:cstheme="minorBidi"/>
          <w:kern w:val="2"/>
          <w:sz w:val="32"/>
          <w:szCs w:val="32"/>
          <w:lang w:val="zh-CN" w:eastAsia="zh-CN" w:bidi="ar-SA"/>
        </w:rPr>
        <w:t>我单位严格按照《行政单位会计制度》、《行政单位财务规则》财政部等有关规定执行，所有经费开支都坚持做到了“经手人提供原始凭证、填制相关单据，相关人员证明，财务初审，分管</w:t>
      </w:r>
      <w:r>
        <w:rPr>
          <w:rFonts w:hint="eastAsia" w:ascii="仿宋_GB2312" w:eastAsia="仿宋_GB2312" w:hAnsiTheme="minorHAnsi" w:cstheme="minorBidi"/>
          <w:kern w:val="2"/>
          <w:sz w:val="32"/>
          <w:szCs w:val="32"/>
          <w:lang w:val="en-US" w:eastAsia="zh-CN" w:bidi="ar-SA"/>
        </w:rPr>
        <w:t>领导</w:t>
      </w:r>
      <w:r>
        <w:rPr>
          <w:rFonts w:hint="eastAsia" w:ascii="仿宋_GB2312" w:eastAsia="仿宋_GB2312" w:hAnsiTheme="minorHAnsi" w:cstheme="minorBidi"/>
          <w:kern w:val="2"/>
          <w:sz w:val="32"/>
          <w:szCs w:val="32"/>
          <w:lang w:val="zh-CN" w:eastAsia="zh-CN" w:bidi="ar-SA"/>
        </w:rPr>
        <w:t>复审，</w:t>
      </w:r>
      <w:r>
        <w:rPr>
          <w:rFonts w:hint="eastAsia" w:ascii="仿宋_GB2312" w:eastAsia="仿宋_GB2312" w:hAnsiTheme="minorHAnsi" w:cstheme="minorBidi"/>
          <w:kern w:val="2"/>
          <w:sz w:val="32"/>
          <w:szCs w:val="32"/>
          <w:lang w:val="en-US" w:eastAsia="zh-CN" w:bidi="ar-SA"/>
        </w:rPr>
        <w:t>乡长</w:t>
      </w:r>
      <w:r>
        <w:rPr>
          <w:rFonts w:hint="eastAsia" w:ascii="仿宋_GB2312" w:eastAsia="仿宋_GB2312" w:hAnsiTheme="minorHAnsi" w:cstheme="minorBidi"/>
          <w:kern w:val="2"/>
          <w:sz w:val="32"/>
          <w:szCs w:val="32"/>
          <w:lang w:val="zh-CN" w:eastAsia="zh-CN" w:bidi="ar-SA"/>
        </w:rPr>
        <w:t>终审”的签字制度。大额开支提交</w:t>
      </w:r>
      <w:r>
        <w:rPr>
          <w:rFonts w:hint="eastAsia" w:ascii="仿宋_GB2312" w:eastAsia="仿宋_GB2312" w:hAnsiTheme="minorHAnsi" w:cstheme="minorBidi"/>
          <w:kern w:val="2"/>
          <w:sz w:val="32"/>
          <w:szCs w:val="32"/>
          <w:lang w:val="en-US" w:eastAsia="zh-CN" w:bidi="ar-SA"/>
        </w:rPr>
        <w:t>乡</w:t>
      </w:r>
      <w:r>
        <w:rPr>
          <w:rFonts w:hint="eastAsia" w:ascii="仿宋_GB2312" w:eastAsia="仿宋_GB2312" w:hAnsiTheme="minorHAnsi" w:cstheme="minorBidi"/>
          <w:kern w:val="2"/>
          <w:sz w:val="32"/>
          <w:szCs w:val="32"/>
          <w:lang w:val="zh-CN" w:eastAsia="zh-CN" w:bidi="ar-SA"/>
        </w:rPr>
        <w:t>党组集体研究决定。</w:t>
      </w:r>
    </w:p>
    <w:p>
      <w:pPr>
        <w:ind w:firstLine="640" w:firstLineChars="200"/>
        <w:rPr>
          <w:rFonts w:hint="eastAsia" w:ascii="仿宋_GB2312" w:eastAsia="仿宋_GB2312" w:hAnsiTheme="minorHAnsi" w:cstheme="minorBidi"/>
          <w:kern w:val="2"/>
          <w:sz w:val="32"/>
          <w:szCs w:val="32"/>
          <w:lang w:val="zh-CN" w:eastAsia="zh-CN" w:bidi="ar-SA"/>
        </w:rPr>
      </w:pPr>
      <w:r>
        <w:rPr>
          <w:rFonts w:hint="eastAsia" w:ascii="仿宋_GB2312" w:eastAsia="仿宋_GB2312" w:hAnsiTheme="minorHAnsi" w:cstheme="minorBidi"/>
          <w:kern w:val="2"/>
          <w:sz w:val="32"/>
          <w:szCs w:val="32"/>
          <w:lang w:val="zh-CN" w:eastAsia="zh-CN" w:bidi="ar-SA"/>
        </w:rPr>
        <w:t>（二）存在问题。</w:t>
      </w:r>
    </w:p>
    <w:p>
      <w:pPr>
        <w:ind w:firstLine="640" w:firstLineChars="200"/>
        <w:rPr>
          <w:rFonts w:hint="eastAsia" w:ascii="仿宋_GB2312" w:eastAsia="仿宋_GB2312" w:hAnsiTheme="minorHAnsi" w:cstheme="minorBidi"/>
          <w:kern w:val="2"/>
          <w:sz w:val="32"/>
          <w:szCs w:val="32"/>
          <w:lang w:val="zh-CN" w:eastAsia="zh-CN" w:bidi="ar-SA"/>
        </w:rPr>
      </w:pPr>
      <w:r>
        <w:rPr>
          <w:rFonts w:hint="eastAsia" w:ascii="仿宋_GB2312" w:eastAsia="仿宋_GB2312" w:hAnsiTheme="minorHAnsi" w:cstheme="minorBidi"/>
          <w:kern w:val="2"/>
          <w:sz w:val="32"/>
          <w:szCs w:val="32"/>
          <w:lang w:val="en-US" w:eastAsia="zh-CN" w:bidi="ar-SA"/>
        </w:rPr>
        <w:t>人员专业性需加强，</w:t>
      </w:r>
      <w:r>
        <w:rPr>
          <w:rFonts w:hint="eastAsia" w:ascii="仿宋_GB2312" w:eastAsia="仿宋_GB2312" w:hAnsiTheme="minorHAnsi" w:cstheme="minorBidi"/>
          <w:kern w:val="2"/>
          <w:sz w:val="32"/>
          <w:szCs w:val="32"/>
          <w:lang w:val="zh-CN" w:eastAsia="zh-CN" w:bidi="ar-SA"/>
        </w:rPr>
        <w:t>预算编制还需进一步细化，需要加强内部控制制度的执行。</w:t>
      </w:r>
    </w:p>
    <w:p>
      <w:pPr>
        <w:ind w:firstLine="640" w:firstLineChars="200"/>
        <w:rPr>
          <w:rFonts w:hint="eastAsia" w:ascii="仿宋_GB2312" w:eastAsia="仿宋_GB2312" w:hAnsiTheme="minorHAnsi" w:cstheme="minorBidi"/>
          <w:kern w:val="2"/>
          <w:sz w:val="32"/>
          <w:szCs w:val="32"/>
          <w:lang w:val="zh-CN" w:eastAsia="zh-CN" w:bidi="ar-SA"/>
        </w:rPr>
      </w:pPr>
      <w:r>
        <w:rPr>
          <w:rFonts w:hint="eastAsia" w:ascii="仿宋_GB2312" w:eastAsia="仿宋_GB2312" w:hAnsiTheme="minorHAnsi" w:cstheme="minorBidi"/>
          <w:kern w:val="2"/>
          <w:sz w:val="32"/>
          <w:szCs w:val="32"/>
          <w:lang w:val="zh-CN" w:eastAsia="zh-CN" w:bidi="ar-SA"/>
        </w:rPr>
        <w:t>（三）改进建议。</w:t>
      </w:r>
    </w:p>
    <w:p>
      <w:pPr>
        <w:ind w:firstLine="640" w:firstLineChars="200"/>
        <w:rPr>
          <w:rFonts w:hint="eastAsia" w:ascii="仿宋_GB2312" w:eastAsia="仿宋_GB2312" w:hAnsiTheme="minorHAnsi" w:cstheme="minorBidi"/>
          <w:kern w:val="2"/>
          <w:sz w:val="32"/>
          <w:szCs w:val="32"/>
          <w:lang w:val="zh-CN" w:eastAsia="zh-CN" w:bidi="ar-SA"/>
        </w:rPr>
      </w:pPr>
      <w:r>
        <w:rPr>
          <w:rFonts w:hint="eastAsia" w:ascii="仿宋_GB2312" w:eastAsia="仿宋_GB2312" w:hAnsiTheme="minorHAnsi" w:cstheme="minorBidi"/>
          <w:kern w:val="2"/>
          <w:sz w:val="32"/>
          <w:szCs w:val="32"/>
          <w:lang w:val="zh-CN" w:eastAsia="zh-CN" w:bidi="ar-SA"/>
        </w:rPr>
        <w:t xml:space="preserve">1、遵循先有预算、后有支出的原则，加强财务管理和内部控制监督制度。严禁超预算和无预算安排支出，严格开支范围和标准，严格支出报销审核，不报销任何超范围、超标准的费用。 </w:t>
      </w:r>
    </w:p>
    <w:p>
      <w:pPr>
        <w:ind w:firstLine="640" w:firstLineChars="200"/>
        <w:rPr>
          <w:rFonts w:hint="eastAsia" w:ascii="仿宋_GB2312" w:eastAsia="仿宋_GB2312" w:hAnsiTheme="minorHAnsi" w:cstheme="minorBidi"/>
          <w:kern w:val="2"/>
          <w:sz w:val="32"/>
          <w:szCs w:val="32"/>
          <w:lang w:val="zh-CN" w:eastAsia="zh-CN" w:bidi="ar-SA"/>
        </w:rPr>
      </w:pPr>
      <w:r>
        <w:rPr>
          <w:rFonts w:hint="eastAsia" w:ascii="仿宋_GB2312" w:eastAsia="仿宋_GB2312" w:hAnsiTheme="minorHAnsi" w:cstheme="minorBidi"/>
          <w:kern w:val="2"/>
          <w:sz w:val="32"/>
          <w:szCs w:val="32"/>
          <w:lang w:val="zh-CN" w:eastAsia="zh-CN" w:bidi="ar-SA"/>
        </w:rPr>
        <w:t>2、严格控制“三公”经费。认真贯彻落实中央、省委省政府和县委县政府相关规定，严格“三公”经费支出的审核和审批，合理压缩“三公”经费支出。</w:t>
      </w:r>
    </w:p>
    <w:p>
      <w:pPr>
        <w:pStyle w:val="2"/>
        <w:pageBreakBefore w:val="0"/>
        <w:widowControl w:val="0"/>
        <w:kinsoku/>
        <w:wordWrap/>
        <w:overflowPunct/>
        <w:topLinePunct w:val="0"/>
        <w:bidi w:val="0"/>
        <w:spacing w:before="93" w:beforeLines="0" w:line="576" w:lineRule="exact"/>
        <w:rPr>
          <w:rFonts w:ascii="Times New Roman" w:hAnsi="Times New Roman" w:cs="Times New Roman"/>
          <w:sz w:val="32"/>
          <w:szCs w:val="32"/>
          <w:shd w:val="clear" w:color="auto" w:fill="FFFFFF"/>
          <w:lang w:val="zh-CN"/>
        </w:rPr>
      </w:pPr>
    </w:p>
    <w:p>
      <w:pPr>
        <w:pStyle w:val="2"/>
        <w:pageBreakBefore w:val="0"/>
        <w:widowControl w:val="0"/>
        <w:kinsoku/>
        <w:wordWrap/>
        <w:overflowPunct/>
        <w:topLinePunct w:val="0"/>
        <w:bidi w:val="0"/>
        <w:spacing w:before="93" w:beforeLines="0" w:line="576" w:lineRule="exact"/>
        <w:rPr>
          <w:rFonts w:ascii="Times New Roman" w:hAnsi="Times New Roman" w:cs="Times New Roman"/>
          <w:sz w:val="32"/>
          <w:szCs w:val="32"/>
          <w:shd w:val="clear" w:color="auto" w:fill="FFFFFF"/>
          <w:lang w:val="zh-CN"/>
        </w:rPr>
      </w:pPr>
    </w:p>
    <w:p>
      <w:pPr>
        <w:pStyle w:val="2"/>
        <w:pageBreakBefore w:val="0"/>
        <w:widowControl w:val="0"/>
        <w:kinsoku/>
        <w:wordWrap/>
        <w:overflowPunct/>
        <w:topLinePunct w:val="0"/>
        <w:bidi w:val="0"/>
        <w:spacing w:before="93" w:beforeLines="0" w:line="576" w:lineRule="exact"/>
        <w:rPr>
          <w:rFonts w:ascii="Times New Roman" w:hAnsi="Times New Roman" w:cs="Times New Roman"/>
          <w:sz w:val="32"/>
          <w:szCs w:val="32"/>
          <w:shd w:val="clear" w:color="auto" w:fill="FFFFFF"/>
          <w:lang w:val="zh-CN"/>
        </w:rPr>
      </w:pPr>
    </w:p>
    <w:p>
      <w:pPr>
        <w:pStyle w:val="2"/>
        <w:pageBreakBefore w:val="0"/>
        <w:widowControl w:val="0"/>
        <w:kinsoku/>
        <w:wordWrap/>
        <w:overflowPunct/>
        <w:topLinePunct w:val="0"/>
        <w:bidi w:val="0"/>
        <w:spacing w:before="93" w:beforeLines="0" w:line="576" w:lineRule="exact"/>
        <w:rPr>
          <w:rFonts w:ascii="Times New Roman" w:hAnsi="Times New Roman" w:cs="Times New Roman"/>
          <w:sz w:val="32"/>
          <w:szCs w:val="32"/>
          <w:shd w:val="clear" w:color="auto" w:fill="FFFFFF"/>
          <w:lang w:val="zh-CN"/>
        </w:rPr>
      </w:pPr>
    </w:p>
    <w:p>
      <w:pPr>
        <w:pStyle w:val="2"/>
        <w:pageBreakBefore w:val="0"/>
        <w:widowControl w:val="0"/>
        <w:kinsoku/>
        <w:wordWrap/>
        <w:overflowPunct/>
        <w:topLinePunct w:val="0"/>
        <w:bidi w:val="0"/>
        <w:spacing w:before="93" w:beforeLines="0" w:line="576" w:lineRule="exact"/>
        <w:rPr>
          <w:rFonts w:ascii="Times New Roman" w:hAnsi="Times New Roman" w:cs="Times New Roman"/>
          <w:sz w:val="32"/>
          <w:szCs w:val="32"/>
          <w:shd w:val="clear" w:color="auto" w:fill="FFFFFF"/>
          <w:lang w:val="zh-CN"/>
        </w:rPr>
      </w:pPr>
    </w:p>
    <w:p>
      <w:pPr>
        <w:pStyle w:val="2"/>
        <w:pageBreakBefore w:val="0"/>
        <w:widowControl w:val="0"/>
        <w:kinsoku/>
        <w:wordWrap/>
        <w:overflowPunct/>
        <w:topLinePunct w:val="0"/>
        <w:bidi w:val="0"/>
        <w:spacing w:before="93" w:beforeLines="0" w:line="576" w:lineRule="exact"/>
        <w:rPr>
          <w:rFonts w:ascii="Times New Roman" w:hAnsi="Times New Roman" w:cs="Times New Roman"/>
          <w:sz w:val="32"/>
          <w:szCs w:val="32"/>
          <w:shd w:val="clear" w:color="auto" w:fill="FFFFFF"/>
          <w:lang w:val="zh-CN"/>
        </w:rPr>
      </w:pPr>
    </w:p>
    <w:p>
      <w:pPr>
        <w:pStyle w:val="2"/>
        <w:pageBreakBefore w:val="0"/>
        <w:widowControl w:val="0"/>
        <w:kinsoku/>
        <w:wordWrap/>
        <w:overflowPunct/>
        <w:topLinePunct w:val="0"/>
        <w:bidi w:val="0"/>
        <w:spacing w:before="93" w:beforeLines="0" w:line="576" w:lineRule="exact"/>
        <w:rPr>
          <w:rFonts w:ascii="Times New Roman" w:hAnsi="Times New Roman" w:cs="Times New Roman"/>
          <w:sz w:val="32"/>
          <w:szCs w:val="32"/>
          <w:shd w:val="clear" w:color="auto" w:fill="FFFFFF"/>
          <w:lang w:val="zh-CN"/>
        </w:rPr>
      </w:pPr>
    </w:p>
    <w:p>
      <w:pPr>
        <w:pStyle w:val="2"/>
        <w:pageBreakBefore w:val="0"/>
        <w:widowControl w:val="0"/>
        <w:kinsoku/>
        <w:wordWrap/>
        <w:overflowPunct/>
        <w:topLinePunct w:val="0"/>
        <w:bidi w:val="0"/>
        <w:spacing w:before="93" w:beforeLines="0" w:line="576" w:lineRule="exact"/>
        <w:rPr>
          <w:rFonts w:ascii="Times New Roman" w:hAnsi="Times New Roman" w:cs="Times New Roman"/>
          <w:sz w:val="32"/>
          <w:szCs w:val="32"/>
          <w:shd w:val="clear" w:color="auto" w:fill="FFFFFF"/>
          <w:lang w:val="zh-CN"/>
        </w:rPr>
      </w:pPr>
    </w:p>
    <w:p>
      <w:pPr>
        <w:pStyle w:val="2"/>
        <w:pageBreakBefore w:val="0"/>
        <w:widowControl w:val="0"/>
        <w:kinsoku/>
        <w:wordWrap/>
        <w:overflowPunct/>
        <w:topLinePunct w:val="0"/>
        <w:bidi w:val="0"/>
        <w:spacing w:before="93" w:beforeLines="0" w:line="576" w:lineRule="exact"/>
        <w:rPr>
          <w:rFonts w:ascii="Times New Roman" w:hAnsi="Times New Roman" w:cs="Times New Roman"/>
          <w:sz w:val="32"/>
          <w:szCs w:val="32"/>
          <w:shd w:val="clear" w:color="auto" w:fill="FFFFFF"/>
          <w:lang w:val="zh-CN"/>
        </w:rPr>
      </w:pPr>
    </w:p>
    <w:p>
      <w:pPr>
        <w:pStyle w:val="2"/>
        <w:pageBreakBefore w:val="0"/>
        <w:widowControl w:val="0"/>
        <w:kinsoku/>
        <w:wordWrap/>
        <w:overflowPunct/>
        <w:topLinePunct w:val="0"/>
        <w:bidi w:val="0"/>
        <w:spacing w:before="93" w:beforeLines="0" w:line="576" w:lineRule="exact"/>
        <w:rPr>
          <w:rFonts w:ascii="Times New Roman" w:hAnsi="Times New Roman" w:cs="Times New Roman"/>
          <w:sz w:val="32"/>
          <w:szCs w:val="32"/>
          <w:shd w:val="clear" w:color="auto" w:fill="FFFFFF"/>
          <w:lang w:val="zh-CN"/>
        </w:rPr>
      </w:pPr>
    </w:p>
    <w:p>
      <w:pPr>
        <w:pStyle w:val="2"/>
        <w:pageBreakBefore w:val="0"/>
        <w:widowControl w:val="0"/>
        <w:kinsoku/>
        <w:wordWrap/>
        <w:overflowPunct/>
        <w:topLinePunct w:val="0"/>
        <w:bidi w:val="0"/>
        <w:spacing w:before="93" w:beforeLines="0" w:line="576" w:lineRule="exact"/>
        <w:rPr>
          <w:rFonts w:ascii="Times New Roman" w:hAnsi="Times New Roman" w:cs="Times New Roman"/>
          <w:sz w:val="32"/>
          <w:szCs w:val="32"/>
          <w:shd w:val="clear" w:color="auto" w:fill="FFFFFF"/>
          <w:lang w:val="zh-CN"/>
        </w:rPr>
      </w:pPr>
    </w:p>
    <w:p>
      <w:pPr>
        <w:pStyle w:val="2"/>
        <w:pageBreakBefore w:val="0"/>
        <w:widowControl w:val="0"/>
        <w:kinsoku/>
        <w:wordWrap/>
        <w:overflowPunct/>
        <w:topLinePunct w:val="0"/>
        <w:bidi w:val="0"/>
        <w:spacing w:before="93" w:beforeLines="0" w:line="576" w:lineRule="exact"/>
        <w:rPr>
          <w:rFonts w:ascii="Times New Roman" w:hAnsi="Times New Roman" w:cs="Times New Roman"/>
          <w:sz w:val="32"/>
          <w:szCs w:val="32"/>
          <w:shd w:val="clear" w:color="auto" w:fill="FFFFFF"/>
          <w:lang w:val="zh-CN"/>
        </w:rPr>
      </w:pPr>
    </w:p>
    <w:p>
      <w:pPr>
        <w:pStyle w:val="2"/>
        <w:pageBreakBefore w:val="0"/>
        <w:widowControl w:val="0"/>
        <w:kinsoku/>
        <w:wordWrap/>
        <w:overflowPunct/>
        <w:topLinePunct w:val="0"/>
        <w:bidi w:val="0"/>
        <w:spacing w:before="93" w:beforeLines="0" w:line="576" w:lineRule="exact"/>
        <w:rPr>
          <w:rFonts w:ascii="Times New Roman" w:hAnsi="Times New Roman" w:cs="Times New Roman"/>
          <w:lang w:val="zh-CN"/>
        </w:rPr>
      </w:pPr>
      <w:r>
        <w:rPr>
          <w:rFonts w:ascii="Times New Roman" w:hAnsi="Times New Roman" w:cs="Times New Roman"/>
          <w:sz w:val="32"/>
          <w:szCs w:val="32"/>
          <w:shd w:val="clear" w:color="auto" w:fill="FFFFFF"/>
          <w:lang w:val="zh-CN"/>
        </w:rPr>
        <w:t>附件</w:t>
      </w:r>
    </w:p>
    <w:p>
      <w:pPr>
        <w:pageBreakBefore w:val="0"/>
        <w:widowControl w:val="0"/>
        <w:kinsoku/>
        <w:wordWrap/>
        <w:overflowPunct/>
        <w:topLinePunct w:val="0"/>
        <w:bidi w:val="0"/>
        <w:spacing w:line="576" w:lineRule="exact"/>
        <w:jc w:val="center"/>
        <w:rPr>
          <w:rFonts w:ascii="Times New Roman" w:hAnsi="Times New Roman" w:eastAsia="方正小标宋简体" w:cs="Times New Roman"/>
          <w:sz w:val="40"/>
          <w:szCs w:val="40"/>
          <w:lang w:val="zh-CN"/>
        </w:rPr>
      </w:pPr>
      <w:r>
        <w:rPr>
          <w:rFonts w:ascii="Times New Roman" w:hAnsi="Times New Roman" w:eastAsia="方正小标宋简体" w:cs="Times New Roman"/>
          <w:sz w:val="40"/>
          <w:szCs w:val="40"/>
        </w:rPr>
        <w:t>2022年</w:t>
      </w:r>
      <w:r>
        <w:rPr>
          <w:rFonts w:ascii="Times New Roman" w:hAnsi="Times New Roman" w:eastAsia="方正小标宋简体" w:cs="Times New Roman"/>
          <w:sz w:val="40"/>
          <w:szCs w:val="40"/>
          <w:lang w:val="zh-CN"/>
        </w:rPr>
        <w:t>专项预算项目支出绩效自评报告</w:t>
      </w:r>
    </w:p>
    <w:p>
      <w:pPr>
        <w:keepNext w:val="0"/>
        <w:keepLines w:val="0"/>
        <w:widowControl/>
        <w:suppressLineNumbers w:val="0"/>
        <w:jc w:val="center"/>
      </w:pPr>
      <w:r>
        <w:rPr>
          <w:rFonts w:hint="eastAsia" w:ascii="仿宋_GB2312" w:hAnsi="宋体" w:eastAsia="仿宋_GB2312" w:cs="仿宋_GB2312"/>
          <w:color w:val="000000"/>
          <w:kern w:val="0"/>
          <w:sz w:val="31"/>
          <w:szCs w:val="31"/>
          <w:lang w:val="en-US" w:eastAsia="zh-CN" w:bidi="ar"/>
        </w:rPr>
        <w:t>（河东乡旦甲木足村马尔脚水毁道路恢复项目）</w:t>
      </w:r>
    </w:p>
    <w:p>
      <w:pPr>
        <w:numPr>
          <w:ilvl w:val="0"/>
          <w:numId w:val="8"/>
        </w:numPr>
        <w:spacing w:line="360" w:lineRule="auto"/>
        <w:ind w:firstLine="620" w:firstLineChars="200"/>
        <w:rPr>
          <w:rFonts w:hint="eastAsia" w:ascii="黑体" w:hAnsi="宋体" w:eastAsia="黑体" w:cs="黑体"/>
          <w:color w:val="000000"/>
          <w:sz w:val="31"/>
          <w:szCs w:val="31"/>
        </w:rPr>
      </w:pPr>
      <w:r>
        <w:rPr>
          <w:rFonts w:hint="eastAsia" w:ascii="黑体" w:hAnsi="宋体" w:eastAsia="黑体" w:cs="黑体"/>
          <w:color w:val="000000"/>
          <w:sz w:val="31"/>
          <w:szCs w:val="31"/>
        </w:rPr>
        <w:t>内容摘要</w:t>
      </w:r>
    </w:p>
    <w:p>
      <w:pPr>
        <w:numPr>
          <w:ilvl w:val="0"/>
          <w:numId w:val="0"/>
        </w:numPr>
        <w:spacing w:line="360" w:lineRule="auto"/>
        <w:ind w:firstLine="643" w:firstLineChars="200"/>
        <w:rPr>
          <w:rStyle w:val="29"/>
          <w:rFonts w:hint="eastAsia" w:eastAsia="仿宋"/>
          <w:spacing w:val="15"/>
          <w:sz w:val="32"/>
          <w:lang w:val="en-US" w:eastAsia="zh-CN"/>
        </w:rPr>
      </w:pPr>
      <w:r>
        <w:rPr>
          <w:rFonts w:hint="eastAsia" w:ascii="仿宋" w:hAnsi="仿宋" w:eastAsia="仿宋" w:cs="仿宋"/>
          <w:b/>
          <w:bCs/>
          <w:kern w:val="0"/>
          <w:sz w:val="32"/>
          <w:szCs w:val="32"/>
          <w:lang w:val="en-US" w:eastAsia="zh-CN"/>
        </w:rPr>
        <w:t>1、</w:t>
      </w:r>
      <w:r>
        <w:rPr>
          <w:rFonts w:hint="eastAsia" w:ascii="仿宋" w:hAnsi="仿宋" w:eastAsia="仿宋" w:cs="仿宋"/>
          <w:kern w:val="0"/>
          <w:sz w:val="32"/>
          <w:szCs w:val="32"/>
          <w:lang w:val="en-US" w:eastAsia="zh-CN"/>
        </w:rPr>
        <w:t>新建3米高挡墙338米长，1000立方米，新建水沟600米，驼峰过水路面15米，新建混凝土道路285米。</w:t>
      </w:r>
      <w:r>
        <w:rPr>
          <w:rStyle w:val="29"/>
          <w:rFonts w:hint="eastAsia" w:eastAsia="仿宋"/>
          <w:spacing w:val="15"/>
          <w:sz w:val="32"/>
          <w:lang w:val="en-US" w:eastAsia="zh-CN"/>
        </w:rPr>
        <w:t>具体以设计施工为准。</w:t>
      </w:r>
    </w:p>
    <w:p>
      <w:pPr>
        <w:spacing w:line="580" w:lineRule="exact"/>
        <w:ind w:firstLine="700" w:firstLineChars="200"/>
        <w:rPr>
          <w:rStyle w:val="29"/>
          <w:rFonts w:hint="eastAsia" w:eastAsia="仿宋"/>
          <w:b/>
          <w:bCs/>
          <w:spacing w:val="15"/>
          <w:sz w:val="32"/>
          <w:lang w:val="en-US" w:eastAsia="zh-CN"/>
        </w:rPr>
      </w:pPr>
      <w:r>
        <w:rPr>
          <w:rStyle w:val="29"/>
          <w:rFonts w:hint="eastAsia" w:eastAsia="仿宋"/>
          <w:spacing w:val="15"/>
          <w:sz w:val="32"/>
          <w:lang w:val="en-US" w:eastAsia="zh-CN"/>
        </w:rPr>
        <w:t>2、投资规模：项目总投资97</w:t>
      </w:r>
      <w:r>
        <w:rPr>
          <w:rFonts w:eastAsia="仿宋_GB2312"/>
          <w:sz w:val="32"/>
          <w:szCs w:val="32"/>
        </w:rPr>
        <w:t>万元，</w:t>
      </w:r>
      <w:r>
        <w:rPr>
          <w:rFonts w:hint="eastAsia" w:eastAsia="仿宋_GB2312"/>
          <w:sz w:val="32"/>
          <w:szCs w:val="32"/>
          <w:lang w:eastAsia="zh-CN"/>
        </w:rPr>
        <w:t>申请金川县</w:t>
      </w:r>
      <w:r>
        <w:rPr>
          <w:rFonts w:hint="eastAsia" w:eastAsia="仿宋_GB2312"/>
          <w:sz w:val="32"/>
          <w:szCs w:val="32"/>
          <w:lang w:val="en-US" w:eastAsia="zh-CN"/>
        </w:rPr>
        <w:t>2022年重点生态功能区转移支付资金97</w:t>
      </w:r>
      <w:r>
        <w:rPr>
          <w:rFonts w:eastAsia="仿宋_GB2312"/>
          <w:sz w:val="32"/>
          <w:szCs w:val="32"/>
        </w:rPr>
        <w:t>万元。</w:t>
      </w:r>
    </w:p>
    <w:p>
      <w:pPr>
        <w:pStyle w:val="13"/>
        <w:keepNext w:val="0"/>
        <w:keepLines w:val="0"/>
        <w:widowControl/>
        <w:suppressLineNumbers w:val="0"/>
        <w:ind w:left="0" w:firstLine="640"/>
      </w:pPr>
      <w:r>
        <w:rPr>
          <w:rFonts w:hint="eastAsia" w:ascii="黑体" w:eastAsia="黑体" w:cs="黑体"/>
          <w:color w:val="000000"/>
          <w:sz w:val="31"/>
          <w:szCs w:val="31"/>
          <w:lang w:val="en-US" w:eastAsia="zh-CN"/>
        </w:rPr>
        <w:t>二</w:t>
      </w:r>
      <w:r>
        <w:rPr>
          <w:rFonts w:hint="eastAsia" w:ascii="黑体" w:hAnsi="宋体" w:eastAsia="黑体" w:cs="黑体"/>
          <w:color w:val="000000"/>
          <w:sz w:val="31"/>
          <w:szCs w:val="31"/>
        </w:rPr>
        <w:t>、评价工作开展及项目情况</w:t>
      </w:r>
    </w:p>
    <w:p>
      <w:pPr>
        <w:spacing w:line="580" w:lineRule="exact"/>
        <w:ind w:firstLine="640" w:firstLineChars="200"/>
        <w:rPr>
          <w:rFonts w:hint="eastAsia" w:eastAsia="仿宋_GB2312"/>
          <w:sz w:val="32"/>
          <w:szCs w:val="32"/>
          <w:lang w:val="zh-CN" w:eastAsia="zh-CN"/>
        </w:rPr>
      </w:pPr>
      <w:r>
        <w:rPr>
          <w:rFonts w:hint="eastAsia" w:eastAsia="仿宋_GB2312"/>
          <w:sz w:val="32"/>
          <w:szCs w:val="32"/>
          <w:lang w:val="en-US" w:eastAsia="zh-CN"/>
        </w:rPr>
        <w:t>项目开展初期我乡成立由乡党委政府主要负责人寇宏昌为组长的项目领导小组，下设项目实施领导小组、技术保障服务小组、项目资金管理小组、质量监督小组，确保项目</w:t>
      </w:r>
      <w:r>
        <w:rPr>
          <w:rFonts w:hint="eastAsia" w:eastAsia="仿宋_GB2312"/>
          <w:sz w:val="32"/>
          <w:szCs w:val="32"/>
          <w:lang w:val="zh-CN" w:eastAsia="zh-CN"/>
        </w:rPr>
        <w:t>组织管理架构合理有序。</w:t>
      </w:r>
    </w:p>
    <w:p>
      <w:pPr>
        <w:spacing w:line="580" w:lineRule="exact"/>
        <w:ind w:firstLine="640" w:firstLineChars="200"/>
        <w:rPr>
          <w:rFonts w:hint="eastAsia" w:eastAsia="仿宋_GB2312"/>
          <w:sz w:val="32"/>
          <w:szCs w:val="32"/>
          <w:lang w:val="zh-CN" w:eastAsia="zh-CN"/>
        </w:rPr>
      </w:pPr>
      <w:r>
        <w:rPr>
          <w:rFonts w:hint="eastAsia" w:eastAsia="仿宋_GB2312"/>
          <w:sz w:val="32"/>
          <w:szCs w:val="32"/>
          <w:lang w:val="zh-CN" w:eastAsia="zh-CN"/>
        </w:rPr>
        <w:t>本项目资金实行</w:t>
      </w:r>
      <w:r>
        <w:rPr>
          <w:rFonts w:hint="eastAsia" w:eastAsia="仿宋_GB2312"/>
          <w:sz w:val="32"/>
          <w:szCs w:val="32"/>
          <w:lang w:val="en-US" w:eastAsia="zh-CN"/>
        </w:rPr>
        <w:t>单位</w:t>
      </w:r>
      <w:r>
        <w:rPr>
          <w:rFonts w:hint="eastAsia" w:eastAsia="仿宋_GB2312"/>
          <w:sz w:val="32"/>
          <w:szCs w:val="32"/>
          <w:lang w:val="zh-CN" w:eastAsia="zh-CN"/>
        </w:rPr>
        <w:t>报账制度，保障项目资金监管安全有效，我单位还设置</w:t>
      </w:r>
      <w:r>
        <w:rPr>
          <w:rFonts w:hint="eastAsia" w:eastAsia="仿宋_GB2312"/>
          <w:sz w:val="32"/>
          <w:szCs w:val="32"/>
          <w:lang w:val="en-US" w:eastAsia="zh-CN"/>
        </w:rPr>
        <w:t>项目资金管理小组对该项目资金进行监督，经自评，</w:t>
      </w:r>
      <w:r>
        <w:rPr>
          <w:rFonts w:hint="eastAsia" w:eastAsia="仿宋_GB2312"/>
          <w:sz w:val="32"/>
          <w:szCs w:val="32"/>
          <w:lang w:val="zh-CN" w:eastAsia="zh-CN"/>
        </w:rPr>
        <w:t>该项目严格执行财务管理制度、财务处理及时、会计核算规范。</w:t>
      </w:r>
    </w:p>
    <w:p>
      <w:pPr>
        <w:pStyle w:val="2"/>
        <w:rPr>
          <w:rFonts w:hint="eastAsia"/>
          <w:lang w:val="zh-CN" w:eastAsia="zh-CN"/>
        </w:rPr>
      </w:pPr>
    </w:p>
    <w:p>
      <w:pPr>
        <w:pStyle w:val="13"/>
        <w:keepNext w:val="0"/>
        <w:keepLines w:val="0"/>
        <w:widowControl/>
        <w:suppressLineNumbers w:val="0"/>
        <w:ind w:left="0" w:firstLine="640"/>
      </w:pPr>
      <w:r>
        <w:rPr>
          <w:rFonts w:hint="eastAsia" w:ascii="黑体" w:eastAsia="黑体" w:cs="黑体"/>
          <w:color w:val="000000"/>
          <w:sz w:val="31"/>
          <w:szCs w:val="31"/>
          <w:lang w:val="en-US" w:eastAsia="zh-CN"/>
        </w:rPr>
        <w:t>三</w:t>
      </w:r>
      <w:r>
        <w:rPr>
          <w:rFonts w:hint="eastAsia" w:ascii="黑体" w:hAnsi="宋体" w:eastAsia="黑体" w:cs="黑体"/>
          <w:color w:val="000000"/>
          <w:sz w:val="31"/>
          <w:szCs w:val="31"/>
        </w:rPr>
        <w:t>、评价结论及绩效分析</w:t>
      </w:r>
    </w:p>
    <w:p>
      <w:pPr>
        <w:pStyle w:val="13"/>
        <w:keepNext w:val="0"/>
        <w:keepLines w:val="0"/>
        <w:widowControl/>
        <w:suppressLineNumbers w:val="0"/>
        <w:ind w:left="0" w:firstLine="640"/>
      </w:pPr>
      <w:r>
        <w:rPr>
          <w:rFonts w:hint="eastAsia" w:ascii="楷体_GB2312" w:eastAsia="楷体_GB2312" w:cs="楷体_GB2312"/>
          <w:b/>
          <w:color w:val="000000"/>
          <w:sz w:val="31"/>
          <w:szCs w:val="31"/>
        </w:rPr>
        <w:t>（一）评价结论</w:t>
      </w:r>
    </w:p>
    <w:p>
      <w:pPr>
        <w:keepNext w:val="0"/>
        <w:keepLines w:val="0"/>
        <w:pageBreakBefore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宋体" w:cs="Times New Roman"/>
          <w:color w:val="auto"/>
          <w:kern w:val="2"/>
          <w:sz w:val="32"/>
          <w:szCs w:val="32"/>
          <w:lang w:val="en-US" w:eastAsia="zh-CN" w:bidi="ar-SA"/>
        </w:rPr>
      </w:pPr>
      <w:r>
        <w:rPr>
          <w:rFonts w:hint="eastAsia" w:ascii="仿宋_GB2312" w:hAnsi="宋体" w:cs="Times New Roman"/>
          <w:color w:val="auto"/>
          <w:kern w:val="2"/>
          <w:sz w:val="32"/>
          <w:szCs w:val="32"/>
          <w:lang w:val="zh-CN" w:eastAsia="zh-CN" w:bidi="ar-SA"/>
        </w:rPr>
        <w:t>经自查，项目在时间及成本上控制较为合理</w:t>
      </w:r>
      <w:r>
        <w:rPr>
          <w:rFonts w:hint="eastAsia" w:ascii="仿宋_GB2312" w:hAnsi="宋体" w:cs="Times New Roman"/>
          <w:color w:val="auto"/>
          <w:kern w:val="2"/>
          <w:sz w:val="32"/>
          <w:szCs w:val="32"/>
          <w:lang w:val="en-US" w:eastAsia="zh-CN" w:bidi="ar-SA"/>
        </w:rPr>
        <w:t>；能保障当地群众出行安全、方便出行；可带动当地群众饲养牲畜及苗木出售；受益贫困人口满意度在95%以上，符合最初项目绩效目标。</w:t>
      </w:r>
    </w:p>
    <w:p>
      <w:pPr>
        <w:pStyle w:val="13"/>
        <w:keepNext w:val="0"/>
        <w:keepLines w:val="0"/>
        <w:widowControl/>
        <w:suppressLineNumbers w:val="0"/>
        <w:ind w:left="0" w:firstLine="640"/>
      </w:pPr>
      <w:r>
        <w:rPr>
          <w:rFonts w:hint="eastAsia" w:ascii="楷体_GB2312" w:eastAsia="楷体_GB2312" w:cs="楷体_GB2312"/>
          <w:b/>
          <w:color w:val="000000"/>
          <w:sz w:val="31"/>
          <w:szCs w:val="31"/>
        </w:rPr>
        <w:t>（二）绩效分析</w:t>
      </w:r>
    </w:p>
    <w:p>
      <w:pPr>
        <w:pStyle w:val="13"/>
        <w:keepNext w:val="0"/>
        <w:keepLines w:val="0"/>
        <w:widowControl/>
        <w:suppressLineNumbers w:val="0"/>
        <w:ind w:left="0" w:firstLine="640"/>
      </w:pPr>
      <w:r>
        <w:rPr>
          <w:rFonts w:hint="eastAsia" w:ascii="仿宋_GB2312" w:eastAsia="仿宋_GB2312" w:cs="仿宋_GB2312"/>
          <w:color w:val="000000"/>
          <w:sz w:val="31"/>
          <w:szCs w:val="31"/>
        </w:rPr>
        <w:t>1.项目决策</w:t>
      </w:r>
    </w:p>
    <w:p>
      <w:pPr>
        <w:pStyle w:val="13"/>
        <w:keepNext w:val="0"/>
        <w:keepLines w:val="0"/>
        <w:widowControl/>
        <w:suppressLineNumbers w:val="0"/>
        <w:ind w:left="0" w:firstLine="640"/>
      </w:pPr>
      <w:r>
        <w:rPr>
          <w:rFonts w:hint="eastAsia" w:ascii="仿宋" w:hAnsi="仿宋" w:eastAsia="仿宋" w:cs="仿宋"/>
          <w:kern w:val="0"/>
          <w:sz w:val="32"/>
          <w:szCs w:val="32"/>
          <w:lang w:val="zh-CN" w:eastAsia="zh-CN"/>
        </w:rPr>
        <w:t>为有效巩固拓展脱贫攻坚成果同乡村振兴有效衔接，保障群众基础交通通行。河东乡旦甲木足村通村路全长</w:t>
      </w:r>
      <w:r>
        <w:rPr>
          <w:rFonts w:hint="eastAsia" w:ascii="仿宋" w:hAnsi="仿宋" w:eastAsia="仿宋" w:cs="仿宋"/>
          <w:kern w:val="0"/>
          <w:sz w:val="32"/>
          <w:szCs w:val="32"/>
          <w:lang w:val="en-US" w:eastAsia="zh-CN"/>
        </w:rPr>
        <w:t>18.3公里，2020年受极端天气影响，持续强降雨导致通村路损毁严重，地质灾害频发，影响道路通行和群众进出运输</w:t>
      </w:r>
      <w:r>
        <w:rPr>
          <w:rFonts w:hint="eastAsia" w:ascii="仿宋" w:hAnsi="仿宋" w:eastAsia="仿宋" w:cs="仿宋"/>
          <w:kern w:val="0"/>
          <w:sz w:val="32"/>
          <w:szCs w:val="32"/>
          <w:lang w:val="zh-CN" w:eastAsia="zh-CN"/>
        </w:rPr>
        <w:t>。通过项目实施有效保障群众生命财产安全，进一步提高群众耕种积极性，提高群众收入，实现民族地区经济跨越发展、社会长治久安。</w:t>
      </w:r>
      <w:r>
        <w:rPr>
          <w:rFonts w:hint="eastAsia" w:ascii="仿宋_GB2312" w:eastAsia="仿宋_GB2312" w:cs="仿宋_GB2312"/>
          <w:color w:val="000000"/>
          <w:sz w:val="31"/>
          <w:szCs w:val="31"/>
        </w:rPr>
        <w:t>2.项目实施</w:t>
      </w:r>
    </w:p>
    <w:p>
      <w:pPr>
        <w:pStyle w:val="13"/>
        <w:keepNext w:val="0"/>
        <w:keepLines w:val="0"/>
        <w:widowControl/>
        <w:suppressLineNumbers w:val="0"/>
        <w:ind w:left="0" w:firstLine="640"/>
        <w:rPr>
          <w:rFonts w:hint="default" w:ascii="仿宋_GB2312" w:hAnsi="宋体" w:eastAsia="仿宋_GB2312" w:cs="仿宋_GB2312"/>
          <w:color w:val="000000"/>
          <w:sz w:val="31"/>
          <w:szCs w:val="31"/>
          <w:lang w:val="en-US" w:eastAsia="zh-CN"/>
        </w:rPr>
      </w:pPr>
      <w:r>
        <w:rPr>
          <w:rFonts w:hint="eastAsia" w:ascii="仿宋_GB2312" w:hAnsi="宋体" w:eastAsia="仿宋_GB2312" w:cs="仿宋_GB2312"/>
          <w:color w:val="000000"/>
          <w:sz w:val="31"/>
          <w:szCs w:val="31"/>
          <w:lang w:val="en-US" w:eastAsia="zh-CN"/>
        </w:rPr>
        <w:t>该项目四川创兴博建筑工程有限公司金川分公司为中标候选人，成交金额93.2万元，首先通过乡村初步验收，然后通过第三方公司和县级验收，拨付97%工程款，暂扣3%质保金。</w:t>
      </w:r>
    </w:p>
    <w:p>
      <w:pPr>
        <w:pStyle w:val="13"/>
        <w:keepNext w:val="0"/>
        <w:keepLines w:val="0"/>
        <w:widowControl/>
        <w:suppressLineNumbers w:val="0"/>
        <w:ind w:left="0" w:firstLine="640"/>
      </w:pPr>
      <w:r>
        <w:rPr>
          <w:rFonts w:hint="eastAsia" w:ascii="仿宋_GB2312" w:eastAsia="仿宋_GB2312" w:cs="仿宋_GB2312"/>
          <w:color w:val="000000"/>
          <w:sz w:val="31"/>
          <w:szCs w:val="31"/>
        </w:rPr>
        <w:t>3.项目绩效</w:t>
      </w:r>
    </w:p>
    <w:p>
      <w:pPr>
        <w:pStyle w:val="13"/>
        <w:keepNext w:val="0"/>
        <w:keepLines w:val="0"/>
        <w:widowControl/>
        <w:suppressLineNumbers w:val="0"/>
        <w:ind w:left="0" w:firstLine="640"/>
        <w:rPr>
          <w:rFonts w:hint="default" w:ascii="仿宋_GB2312" w:hAnsi="宋体" w:eastAsia="仿宋_GB2312" w:cs="仿宋_GB2312"/>
          <w:color w:val="000000"/>
          <w:sz w:val="31"/>
          <w:szCs w:val="31"/>
          <w:lang w:val="en-US" w:eastAsia="zh-CN"/>
        </w:rPr>
      </w:pPr>
      <w:r>
        <w:rPr>
          <w:rFonts w:hint="eastAsia" w:ascii="仿宋_GB2312" w:hAnsi="宋体" w:eastAsia="仿宋_GB2312" w:cs="仿宋_GB2312"/>
          <w:color w:val="000000"/>
          <w:sz w:val="31"/>
          <w:szCs w:val="31"/>
          <w:lang w:val="zh-CN" w:eastAsia="zh-CN"/>
        </w:rPr>
        <w:t>经自查</w:t>
      </w:r>
      <w:r>
        <w:rPr>
          <w:rFonts w:hint="eastAsia" w:ascii="仿宋_GB2312" w:hAnsi="宋体" w:eastAsia="仿宋_GB2312" w:cs="仿宋_GB2312"/>
          <w:color w:val="000000"/>
          <w:sz w:val="31"/>
          <w:szCs w:val="31"/>
          <w:lang w:val="en-US" w:eastAsia="zh-CN"/>
        </w:rPr>
        <w:t>项目完成绩效与事前绩效评估一致，无较大出入</w:t>
      </w:r>
    </w:p>
    <w:tbl>
      <w:tblPr>
        <w:tblStyle w:val="15"/>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93"/>
        <w:gridCol w:w="1836"/>
        <w:gridCol w:w="2016"/>
        <w:gridCol w:w="1360"/>
        <w:gridCol w:w="877"/>
        <w:gridCol w:w="93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0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等线" w:hAnsi="等线" w:eastAsia="等线" w:cs="等线"/>
                <w:b/>
                <w:bCs/>
                <w:i w:val="0"/>
                <w:iCs w:val="0"/>
                <w:color w:val="000000"/>
                <w:sz w:val="18"/>
                <w:szCs w:val="18"/>
                <w:u w:val="none"/>
              </w:rPr>
            </w:pPr>
            <w:r>
              <w:rPr>
                <w:rFonts w:hint="eastAsia" w:ascii="等线" w:hAnsi="等线" w:eastAsia="等线" w:cs="等线"/>
                <w:b/>
                <w:bCs/>
                <w:i w:val="0"/>
                <w:iCs w:val="0"/>
                <w:color w:val="000000"/>
                <w:kern w:val="0"/>
                <w:sz w:val="18"/>
                <w:szCs w:val="18"/>
                <w:u w:val="none"/>
                <w:lang w:val="en-US" w:eastAsia="zh-CN" w:bidi="ar"/>
              </w:rPr>
              <w:t>一级指标</w:t>
            </w:r>
          </w:p>
        </w:tc>
        <w:tc>
          <w:tcPr>
            <w:tcW w:w="8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18"/>
                <w:szCs w:val="18"/>
                <w:u w:val="none"/>
              </w:rPr>
            </w:pPr>
            <w:r>
              <w:rPr>
                <w:rFonts w:hint="eastAsia" w:ascii="等线" w:hAnsi="等线" w:eastAsia="等线" w:cs="等线"/>
                <w:b/>
                <w:bCs/>
                <w:i w:val="0"/>
                <w:iCs w:val="0"/>
                <w:color w:val="000000"/>
                <w:kern w:val="0"/>
                <w:sz w:val="18"/>
                <w:szCs w:val="18"/>
                <w:u w:val="none"/>
                <w:lang w:val="en-US" w:eastAsia="zh-CN" w:bidi="ar"/>
              </w:rPr>
              <w:t>二级指标</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18"/>
                <w:szCs w:val="18"/>
                <w:u w:val="none"/>
              </w:rPr>
            </w:pPr>
            <w:r>
              <w:rPr>
                <w:rFonts w:hint="eastAsia" w:ascii="等线" w:hAnsi="等线" w:eastAsia="等线" w:cs="等线"/>
                <w:b/>
                <w:bCs/>
                <w:i w:val="0"/>
                <w:iCs w:val="0"/>
                <w:color w:val="000000"/>
                <w:kern w:val="0"/>
                <w:sz w:val="18"/>
                <w:szCs w:val="18"/>
                <w:u w:val="none"/>
                <w:lang w:val="en-US" w:eastAsia="zh-CN" w:bidi="ar"/>
              </w:rPr>
              <w:t>三级指标</w:t>
            </w:r>
          </w:p>
        </w:tc>
        <w:tc>
          <w:tcPr>
            <w:tcW w:w="9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18"/>
                <w:szCs w:val="18"/>
                <w:u w:val="none"/>
              </w:rPr>
            </w:pPr>
            <w:r>
              <w:rPr>
                <w:rFonts w:hint="eastAsia" w:ascii="等线" w:hAnsi="等线" w:eastAsia="等线" w:cs="等线"/>
                <w:b/>
                <w:bCs/>
                <w:i w:val="0"/>
                <w:iCs w:val="0"/>
                <w:color w:val="000000"/>
                <w:kern w:val="0"/>
                <w:sz w:val="18"/>
                <w:szCs w:val="18"/>
                <w:u w:val="none"/>
                <w:lang w:val="en-US" w:eastAsia="zh-CN" w:bidi="ar"/>
              </w:rPr>
              <w:t>指标性质</w:t>
            </w:r>
          </w:p>
        </w:tc>
        <w:tc>
          <w:tcPr>
            <w:tcW w:w="6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18"/>
                <w:szCs w:val="18"/>
                <w:u w:val="none"/>
              </w:rPr>
            </w:pPr>
            <w:r>
              <w:rPr>
                <w:rFonts w:hint="eastAsia" w:ascii="等线" w:hAnsi="等线" w:eastAsia="等线" w:cs="等线"/>
                <w:b/>
                <w:bCs/>
                <w:i w:val="0"/>
                <w:iCs w:val="0"/>
                <w:color w:val="000000"/>
                <w:kern w:val="0"/>
                <w:sz w:val="18"/>
                <w:szCs w:val="18"/>
                <w:u w:val="none"/>
                <w:lang w:val="en-US" w:eastAsia="zh-CN" w:bidi="ar"/>
              </w:rPr>
              <w:t>指标值</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18"/>
                <w:szCs w:val="18"/>
                <w:u w:val="none"/>
              </w:rPr>
            </w:pPr>
            <w:r>
              <w:rPr>
                <w:rFonts w:hint="eastAsia" w:ascii="等线" w:hAnsi="等线" w:eastAsia="等线" w:cs="等线"/>
                <w:b/>
                <w:bCs/>
                <w:i w:val="0"/>
                <w:iCs w:val="0"/>
                <w:color w:val="000000"/>
                <w:kern w:val="0"/>
                <w:sz w:val="18"/>
                <w:szCs w:val="18"/>
                <w:u w:val="none"/>
                <w:lang w:val="en-US" w:eastAsia="zh-CN" w:bidi="ar"/>
              </w:rPr>
              <w:t>度量单位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0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产出指标</w:t>
            </w:r>
          </w:p>
        </w:tc>
        <w:tc>
          <w:tcPr>
            <w:tcW w:w="8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数量指标</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新建驼峰过水路面</w:t>
            </w:r>
          </w:p>
        </w:tc>
        <w:tc>
          <w:tcPr>
            <w:tcW w:w="9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w:t>
            </w:r>
          </w:p>
        </w:tc>
        <w:tc>
          <w:tcPr>
            <w:tcW w:w="6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15</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10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产出指标</w:t>
            </w:r>
          </w:p>
        </w:tc>
        <w:tc>
          <w:tcPr>
            <w:tcW w:w="8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数量指标</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新建混凝土道路</w:t>
            </w:r>
          </w:p>
        </w:tc>
        <w:tc>
          <w:tcPr>
            <w:tcW w:w="9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w:t>
            </w:r>
          </w:p>
        </w:tc>
        <w:tc>
          <w:tcPr>
            <w:tcW w:w="6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285</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0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产出指标</w:t>
            </w:r>
          </w:p>
        </w:tc>
        <w:tc>
          <w:tcPr>
            <w:tcW w:w="8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数量指标</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新建三米高挡墙</w:t>
            </w:r>
          </w:p>
        </w:tc>
        <w:tc>
          <w:tcPr>
            <w:tcW w:w="9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w:t>
            </w:r>
          </w:p>
        </w:tc>
        <w:tc>
          <w:tcPr>
            <w:tcW w:w="6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1000</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立方米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0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产出指标</w:t>
            </w:r>
          </w:p>
        </w:tc>
        <w:tc>
          <w:tcPr>
            <w:tcW w:w="8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数量指标</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新建三米高挡墙</w:t>
            </w:r>
          </w:p>
        </w:tc>
        <w:tc>
          <w:tcPr>
            <w:tcW w:w="9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w:t>
            </w:r>
          </w:p>
        </w:tc>
        <w:tc>
          <w:tcPr>
            <w:tcW w:w="6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338</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0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产出指标</w:t>
            </w:r>
          </w:p>
        </w:tc>
        <w:tc>
          <w:tcPr>
            <w:tcW w:w="8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数量指标</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新建水沟</w:t>
            </w:r>
          </w:p>
        </w:tc>
        <w:tc>
          <w:tcPr>
            <w:tcW w:w="9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w:t>
            </w:r>
          </w:p>
        </w:tc>
        <w:tc>
          <w:tcPr>
            <w:tcW w:w="6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600</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10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产出指标</w:t>
            </w:r>
          </w:p>
        </w:tc>
        <w:tc>
          <w:tcPr>
            <w:tcW w:w="8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时效指标</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工程按时完工率</w:t>
            </w:r>
          </w:p>
        </w:tc>
        <w:tc>
          <w:tcPr>
            <w:tcW w:w="9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w:t>
            </w:r>
          </w:p>
        </w:tc>
        <w:tc>
          <w:tcPr>
            <w:tcW w:w="6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98</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0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产出指标</w:t>
            </w:r>
          </w:p>
        </w:tc>
        <w:tc>
          <w:tcPr>
            <w:tcW w:w="8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质量指标</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工程验收合格</w:t>
            </w:r>
          </w:p>
        </w:tc>
        <w:tc>
          <w:tcPr>
            <w:tcW w:w="9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w:t>
            </w:r>
          </w:p>
        </w:tc>
        <w:tc>
          <w:tcPr>
            <w:tcW w:w="6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98</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0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效益指标</w:t>
            </w:r>
          </w:p>
        </w:tc>
        <w:tc>
          <w:tcPr>
            <w:tcW w:w="8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经济效益指标</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带动群众增收</w:t>
            </w:r>
          </w:p>
        </w:tc>
        <w:tc>
          <w:tcPr>
            <w:tcW w:w="9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w:t>
            </w:r>
          </w:p>
        </w:tc>
        <w:tc>
          <w:tcPr>
            <w:tcW w:w="6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8</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0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效益指标</w:t>
            </w:r>
          </w:p>
        </w:tc>
        <w:tc>
          <w:tcPr>
            <w:tcW w:w="8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经济效益指标</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持续带动周边群众增收</w:t>
            </w:r>
          </w:p>
        </w:tc>
        <w:tc>
          <w:tcPr>
            <w:tcW w:w="9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w:t>
            </w:r>
          </w:p>
        </w:tc>
        <w:tc>
          <w:tcPr>
            <w:tcW w:w="6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5</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10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满意度指标</w:t>
            </w:r>
          </w:p>
        </w:tc>
        <w:tc>
          <w:tcPr>
            <w:tcW w:w="8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服务对象满意度指标</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群众满意度</w:t>
            </w:r>
          </w:p>
        </w:tc>
        <w:tc>
          <w:tcPr>
            <w:tcW w:w="9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w:t>
            </w:r>
          </w:p>
        </w:tc>
        <w:tc>
          <w:tcPr>
            <w:tcW w:w="6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95</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0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成本指标</w:t>
            </w:r>
          </w:p>
        </w:tc>
        <w:tc>
          <w:tcPr>
            <w:tcW w:w="8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经济成本指标</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建设成本</w:t>
            </w:r>
          </w:p>
        </w:tc>
        <w:tc>
          <w:tcPr>
            <w:tcW w:w="9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w:t>
            </w:r>
          </w:p>
        </w:tc>
        <w:tc>
          <w:tcPr>
            <w:tcW w:w="6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97</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万元</w:t>
            </w:r>
          </w:p>
        </w:tc>
      </w:tr>
    </w:tbl>
    <w:p>
      <w:pPr>
        <w:keepNext w:val="0"/>
        <w:keepLines w:val="0"/>
        <w:pageBreakBefore w:val="0"/>
        <w:numPr>
          <w:ilvl w:val="0"/>
          <w:numId w:val="0"/>
        </w:numPr>
        <w:kinsoku/>
        <w:wordWrap/>
        <w:overflowPunct/>
        <w:topLinePunct w:val="0"/>
        <w:autoSpaceDE/>
        <w:autoSpaceDN/>
        <w:bidi w:val="0"/>
        <w:adjustRightInd w:val="0"/>
        <w:snapToGrid w:val="0"/>
        <w:spacing w:line="600" w:lineRule="exact"/>
        <w:ind w:firstLine="420" w:firstLineChars="200"/>
        <w:textAlignment w:val="auto"/>
        <w:rPr>
          <w:rFonts w:hint="eastAsia" w:ascii="仿宋_GB2312" w:hAnsi="宋体"/>
          <w:color w:val="auto"/>
          <w:lang w:val="zh-CN"/>
        </w:rPr>
      </w:pPr>
    </w:p>
    <w:p>
      <w:pPr>
        <w:pStyle w:val="13"/>
        <w:keepNext w:val="0"/>
        <w:keepLines w:val="0"/>
        <w:widowControl/>
        <w:numPr>
          <w:ilvl w:val="0"/>
          <w:numId w:val="0"/>
        </w:numPr>
        <w:suppressLineNumbers w:val="0"/>
        <w:ind w:left="640" w:leftChars="0"/>
        <w:rPr>
          <w:rFonts w:hint="eastAsia" w:ascii="黑体" w:hAnsi="宋体" w:eastAsia="黑体" w:cs="黑体"/>
          <w:color w:val="000000"/>
          <w:sz w:val="31"/>
          <w:szCs w:val="31"/>
        </w:rPr>
      </w:pPr>
      <w:r>
        <w:rPr>
          <w:rFonts w:hint="eastAsia" w:ascii="黑体" w:eastAsia="黑体" w:cs="黑体"/>
          <w:color w:val="000000"/>
          <w:sz w:val="31"/>
          <w:szCs w:val="31"/>
          <w:lang w:val="en-US" w:eastAsia="zh-CN"/>
        </w:rPr>
        <w:t>四、</w:t>
      </w:r>
      <w:r>
        <w:rPr>
          <w:rFonts w:hint="eastAsia" w:ascii="黑体" w:hAnsi="宋体" w:eastAsia="黑体" w:cs="黑体"/>
          <w:color w:val="000000"/>
          <w:sz w:val="31"/>
          <w:szCs w:val="31"/>
        </w:rPr>
        <w:t>存在主要问题</w:t>
      </w:r>
    </w:p>
    <w:p>
      <w:pPr>
        <w:pStyle w:val="13"/>
        <w:keepNext w:val="0"/>
        <w:keepLines w:val="0"/>
        <w:widowControl/>
        <w:suppressLineNumbers w:val="0"/>
        <w:ind w:left="0" w:firstLine="640"/>
        <w:rPr>
          <w:rFonts w:hint="eastAsia" w:ascii="黑体" w:hAnsi="宋体" w:eastAsia="黑体" w:cs="黑体"/>
          <w:color w:val="000000"/>
          <w:sz w:val="31"/>
          <w:szCs w:val="31"/>
        </w:rPr>
      </w:pPr>
      <w:r>
        <w:rPr>
          <w:rFonts w:hint="eastAsia" w:ascii="仿宋_GB2312" w:hAnsi="宋体" w:eastAsia="仿宋_GB2312" w:cs="仿宋_GB2312"/>
          <w:color w:val="000000"/>
          <w:sz w:val="31"/>
          <w:szCs w:val="31"/>
          <w:lang w:val="en-US" w:eastAsia="zh-CN"/>
        </w:rPr>
        <w:t>一是项目前期规划还不细、绩效分析还不精准，造成前期要件办理慢，推进迟缓；二是项目建成后，无相应配套设施及后续管护措施不全，造成项目效益发挥不佳。</w:t>
      </w:r>
    </w:p>
    <w:p>
      <w:pPr>
        <w:pStyle w:val="13"/>
        <w:keepNext w:val="0"/>
        <w:keepLines w:val="0"/>
        <w:widowControl/>
        <w:numPr>
          <w:ilvl w:val="0"/>
          <w:numId w:val="9"/>
        </w:numPr>
        <w:suppressLineNumbers w:val="0"/>
        <w:ind w:left="0" w:leftChars="0" w:firstLine="640" w:firstLineChars="0"/>
        <w:rPr>
          <w:rFonts w:hint="eastAsia" w:ascii="黑体" w:hAnsi="宋体" w:eastAsia="黑体" w:cs="黑体"/>
          <w:color w:val="000000"/>
          <w:sz w:val="31"/>
          <w:szCs w:val="31"/>
        </w:rPr>
      </w:pPr>
      <w:r>
        <w:rPr>
          <w:rFonts w:hint="eastAsia" w:ascii="黑体" w:hAnsi="宋体" w:eastAsia="黑体" w:cs="黑体"/>
          <w:color w:val="000000"/>
          <w:sz w:val="31"/>
          <w:szCs w:val="31"/>
        </w:rPr>
        <w:t>相关措施建议</w:t>
      </w:r>
    </w:p>
    <w:p>
      <w:pPr>
        <w:pStyle w:val="13"/>
        <w:keepNext w:val="0"/>
        <w:keepLines w:val="0"/>
        <w:widowControl/>
        <w:suppressLineNumbers w:val="0"/>
        <w:ind w:left="0" w:firstLine="640"/>
        <w:rPr>
          <w:rFonts w:hint="eastAsia" w:ascii="仿宋_GB2312" w:hAnsi="宋体" w:eastAsia="仿宋_GB2312" w:cs="仿宋_GB2312"/>
          <w:color w:val="000000"/>
          <w:sz w:val="31"/>
          <w:szCs w:val="31"/>
          <w:lang w:val="en-US" w:eastAsia="zh-CN"/>
        </w:rPr>
      </w:pPr>
      <w:r>
        <w:rPr>
          <w:rFonts w:hint="eastAsia" w:ascii="仿宋_GB2312" w:hAnsi="宋体" w:eastAsia="仿宋_GB2312" w:cs="仿宋_GB2312"/>
          <w:color w:val="000000"/>
          <w:sz w:val="31"/>
          <w:szCs w:val="31"/>
          <w:lang w:val="zh-CN" w:eastAsia="zh-CN"/>
        </w:rPr>
        <w:t>提出项目(相关政策)改进完善的建议意见。</w:t>
      </w:r>
      <w:r>
        <w:rPr>
          <w:rFonts w:hint="eastAsia" w:ascii="仿宋_GB2312" w:hAnsi="宋体" w:eastAsia="仿宋_GB2312" w:cs="仿宋_GB2312"/>
          <w:color w:val="000000"/>
          <w:sz w:val="31"/>
          <w:szCs w:val="31"/>
          <w:lang w:val="en-US" w:eastAsia="zh-CN"/>
        </w:rPr>
        <w:t>在下阶段工作中，我乡将以此次自评工作为契机，从严从细抓好项目实施及绩效管理。一是明确责任、强化组织领导。我乡将继续同各上级部门沟通协调，发挥党委政府组织领导作用，以包村工作组为主要抓手，树牢资金使用绩效意识。二是对照问题、加快问题解决。针对项目前期规划不细、定位不准造成要件办理慢等问题，我乡将在项目申报前，仔细项目定位、对实施地点、内容及方式认真谋划，仔细评估，加快项目前期办理速度。三是科学管理、确保项目落地见效。我乡将提高项目科学管理水平，严格按照项目建设流程，依法依规实施项目建设，对项目设计、财评、实施等重要环节严格把关，保质保量完成项目建设，确保实施项目尽早落地见效，提高财政资金使用绩效。</w:t>
      </w:r>
    </w:p>
    <w:p>
      <w:pPr>
        <w:pageBreakBefore w:val="0"/>
        <w:widowControl/>
        <w:kinsoku/>
        <w:wordWrap/>
        <w:overflowPunct/>
        <w:topLinePunct w:val="0"/>
        <w:bidi w:val="0"/>
        <w:spacing w:line="576" w:lineRule="exact"/>
        <w:jc w:val="left"/>
        <w:rPr>
          <w:rStyle w:val="19"/>
          <w:rFonts w:ascii="Times New Roman" w:hAnsi="Times New Roman" w:eastAsia="黑体" w:cs="Times New Roman"/>
          <w:b w:val="0"/>
        </w:rPr>
      </w:pPr>
      <w:r>
        <w:rPr>
          <w:rStyle w:val="19"/>
          <w:rFonts w:ascii="Times New Roman" w:hAnsi="Times New Roman" w:eastAsia="黑体" w:cs="Times New Roman"/>
          <w:b w:val="0"/>
        </w:rPr>
        <w:br w:type="page"/>
      </w:r>
    </w:p>
    <w:p>
      <w:pPr>
        <w:keepNext w:val="0"/>
        <w:keepLines w:val="0"/>
        <w:widowControl/>
        <w:suppressLineNumbers w:val="0"/>
        <w:jc w:val="center"/>
      </w:pPr>
      <w:bookmarkStart w:id="54" w:name="_Toc26843625"/>
      <w:bookmarkStart w:id="55" w:name="_Toc15396618"/>
      <w:r>
        <w:rPr>
          <w:rFonts w:hint="eastAsia" w:ascii="仿宋_GB2312" w:hAnsi="宋体" w:eastAsia="仿宋_GB2312" w:cs="仿宋_GB2312"/>
          <w:color w:val="000000"/>
          <w:kern w:val="0"/>
          <w:sz w:val="31"/>
          <w:szCs w:val="31"/>
          <w:lang w:val="en-US" w:eastAsia="zh-CN" w:bidi="ar"/>
        </w:rPr>
        <w:t>（金川县河东乡结木村嘎尖草坪旅游接待民宿及其配套设施建设项目）</w:t>
      </w:r>
    </w:p>
    <w:p>
      <w:pPr>
        <w:numPr>
          <w:ilvl w:val="0"/>
          <w:numId w:val="8"/>
        </w:numPr>
        <w:spacing w:line="360" w:lineRule="auto"/>
        <w:ind w:firstLine="620" w:firstLineChars="200"/>
        <w:rPr>
          <w:rFonts w:hint="eastAsia" w:ascii="黑体" w:hAnsi="宋体" w:eastAsia="黑体" w:cs="黑体"/>
          <w:color w:val="000000"/>
          <w:sz w:val="31"/>
          <w:szCs w:val="31"/>
        </w:rPr>
      </w:pPr>
      <w:r>
        <w:rPr>
          <w:rFonts w:hint="eastAsia" w:ascii="黑体" w:hAnsi="宋体" w:eastAsia="黑体" w:cs="黑体"/>
          <w:color w:val="000000"/>
          <w:sz w:val="31"/>
          <w:szCs w:val="31"/>
        </w:rPr>
        <w:t>内容摘要</w:t>
      </w:r>
    </w:p>
    <w:p>
      <w:pPr>
        <w:numPr>
          <w:ilvl w:val="0"/>
          <w:numId w:val="0"/>
        </w:numPr>
        <w:spacing w:line="360" w:lineRule="auto"/>
        <w:ind w:firstLine="643" w:firstLineChars="200"/>
        <w:rPr>
          <w:rStyle w:val="29"/>
          <w:rFonts w:hint="eastAsia" w:eastAsia="仿宋"/>
          <w:spacing w:val="15"/>
          <w:sz w:val="32"/>
          <w:lang w:val="en-US" w:eastAsia="zh-CN"/>
        </w:rPr>
      </w:pPr>
      <w:r>
        <w:rPr>
          <w:rFonts w:hint="eastAsia" w:ascii="仿宋" w:hAnsi="仿宋" w:eastAsia="仿宋" w:cs="仿宋"/>
          <w:b/>
          <w:bCs/>
          <w:kern w:val="0"/>
          <w:sz w:val="32"/>
          <w:szCs w:val="32"/>
          <w:lang w:val="en-US" w:eastAsia="zh-CN"/>
        </w:rPr>
        <w:t>1、</w:t>
      </w:r>
      <w:r>
        <w:rPr>
          <w:rFonts w:hint="eastAsia" w:ascii="仿宋" w:hAnsi="仿宋" w:eastAsia="仿宋" w:cs="仿宋"/>
          <w:kern w:val="0"/>
          <w:sz w:val="32"/>
          <w:szCs w:val="32"/>
          <w:lang w:val="en-US" w:eastAsia="zh-CN"/>
        </w:rPr>
        <w:t>新建3米高挡墙338米长，1000立方米，新建水沟600米，驼峰过水路面15米，新建混凝土道路285米。</w:t>
      </w:r>
      <w:r>
        <w:rPr>
          <w:rStyle w:val="29"/>
          <w:rFonts w:hint="eastAsia" w:eastAsia="仿宋"/>
          <w:spacing w:val="15"/>
          <w:sz w:val="32"/>
          <w:lang w:val="en-US" w:eastAsia="zh-CN"/>
        </w:rPr>
        <w:t>具体以设计施工为准。</w:t>
      </w:r>
    </w:p>
    <w:p>
      <w:pPr>
        <w:ind w:firstLine="700" w:firstLineChars="200"/>
        <w:rPr>
          <w:rStyle w:val="29"/>
          <w:rFonts w:hint="eastAsia" w:eastAsia="仿宋"/>
          <w:b/>
          <w:bCs/>
          <w:spacing w:val="15"/>
          <w:sz w:val="32"/>
          <w:lang w:val="en-US" w:eastAsia="zh-CN"/>
        </w:rPr>
      </w:pPr>
      <w:r>
        <w:rPr>
          <w:rStyle w:val="29"/>
          <w:rFonts w:hint="eastAsia" w:eastAsia="仿宋"/>
          <w:spacing w:val="15"/>
          <w:sz w:val="32"/>
          <w:lang w:val="en-US" w:eastAsia="zh-CN"/>
        </w:rPr>
        <w:t>2、投资规模：</w:t>
      </w:r>
      <w:r>
        <w:rPr>
          <w:rFonts w:hint="eastAsia" w:ascii="仿宋" w:hAnsi="仿宋" w:eastAsia="仿宋"/>
          <w:sz w:val="32"/>
          <w:szCs w:val="32"/>
        </w:rPr>
        <w:t>项目总投资</w:t>
      </w:r>
      <w:r>
        <w:rPr>
          <w:rFonts w:hint="eastAsia" w:ascii="仿宋" w:hAnsi="仿宋" w:eastAsia="仿宋"/>
          <w:sz w:val="32"/>
          <w:szCs w:val="32"/>
          <w:lang w:val="en-US" w:eastAsia="zh-CN"/>
        </w:rPr>
        <w:t>98</w:t>
      </w:r>
      <w:r>
        <w:rPr>
          <w:rFonts w:hint="eastAsia" w:ascii="仿宋" w:hAnsi="仿宋" w:eastAsia="仿宋"/>
          <w:sz w:val="32"/>
          <w:szCs w:val="32"/>
        </w:rPr>
        <w:t>万元。资金来源为</w:t>
      </w:r>
      <w:r>
        <w:rPr>
          <w:rFonts w:hint="eastAsia" w:ascii="Times New Roman" w:hAnsi="Times New Roman" w:eastAsia="仿宋_GB2312"/>
          <w:sz w:val="32"/>
          <w:szCs w:val="32"/>
          <w:lang w:val="en-US" w:eastAsia="zh-CN"/>
        </w:rPr>
        <w:t xml:space="preserve">浙江援建资金 </w:t>
      </w:r>
      <w:r>
        <w:rPr>
          <w:rFonts w:hint="eastAsia" w:ascii="仿宋" w:hAnsi="仿宋" w:eastAsia="仿宋"/>
          <w:sz w:val="32"/>
          <w:szCs w:val="32"/>
        </w:rPr>
        <w:t>。</w:t>
      </w:r>
    </w:p>
    <w:p>
      <w:pPr>
        <w:pStyle w:val="13"/>
        <w:keepNext w:val="0"/>
        <w:keepLines w:val="0"/>
        <w:widowControl/>
        <w:suppressLineNumbers w:val="0"/>
        <w:ind w:left="0" w:firstLine="640"/>
      </w:pPr>
      <w:r>
        <w:rPr>
          <w:rFonts w:hint="eastAsia" w:ascii="黑体" w:eastAsia="黑体" w:cs="黑体"/>
          <w:color w:val="000000"/>
          <w:sz w:val="31"/>
          <w:szCs w:val="31"/>
          <w:lang w:val="en-US" w:eastAsia="zh-CN"/>
        </w:rPr>
        <w:t>二</w:t>
      </w:r>
      <w:r>
        <w:rPr>
          <w:rFonts w:hint="eastAsia" w:ascii="黑体" w:hAnsi="宋体" w:eastAsia="黑体" w:cs="黑体"/>
          <w:color w:val="000000"/>
          <w:sz w:val="31"/>
          <w:szCs w:val="31"/>
        </w:rPr>
        <w:t>、评价工作开展及项目情况</w:t>
      </w:r>
    </w:p>
    <w:p>
      <w:pPr>
        <w:spacing w:line="580" w:lineRule="exact"/>
        <w:ind w:firstLine="640" w:firstLineChars="200"/>
        <w:rPr>
          <w:rFonts w:hint="eastAsia" w:eastAsia="仿宋_GB2312"/>
          <w:sz w:val="32"/>
          <w:szCs w:val="32"/>
          <w:lang w:val="zh-CN" w:eastAsia="zh-CN"/>
        </w:rPr>
      </w:pPr>
      <w:r>
        <w:rPr>
          <w:rFonts w:hint="eastAsia" w:eastAsia="仿宋_GB2312"/>
          <w:sz w:val="32"/>
          <w:szCs w:val="32"/>
          <w:lang w:val="en-US" w:eastAsia="zh-CN"/>
        </w:rPr>
        <w:t>项目开展初期我乡成立由乡党委政府主要负责人寇宏昌为组长的项目领导小组，下设项目实施领导小组、技术保障服务小组、项目资金管理小组、质量监督小组，确保项目</w:t>
      </w:r>
      <w:r>
        <w:rPr>
          <w:rFonts w:hint="eastAsia" w:eastAsia="仿宋_GB2312"/>
          <w:sz w:val="32"/>
          <w:szCs w:val="32"/>
          <w:lang w:val="zh-CN" w:eastAsia="zh-CN"/>
        </w:rPr>
        <w:t>组织管理架构合理有序。</w:t>
      </w:r>
    </w:p>
    <w:p>
      <w:pPr>
        <w:spacing w:line="580" w:lineRule="exact"/>
        <w:ind w:firstLine="640" w:firstLineChars="200"/>
        <w:rPr>
          <w:rFonts w:hint="eastAsia" w:eastAsia="仿宋_GB2312"/>
          <w:sz w:val="32"/>
          <w:szCs w:val="32"/>
          <w:lang w:val="zh-CN" w:eastAsia="zh-CN"/>
        </w:rPr>
      </w:pPr>
      <w:r>
        <w:rPr>
          <w:rFonts w:hint="eastAsia" w:eastAsia="仿宋_GB2312"/>
          <w:sz w:val="32"/>
          <w:szCs w:val="32"/>
          <w:lang w:val="zh-CN" w:eastAsia="zh-CN"/>
        </w:rPr>
        <w:t>本项目资金实行</w:t>
      </w:r>
      <w:r>
        <w:rPr>
          <w:rFonts w:hint="eastAsia" w:eastAsia="仿宋_GB2312"/>
          <w:sz w:val="32"/>
          <w:szCs w:val="32"/>
          <w:lang w:val="en-US" w:eastAsia="zh-CN"/>
        </w:rPr>
        <w:t>单位</w:t>
      </w:r>
      <w:r>
        <w:rPr>
          <w:rFonts w:hint="eastAsia" w:eastAsia="仿宋_GB2312"/>
          <w:sz w:val="32"/>
          <w:szCs w:val="32"/>
          <w:lang w:val="zh-CN" w:eastAsia="zh-CN"/>
        </w:rPr>
        <w:t>报账制度，保障项目资金监管安全有效，我单位还设置</w:t>
      </w:r>
      <w:r>
        <w:rPr>
          <w:rFonts w:hint="eastAsia" w:eastAsia="仿宋_GB2312"/>
          <w:sz w:val="32"/>
          <w:szCs w:val="32"/>
          <w:lang w:val="en-US" w:eastAsia="zh-CN"/>
        </w:rPr>
        <w:t>项目资金管理小组对该项目资金进行监督，经自评，</w:t>
      </w:r>
      <w:r>
        <w:rPr>
          <w:rFonts w:hint="eastAsia" w:eastAsia="仿宋_GB2312"/>
          <w:sz w:val="32"/>
          <w:szCs w:val="32"/>
          <w:lang w:val="zh-CN" w:eastAsia="zh-CN"/>
        </w:rPr>
        <w:t>该项目严格执行财务管理制度、财务处理及时、会计核算规范。</w:t>
      </w:r>
    </w:p>
    <w:p>
      <w:pPr>
        <w:pStyle w:val="2"/>
        <w:rPr>
          <w:rFonts w:hint="eastAsia"/>
          <w:lang w:val="zh-CN" w:eastAsia="zh-CN"/>
        </w:rPr>
      </w:pPr>
    </w:p>
    <w:p>
      <w:pPr>
        <w:pStyle w:val="13"/>
        <w:keepNext w:val="0"/>
        <w:keepLines w:val="0"/>
        <w:widowControl/>
        <w:suppressLineNumbers w:val="0"/>
        <w:ind w:left="0" w:firstLine="640"/>
      </w:pPr>
      <w:r>
        <w:rPr>
          <w:rFonts w:hint="eastAsia" w:ascii="黑体" w:eastAsia="黑体" w:cs="黑体"/>
          <w:color w:val="000000"/>
          <w:sz w:val="31"/>
          <w:szCs w:val="31"/>
          <w:lang w:val="en-US" w:eastAsia="zh-CN"/>
        </w:rPr>
        <w:t>三</w:t>
      </w:r>
      <w:r>
        <w:rPr>
          <w:rFonts w:hint="eastAsia" w:ascii="黑体" w:hAnsi="宋体" w:eastAsia="黑体" w:cs="黑体"/>
          <w:color w:val="000000"/>
          <w:sz w:val="31"/>
          <w:szCs w:val="31"/>
        </w:rPr>
        <w:t>、评价结论及绩效分析</w:t>
      </w:r>
    </w:p>
    <w:p>
      <w:pPr>
        <w:pStyle w:val="13"/>
        <w:keepNext w:val="0"/>
        <w:keepLines w:val="0"/>
        <w:widowControl/>
        <w:suppressLineNumbers w:val="0"/>
        <w:ind w:left="0" w:firstLine="640"/>
      </w:pPr>
      <w:r>
        <w:rPr>
          <w:rFonts w:hint="eastAsia" w:ascii="楷体_GB2312" w:eastAsia="楷体_GB2312" w:cs="楷体_GB2312"/>
          <w:b/>
          <w:color w:val="000000"/>
          <w:sz w:val="31"/>
          <w:szCs w:val="31"/>
        </w:rPr>
        <w:t>（一）评价结论</w:t>
      </w:r>
    </w:p>
    <w:p>
      <w:pPr>
        <w:keepNext w:val="0"/>
        <w:keepLines w:val="0"/>
        <w:pageBreakBefore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宋体" w:cs="Times New Roman"/>
          <w:color w:val="auto"/>
          <w:kern w:val="2"/>
          <w:sz w:val="32"/>
          <w:szCs w:val="32"/>
          <w:lang w:val="en-US" w:eastAsia="zh-CN" w:bidi="ar-SA"/>
        </w:rPr>
      </w:pPr>
      <w:r>
        <w:rPr>
          <w:rFonts w:hint="eastAsia" w:ascii="仿宋_GB2312" w:hAnsi="宋体" w:cs="Times New Roman"/>
          <w:color w:val="auto"/>
          <w:kern w:val="2"/>
          <w:sz w:val="32"/>
          <w:szCs w:val="32"/>
          <w:lang w:val="zh-CN" w:eastAsia="zh-CN" w:bidi="ar-SA"/>
        </w:rPr>
        <w:t>经自查，项目在时间及成本上控制较为合理</w:t>
      </w:r>
      <w:r>
        <w:rPr>
          <w:rFonts w:hint="eastAsia" w:ascii="仿宋_GB2312" w:hAnsi="宋体" w:cs="Times New Roman"/>
          <w:color w:val="auto"/>
          <w:kern w:val="2"/>
          <w:sz w:val="32"/>
          <w:szCs w:val="32"/>
          <w:lang w:val="en-US" w:eastAsia="zh-CN" w:bidi="ar-SA"/>
        </w:rPr>
        <w:t>；提升嘎尖草坪旅游接待能力，促进群众增收受益贫困人口满意度在95%以上，符合最初项目绩效目标。</w:t>
      </w:r>
    </w:p>
    <w:p>
      <w:pPr>
        <w:pStyle w:val="13"/>
        <w:keepNext w:val="0"/>
        <w:keepLines w:val="0"/>
        <w:widowControl/>
        <w:suppressLineNumbers w:val="0"/>
        <w:ind w:left="0" w:firstLine="640"/>
      </w:pPr>
      <w:r>
        <w:rPr>
          <w:rFonts w:hint="eastAsia" w:ascii="楷体_GB2312" w:eastAsia="楷体_GB2312" w:cs="楷体_GB2312"/>
          <w:b/>
          <w:color w:val="000000"/>
          <w:sz w:val="31"/>
          <w:szCs w:val="31"/>
        </w:rPr>
        <w:t>（二）绩效分析</w:t>
      </w:r>
    </w:p>
    <w:p>
      <w:pPr>
        <w:pStyle w:val="13"/>
        <w:keepNext w:val="0"/>
        <w:keepLines w:val="0"/>
        <w:widowControl/>
        <w:suppressLineNumbers w:val="0"/>
        <w:ind w:left="0" w:firstLine="640"/>
      </w:pPr>
      <w:r>
        <w:rPr>
          <w:rFonts w:hint="eastAsia" w:ascii="仿宋_GB2312" w:eastAsia="仿宋_GB2312" w:cs="仿宋_GB2312"/>
          <w:color w:val="000000"/>
          <w:sz w:val="31"/>
          <w:szCs w:val="31"/>
        </w:rPr>
        <w:t>1.项目决策</w:t>
      </w:r>
    </w:p>
    <w:p>
      <w:pPr>
        <w:pStyle w:val="13"/>
        <w:keepNext w:val="0"/>
        <w:keepLines w:val="0"/>
        <w:widowControl/>
        <w:suppressLineNumbers w:val="0"/>
        <w:ind w:left="0" w:firstLine="640"/>
        <w:rPr>
          <w:rFonts w:hint="eastAsia" w:ascii="仿宋" w:hAnsi="仿宋" w:eastAsia="仿宋" w:cs="仿宋"/>
          <w:kern w:val="0"/>
          <w:sz w:val="32"/>
          <w:szCs w:val="32"/>
          <w:lang w:val="zh-CN" w:eastAsia="zh-CN"/>
        </w:rPr>
      </w:pPr>
      <w:r>
        <w:rPr>
          <w:rFonts w:hint="eastAsia" w:ascii="仿宋" w:hAnsi="仿宋" w:eastAsia="仿宋" w:cs="仿宋"/>
          <w:kern w:val="0"/>
          <w:sz w:val="32"/>
          <w:szCs w:val="32"/>
          <w:lang w:val="zh-CN" w:eastAsia="zh-CN"/>
        </w:rPr>
        <w:t>有效巩固拓展脱贫攻坚成果同乡村振兴有效衔接，</w:t>
      </w:r>
      <w:r>
        <w:rPr>
          <w:rFonts w:hint="eastAsia" w:ascii="仿宋" w:hAnsi="仿宋" w:eastAsia="仿宋" w:cs="仿宋"/>
          <w:kern w:val="0"/>
          <w:sz w:val="32"/>
          <w:szCs w:val="32"/>
          <w:lang w:val="en-US" w:eastAsia="zh-CN"/>
        </w:rPr>
        <w:t>河东乡嘎尖草坪旅游配套基础设施建设项目</w:t>
      </w:r>
      <w:r>
        <w:rPr>
          <w:rFonts w:hint="eastAsia" w:ascii="仿宋" w:hAnsi="仿宋" w:eastAsia="仿宋" w:cs="仿宋"/>
          <w:kern w:val="0"/>
          <w:sz w:val="32"/>
          <w:szCs w:val="32"/>
          <w:lang w:val="zh-CN"/>
        </w:rPr>
        <w:t>，是结木村嘎尖社群众、更是全乡群众翘首以盼的</w:t>
      </w:r>
      <w:r>
        <w:rPr>
          <w:rFonts w:hint="eastAsia" w:ascii="仿宋" w:hAnsi="仿宋" w:eastAsia="仿宋" w:cs="仿宋"/>
          <w:kern w:val="0"/>
          <w:sz w:val="32"/>
          <w:szCs w:val="32"/>
          <w:lang w:val="en-US" w:eastAsia="zh-CN"/>
        </w:rPr>
        <w:t>旅游</w:t>
      </w:r>
      <w:r>
        <w:rPr>
          <w:rFonts w:hint="eastAsia" w:ascii="仿宋" w:hAnsi="仿宋" w:eastAsia="仿宋" w:cs="仿宋"/>
          <w:kern w:val="0"/>
          <w:sz w:val="32"/>
          <w:szCs w:val="32"/>
          <w:lang w:val="zh-CN"/>
        </w:rPr>
        <w:t>发展工程；该工程的建设</w:t>
      </w:r>
      <w:r>
        <w:rPr>
          <w:rFonts w:hint="eastAsia" w:ascii="仿宋" w:hAnsi="仿宋" w:eastAsia="仿宋" w:cs="仿宋"/>
          <w:kern w:val="0"/>
          <w:sz w:val="32"/>
          <w:szCs w:val="32"/>
          <w:lang w:val="zh-CN" w:eastAsia="zh-CN"/>
        </w:rPr>
        <w:t>打通“嘎尖草坪”旅游发展环线，</w:t>
      </w:r>
      <w:r>
        <w:rPr>
          <w:rFonts w:hint="eastAsia" w:ascii="仿宋" w:hAnsi="仿宋" w:eastAsia="仿宋" w:cs="仿宋"/>
          <w:kern w:val="0"/>
          <w:sz w:val="32"/>
          <w:szCs w:val="32"/>
          <w:lang w:val="zh-CN"/>
        </w:rPr>
        <w:t>还是该社农副产品运输的交通线，更是带动全乡旅游经济的命脉线。</w:t>
      </w:r>
      <w:r>
        <w:rPr>
          <w:rFonts w:hint="eastAsia" w:ascii="仿宋" w:hAnsi="仿宋" w:eastAsia="仿宋" w:cs="仿宋"/>
          <w:kern w:val="0"/>
          <w:sz w:val="32"/>
          <w:szCs w:val="32"/>
          <w:lang w:val="zh-CN" w:eastAsia="zh-CN"/>
        </w:rPr>
        <w:t>实现民族地区经济跨越发展、社会长治久安。</w:t>
      </w:r>
    </w:p>
    <w:p>
      <w:pPr>
        <w:pStyle w:val="13"/>
        <w:keepNext w:val="0"/>
        <w:keepLines w:val="0"/>
        <w:widowControl/>
        <w:suppressLineNumbers w:val="0"/>
        <w:ind w:left="0" w:firstLine="640"/>
      </w:pPr>
      <w:r>
        <w:rPr>
          <w:rFonts w:hint="eastAsia" w:ascii="仿宋_GB2312" w:eastAsia="仿宋_GB2312" w:cs="仿宋_GB2312"/>
          <w:color w:val="000000"/>
          <w:sz w:val="31"/>
          <w:szCs w:val="31"/>
        </w:rPr>
        <w:t>2.项目实施</w:t>
      </w:r>
    </w:p>
    <w:p>
      <w:pPr>
        <w:pStyle w:val="13"/>
        <w:keepNext w:val="0"/>
        <w:keepLines w:val="0"/>
        <w:widowControl/>
        <w:suppressLineNumbers w:val="0"/>
        <w:ind w:left="0" w:firstLine="640"/>
        <w:rPr>
          <w:rFonts w:hint="default" w:ascii="仿宋_GB2312" w:hAnsi="宋体" w:eastAsia="仿宋_GB2312" w:cs="仿宋_GB2312"/>
          <w:color w:val="000000"/>
          <w:sz w:val="31"/>
          <w:szCs w:val="31"/>
          <w:lang w:val="en-US" w:eastAsia="zh-CN"/>
        </w:rPr>
      </w:pPr>
      <w:r>
        <w:rPr>
          <w:rFonts w:hint="eastAsia" w:ascii="仿宋_GB2312" w:hAnsi="宋体" w:eastAsia="仿宋_GB2312" w:cs="仿宋_GB2312"/>
          <w:color w:val="000000"/>
          <w:sz w:val="31"/>
          <w:szCs w:val="31"/>
          <w:lang w:val="en-US" w:eastAsia="zh-CN"/>
        </w:rPr>
        <w:t>该项目四川创兴博建筑工程有限公司金川分公司为中标候选人，成交金额93.</w:t>
      </w:r>
      <w:r>
        <w:rPr>
          <w:rFonts w:hint="eastAsia" w:ascii="仿宋_GB2312" w:eastAsia="仿宋_GB2312" w:cs="仿宋_GB2312"/>
          <w:color w:val="000000"/>
          <w:sz w:val="31"/>
          <w:szCs w:val="31"/>
          <w:lang w:val="en-US" w:eastAsia="zh-CN"/>
        </w:rPr>
        <w:t>18</w:t>
      </w:r>
      <w:r>
        <w:rPr>
          <w:rFonts w:hint="eastAsia" w:ascii="仿宋_GB2312" w:hAnsi="宋体" w:eastAsia="仿宋_GB2312" w:cs="仿宋_GB2312"/>
          <w:color w:val="000000"/>
          <w:sz w:val="31"/>
          <w:szCs w:val="31"/>
          <w:lang w:val="en-US" w:eastAsia="zh-CN"/>
        </w:rPr>
        <w:t>万元，首先通过乡村初步验收，然后通过第三方公司和县级验收，拨付97%工程款，暂扣3%质保金。</w:t>
      </w:r>
    </w:p>
    <w:p>
      <w:pPr>
        <w:pStyle w:val="13"/>
        <w:keepNext w:val="0"/>
        <w:keepLines w:val="0"/>
        <w:widowControl/>
        <w:suppressLineNumbers w:val="0"/>
        <w:ind w:left="0" w:firstLine="640"/>
      </w:pPr>
      <w:r>
        <w:rPr>
          <w:rFonts w:hint="eastAsia" w:ascii="仿宋_GB2312" w:eastAsia="仿宋_GB2312" w:cs="仿宋_GB2312"/>
          <w:color w:val="000000"/>
          <w:sz w:val="31"/>
          <w:szCs w:val="31"/>
        </w:rPr>
        <w:t>3.项目绩效</w:t>
      </w:r>
    </w:p>
    <w:p>
      <w:pPr>
        <w:pStyle w:val="13"/>
        <w:keepNext w:val="0"/>
        <w:keepLines w:val="0"/>
        <w:widowControl/>
        <w:suppressLineNumbers w:val="0"/>
        <w:ind w:left="0" w:firstLine="640"/>
        <w:rPr>
          <w:rFonts w:hint="default" w:ascii="仿宋_GB2312" w:hAnsi="宋体" w:eastAsia="仿宋_GB2312" w:cs="仿宋_GB2312"/>
          <w:color w:val="000000"/>
          <w:sz w:val="31"/>
          <w:szCs w:val="31"/>
          <w:lang w:val="en-US" w:eastAsia="zh-CN"/>
        </w:rPr>
      </w:pPr>
      <w:r>
        <w:rPr>
          <w:rFonts w:hint="eastAsia" w:ascii="仿宋_GB2312" w:hAnsi="宋体" w:eastAsia="仿宋_GB2312" w:cs="仿宋_GB2312"/>
          <w:color w:val="000000"/>
          <w:sz w:val="31"/>
          <w:szCs w:val="31"/>
          <w:lang w:val="zh-CN" w:eastAsia="zh-CN"/>
        </w:rPr>
        <w:t>经自查</w:t>
      </w:r>
      <w:r>
        <w:rPr>
          <w:rFonts w:hint="eastAsia" w:ascii="仿宋_GB2312" w:hAnsi="宋体" w:eastAsia="仿宋_GB2312" w:cs="仿宋_GB2312"/>
          <w:color w:val="000000"/>
          <w:sz w:val="31"/>
          <w:szCs w:val="31"/>
          <w:lang w:val="en-US" w:eastAsia="zh-CN"/>
        </w:rPr>
        <w:t>项目完成绩效与事前绩效评估一致，无较大出入</w:t>
      </w:r>
    </w:p>
    <w:tbl>
      <w:tblPr>
        <w:tblStyle w:val="15"/>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93"/>
        <w:gridCol w:w="1836"/>
        <w:gridCol w:w="2016"/>
        <w:gridCol w:w="1360"/>
        <w:gridCol w:w="877"/>
        <w:gridCol w:w="93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10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等线" w:hAnsi="等线" w:eastAsia="等线" w:cs="等线"/>
                <w:b/>
                <w:bCs/>
                <w:i w:val="0"/>
                <w:iCs w:val="0"/>
                <w:color w:val="000000"/>
                <w:sz w:val="18"/>
                <w:szCs w:val="18"/>
                <w:u w:val="none"/>
              </w:rPr>
            </w:pPr>
            <w:r>
              <w:rPr>
                <w:rFonts w:hint="eastAsia" w:ascii="等线" w:hAnsi="等线" w:eastAsia="等线" w:cs="等线"/>
                <w:b/>
                <w:bCs/>
                <w:i w:val="0"/>
                <w:iCs w:val="0"/>
                <w:color w:val="000000"/>
                <w:kern w:val="0"/>
                <w:sz w:val="18"/>
                <w:szCs w:val="18"/>
                <w:u w:val="none"/>
                <w:lang w:val="en-US" w:eastAsia="zh-CN" w:bidi="ar"/>
              </w:rPr>
              <w:t>一级指标</w:t>
            </w:r>
          </w:p>
        </w:tc>
        <w:tc>
          <w:tcPr>
            <w:tcW w:w="8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18"/>
                <w:szCs w:val="18"/>
                <w:u w:val="none"/>
              </w:rPr>
            </w:pPr>
            <w:r>
              <w:rPr>
                <w:rFonts w:hint="eastAsia" w:ascii="等线" w:hAnsi="等线" w:eastAsia="等线" w:cs="等线"/>
                <w:b/>
                <w:bCs/>
                <w:i w:val="0"/>
                <w:iCs w:val="0"/>
                <w:color w:val="000000"/>
                <w:kern w:val="0"/>
                <w:sz w:val="18"/>
                <w:szCs w:val="18"/>
                <w:u w:val="none"/>
                <w:lang w:val="en-US" w:eastAsia="zh-CN" w:bidi="ar"/>
              </w:rPr>
              <w:t>二级指标</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18"/>
                <w:szCs w:val="18"/>
                <w:u w:val="none"/>
              </w:rPr>
            </w:pPr>
            <w:r>
              <w:rPr>
                <w:rFonts w:hint="eastAsia" w:ascii="等线" w:hAnsi="等线" w:eastAsia="等线" w:cs="等线"/>
                <w:b/>
                <w:bCs/>
                <w:i w:val="0"/>
                <w:iCs w:val="0"/>
                <w:color w:val="000000"/>
                <w:kern w:val="0"/>
                <w:sz w:val="18"/>
                <w:szCs w:val="18"/>
                <w:u w:val="none"/>
                <w:lang w:val="en-US" w:eastAsia="zh-CN" w:bidi="ar"/>
              </w:rPr>
              <w:t>三级指标</w:t>
            </w:r>
          </w:p>
        </w:tc>
        <w:tc>
          <w:tcPr>
            <w:tcW w:w="9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18"/>
                <w:szCs w:val="18"/>
                <w:u w:val="none"/>
              </w:rPr>
            </w:pPr>
            <w:r>
              <w:rPr>
                <w:rFonts w:hint="eastAsia" w:ascii="等线" w:hAnsi="等线" w:eastAsia="等线" w:cs="等线"/>
                <w:b/>
                <w:bCs/>
                <w:i w:val="0"/>
                <w:iCs w:val="0"/>
                <w:color w:val="000000"/>
                <w:kern w:val="0"/>
                <w:sz w:val="18"/>
                <w:szCs w:val="18"/>
                <w:u w:val="none"/>
                <w:lang w:val="en-US" w:eastAsia="zh-CN" w:bidi="ar"/>
              </w:rPr>
              <w:t>指标性质</w:t>
            </w:r>
          </w:p>
        </w:tc>
        <w:tc>
          <w:tcPr>
            <w:tcW w:w="6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18"/>
                <w:szCs w:val="18"/>
                <w:u w:val="none"/>
              </w:rPr>
            </w:pPr>
            <w:r>
              <w:rPr>
                <w:rFonts w:hint="eastAsia" w:ascii="等线" w:hAnsi="等线" w:eastAsia="等线" w:cs="等线"/>
                <w:b/>
                <w:bCs/>
                <w:i w:val="0"/>
                <w:iCs w:val="0"/>
                <w:color w:val="000000"/>
                <w:kern w:val="0"/>
                <w:sz w:val="18"/>
                <w:szCs w:val="18"/>
                <w:u w:val="none"/>
                <w:lang w:val="en-US" w:eastAsia="zh-CN" w:bidi="ar"/>
              </w:rPr>
              <w:t>指标值</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18"/>
                <w:szCs w:val="18"/>
                <w:u w:val="none"/>
              </w:rPr>
            </w:pPr>
            <w:r>
              <w:rPr>
                <w:rFonts w:hint="eastAsia" w:ascii="等线" w:hAnsi="等线" w:eastAsia="等线" w:cs="等线"/>
                <w:b/>
                <w:bCs/>
                <w:i w:val="0"/>
                <w:iCs w:val="0"/>
                <w:color w:val="000000"/>
                <w:kern w:val="0"/>
                <w:sz w:val="18"/>
                <w:szCs w:val="18"/>
                <w:u w:val="none"/>
                <w:lang w:val="en-US" w:eastAsia="zh-CN" w:bidi="ar"/>
              </w:rPr>
              <w:t>度量单位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0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产出指标</w:t>
            </w:r>
          </w:p>
        </w:tc>
        <w:tc>
          <w:tcPr>
            <w:tcW w:w="8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数量指标</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场地平整</w:t>
            </w:r>
          </w:p>
        </w:tc>
        <w:tc>
          <w:tcPr>
            <w:tcW w:w="9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w:t>
            </w:r>
          </w:p>
        </w:tc>
        <w:tc>
          <w:tcPr>
            <w:tcW w:w="6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1300</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平米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10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产出指标</w:t>
            </w:r>
          </w:p>
        </w:tc>
        <w:tc>
          <w:tcPr>
            <w:tcW w:w="8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数量指标</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植被恢复</w:t>
            </w:r>
          </w:p>
        </w:tc>
        <w:tc>
          <w:tcPr>
            <w:tcW w:w="9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w:t>
            </w:r>
          </w:p>
        </w:tc>
        <w:tc>
          <w:tcPr>
            <w:tcW w:w="6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500</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平米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10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产出指标</w:t>
            </w:r>
          </w:p>
        </w:tc>
        <w:tc>
          <w:tcPr>
            <w:tcW w:w="8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数量指标</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修建景观栈道</w:t>
            </w:r>
          </w:p>
        </w:tc>
        <w:tc>
          <w:tcPr>
            <w:tcW w:w="9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w:t>
            </w:r>
          </w:p>
        </w:tc>
        <w:tc>
          <w:tcPr>
            <w:tcW w:w="6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628</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平米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0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产出指标</w:t>
            </w:r>
          </w:p>
        </w:tc>
        <w:tc>
          <w:tcPr>
            <w:tcW w:w="8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数量指标</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修建景观架空平台</w:t>
            </w:r>
          </w:p>
        </w:tc>
        <w:tc>
          <w:tcPr>
            <w:tcW w:w="9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w:t>
            </w:r>
          </w:p>
        </w:tc>
        <w:tc>
          <w:tcPr>
            <w:tcW w:w="6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190</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平米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0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产出指标</w:t>
            </w:r>
          </w:p>
        </w:tc>
        <w:tc>
          <w:tcPr>
            <w:tcW w:w="8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数量指标</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修建天空之境</w:t>
            </w:r>
          </w:p>
        </w:tc>
        <w:tc>
          <w:tcPr>
            <w:tcW w:w="9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w:t>
            </w:r>
          </w:p>
        </w:tc>
        <w:tc>
          <w:tcPr>
            <w:tcW w:w="6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420</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平米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0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产出指标</w:t>
            </w:r>
          </w:p>
        </w:tc>
        <w:tc>
          <w:tcPr>
            <w:tcW w:w="8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时效指标</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工程按时完工率</w:t>
            </w:r>
          </w:p>
        </w:tc>
        <w:tc>
          <w:tcPr>
            <w:tcW w:w="9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w:t>
            </w:r>
          </w:p>
        </w:tc>
        <w:tc>
          <w:tcPr>
            <w:tcW w:w="6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98</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10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产出指标</w:t>
            </w:r>
          </w:p>
        </w:tc>
        <w:tc>
          <w:tcPr>
            <w:tcW w:w="8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数量指标</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修建生态停车场</w:t>
            </w:r>
          </w:p>
        </w:tc>
        <w:tc>
          <w:tcPr>
            <w:tcW w:w="9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w:t>
            </w:r>
          </w:p>
        </w:tc>
        <w:tc>
          <w:tcPr>
            <w:tcW w:w="6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790</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平米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10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产出指标</w:t>
            </w:r>
          </w:p>
        </w:tc>
        <w:tc>
          <w:tcPr>
            <w:tcW w:w="8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质量指标</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工程验收合格率</w:t>
            </w:r>
          </w:p>
        </w:tc>
        <w:tc>
          <w:tcPr>
            <w:tcW w:w="9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w:t>
            </w:r>
          </w:p>
        </w:tc>
        <w:tc>
          <w:tcPr>
            <w:tcW w:w="6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98</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0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效益指标</w:t>
            </w:r>
          </w:p>
        </w:tc>
        <w:tc>
          <w:tcPr>
            <w:tcW w:w="8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经济效益指标</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带动群众增收</w:t>
            </w:r>
          </w:p>
        </w:tc>
        <w:tc>
          <w:tcPr>
            <w:tcW w:w="9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w:t>
            </w:r>
          </w:p>
        </w:tc>
        <w:tc>
          <w:tcPr>
            <w:tcW w:w="6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8</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0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效益指标</w:t>
            </w:r>
          </w:p>
        </w:tc>
        <w:tc>
          <w:tcPr>
            <w:tcW w:w="8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可持续发展指标</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持续带动周边群众增收</w:t>
            </w:r>
          </w:p>
        </w:tc>
        <w:tc>
          <w:tcPr>
            <w:tcW w:w="9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w:t>
            </w:r>
          </w:p>
        </w:tc>
        <w:tc>
          <w:tcPr>
            <w:tcW w:w="6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5</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0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满意度指标</w:t>
            </w:r>
          </w:p>
        </w:tc>
        <w:tc>
          <w:tcPr>
            <w:tcW w:w="8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服务对象满意度指标</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群众满意度</w:t>
            </w:r>
          </w:p>
        </w:tc>
        <w:tc>
          <w:tcPr>
            <w:tcW w:w="9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w:t>
            </w:r>
          </w:p>
        </w:tc>
        <w:tc>
          <w:tcPr>
            <w:tcW w:w="6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95</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0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成本指标</w:t>
            </w:r>
          </w:p>
        </w:tc>
        <w:tc>
          <w:tcPr>
            <w:tcW w:w="8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经济成本指标</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建设成本</w:t>
            </w:r>
          </w:p>
        </w:tc>
        <w:tc>
          <w:tcPr>
            <w:tcW w:w="9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w:t>
            </w:r>
          </w:p>
        </w:tc>
        <w:tc>
          <w:tcPr>
            <w:tcW w:w="6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98</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等线" w:hAnsi="等线" w:eastAsia="等线" w:cs="等线"/>
                <w:i w:val="0"/>
                <w:iCs w:val="0"/>
                <w:color w:val="000000"/>
                <w:sz w:val="18"/>
                <w:szCs w:val="18"/>
                <w:u w:val="none"/>
              </w:rPr>
            </w:pPr>
            <w:r>
              <w:rPr>
                <w:rFonts w:hint="eastAsia" w:ascii="等线" w:hAnsi="等线" w:eastAsia="等线" w:cs="等线"/>
                <w:i w:val="0"/>
                <w:iCs w:val="0"/>
                <w:color w:val="000000"/>
                <w:kern w:val="0"/>
                <w:sz w:val="18"/>
                <w:szCs w:val="18"/>
                <w:u w:val="none"/>
                <w:lang w:val="en-US" w:eastAsia="zh-CN" w:bidi="ar"/>
              </w:rPr>
              <w:t>万元</w:t>
            </w:r>
          </w:p>
        </w:tc>
      </w:tr>
    </w:tbl>
    <w:p>
      <w:pPr>
        <w:keepNext w:val="0"/>
        <w:keepLines w:val="0"/>
        <w:pageBreakBefore w:val="0"/>
        <w:numPr>
          <w:ilvl w:val="0"/>
          <w:numId w:val="0"/>
        </w:numPr>
        <w:kinsoku/>
        <w:wordWrap/>
        <w:overflowPunct/>
        <w:topLinePunct w:val="0"/>
        <w:autoSpaceDE/>
        <w:autoSpaceDN/>
        <w:bidi w:val="0"/>
        <w:adjustRightInd w:val="0"/>
        <w:snapToGrid w:val="0"/>
        <w:spacing w:line="600" w:lineRule="exact"/>
        <w:ind w:firstLine="420" w:firstLineChars="200"/>
        <w:textAlignment w:val="auto"/>
        <w:rPr>
          <w:rFonts w:hint="eastAsia" w:ascii="仿宋_GB2312" w:hAnsi="宋体"/>
          <w:color w:val="auto"/>
          <w:lang w:val="zh-CN"/>
        </w:rPr>
      </w:pPr>
    </w:p>
    <w:p>
      <w:pPr>
        <w:pStyle w:val="13"/>
        <w:keepNext w:val="0"/>
        <w:keepLines w:val="0"/>
        <w:widowControl/>
        <w:numPr>
          <w:ilvl w:val="0"/>
          <w:numId w:val="0"/>
        </w:numPr>
        <w:suppressLineNumbers w:val="0"/>
        <w:ind w:left="640" w:leftChars="0"/>
        <w:rPr>
          <w:rFonts w:hint="eastAsia" w:ascii="黑体" w:hAnsi="宋体" w:eastAsia="黑体" w:cs="黑体"/>
          <w:color w:val="000000"/>
          <w:sz w:val="31"/>
          <w:szCs w:val="31"/>
        </w:rPr>
      </w:pPr>
      <w:r>
        <w:rPr>
          <w:rFonts w:hint="eastAsia" w:ascii="黑体" w:eastAsia="黑体" w:cs="黑体"/>
          <w:color w:val="000000"/>
          <w:sz w:val="31"/>
          <w:szCs w:val="31"/>
          <w:lang w:val="en-US" w:eastAsia="zh-CN"/>
        </w:rPr>
        <w:t>四、</w:t>
      </w:r>
      <w:r>
        <w:rPr>
          <w:rFonts w:hint="eastAsia" w:ascii="黑体" w:hAnsi="宋体" w:eastAsia="黑体" w:cs="黑体"/>
          <w:color w:val="000000"/>
          <w:sz w:val="31"/>
          <w:szCs w:val="31"/>
        </w:rPr>
        <w:t>存在主要问题</w:t>
      </w:r>
    </w:p>
    <w:p>
      <w:pPr>
        <w:pStyle w:val="13"/>
        <w:keepNext w:val="0"/>
        <w:keepLines w:val="0"/>
        <w:widowControl/>
        <w:suppressLineNumbers w:val="0"/>
        <w:ind w:left="0" w:firstLine="640"/>
        <w:rPr>
          <w:rFonts w:hint="eastAsia" w:ascii="黑体" w:hAnsi="宋体" w:eastAsia="黑体" w:cs="黑体"/>
          <w:color w:val="000000"/>
          <w:sz w:val="31"/>
          <w:szCs w:val="31"/>
        </w:rPr>
      </w:pPr>
      <w:r>
        <w:rPr>
          <w:rFonts w:hint="eastAsia" w:ascii="仿宋_GB2312" w:hAnsi="宋体" w:eastAsia="仿宋_GB2312" w:cs="仿宋_GB2312"/>
          <w:color w:val="000000"/>
          <w:sz w:val="31"/>
          <w:szCs w:val="31"/>
          <w:lang w:val="en-US" w:eastAsia="zh-CN"/>
        </w:rPr>
        <w:t>一是项目前期规划还不细、绩效分析还不精准，造成前期要件办理慢，推进迟缓；二是项目建成后，无相应配套设施及后续管护措施不全，造成项目效益发挥不佳。</w:t>
      </w:r>
    </w:p>
    <w:p>
      <w:pPr>
        <w:pStyle w:val="13"/>
        <w:keepNext w:val="0"/>
        <w:keepLines w:val="0"/>
        <w:widowControl/>
        <w:numPr>
          <w:ilvl w:val="0"/>
          <w:numId w:val="9"/>
        </w:numPr>
        <w:suppressLineNumbers w:val="0"/>
        <w:ind w:left="0" w:leftChars="0" w:firstLine="640" w:firstLineChars="0"/>
        <w:rPr>
          <w:rFonts w:hint="eastAsia" w:ascii="黑体" w:hAnsi="宋体" w:eastAsia="黑体" w:cs="黑体"/>
          <w:color w:val="000000"/>
          <w:sz w:val="31"/>
          <w:szCs w:val="31"/>
        </w:rPr>
      </w:pPr>
      <w:r>
        <w:rPr>
          <w:rFonts w:hint="eastAsia" w:ascii="黑体" w:hAnsi="宋体" w:eastAsia="黑体" w:cs="黑体"/>
          <w:color w:val="000000"/>
          <w:sz w:val="31"/>
          <w:szCs w:val="31"/>
        </w:rPr>
        <w:t>相关措施建议</w:t>
      </w:r>
    </w:p>
    <w:p>
      <w:pPr>
        <w:pStyle w:val="13"/>
        <w:keepNext w:val="0"/>
        <w:keepLines w:val="0"/>
        <w:widowControl/>
        <w:suppressLineNumbers w:val="0"/>
        <w:ind w:left="0" w:firstLine="640"/>
        <w:rPr>
          <w:rFonts w:hint="eastAsia" w:ascii="仿宋_GB2312" w:hAnsi="宋体" w:eastAsia="仿宋_GB2312" w:cs="仿宋_GB2312"/>
          <w:color w:val="000000"/>
          <w:sz w:val="31"/>
          <w:szCs w:val="31"/>
          <w:lang w:val="en-US" w:eastAsia="zh-CN"/>
        </w:rPr>
      </w:pPr>
      <w:r>
        <w:rPr>
          <w:rFonts w:hint="eastAsia" w:ascii="仿宋_GB2312" w:hAnsi="宋体" w:eastAsia="仿宋_GB2312" w:cs="仿宋_GB2312"/>
          <w:color w:val="000000"/>
          <w:sz w:val="31"/>
          <w:szCs w:val="31"/>
          <w:lang w:val="zh-CN" w:eastAsia="zh-CN"/>
        </w:rPr>
        <w:t>提出项目(相关政策)改进完善的建议意见。</w:t>
      </w:r>
      <w:r>
        <w:rPr>
          <w:rFonts w:hint="eastAsia" w:ascii="仿宋_GB2312" w:hAnsi="宋体" w:eastAsia="仿宋_GB2312" w:cs="仿宋_GB2312"/>
          <w:color w:val="000000"/>
          <w:sz w:val="31"/>
          <w:szCs w:val="31"/>
          <w:lang w:val="en-US" w:eastAsia="zh-CN"/>
        </w:rPr>
        <w:t>在下阶段工作中，我乡将以此次自评工作为契机，从严从细抓好项目实施及绩效管理。一是明确责任、强化组织领导。我乡将继续同各上级部门沟通协调，发挥党委政府组织领导作用，以包村工作组为主要抓手，树牢资金使用绩效意识。二是对照问题、加快问题解决。针对项目前期规划不细、定位不准造成要件办理慢等问题，我乡将在项目申报前，仔细项目定位、对实施地点、内容及方式认真谋划，仔细评估，加快项目前期办理速度。三是科学管理、确保项目落地见效。我乡将提高项目科学管理水平，严格按照项目建设流程，依法依规实施项目建设，对项目设计、财评、实施等重要环节严格把关，保质保量完成项目建设，确保实施项目尽早落地见效，提高财政资金使用绩效。</w:t>
      </w:r>
    </w:p>
    <w:p>
      <w:pPr>
        <w:pageBreakBefore w:val="0"/>
        <w:widowControl w:val="0"/>
        <w:kinsoku/>
        <w:wordWrap/>
        <w:overflowPunct/>
        <w:topLinePunct w:val="0"/>
        <w:bidi w:val="0"/>
        <w:spacing w:line="576" w:lineRule="exact"/>
        <w:jc w:val="center"/>
        <w:outlineLvl w:val="0"/>
        <w:rPr>
          <w:rFonts w:ascii="Times New Roman" w:hAnsi="Times New Roman" w:eastAsia="黑体" w:cs="Times New Roman"/>
          <w:sz w:val="44"/>
          <w:szCs w:val="44"/>
        </w:rPr>
      </w:pPr>
    </w:p>
    <w:p>
      <w:pPr>
        <w:pageBreakBefore w:val="0"/>
        <w:widowControl w:val="0"/>
        <w:kinsoku/>
        <w:wordWrap/>
        <w:overflowPunct/>
        <w:topLinePunct w:val="0"/>
        <w:bidi w:val="0"/>
        <w:spacing w:line="576" w:lineRule="exact"/>
        <w:jc w:val="center"/>
        <w:outlineLvl w:val="0"/>
        <w:rPr>
          <w:rFonts w:ascii="Times New Roman" w:hAnsi="Times New Roman" w:eastAsia="黑体" w:cs="Times New Roman"/>
          <w:sz w:val="44"/>
          <w:szCs w:val="44"/>
        </w:rPr>
      </w:pPr>
    </w:p>
    <w:p>
      <w:pPr>
        <w:pageBreakBefore w:val="0"/>
        <w:widowControl w:val="0"/>
        <w:kinsoku/>
        <w:wordWrap/>
        <w:overflowPunct/>
        <w:topLinePunct w:val="0"/>
        <w:bidi w:val="0"/>
        <w:spacing w:line="576" w:lineRule="exact"/>
        <w:jc w:val="center"/>
        <w:outlineLvl w:val="0"/>
        <w:rPr>
          <w:rFonts w:ascii="Times New Roman" w:hAnsi="Times New Roman" w:eastAsia="黑体" w:cs="Times New Roman"/>
          <w:sz w:val="44"/>
          <w:szCs w:val="44"/>
        </w:rPr>
      </w:pPr>
    </w:p>
    <w:p>
      <w:pPr>
        <w:pageBreakBefore w:val="0"/>
        <w:widowControl w:val="0"/>
        <w:kinsoku/>
        <w:wordWrap/>
        <w:overflowPunct/>
        <w:topLinePunct w:val="0"/>
        <w:bidi w:val="0"/>
        <w:spacing w:line="576" w:lineRule="exact"/>
        <w:jc w:val="center"/>
        <w:outlineLvl w:val="0"/>
        <w:rPr>
          <w:rFonts w:ascii="Times New Roman" w:hAnsi="Times New Roman" w:eastAsia="黑体" w:cs="Times New Roman"/>
          <w:sz w:val="44"/>
          <w:szCs w:val="44"/>
        </w:rPr>
      </w:pPr>
    </w:p>
    <w:p>
      <w:pPr>
        <w:pageBreakBefore w:val="0"/>
        <w:widowControl w:val="0"/>
        <w:kinsoku/>
        <w:wordWrap/>
        <w:overflowPunct/>
        <w:topLinePunct w:val="0"/>
        <w:bidi w:val="0"/>
        <w:spacing w:line="576" w:lineRule="exact"/>
        <w:jc w:val="center"/>
        <w:outlineLvl w:val="0"/>
        <w:rPr>
          <w:rFonts w:ascii="Times New Roman" w:hAnsi="Times New Roman" w:eastAsia="仿宋" w:cs="Times New Roman"/>
        </w:rPr>
      </w:pPr>
      <w:r>
        <w:rPr>
          <w:rFonts w:ascii="Times New Roman" w:hAnsi="Times New Roman" w:eastAsia="黑体" w:cs="Times New Roman"/>
          <w:sz w:val="44"/>
          <w:szCs w:val="44"/>
        </w:rPr>
        <w:t>第</w:t>
      </w:r>
      <w:r>
        <w:rPr>
          <w:rStyle w:val="19"/>
          <w:rFonts w:ascii="Times New Roman" w:hAnsi="Times New Roman" w:eastAsia="黑体" w:cs="Times New Roman"/>
          <w:b w:val="0"/>
        </w:rPr>
        <w:t>五部分 附表</w:t>
      </w:r>
      <w:bookmarkEnd w:id="50"/>
      <w:bookmarkEnd w:id="54"/>
      <w:bookmarkEnd w:id="55"/>
      <w:bookmarkStart w:id="56" w:name="_Toc15396619"/>
    </w:p>
    <w:p>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bookmarkStart w:id="57" w:name="_Toc26843626"/>
      <w:r>
        <w:rPr>
          <w:rFonts w:ascii="Times New Roman" w:hAnsi="Times New Roman" w:eastAsia="仿宋" w:cs="Times New Roman"/>
          <w:b w:val="0"/>
        </w:rPr>
        <w:t>一、收</w:t>
      </w:r>
      <w:r>
        <w:rPr>
          <w:rStyle w:val="20"/>
          <w:rFonts w:ascii="Times New Roman" w:hAnsi="Times New Roman" w:eastAsia="仿宋" w:cs="Times New Roman"/>
          <w:b w:val="0"/>
          <w:bCs w:val="0"/>
        </w:rPr>
        <w:t>入支出决算总表</w:t>
      </w:r>
      <w:bookmarkEnd w:id="56"/>
      <w:bookmarkEnd w:id="57"/>
    </w:p>
    <w:p>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bookmarkStart w:id="58" w:name="_Toc26843627"/>
      <w:bookmarkStart w:id="59" w:name="_Toc15396620"/>
      <w:r>
        <w:rPr>
          <w:rFonts w:ascii="Times New Roman" w:hAnsi="Times New Roman" w:eastAsia="仿宋" w:cs="Times New Roman"/>
          <w:b w:val="0"/>
        </w:rPr>
        <w:t>二、收</w:t>
      </w:r>
      <w:r>
        <w:rPr>
          <w:rStyle w:val="20"/>
          <w:rFonts w:ascii="Times New Roman" w:hAnsi="Times New Roman" w:eastAsia="仿宋" w:cs="Times New Roman"/>
          <w:b w:val="0"/>
          <w:bCs w:val="0"/>
        </w:rPr>
        <w:t>入决算表</w:t>
      </w:r>
      <w:bookmarkEnd w:id="58"/>
      <w:bookmarkEnd w:id="59"/>
    </w:p>
    <w:p>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bookmarkStart w:id="60" w:name="_Toc15396621"/>
      <w:bookmarkStart w:id="61" w:name="_Toc26843628"/>
      <w:r>
        <w:rPr>
          <w:rStyle w:val="20"/>
          <w:rFonts w:ascii="Times New Roman" w:hAnsi="Times New Roman" w:eastAsia="仿宋" w:cs="Times New Roman"/>
          <w:b w:val="0"/>
          <w:bCs w:val="0"/>
        </w:rPr>
        <w:t>三、</w:t>
      </w:r>
      <w:r>
        <w:rPr>
          <w:rFonts w:ascii="Times New Roman" w:hAnsi="Times New Roman" w:eastAsia="仿宋" w:cs="Times New Roman"/>
          <w:b w:val="0"/>
        </w:rPr>
        <w:t>支</w:t>
      </w:r>
      <w:r>
        <w:rPr>
          <w:rStyle w:val="20"/>
          <w:rFonts w:ascii="Times New Roman" w:hAnsi="Times New Roman" w:eastAsia="仿宋" w:cs="Times New Roman"/>
          <w:b w:val="0"/>
          <w:bCs w:val="0"/>
        </w:rPr>
        <w:t>出决算表</w:t>
      </w:r>
      <w:bookmarkEnd w:id="60"/>
      <w:bookmarkEnd w:id="61"/>
    </w:p>
    <w:p>
      <w:pPr>
        <w:pStyle w:val="4"/>
        <w:keepNext/>
        <w:keepLines/>
        <w:pageBreakBefore w:val="0"/>
        <w:widowControl w:val="0"/>
        <w:kinsoku/>
        <w:wordWrap/>
        <w:overflowPunct/>
        <w:topLinePunct w:val="0"/>
        <w:bidi w:val="0"/>
        <w:spacing w:line="576" w:lineRule="exact"/>
        <w:rPr>
          <w:rFonts w:ascii="Times New Roman" w:hAnsi="Times New Roman" w:eastAsia="仿宋" w:cs="Times New Roman"/>
          <w:b w:val="0"/>
        </w:rPr>
      </w:pPr>
      <w:bookmarkStart w:id="62" w:name="_Toc15396622"/>
      <w:bookmarkStart w:id="63" w:name="_Toc26843629"/>
      <w:r>
        <w:rPr>
          <w:rStyle w:val="20"/>
          <w:rFonts w:ascii="Times New Roman" w:hAnsi="Times New Roman" w:eastAsia="仿宋" w:cs="Times New Roman"/>
          <w:b w:val="0"/>
          <w:bCs w:val="0"/>
        </w:rPr>
        <w:t>四、</w:t>
      </w:r>
      <w:r>
        <w:rPr>
          <w:rFonts w:ascii="Times New Roman" w:hAnsi="Times New Roman" w:eastAsia="仿宋" w:cs="Times New Roman"/>
          <w:b w:val="0"/>
        </w:rPr>
        <w:t>财</w:t>
      </w:r>
      <w:r>
        <w:rPr>
          <w:rStyle w:val="20"/>
          <w:rFonts w:ascii="Times New Roman" w:hAnsi="Times New Roman" w:eastAsia="仿宋" w:cs="Times New Roman"/>
          <w:b w:val="0"/>
          <w:bCs w:val="0"/>
        </w:rPr>
        <w:t>政拨款收入支出决算总表</w:t>
      </w:r>
      <w:bookmarkEnd w:id="62"/>
      <w:bookmarkEnd w:id="63"/>
    </w:p>
    <w:p>
      <w:pPr>
        <w:pStyle w:val="4"/>
        <w:keepNext/>
        <w:keepLines/>
        <w:pageBreakBefore w:val="0"/>
        <w:widowControl w:val="0"/>
        <w:kinsoku/>
        <w:wordWrap/>
        <w:overflowPunct/>
        <w:topLinePunct w:val="0"/>
        <w:bidi w:val="0"/>
        <w:spacing w:line="576" w:lineRule="exact"/>
        <w:rPr>
          <w:rStyle w:val="20"/>
          <w:rFonts w:ascii="Times New Roman" w:hAnsi="Times New Roman" w:eastAsia="仿宋" w:cs="Times New Roman"/>
          <w:b w:val="0"/>
          <w:bCs w:val="0"/>
        </w:rPr>
      </w:pPr>
      <w:bookmarkStart w:id="64" w:name="_Toc15396623"/>
      <w:bookmarkStart w:id="65" w:name="_Toc26843630"/>
      <w:r>
        <w:rPr>
          <w:rStyle w:val="20"/>
          <w:rFonts w:ascii="Times New Roman" w:hAnsi="Times New Roman" w:eastAsia="仿宋" w:cs="Times New Roman"/>
          <w:b w:val="0"/>
          <w:bCs w:val="0"/>
        </w:rPr>
        <w:t>五、</w:t>
      </w:r>
      <w:r>
        <w:rPr>
          <w:rFonts w:ascii="Times New Roman" w:hAnsi="Times New Roman" w:eastAsia="仿宋" w:cs="Times New Roman"/>
          <w:b w:val="0"/>
        </w:rPr>
        <w:t>财</w:t>
      </w:r>
      <w:r>
        <w:rPr>
          <w:rStyle w:val="20"/>
          <w:rFonts w:ascii="Times New Roman" w:hAnsi="Times New Roman" w:eastAsia="仿宋" w:cs="Times New Roman"/>
          <w:b w:val="0"/>
          <w:bCs w:val="0"/>
        </w:rPr>
        <w:t>政拨款支出决算明细表</w:t>
      </w:r>
      <w:bookmarkEnd w:id="64"/>
      <w:bookmarkEnd w:id="65"/>
      <w:bookmarkStart w:id="66" w:name="_Toc15396624"/>
    </w:p>
    <w:p>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bookmarkStart w:id="67" w:name="_Toc26843631"/>
      <w:r>
        <w:rPr>
          <w:rStyle w:val="20"/>
          <w:rFonts w:ascii="Times New Roman" w:hAnsi="Times New Roman" w:eastAsia="仿宋" w:cs="Times New Roman"/>
          <w:b w:val="0"/>
          <w:bCs w:val="0"/>
        </w:rPr>
        <w:t>六、</w:t>
      </w:r>
      <w:r>
        <w:rPr>
          <w:rFonts w:ascii="Times New Roman" w:hAnsi="Times New Roman" w:eastAsia="仿宋" w:cs="Times New Roman"/>
          <w:b w:val="0"/>
        </w:rPr>
        <w:t>一</w:t>
      </w:r>
      <w:r>
        <w:rPr>
          <w:rStyle w:val="20"/>
          <w:rFonts w:ascii="Times New Roman" w:hAnsi="Times New Roman" w:eastAsia="仿宋" w:cs="Times New Roman"/>
          <w:b w:val="0"/>
          <w:bCs w:val="0"/>
        </w:rPr>
        <w:t>般公共预算财政拨款支出决算表</w:t>
      </w:r>
      <w:bookmarkEnd w:id="66"/>
      <w:bookmarkEnd w:id="67"/>
    </w:p>
    <w:p>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bookmarkStart w:id="68" w:name="_Toc15396625"/>
      <w:bookmarkStart w:id="69" w:name="_Toc26843632"/>
      <w:r>
        <w:rPr>
          <w:rStyle w:val="20"/>
          <w:rFonts w:ascii="Times New Roman" w:hAnsi="Times New Roman" w:eastAsia="仿宋" w:cs="Times New Roman"/>
          <w:b w:val="0"/>
          <w:bCs w:val="0"/>
        </w:rPr>
        <w:t>七、</w:t>
      </w:r>
      <w:r>
        <w:rPr>
          <w:rFonts w:ascii="Times New Roman" w:hAnsi="Times New Roman" w:eastAsia="仿宋" w:cs="Times New Roman"/>
          <w:b w:val="0"/>
        </w:rPr>
        <w:t>一</w:t>
      </w:r>
      <w:r>
        <w:rPr>
          <w:rStyle w:val="20"/>
          <w:rFonts w:ascii="Times New Roman" w:hAnsi="Times New Roman" w:eastAsia="仿宋" w:cs="Times New Roman"/>
          <w:b w:val="0"/>
          <w:bCs w:val="0"/>
        </w:rPr>
        <w:t>般公共预算财政拨款支出决算明细表</w:t>
      </w:r>
      <w:bookmarkEnd w:id="68"/>
      <w:bookmarkEnd w:id="69"/>
    </w:p>
    <w:p>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bookmarkStart w:id="70" w:name="_Toc15396626"/>
      <w:bookmarkStart w:id="71" w:name="_Toc26843633"/>
      <w:r>
        <w:rPr>
          <w:rStyle w:val="20"/>
          <w:rFonts w:ascii="Times New Roman" w:hAnsi="Times New Roman" w:eastAsia="仿宋" w:cs="Times New Roman"/>
          <w:b w:val="0"/>
          <w:bCs w:val="0"/>
        </w:rPr>
        <w:t>八、</w:t>
      </w:r>
      <w:r>
        <w:rPr>
          <w:rFonts w:ascii="Times New Roman" w:hAnsi="Times New Roman" w:eastAsia="仿宋" w:cs="Times New Roman"/>
          <w:b w:val="0"/>
        </w:rPr>
        <w:t>一</w:t>
      </w:r>
      <w:r>
        <w:rPr>
          <w:rStyle w:val="20"/>
          <w:rFonts w:ascii="Times New Roman" w:hAnsi="Times New Roman" w:eastAsia="仿宋" w:cs="Times New Roman"/>
          <w:b w:val="0"/>
          <w:bCs w:val="0"/>
        </w:rPr>
        <w:t>般公共预算财政拨款基本支出决算表</w:t>
      </w:r>
      <w:bookmarkEnd w:id="70"/>
      <w:bookmarkEnd w:id="71"/>
    </w:p>
    <w:p>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bookmarkStart w:id="72" w:name="_Toc26843634"/>
      <w:bookmarkStart w:id="73" w:name="_Toc15396627"/>
      <w:r>
        <w:rPr>
          <w:rStyle w:val="20"/>
          <w:rFonts w:ascii="Times New Roman" w:hAnsi="Times New Roman" w:eastAsia="仿宋" w:cs="Times New Roman"/>
          <w:b w:val="0"/>
          <w:bCs w:val="0"/>
        </w:rPr>
        <w:t>九、</w:t>
      </w:r>
      <w:r>
        <w:rPr>
          <w:rFonts w:ascii="Times New Roman" w:hAnsi="Times New Roman" w:eastAsia="仿宋" w:cs="Times New Roman"/>
          <w:b w:val="0"/>
        </w:rPr>
        <w:t>一</w:t>
      </w:r>
      <w:r>
        <w:rPr>
          <w:rStyle w:val="20"/>
          <w:rFonts w:ascii="Times New Roman" w:hAnsi="Times New Roman" w:eastAsia="仿宋" w:cs="Times New Roman"/>
          <w:b w:val="0"/>
          <w:bCs w:val="0"/>
        </w:rPr>
        <w:t>般公共预算财政拨款项目支出决算表</w:t>
      </w:r>
      <w:bookmarkEnd w:id="72"/>
      <w:bookmarkEnd w:id="73"/>
    </w:p>
    <w:p>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bookmarkStart w:id="74" w:name="_Toc15396629"/>
      <w:bookmarkStart w:id="75" w:name="_Toc26843636"/>
      <w:r>
        <w:rPr>
          <w:rStyle w:val="20"/>
          <w:rFonts w:ascii="Times New Roman" w:hAnsi="Times New Roman" w:eastAsia="仿宋" w:cs="Times New Roman"/>
          <w:b w:val="0"/>
          <w:bCs w:val="0"/>
        </w:rPr>
        <w:t>十、</w:t>
      </w:r>
      <w:r>
        <w:rPr>
          <w:rFonts w:ascii="Times New Roman" w:hAnsi="Times New Roman" w:eastAsia="仿宋" w:cs="Times New Roman"/>
          <w:b w:val="0"/>
        </w:rPr>
        <w:t>政</w:t>
      </w:r>
      <w:r>
        <w:rPr>
          <w:rStyle w:val="20"/>
          <w:rFonts w:ascii="Times New Roman" w:hAnsi="Times New Roman" w:eastAsia="仿宋" w:cs="Times New Roman"/>
          <w:b w:val="0"/>
          <w:bCs w:val="0"/>
        </w:rPr>
        <w:t>府性基金预算财政拨款收入支出决算表</w:t>
      </w:r>
      <w:bookmarkEnd w:id="74"/>
      <w:bookmarkEnd w:id="75"/>
    </w:p>
    <w:p>
      <w:pPr>
        <w:pStyle w:val="4"/>
        <w:keepNext/>
        <w:keepLines/>
        <w:pageBreakBefore w:val="0"/>
        <w:widowControl w:val="0"/>
        <w:kinsoku/>
        <w:wordWrap/>
        <w:overflowPunct/>
        <w:topLinePunct w:val="0"/>
        <w:bidi w:val="0"/>
        <w:spacing w:line="576" w:lineRule="exact"/>
        <w:rPr>
          <w:rStyle w:val="20"/>
          <w:rFonts w:ascii="Times New Roman" w:hAnsi="Times New Roman" w:eastAsia="仿宋" w:cs="Times New Roman"/>
          <w:b w:val="0"/>
          <w:bCs w:val="0"/>
        </w:rPr>
      </w:pPr>
      <w:bookmarkStart w:id="76" w:name="_Toc26843638"/>
      <w:bookmarkStart w:id="77" w:name="_Toc15396631"/>
      <w:r>
        <w:rPr>
          <w:rStyle w:val="20"/>
          <w:rFonts w:ascii="Times New Roman" w:hAnsi="Times New Roman" w:eastAsia="仿宋" w:cs="Times New Roman"/>
          <w:b w:val="0"/>
          <w:bCs w:val="0"/>
        </w:rPr>
        <w:t>十</w:t>
      </w:r>
      <w:r>
        <w:rPr>
          <w:rStyle w:val="20"/>
          <w:rFonts w:hint="eastAsia" w:ascii="Times New Roman" w:hAnsi="Times New Roman" w:eastAsia="仿宋" w:cs="Times New Roman"/>
          <w:b w:val="0"/>
          <w:bCs w:val="0"/>
          <w:lang w:val="en-US"/>
        </w:rPr>
        <w:t>一</w:t>
      </w:r>
      <w:r>
        <w:rPr>
          <w:rStyle w:val="20"/>
          <w:rFonts w:ascii="Times New Roman" w:hAnsi="Times New Roman" w:eastAsia="仿宋" w:cs="Times New Roman"/>
          <w:b w:val="0"/>
          <w:bCs w:val="0"/>
        </w:rPr>
        <w:t>、国有资本经营预算财政拨款收入支出决算表</w:t>
      </w:r>
      <w:bookmarkEnd w:id="76"/>
      <w:bookmarkEnd w:id="77"/>
    </w:p>
    <w:p>
      <w:pPr>
        <w:pStyle w:val="4"/>
        <w:keepNext/>
        <w:keepLines/>
        <w:pageBreakBefore w:val="0"/>
        <w:widowControl w:val="0"/>
        <w:kinsoku/>
        <w:wordWrap/>
        <w:overflowPunct/>
        <w:topLinePunct w:val="0"/>
        <w:bidi w:val="0"/>
        <w:spacing w:line="576" w:lineRule="exact"/>
        <w:rPr>
          <w:rStyle w:val="20"/>
          <w:rFonts w:ascii="Times New Roman" w:hAnsi="Times New Roman" w:eastAsia="仿宋" w:cs="Times New Roman"/>
          <w:b w:val="0"/>
          <w:bCs w:val="0"/>
        </w:rPr>
      </w:pPr>
      <w:bookmarkStart w:id="78" w:name="_Toc26843639"/>
      <w:r>
        <w:rPr>
          <w:rStyle w:val="20"/>
          <w:rFonts w:ascii="Times New Roman" w:hAnsi="Times New Roman" w:eastAsia="仿宋" w:cs="Times New Roman"/>
          <w:b w:val="0"/>
          <w:bCs w:val="0"/>
        </w:rPr>
        <w:t>十</w:t>
      </w:r>
      <w:r>
        <w:rPr>
          <w:rStyle w:val="20"/>
          <w:rFonts w:hint="eastAsia" w:ascii="Times New Roman" w:hAnsi="Times New Roman" w:eastAsia="仿宋" w:cs="Times New Roman"/>
          <w:b w:val="0"/>
          <w:bCs w:val="0"/>
          <w:lang w:val="en-US"/>
        </w:rPr>
        <w:t>二</w:t>
      </w:r>
      <w:r>
        <w:rPr>
          <w:rStyle w:val="20"/>
          <w:rFonts w:ascii="Times New Roman" w:hAnsi="Times New Roman" w:eastAsia="仿宋" w:cs="Times New Roman"/>
          <w:b w:val="0"/>
          <w:bCs w:val="0"/>
        </w:rPr>
        <w:t>、国有资本经营预算财政拨款支出决算表</w:t>
      </w:r>
      <w:bookmarkEnd w:id="78"/>
    </w:p>
    <w:p>
      <w:pPr>
        <w:pStyle w:val="4"/>
        <w:keepNext/>
        <w:keepLines/>
        <w:pageBreakBefore w:val="0"/>
        <w:widowControl w:val="0"/>
        <w:kinsoku/>
        <w:wordWrap/>
        <w:overflowPunct/>
        <w:topLinePunct w:val="0"/>
        <w:bidi w:val="0"/>
        <w:spacing w:line="576" w:lineRule="exact"/>
        <w:rPr>
          <w:rStyle w:val="20"/>
          <w:rFonts w:ascii="Times New Roman" w:hAnsi="Times New Roman" w:eastAsia="仿宋" w:cs="Times New Roman"/>
          <w:b w:val="0"/>
          <w:bCs w:val="0"/>
        </w:rPr>
      </w:pPr>
      <w:r>
        <w:rPr>
          <w:rStyle w:val="20"/>
          <w:rFonts w:ascii="Times New Roman" w:hAnsi="Times New Roman" w:eastAsia="仿宋" w:cs="Times New Roman"/>
          <w:b w:val="0"/>
          <w:bCs w:val="0"/>
          <w:lang w:val="en-US" w:eastAsia="zh-CN"/>
        </w:rPr>
        <w:t>十</w:t>
      </w:r>
      <w:r>
        <w:rPr>
          <w:rStyle w:val="20"/>
          <w:rFonts w:hint="eastAsia" w:ascii="Times New Roman" w:hAnsi="Times New Roman" w:eastAsia="仿宋" w:cs="Times New Roman"/>
          <w:b w:val="0"/>
          <w:bCs w:val="0"/>
          <w:lang w:val="en-US" w:eastAsia="zh-CN"/>
        </w:rPr>
        <w:t>三</w:t>
      </w:r>
      <w:r>
        <w:rPr>
          <w:rStyle w:val="20"/>
          <w:rFonts w:ascii="Times New Roman" w:hAnsi="Times New Roman" w:eastAsia="仿宋" w:cs="Times New Roman"/>
          <w:b w:val="0"/>
          <w:bCs w:val="0"/>
          <w:lang w:val="en-US" w:eastAsia="zh-CN"/>
        </w:rPr>
        <w:t>、</w:t>
      </w:r>
      <w:r>
        <w:rPr>
          <w:rStyle w:val="20"/>
          <w:rFonts w:hint="eastAsia" w:ascii="Times New Roman" w:hAnsi="Times New Roman" w:eastAsia="仿宋" w:cs="Times New Roman"/>
          <w:b w:val="0"/>
          <w:bCs w:val="0"/>
          <w:lang w:val="en-US" w:eastAsia="zh-CN"/>
        </w:rPr>
        <w:t>财政拨款“三公”经费支出决算表</w:t>
      </w: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script"/>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楷体_GBK">
    <w:altName w:val="微软雅黑"/>
    <w:panose1 w:val="03000509000000000000"/>
    <w:charset w:val="86"/>
    <w:family w:val="auto"/>
    <w:pitch w:val="default"/>
    <w:sig w:usb0="00000000" w:usb1="00000000" w:usb2="00000000" w:usb3="00000000" w:csb0="00040000" w:csb1="00000000"/>
  </w:font>
  <w:font w:name="方正黑体_GBK">
    <w:altName w:val="微软雅黑"/>
    <w:panose1 w:val="03000509000000000000"/>
    <w:charset w:val="86"/>
    <w:family w:val="auto"/>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66894358"/>
    </w:sdtPr>
    <w:sdtContent>
      <w:p>
        <w:pPr>
          <w:pStyle w:val="8"/>
          <w:jc w:val="center"/>
        </w:pPr>
        <w:r>
          <w:fldChar w:fldCharType="begin"/>
        </w:r>
        <w:r>
          <w:instrText xml:space="preserve">PAGE   \* MERGEFORMAT</w:instrText>
        </w:r>
        <w:r>
          <w:fldChar w:fldCharType="separate"/>
        </w:r>
        <w:r>
          <w:rPr>
            <w:lang w:val="zh-CN"/>
          </w:rPr>
          <w:t>8</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C838808"/>
    <w:multiLevelType w:val="singleLevel"/>
    <w:tmpl w:val="AC838808"/>
    <w:lvl w:ilvl="0" w:tentative="0">
      <w:start w:val="2"/>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pPr>
        <w:ind w:left="0" w:firstLine="0"/>
      </w:pPr>
      <w:rPr>
        <w:rFonts w:hint="eastAsia"/>
      </w:rPr>
    </w:lvl>
  </w:abstractNum>
  <w:abstractNum w:abstractNumId="2">
    <w:nsid w:val="E2FA047D"/>
    <w:multiLevelType w:val="singleLevel"/>
    <w:tmpl w:val="E2FA047D"/>
    <w:lvl w:ilvl="0" w:tentative="0">
      <w:start w:val="3"/>
      <w:numFmt w:val="chineseCounting"/>
      <w:suff w:val="space"/>
      <w:lvlText w:val="第%1部分"/>
      <w:lvlJc w:val="left"/>
      <w:pPr>
        <w:ind w:left="0" w:firstLine="0"/>
      </w:pPr>
      <w:rPr>
        <w:rFonts w:hint="eastAsia"/>
      </w:rPr>
    </w:lvl>
  </w:abstractNum>
  <w:abstractNum w:abstractNumId="3">
    <w:nsid w:val="030F0738"/>
    <w:multiLevelType w:val="singleLevel"/>
    <w:tmpl w:val="030F0738"/>
    <w:lvl w:ilvl="0" w:tentative="0">
      <w:start w:val="3"/>
      <w:numFmt w:val="chineseCounting"/>
      <w:suff w:val="nothing"/>
      <w:lvlText w:val="%1、"/>
      <w:lvlJc w:val="left"/>
      <w:rPr>
        <w:rFonts w:hint="eastAsia"/>
      </w:rPr>
    </w:lvl>
  </w:abstractNum>
  <w:abstractNum w:abstractNumId="4">
    <w:nsid w:val="29CD1C74"/>
    <w:multiLevelType w:val="singleLevel"/>
    <w:tmpl w:val="29CD1C74"/>
    <w:lvl w:ilvl="0" w:tentative="0">
      <w:start w:val="1"/>
      <w:numFmt w:val="chineseCounting"/>
      <w:suff w:val="nothing"/>
      <w:lvlText w:val="%1、"/>
      <w:lvlJc w:val="left"/>
      <w:rPr>
        <w:rFonts w:hint="eastAsia"/>
      </w:rPr>
    </w:lvl>
  </w:abstractNum>
  <w:abstractNum w:abstractNumId="5">
    <w:nsid w:val="37894ED9"/>
    <w:multiLevelType w:val="singleLevel"/>
    <w:tmpl w:val="37894ED9"/>
    <w:lvl w:ilvl="0" w:tentative="0">
      <w:start w:val="5"/>
      <w:numFmt w:val="chineseCounting"/>
      <w:suff w:val="nothing"/>
      <w:lvlText w:val="%1、"/>
      <w:lvlJc w:val="left"/>
      <w:rPr>
        <w:rFonts w:hint="eastAsia"/>
      </w:rPr>
    </w:lvl>
  </w:abstractNum>
  <w:abstractNum w:abstractNumId="6">
    <w:nsid w:val="5876EFCB"/>
    <w:multiLevelType w:val="singleLevel"/>
    <w:tmpl w:val="5876EFCB"/>
    <w:lvl w:ilvl="0" w:tentative="0">
      <w:start w:val="1"/>
      <w:numFmt w:val="decimal"/>
      <w:suff w:val="nothing"/>
      <w:lvlText w:val="（%1）"/>
      <w:lvlJc w:val="left"/>
    </w:lvl>
  </w:abstractNum>
  <w:abstractNum w:abstractNumId="7">
    <w:nsid w:val="587719A2"/>
    <w:multiLevelType w:val="singleLevel"/>
    <w:tmpl w:val="587719A2"/>
    <w:lvl w:ilvl="0" w:tentative="0">
      <w:start w:val="2"/>
      <w:numFmt w:val="decimal"/>
      <w:suff w:val="nothing"/>
      <w:lvlText w:val="（%1）"/>
      <w:lvlJc w:val="left"/>
    </w:lvl>
  </w:abstractNum>
  <w:abstractNum w:abstractNumId="8">
    <w:nsid w:val="58772309"/>
    <w:multiLevelType w:val="singleLevel"/>
    <w:tmpl w:val="58772309"/>
    <w:lvl w:ilvl="0" w:tentative="0">
      <w:start w:val="2"/>
      <w:numFmt w:val="decimal"/>
      <w:suff w:val="nothing"/>
      <w:lvlText w:val="（%1）"/>
      <w:lvlJc w:val="left"/>
    </w:lvl>
  </w:abstractNum>
  <w:num w:numId="1">
    <w:abstractNumId w:val="6"/>
  </w:num>
  <w:num w:numId="2">
    <w:abstractNumId w:val="7"/>
  </w:num>
  <w:num w:numId="3">
    <w:abstractNumId w:val="8"/>
  </w:num>
  <w:num w:numId="4">
    <w:abstractNumId w:val="1"/>
  </w:num>
  <w:num w:numId="5">
    <w:abstractNumId w:val="2"/>
  </w:num>
  <w:num w:numId="6">
    <w:abstractNumId w:val="0"/>
  </w:num>
  <w:num w:numId="7">
    <w:abstractNumId w:val="3"/>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
  <w:docVars>
    <w:docVar w:name="commondata" w:val="eyJoZGlkIjoiNjFiYzUwY2QwZjNiY2Q3NTllZDlhNzUxNDEwOGI1ODIifQ=="/>
  </w:docVars>
  <w:rsids>
    <w:rsidRoot w:val="00000000"/>
    <w:rsid w:val="0BBA7E9C"/>
    <w:rsid w:val="1FE5297C"/>
    <w:rsid w:val="2A457C23"/>
    <w:rsid w:val="2B114712"/>
    <w:rsid w:val="2E0F0F2A"/>
    <w:rsid w:val="3B3B50D8"/>
    <w:rsid w:val="71360BF2"/>
    <w:rsid w:val="7AE57E4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9"/>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30"/>
    <w:uiPriority w:val="0"/>
    <w:pPr>
      <w:keepNext/>
      <w:keepLines/>
      <w:widowControl w:val="0"/>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6">
    <w:name w:val="Default Paragraph Font"/>
    <w:uiPriority w:val="0"/>
  </w:style>
  <w:style w:type="table" w:default="1" w:styleId="15">
    <w:name w:val="Normal Table"/>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before="30" w:beforeLines="30"/>
    </w:pPr>
    <w:rPr>
      <w:rFonts w:ascii="仿宋_GB2312" w:eastAsia="仿宋_GB2312"/>
      <w:kern w:val="0"/>
      <w:sz w:val="30"/>
    </w:rPr>
  </w:style>
  <w:style w:type="paragraph" w:styleId="6">
    <w:name w:val="toc 3"/>
    <w:basedOn w:val="1"/>
    <w:next w:val="1"/>
    <w:qFormat/>
    <w:uiPriority w:val="0"/>
    <w:pPr>
      <w:tabs>
        <w:tab w:val="right" w:leader="dot" w:pos="8296"/>
      </w:tabs>
      <w:ind w:left="400" w:leftChars="400"/>
    </w:pPr>
  </w:style>
  <w:style w:type="paragraph" w:styleId="7">
    <w:name w:val="Balloon Text"/>
    <w:basedOn w:val="1"/>
    <w:qFormat/>
    <w:uiPriority w:val="0"/>
    <w:rPr>
      <w:sz w:val="18"/>
      <w:szCs w:val="18"/>
    </w:rPr>
  </w:style>
  <w:style w:type="paragraph" w:styleId="8">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qFormat/>
    <w:uiPriority w:val="0"/>
    <w:pPr>
      <w:tabs>
        <w:tab w:val="right" w:leader="dot" w:pos="8296"/>
      </w:tabs>
      <w:spacing w:before="93"/>
      <w:jc w:val="center"/>
    </w:pPr>
    <w:rPr>
      <w:rFonts w:ascii="仿宋" w:eastAsia="仿宋"/>
      <w:sz w:val="28"/>
      <w:szCs w:val="28"/>
    </w:rPr>
  </w:style>
  <w:style w:type="paragraph" w:styleId="11">
    <w:name w:val="table of figures"/>
    <w:basedOn w:val="1"/>
    <w:next w:val="1"/>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kinsoku/>
      <w:wordWrap/>
      <w:overflowPunct/>
      <w:topLinePunct w:val="0"/>
      <w:autoSpaceDE/>
      <w:autoSpaceDN/>
      <w:bidi w:val="0"/>
      <w:adjustRightInd/>
      <w:snapToGrid/>
      <w:spacing w:before="100" w:beforeAutospacing="1" w:after="100" w:afterAutospacing="1" w:line="240" w:lineRule="auto"/>
      <w:ind w:left="400" w:leftChars="200" w:right="0" w:hanging="200" w:hangingChars="200"/>
      <w:jc w:val="both"/>
      <w:textAlignment w:val="auto"/>
      <w:outlineLvl w:val="9"/>
    </w:pPr>
    <w:rPr>
      <w:rFonts w:ascii="Calibri" w:hAnsi="Calibri" w:eastAsia="宋体" w:cs="Times New Roman"/>
      <w:snapToGrid/>
      <w:color w:val="auto"/>
      <w:spacing w:val="0"/>
      <w:w w:val="100"/>
      <w:kern w:val="2"/>
      <w:position w:val="0"/>
      <w:sz w:val="21"/>
      <w:szCs w:val="21"/>
      <w:u w:val="none" w:color="auto"/>
      <w:vertAlign w:val="baseline"/>
      <w:lang w:val="en-US" w:eastAsia="zh-CN" w:bidi="ar-SA"/>
    </w:rPr>
  </w:style>
  <w:style w:type="paragraph" w:styleId="12">
    <w:name w:val="toc 2"/>
    <w:basedOn w:val="1"/>
    <w:next w:val="1"/>
    <w:qFormat/>
    <w:uiPriority w:val="0"/>
    <w:pPr>
      <w:tabs>
        <w:tab w:val="right" w:leader="dot" w:pos="8296"/>
      </w:tabs>
      <w:ind w:left="200" w:leftChars="200"/>
    </w:pPr>
  </w:style>
  <w:style w:type="paragraph" w:styleId="1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4">
    <w:name w:val="Normal (Web)"/>
    <w:basedOn w:val="1"/>
    <w:uiPriority w:val="0"/>
    <w:pPr>
      <w:spacing w:before="0" w:beforeAutospacing="1" w:after="0" w:afterAutospacing="1"/>
      <w:ind w:left="0" w:right="0"/>
      <w:jc w:val="left"/>
    </w:pPr>
    <w:rPr>
      <w:kern w:val="0"/>
      <w:sz w:val="24"/>
      <w:lang w:val="en-US" w:eastAsia="zh-CN" w:bidi="ar"/>
    </w:rPr>
  </w:style>
  <w:style w:type="character" w:styleId="17">
    <w:name w:val="Strong"/>
    <w:basedOn w:val="16"/>
    <w:qFormat/>
    <w:uiPriority w:val="0"/>
    <w:rPr>
      <w:b/>
    </w:rPr>
  </w:style>
  <w:style w:type="character" w:styleId="18">
    <w:name w:val="Hyperlink"/>
    <w:basedOn w:val="16"/>
    <w:qFormat/>
    <w:uiPriority w:val="0"/>
    <w:rPr>
      <w:color w:val="0000FF"/>
      <w:u w:val="single"/>
    </w:rPr>
  </w:style>
  <w:style w:type="character" w:customStyle="1" w:styleId="19">
    <w:name w:val="heading 1 Char"/>
    <w:basedOn w:val="16"/>
    <w:link w:val="3"/>
    <w:qFormat/>
    <w:uiPriority w:val="0"/>
    <w:rPr>
      <w:rFonts w:ascii="Times New Roman" w:hAnsi="Times New Roman" w:eastAsia="宋体" w:cs="Times New Roman"/>
      <w:b/>
      <w:bCs/>
      <w:kern w:val="44"/>
      <w:sz w:val="44"/>
      <w:szCs w:val="44"/>
      <w:lang w:val="en-US" w:eastAsia="zh-CN" w:bidi="ar-SA"/>
    </w:rPr>
  </w:style>
  <w:style w:type="character" w:customStyle="1" w:styleId="20">
    <w:name w:val="heading 2 Char"/>
    <w:basedOn w:val="16"/>
    <w:link w:val="4"/>
    <w:qFormat/>
    <w:uiPriority w:val="0"/>
    <w:rPr>
      <w:rFonts w:ascii="Cambria" w:hAnsi="Cambria" w:eastAsia="宋体" w:cs="Times New Roman"/>
      <w:b/>
      <w:bCs/>
      <w:kern w:val="2"/>
      <w:sz w:val="32"/>
      <w:szCs w:val="32"/>
      <w:lang w:val="en-US" w:eastAsia="zh-CN" w:bidi="ar-SA"/>
    </w:rPr>
  </w:style>
  <w:style w:type="character" w:customStyle="1" w:styleId="21">
    <w:name w:val="Header Char"/>
    <w:basedOn w:val="16"/>
    <w:qFormat/>
    <w:uiPriority w:val="0"/>
    <w:rPr>
      <w:rFonts w:ascii="Times New Roman" w:hAnsi="Times New Roman"/>
      <w:sz w:val="18"/>
      <w:szCs w:val="18"/>
    </w:rPr>
  </w:style>
  <w:style w:type="character" w:customStyle="1" w:styleId="22">
    <w:name w:val="Footer Char"/>
    <w:basedOn w:val="16"/>
    <w:qFormat/>
    <w:uiPriority w:val="0"/>
    <w:rPr>
      <w:rFonts w:ascii="Times New Roman" w:hAnsi="Times New Roman"/>
      <w:sz w:val="18"/>
      <w:szCs w:val="18"/>
    </w:rPr>
  </w:style>
  <w:style w:type="character" w:customStyle="1" w:styleId="23">
    <w:name w:val="Body Text Char"/>
    <w:basedOn w:val="16"/>
    <w:qFormat/>
    <w:uiPriority w:val="0"/>
    <w:rPr>
      <w:rFonts w:ascii="Times New Roman" w:hAnsi="Times New Roman"/>
      <w:szCs w:val="24"/>
    </w:rPr>
  </w:style>
  <w:style w:type="paragraph" w:customStyle="1" w:styleId="24">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5">
    <w:name w:val="List Paragraph"/>
    <w:basedOn w:val="1"/>
    <w:qFormat/>
    <w:uiPriority w:val="0"/>
    <w:pPr>
      <w:ind w:firstLine="200" w:firstLineChars="200"/>
    </w:pPr>
  </w:style>
  <w:style w:type="paragraph" w:customStyle="1" w:styleId="26">
    <w:name w:val="TOC 标题1"/>
    <w:basedOn w:val="3"/>
    <w:next w:val="1"/>
    <w:qFormat/>
    <w:uiPriority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27">
    <w:name w:val="TOC 标题2"/>
    <w:basedOn w:val="3"/>
    <w:next w:val="1"/>
    <w:qFormat/>
    <w:uiPriority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28">
    <w:name w:val="文档正文"/>
    <w:qFormat/>
    <w:uiPriority w:val="0"/>
    <w:pPr>
      <w:adjustRightInd w:val="0"/>
      <w:spacing w:line="480" w:lineRule="atLeast"/>
      <w:textAlignment w:val="baseline"/>
    </w:pPr>
    <w:rPr>
      <w:rFonts w:ascii="Arial" w:hAnsi="Arial" w:eastAsia="宋体" w:cs="Times New Roman"/>
      <w:kern w:val="0"/>
      <w:sz w:val="20"/>
      <w:szCs w:val="20"/>
      <w:lang w:val="en-US" w:eastAsia="zh-CN" w:bidi="ar-SA"/>
    </w:rPr>
  </w:style>
  <w:style w:type="character" w:customStyle="1" w:styleId="29">
    <w:name w:val="style111"/>
    <w:basedOn w:val="16"/>
    <w:unhideWhenUsed/>
    <w:qFormat/>
    <w:uiPriority w:val="99"/>
    <w:rPr>
      <w:rFonts w:hint="default" w:ascii="Times New Roman" w:hAnsi="Times New Roman" w:eastAsia="宋体"/>
      <w:sz w:val="24"/>
    </w:rPr>
  </w:style>
  <w:style w:type="character" w:customStyle="1" w:styleId="30">
    <w:name w:val="标题 2 Char"/>
    <w:basedOn w:val="16"/>
    <w:link w:val="4"/>
    <w:qFormat/>
    <w:uiPriority w:val="0"/>
    <w:rPr>
      <w:rFonts w:ascii="Cambria" w:hAnsi="Cambria" w:eastAsia="宋体" w:cs="Times New Roman"/>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t>收入支出对比表</a:t>
            </a:r>
          </a:p>
        </c:rich>
      </c:tx>
      <c:layout/>
      <c:overlay val="0"/>
      <c:spPr>
        <a:noFill/>
        <a:ln>
          <a:noFill/>
        </a:ln>
        <a:effectLst/>
      </c:spPr>
    </c:title>
    <c:autoTitleDeleted val="0"/>
    <c:plotArea>
      <c:layout/>
      <c:barChart>
        <c:barDir val="col"/>
        <c:grouping val="clustered"/>
        <c:varyColors val="0"/>
        <c:ser>
          <c:idx val="0"/>
          <c:order val="0"/>
          <c:tx>
            <c:strRef>
              <c:f>[工作簿1]Sheet1!$A$2</c:f>
              <c:strCache>
                <c:ptCount val="1"/>
                <c:pt idx="0">
                  <c:v>收入</c:v>
                </c:pt>
              </c:strCache>
            </c:strRef>
          </c:tx>
          <c:spPr>
            <a:solidFill>
              <a:srgbClr val="4F81BD"/>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numRef>
              <c:f>[工作簿1]Sheet1!$B$1:$C$1</c:f>
              <c:numCache>
                <c:formatCode>General</c:formatCode>
                <c:ptCount val="2"/>
                <c:pt idx="0">
                  <c:v>2021</c:v>
                </c:pt>
                <c:pt idx="1">
                  <c:v>2022</c:v>
                </c:pt>
              </c:numCache>
            </c:numRef>
          </c:cat>
          <c:val>
            <c:numRef>
              <c:f>[工作簿1]Sheet1!$B$2:$C$2</c:f>
              <c:numCache>
                <c:formatCode>General</c:formatCode>
                <c:ptCount val="2"/>
                <c:pt idx="0">
                  <c:v>853.19</c:v>
                </c:pt>
                <c:pt idx="1">
                  <c:v>992.24</c:v>
                </c:pt>
              </c:numCache>
            </c:numRef>
          </c:val>
        </c:ser>
        <c:ser>
          <c:idx val="1"/>
          <c:order val="1"/>
          <c:tx>
            <c:strRef>
              <c:f>[工作簿1]Sheet1!$A$3</c:f>
              <c:strCache>
                <c:ptCount val="1"/>
                <c:pt idx="0">
                  <c:v>支出</c:v>
                </c:pt>
              </c:strCache>
            </c:strRef>
          </c:tx>
          <c:spPr>
            <a:solidFill>
              <a:srgbClr val="C0504D"/>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numRef>
              <c:f>[工作簿1]Sheet1!$B$1:$C$1</c:f>
              <c:numCache>
                <c:formatCode>General</c:formatCode>
                <c:ptCount val="2"/>
                <c:pt idx="0">
                  <c:v>2021</c:v>
                </c:pt>
                <c:pt idx="1">
                  <c:v>2022</c:v>
                </c:pt>
              </c:numCache>
            </c:numRef>
          </c:cat>
          <c:val>
            <c:numRef>
              <c:f>[工作簿1]Sheet1!$B$3:$C$3</c:f>
              <c:numCache>
                <c:formatCode>General</c:formatCode>
                <c:ptCount val="2"/>
                <c:pt idx="0">
                  <c:v>853.19</c:v>
                </c:pt>
                <c:pt idx="1">
                  <c:v>992.24</c:v>
                </c:pt>
              </c:numCache>
            </c:numRef>
          </c:val>
        </c:ser>
        <c:dLbls>
          <c:showLegendKey val="0"/>
          <c:showVal val="1"/>
          <c:showCatName val="0"/>
          <c:showSerName val="0"/>
          <c:showPercent val="0"/>
          <c:showBubbleSize val="0"/>
        </c:dLbls>
        <c:gapWidth val="219"/>
        <c:overlap val="-27"/>
        <c:axId val="53021426"/>
        <c:axId val="872950519"/>
      </c:barChart>
      <c:catAx>
        <c:axId val="53021426"/>
        <c:scaling>
          <c:orientation val="minMax"/>
        </c:scaling>
        <c:delete val="0"/>
        <c:axPos val="b"/>
        <c:majorTickMark val="none"/>
        <c:minorTickMark val="none"/>
        <c:tickLblPos val="nextTo"/>
        <c:spPr>
          <a:noFill/>
          <a:ln w="9525" cap="flat" cmpd="sng" algn="ctr">
            <a:solidFill>
              <a:srgbClr val="D9D9D9">
                <a:lumMod val="15000"/>
                <a:lumOff val="85000"/>
              </a:srgbClr>
            </a:solidFill>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872950519"/>
        <c:crosses val="autoZero"/>
        <c:auto val="1"/>
        <c:lblAlgn val="ctr"/>
        <c:lblOffset val="100"/>
        <c:noMultiLvlLbl val="0"/>
      </c:catAx>
      <c:valAx>
        <c:axId val="872950519"/>
        <c:scaling>
          <c:orientation val="minMax"/>
        </c:scaling>
        <c:delete val="0"/>
        <c:axPos val="l"/>
        <c:majorGridlines>
          <c:spPr>
            <a:ln w="9525" cap="flat" cmpd="sng" algn="ctr">
              <a:solidFill>
                <a:srgbClr val="D9D9D9">
                  <a:lumMod val="15000"/>
                  <a:lumOff val="85000"/>
                </a:srgb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5302142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t>收入结构</a:t>
            </a:r>
          </a:p>
        </c:rich>
      </c:tx>
      <c:layout/>
      <c:overlay val="0"/>
      <c:spPr>
        <a:noFill/>
        <a:ln>
          <a:noFill/>
        </a:ln>
        <a:effectLst/>
      </c:spPr>
    </c:title>
    <c:autoTitleDeleted val="0"/>
    <c:plotArea>
      <c:layout/>
      <c:pieChart>
        <c:varyColors val="1"/>
        <c:ser>
          <c:idx val="0"/>
          <c:order val="0"/>
          <c:spPr/>
          <c:explosion val="0"/>
          <c:dPt>
            <c:idx val="0"/>
            <c:bubble3D val="0"/>
            <c:spPr>
              <a:solidFill>
                <a:srgbClr val="4F81BD"/>
              </a:solidFill>
              <a:ln w="19050">
                <a:solidFill>
                  <a:srgbClr val="FFFFFF"/>
                </a:solidFill>
              </a:ln>
              <a:effectLst/>
            </c:spPr>
          </c:dPt>
          <c:dPt>
            <c:idx val="1"/>
            <c:bubble3D val="0"/>
            <c:spPr>
              <a:solidFill>
                <a:srgbClr val="C0504D"/>
              </a:solidFill>
              <a:ln w="19050">
                <a:solidFill>
                  <a:srgbClr val="FFFFFF"/>
                </a:solidFill>
              </a:ln>
              <a:effectLst/>
            </c:spPr>
          </c:dPt>
          <c:dPt>
            <c:idx val="2"/>
            <c:bubble3D val="0"/>
            <c:spPr>
              <a:solidFill>
                <a:srgbClr val="9BBB59"/>
              </a:solidFill>
              <a:ln w="19050">
                <a:solidFill>
                  <a:srgbClr val="FFFFFF"/>
                </a:solidFill>
              </a:ln>
              <a:effectLst/>
            </c:spPr>
          </c:dPt>
          <c:dPt>
            <c:idx val="3"/>
            <c:bubble3D val="0"/>
            <c:spPr>
              <a:solidFill>
                <a:srgbClr val="8064A2"/>
              </a:solidFill>
              <a:ln w="19050">
                <a:solidFill>
                  <a:srgbClr val="FFFFFF"/>
                </a:solidFill>
              </a:ln>
              <a:effectLst/>
            </c:spPr>
          </c:dPt>
          <c:dPt>
            <c:idx val="4"/>
            <c:bubble3D val="0"/>
            <c:spPr>
              <a:solidFill>
                <a:srgbClr val="4BACC6"/>
              </a:solidFill>
              <a:ln w="19050">
                <a:solidFill>
                  <a:srgbClr val="FFFFFF"/>
                </a:solidFill>
              </a:ln>
              <a:effectLst/>
            </c:spPr>
          </c:dPt>
          <c:dPt>
            <c:idx val="5"/>
            <c:bubble3D val="0"/>
            <c:spPr>
              <a:solidFill>
                <a:srgbClr val="F79646"/>
              </a:solidFill>
              <a:ln w="19050">
                <a:solidFill>
                  <a:srgbClr val="FFFFFF"/>
                </a:solidFill>
              </a:ln>
              <a:effectLst/>
            </c:spPr>
          </c:dPt>
          <c:dPt>
            <c:idx val="6"/>
            <c:bubble3D val="0"/>
            <c:spPr>
              <a:solidFill>
                <a:srgbClr val="2C4D75">
                  <a:lumMod val="60000"/>
                </a:srgbClr>
              </a:solidFill>
              <a:ln w="19050">
                <a:solidFill>
                  <a:srgbClr val="FFFFFF"/>
                </a:solidFill>
              </a:ln>
              <a:effectLst/>
            </c:spPr>
          </c:dPt>
          <c:dPt>
            <c:idx val="7"/>
            <c:bubble3D val="0"/>
            <c:spPr>
              <a:solidFill>
                <a:srgbClr val="772C2A">
                  <a:lumMod val="60000"/>
                </a:srgbClr>
              </a:solidFill>
              <a:ln w="19050">
                <a:solidFill>
                  <a:srgbClr val="FFFFFF"/>
                </a:solidFill>
              </a:ln>
              <a:effectLst/>
            </c:spPr>
          </c:dPt>
          <c:dPt>
            <c:idx val="8"/>
            <c:bubble3D val="0"/>
            <c:spPr>
              <a:solidFill>
                <a:srgbClr val="5F7530">
                  <a:lumMod val="60000"/>
                </a:srgbClr>
              </a:solidFill>
              <a:ln w="19050">
                <a:solidFill>
                  <a:srgbClr val="FFFFFF"/>
                </a:solidFill>
              </a:ln>
              <a:effectLst/>
            </c:spPr>
          </c:dPt>
          <c:dPt>
            <c:idx val="9"/>
            <c:bubble3D val="0"/>
            <c:spPr>
              <a:solidFill>
                <a:srgbClr val="4D3B62">
                  <a:lumMod val="60000"/>
                </a:srgbClr>
              </a:solidFill>
              <a:ln w="19050">
                <a:solidFill>
                  <a:srgbClr val="FFFFFF"/>
                </a:solidFill>
              </a:ln>
              <a:effectLst/>
            </c:spPr>
          </c:dPt>
          <c:dPt>
            <c:idx val="10"/>
            <c:bubble3D val="0"/>
            <c:spPr>
              <a:solidFill>
                <a:srgbClr val="276A7C">
                  <a:lumMod val="60000"/>
                </a:srgbClr>
              </a:solidFill>
              <a:ln w="19050">
                <a:solidFill>
                  <a:srgbClr val="FFFFFF"/>
                </a:solidFill>
              </a:ln>
              <a:effectLst/>
            </c:spPr>
          </c:dPt>
          <c:dPt>
            <c:idx val="11"/>
            <c:bubble3D val="0"/>
            <c:spPr>
              <a:solidFill>
                <a:srgbClr val="B65708">
                  <a:lumMod val="60000"/>
                </a:srgbClr>
              </a:solidFill>
              <a:ln w="19050">
                <a:solidFill>
                  <a:srgbClr val="FFFFFF"/>
                </a:solidFill>
              </a:ln>
              <a:effectLst/>
            </c:spPr>
          </c:dPt>
          <c:dPt>
            <c:idx val="12"/>
            <c:bubble3D val="0"/>
            <c:spPr>
              <a:solidFill>
                <a:srgbClr val="729ACA">
                  <a:lumMod val="80000"/>
                  <a:lumOff val="20000"/>
                </a:srgbClr>
              </a:solidFill>
              <a:ln w="19050">
                <a:solidFill>
                  <a:srgbClr val="FFFFFF"/>
                </a:solidFill>
              </a:ln>
              <a:effectLst/>
            </c:spPr>
          </c:dPt>
          <c:dPt>
            <c:idx val="13"/>
            <c:bubble3D val="0"/>
            <c:spPr>
              <a:solidFill>
                <a:srgbClr val="CD7371">
                  <a:lumMod val="80000"/>
                  <a:lumOff val="20000"/>
                </a:srgbClr>
              </a:solidFill>
              <a:ln w="19050">
                <a:solidFill>
                  <a:srgbClr val="FFFFFF"/>
                </a:solidFill>
              </a:ln>
              <a:effectLst/>
            </c:spPr>
          </c:dPt>
          <c:dPt>
            <c:idx val="14"/>
            <c:bubble3D val="0"/>
            <c:spPr>
              <a:solidFill>
                <a:srgbClr val="AFC97A">
                  <a:lumMod val="80000"/>
                  <a:lumOff val="20000"/>
                </a:srgbClr>
              </a:solidFill>
              <a:ln w="19050">
                <a:solidFill>
                  <a:srgbClr val="FFFFFF"/>
                </a:solidFill>
              </a:ln>
              <a:effectLst/>
            </c:spPr>
          </c:dPt>
          <c:dPt>
            <c:idx val="15"/>
            <c:bubble3D val="0"/>
            <c:spPr>
              <a:solidFill>
                <a:srgbClr val="9983B5">
                  <a:lumMod val="80000"/>
                  <a:lumOff val="20000"/>
                </a:srgbClr>
              </a:solidFill>
              <a:ln w="19050">
                <a:solidFill>
                  <a:srgbClr val="FFFFFF"/>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[工作簿1]Sheet1!$A$1:$A$16</c:f>
              <c:strCache>
                <c:ptCount val="16"/>
                <c:pt idx="0">
                  <c:v>人大运行</c:v>
                </c:pt>
                <c:pt idx="1">
                  <c:v>人大会议</c:v>
                </c:pt>
                <c:pt idx="2">
                  <c:v>行政运行</c:v>
                </c:pt>
                <c:pt idx="3">
                  <c:v>党委运行</c:v>
                </c:pt>
                <c:pt idx="4">
                  <c:v>机关事业单位基本养老保险缴费支出</c:v>
                </c:pt>
                <c:pt idx="5">
                  <c:v>机关事业单位职业年金缴费支出</c:v>
                </c:pt>
                <c:pt idx="6">
                  <c:v>突发公共卫生事件应急处理</c:v>
                </c:pt>
                <c:pt idx="7">
                  <c:v>行政单位医疗</c:v>
                </c:pt>
                <c:pt idx="8">
                  <c:v>事业单位医疗</c:v>
                </c:pt>
                <c:pt idx="9">
                  <c:v>公务员医疗补助</c:v>
                </c:pt>
                <c:pt idx="10">
                  <c:v>其他行政事业单位医疗支出</c:v>
                </c:pt>
                <c:pt idx="11">
                  <c:v>生态保护</c:v>
                </c:pt>
                <c:pt idx="12">
                  <c:v>事业运行</c:v>
                </c:pt>
                <c:pt idx="13">
                  <c:v>对村民委员会和村党支部的补助</c:v>
                </c:pt>
                <c:pt idx="14">
                  <c:v>住房公积金</c:v>
                </c:pt>
                <c:pt idx="15">
                  <c:v>其他支出</c:v>
                </c:pt>
              </c:strCache>
            </c:strRef>
          </c:cat>
          <c:val>
            <c:numRef>
              <c:f>[工作簿1]Sheet1!$B$1:$B$16</c:f>
              <c:numCache>
                <c:formatCode>0.00%</c:formatCode>
                <c:ptCount val="16"/>
                <c:pt idx="0">
                  <c:v>0.0211915016534132</c:v>
                </c:pt>
                <c:pt idx="1">
                  <c:v>0.000201563902675325</c:v>
                </c:pt>
                <c:pt idx="2">
                  <c:v>0.291623740656452</c:v>
                </c:pt>
                <c:pt idx="3">
                  <c:v>0.0203151782152535</c:v>
                </c:pt>
                <c:pt idx="4">
                  <c:v>0.0495042569058874</c:v>
                </c:pt>
                <c:pt idx="5">
                  <c:v>0.0247521259583769</c:v>
                </c:pt>
                <c:pt idx="6">
                  <c:v>0.00503909502763398</c:v>
                </c:pt>
                <c:pt idx="7">
                  <c:v>0.0145418965672496</c:v>
                </c:pt>
                <c:pt idx="8">
                  <c:v>0.0089736155929975</c:v>
                </c:pt>
                <c:pt idx="9">
                  <c:v>0.00349984595541549</c:v>
                </c:pt>
                <c:pt idx="10">
                  <c:v>0.00222008731081231</c:v>
                </c:pt>
                <c:pt idx="11">
                  <c:v>0.0943488838279626</c:v>
                </c:pt>
                <c:pt idx="12">
                  <c:v>0.19003690950445</c:v>
                </c:pt>
                <c:pt idx="13">
                  <c:v>0.124237792440864</c:v>
                </c:pt>
                <c:pt idx="14">
                  <c:v>0.0475571506410555</c:v>
                </c:pt>
                <c:pt idx="15">
                  <c:v>0.101955514089082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t>支出结构</a:t>
            </a:r>
          </a:p>
        </c:rich>
      </c:tx>
      <c:layout/>
      <c:overlay val="0"/>
      <c:spPr>
        <a:noFill/>
        <a:ln>
          <a:noFill/>
        </a:ln>
        <a:effectLst/>
      </c:spPr>
    </c:title>
    <c:autoTitleDeleted val="0"/>
    <c:plotArea>
      <c:layout/>
      <c:pieChart>
        <c:varyColors val="1"/>
        <c:ser>
          <c:idx val="0"/>
          <c:order val="0"/>
          <c:spPr/>
          <c:explosion val="0"/>
          <c:dPt>
            <c:idx val="0"/>
            <c:bubble3D val="0"/>
            <c:spPr>
              <a:solidFill>
                <a:srgbClr val="4F81BD"/>
              </a:solidFill>
              <a:ln w="19050">
                <a:solidFill>
                  <a:srgbClr val="FFFFFF"/>
                </a:solidFill>
              </a:ln>
              <a:effectLst/>
            </c:spPr>
          </c:dPt>
          <c:dPt>
            <c:idx val="1"/>
            <c:bubble3D val="0"/>
            <c:spPr>
              <a:solidFill>
                <a:srgbClr val="C0504D"/>
              </a:solidFill>
              <a:ln w="19050">
                <a:solidFill>
                  <a:srgbClr val="FFFFFF"/>
                </a:solidFill>
              </a:ln>
              <a:effectLst/>
            </c:spPr>
          </c:dPt>
          <c:dPt>
            <c:idx val="2"/>
            <c:bubble3D val="0"/>
            <c:spPr>
              <a:solidFill>
                <a:srgbClr val="9BBB59"/>
              </a:solidFill>
              <a:ln w="19050">
                <a:solidFill>
                  <a:srgbClr val="FFFFFF"/>
                </a:solidFill>
              </a:ln>
              <a:effectLst/>
            </c:spPr>
          </c:dPt>
          <c:dPt>
            <c:idx val="3"/>
            <c:bubble3D val="0"/>
            <c:spPr>
              <a:solidFill>
                <a:srgbClr val="8064A2"/>
              </a:solidFill>
              <a:ln w="19050">
                <a:solidFill>
                  <a:srgbClr val="FFFFFF"/>
                </a:solidFill>
              </a:ln>
              <a:effectLst/>
            </c:spPr>
          </c:dPt>
          <c:dPt>
            <c:idx val="4"/>
            <c:bubble3D val="0"/>
            <c:spPr>
              <a:solidFill>
                <a:srgbClr val="4BACC6"/>
              </a:solidFill>
              <a:ln w="19050">
                <a:solidFill>
                  <a:srgbClr val="FFFFFF"/>
                </a:solidFill>
              </a:ln>
              <a:effectLst/>
            </c:spPr>
          </c:dPt>
          <c:dPt>
            <c:idx val="5"/>
            <c:bubble3D val="0"/>
            <c:spPr>
              <a:solidFill>
                <a:srgbClr val="F79646"/>
              </a:solidFill>
              <a:ln w="19050">
                <a:solidFill>
                  <a:srgbClr val="FFFFFF"/>
                </a:solidFill>
              </a:ln>
              <a:effectLst/>
            </c:spPr>
          </c:dPt>
          <c:dPt>
            <c:idx val="6"/>
            <c:bubble3D val="0"/>
            <c:spPr>
              <a:solidFill>
                <a:srgbClr val="2C4D75">
                  <a:lumMod val="60000"/>
                </a:srgbClr>
              </a:solidFill>
              <a:ln w="19050">
                <a:solidFill>
                  <a:srgbClr val="FFFFFF"/>
                </a:solidFill>
              </a:ln>
              <a:effectLst/>
            </c:spPr>
          </c:dPt>
          <c:dPt>
            <c:idx val="7"/>
            <c:bubble3D val="0"/>
            <c:spPr>
              <a:solidFill>
                <a:srgbClr val="772C2A">
                  <a:lumMod val="60000"/>
                </a:srgbClr>
              </a:solidFill>
              <a:ln w="19050">
                <a:solidFill>
                  <a:srgbClr val="FFFFFF"/>
                </a:solidFill>
              </a:ln>
              <a:effectLst/>
            </c:spPr>
          </c:dPt>
          <c:dPt>
            <c:idx val="8"/>
            <c:bubble3D val="0"/>
            <c:spPr>
              <a:solidFill>
                <a:srgbClr val="5F7530">
                  <a:lumMod val="60000"/>
                </a:srgbClr>
              </a:solidFill>
              <a:ln w="19050">
                <a:solidFill>
                  <a:srgbClr val="FFFFFF"/>
                </a:solidFill>
              </a:ln>
              <a:effectLst/>
            </c:spPr>
          </c:dPt>
          <c:dPt>
            <c:idx val="9"/>
            <c:bubble3D val="0"/>
            <c:spPr>
              <a:solidFill>
                <a:srgbClr val="4D3B62">
                  <a:lumMod val="60000"/>
                </a:srgbClr>
              </a:solidFill>
              <a:ln w="19050">
                <a:solidFill>
                  <a:srgbClr val="FFFFFF"/>
                </a:solidFill>
              </a:ln>
              <a:effectLst/>
            </c:spPr>
          </c:dPt>
          <c:dPt>
            <c:idx val="10"/>
            <c:bubble3D val="0"/>
            <c:spPr>
              <a:solidFill>
                <a:srgbClr val="276A7C">
                  <a:lumMod val="60000"/>
                </a:srgbClr>
              </a:solidFill>
              <a:ln w="19050">
                <a:solidFill>
                  <a:srgbClr val="FFFFFF"/>
                </a:solidFill>
              </a:ln>
              <a:effectLst/>
            </c:spPr>
          </c:dPt>
          <c:dPt>
            <c:idx val="11"/>
            <c:bubble3D val="0"/>
            <c:spPr>
              <a:solidFill>
                <a:srgbClr val="B65708">
                  <a:lumMod val="60000"/>
                </a:srgbClr>
              </a:solidFill>
              <a:ln w="19050">
                <a:solidFill>
                  <a:srgbClr val="FFFFFF"/>
                </a:solidFill>
              </a:ln>
              <a:effectLst/>
            </c:spPr>
          </c:dPt>
          <c:dPt>
            <c:idx val="12"/>
            <c:bubble3D val="0"/>
            <c:spPr>
              <a:solidFill>
                <a:srgbClr val="729ACA">
                  <a:lumMod val="80000"/>
                  <a:lumOff val="20000"/>
                </a:srgbClr>
              </a:solidFill>
              <a:ln w="19050">
                <a:solidFill>
                  <a:srgbClr val="FFFFFF"/>
                </a:solidFill>
              </a:ln>
              <a:effectLst/>
            </c:spPr>
          </c:dPt>
          <c:dPt>
            <c:idx val="13"/>
            <c:bubble3D val="0"/>
            <c:spPr>
              <a:solidFill>
                <a:srgbClr val="CD7371">
                  <a:lumMod val="80000"/>
                  <a:lumOff val="20000"/>
                </a:srgbClr>
              </a:solidFill>
              <a:ln w="19050">
                <a:solidFill>
                  <a:srgbClr val="FFFFFF"/>
                </a:solidFill>
              </a:ln>
              <a:effectLst/>
            </c:spPr>
          </c:dPt>
          <c:dPt>
            <c:idx val="14"/>
            <c:bubble3D val="0"/>
            <c:spPr>
              <a:solidFill>
                <a:srgbClr val="AFC97A">
                  <a:lumMod val="80000"/>
                  <a:lumOff val="20000"/>
                </a:srgbClr>
              </a:solidFill>
              <a:ln w="19050">
                <a:solidFill>
                  <a:srgbClr val="FFFFFF"/>
                </a:solidFill>
              </a:ln>
              <a:effectLst/>
            </c:spPr>
          </c:dPt>
          <c:dPt>
            <c:idx val="15"/>
            <c:bubble3D val="0"/>
            <c:spPr>
              <a:solidFill>
                <a:srgbClr val="9983B5">
                  <a:lumMod val="80000"/>
                  <a:lumOff val="20000"/>
                </a:srgbClr>
              </a:solidFill>
              <a:ln w="19050">
                <a:solidFill>
                  <a:srgbClr val="FFFFFF"/>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[工作簿1]Sheet1!$A$1:$A$16</c:f>
              <c:strCache>
                <c:ptCount val="16"/>
                <c:pt idx="0">
                  <c:v>人大运行</c:v>
                </c:pt>
                <c:pt idx="1">
                  <c:v>人大会议</c:v>
                </c:pt>
                <c:pt idx="2">
                  <c:v>行政运行</c:v>
                </c:pt>
                <c:pt idx="3">
                  <c:v>党委运行</c:v>
                </c:pt>
                <c:pt idx="4">
                  <c:v>机关事业单位基本养老保险缴费支出</c:v>
                </c:pt>
                <c:pt idx="5">
                  <c:v>机关事业单位职业年金缴费支出</c:v>
                </c:pt>
                <c:pt idx="6">
                  <c:v>突发公共卫生事件应急处理</c:v>
                </c:pt>
                <c:pt idx="7">
                  <c:v>行政单位医疗</c:v>
                </c:pt>
                <c:pt idx="8">
                  <c:v>事业单位医疗</c:v>
                </c:pt>
                <c:pt idx="9">
                  <c:v>公务员医疗补助</c:v>
                </c:pt>
                <c:pt idx="10">
                  <c:v>其他行政事业单位医疗支出</c:v>
                </c:pt>
                <c:pt idx="11">
                  <c:v>生态保护</c:v>
                </c:pt>
                <c:pt idx="12">
                  <c:v>事业运行</c:v>
                </c:pt>
                <c:pt idx="13">
                  <c:v>对村民委员会和村党支部的补助</c:v>
                </c:pt>
                <c:pt idx="14">
                  <c:v>住房公积金</c:v>
                </c:pt>
                <c:pt idx="15">
                  <c:v>其他支出</c:v>
                </c:pt>
              </c:strCache>
            </c:strRef>
          </c:cat>
          <c:val>
            <c:numRef>
              <c:f>[工作簿1]Sheet1!$B$1:$B$16</c:f>
              <c:numCache>
                <c:formatCode>0.00%</c:formatCode>
                <c:ptCount val="16"/>
                <c:pt idx="0">
                  <c:v>0.0211915016534132</c:v>
                </c:pt>
                <c:pt idx="1">
                  <c:v>0.000201563902675325</c:v>
                </c:pt>
                <c:pt idx="2">
                  <c:v>0.291623740656452</c:v>
                </c:pt>
                <c:pt idx="3">
                  <c:v>0.0203151782152535</c:v>
                </c:pt>
                <c:pt idx="4">
                  <c:v>0.0495042569058874</c:v>
                </c:pt>
                <c:pt idx="5">
                  <c:v>0.0247521259583769</c:v>
                </c:pt>
                <c:pt idx="6">
                  <c:v>0.00503909502763398</c:v>
                </c:pt>
                <c:pt idx="7">
                  <c:v>0.0145418965672496</c:v>
                </c:pt>
                <c:pt idx="8">
                  <c:v>0.0089736155929975</c:v>
                </c:pt>
                <c:pt idx="9">
                  <c:v>0.00349984595541549</c:v>
                </c:pt>
                <c:pt idx="10">
                  <c:v>0.00222008731081231</c:v>
                </c:pt>
                <c:pt idx="11">
                  <c:v>0.0943488838279626</c:v>
                </c:pt>
                <c:pt idx="12">
                  <c:v>0.19003690950445</c:v>
                </c:pt>
                <c:pt idx="13">
                  <c:v>0.124237792440864</c:v>
                </c:pt>
                <c:pt idx="14">
                  <c:v>0.0475571506410555</c:v>
                </c:pt>
                <c:pt idx="15">
                  <c:v>0.101955514089082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rPr lang="en-US" altLang="zh-CN"/>
              <a:t>“</a:t>
            </a:r>
            <a:r>
              <a:t>三公</a:t>
            </a:r>
            <a:r>
              <a:rPr lang="en-US" altLang="zh-CN"/>
              <a:t>”</a:t>
            </a:r>
            <a:r>
              <a:t>经费（元）</a:t>
            </a:r>
          </a:p>
        </c:rich>
      </c:tx>
      <c:layout/>
      <c:overlay val="0"/>
      <c:spPr>
        <a:noFill/>
        <a:ln>
          <a:noFill/>
        </a:ln>
        <a:effectLst/>
      </c:spPr>
    </c:title>
    <c:autoTitleDeleted val="0"/>
    <c:plotArea>
      <c:layout/>
      <c:pieChart>
        <c:varyColors val="1"/>
        <c:ser>
          <c:idx val="0"/>
          <c:order val="0"/>
          <c:spPr/>
          <c:explosion val="0"/>
          <c:dPt>
            <c:idx val="0"/>
            <c:bubble3D val="0"/>
            <c:spPr>
              <a:solidFill>
                <a:srgbClr val="4F81BD"/>
              </a:solidFill>
              <a:ln w="19050">
                <a:solidFill>
                  <a:srgbClr val="FFFFFF"/>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[工作簿1]Sheet1!$A$1</c:f>
              <c:strCache>
                <c:ptCount val="1"/>
                <c:pt idx="0">
                  <c:v>公务用车运行维护费</c:v>
                </c:pt>
              </c:strCache>
            </c:strRef>
          </c:cat>
          <c:val>
            <c:numRef>
              <c:f>[工作簿1]Sheet1!$A$2</c:f>
              <c:numCache>
                <c:formatCode>General</c:formatCode>
                <c:ptCount val="1"/>
                <c:pt idx="0">
                  <c:v>48500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9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spPr>
      <a:ln w="19050">
        <a:solidFill>
          <a:srgbClr val="FFFFFF"/>
        </a:solidFill>
      </a:ln>
    </cs:spPr>
  </cs:dataPoint>
  <cs:dataPoint3D>
    <cs:lnRef idx="0"/>
    <cs:fillRef idx="1">
      <cs:styleClr val="auto"/>
    </cs:fillRef>
    <cs:effectRef idx="0"/>
    <cs:fontRef idx="minor">
      <a:srgbClr val="000000"/>
    </cs:fontRef>
    <cs:spPr>
      <a:ln w="25400">
        <a:solidFill>
          <a:srgbClr val="FFFFFF"/>
        </a:solidFill>
      </a:ln>
    </cs:spPr>
  </cs:dataPoint3D>
  <cs:dataPointLine>
    <cs:lnRef idx="0">
      <cs:styleClr val="auto"/>
    </cs:lnRef>
    <cs:fillRef idx="0"/>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0"/>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404040">
          <a:lumMod val="75000"/>
          <a:lumOff val="25000"/>
        </a:srgbClr>
      </a:solidFill>
      <a:ln w="9525" cap="flat" cmpd="sng" algn="ctr">
        <a:solidFill>
          <a:srgbClr val="595959">
            <a:lumMod val="65000"/>
            <a:lumOff val="35000"/>
          </a:srgbClr>
        </a:solidFill>
        <a:round/>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808080">
            <a:lumMod val="50000"/>
            <a:lumOff val="50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cap="flat" cmpd="sng" algn="ctr">
        <a:solidFill>
          <a:srgbClr val="595959">
            <a:lumMod val="65000"/>
            <a:lumOff val="35000"/>
          </a:srgbClr>
        </a:solidFill>
        <a:round/>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9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spPr>
      <a:ln w="19050">
        <a:solidFill>
          <a:srgbClr val="FFFFFF"/>
        </a:solidFill>
      </a:ln>
    </cs:spPr>
  </cs:dataPoint>
  <cs:dataPoint3D>
    <cs:lnRef idx="0"/>
    <cs:fillRef idx="1">
      <cs:styleClr val="auto"/>
    </cs:fillRef>
    <cs:effectRef idx="0"/>
    <cs:fontRef idx="minor">
      <a:srgbClr val="000000"/>
    </cs:fontRef>
    <cs:spPr>
      <a:ln w="25400">
        <a:solidFill>
          <a:srgbClr val="FFFFFF"/>
        </a:solidFill>
      </a:ln>
    </cs:spPr>
  </cs:dataPoint3D>
  <cs:dataPointLine>
    <cs:lnRef idx="0">
      <cs:styleClr val="auto"/>
    </cs:lnRef>
    <cs:fillRef idx="0"/>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0"/>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404040">
          <a:lumMod val="75000"/>
          <a:lumOff val="25000"/>
        </a:srgbClr>
      </a:solidFill>
      <a:ln w="9525" cap="flat" cmpd="sng" algn="ctr">
        <a:solidFill>
          <a:srgbClr val="595959">
            <a:lumMod val="65000"/>
            <a:lumOff val="35000"/>
          </a:srgbClr>
        </a:solidFill>
        <a:round/>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808080">
            <a:lumMod val="50000"/>
            <a:lumOff val="50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cap="flat" cmpd="sng" algn="ctr">
        <a:solidFill>
          <a:srgbClr val="595959">
            <a:lumMod val="65000"/>
            <a:lumOff val="35000"/>
          </a:srgbClr>
        </a:solidFill>
        <a:round/>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9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spPr>
      <a:ln w="19050">
        <a:solidFill>
          <a:srgbClr val="FFFFFF"/>
        </a:solidFill>
      </a:ln>
    </cs:spPr>
  </cs:dataPoint>
  <cs:dataPoint3D>
    <cs:lnRef idx="0"/>
    <cs:fillRef idx="1">
      <cs:styleClr val="auto"/>
    </cs:fillRef>
    <cs:effectRef idx="0"/>
    <cs:fontRef idx="minor">
      <a:srgbClr val="000000"/>
    </cs:fontRef>
    <cs:spPr>
      <a:ln w="25400">
        <a:solidFill>
          <a:srgbClr val="FFFFFF"/>
        </a:solidFill>
      </a:ln>
    </cs:spPr>
  </cs:dataPoint3D>
  <cs:dataPointLine>
    <cs:lnRef idx="0">
      <cs:styleClr val="auto"/>
    </cs:lnRef>
    <cs:fillRef idx="0"/>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0"/>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404040">
          <a:lumMod val="75000"/>
          <a:lumOff val="25000"/>
        </a:srgbClr>
      </a:solidFill>
      <a:ln w="9525" cap="flat" cmpd="sng" algn="ctr">
        <a:solidFill>
          <a:srgbClr val="595959">
            <a:lumMod val="65000"/>
            <a:lumOff val="35000"/>
          </a:srgbClr>
        </a:solidFill>
        <a:round/>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808080">
            <a:lumMod val="50000"/>
            <a:lumOff val="50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cap="flat" cmpd="sng" algn="ctr">
        <a:solidFill>
          <a:srgbClr val="595959">
            <a:lumMod val="65000"/>
            <a:lumOff val="35000"/>
          </a:srgbClr>
        </a:solidFill>
        <a:round/>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26</Pages>
  <Words>8719</Words>
  <Characters>9949</Characters>
  <Lines>770</Lines>
  <Paragraphs>300</Paragraphs>
  <TotalTime>3</TotalTime>
  <ScaleCrop>false</ScaleCrop>
  <LinksUpToDate>false</LinksUpToDate>
  <CharactersWithSpaces>10101</CharactersWithSpaces>
  <Application>WPS Office_11.1.0.9208_F1E327BC-269C-435d-A152-05C5408002CA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egl</cp:lastModifiedBy>
  <cp:lastPrinted>2022-08-08T09:11:00Z</cp:lastPrinted>
  <dcterms:modified xsi:type="dcterms:W3CDTF">2023-08-30T03:27:54Z</dcterms:modified>
  <dc:title>四川省***</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y fmtid="{D5CDD505-2E9C-101B-9397-08002B2CF9AE}" pid="3" name="ICV">
    <vt:lpwstr>4E5F93354C234C30920223F6DD2BE06E_13</vt:lpwstr>
  </property>
</Properties>
</file>