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目 录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基本职能及主要工作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主要职能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年主要工作安排情况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二、部门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概况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三、收支预算情况说明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收入预算情况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支出预算情况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四、财政拨款收支预算情况说明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五、一般公共预算当年拨款情况说明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一般公共预算当年拨款规模变化情况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一般公共预算当年拨款结构情况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一般公共预算当年拨款具体使用情况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六、一般公共预算基本支出情况说明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七、“三公”经费财政拨款预算安排情况说明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其他重要事项的情况说明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九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、名称解释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12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208</Characters>
  <Paragraphs>6</Paragraphs>
  <TotalTime>3</TotalTime>
  <ScaleCrop>false</ScaleCrop>
  <LinksUpToDate>false</LinksUpToDate>
  <CharactersWithSpaces>222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2021-05-24T07:57:00Z</dcterms:created>
  <dc:creator>空月</dc:creator>
  <cp:lastModifiedBy>素『蝶』</cp:lastModifiedBy>
  <dcterms:modified xsi:type="dcterms:W3CDTF">2022-03-30T06:43:59Z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960E53CE261B457893464EB077899FEC</vt:lpwstr>
  </property>
</Properties>
</file>