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2024年勒乌镇部门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</w:t>
      </w:r>
      <w:r>
        <w:rPr>
          <w:rFonts w:eastAsia="方正仿宋_GBK" w:hint="eastAsia"/>
          <w:color w:val="auto"/>
          <w:sz w:val="32"/>
          <w:szCs w:val="32"/>
          <w:lang w:val="en-US" w:eastAsia="zh-CN"/>
        </w:rPr>
        <w:t>2358.36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万元 ，均严格按绩效管理要求实现项目绩效目标管理，其中重点项目预算3个，现将情况说明如下：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完成了2024年本级部门预算整体绩效目标申报和3个项目预算绩效目标申报，并编报3个项目预算事前绩效评估报告。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1、认真开展好学习实践科学发展观活动，不断提高全所干部职工的政策理论水平和实际工作能力，不断完善内部管理制度，加强政府自身建设、人员的管理和监督，不断改善服务态度，打造为民高效政府；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2、加大各项惠农政策的落实力度，把任务落实到人，力争做到各项惠农资金及时、准确、公平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合理地落实到位，让人民群众满意，让政策更加透明；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3、继续加强财务管理，推进财务公开，不断完善管理制度，使村级财务和行政事业单位的财务走上规范化、制度化；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4、认真执行政府采购制度，不断完善民主管理办法，逐步推行政务公开，接受人民群众的监督；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5、进一步加强预算管理，为领导科学决策提供真实的科学的依据，为各级政府领导当好发展农村经济的参谋；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6、努力做好财政预决算工作，严格执行年初预算，确保全年收支平衡；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7、加强专项资金的规范管理和使用。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活动和公共服务运行维护费使用管理办法》的通知》的要求，我镇合并前有13个村和3个社区。合计161万元整（维护费97万元、办公费32万元、党建费32万元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重点项目2：金川县勒乌镇人民政府社区专职工作者保险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项目年度绩效目标：通过为社区干部购买养老保险、医疗保险、工伤、事业等保险，以解决村干部的后顾之忧，保持社区干部队伍的稳定。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重点项目3：勒乌镇人民政府被征地农民养老保险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项目年度绩效目标：预算2024年我镇被征地农民购买社保符合享受养老保险补贴条件的共99人，82000元，以保障被征地农民失地后基础养老问题。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Arial Unicode MS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script"/>
    <w:pitch w:val="variable"/>
    <w:sig w:usb0="00000000" w:usb1="00000000" w:usb2="0008201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TQ1YTcwOTc1ZDUxNTcwOGNiZjNiNTdiY2QzOTc1YTg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3</Pages>
  <Words>922</Words>
  <Characters>951</Characters>
  <Lines>50</Lines>
  <Paragraphs>23</Paragraphs>
  <CharactersWithSpaces>953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2024-03-13T08:49:43Z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E7409C06389A4F609DC8980CA78CFC59_13</vt:lpwstr>
  </property>
</Properties>
</file>