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425"/>
      <w:bookmarkStart w:id="3" w:name="_Toc15377193"/>
      <w:bookmarkStart w:id="4" w:name="_Toc15378441"/>
      <w:bookmarkStart w:id="5" w:name="_Toc15396597"/>
      <w:r>
        <w:rPr>
          <w:rFonts w:ascii="黑体" w:eastAsia="黑体"/>
          <w:color w:val="000000"/>
          <w:sz w:val="72"/>
          <w:szCs w:val="72"/>
        </w:rPr>
        <w:t>2</w:t>
      </w:r>
      <w:r>
        <w:rPr>
          <w:rFonts w:hint="eastAsia" w:ascii="黑体" w:eastAsia="黑体"/>
          <w:color w:val="000000"/>
          <w:sz w:val="72"/>
          <w:szCs w:val="72"/>
        </w:rPr>
        <w:t>020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77426"/>
      <w:bookmarkStart w:id="7" w:name="_Toc15377194"/>
      <w:bookmarkStart w:id="8" w:name="_Toc15396598"/>
      <w:bookmarkStart w:id="9" w:name="_Toc15396476"/>
      <w:bookmarkStart w:id="10" w:name="_Toc15378442"/>
      <w:bookmarkStart w:id="11" w:name="_Toc15306268"/>
      <w:r>
        <w:rPr>
          <w:rFonts w:hint="eastAsia" w:ascii="方正小标宋简体" w:eastAsia="方正小标宋简体"/>
          <w:color w:val="000000"/>
          <w:sz w:val="72"/>
          <w:szCs w:val="72"/>
        </w:rPr>
        <w:t>金川县勒乌镇人民政府</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公开时间：2021年8月3日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6</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7"/>
          <w:rFonts w:hint="eastAsia" w:ascii="仿宋" w:eastAsia="仿宋"/>
          <w:bCs/>
          <w:sz w:val="28"/>
          <w:szCs w:val="28"/>
        </w:rPr>
        <w:t xml:space="preserve"> 十、其他重要事项的情况说明............................15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一、预算绩效情况说明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16</w:t>
      </w:r>
    </w:p>
    <w:p>
      <w:pPr>
        <w:pStyle w:val="11"/>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2</w:t>
      </w:r>
    </w:p>
    <w:p>
      <w:pPr>
        <w:pStyle w:val="12"/>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2</w:t>
      </w:r>
    </w:p>
    <w:p>
      <w:pPr>
        <w:pStyle w:val="11"/>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9</w:t>
      </w:r>
    </w:p>
    <w:p>
      <w:pPr>
        <w:pStyle w:val="12"/>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29</w:t>
      </w:r>
    </w:p>
    <w:p>
      <w:pPr>
        <w:pStyle w:val="12"/>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9</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pStyle w:val="4"/>
        <w:spacing w:before="0" w:after="0" w:line="240" w:lineRule="auto"/>
        <w:ind w:left="640" w:hanging="640" w:hangingChars="200"/>
        <w:rPr>
          <w:rStyle w:val="19"/>
          <w:rFonts w:ascii="黑体" w:eastAsia="黑体"/>
          <w:b w:val="0"/>
          <w:bCs w:val="0"/>
        </w:rPr>
      </w:pPr>
      <w:bookmarkStart w:id="14" w:name="_Toc15377197"/>
      <w:bookmarkStart w:id="15" w:name="_Toc15396600"/>
      <w:r>
        <w:rPr>
          <w:rFonts w:hint="eastAsia" w:ascii="黑体" w:eastAsia="黑体"/>
          <w:b w:val="0"/>
          <w:color w:val="000000"/>
        </w:rPr>
        <w:t>一、基</w:t>
      </w:r>
      <w:r>
        <w:rPr>
          <w:rStyle w:val="19"/>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仿宋_GB2312" w:hAnsi="仿宋" w:eastAsia="仿宋_GB2312"/>
        </w:rPr>
      </w:pPr>
      <w:r>
        <w:rPr>
          <w:rFonts w:hint="eastAsia" w:ascii="楷体" w:eastAsia="楷体" w:cs="楷体"/>
          <w:color w:val="000000"/>
        </w:rPr>
        <w:t>（一）主要职能</w:t>
      </w:r>
      <w:bookmarkEnd w:id="16"/>
      <w:bookmarkEnd w:id="17"/>
      <w:bookmarkStart w:id="18" w:name="_Toc15377199"/>
      <w:bookmarkStart w:id="19" w:name="_Toc15378446"/>
    </w:p>
    <w:p>
      <w:pPr>
        <w:snapToGrid w:val="0"/>
        <w:spacing w:line="560" w:lineRule="exact"/>
        <w:ind w:firstLine="643" w:firstLineChars="200"/>
        <w:rPr>
          <w:bCs/>
          <w:color w:val="000000"/>
          <w:sz w:val="32"/>
          <w:szCs w:val="32"/>
          <w:highlight w:val="yellow"/>
        </w:rPr>
      </w:pPr>
      <w:r>
        <w:rPr>
          <w:rFonts w:hint="eastAsia" w:ascii="仿宋_GB2312" w:eastAsia="仿宋_GB2312"/>
          <w:b/>
          <w:bCs/>
          <w:color w:val="000000"/>
          <w:sz w:val="32"/>
          <w:szCs w:val="32"/>
        </w:rPr>
        <w:t>一是</w:t>
      </w:r>
      <w:r>
        <w:rPr>
          <w:rFonts w:hint="eastAsia" w:ascii="仿宋_GB2312" w:hAnsi="仿宋" w:eastAsia="仿宋_GB2312"/>
          <w:sz w:val="32"/>
          <w:szCs w:val="32"/>
        </w:rPr>
        <w:t>贯彻落实党和政府各项路线方针政策。深入贯彻党的十九大、十九届三中、四中全会精神，宣传和贯彻执行党的路线、方针、政策和国家的法律、法令；宣传和贯彻上级机关的政策、法规、规章、决定等；执行本级党代会和人代会的决定、决议；研究决定辖区内政治、经济、文化等重大问题。</w:t>
      </w:r>
      <w:r>
        <w:rPr>
          <w:rFonts w:hint="eastAsia" w:ascii="仿宋_GB2312" w:eastAsia="仿宋_GB2312"/>
          <w:b/>
          <w:bCs/>
          <w:color w:val="000000"/>
          <w:sz w:val="32"/>
          <w:szCs w:val="32"/>
        </w:rPr>
        <w:t>二是</w:t>
      </w:r>
      <w:r>
        <w:rPr>
          <w:rFonts w:hint="eastAsia" w:ascii="仿宋_GB2312" w:hAnsi="仿宋" w:eastAsia="仿宋_GB2312"/>
          <w:sz w:val="32"/>
          <w:szCs w:val="32"/>
        </w:rPr>
        <w:t>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r>
        <w:rPr>
          <w:rFonts w:hint="eastAsia" w:ascii="仿宋_GB2312" w:eastAsia="仿宋_GB2312"/>
          <w:b/>
          <w:bCs/>
          <w:color w:val="000000"/>
          <w:sz w:val="32"/>
          <w:szCs w:val="32"/>
        </w:rPr>
        <w:t>三是</w:t>
      </w:r>
      <w:r>
        <w:rPr>
          <w:rFonts w:hint="eastAsia" w:ascii="仿宋_GB2312" w:hAnsi="仿宋" w:eastAsia="仿宋_GB2312"/>
          <w:sz w:val="32"/>
          <w:szCs w:val="32"/>
        </w:rPr>
        <w:t>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r>
        <w:rPr>
          <w:rFonts w:hint="eastAsia" w:ascii="仿宋_GB2312" w:eastAsia="仿宋_GB2312"/>
          <w:b/>
          <w:bCs/>
          <w:color w:val="000000"/>
          <w:sz w:val="32"/>
          <w:szCs w:val="32"/>
        </w:rPr>
        <w:t>四是</w:t>
      </w:r>
      <w:r>
        <w:rPr>
          <w:rFonts w:hint="eastAsia" w:ascii="仿宋_GB2312" w:hAnsi="仿宋" w:eastAsia="仿宋_GB2312"/>
          <w:sz w:val="32"/>
          <w:szCs w:val="32"/>
        </w:rPr>
        <w:t>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r>
        <w:rPr>
          <w:rFonts w:hint="eastAsia" w:ascii="仿宋_GB2312" w:eastAsia="仿宋_GB2312"/>
          <w:b/>
          <w:bCs/>
          <w:color w:val="000000"/>
          <w:sz w:val="32"/>
          <w:szCs w:val="32"/>
        </w:rPr>
        <w:t>五是</w:t>
      </w:r>
      <w:r>
        <w:rPr>
          <w:rFonts w:hint="eastAsia" w:ascii="仿宋_GB2312" w:hAnsi="仿宋" w:eastAsia="仿宋_GB2312"/>
          <w:sz w:val="32"/>
          <w:szCs w:val="32"/>
        </w:rPr>
        <w:t>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576" w:lineRule="exact"/>
        <w:ind w:firstLine="960" w:firstLineChars="300"/>
        <w:rPr>
          <w:rFonts w:ascii="仿宋_GB2312" w:eastAsia="仿宋_GB2312"/>
          <w:sz w:val="32"/>
          <w:szCs w:val="32"/>
        </w:rPr>
      </w:pPr>
      <w:r>
        <w:rPr>
          <w:rFonts w:hint="eastAsia" w:ascii="仿宋_GB2312" w:eastAsia="仿宋_GB2312"/>
          <w:sz w:val="32"/>
          <w:szCs w:val="32"/>
        </w:rPr>
        <w:t>2020年，我镇在县委、县政府的正确领导下，在州双联单位、县级联系部门的关怀下，在镇党委的指导下，在镇人大的监督支持下，在各村两委的密切配合下，紧紧团结依靠全镇人民，健全完善了相关管理制度，认真贯彻落实科学发展观、党的十八大及十八届四中、五中全会及</w:t>
      </w:r>
      <w:r>
        <w:rPr>
          <w:rFonts w:hint="eastAsia" w:ascii="仿宋_GB2312" w:hAnsi="仿宋_GB2312" w:eastAsia="仿宋_GB2312" w:cs="仿宋_GB2312"/>
          <w:sz w:val="32"/>
          <w:szCs w:val="32"/>
        </w:rPr>
        <w:t>十九大</w:t>
      </w:r>
      <w:r>
        <w:rPr>
          <w:rFonts w:hint="eastAsia" w:ascii="仿宋_GB2312" w:eastAsia="仿宋_GB2312"/>
          <w:sz w:val="32"/>
          <w:szCs w:val="32"/>
        </w:rPr>
        <w:t>精神和习近平总书记系列重要讲话精神。按照省委</w:t>
      </w:r>
      <w:r>
        <w:rPr>
          <w:rFonts w:ascii="仿宋_GB2312" w:eastAsia="仿宋_GB2312"/>
          <w:sz w:val="32"/>
          <w:szCs w:val="32"/>
        </w:rPr>
        <w:t>“</w:t>
      </w:r>
      <w:r>
        <w:rPr>
          <w:rFonts w:hint="eastAsia" w:ascii="仿宋_GB2312" w:eastAsia="仿宋_GB2312"/>
          <w:sz w:val="32"/>
          <w:szCs w:val="32"/>
        </w:rPr>
        <w:t>三大发展战略</w:t>
      </w:r>
      <w:r>
        <w:rPr>
          <w:rFonts w:ascii="仿宋_GB2312" w:eastAsia="仿宋_GB2312"/>
          <w:sz w:val="32"/>
          <w:szCs w:val="32"/>
        </w:rPr>
        <w:t>”</w:t>
      </w:r>
      <w:r>
        <w:rPr>
          <w:rFonts w:hint="eastAsia" w:ascii="仿宋_GB2312" w:eastAsia="仿宋_GB2312"/>
          <w:sz w:val="32"/>
          <w:szCs w:val="32"/>
        </w:rPr>
        <w:t>、州委</w:t>
      </w:r>
      <w:r>
        <w:rPr>
          <w:rFonts w:ascii="仿宋_GB2312" w:eastAsia="仿宋_GB2312"/>
          <w:sz w:val="32"/>
          <w:szCs w:val="32"/>
        </w:rPr>
        <w:t>“</w:t>
      </w:r>
      <w:r>
        <w:rPr>
          <w:rFonts w:hint="eastAsia" w:ascii="仿宋_GB2312" w:eastAsia="仿宋_GB2312"/>
          <w:sz w:val="32"/>
          <w:szCs w:val="32"/>
        </w:rPr>
        <w:t>五为</w:t>
      </w:r>
      <w:r>
        <w:rPr>
          <w:rFonts w:ascii="仿宋_GB2312" w:eastAsia="仿宋_GB2312"/>
          <w:sz w:val="32"/>
          <w:szCs w:val="32"/>
        </w:rPr>
        <w:t>”</w:t>
      </w:r>
      <w:r>
        <w:rPr>
          <w:rFonts w:hint="eastAsia" w:ascii="仿宋_GB2312" w:eastAsia="仿宋_GB2312"/>
          <w:sz w:val="32"/>
          <w:szCs w:val="32"/>
        </w:rPr>
        <w:t>总体工作要求，把握</w:t>
      </w:r>
      <w:r>
        <w:rPr>
          <w:rFonts w:ascii="仿宋_GB2312" w:eastAsia="仿宋_GB2312"/>
          <w:sz w:val="32"/>
          <w:szCs w:val="32"/>
        </w:rPr>
        <w:t>“</w:t>
      </w:r>
      <w:r>
        <w:rPr>
          <w:rFonts w:hint="eastAsia" w:ascii="仿宋_GB2312" w:eastAsia="仿宋_GB2312"/>
          <w:sz w:val="32"/>
          <w:szCs w:val="32"/>
        </w:rPr>
        <w:t>夯实基础、增量提质、跨越发展</w:t>
      </w:r>
      <w:r>
        <w:rPr>
          <w:rFonts w:ascii="仿宋_GB2312" w:eastAsia="仿宋_GB2312"/>
          <w:sz w:val="32"/>
          <w:szCs w:val="32"/>
        </w:rPr>
        <w:t>”</w:t>
      </w:r>
      <w:r>
        <w:rPr>
          <w:rFonts w:hint="eastAsia" w:ascii="仿宋_GB2312" w:eastAsia="仿宋_GB2312"/>
          <w:sz w:val="32"/>
          <w:szCs w:val="32"/>
        </w:rPr>
        <w:t>的工作基调，紧紧围绕县委县政府</w:t>
      </w:r>
      <w:r>
        <w:rPr>
          <w:rFonts w:ascii="仿宋_GB2312" w:eastAsia="仿宋_GB2312"/>
          <w:sz w:val="32"/>
          <w:szCs w:val="32"/>
        </w:rPr>
        <w:t>“</w:t>
      </w:r>
      <w:r>
        <w:rPr>
          <w:rFonts w:hint="eastAsia" w:ascii="仿宋_GB2312" w:eastAsia="仿宋_GB2312"/>
          <w:sz w:val="32"/>
          <w:szCs w:val="32"/>
        </w:rPr>
        <w:t>一二三四五</w:t>
      </w:r>
      <w:r>
        <w:rPr>
          <w:rFonts w:ascii="仿宋_GB2312" w:eastAsia="仿宋_GB2312"/>
          <w:sz w:val="32"/>
          <w:szCs w:val="32"/>
        </w:rPr>
        <w:t>”</w:t>
      </w:r>
      <w:r>
        <w:rPr>
          <w:rFonts w:hint="eastAsia" w:ascii="仿宋_GB2312" w:eastAsia="仿宋_GB2312"/>
          <w:sz w:val="32"/>
          <w:szCs w:val="32"/>
        </w:rPr>
        <w:t>发展战略、</w:t>
      </w:r>
      <w:r>
        <w:rPr>
          <w:rFonts w:ascii="仿宋_GB2312" w:eastAsia="仿宋_GB2312"/>
          <w:sz w:val="32"/>
          <w:szCs w:val="32"/>
        </w:rPr>
        <w:t>“</w:t>
      </w:r>
      <w:r>
        <w:rPr>
          <w:rFonts w:hint="eastAsia" w:ascii="仿宋_GB2312" w:eastAsia="仿宋_GB2312"/>
          <w:sz w:val="32"/>
          <w:szCs w:val="32"/>
        </w:rPr>
        <w:t>一四三四</w:t>
      </w:r>
      <w:r>
        <w:rPr>
          <w:rFonts w:ascii="仿宋_GB2312" w:eastAsia="仿宋_GB2312"/>
          <w:sz w:val="32"/>
          <w:szCs w:val="32"/>
        </w:rPr>
        <w:t>”</w:t>
      </w:r>
      <w:r>
        <w:rPr>
          <w:rFonts w:hint="eastAsia" w:ascii="仿宋_GB2312" w:eastAsia="仿宋_GB2312"/>
          <w:sz w:val="32"/>
          <w:szCs w:val="32"/>
        </w:rPr>
        <w:t>治县方略，为加快“四地三县”建设，牢牢抓住中央和省州支持民族地区跨越发展的大好机遇，攻坚克难、乘势而上，全面完成了年初既定确定的各项任务。</w:t>
      </w:r>
    </w:p>
    <w:p>
      <w:pPr>
        <w:spacing w:line="576" w:lineRule="exact"/>
        <w:ind w:firstLine="640" w:firstLineChars="200"/>
      </w:pPr>
      <w:r>
        <w:rPr>
          <w:rFonts w:hint="eastAsia" w:ascii="仿宋_GB2312" w:eastAsia="仿宋_GB2312"/>
          <w:sz w:val="32"/>
          <w:szCs w:val="32"/>
        </w:rPr>
        <w:t>2020年以来，班子成员以“四个全面”为主线、以脱贫攻坚为主战场，以“党建引领，和谐稳定，补齐短板，调整产业，脱贫奔康，发展旅游，凝心聚力”为思路，以“发展特色产业，拓宽致富渠道，建设生态小康勒乌；发展公益事业，提升民生水平，建设民主和谐勒乌；弘扬孝德文化，壮大旅游产业，建设孝德美丽勒乌；依托资源优势，加快小康进程，建设幸福安康勒乌”的工作目标，进一步理清工作思路，创新工作方式、振奋精神，抢抓机遇、攻坚破难，继续夯实基础设施，大力发展特色优势产业，积极培育壮大集体经济，奋力推进旅游强镇工作基调，带动群众增收致富。</w:t>
      </w:r>
    </w:p>
    <w:p>
      <w:pPr>
        <w:spacing w:line="578" w:lineRule="exact"/>
        <w:ind w:firstLine="640" w:firstLineChars="200"/>
        <w:rPr>
          <w:rStyle w:val="19"/>
          <w:b w:val="0"/>
          <w:bCs w:val="0"/>
        </w:rPr>
      </w:pPr>
      <w:bookmarkStart w:id="20" w:name="_Toc15377200"/>
      <w:bookmarkStart w:id="21" w:name="_Toc15396601"/>
      <w:r>
        <w:rPr>
          <w:rStyle w:val="19"/>
          <w:rFonts w:hint="eastAsia" w:ascii="黑体" w:eastAsia="黑体"/>
          <w:b w:val="0"/>
          <w:bCs w:val="0"/>
        </w:rPr>
        <w:t>二、机构设置</w:t>
      </w:r>
      <w:bookmarkEnd w:id="20"/>
      <w:bookmarkEnd w:id="21"/>
    </w:p>
    <w:p>
      <w:pPr>
        <w:tabs>
          <w:tab w:val="left" w:pos="0"/>
        </w:tabs>
        <w:snapToGrid w:val="0"/>
        <w:ind w:firstLine="960" w:firstLineChars="300"/>
        <w:rPr>
          <w:rFonts w:ascii="仿宋_GB2312" w:hAnsi="仿宋" w:eastAsia="仿宋_GB2312"/>
          <w:sz w:val="32"/>
          <w:szCs w:val="32"/>
        </w:rPr>
      </w:pPr>
      <w:bookmarkStart w:id="22" w:name="_Toc15377204"/>
      <w:bookmarkStart w:id="23" w:name="_Toc15396602"/>
      <w:r>
        <w:rPr>
          <w:rFonts w:hint="eastAsia" w:ascii="仿宋_GB2312" w:hAnsi="仿宋" w:eastAsia="仿宋_GB2312"/>
          <w:sz w:val="32"/>
          <w:szCs w:val="32"/>
        </w:rPr>
        <w:t>机构情况：</w:t>
      </w:r>
      <w:r>
        <w:rPr>
          <w:rFonts w:hint="eastAsia" w:ascii="仿宋_GB2312" w:eastAsia="仿宋_GB2312"/>
          <w:bCs/>
          <w:sz w:val="32"/>
        </w:rPr>
        <w:t>我镇2020年有2个机构，增加0个机构。</w:t>
      </w:r>
    </w:p>
    <w:p>
      <w:pPr>
        <w:tabs>
          <w:tab w:val="left" w:pos="0"/>
        </w:tabs>
        <w:snapToGrid w:val="0"/>
        <w:ind w:firstLine="960" w:firstLineChars="300"/>
        <w:rPr>
          <w:rFonts w:ascii="仿宋_GB2312" w:eastAsia="仿宋_GB2312"/>
          <w:bCs/>
          <w:sz w:val="32"/>
        </w:rPr>
      </w:pPr>
      <w:r>
        <w:rPr>
          <w:rFonts w:hint="eastAsia" w:ascii="仿宋_GB2312" w:hAnsi="仿宋" w:eastAsia="仿宋_GB2312"/>
          <w:sz w:val="32"/>
          <w:szCs w:val="32"/>
        </w:rPr>
        <w:t>人员情况：</w:t>
      </w:r>
      <w:r>
        <w:rPr>
          <w:rFonts w:hint="eastAsia" w:ascii="仿宋_GB2312" w:hAnsi="宋体" w:eastAsia="仿宋_GB2312"/>
          <w:bCs/>
          <w:sz w:val="32"/>
        </w:rPr>
        <w:t>2020年年初在职45人（行政人员34人</w:t>
      </w:r>
      <w:r>
        <w:rPr>
          <w:rFonts w:hint="eastAsia" w:ascii="仿宋_GB2312" w:hAnsi="宋体" w:eastAsia="仿宋_GB2312"/>
          <w:bCs/>
          <w:sz w:val="32"/>
          <w:lang w:eastAsia="zh-CN"/>
        </w:rPr>
        <w:t>，</w:t>
      </w:r>
      <w:bookmarkStart w:id="70" w:name="_GoBack"/>
      <w:bookmarkEnd w:id="70"/>
      <w:r>
        <w:rPr>
          <w:rFonts w:hint="eastAsia" w:ascii="仿宋_GB2312" w:hAnsi="宋体" w:eastAsia="仿宋_GB2312"/>
          <w:bCs/>
          <w:sz w:val="32"/>
        </w:rPr>
        <w:t>机关</w:t>
      </w:r>
      <w:r>
        <w:rPr>
          <w:rFonts w:hint="eastAsia" w:ascii="仿宋_GB2312" w:eastAsia="仿宋_GB2312"/>
          <w:bCs/>
          <w:sz w:val="32"/>
        </w:rPr>
        <w:t>工勤4人，事业管理6人，事业专技1人）。</w:t>
      </w:r>
    </w:p>
    <w:p>
      <w:pPr>
        <w:tabs>
          <w:tab w:val="left" w:pos="0"/>
        </w:tabs>
        <w:snapToGrid w:val="0"/>
        <w:ind w:firstLine="960" w:firstLineChars="300"/>
        <w:rPr>
          <w:rFonts w:ascii="仿宋_GB2312" w:eastAsia="仿宋_GB2312"/>
          <w:bCs/>
          <w:sz w:val="32"/>
        </w:rPr>
      </w:pPr>
      <w:r>
        <w:rPr>
          <w:rFonts w:hint="eastAsia" w:ascii="仿宋_GB2312" w:eastAsia="仿宋_GB2312"/>
          <w:bCs/>
          <w:sz w:val="32"/>
        </w:rPr>
        <w:t>2020年年末在职68人（行政人员43，机关工勤6人，事业管理23人，事业专技2人）。</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2020年度部门决算情况说明</w:t>
      </w:r>
      <w:bookmarkEnd w:id="22"/>
      <w:bookmarkEnd w:id="23"/>
    </w:p>
    <w:p>
      <w:pPr>
        <w:pStyle w:val="24"/>
        <w:numPr>
          <w:ilvl w:val="0"/>
          <w:numId w:val="1"/>
        </w:numPr>
        <w:ind w:left="0" w:firstLine="0" w:firstLineChars="0"/>
        <w:outlineLvl w:val="1"/>
        <w:rPr>
          <w:rStyle w:val="19"/>
          <w:rFonts w:ascii="黑体" w:eastAsia="黑体"/>
          <w:b w:val="0"/>
        </w:rPr>
      </w:pPr>
      <w:bookmarkStart w:id="24" w:name="_Toc15377205"/>
      <w:bookmarkStart w:id="25" w:name="_Toc15396603"/>
      <w:r>
        <w:rPr>
          <w:rFonts w:hint="eastAsia" w:ascii="黑体" w:eastAsia="黑体"/>
          <w:color w:val="000000"/>
          <w:sz w:val="32"/>
          <w:szCs w:val="32"/>
        </w:rPr>
        <w:t>收</w:t>
      </w:r>
      <w:r>
        <w:rPr>
          <w:rStyle w:val="19"/>
          <w:rFonts w:hint="eastAsia" w:ascii="黑体" w:eastAsia="黑体"/>
          <w:b w:val="0"/>
        </w:rPr>
        <w:t>入支出决算总体情况说明</w:t>
      </w:r>
      <w:bookmarkEnd w:id="24"/>
      <w:bookmarkEnd w:id="25"/>
    </w:p>
    <w:p>
      <w:pPr>
        <w:snapToGrid w:val="0"/>
        <w:spacing w:line="520" w:lineRule="exact"/>
        <w:ind w:firstLine="632" w:firstLineChars="200"/>
        <w:rPr>
          <w:rFonts w:ascii="仿宋_GB2312" w:hAnsi="宋体" w:eastAsia="仿宋_GB2312"/>
          <w:sz w:val="32"/>
        </w:rPr>
      </w:pPr>
      <w:r>
        <w:rPr>
          <w:rFonts w:hint="eastAsia" w:ascii="仿宋_GB2312" w:eastAsia="仿宋_GB2312"/>
          <w:color w:val="000000"/>
          <w:spacing w:val="-2"/>
          <w:sz w:val="32"/>
          <w:szCs w:val="32"/>
        </w:rPr>
        <w:t>2020年度总收入</w:t>
      </w:r>
      <w:r>
        <w:rPr>
          <w:rFonts w:hint="eastAsia" w:ascii="仿宋_GB2312" w:eastAsia="仿宋_GB2312"/>
          <w:color w:val="000000"/>
          <w:sz w:val="32"/>
          <w:szCs w:val="32"/>
        </w:rPr>
        <w:t>2449.86</w:t>
      </w:r>
      <w:r>
        <w:rPr>
          <w:rFonts w:hint="eastAsia" w:ascii="仿宋_GB2312" w:eastAsia="仿宋_GB2312"/>
          <w:color w:val="000000"/>
          <w:spacing w:val="-2"/>
          <w:sz w:val="32"/>
          <w:szCs w:val="32"/>
        </w:rPr>
        <w:t>万元，较上年收入增加1165.31</w:t>
      </w:r>
      <w:r>
        <w:rPr>
          <w:rFonts w:hint="eastAsia" w:ascii="仿宋_GB2312" w:eastAsia="仿宋_GB2312"/>
          <w:color w:val="000000"/>
          <w:spacing w:val="-2"/>
          <w:sz w:val="32"/>
          <w:szCs w:val="32"/>
          <w:lang w:eastAsia="zh-CN"/>
        </w:rPr>
        <w:t>万元</w:t>
      </w:r>
      <w:r>
        <w:rPr>
          <w:rFonts w:hint="eastAsia" w:ascii="仿宋_GB2312" w:eastAsia="仿宋_GB2312"/>
          <w:color w:val="000000"/>
          <w:spacing w:val="-2"/>
          <w:sz w:val="32"/>
          <w:szCs w:val="32"/>
        </w:rPr>
        <w:t>，增加90.72%。增加的主要原因是</w:t>
      </w:r>
      <w:r>
        <w:rPr>
          <w:rFonts w:hint="eastAsia" w:ascii="仿宋_GB2312" w:hAnsi="仿宋" w:eastAsia="仿宋_GB2312"/>
          <w:sz w:val="32"/>
          <w:szCs w:val="32"/>
        </w:rPr>
        <w:t>2020年万林乡并入勒乌镇收入数为万林乡与勒乌镇收入数的合计</w:t>
      </w:r>
      <w:r>
        <w:rPr>
          <w:rFonts w:ascii="仿宋_GB2312" w:hAnsi="宋体" w:eastAsia="仿宋_GB2312"/>
          <w:sz w:val="32"/>
        </w:rPr>
        <w:t>。</w:t>
      </w:r>
    </w:p>
    <w:p>
      <w:pPr>
        <w:snapToGrid w:val="0"/>
        <w:spacing w:line="520" w:lineRule="exact"/>
        <w:ind w:firstLine="632" w:firstLineChars="200"/>
        <w:rPr>
          <w:rFonts w:ascii="仿宋_GB2312" w:eastAsia="仿宋_GB2312"/>
          <w:spacing w:val="-2"/>
          <w:sz w:val="32"/>
          <w:szCs w:val="32"/>
        </w:rPr>
      </w:pPr>
      <w:r>
        <w:rPr>
          <w:rFonts w:hint="eastAsia" w:ascii="仿宋_GB2312" w:eastAsia="仿宋_GB2312"/>
          <w:spacing w:val="-2"/>
          <w:sz w:val="32"/>
          <w:szCs w:val="32"/>
        </w:rPr>
        <w:t>2020年总支出</w:t>
      </w:r>
      <w:r>
        <w:rPr>
          <w:rFonts w:hint="eastAsia" w:ascii="仿宋_GB2312" w:eastAsia="仿宋_GB2312"/>
          <w:color w:val="000000"/>
          <w:sz w:val="32"/>
          <w:szCs w:val="32"/>
        </w:rPr>
        <w:t>2769.8</w:t>
      </w:r>
      <w:r>
        <w:rPr>
          <w:rFonts w:hint="eastAsia" w:ascii="仿宋_GB2312" w:eastAsia="仿宋_GB2312"/>
          <w:spacing w:val="-2"/>
          <w:sz w:val="32"/>
          <w:szCs w:val="32"/>
        </w:rPr>
        <w:t>万元，较上年支出增加455.74万元，增加19.69%。主要原因一是</w:t>
      </w:r>
      <w:r>
        <w:rPr>
          <w:rFonts w:hint="eastAsia" w:ascii="仿宋_GB2312" w:hAnsi="仿宋" w:eastAsia="仿宋_GB2312"/>
          <w:sz w:val="32"/>
          <w:szCs w:val="32"/>
        </w:rPr>
        <w:t>2020年万林乡并入勒乌镇</w:t>
      </w:r>
      <w:r>
        <w:drawing>
          <wp:anchor distT="0" distB="0" distL="114300" distR="114300" simplePos="0" relativeHeight="251659264" behindDoc="0" locked="0" layoutInCell="1" allowOverlap="1">
            <wp:simplePos x="0" y="0"/>
            <wp:positionH relativeFrom="column">
              <wp:posOffset>191135</wp:posOffset>
            </wp:positionH>
            <wp:positionV relativeFrom="paragraph">
              <wp:posOffset>1210310</wp:posOffset>
            </wp:positionV>
            <wp:extent cx="4572000" cy="2743200"/>
            <wp:effectExtent l="4445" t="4445" r="14605" b="14605"/>
            <wp:wrapTopAndBottom/>
            <wp:docPr id="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仿宋" w:eastAsia="仿宋_GB2312"/>
          <w:sz w:val="32"/>
          <w:szCs w:val="32"/>
        </w:rPr>
        <w:t>支出数为万林乡与勒乌镇支出数的合计</w:t>
      </w:r>
      <w:r>
        <w:rPr>
          <w:rFonts w:hint="eastAsia" w:ascii="仿宋_GB2312" w:eastAsia="仿宋_GB2312"/>
          <w:spacing w:val="-2"/>
          <w:sz w:val="32"/>
          <w:szCs w:val="32"/>
        </w:rPr>
        <w:t>；二是2019年支出包含了上年结转项目。</w:t>
      </w:r>
    </w:p>
    <w:p>
      <w:pPr>
        <w:spacing w:line="600" w:lineRule="exact"/>
        <w:ind w:firstLine="320" w:firstLineChars="100"/>
        <w:rPr>
          <w:rFonts w:ascii="黑体" w:eastAsia="黑体"/>
          <w:color w:val="000000"/>
          <w:sz w:val="32"/>
          <w:szCs w:val="32"/>
        </w:rPr>
      </w:pPr>
      <w:bookmarkStart w:id="26" w:name="_Toc15396604"/>
      <w:bookmarkStart w:id="27" w:name="_Toc15377206"/>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Style w:val="19"/>
          <w:rFonts w:ascii="黑体" w:eastAsia="黑体"/>
          <w:b w:val="0"/>
        </w:rPr>
      </w:pPr>
      <w:r>
        <w:rPr>
          <w:rFonts w:hint="eastAsia" w:ascii="黑体" w:eastAsia="黑体"/>
          <w:color w:val="000000"/>
          <w:sz w:val="32"/>
          <w:szCs w:val="32"/>
        </w:rPr>
        <w:t>二、收入决</w:t>
      </w:r>
      <w:r>
        <w:rPr>
          <w:rStyle w:val="19"/>
          <w:rFonts w:hint="eastAsia" w:ascii="黑体" w:eastAsia="黑体"/>
          <w:b w:val="0"/>
        </w:rPr>
        <w:t>算情况说明</w:t>
      </w:r>
      <w:bookmarkEnd w:id="26"/>
      <w:bookmarkEnd w:id="27"/>
    </w:p>
    <w:p>
      <w:pPr>
        <w:spacing w:line="600" w:lineRule="exact"/>
        <w:ind w:firstLine="640" w:firstLineChars="200"/>
        <w:outlineLvl w:val="1"/>
        <w:rPr>
          <w:rFonts w:ascii="仿宋_GB2312" w:eastAsia="仿宋_GB2312"/>
          <w:color w:val="000000"/>
          <w:sz w:val="32"/>
          <w:szCs w:val="32"/>
        </w:rPr>
      </w:pPr>
      <w:r>
        <w:rPr>
          <w:rFonts w:hint="eastAsia" w:ascii="仿宋_GB2312" w:eastAsia="仿宋_GB2312"/>
          <w:color w:val="000000"/>
          <w:sz w:val="32"/>
          <w:szCs w:val="32"/>
        </w:rPr>
        <w:t>2020年勒乌本年收入合计2449.86万元，其中：一般公共预算财政拨款收入2447.63万元，占99.91%；政府性基金预算财政拨款收入2.23万元，占0.09%；国有资本经营预算财政拨款收入0万元，占0%；事业收入0万元，占0%；经营收入0万元，占0%；附属单位上缴收入0万元，占0%；其他收入0万元，占0%。</w:t>
      </w:r>
      <w:bookmarkStart w:id="28" w:name="_Toc15396605"/>
      <w:bookmarkStart w:id="29" w:name="_Toc15377207"/>
    </w:p>
    <w:p>
      <w:pPr>
        <w:spacing w:line="600" w:lineRule="exact"/>
        <w:ind w:firstLine="640" w:firstLineChars="200"/>
        <w:outlineLvl w:val="1"/>
        <w:rPr>
          <w:rFonts w:ascii="仿宋_GB2312" w:eastAsia="仿宋_GB2312"/>
          <w:color w:val="000000"/>
          <w:sz w:val="32"/>
          <w:szCs w:val="32"/>
        </w:rPr>
      </w:pPr>
    </w:p>
    <w:p>
      <w:pPr>
        <w:spacing w:line="600" w:lineRule="exact"/>
        <w:ind w:firstLine="640" w:firstLineChars="200"/>
        <w:outlineLvl w:val="1"/>
        <w:rPr>
          <w:rFonts w:ascii="仿宋_GB2312" w:eastAsia="仿宋_GB2312"/>
          <w:color w:val="000000"/>
          <w:sz w:val="32"/>
          <w:szCs w:val="32"/>
        </w:rPr>
      </w:pPr>
    </w:p>
    <w:p>
      <w:pPr>
        <w:spacing w:line="600" w:lineRule="exact"/>
        <w:ind w:firstLine="640" w:firstLineChars="200"/>
        <w:outlineLvl w:val="1"/>
        <w:rPr>
          <w:rFonts w:ascii="仿宋_GB2312" w:eastAsia="仿宋_GB2312"/>
          <w:color w:val="000000"/>
          <w:sz w:val="32"/>
          <w:szCs w:val="32"/>
        </w:rPr>
      </w:pPr>
    </w:p>
    <w:p>
      <w:pPr>
        <w:spacing w:line="600" w:lineRule="exact"/>
        <w:ind w:firstLine="420" w:firstLineChars="200"/>
        <w:outlineLvl w:val="1"/>
        <w:rPr>
          <w:rFonts w:ascii="黑体" w:eastAsia="黑体"/>
          <w:color w:val="000000"/>
          <w:sz w:val="32"/>
          <w:szCs w:val="32"/>
        </w:rPr>
      </w:pPr>
      <w:r>
        <w:drawing>
          <wp:anchor distT="0" distB="0" distL="114300" distR="114300" simplePos="0" relativeHeight="251660288" behindDoc="0" locked="0" layoutInCell="1" allowOverlap="1">
            <wp:simplePos x="0" y="0"/>
            <wp:positionH relativeFrom="column">
              <wp:posOffset>98425</wp:posOffset>
            </wp:positionH>
            <wp:positionV relativeFrom="paragraph">
              <wp:posOffset>83820</wp:posOffset>
            </wp:positionV>
            <wp:extent cx="4572000" cy="2743200"/>
            <wp:effectExtent l="4445" t="4445" r="14605" b="14605"/>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t>三、支出决</w:t>
      </w:r>
      <w:r>
        <w:rPr>
          <w:rStyle w:val="19"/>
          <w:rFonts w:hint="eastAsia" w:ascii="黑体" w:eastAsia="黑体"/>
          <w:b w:val="0"/>
        </w:rPr>
        <w:t>算情况说明</w:t>
      </w:r>
      <w:bookmarkEnd w:id="28"/>
      <w:bookmarkEnd w:id="29"/>
    </w:p>
    <w:p>
      <w:pPr>
        <w:spacing w:line="600" w:lineRule="exact"/>
        <w:ind w:firstLine="640"/>
        <w:rPr>
          <w:rFonts w:ascii="仿宋_GB2312" w:eastAsia="仿宋_GB2312"/>
          <w:color w:val="FF0000"/>
          <w:sz w:val="32"/>
          <w:szCs w:val="32"/>
        </w:rPr>
      </w:pPr>
      <w:r>
        <w:rPr>
          <w:rFonts w:hint="eastAsia" w:ascii="仿宋" w:eastAsia="仿宋"/>
          <w:color w:val="000000"/>
          <w:sz w:val="32"/>
          <w:szCs w:val="32"/>
        </w:rPr>
        <w:t>2020年本年总支出2769.8万元，其中：基本支出</w:t>
      </w:r>
      <w:r>
        <w:rPr>
          <w:rFonts w:hint="eastAsia" w:ascii="仿宋_GB2312" w:eastAsia="仿宋_GB2312"/>
          <w:color w:val="000000"/>
          <w:sz w:val="32"/>
          <w:szCs w:val="32"/>
        </w:rPr>
        <w:t>1278.6</w:t>
      </w:r>
      <w:r>
        <w:rPr>
          <w:rFonts w:hint="eastAsia" w:ascii="仿宋" w:eastAsia="仿宋"/>
          <w:color w:val="000000"/>
          <w:sz w:val="32"/>
          <w:szCs w:val="32"/>
        </w:rPr>
        <w:t>万元，占46.16%；项目支出1491.2万元，基金支出15万，占53.84%；上缴上级支出0万元，占0%；经营支出0万元，占0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1312" behindDoc="0" locked="0" layoutInCell="1" allowOverlap="1">
            <wp:simplePos x="0" y="0"/>
            <wp:positionH relativeFrom="column">
              <wp:posOffset>421005</wp:posOffset>
            </wp:positionH>
            <wp:positionV relativeFrom="paragraph">
              <wp:posOffset>767715</wp:posOffset>
            </wp:positionV>
            <wp:extent cx="4220845" cy="2232025"/>
            <wp:effectExtent l="5080" t="4445" r="22225" b="11430"/>
            <wp:wrapTopAndBottom/>
            <wp:docPr id="1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rPr>
          <w:rFonts w:ascii="仿宋_GB2312" w:eastAsia="仿宋_GB2312"/>
          <w:color w:val="FF0000"/>
          <w:sz w:val="32"/>
          <w:szCs w:val="32"/>
        </w:rPr>
      </w:pPr>
    </w:p>
    <w:p>
      <w:pPr>
        <w:spacing w:line="600" w:lineRule="exact"/>
        <w:ind w:firstLine="640" w:firstLineChars="200"/>
        <w:outlineLvl w:val="1"/>
        <w:rPr>
          <w:rStyle w:val="19"/>
          <w:rFonts w:ascii="黑体" w:eastAsia="黑体"/>
          <w:b w:val="0"/>
        </w:rPr>
      </w:pPr>
      <w:bookmarkStart w:id="30" w:name="_Toc15396606"/>
      <w:bookmarkStart w:id="31" w:name="_Toc15377208"/>
      <w:r>
        <w:rPr>
          <w:rFonts w:hint="eastAsia" w:ascii="黑体" w:eastAsia="黑体"/>
          <w:color w:val="000000"/>
          <w:sz w:val="32"/>
          <w:szCs w:val="32"/>
        </w:rPr>
        <w:t>四、财</w:t>
      </w:r>
      <w:r>
        <w:rPr>
          <w:rStyle w:val="19"/>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_GB2312" w:eastAsia="仿宋_GB2312"/>
          <w:spacing w:val="-2"/>
          <w:sz w:val="32"/>
          <w:szCs w:val="32"/>
        </w:rPr>
      </w:pPr>
      <w:r>
        <w:rPr>
          <w:rFonts w:hint="eastAsia" w:ascii="仿宋" w:eastAsia="仿宋"/>
          <w:color w:val="000000"/>
          <w:sz w:val="32"/>
          <w:szCs w:val="32"/>
        </w:rPr>
        <w:t>2020年一般公共财政拨款收入</w:t>
      </w:r>
      <w:r>
        <w:rPr>
          <w:rFonts w:hint="eastAsia" w:ascii="仿宋_GB2312" w:eastAsia="仿宋_GB2312"/>
          <w:color w:val="000000"/>
          <w:sz w:val="32"/>
          <w:szCs w:val="32"/>
        </w:rPr>
        <w:t>2447.63</w:t>
      </w:r>
      <w:r>
        <w:rPr>
          <w:rFonts w:hint="eastAsia" w:ascii="仿宋" w:eastAsia="仿宋"/>
          <w:color w:val="000000"/>
          <w:sz w:val="32"/>
          <w:szCs w:val="32"/>
        </w:rPr>
        <w:t>万元。与2019年相比，一般公共财政拨款</w:t>
      </w:r>
      <w:r>
        <w:rPr>
          <w:rFonts w:hint="eastAsia" w:ascii="仿宋_GB2312" w:eastAsia="仿宋_GB2312"/>
          <w:color w:val="000000"/>
          <w:spacing w:val="-2"/>
          <w:sz w:val="32"/>
          <w:szCs w:val="32"/>
        </w:rPr>
        <w:t>收入增加294.82万元万元，增加13.69%。增加的主要原因是</w:t>
      </w:r>
      <w:r>
        <w:rPr>
          <w:rFonts w:hint="eastAsia" w:ascii="仿宋_GB2312" w:hAnsi="仿宋" w:eastAsia="仿宋_GB2312"/>
          <w:sz w:val="32"/>
          <w:szCs w:val="32"/>
        </w:rPr>
        <w:t>2020年万林乡并入勒乌镇收入数为万林乡与勒乌镇收入数的合计</w:t>
      </w:r>
      <w:r>
        <w:rPr>
          <w:rFonts w:ascii="仿宋_GB2312" w:hAnsi="宋体" w:eastAsia="仿宋_GB2312"/>
          <w:sz w:val="32"/>
        </w:rPr>
        <w:t>。</w:t>
      </w:r>
      <w:r>
        <w:rPr>
          <w:rFonts w:hint="eastAsia" w:ascii="仿宋" w:eastAsia="仿宋"/>
          <w:color w:val="000000"/>
          <w:sz w:val="32"/>
          <w:szCs w:val="32"/>
        </w:rPr>
        <w:t>2020年一般公共财政拨款支出</w:t>
      </w:r>
      <w:r>
        <w:rPr>
          <w:rFonts w:hint="eastAsia" w:ascii="仿宋_GB2312" w:eastAsia="仿宋_GB2312"/>
          <w:color w:val="000000"/>
          <w:sz w:val="32"/>
          <w:szCs w:val="32"/>
        </w:rPr>
        <w:t>2754.8</w:t>
      </w:r>
      <w:r>
        <w:rPr>
          <w:rFonts w:hint="eastAsia" w:ascii="仿宋" w:eastAsia="仿宋"/>
          <w:color w:val="000000"/>
          <w:sz w:val="32"/>
          <w:szCs w:val="32"/>
        </w:rPr>
        <w:t>万元，</w:t>
      </w:r>
      <w:r>
        <w:rPr>
          <w:rFonts w:hint="eastAsia" w:ascii="仿宋_GB2312" w:eastAsia="仿宋_GB2312"/>
          <w:spacing w:val="-2"/>
          <w:sz w:val="32"/>
          <w:szCs w:val="32"/>
        </w:rPr>
        <w:t>较上年支出增加440.74万元，增加19.05%。</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840" w:firstLineChars="400"/>
        <w:rPr>
          <w:rStyle w:val="19"/>
          <w:rFonts w:ascii="黑体" w:eastAsia="黑体"/>
          <w:b w:val="0"/>
        </w:rPr>
      </w:pPr>
      <w:r>
        <w:drawing>
          <wp:anchor distT="0" distB="0" distL="114300" distR="114300" simplePos="0" relativeHeight="251662336" behindDoc="0" locked="0" layoutInCell="1" allowOverlap="1">
            <wp:simplePos x="0" y="0"/>
            <wp:positionH relativeFrom="column">
              <wp:posOffset>271145</wp:posOffset>
            </wp:positionH>
            <wp:positionV relativeFrom="paragraph">
              <wp:posOffset>-2493645</wp:posOffset>
            </wp:positionV>
            <wp:extent cx="4411345" cy="2427605"/>
            <wp:effectExtent l="4445" t="4445" r="22860" b="6350"/>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w:t>
      </w:r>
      <w:r>
        <w:rPr>
          <w:rFonts w:hint="eastAsia" w:ascii="仿宋_GB2312" w:eastAsia="仿宋_GB2312"/>
          <w:color w:val="000000"/>
          <w:sz w:val="32"/>
          <w:szCs w:val="32"/>
        </w:rPr>
        <w:t>2754.8</w:t>
      </w:r>
      <w:r>
        <w:rPr>
          <w:rFonts w:hint="eastAsia" w:ascii="仿宋_GB2312" w:eastAsia="仿宋_GB2312"/>
          <w:spacing w:val="-2"/>
          <w:sz w:val="32"/>
          <w:szCs w:val="32"/>
        </w:rPr>
        <w:t>万元，</w:t>
      </w:r>
      <w:r>
        <w:rPr>
          <w:rFonts w:hint="eastAsia" w:ascii="仿宋" w:eastAsia="仿宋"/>
          <w:color w:val="000000"/>
          <w:sz w:val="32"/>
          <w:szCs w:val="32"/>
        </w:rPr>
        <w:t>占本年总支出的99.46</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支出增加440.74万元，增加19.05%。主要原因一是</w:t>
      </w:r>
      <w:r>
        <w:rPr>
          <w:rFonts w:hint="eastAsia" w:ascii="仿宋_GB2312" w:hAnsi="仿宋" w:eastAsia="仿宋_GB2312"/>
          <w:sz w:val="32"/>
          <w:szCs w:val="32"/>
        </w:rPr>
        <w:t>2020年万林乡并入勒乌镇支出数为万林乡与勒乌镇支出数的合计</w:t>
      </w:r>
      <w:r>
        <w:rPr>
          <w:rFonts w:hint="eastAsia" w:ascii="仿宋_GB2312" w:eastAsia="仿宋_GB2312"/>
          <w:spacing w:val="-2"/>
          <w:sz w:val="32"/>
          <w:szCs w:val="32"/>
        </w:rPr>
        <w:t>；二是2019年支出包含了上年结转项目。</w:t>
      </w:r>
    </w:p>
    <w:p>
      <w:pPr>
        <w:snapToGrid w:val="0"/>
        <w:spacing w:line="520" w:lineRule="exact"/>
        <w:ind w:firstLine="632" w:firstLineChars="200"/>
        <w:rPr>
          <w:rFonts w:ascii="仿宋_GB2312" w:eastAsia="仿宋_GB2312"/>
          <w:color w:val="FF0000"/>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3" w:firstLineChars="200"/>
        <w:rPr>
          <w:rFonts w:ascii="仿宋" w:eastAsia="仿宋"/>
          <w:b/>
          <w:color w:val="000000"/>
          <w:sz w:val="32"/>
          <w:szCs w:val="32"/>
        </w:rPr>
      </w:pPr>
      <w:bookmarkStart w:id="35" w:name="_Toc15377211"/>
    </w:p>
    <w:p>
      <w:pPr>
        <w:snapToGrid w:val="0"/>
        <w:spacing w:line="520" w:lineRule="exact"/>
        <w:rPr>
          <w:rFonts w:ascii="仿宋" w:eastAsia="仿宋"/>
          <w:b/>
          <w:color w:val="000000"/>
          <w:sz w:val="32"/>
          <w:szCs w:val="32"/>
        </w:rPr>
      </w:pPr>
      <w:r>
        <w:drawing>
          <wp:anchor distT="0" distB="0" distL="114300" distR="114300" simplePos="0" relativeHeight="251663360" behindDoc="0" locked="0" layoutInCell="1" allowOverlap="1">
            <wp:simplePos x="0" y="0"/>
            <wp:positionH relativeFrom="column">
              <wp:posOffset>271145</wp:posOffset>
            </wp:positionH>
            <wp:positionV relativeFrom="paragraph">
              <wp:posOffset>-2493645</wp:posOffset>
            </wp:positionV>
            <wp:extent cx="4572000" cy="2743200"/>
            <wp:effectExtent l="4445" t="4445" r="14605" b="14605"/>
            <wp:wrapTopAndBottom/>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napToGrid w:val="0"/>
        <w:spacing w:line="520" w:lineRule="exact"/>
        <w:ind w:firstLine="643" w:firstLineChars="200"/>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35"/>
    </w:p>
    <w:p>
      <w:pPr>
        <w:spacing w:line="360" w:lineRule="auto"/>
        <w:ind w:firstLine="800" w:firstLineChars="250"/>
        <w:rPr>
          <w:rFonts w:ascii="仿宋_GB2312" w:eastAsia="仿宋_GB2312"/>
          <w:color w:val="000000"/>
          <w:sz w:val="32"/>
          <w:szCs w:val="32"/>
          <w:highlight w:val="yellow"/>
        </w:rPr>
      </w:pPr>
      <w:r>
        <w:rPr>
          <w:rFonts w:ascii="仿宋" w:eastAsia="仿宋"/>
          <w:color w:val="000000"/>
          <w:sz w:val="32"/>
          <w:szCs w:val="32"/>
        </w:rPr>
        <w:t>20</w:t>
      </w:r>
      <w:r>
        <w:rPr>
          <w:rFonts w:hint="eastAsia" w:ascii="仿宋" w:eastAsia="仿宋"/>
          <w:color w:val="000000"/>
          <w:sz w:val="32"/>
          <w:szCs w:val="32"/>
        </w:rPr>
        <w:t>20年一般公共预算财政拨款支出</w:t>
      </w:r>
      <w:r>
        <w:rPr>
          <w:rFonts w:hint="eastAsia" w:ascii="仿宋_GB2312" w:eastAsia="仿宋_GB2312"/>
          <w:color w:val="000000"/>
          <w:sz w:val="32"/>
          <w:szCs w:val="32"/>
        </w:rPr>
        <w:t>2754.8</w:t>
      </w:r>
      <w:r>
        <w:rPr>
          <w:rFonts w:hint="eastAsia" w:ascii="仿宋" w:eastAsia="仿宋"/>
          <w:color w:val="000000"/>
          <w:sz w:val="32"/>
          <w:szCs w:val="32"/>
        </w:rPr>
        <w:t>万元，主要用于以下方面</w:t>
      </w:r>
      <w:r>
        <w:rPr>
          <w:rFonts w:hint="eastAsia" w:ascii="仿宋" w:eastAsia="仿宋"/>
          <w:color w:val="000000"/>
          <w:sz w:val="32"/>
          <w:szCs w:val="32"/>
          <w:lang w:eastAsia="zh-CN"/>
        </w:rPr>
        <w:t>：</w:t>
      </w:r>
      <w:r>
        <w:rPr>
          <w:rStyle w:val="16"/>
          <w:rFonts w:hint="eastAsia" w:ascii="仿宋" w:eastAsia="仿宋"/>
          <w:bCs/>
          <w:color w:val="000000"/>
          <w:sz w:val="32"/>
          <w:szCs w:val="32"/>
        </w:rPr>
        <w:t>一般公共服务支</w:t>
      </w:r>
      <w:r>
        <w:rPr>
          <w:rFonts w:hint="eastAsia" w:ascii="仿宋_GB2312" w:eastAsia="仿宋_GB2312"/>
          <w:color w:val="000000"/>
          <w:sz w:val="32"/>
          <w:szCs w:val="32"/>
        </w:rPr>
        <w:t>出921.01万元，占33.43%；</w:t>
      </w:r>
      <w:r>
        <w:rPr>
          <w:rStyle w:val="16"/>
          <w:rFonts w:hint="eastAsia" w:ascii="仿宋" w:eastAsia="仿宋"/>
          <w:bCs/>
          <w:color w:val="000000"/>
          <w:sz w:val="32"/>
          <w:szCs w:val="32"/>
        </w:rPr>
        <w:t>文化体育与传媒</w:t>
      </w:r>
      <w:r>
        <w:rPr>
          <w:rFonts w:hint="eastAsia" w:ascii="仿宋_GB2312" w:eastAsia="仿宋_GB2312"/>
          <w:color w:val="000000"/>
          <w:sz w:val="32"/>
          <w:szCs w:val="32"/>
        </w:rPr>
        <w:t>0万元，占0%，</w:t>
      </w:r>
      <w:r>
        <w:rPr>
          <w:rStyle w:val="16"/>
          <w:rFonts w:hint="eastAsia" w:ascii="仿宋" w:eastAsia="仿宋"/>
          <w:bCs/>
          <w:color w:val="000000"/>
          <w:sz w:val="32"/>
          <w:szCs w:val="32"/>
        </w:rPr>
        <w:t>社会保障和就业支出</w:t>
      </w:r>
      <w:r>
        <w:rPr>
          <w:rFonts w:hint="eastAsia" w:ascii="仿宋_GB2312" w:eastAsia="仿宋_GB2312"/>
          <w:color w:val="000000"/>
          <w:sz w:val="32"/>
          <w:szCs w:val="32"/>
        </w:rPr>
        <w:t>147.38万元，占5.35%；</w:t>
      </w:r>
      <w:r>
        <w:rPr>
          <w:rStyle w:val="16"/>
          <w:rFonts w:hint="eastAsia" w:ascii="仿宋" w:eastAsia="仿宋"/>
          <w:bCs/>
          <w:color w:val="000000"/>
          <w:sz w:val="32"/>
          <w:szCs w:val="32"/>
        </w:rPr>
        <w:t>卫生健康</w:t>
      </w:r>
      <w:r>
        <w:rPr>
          <w:rFonts w:hint="eastAsia" w:ascii="仿宋_GB2312" w:eastAsia="仿宋_GB2312"/>
          <w:color w:val="000000"/>
          <w:sz w:val="32"/>
          <w:szCs w:val="32"/>
        </w:rPr>
        <w:t>支出73.04万元，占2.65%；</w:t>
      </w:r>
      <w:r>
        <w:rPr>
          <w:rStyle w:val="16"/>
          <w:rFonts w:hint="eastAsia" w:ascii="仿宋" w:eastAsia="仿宋"/>
          <w:bCs/>
          <w:color w:val="000000"/>
          <w:sz w:val="32"/>
          <w:szCs w:val="32"/>
        </w:rPr>
        <w:t>节能环保</w:t>
      </w:r>
      <w:r>
        <w:rPr>
          <w:rFonts w:hint="eastAsia" w:ascii="仿宋_GB2312" w:eastAsia="仿宋_GB2312"/>
          <w:color w:val="000000"/>
          <w:sz w:val="32"/>
          <w:szCs w:val="32"/>
        </w:rPr>
        <w:t>支出630.25万元，占22.88%；</w:t>
      </w:r>
      <w:r>
        <w:rPr>
          <w:rStyle w:val="16"/>
          <w:rFonts w:hint="eastAsia" w:ascii="仿宋" w:eastAsia="仿宋"/>
          <w:bCs/>
          <w:color w:val="000000"/>
          <w:sz w:val="32"/>
          <w:szCs w:val="32"/>
        </w:rPr>
        <w:t>农林水</w:t>
      </w:r>
      <w:r>
        <w:rPr>
          <w:rFonts w:hint="eastAsia" w:ascii="仿宋_GB2312" w:eastAsia="仿宋_GB2312"/>
          <w:color w:val="000000"/>
          <w:sz w:val="32"/>
          <w:szCs w:val="32"/>
        </w:rPr>
        <w:t>支出488.73万元，占17.74%；</w:t>
      </w:r>
      <w:r>
        <w:rPr>
          <w:rStyle w:val="16"/>
          <w:rFonts w:hint="eastAsia" w:ascii="仿宋" w:eastAsia="仿宋"/>
          <w:bCs/>
          <w:color w:val="000000"/>
          <w:sz w:val="32"/>
          <w:szCs w:val="32"/>
        </w:rPr>
        <w:t>住房保障</w:t>
      </w:r>
      <w:r>
        <w:rPr>
          <w:rFonts w:hint="eastAsia" w:ascii="仿宋_GB2312" w:eastAsia="仿宋_GB2312"/>
          <w:color w:val="000000"/>
          <w:sz w:val="32"/>
          <w:szCs w:val="32"/>
        </w:rPr>
        <w:t>支出94.18万元，占3.42%；</w:t>
      </w:r>
      <w:r>
        <w:rPr>
          <w:rStyle w:val="16"/>
          <w:rFonts w:hint="eastAsia" w:ascii="仿宋" w:eastAsia="仿宋"/>
          <w:bCs/>
          <w:color w:val="000000"/>
          <w:sz w:val="32"/>
          <w:szCs w:val="32"/>
        </w:rPr>
        <w:t>其他</w:t>
      </w:r>
      <w:r>
        <w:rPr>
          <w:rFonts w:hint="eastAsia" w:ascii="仿宋_GB2312" w:eastAsia="仿宋_GB2312"/>
          <w:color w:val="000000"/>
          <w:sz w:val="32"/>
          <w:szCs w:val="32"/>
        </w:rPr>
        <w:t>支出400.22万元，占14.53%。</w:t>
      </w:r>
    </w:p>
    <w:p>
      <w:pPr>
        <w:spacing w:line="600" w:lineRule="exact"/>
        <w:ind w:firstLine="640"/>
        <w:rPr>
          <w:rFonts w:ascii="仿宋" w:eastAsia="仿宋"/>
          <w:color w:val="000000"/>
          <w:sz w:val="32"/>
          <w:szCs w:val="32"/>
        </w:rPr>
      </w:pPr>
    </w:p>
    <w:p>
      <w:pPr>
        <w:spacing w:line="600" w:lineRule="exact"/>
        <w:ind w:firstLine="5460" w:firstLineChars="2600"/>
        <w:outlineLvl w:val="2"/>
        <w:rPr>
          <w:rFonts w:ascii="仿宋" w:eastAsia="仿宋"/>
          <w:b/>
          <w:color w:val="000000"/>
          <w:sz w:val="32"/>
          <w:szCs w:val="32"/>
        </w:rPr>
      </w:pPr>
      <w:bookmarkStart w:id="36" w:name="_Toc15377213"/>
      <w:bookmarkStart w:id="37" w:name="_Toc15378460"/>
      <w:bookmarkStart w:id="38" w:name="_Toc15377444"/>
      <w:r>
        <w:drawing>
          <wp:anchor distT="0" distB="0" distL="114300" distR="114300" simplePos="0" relativeHeight="251664384" behindDoc="0" locked="0" layoutInCell="1" allowOverlap="1">
            <wp:simplePos x="0" y="0"/>
            <wp:positionH relativeFrom="column">
              <wp:posOffset>498475</wp:posOffset>
            </wp:positionH>
            <wp:positionV relativeFrom="paragraph">
              <wp:posOffset>260985</wp:posOffset>
            </wp:positionV>
            <wp:extent cx="4572000" cy="2743200"/>
            <wp:effectExtent l="4445" t="4445" r="14605" b="14605"/>
            <wp:wrapTopAndBottom/>
            <wp:docPr id="20" name="图表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ind w:firstLine="640" w:firstLineChars="200"/>
        <w:outlineLvl w:val="2"/>
        <w:rPr>
          <w:rFonts w:ascii="仿宋" w:eastAsia="仿宋"/>
          <w:bCs/>
          <w:color w:val="FF0000"/>
          <w:sz w:val="32"/>
          <w:szCs w:val="32"/>
        </w:rPr>
      </w:pPr>
      <w:r>
        <w:rPr>
          <w:rFonts w:hint="eastAsia" w:ascii="仿宋" w:eastAsia="仿宋"/>
          <w:bCs/>
          <w:color w:val="000000"/>
          <w:sz w:val="32"/>
          <w:szCs w:val="32"/>
        </w:rPr>
        <w:t>2020年一般公共预算数为1377.46万元，支出决算数为</w:t>
      </w:r>
      <w:r>
        <w:rPr>
          <w:rFonts w:hint="eastAsia" w:ascii="仿宋_GB2312" w:eastAsia="仿宋_GB2312"/>
          <w:color w:val="000000"/>
          <w:sz w:val="32"/>
          <w:szCs w:val="32"/>
        </w:rPr>
        <w:t>2754.8</w:t>
      </w:r>
      <w:r>
        <w:rPr>
          <w:rFonts w:hint="eastAsia" w:ascii="仿宋" w:eastAsia="仿宋"/>
          <w:bCs/>
          <w:color w:val="000000"/>
          <w:sz w:val="32"/>
          <w:szCs w:val="32"/>
        </w:rPr>
        <w:t>万元，完</w:t>
      </w:r>
      <w:r>
        <w:rPr>
          <w:rStyle w:val="16"/>
          <w:rFonts w:hint="eastAsia" w:ascii="仿宋" w:eastAsia="仿宋"/>
          <w:b w:val="0"/>
          <w:bCs/>
          <w:color w:val="000000"/>
          <w:sz w:val="32"/>
          <w:szCs w:val="32"/>
        </w:rPr>
        <w:t>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bookmarkEnd w:id="36"/>
      <w:bookmarkEnd w:id="37"/>
      <w:bookmarkEnd w:id="38"/>
    </w:p>
    <w:p>
      <w:pPr>
        <w:numPr>
          <w:ilvl w:val="0"/>
          <w:numId w:val="2"/>
        </w:numPr>
        <w:spacing w:line="600" w:lineRule="exact"/>
        <w:ind w:firstLine="643" w:firstLineChars="200"/>
        <w:rPr>
          <w:rStyle w:val="16"/>
          <w:rFonts w:ascii="仿宋_GB2312" w:eastAsia="仿宋_GB2312"/>
          <w:b w:val="0"/>
          <w:color w:val="000000"/>
          <w:sz w:val="32"/>
          <w:szCs w:val="32"/>
        </w:rPr>
      </w:pPr>
      <w:bookmarkStart w:id="40" w:name="_Toc15396608"/>
      <w:bookmarkStart w:id="41" w:name="_Toc15377214"/>
      <w:r>
        <w:rPr>
          <w:rStyle w:val="16"/>
          <w:rFonts w:hint="eastAsia" w:ascii="仿宋_GB2312" w:eastAsia="仿宋_GB2312"/>
          <w:color w:val="000000"/>
          <w:sz w:val="32"/>
          <w:szCs w:val="32"/>
        </w:rPr>
        <w:t>一般公共服务（类）201（款）:</w:t>
      </w:r>
      <w:r>
        <w:rPr>
          <w:rStyle w:val="16"/>
          <w:rFonts w:hint="eastAsia" w:ascii="仿宋_GB2312" w:eastAsia="仿宋_GB2312"/>
          <w:b w:val="0"/>
          <w:color w:val="000000"/>
          <w:sz w:val="32"/>
          <w:szCs w:val="32"/>
        </w:rPr>
        <w:t xml:space="preserve"> 支出决算为</w:t>
      </w:r>
      <w:r>
        <w:rPr>
          <w:rFonts w:hint="eastAsia" w:ascii="仿宋_GB2312" w:eastAsia="仿宋_GB2312"/>
          <w:color w:val="000000"/>
          <w:sz w:val="32"/>
          <w:szCs w:val="32"/>
        </w:rPr>
        <w:t>921.01</w:t>
      </w:r>
      <w:r>
        <w:rPr>
          <w:rStyle w:val="16"/>
          <w:rFonts w:hint="eastAsia" w:ascii="仿宋_GB2312" w:eastAsia="仿宋_GB2312"/>
          <w:b w:val="0"/>
          <w:color w:val="000000"/>
          <w:sz w:val="32"/>
          <w:szCs w:val="32"/>
        </w:rPr>
        <w:t>万元，完成预算100%。</w:t>
      </w:r>
    </w:p>
    <w:p>
      <w:pPr>
        <w:spacing w:line="600" w:lineRule="exact"/>
        <w:ind w:firstLine="643" w:firstLineChars="200"/>
        <w:rPr>
          <w:rFonts w:ascii="仿宋_GB2312" w:eastAsia="仿宋_GB2312"/>
          <w:b/>
          <w:color w:val="000000"/>
          <w:sz w:val="32"/>
          <w:szCs w:val="32"/>
        </w:rPr>
      </w:pPr>
      <w:r>
        <w:rPr>
          <w:rStyle w:val="16"/>
          <w:rFonts w:hint="eastAsia" w:ascii="仿宋_GB2312" w:eastAsia="仿宋_GB2312"/>
          <w:color w:val="000000"/>
          <w:sz w:val="32"/>
          <w:szCs w:val="32"/>
        </w:rPr>
        <w:t>2.教育（类）***（款）:</w:t>
      </w:r>
      <w:r>
        <w:rPr>
          <w:rStyle w:val="16"/>
          <w:rFonts w:hint="eastAsia" w:ascii="仿宋_GB2312" w:eastAsia="仿宋_GB2312"/>
          <w:b w:val="0"/>
          <w:color w:val="000000"/>
          <w:sz w:val="32"/>
          <w:szCs w:val="32"/>
        </w:rPr>
        <w:t xml:space="preserve"> 支出决算为0万元，完成预算0%，决算数大于/小于预算数的主要原因是…。</w:t>
      </w:r>
    </w:p>
    <w:p>
      <w:pPr>
        <w:spacing w:line="600" w:lineRule="exact"/>
        <w:ind w:firstLine="643" w:firstLineChars="200"/>
        <w:rPr>
          <w:rFonts w:ascii="仿宋_GB2312" w:eastAsia="仿宋_GB2312"/>
          <w:b/>
          <w:color w:val="000000"/>
          <w:sz w:val="32"/>
          <w:szCs w:val="32"/>
        </w:rPr>
      </w:pPr>
      <w:r>
        <w:rPr>
          <w:rStyle w:val="16"/>
          <w:rFonts w:hint="eastAsia" w:ascii="仿宋_GB2312" w:eastAsia="仿宋_GB2312"/>
          <w:color w:val="000000"/>
          <w:sz w:val="32"/>
          <w:szCs w:val="32"/>
        </w:rPr>
        <w:t>3.科学技术（类）***（款）:</w:t>
      </w:r>
      <w:r>
        <w:rPr>
          <w:rStyle w:val="16"/>
          <w:rFonts w:hint="eastAsia" w:ascii="仿宋_GB2312" w:eastAsia="仿宋_GB2312"/>
          <w:b w:val="0"/>
          <w:color w:val="000000"/>
          <w:sz w:val="32"/>
          <w:szCs w:val="32"/>
        </w:rPr>
        <w:t xml:space="preserve"> 支出决算为0万元，完成预算0%，决算数大于/小于预算数的主要原因是…。</w:t>
      </w:r>
    </w:p>
    <w:p>
      <w:pPr>
        <w:spacing w:line="600" w:lineRule="exact"/>
        <w:ind w:firstLine="643" w:firstLineChars="200"/>
        <w:rPr>
          <w:rStyle w:val="16"/>
          <w:rFonts w:ascii="仿宋_GB2312" w:eastAsia="仿宋_GB2312"/>
          <w:b w:val="0"/>
          <w:color w:val="000000"/>
          <w:sz w:val="32"/>
          <w:szCs w:val="32"/>
        </w:rPr>
      </w:pPr>
      <w:r>
        <w:rPr>
          <w:rStyle w:val="16"/>
          <w:rFonts w:hint="eastAsia" w:ascii="仿宋_GB2312" w:eastAsia="仿宋_GB2312"/>
          <w:color w:val="000000"/>
          <w:sz w:val="32"/>
          <w:szCs w:val="32"/>
        </w:rPr>
        <w:t>4.节能环保（类）211（款）:</w:t>
      </w:r>
      <w:r>
        <w:rPr>
          <w:rStyle w:val="16"/>
          <w:rFonts w:hint="eastAsia" w:ascii="仿宋_GB2312" w:eastAsia="仿宋_GB2312"/>
          <w:b w:val="0"/>
          <w:color w:val="000000"/>
          <w:sz w:val="32"/>
          <w:szCs w:val="32"/>
        </w:rPr>
        <w:t xml:space="preserve"> 支出决算为630.25万元，完成预算0%。</w:t>
      </w:r>
    </w:p>
    <w:p>
      <w:pPr>
        <w:spacing w:line="600" w:lineRule="exact"/>
        <w:ind w:firstLine="643" w:firstLineChars="200"/>
        <w:rPr>
          <w:rStyle w:val="16"/>
          <w:rFonts w:ascii="仿宋_GB2312" w:eastAsia="仿宋_GB2312"/>
          <w:b w:val="0"/>
          <w:color w:val="000000"/>
          <w:sz w:val="32"/>
          <w:szCs w:val="32"/>
        </w:rPr>
      </w:pPr>
      <w:r>
        <w:rPr>
          <w:rStyle w:val="16"/>
          <w:rFonts w:hint="eastAsia" w:ascii="仿宋_GB2312" w:eastAsia="仿宋_GB2312"/>
          <w:color w:val="000000"/>
          <w:sz w:val="32"/>
          <w:szCs w:val="32"/>
        </w:rPr>
        <w:t xml:space="preserve"> 5.社会保障和就业（类）208（款）:</w:t>
      </w:r>
      <w:r>
        <w:rPr>
          <w:rStyle w:val="16"/>
          <w:rFonts w:hint="eastAsia" w:ascii="仿宋_GB2312" w:eastAsia="仿宋_GB2312"/>
          <w:b w:val="0"/>
          <w:color w:val="000000"/>
          <w:sz w:val="32"/>
          <w:szCs w:val="32"/>
        </w:rPr>
        <w:t xml:space="preserve"> 支出决算为147.38万元，完成预算100%。</w:t>
      </w:r>
    </w:p>
    <w:p>
      <w:pPr>
        <w:spacing w:line="600" w:lineRule="exact"/>
        <w:ind w:firstLine="643" w:firstLineChars="200"/>
        <w:rPr>
          <w:rStyle w:val="16"/>
          <w:rFonts w:ascii="仿宋_GB2312" w:eastAsia="仿宋_GB2312"/>
          <w:b w:val="0"/>
          <w:color w:val="000000"/>
          <w:sz w:val="32"/>
          <w:szCs w:val="32"/>
        </w:rPr>
      </w:pPr>
      <w:r>
        <w:rPr>
          <w:rStyle w:val="16"/>
          <w:rFonts w:hint="eastAsia" w:ascii="仿宋_GB2312" w:eastAsia="仿宋_GB2312"/>
          <w:color w:val="000000"/>
          <w:sz w:val="32"/>
          <w:szCs w:val="32"/>
        </w:rPr>
        <w:t>6.卫生健康（类）210（款）</w:t>
      </w:r>
      <w:r>
        <w:rPr>
          <w:rStyle w:val="16"/>
          <w:rFonts w:hint="eastAsia" w:ascii="仿宋_GB2312" w:eastAsia="仿宋_GB2312"/>
          <w:color w:val="000000"/>
          <w:sz w:val="32"/>
          <w:szCs w:val="32"/>
          <w:lang w:eastAsia="zh-CN"/>
        </w:rPr>
        <w:t>：</w:t>
      </w:r>
      <w:r>
        <w:rPr>
          <w:rStyle w:val="16"/>
          <w:rFonts w:hint="eastAsia" w:ascii="仿宋_GB2312" w:eastAsia="仿宋_GB2312"/>
          <w:b w:val="0"/>
          <w:color w:val="000000"/>
          <w:sz w:val="32"/>
          <w:szCs w:val="32"/>
        </w:rPr>
        <w:t>支出决算为73.04万元，完成预算100%。</w:t>
      </w:r>
    </w:p>
    <w:p>
      <w:pPr>
        <w:spacing w:line="600" w:lineRule="exact"/>
        <w:ind w:firstLine="643" w:firstLineChars="200"/>
        <w:rPr>
          <w:rStyle w:val="16"/>
          <w:rFonts w:ascii="仿宋_GB2312" w:eastAsia="仿宋_GB2312"/>
          <w:b w:val="0"/>
          <w:color w:val="000000"/>
          <w:sz w:val="32"/>
          <w:szCs w:val="32"/>
        </w:rPr>
      </w:pPr>
      <w:r>
        <w:rPr>
          <w:rStyle w:val="16"/>
          <w:rFonts w:hint="eastAsia" w:ascii="仿宋_GB2312" w:eastAsia="仿宋_GB2312"/>
          <w:color w:val="000000"/>
          <w:sz w:val="32"/>
          <w:szCs w:val="32"/>
        </w:rPr>
        <w:t>7.农林水支出（类）213（款）</w:t>
      </w:r>
      <w:r>
        <w:rPr>
          <w:rStyle w:val="16"/>
          <w:rFonts w:hint="eastAsia" w:ascii="仿宋_GB2312" w:eastAsia="仿宋_GB2312"/>
          <w:color w:val="000000"/>
          <w:sz w:val="32"/>
          <w:szCs w:val="32"/>
          <w:lang w:eastAsia="zh-CN"/>
        </w:rPr>
        <w:t>：</w:t>
      </w:r>
      <w:r>
        <w:rPr>
          <w:rStyle w:val="16"/>
          <w:rFonts w:hint="eastAsia" w:ascii="仿宋_GB2312" w:eastAsia="仿宋_GB2312"/>
          <w:b w:val="0"/>
          <w:color w:val="000000"/>
          <w:sz w:val="32"/>
          <w:szCs w:val="32"/>
        </w:rPr>
        <w:t>支出决算为488.73万元，完成预算100%。</w:t>
      </w:r>
    </w:p>
    <w:p>
      <w:pPr>
        <w:spacing w:line="600" w:lineRule="exact"/>
        <w:ind w:firstLine="643" w:firstLineChars="200"/>
        <w:rPr>
          <w:rStyle w:val="16"/>
          <w:rFonts w:ascii="仿宋_GB2312" w:eastAsia="仿宋_GB2312"/>
          <w:b w:val="0"/>
          <w:color w:val="000000"/>
          <w:sz w:val="32"/>
          <w:szCs w:val="32"/>
        </w:rPr>
      </w:pPr>
      <w:r>
        <w:rPr>
          <w:rStyle w:val="16"/>
          <w:rFonts w:hint="eastAsia" w:ascii="仿宋_GB2312" w:eastAsia="仿宋_GB2312"/>
          <w:color w:val="000000"/>
          <w:sz w:val="32"/>
          <w:szCs w:val="32"/>
        </w:rPr>
        <w:t>8.住房保障支出（类）221（款）</w:t>
      </w:r>
      <w:r>
        <w:rPr>
          <w:rStyle w:val="16"/>
          <w:rFonts w:hint="eastAsia" w:ascii="仿宋_GB2312" w:eastAsia="仿宋_GB2312"/>
          <w:color w:val="000000"/>
          <w:sz w:val="32"/>
          <w:szCs w:val="32"/>
          <w:lang w:eastAsia="zh-CN"/>
        </w:rPr>
        <w:t>：</w:t>
      </w:r>
      <w:r>
        <w:rPr>
          <w:rStyle w:val="16"/>
          <w:rFonts w:hint="eastAsia" w:ascii="仿宋_GB2312" w:eastAsia="仿宋_GB2312"/>
          <w:b w:val="0"/>
          <w:color w:val="000000"/>
          <w:sz w:val="32"/>
          <w:szCs w:val="32"/>
        </w:rPr>
        <w:t>支出决算为94.18万元，完成预算100%。</w:t>
      </w:r>
    </w:p>
    <w:p>
      <w:pPr>
        <w:spacing w:line="600" w:lineRule="exact"/>
        <w:ind w:firstLine="643" w:firstLineChars="200"/>
        <w:rPr>
          <w:rStyle w:val="16"/>
          <w:rFonts w:ascii="仿宋_GB2312" w:eastAsia="仿宋_GB2312"/>
          <w:b w:val="0"/>
          <w:color w:val="000000"/>
          <w:sz w:val="32"/>
          <w:szCs w:val="32"/>
        </w:rPr>
      </w:pPr>
      <w:r>
        <w:rPr>
          <w:rStyle w:val="16"/>
          <w:rFonts w:hint="eastAsia" w:ascii="仿宋_GB2312" w:eastAsia="仿宋_GB2312"/>
          <w:color w:val="000000"/>
          <w:sz w:val="32"/>
          <w:szCs w:val="32"/>
        </w:rPr>
        <w:t>9.其他支出（类）229（款）</w:t>
      </w:r>
      <w:r>
        <w:rPr>
          <w:rStyle w:val="16"/>
          <w:rFonts w:hint="eastAsia" w:ascii="仿宋_GB2312" w:eastAsia="仿宋_GB2312"/>
          <w:color w:val="000000"/>
          <w:sz w:val="32"/>
          <w:szCs w:val="32"/>
          <w:lang w:eastAsia="zh-CN"/>
        </w:rPr>
        <w:t>：</w:t>
      </w:r>
      <w:r>
        <w:rPr>
          <w:rStyle w:val="16"/>
          <w:rFonts w:hint="eastAsia" w:ascii="仿宋_GB2312" w:eastAsia="仿宋_GB2312"/>
          <w:b w:val="0"/>
          <w:color w:val="000000"/>
          <w:sz w:val="32"/>
          <w:szCs w:val="32"/>
        </w:rPr>
        <w:t>支出决算为400.22万元，完成预算100%。</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0"/>
      <w:bookmarkEnd w:id="41"/>
      <w:r>
        <w:rPr>
          <w:rStyle w:val="19"/>
          <w:rFonts w:ascii="黑体" w:eastAsia="黑体"/>
          <w:b w:val="0"/>
        </w:rPr>
        <w:tab/>
      </w:r>
    </w:p>
    <w:p>
      <w:pPr>
        <w:spacing w:line="600" w:lineRule="exact"/>
        <w:ind w:firstLine="645"/>
        <w:rPr>
          <w:rFonts w:ascii="仿宋" w:eastAsia="仿宋"/>
          <w:color w:val="000000"/>
          <w:sz w:val="32"/>
          <w:szCs w:val="32"/>
        </w:rPr>
      </w:pPr>
      <w:r>
        <w:rPr>
          <w:rFonts w:hint="eastAsia" w:ascii="仿宋" w:eastAsia="仿宋"/>
          <w:color w:val="000000"/>
          <w:sz w:val="32"/>
          <w:szCs w:val="32"/>
        </w:rPr>
        <w:t>2020年一般公共预算财政拨款基本支出</w:t>
      </w:r>
      <w:r>
        <w:rPr>
          <w:rFonts w:hint="eastAsia" w:ascii="仿宋_GB2312" w:eastAsia="仿宋_GB2312"/>
          <w:color w:val="000000"/>
          <w:sz w:val="32"/>
          <w:szCs w:val="32"/>
        </w:rPr>
        <w:t>1278.6</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_GB2312" w:eastAsia="仿宋_GB2312"/>
          <w:color w:val="000000"/>
          <w:sz w:val="32"/>
          <w:szCs w:val="32"/>
        </w:rPr>
        <w:t>人员经费1203.88万元，主要包括：基本工资2323.34万元，津贴补贴345.29万元，奖金21.43元，绩效工资45.4万元，机关事业单位基本养老保险缴费88.64万元，职业年金缴费43.73万元，其他社会保障缴费2.28万元，职工医疗保险40.87万元，公务员医疗补助缴费16.69万元，其他工资福利支出0万元，离休费0万元，退休费0.02万元，抚恤金32.38万元，生活补助10.06万元，医疗费</w:t>
      </w:r>
      <w:r>
        <w:rPr>
          <w:rFonts w:hint="eastAsia" w:ascii="仿宋_GB2312" w:eastAsia="仿宋_GB2312"/>
          <w:color w:val="000000"/>
          <w:sz w:val="32"/>
          <w:szCs w:val="32"/>
          <w:lang w:eastAsia="zh-CN"/>
        </w:rPr>
        <w:t>，</w:t>
      </w:r>
      <w:r>
        <w:rPr>
          <w:rFonts w:hint="eastAsia" w:ascii="仿宋_GB2312" w:eastAsia="仿宋_GB2312"/>
          <w:color w:val="000000"/>
          <w:sz w:val="32"/>
          <w:szCs w:val="32"/>
        </w:rPr>
        <w:t>0万元，奖励金231.6万元，住房公积金93.15万元，提租补贴0万元、购房补贴0万元、其他对个人和家庭的补助支出等。</w:t>
      </w:r>
      <w:r>
        <w:rPr>
          <w:rFonts w:hint="eastAsia" w:ascii="仿宋_GB2312" w:eastAsia="仿宋_GB2312"/>
          <w:color w:val="000000"/>
          <w:sz w:val="32"/>
          <w:szCs w:val="32"/>
        </w:rPr>
        <w:br w:type="textWrapping"/>
      </w:r>
      <w:r>
        <w:rPr>
          <w:rFonts w:hint="eastAsia" w:ascii="仿宋_GB2312" w:eastAsia="仿宋_GB2312"/>
          <w:color w:val="000000"/>
          <w:sz w:val="32"/>
          <w:szCs w:val="32"/>
        </w:rPr>
        <w:t>　　公用经费74.72万元，主要包括：办公费15.36万元，印刷5.43万元，咨询</w:t>
      </w:r>
      <w:r>
        <w:rPr>
          <w:rFonts w:hint="eastAsia" w:ascii="仿宋_GB2312" w:eastAsia="仿宋_GB2312"/>
          <w:color w:val="000000"/>
          <w:sz w:val="32"/>
          <w:szCs w:val="32"/>
          <w:lang w:eastAsia="zh-CN"/>
        </w:rPr>
        <w:t>，</w:t>
      </w:r>
      <w:r>
        <w:rPr>
          <w:rFonts w:hint="eastAsia" w:ascii="仿宋_GB2312" w:eastAsia="仿宋_GB2312"/>
          <w:color w:val="000000"/>
          <w:sz w:val="32"/>
          <w:szCs w:val="32"/>
        </w:rPr>
        <w:t>0万元，手续费0万元，水费0.3万元，电费4.4万元，邮电费5.77万元，取暖费1.6万元，物业管理费0万元，差旅费14万元，因公出国（境）费用0万元，维修（护）费0万元，租赁费0万元，会议费0万元，培训费0万元，公务接待费0万元，劳务费10.56万元，委托业务费0万元工会经费0万元，福利费0万元，公务用车运行维护费17.29万元，其他交通费0万元，税金及附加费用0万元，其他商品和服务支出0万元，办公设备购置0万元，公务用车购置0万元，信息网络及软件购置更新0万元，其他资本性支出0万元。</w:t>
      </w:r>
    </w:p>
    <w:p>
      <w:pPr>
        <w:spacing w:line="600" w:lineRule="exact"/>
        <w:ind w:firstLine="640" w:firstLineChars="200"/>
        <w:outlineLvl w:val="1"/>
        <w:rPr>
          <w:rStyle w:val="19"/>
          <w:rFonts w:ascii="黑体" w:eastAsia="黑体"/>
          <w:b w:val="0"/>
        </w:rPr>
      </w:pPr>
      <w:bookmarkStart w:id="42" w:name="_Toc15377215"/>
      <w:bookmarkStart w:id="43" w:name="_Toc15396609"/>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w:t>
      </w:r>
      <w:r>
        <w:rPr>
          <w:rFonts w:hint="eastAsia" w:ascii="仿宋_GB2312" w:eastAsia="仿宋_GB2312"/>
          <w:color w:val="000000"/>
          <w:sz w:val="32"/>
          <w:szCs w:val="32"/>
        </w:rPr>
        <w:t>17.29</w:t>
      </w:r>
      <w:r>
        <w:rPr>
          <w:rFonts w:hint="eastAsia" w:ascii="仿宋" w:eastAsia="仿宋"/>
          <w:color w:val="000000"/>
          <w:sz w:val="32"/>
          <w:szCs w:val="32"/>
        </w:rPr>
        <w:t>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w:t>
      </w:r>
      <w:r>
        <w:rPr>
          <w:rFonts w:hint="eastAsia" w:ascii="仿宋_GB2312" w:eastAsia="仿宋_GB2312"/>
          <w:color w:val="000000"/>
          <w:sz w:val="32"/>
          <w:szCs w:val="32"/>
        </w:rPr>
        <w:t>17.29</w:t>
      </w:r>
      <w:r>
        <w:rPr>
          <w:rFonts w:hint="eastAsia" w:ascii="仿宋" w:eastAsia="仿宋"/>
          <w:sz w:val="32"/>
          <w:szCs w:val="32"/>
        </w:rPr>
        <w:t>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_GB2312" w:eastAsia="仿宋_GB2312"/>
          <w:color w:val="000000"/>
          <w:sz w:val="32"/>
          <w:szCs w:val="32"/>
        </w:rPr>
        <w:t>17.29</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r>
        <w:drawing>
          <wp:anchor distT="0" distB="0" distL="114300" distR="114300" simplePos="0" relativeHeight="251665408" behindDoc="0" locked="0" layoutInCell="1" allowOverlap="1">
            <wp:simplePos x="0" y="0"/>
            <wp:positionH relativeFrom="column">
              <wp:posOffset>415925</wp:posOffset>
            </wp:positionH>
            <wp:positionV relativeFrom="paragraph">
              <wp:posOffset>1052195</wp:posOffset>
            </wp:positionV>
            <wp:extent cx="4238625" cy="2543175"/>
            <wp:effectExtent l="4445" t="5080" r="5080" b="4445"/>
            <wp:wrapTopAndBottom/>
            <wp:docPr id="21" name="图表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rPr>
          <w:rFonts w:ascii="仿宋" w:eastAsia="仿宋"/>
          <w:color w:val="000000"/>
          <w:sz w:val="32"/>
          <w:szCs w:val="32"/>
        </w:rPr>
      </w:pPr>
    </w:p>
    <w:p>
      <w:pPr>
        <w:numPr>
          <w:ilvl w:val="0"/>
          <w:numId w:val="3"/>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公出国（境）支出决算与</w:t>
      </w:r>
      <w:r>
        <w:rPr>
          <w:rFonts w:ascii="仿宋_GB2312" w:eastAsia="仿宋_GB2312"/>
          <w:color w:val="000000"/>
          <w:sz w:val="32"/>
          <w:szCs w:val="32"/>
        </w:rPr>
        <w:t>201</w:t>
      </w:r>
      <w:r>
        <w:rPr>
          <w:rFonts w:hint="eastAsia" w:ascii="仿宋_GB2312" w:eastAsia="仿宋_GB2312"/>
          <w:color w:val="000000"/>
          <w:sz w:val="32"/>
          <w:szCs w:val="32"/>
        </w:rPr>
        <w:t>9持平。</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17.29万元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公务用车购置支出0</w:t>
      </w:r>
      <w:r>
        <w:rPr>
          <w:rFonts w:hint="eastAsia" w:ascii="仿宋_GB2312" w:eastAsia="仿宋_GB2312"/>
          <w:color w:val="000000"/>
          <w:sz w:val="32"/>
          <w:szCs w:val="32"/>
        </w:rPr>
        <w:t>万元。全年按规定更新购置公务用车0辆，其中：轿车0辆、金额0万元，越野车0辆、金额0万元，载客汽车0辆、金额0万元。截至2020年12月底，单位共有公务用车5辆，其中：轿车2辆、越野车3辆、其他用车辆，载客汽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公务用车运行维护费支出17.29万元</w:t>
      </w:r>
      <w:r>
        <w:rPr>
          <w:rFonts w:hint="eastAsia" w:ascii="仿宋_GB2312" w:eastAsia="仿宋_GB2312"/>
          <w:color w:val="000000"/>
          <w:sz w:val="32"/>
          <w:szCs w:val="32"/>
        </w:rPr>
        <w:t>。主要用于下村（具体工作）等所需的公务用车燃料费、维修费、过路过桥费、保险费等支出。</w:t>
      </w:r>
    </w:p>
    <w:p>
      <w:pPr>
        <w:spacing w:line="600" w:lineRule="exact"/>
        <w:ind w:firstLine="640"/>
        <w:rPr>
          <w:rFonts w:ascii="仿宋_GB2312" w:eastAsia="仿宋_GB2312"/>
          <w:b/>
          <w:color w:val="000000"/>
          <w:sz w:val="32"/>
          <w:szCs w:val="32"/>
        </w:rPr>
      </w:pPr>
      <w:r>
        <w:rPr>
          <w:rFonts w:hint="eastAsia" w:ascii="仿宋_GB2312" w:eastAsia="仿宋_GB2312"/>
          <w:color w:val="000000"/>
          <w:sz w:val="32"/>
          <w:szCs w:val="32"/>
        </w:rPr>
        <w:t>公务用车购置及运行维护费支出决算比2019年增加5.09万元，增长41.72%，主要原因是万林乡与勒乌镇合并，公车持有数量增加，到村开展工作次数增加，公车运行成本增加。</w:t>
      </w:r>
    </w:p>
    <w:p>
      <w:pPr>
        <w:spacing w:line="600" w:lineRule="exact"/>
        <w:ind w:firstLine="643" w:firstLineChars="200"/>
        <w:rPr>
          <w:rFonts w:ascii="仿宋_GB2312" w:eastAsia="仿宋_GB2312"/>
          <w:color w:val="000000"/>
          <w:sz w:val="32"/>
          <w:szCs w:val="32"/>
        </w:rPr>
      </w:pPr>
      <w:bookmarkStart w:id="46" w:name="_Toc15396610"/>
      <w:bookmarkStart w:id="47" w:name="_Toc15377218"/>
      <w:r>
        <w:rPr>
          <w:rFonts w:hint="eastAsia" w:ascii="仿宋_GB2312" w:eastAsia="仿宋_GB2312"/>
          <w:b/>
          <w:color w:val="000000"/>
          <w:sz w:val="32"/>
          <w:szCs w:val="32"/>
        </w:rPr>
        <w:t>3.公务接待费支出0</w:t>
      </w:r>
      <w:r>
        <w:rPr>
          <w:rFonts w:hint="eastAsia" w:ascii="仿宋_GB2312" w:eastAsia="仿宋_GB2312"/>
          <w:color w:val="000000"/>
          <w:sz w:val="32"/>
          <w:szCs w:val="32"/>
        </w:rPr>
        <w:t>万元。主要用于执行公务、开展业务活动开支的交通费、住宿费、用餐费等。国内公务接待0批次，0人次（不包括陪同人员），共计支出0万元，具体内容包括：（接待具体项目、金额）。其中：外事接待0批次，0人，共计支出0万元，主要用于接待</w:t>
      </w:r>
      <w:r>
        <w:rPr>
          <w:rFonts w:ascii="仿宋_GB2312" w:eastAsia="仿宋_GB2312"/>
          <w:color w:val="000000"/>
          <w:sz w:val="32"/>
          <w:szCs w:val="32"/>
        </w:rPr>
        <w:t>…</w:t>
      </w:r>
      <w:r>
        <w:rPr>
          <w:rFonts w:hint="eastAsia" w:ascii="仿宋_GB2312" w:eastAsia="仿宋_GB2312"/>
          <w:color w:val="000000"/>
          <w:sz w:val="32"/>
          <w:szCs w:val="32"/>
        </w:rPr>
        <w:t>（具体项目）。</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公务接待费支出决算比2019年持平，公务接待费未开支。</w:t>
      </w:r>
    </w:p>
    <w:p>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20年度政府性基金预算拨款支出15万元。与2019年相比政府性基金预算拨款支出增加15万元，增长100%。主要原因是新城区建设项目办工作经费为基金支出。</w:t>
      </w:r>
    </w:p>
    <w:p>
      <w:pPr>
        <w:numPr>
          <w:ilvl w:val="0"/>
          <w:numId w:val="4"/>
        </w:numPr>
        <w:spacing w:line="600" w:lineRule="exact"/>
        <w:ind w:firstLine="640"/>
        <w:outlineLvl w:val="1"/>
        <w:rPr>
          <w:rStyle w:val="19"/>
          <w:rFonts w:ascii="黑体" w:eastAsia="黑体"/>
          <w:b w:val="0"/>
        </w:rPr>
      </w:pPr>
      <w:bookmarkStart w:id="48" w:name="_Toc15396611"/>
      <w:bookmarkStart w:id="49" w:name="_Toc15377219"/>
      <w:r>
        <w:rPr>
          <w:rStyle w:val="19"/>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spacing w:line="600" w:lineRule="exact"/>
        <w:ind w:firstLine="640" w:firstLineChars="200"/>
        <w:rPr>
          <w:rFonts w:ascii="黑体" w:eastAsia="黑体"/>
          <w:color w:val="000000"/>
          <w:sz w:val="32"/>
          <w:szCs w:val="32"/>
        </w:rPr>
      </w:pPr>
      <w:r>
        <w:rPr>
          <w:rFonts w:hint="eastAsia" w:ascii="黑体" w:eastAsia="黑体"/>
          <w:color w:val="000000"/>
          <w:sz w:val="32"/>
          <w:szCs w:val="32"/>
        </w:rPr>
        <w:t>十、其他重要事项的情况说明</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（一）机关运行经费支出情况</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2020年度勒乌镇机关运行经费支出0万元。</w:t>
      </w:r>
    </w:p>
    <w:p>
      <w:pPr>
        <w:autoSpaceDE w:val="0"/>
        <w:autoSpaceDN w:val="0"/>
        <w:adjustRightInd w:val="0"/>
        <w:spacing w:line="600" w:lineRule="exact"/>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（二）政府采购支出情况</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2020年度，勒乌镇政府采购支出总额303.91万元，其中：政府采购货物支出3万元、政府采购工程支出300.91万元、政府采购服务支出0万元。主要用于日常办公耗材购买及村级基础设施建设项目。授予中小企业合同金额300.91万元，占政府采购支出总额的99.01%，其中：授予小微企业合同金额3万元，占政府采购支出总额的0.99%。</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0" w:name="_Toc15377224"/>
      <w:r>
        <w:rPr>
          <w:rFonts w:hint="eastAsia" w:ascii="仿宋" w:eastAsia="仿宋"/>
          <w:b/>
          <w:color w:val="000000"/>
          <w:sz w:val="32"/>
          <w:szCs w:val="32"/>
        </w:rPr>
        <w:t>（三）国有资产占有使用情况</w:t>
      </w:r>
      <w:bookmarkEnd w:id="5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日，共有车辆8辆，为日常工作及应急保障用车。</w:t>
      </w:r>
    </w:p>
    <w:p>
      <w:pPr>
        <w:pStyle w:val="24"/>
        <w:spacing w:line="580" w:lineRule="exact"/>
        <w:ind w:left="709" w:firstLine="0" w:firstLineChars="0"/>
        <w:rPr>
          <w:rStyle w:val="19"/>
          <w:rFonts w:ascii="黑体" w:eastAsia="黑体"/>
          <w:b w:val="0"/>
        </w:rPr>
      </w:pPr>
      <w:r>
        <w:rPr>
          <w:rStyle w:val="19"/>
          <w:rFonts w:hint="eastAsia" w:ascii="黑体" w:eastAsia="黑体"/>
          <w:b w:val="0"/>
        </w:rPr>
        <w:t>十一、预算绩效情况说明</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1.绩效目标管理情况。</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按照预算绩效管理要求，本部门对2020年一般公共预算项目支出开展了绩效目标管理，共编制绩效目标0个，涉及财政资金0元，覆盖率达到0%。</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2.部门整体支出绩效自评开展情况。</w:t>
      </w: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2020年整体支出开展绩效自评，自评得分81分，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pPr>
        <w:jc w:val="center"/>
        <w:rPr>
          <w:rFonts w:ascii="黑体" w:hAnsi="黑体" w:eastAsia="黑体"/>
          <w:b/>
          <w:color w:val="000000"/>
          <w:sz w:val="32"/>
          <w:szCs w:val="32"/>
        </w:rPr>
      </w:pPr>
      <w:r>
        <w:rPr>
          <w:rFonts w:hint="eastAsia" w:ascii="黑体" w:hAnsi="黑体" w:eastAsia="黑体"/>
          <w:b/>
          <w:color w:val="000000"/>
          <w:sz w:val="32"/>
          <w:szCs w:val="32"/>
        </w:rPr>
        <w:t>2020年部门整体支出绩效评价得分表</w:t>
      </w:r>
    </w:p>
    <w:tbl>
      <w:tblPr>
        <w:tblStyle w:val="14"/>
        <w:tblW w:w="0" w:type="auto"/>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r>
              <w:rPr>
                <w:rFonts w:hint="eastAsia" w:ascii="宋体" w:hAnsi="宋体" w:cs="宋体"/>
                <w:color w:val="000000"/>
                <w:kern w:val="0"/>
                <w:sz w:val="20"/>
                <w:szCs w:val="20"/>
              </w:rPr>
              <w:t>健全完整（2分）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18</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bl>
    <w:p>
      <w:pPr>
        <w:rPr>
          <w:color w:val="000000"/>
        </w:rPr>
      </w:pPr>
    </w:p>
    <w:p>
      <w:pPr>
        <w:spacing w:line="600" w:lineRule="atLeast"/>
        <w:ind w:firstLine="643" w:firstLineChars="200"/>
        <w:rPr>
          <w:rFonts w:ascii="仿宋_GB2312" w:eastAsia="仿宋_GB2312"/>
          <w:b/>
          <w:color w:val="000000"/>
          <w:sz w:val="32"/>
          <w:szCs w:val="32"/>
        </w:rPr>
      </w:pPr>
    </w:p>
    <w:p>
      <w:pPr>
        <w:spacing w:line="600"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3.部门自行组织绩效评价开展情况。</w:t>
      </w:r>
    </w:p>
    <w:p>
      <w:pPr>
        <w:spacing w:line="600" w:lineRule="atLeast"/>
        <w:ind w:firstLine="800" w:firstLineChars="250"/>
        <w:rPr>
          <w:rFonts w:ascii="仿宋_GB2312" w:eastAsia="仿宋_GB2312"/>
          <w:color w:val="000000"/>
          <w:sz w:val="32"/>
          <w:szCs w:val="32"/>
        </w:rPr>
      </w:pPr>
      <w:r>
        <w:rPr>
          <w:rFonts w:hint="eastAsia" w:ascii="仿宋_GB2312" w:eastAsia="仿宋_GB2312"/>
          <w:color w:val="000000"/>
          <w:sz w:val="32"/>
          <w:szCs w:val="32"/>
        </w:rPr>
        <w:t>勒乌镇开展了整体支出绩效评价，本部门对2020年整体支出开展绩效自评，自评得分81分，存在的问题：一是履职成效不高，二是内部控制管理不健全，三是目标任务不明确。下一步改进措施：一是改进工作方式，明确预算目标任务，做到相关性、合理性；二是加大对内部控制的管理，建立健全内部控制度，提高绩效管理履职成效。本部门对公共运行维护费项目开展了绩效评价，得分为81分，存在的问题：一是项目决策的可行性、明确性不够，二是项目管理中执行不够规范，三是项目进展缓慢，完成情况低，项目没有达到相应的效益。下一步改进措施：一是提高资金的使用率，加大项目的实施进度提高质量管理，达到最高的效益。二是对项目进行政策依据、完善，提高明确性和合理性。</w:t>
      </w:r>
    </w:p>
    <w:p>
      <w:pPr>
        <w:jc w:val="center"/>
        <w:rPr>
          <w:rFonts w:ascii="黑体" w:hAnsi="黑体" w:eastAsia="黑体"/>
          <w:color w:val="000000"/>
          <w:sz w:val="32"/>
          <w:szCs w:val="32"/>
        </w:rPr>
      </w:pPr>
      <w:r>
        <w:rPr>
          <w:rFonts w:hint="eastAsia" w:ascii="黑体" w:hAnsi="黑体" w:eastAsia="黑体"/>
          <w:color w:val="000000"/>
          <w:sz w:val="32"/>
          <w:szCs w:val="32"/>
        </w:rPr>
        <w:t>2020年项目支出绩效评价得分表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618"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单位名称/</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项目名称</w:t>
            </w:r>
          </w:p>
        </w:tc>
        <w:tc>
          <w:tcPr>
            <w:tcW w:w="8270" w:type="dxa"/>
            <w:gridSpan w:val="4"/>
            <w:vAlign w:val="center"/>
          </w:tcPr>
          <w:p>
            <w:pPr>
              <w:widowControl/>
              <w:spacing w:line="2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金川县勒乌镇人民政府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618"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一级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2113"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二级</w:t>
            </w:r>
          </w:p>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指标</w:t>
            </w:r>
          </w:p>
        </w:tc>
        <w:tc>
          <w:tcPr>
            <w:tcW w:w="3535"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1311" w:type="dxa"/>
            <w:vAlign w:val="center"/>
          </w:tcPr>
          <w:p>
            <w:pPr>
              <w:widowControl/>
              <w:spacing w:line="26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分值</w:t>
            </w:r>
          </w:p>
        </w:tc>
        <w:tc>
          <w:tcPr>
            <w:tcW w:w="1311" w:type="dxa"/>
            <w:vAlign w:val="center"/>
          </w:tcPr>
          <w:p>
            <w:pPr>
              <w:widowControl/>
              <w:spacing w:line="26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项目决策</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科学决策</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必要性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（政策依据</w:t>
            </w:r>
            <w:r>
              <w:rPr>
                <w:rFonts w:hint="eastAsia" w:ascii="宋体" w:hAnsi="宋体" w:cs="宋体"/>
                <w:color w:val="000000"/>
                <w:kern w:val="0"/>
                <w:sz w:val="20"/>
                <w:szCs w:val="20"/>
                <w:lang w:eastAsia="zh-CN"/>
              </w:rPr>
              <w:t>）</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可行性</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（政策完善）</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绩效目标    </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明确性</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合理性</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项目管理</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（7分）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资金管理</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资金分配</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textDirection w:val="tbRlV"/>
            <w:vAlign w:val="center"/>
          </w:tcPr>
          <w:p>
            <w:pPr>
              <w:widowControl/>
              <w:spacing w:line="260" w:lineRule="exact"/>
              <w:jc w:val="center"/>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资金使用</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项目执行</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执行规范</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18"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（特性指标70分）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 xml:space="preserve">项目绩效  </w:t>
            </w: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（20）</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项目完成</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完成数量</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完成质量</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5 </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完成时效</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完成成本</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（50分）</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项目效益</w:t>
            </w: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经济效益（可选项）</w:t>
            </w:r>
          </w:p>
        </w:tc>
        <w:tc>
          <w:tcPr>
            <w:tcW w:w="1311" w:type="dxa"/>
            <w:vMerge w:val="restart"/>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40</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社会效益（可选项）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r>
              <w:rPr>
                <w:rFonts w:hint="eastAsia" w:ascii="宋体" w:hAnsi="宋体" w:cs="宋体"/>
                <w:color w:val="000000"/>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生态效益（可选项）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r>
              <w:rPr>
                <w:rFonts w:hint="eastAsia" w:ascii="宋体" w:hAnsi="宋体" w:cs="宋体"/>
                <w:color w:val="000000"/>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可持续效益（可选项）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公平效率（可选项）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使用效率（可选项）</w:t>
            </w:r>
          </w:p>
        </w:tc>
        <w:tc>
          <w:tcPr>
            <w:tcW w:w="1311" w:type="dxa"/>
            <w:vMerge w:val="continue"/>
            <w:vAlign w:val="center"/>
          </w:tcPr>
          <w:p>
            <w:pPr>
              <w:widowControl/>
              <w:spacing w:line="260" w:lineRule="exact"/>
              <w:jc w:val="left"/>
              <w:rPr>
                <w:rFonts w:ascii="宋体" w:hAnsi="宋体" w:cs="宋体"/>
                <w:color w:val="000000"/>
                <w:kern w:val="0"/>
                <w:sz w:val="20"/>
                <w:szCs w:val="20"/>
              </w:rPr>
            </w:pPr>
          </w:p>
        </w:tc>
        <w:tc>
          <w:tcPr>
            <w:tcW w:w="1311" w:type="dxa"/>
          </w:tcPr>
          <w:p>
            <w:pPr>
              <w:widowControl/>
              <w:spacing w:line="260" w:lineRule="exact"/>
              <w:jc w:val="left"/>
              <w:rPr>
                <w:rFonts w:ascii="宋体" w:hAnsi="宋体" w:cs="宋体"/>
                <w:color w:val="000000"/>
                <w:kern w:val="0"/>
                <w:sz w:val="15"/>
                <w:szCs w:val="15"/>
              </w:rPr>
            </w:pPr>
            <w:r>
              <w:rPr>
                <w:rFonts w:hint="eastAsia" w:ascii="宋体" w:hAnsi="宋体" w:cs="宋体"/>
                <w:color w:val="000000"/>
                <w:kern w:val="0"/>
                <w:sz w:val="15"/>
                <w:szCs w:val="15"/>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18" w:type="dxa"/>
            <w:vMerge w:val="continue"/>
            <w:vAlign w:val="center"/>
          </w:tcPr>
          <w:p>
            <w:pPr>
              <w:widowControl/>
              <w:spacing w:line="260" w:lineRule="exact"/>
              <w:jc w:val="left"/>
              <w:rPr>
                <w:rFonts w:ascii="宋体" w:hAnsi="宋体" w:cs="宋体"/>
                <w:color w:val="000000"/>
                <w:kern w:val="0"/>
                <w:sz w:val="20"/>
                <w:szCs w:val="20"/>
              </w:rPr>
            </w:pPr>
          </w:p>
        </w:tc>
        <w:tc>
          <w:tcPr>
            <w:tcW w:w="2113" w:type="dxa"/>
            <w:vMerge w:val="continue"/>
            <w:vAlign w:val="center"/>
          </w:tcPr>
          <w:p>
            <w:pPr>
              <w:widowControl/>
              <w:spacing w:line="260" w:lineRule="exact"/>
              <w:jc w:val="left"/>
              <w:rPr>
                <w:rFonts w:ascii="宋体" w:hAnsi="宋体" w:cs="宋体"/>
                <w:color w:val="000000"/>
                <w:kern w:val="0"/>
                <w:sz w:val="20"/>
                <w:szCs w:val="20"/>
              </w:rPr>
            </w:pPr>
          </w:p>
        </w:tc>
        <w:tc>
          <w:tcPr>
            <w:tcW w:w="3535"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 xml:space="preserve">服务对象满意度    </w:t>
            </w:r>
          </w:p>
        </w:tc>
        <w:tc>
          <w:tcPr>
            <w:tcW w:w="1311" w:type="dxa"/>
            <w:vAlign w:val="center"/>
          </w:tcPr>
          <w:p>
            <w:pPr>
              <w:widowControl/>
              <w:spacing w:line="260" w:lineRule="exact"/>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1311" w:type="dxa"/>
          </w:tcPr>
          <w:p>
            <w:pPr>
              <w:widowControl/>
              <w:spacing w:line="260" w:lineRule="exact"/>
              <w:jc w:val="center"/>
              <w:rPr>
                <w:rFonts w:ascii="宋体" w:hAnsi="宋体" w:cs="宋体"/>
                <w:color w:val="000000"/>
                <w:kern w:val="0"/>
                <w:sz w:val="15"/>
                <w:szCs w:val="15"/>
              </w:rPr>
            </w:pPr>
            <w:r>
              <w:rPr>
                <w:rFonts w:hint="eastAsia" w:ascii="宋体" w:hAnsi="宋体" w:cs="宋体"/>
                <w:color w:val="000000"/>
                <w:kern w:val="0"/>
                <w:sz w:val="15"/>
                <w:szCs w:val="15"/>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18" w:type="dxa"/>
            <w:vAlign w:val="center"/>
          </w:tcPr>
          <w:p>
            <w:pPr>
              <w:widowControl/>
              <w:spacing w:line="260" w:lineRule="exact"/>
              <w:jc w:val="left"/>
              <w:rPr>
                <w:rFonts w:ascii="宋体" w:hAnsi="宋体" w:cs="宋体"/>
                <w:color w:val="000000"/>
                <w:kern w:val="0"/>
                <w:sz w:val="20"/>
                <w:szCs w:val="20"/>
              </w:rPr>
            </w:pPr>
            <w:r>
              <w:rPr>
                <w:rFonts w:hint="eastAsia" w:ascii="宋体" w:hAnsi="宋体" w:cs="宋体"/>
                <w:color w:val="000000"/>
                <w:kern w:val="0"/>
                <w:sz w:val="20"/>
                <w:szCs w:val="20"/>
              </w:rPr>
              <w:t>总分</w:t>
            </w:r>
          </w:p>
        </w:tc>
        <w:tc>
          <w:tcPr>
            <w:tcW w:w="8270" w:type="dxa"/>
            <w:gridSpan w:val="4"/>
            <w:vAlign w:val="center"/>
          </w:tcPr>
          <w:p>
            <w:pPr>
              <w:widowControl/>
              <w:spacing w:line="260" w:lineRule="exact"/>
              <w:jc w:val="center"/>
              <w:rPr>
                <w:rFonts w:ascii="宋体" w:hAnsi="宋体" w:cs="宋体"/>
                <w:color w:val="000000"/>
                <w:kern w:val="0"/>
                <w:sz w:val="15"/>
                <w:szCs w:val="15"/>
              </w:rPr>
            </w:pPr>
          </w:p>
        </w:tc>
      </w:tr>
    </w:tbl>
    <w:p>
      <w:pPr>
        <w:rPr>
          <w:color w:val="000000"/>
        </w:rPr>
      </w:pPr>
    </w:p>
    <w:p>
      <w:pPr>
        <w:numPr>
          <w:ilvl w:val="0"/>
          <w:numId w:val="5"/>
        </w:numPr>
        <w:spacing w:line="600" w:lineRule="exact"/>
        <w:ind w:firstLine="663" w:firstLineChars="150"/>
        <w:jc w:val="center"/>
        <w:outlineLvl w:val="0"/>
        <w:rPr>
          <w:rStyle w:val="18"/>
          <w:rFonts w:ascii="黑体" w:eastAsia="黑体"/>
          <w:b w:val="0"/>
        </w:rPr>
      </w:pPr>
      <w:bookmarkStart w:id="51" w:name="_Toc15377225"/>
      <w:bookmarkStart w:id="52" w:name="_Toc15396613"/>
      <w:r>
        <w:rPr>
          <w:rFonts w:hint="eastAsia" w:ascii="黑体" w:eastAsia="黑体"/>
          <w:b/>
          <w:color w:val="000000"/>
          <w:sz w:val="44"/>
          <w:szCs w:val="44"/>
        </w:rPr>
        <w:t>名</w:t>
      </w:r>
      <w:r>
        <w:rPr>
          <w:rStyle w:val="18"/>
          <w:rFonts w:hint="eastAsia" w:ascii="黑体" w:eastAsia="黑体"/>
          <w:b w:val="0"/>
        </w:rPr>
        <w:t>词解释</w:t>
      </w:r>
      <w:bookmarkEnd w:id="51"/>
      <w:bookmarkEnd w:id="52"/>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3" w:name="_Toc15396614"/>
      <w:bookmarkStart w:id="54"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4"/>
        <w:rPr>
          <w:rStyle w:val="18"/>
          <w:rFonts w:ascii="仿宋" w:eastAsia="仿宋"/>
          <w:b w:val="0"/>
          <w:bCs w:val="0"/>
          <w:sz w:val="32"/>
          <w:szCs w:val="32"/>
        </w:rPr>
      </w:pPr>
      <w:bookmarkStart w:id="55" w:name="_Toc15396615"/>
      <w:r>
        <w:rPr>
          <w:rStyle w:val="18"/>
          <w:rFonts w:hint="eastAsia" w:ascii="仿宋" w:eastAsia="仿宋"/>
          <w:b w:val="0"/>
          <w:bCs w:val="0"/>
          <w:sz w:val="32"/>
          <w:szCs w:val="32"/>
        </w:rPr>
        <w:t>附件1</w:t>
      </w:r>
      <w:bookmarkEnd w:id="55"/>
    </w:p>
    <w:p>
      <w:pPr>
        <w:numPr>
          <w:ilvl w:val="0"/>
          <w:numId w:val="5"/>
        </w:numPr>
        <w:spacing w:line="600" w:lineRule="exact"/>
        <w:ind w:firstLine="660" w:firstLineChars="150"/>
        <w:jc w:val="center"/>
        <w:outlineLvl w:val="0"/>
        <w:rPr>
          <w:rStyle w:val="18"/>
          <w:rFonts w:ascii="黑体" w:eastAsia="黑体"/>
          <w:b w:val="0"/>
        </w:rPr>
      </w:pPr>
      <w:r>
        <w:rPr>
          <w:rStyle w:val="18"/>
          <w:rFonts w:hint="eastAsia" w:ascii="黑体" w:eastAsia="黑体"/>
          <w:b w:val="0"/>
        </w:rPr>
        <w:t>附件</w:t>
      </w:r>
      <w:bookmarkEnd w:id="53"/>
    </w:p>
    <w:p>
      <w:pPr>
        <w:outlineLvl w:val="0"/>
        <w:rPr>
          <w:rStyle w:val="18"/>
          <w:rFonts w:ascii="黑体" w:eastAsia="黑体"/>
          <w:b w:val="0"/>
        </w:rPr>
      </w:pPr>
    </w:p>
    <w:bookmarkEnd w:id="54"/>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金川县勒乌镇人民政府</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根据《阿坝州财政局关于开展2020年财政支出绩效评价工作的通知》（阿州财监绩〔2020〕11号）精神，勒乌镇人民政府对2020年全年和2021年1-6月部门整体支出绩效进行了全面综合评价。现将有关情况报告如下：</w:t>
      </w:r>
    </w:p>
    <w:p>
      <w:pPr>
        <w:widowControl/>
        <w:adjustRightInd w:val="0"/>
        <w:snapToGrid w:val="0"/>
        <w:spacing w:line="540" w:lineRule="exact"/>
        <w:jc w:val="left"/>
        <w:rPr>
          <w:rFonts w:ascii="黑体" w:hAnsi="宋体" w:eastAsia="黑体" w:cs="宋体"/>
          <w:color w:val="000000"/>
          <w:kern w:val="0"/>
          <w:lang w:val="zh-CN"/>
        </w:rPr>
      </w:pPr>
      <w:bookmarkStart w:id="56" w:name="_Toc15396618"/>
      <w:bookmarkStart w:id="57" w:name="_Toc15396619"/>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widowControl/>
        <w:spacing w:line="54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（一）</w:t>
      </w:r>
      <w:r>
        <w:rPr>
          <w:rFonts w:hint="eastAsia" w:ascii="仿宋_GB2312" w:hAnsi="仿宋_GB2312" w:eastAsia="仿宋_GB2312" w:cs="仿宋_GB2312"/>
          <w:color w:val="000000"/>
          <w:sz w:val="32"/>
          <w:szCs w:val="32"/>
        </w:rPr>
        <w:t>机构组成</w:t>
      </w:r>
    </w:p>
    <w:p>
      <w:pPr>
        <w:widowControl/>
        <w:spacing w:line="54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我镇有2个机构，行政单位1个，事业单位1个。</w:t>
      </w:r>
    </w:p>
    <w:p>
      <w:pPr>
        <w:widowControl/>
        <w:numPr>
          <w:ilvl w:val="0"/>
          <w:numId w:val="6"/>
        </w:numPr>
        <w:spacing w:line="540" w:lineRule="exact"/>
        <w:ind w:firstLine="640" w:firstLineChars="200"/>
        <w:jc w:val="left"/>
        <w:rPr>
          <w:rFonts w:ascii="仿宋_GB2312" w:hAnsi="宋体" w:eastAsia="仿宋_GB2312"/>
          <w:sz w:val="32"/>
        </w:rPr>
      </w:pPr>
      <w:r>
        <w:rPr>
          <w:rFonts w:hint="eastAsia" w:ascii="仿宋_GB2312" w:hAnsi="仿宋_GB2312" w:eastAsia="仿宋_GB2312" w:cs="仿宋_GB2312"/>
          <w:color w:val="000000"/>
          <w:kern w:val="0"/>
          <w:sz w:val="32"/>
          <w:szCs w:val="32"/>
        </w:rPr>
        <w:t>机构职能</w:t>
      </w:r>
    </w:p>
    <w:p>
      <w:pPr>
        <w:widowControl/>
        <w:spacing w:line="54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snapToGrid w:val="0"/>
        <w:spacing w:line="520" w:lineRule="exac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（三）</w:t>
      </w:r>
      <w:r>
        <w:rPr>
          <w:rFonts w:hint="eastAsia" w:ascii="仿宋_GB2312" w:hAnsi="仿宋_GB2312" w:eastAsia="仿宋_GB2312" w:cs="仿宋_GB2312"/>
          <w:color w:val="000000"/>
          <w:sz w:val="32"/>
          <w:szCs w:val="32"/>
        </w:rPr>
        <w:t>勒乌镇人民政府2020年年初在职45人，其中行政人员34人，行政工勤4人，</w:t>
      </w:r>
      <w:r>
        <w:rPr>
          <w:rFonts w:hint="eastAsia" w:ascii="仿宋_GB2312" w:hAnsi="宋体" w:eastAsia="仿宋_GB2312"/>
          <w:bCs/>
          <w:sz w:val="32"/>
        </w:rPr>
        <w:t>事业7人</w:t>
      </w:r>
      <w:r>
        <w:rPr>
          <w:rFonts w:hint="eastAsia" w:ascii="仿宋_GB2312" w:hAnsi="仿宋_GB2312" w:eastAsia="仿宋_GB2312" w:cs="仿宋_GB2312"/>
          <w:color w:val="000000"/>
          <w:sz w:val="32"/>
          <w:szCs w:val="32"/>
        </w:rPr>
        <w:t>；2020年年末在职68人，</w:t>
      </w:r>
      <w:r>
        <w:rPr>
          <w:rFonts w:hint="eastAsia" w:ascii="仿宋_GB2312" w:hAnsi="宋体" w:eastAsia="仿宋_GB2312"/>
          <w:bCs/>
          <w:sz w:val="32"/>
        </w:rPr>
        <w:t>行政人员43，机关工勤6人，事业25人</w:t>
      </w:r>
      <w:r>
        <w:rPr>
          <w:rFonts w:hint="eastAsia" w:ascii="仿宋_GB2312" w:hAnsi="仿宋_GB2312" w:eastAsia="仿宋_GB2312" w:cs="仿宋_GB2312"/>
          <w:color w:val="000000"/>
          <w:sz w:val="32"/>
          <w:szCs w:val="32"/>
        </w:rPr>
        <w:t xml:space="preserve">。2021年1-6月独立编制单位机构数为1个，财政供养人员编制为68名，其中行政编制44名，行政工勤编制6名，事业编制44名（其中参照公务员法管理人员编制0人）；2021年1-6月实际财政供养人员 68人，其中：行政43人，行政工勤6人， 事业25人，较上年增加18人， </w:t>
      </w:r>
      <w:r>
        <w:rPr>
          <w:rFonts w:hint="eastAsia" w:ascii="仿宋_GB2312" w:hAnsi="仿宋" w:eastAsia="仿宋_GB2312"/>
          <w:sz w:val="32"/>
          <w:szCs w:val="32"/>
        </w:rPr>
        <w:t>主要原因是机构改革，人员增加，三站人员编制下划给乡镇。</w:t>
      </w:r>
    </w:p>
    <w:p>
      <w:pPr>
        <w:widowControl/>
        <w:adjustRightInd w:val="0"/>
        <w:snapToGrid w:val="0"/>
        <w:spacing w:line="540" w:lineRule="exact"/>
        <w:jc w:val="left"/>
        <w:rPr>
          <w:rFonts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pPr>
        <w:snapToGrid w:val="0"/>
        <w:spacing w:line="5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color w:val="000000"/>
          <w:sz w:val="32"/>
          <w:szCs w:val="32"/>
          <w:lang w:val="zh-CN"/>
        </w:rPr>
        <w:t>（一）</w:t>
      </w:r>
      <w:r>
        <w:rPr>
          <w:rFonts w:hint="eastAsia" w:ascii="仿宋_GB2312" w:hAnsi="仿宋_GB2312" w:eastAsia="仿宋_GB2312" w:cs="仿宋_GB2312"/>
          <w:bCs/>
          <w:sz w:val="32"/>
          <w:szCs w:val="32"/>
        </w:rPr>
        <w:t>2020年勒乌镇本年收入合计2449.86万元，其中：一般公共预算财政拨款收入2447.63万元，占99.91%；政府性基金预算财政拨款收入2.23万元，占0.09%；国有资本经营预算财政拨款收入0万元，占0%；事业收入0万元，占0%；经营收入0万元，占0%；附属单位上缴收入0万元，占0%；其他收入0万元，占0%。</w:t>
      </w:r>
    </w:p>
    <w:p>
      <w:pPr>
        <w:snapToGrid w:val="0"/>
        <w:spacing w:line="540" w:lineRule="exact"/>
        <w:ind w:firstLine="640" w:firstLineChars="200"/>
      </w:pPr>
      <w:r>
        <w:rPr>
          <w:rFonts w:hint="eastAsia" w:ascii="仿宋_GB2312" w:hAnsi="仿宋_GB2312" w:eastAsia="仿宋_GB2312" w:cs="仿宋_GB2312"/>
          <w:sz w:val="32"/>
          <w:szCs w:val="32"/>
        </w:rPr>
        <w:t>2021年1-6月收入合计1202.59</w:t>
      </w:r>
      <w:r>
        <w:rPr>
          <w:rFonts w:hint="eastAsia" w:ascii="仿宋_GB2312" w:hAnsi="仿宋_GB2312" w:eastAsia="仿宋_GB2312" w:cs="仿宋_GB2312"/>
          <w:bCs/>
          <w:sz w:val="32"/>
          <w:szCs w:val="32"/>
        </w:rPr>
        <w:t>万元，其中：一般公共预算财政拨款收入1202.59万元。</w:t>
      </w:r>
    </w:p>
    <w:p>
      <w:pPr>
        <w:snapToGrid w:val="0"/>
        <w:spacing w:line="520" w:lineRule="exact"/>
        <w:ind w:firstLine="640" w:firstLineChars="200"/>
        <w:rPr>
          <w:rFonts w:ascii="仿宋_GB2312" w:hAnsi="仿宋" w:eastAsia="仿宋_GB2312"/>
          <w:color w:val="000000"/>
          <w:sz w:val="32"/>
          <w:szCs w:val="32"/>
        </w:rPr>
      </w:pPr>
      <w:r>
        <w:rPr>
          <w:rFonts w:hint="eastAsia" w:ascii="仿宋_GB2312" w:hAnsi="仿宋_GB2312" w:eastAsia="仿宋_GB2312" w:cs="仿宋_GB2312"/>
          <w:color w:val="000000"/>
          <w:sz w:val="32"/>
          <w:szCs w:val="32"/>
          <w:lang w:val="zh-CN"/>
        </w:rPr>
        <w:t>（二）</w:t>
      </w:r>
      <w:r>
        <w:rPr>
          <w:rFonts w:hint="eastAsia" w:ascii="仿宋_GB2312" w:hAnsi="仿宋_GB2312" w:eastAsia="仿宋_GB2312" w:cs="仿宋_GB2312"/>
          <w:bCs/>
          <w:sz w:val="32"/>
          <w:szCs w:val="32"/>
        </w:rPr>
        <w:t>2020年一般公共预算财政拨款支出</w:t>
      </w:r>
      <w:r>
        <w:rPr>
          <w:rFonts w:hint="eastAsia" w:ascii="仿宋_GB2312" w:hAnsi="仿宋_GB2312" w:eastAsia="仿宋_GB2312" w:cs="仿宋_GB2312"/>
          <w:color w:val="000000"/>
          <w:sz w:val="32"/>
          <w:szCs w:val="32"/>
        </w:rPr>
        <w:t>2754.8</w:t>
      </w:r>
      <w:r>
        <w:rPr>
          <w:rFonts w:hint="eastAsia" w:ascii="仿宋_GB2312" w:hAnsi="仿宋_GB2312" w:eastAsia="仿宋_GB2312" w:cs="仿宋_GB2312"/>
          <w:bCs/>
          <w:sz w:val="32"/>
          <w:szCs w:val="32"/>
        </w:rPr>
        <w:t>万元，主要用于以下方面</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color w:val="000000"/>
          <w:sz w:val="32"/>
          <w:szCs w:val="32"/>
        </w:rPr>
        <w:t xml:space="preserve"> 其中</w:t>
      </w:r>
      <w:r>
        <w:rPr>
          <w:rFonts w:hint="eastAsia" w:ascii="仿宋_GB2312" w:hAnsi="仿宋" w:eastAsia="仿宋_GB2312"/>
          <w:color w:val="000000"/>
          <w:sz w:val="32"/>
          <w:szCs w:val="32"/>
        </w:rPr>
        <w:t>一般公共服务支出为921.01万元，占33.43%；社会保障和就业支出为147.38万元，占5.35%；卫生健康支出73.04万元，占2.65%；节能环保支出630.25万元，占22.88%；农林水支出为488.73万元，占17.74%；住房保障支出94.18万元，占3.42%；其他支出为400.21万元，占14.53%；</w:t>
      </w:r>
      <w:r>
        <w:rPr>
          <w:rFonts w:hint="eastAsia" w:ascii="仿宋_GB2312" w:hAnsi="仿宋_GB2312" w:eastAsia="仿宋_GB2312" w:cs="仿宋_GB2312"/>
          <w:bCs/>
          <w:sz w:val="32"/>
          <w:szCs w:val="32"/>
        </w:rPr>
        <w:t>政府性基金预算财政拨款支出15万元，主要用于双柏树新城区建设项目办经费。</w:t>
      </w:r>
    </w:p>
    <w:p>
      <w:pPr>
        <w:snapToGrid w:val="0"/>
        <w:spacing w:line="52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color w:val="000000"/>
          <w:sz w:val="32"/>
          <w:szCs w:val="32"/>
        </w:rPr>
        <w:t>其中：</w:t>
      </w:r>
      <w:r>
        <w:rPr>
          <w:rFonts w:hint="eastAsia" w:ascii="仿宋_GB2312" w:hAnsi="仿宋" w:eastAsia="仿宋_GB2312"/>
          <w:color w:val="000000"/>
          <w:sz w:val="32"/>
          <w:szCs w:val="32"/>
        </w:rPr>
        <w:t>人员经费支出1203.88万元，</w:t>
      </w:r>
      <w:r>
        <w:rPr>
          <w:rFonts w:hint="eastAsia" w:ascii="仿宋_GB2312" w:eastAsia="仿宋_GB2312"/>
          <w:color w:val="000000"/>
          <w:sz w:val="32"/>
          <w:szCs w:val="32"/>
        </w:rPr>
        <w:t>主要包括：基本工资232.34万元、津贴补贴345.31万元、奖金21.43万元、绩效工资45.4万元、机关事业单位基本养老保险缴费88.64万元、职业年金缴费43.73万元、其他社会保障缴费2.28万元、住房公积金93.15万元、职工基本医疗保险缴费40.87万元、公务员医疗补助16.69万元、生活补助10.06万元、奖励金231.6万元、抚恤金32.38万元。</w:t>
      </w:r>
    </w:p>
    <w:p>
      <w:pPr>
        <w:spacing w:line="600" w:lineRule="exact"/>
        <w:ind w:firstLine="645"/>
        <w:rPr>
          <w:rFonts w:ascii="仿宋_GB2312" w:hAnsi="仿宋_GB2312" w:eastAsia="仿宋_GB2312" w:cs="仿宋_GB2312"/>
          <w:color w:val="000000"/>
          <w:sz w:val="32"/>
          <w:szCs w:val="32"/>
        </w:rPr>
      </w:pPr>
      <w:r>
        <w:rPr>
          <w:rFonts w:hint="eastAsia" w:ascii="仿宋_GB2312" w:hAnsi="仿宋" w:eastAsia="仿宋_GB2312"/>
          <w:color w:val="000000"/>
          <w:sz w:val="32"/>
          <w:szCs w:val="32"/>
        </w:rPr>
        <w:t>日常公用经费支出74.72万元，</w:t>
      </w:r>
      <w:r>
        <w:rPr>
          <w:rFonts w:hint="eastAsia" w:ascii="仿宋_GB2312" w:eastAsia="仿宋_GB2312"/>
          <w:color w:val="000000"/>
          <w:sz w:val="32"/>
          <w:szCs w:val="32"/>
        </w:rPr>
        <w:t>主要包括：办公费15.36万元、印刷费5.43万元、水费0.3万元、电费4.4万元、邮电费5.78万元、取暖费1.6万元、差旅费14万元、劳务费10.56万元、公务用车运行维护费17.29万元。</w:t>
      </w:r>
    </w:p>
    <w:p>
      <w:pPr>
        <w:snapToGrid w:val="0"/>
        <w:spacing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项目支出1491.2万元，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rPr>
        <w:t>人大会议费1万元，人大代表工作经费2.9万元，沐林社区民族团结经费5万元、合镇工作经费49万元、建制村合并经费15万元、防疫经费15.48万元、</w:t>
      </w:r>
      <w:r>
        <w:rPr>
          <w:rFonts w:hint="eastAsia" w:ascii="仿宋_GB2312" w:hAnsi="仿宋_GB2312" w:eastAsia="仿宋_GB2312" w:cs="仿宋_GB2312"/>
          <w:bCs/>
          <w:sz w:val="32"/>
          <w:szCs w:val="32"/>
        </w:rPr>
        <w:t>双柏树新城区建设项目办经费15万元、</w:t>
      </w:r>
      <w:r>
        <w:rPr>
          <w:rFonts w:hint="eastAsia" w:ascii="仿宋_GB2312" w:hAnsi="仿宋" w:eastAsia="仿宋_GB2312"/>
          <w:color w:val="000000"/>
          <w:sz w:val="32"/>
          <w:szCs w:val="32"/>
        </w:rPr>
        <w:t>二甲村河堤报刊建设项目10.19万元、八步里生态水域治理项目620.06万元、对村干部生活补助支出34.44万元，村级维护费办公费150万元</w:t>
      </w:r>
      <w:r>
        <w:rPr>
          <w:rFonts w:hint="eastAsia" w:ascii="仿宋_GB2312" w:hAnsi="仿宋_GB2312" w:eastAsia="仿宋_GB2312" w:cs="仿宋_GB2312"/>
          <w:color w:val="000000"/>
          <w:sz w:val="32"/>
          <w:szCs w:val="32"/>
        </w:rPr>
        <w:t>（其中公共运行维护费96万元、基层党组织活动经费27万元、办公费27万元）</w:t>
      </w:r>
      <w:r>
        <w:rPr>
          <w:rFonts w:hint="eastAsia" w:ascii="仿宋_GB2312" w:hAnsi="仿宋" w:eastAsia="仿宋_GB2312"/>
          <w:color w:val="000000"/>
          <w:sz w:val="32"/>
          <w:szCs w:val="32"/>
        </w:rPr>
        <w:t>，三老干部生活补助11.2万元，龙河村滑坡治理项目9.63万元、东西部协作二甲、苟尔光村饮水工程项目96.33万元、苟尔光村防洪堤建设项目183.9万元、新开村河堤堡坎维修维护项目14万元、二甲村桥维修及新建2座刚架桥0.3万元、西里寨村人畜安全饮水改造提升项目29.84万元、马厂村道路建设0.85万元、互联网+精准扶贫代理记账以奖代补0.01万元、  应急抢险资金30万元、角木牛村内道路提升改造项目6.06万元、2018年马厂村、八步里村、大坪村道路硬化项目30.69万元。</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2021年1-6月财政总支出为1202.59万元，其中：</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917.98万元，主要包括：基本工资155.09万元、津贴补贴199.69万元、绩效工资40.13万元、机关事业单位基本养老保险缴费58.81万元、职业年金缴费29.4万元、职工基本医疗保险缴费27.7万元、公务员医疗补助缴费10.23万元、其他社会保障缴费2.01万元、住房公积金60.61万元、奖励金334.15万元、退休费0.01万元、生活补助0.15万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color w:val="FF0000"/>
          <w:sz w:val="32"/>
          <w:szCs w:val="32"/>
        </w:rPr>
        <w:t>　　</w:t>
      </w:r>
      <w:r>
        <w:rPr>
          <w:rFonts w:hint="eastAsia" w:ascii="仿宋_GB2312" w:hAnsi="仿宋_GB2312" w:eastAsia="仿宋_GB2312" w:cs="仿宋_GB2312"/>
          <w:sz w:val="32"/>
          <w:szCs w:val="32"/>
        </w:rPr>
        <w:t>公用经费31.8万元，主要包括：办公费5.12万元、印刷费2.92万元、水费0.44万元、邮电费2.36万元、差旅费10.6万元、劳务费0.2万元、公务用车运行维护费10.16万元。</w:t>
      </w:r>
    </w:p>
    <w:p>
      <w:pPr>
        <w:spacing w:line="540" w:lineRule="exact"/>
        <w:ind w:firstLine="640" w:firstLineChars="200"/>
      </w:pPr>
      <w:r>
        <w:rPr>
          <w:rFonts w:hint="eastAsia" w:ascii="仿宋_GB2312" w:hAnsi="仿宋_GB2312" w:eastAsia="仿宋_GB2312" w:cs="仿宋_GB2312"/>
          <w:sz w:val="32"/>
          <w:szCs w:val="32"/>
        </w:rPr>
        <w:t>2021年1-6月项目支出252.81万元，主要包括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勒乌镇环境卫生整治经费20万元、苟尔光村防洪堤建设项目62.21万元、新开村河堤堡坎维修维护项目86.75万元、马厂村道路建设56.7万元、西里寨人畜安全饮水改造提升项目7.42万元、角木牛村高杆太阳能路灯项目19.73万元。</w:t>
      </w:r>
    </w:p>
    <w:p>
      <w:pPr>
        <w:widowControl/>
        <w:adjustRightInd w:val="0"/>
        <w:snapToGrid w:val="0"/>
        <w:spacing w:line="540" w:lineRule="exact"/>
        <w:jc w:val="left"/>
        <w:rPr>
          <w:rFonts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(1）预算编制质量：</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2020年预算1112.32万元，其中人员经费944.2万元，公用经费168.12万元。</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部门收入预算总额为1959.42元，较上年增加847.1万元，增加76.16%，主要是行政区划调整后万林乡并入勒乌镇，机构改革三站人员编制下划给乡镇、行政村个数增加、经费标准变更、财政信息化建设、等需求增加。其中：当年财政拨款收入1732.49万元，其他收入 0万元，上年结转收入0万元。相应安排支出预算1732.49万元，其中：基本支出预算1724.83万元，项目支出7.66万元。</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（2）绩效目标填报：</w:t>
      </w:r>
      <w:r>
        <w:rPr>
          <w:rFonts w:hint="eastAsia" w:ascii="仿宋_GB2312" w:hAnsi="仿宋_GB2312" w:eastAsia="仿宋_GB2312" w:cs="仿宋_GB2312"/>
          <w:color w:val="000000"/>
          <w:sz w:val="32"/>
          <w:szCs w:val="32"/>
        </w:rPr>
        <w:t>项目申报严格按照上级要求，明确绩效目标，控制</w:t>
      </w:r>
      <w:r>
        <w:rPr>
          <w:rFonts w:hint="eastAsia" w:ascii="仿宋_GB2312" w:hAnsi="仿宋_GB2312" w:eastAsia="仿宋_GB2312" w:cs="仿宋_GB2312"/>
          <w:color w:val="000000"/>
          <w:sz w:val="32"/>
          <w:szCs w:val="32"/>
          <w:lang w:eastAsia="zh-CN"/>
        </w:rPr>
        <w:t>执行</w:t>
      </w:r>
      <w:r>
        <w:rPr>
          <w:rFonts w:hint="eastAsia" w:ascii="仿宋_GB2312" w:hAnsi="仿宋_GB2312" w:eastAsia="仿宋_GB2312" w:cs="仿宋_GB2312"/>
          <w:color w:val="000000"/>
          <w:sz w:val="32"/>
          <w:szCs w:val="32"/>
        </w:rPr>
        <w:t>成本，提高项目发挥作用。并</w:t>
      </w:r>
      <w:r>
        <w:rPr>
          <w:rFonts w:hint="eastAsia" w:ascii="仿宋_GB2312" w:hAnsi="仿宋_GB2312" w:eastAsia="仿宋_GB2312" w:cs="仿宋_GB2312"/>
          <w:color w:val="000000"/>
          <w:sz w:val="32"/>
          <w:szCs w:val="32"/>
          <w:lang w:val="zh-CN"/>
        </w:rPr>
        <w:t>根据财政局统一要求编制了我会整体绩效目标报告及项目整体绩效目标表，并报县财政局。</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部门预算执行情况良好，但基本集中在下半年。支出情况中期评估不足，</w:t>
      </w: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lang w:val="zh-CN"/>
        </w:rPr>
        <w:t>“三公”经费预算</w:t>
      </w:r>
      <w:r>
        <w:rPr>
          <w:rFonts w:hint="eastAsia" w:ascii="仿宋_GB2312" w:hAnsi="仿宋_GB2312" w:eastAsia="仿宋_GB2312" w:cs="仿宋_GB2312"/>
          <w:color w:val="000000"/>
          <w:sz w:val="32"/>
          <w:szCs w:val="32"/>
        </w:rPr>
        <w:t>11.59万元，其中公务接待费0万元，公务用车运行维护费11.59万元，实际支出11.59万元，公务接待费0万元，公务用车运行维护费11.59万元</w:t>
      </w:r>
      <w:r>
        <w:rPr>
          <w:rFonts w:hint="eastAsia" w:ascii="仿宋_GB2312" w:hAnsi="仿宋_GB2312" w:eastAsia="仿宋_GB2312" w:cs="仿宋_GB2312"/>
          <w:color w:val="000000"/>
          <w:sz w:val="32"/>
          <w:szCs w:val="32"/>
          <w:lang w:val="zh-CN"/>
        </w:rPr>
        <w:t>。</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w:t>
      </w:r>
      <w:r>
        <w:rPr>
          <w:rFonts w:hint="eastAsia" w:ascii="仿宋_GB2312" w:hAnsi="仿宋_GB2312" w:eastAsia="仿宋_GB2312" w:cs="仿宋_GB2312"/>
          <w:sz w:val="32"/>
          <w:szCs w:val="32"/>
          <w:lang w:val="zh-CN"/>
        </w:rPr>
        <w:t>“三公”经费预算</w:t>
      </w:r>
      <w:r>
        <w:rPr>
          <w:rFonts w:hint="eastAsia" w:ascii="仿宋_GB2312" w:hAnsi="仿宋_GB2312" w:eastAsia="仿宋_GB2312" w:cs="仿宋_GB2312"/>
          <w:sz w:val="32"/>
          <w:szCs w:val="32"/>
        </w:rPr>
        <w:t>20万元，其中公务接待费0万元，严格执行厉行节约的要求，认真贯彻落实中央八项规定及省委省政府十项规定要求，严格控制接待规模及接待标准。</w:t>
      </w:r>
    </w:p>
    <w:p>
      <w:pPr>
        <w:spacing w:line="54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公务用车运行维护费20万元，1-6月实际支出公务接待费0万元，公务用车运行维护费10.16万元。</w:t>
      </w:r>
    </w:p>
    <w:p>
      <w:pPr>
        <w:spacing w:line="54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（三）综合管理情况。</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我镇</w:t>
      </w:r>
      <w:r>
        <w:rPr>
          <w:rFonts w:hint="eastAsia" w:ascii="仿宋_GB2312" w:hAnsi="仿宋_GB2312" w:eastAsia="仿宋_GB2312" w:cs="仿宋_GB2312"/>
          <w:color w:val="000000"/>
          <w:sz w:val="32"/>
          <w:szCs w:val="32"/>
        </w:rPr>
        <w:t>2020年无预算、支出政府采购。所有国有资产纳入</w:t>
      </w:r>
      <w:r>
        <w:rPr>
          <w:rFonts w:hint="eastAsia" w:ascii="仿宋_GB2312" w:hAnsi="仿宋_GB2312" w:eastAsia="仿宋_GB2312" w:cs="仿宋_GB2312"/>
          <w:color w:val="000000"/>
          <w:sz w:val="32"/>
          <w:szCs w:val="32"/>
          <w:lang w:val="zh-CN"/>
        </w:rPr>
        <w:t>资产管理系统，及时准确上报并做好资产的管理工作。根据相关要求，单位使用预算资金基本符合相关的预算财务管理制度。我镇在财政批复后</w:t>
      </w:r>
      <w:r>
        <w:rPr>
          <w:rFonts w:hint="eastAsia" w:ascii="仿宋_GB2312" w:hAns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hAnsi="仿宋_GB2312" w:eastAsia="仿宋_GB2312" w:cs="仿宋_GB2312"/>
          <w:color w:val="000000"/>
          <w:sz w:val="32"/>
          <w:szCs w:val="32"/>
          <w:lang w:val="zh-CN"/>
        </w:rPr>
        <w:t>绩效评价及依法接受财政监督情况等。</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镇按照规定完全履行职责，整体评价良好，服务对象基本满意从预算执行来情况看，预算资金覆盖我镇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hAnsi="宋体" w:eastAsia="黑体" w:cs="宋体"/>
          <w:color w:val="000000"/>
          <w:kern w:val="0"/>
          <w:sz w:val="32"/>
        </w:rPr>
      </w:pPr>
      <w:r>
        <w:rPr>
          <w:rFonts w:hint="eastAsia" w:ascii="黑体" w:hAnsi="宋体" w:eastAsia="黑体" w:cs="宋体"/>
          <w:color w:val="000000"/>
          <w:kern w:val="0"/>
          <w:sz w:val="32"/>
        </w:rPr>
        <w:t>四、评价结论及建议</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shd w:val="clear" w:color="auto" w:fill="FFFFFF"/>
          <w:lang w:val="zh-CN"/>
        </w:rPr>
        <w:t>在自评过程发现问题，查找原因，及时纠正偏差，为下一步工作夯实基础。</w:t>
      </w:r>
      <w:r>
        <w:rPr>
          <w:rFonts w:hint="eastAsia" w:ascii="仿宋_GB2312" w:hAnsi="仿宋_GB2312" w:eastAsia="仿宋_GB2312" w:cs="仿宋_GB2312"/>
          <w:color w:val="000000"/>
          <w:sz w:val="32"/>
          <w:szCs w:val="32"/>
        </w:rPr>
        <w:t>整体评价良好，预算支出和决算支出情况相符。</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（二）存在问题。</w:t>
      </w:r>
    </w:p>
    <w:p>
      <w:pPr>
        <w:spacing w:line="540" w:lineRule="exact"/>
        <w:ind w:firstLine="643"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 xml:space="preserve">二是绩效目标设立不够明确、细化和量化。虽然设立了项目资金绩效目标，但目标不够明确、细化和量化。        </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（三）改进建议。</w:t>
      </w:r>
    </w:p>
    <w:p>
      <w:pPr>
        <w:pStyle w:val="13"/>
        <w:widowControl/>
        <w:shd w:val="clear" w:color="auto" w:fill="FFFFFF"/>
        <w:spacing w:beforeAutospacing="0" w:afterAutospacing="0"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18"/>
          <w:rFonts w:ascii="黑体" w:eastAsia="黑体"/>
          <w:b w:val="0"/>
        </w:rPr>
      </w:pPr>
      <w:r>
        <w:rPr>
          <w:rFonts w:hint="eastAsia" w:ascii="黑体" w:eastAsia="黑体"/>
          <w:color w:val="000000"/>
          <w:sz w:val="44"/>
          <w:szCs w:val="44"/>
        </w:rPr>
        <w:t>第</w:t>
      </w:r>
      <w:r>
        <w:rPr>
          <w:rStyle w:val="18"/>
          <w:rFonts w:hint="eastAsia" w:ascii="黑体" w:eastAsia="黑体"/>
          <w:b w:val="0"/>
        </w:rPr>
        <w:t>五部分 附表</w:t>
      </w:r>
      <w:bookmarkEnd w:id="56"/>
    </w:p>
    <w:p>
      <w:pPr>
        <w:pStyle w:val="4"/>
        <w:rPr>
          <w:rFonts w:ascii="仿宋" w:eastAsia="仿宋"/>
          <w:color w:val="000000"/>
        </w:rPr>
      </w:pPr>
      <w:r>
        <w:rPr>
          <w:rFonts w:hint="eastAsia" w:ascii="仿宋" w:eastAsia="仿宋"/>
          <w:b w:val="0"/>
          <w:color w:val="000000"/>
        </w:rPr>
        <w:t>一、收</w:t>
      </w:r>
      <w:r>
        <w:rPr>
          <w:rStyle w:val="19"/>
          <w:rFonts w:hint="eastAsia" w:ascii="仿宋" w:eastAsia="仿宋"/>
          <w:b w:val="0"/>
          <w:bCs w:val="0"/>
        </w:rPr>
        <w:t>入支出决算总表</w:t>
      </w:r>
      <w:bookmarkEnd w:id="57"/>
    </w:p>
    <w:p>
      <w:pPr>
        <w:pStyle w:val="4"/>
        <w:rPr>
          <w:rFonts w:ascii="仿宋" w:eastAsia="仿宋"/>
          <w:color w:val="000000"/>
        </w:rPr>
      </w:pPr>
      <w:bookmarkStart w:id="58" w:name="_Toc15396620"/>
      <w:r>
        <w:rPr>
          <w:rFonts w:hint="eastAsia" w:ascii="仿宋" w:eastAsia="仿宋"/>
          <w:b w:val="0"/>
          <w:color w:val="000000"/>
        </w:rPr>
        <w:t>二、收</w:t>
      </w:r>
      <w:r>
        <w:rPr>
          <w:rStyle w:val="19"/>
          <w:rFonts w:hint="eastAsia" w:ascii="仿宋" w:eastAsia="仿宋"/>
          <w:b w:val="0"/>
          <w:bCs w:val="0"/>
        </w:rPr>
        <w:t>入总表</w:t>
      </w:r>
      <w:bookmarkEnd w:id="58"/>
    </w:p>
    <w:p>
      <w:pPr>
        <w:pStyle w:val="4"/>
        <w:rPr>
          <w:rFonts w:ascii="仿宋" w:eastAsia="仿宋"/>
          <w:color w:val="000000"/>
        </w:rPr>
      </w:pPr>
      <w:bookmarkStart w:id="59" w:name="_Toc15396621"/>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出总表</w:t>
      </w:r>
      <w:bookmarkEnd w:id="59"/>
    </w:p>
    <w:p>
      <w:pPr>
        <w:pStyle w:val="4"/>
        <w:rPr>
          <w:rFonts w:ascii="仿宋" w:eastAsia="仿宋"/>
          <w:b w:val="0"/>
          <w:color w:val="000000"/>
        </w:rPr>
      </w:pPr>
      <w:bookmarkStart w:id="60" w:name="_Toc15396622"/>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60"/>
    </w:p>
    <w:p>
      <w:pPr>
        <w:pStyle w:val="4"/>
        <w:rPr>
          <w:rFonts w:ascii="仿宋" w:eastAsia="仿宋"/>
          <w:color w:val="000000"/>
        </w:rPr>
      </w:pPr>
      <w:bookmarkStart w:id="61" w:name="_Toc15396623"/>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政拨款支出决算明细表（政府经济分类科目）</w:t>
      </w:r>
      <w:bookmarkEnd w:id="61"/>
    </w:p>
    <w:p>
      <w:pPr>
        <w:pStyle w:val="4"/>
        <w:rPr>
          <w:rFonts w:ascii="仿宋" w:eastAsia="仿宋"/>
          <w:color w:val="000000"/>
        </w:rPr>
      </w:pPr>
      <w:bookmarkStart w:id="62" w:name="_Toc15396624"/>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62"/>
    </w:p>
    <w:p>
      <w:pPr>
        <w:pStyle w:val="4"/>
        <w:rPr>
          <w:rFonts w:ascii="仿宋" w:eastAsia="仿宋"/>
          <w:color w:val="000000"/>
        </w:rPr>
      </w:pPr>
      <w:bookmarkStart w:id="63" w:name="_Toc15396625"/>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63"/>
    </w:p>
    <w:p>
      <w:pPr>
        <w:pStyle w:val="4"/>
        <w:rPr>
          <w:rFonts w:ascii="仿宋" w:eastAsia="仿宋"/>
          <w:color w:val="000000"/>
        </w:rPr>
      </w:pPr>
      <w:bookmarkStart w:id="64" w:name="_Toc15396626"/>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64"/>
    </w:p>
    <w:p>
      <w:pPr>
        <w:pStyle w:val="4"/>
        <w:rPr>
          <w:rFonts w:ascii="仿宋" w:eastAsia="仿宋"/>
          <w:color w:val="000000"/>
        </w:rPr>
      </w:pPr>
      <w:bookmarkStart w:id="65" w:name="_Toc15396627"/>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65"/>
    </w:p>
    <w:p>
      <w:pPr>
        <w:pStyle w:val="4"/>
        <w:rPr>
          <w:rFonts w:ascii="仿宋" w:eastAsia="仿宋"/>
          <w:color w:val="000000"/>
        </w:rPr>
      </w:pPr>
      <w:bookmarkStart w:id="66" w:name="_Toc15396628"/>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66"/>
    </w:p>
    <w:p>
      <w:pPr>
        <w:pStyle w:val="4"/>
        <w:rPr>
          <w:rFonts w:ascii="仿宋" w:eastAsia="仿宋"/>
          <w:color w:val="000000"/>
        </w:rPr>
      </w:pPr>
      <w:bookmarkStart w:id="67" w:name="_Toc15396629"/>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67"/>
    </w:p>
    <w:p>
      <w:pPr>
        <w:pStyle w:val="4"/>
        <w:rPr>
          <w:rFonts w:ascii="仿宋" w:eastAsia="仿宋"/>
          <w:color w:val="000000"/>
        </w:rPr>
      </w:pPr>
      <w:bookmarkStart w:id="68" w:name="_Toc15396630"/>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68"/>
    </w:p>
    <w:p>
      <w:pPr>
        <w:pStyle w:val="4"/>
        <w:rPr>
          <w:rFonts w:ascii="仿宋" w:eastAsia="仿宋"/>
          <w:color w:val="000000"/>
        </w:rPr>
      </w:pPr>
      <w:bookmarkStart w:id="69" w:name="_Toc15396631"/>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有资本经营预算支出决算表</w:t>
      </w:r>
      <w:bookmarkEnd w:id="6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16</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FF897B"/>
    <w:multiLevelType w:val="singleLevel"/>
    <w:tmpl w:val="B2FF897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40628239"/>
    <w:multiLevelType w:val="singleLevel"/>
    <w:tmpl w:val="40628239"/>
    <w:lvl w:ilvl="0" w:tentative="0">
      <w:start w:val="2"/>
      <w:numFmt w:val="chineseCounting"/>
      <w:suff w:val="nothing"/>
      <w:lvlText w:val="（%1）"/>
      <w:lvlJc w:val="left"/>
      <w:rPr>
        <w:rFonts w:hint="eastAsia"/>
      </w:rPr>
    </w:lvl>
  </w:abstractNum>
  <w:abstractNum w:abstractNumId="5">
    <w:nsid w:val="57C7A041"/>
    <w:multiLevelType w:val="singleLevel"/>
    <w:tmpl w:val="57C7A041"/>
    <w:lvl w:ilvl="0" w:tentative="0">
      <w:start w:val="1"/>
      <w:numFmt w:val="decimal"/>
      <w:lvlText w:val="%1."/>
      <w:lvlJc w:val="left"/>
      <w:pPr>
        <w:tabs>
          <w:tab w:val="left" w:pos="312"/>
        </w:tabs>
      </w:p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512764"/>
    <w:rsid w:val="00375389"/>
    <w:rsid w:val="003D01BC"/>
    <w:rsid w:val="00512764"/>
    <w:rsid w:val="006D4F11"/>
    <w:rsid w:val="00A43641"/>
    <w:rsid w:val="07AE252B"/>
    <w:rsid w:val="092F675D"/>
    <w:rsid w:val="110A2518"/>
    <w:rsid w:val="18BB7405"/>
    <w:rsid w:val="1EEF2316"/>
    <w:rsid w:val="20931EE8"/>
    <w:rsid w:val="209A7CB7"/>
    <w:rsid w:val="214F540F"/>
    <w:rsid w:val="220C5CA2"/>
    <w:rsid w:val="289F1639"/>
    <w:rsid w:val="2D967BB3"/>
    <w:rsid w:val="32B51F50"/>
    <w:rsid w:val="38AC59D7"/>
    <w:rsid w:val="3D6F56BB"/>
    <w:rsid w:val="3F934E69"/>
    <w:rsid w:val="40A93728"/>
    <w:rsid w:val="4A0F7589"/>
    <w:rsid w:val="4B5A7F6E"/>
    <w:rsid w:val="4FE67888"/>
    <w:rsid w:val="53A7160B"/>
    <w:rsid w:val="54D042BE"/>
    <w:rsid w:val="566B73EA"/>
    <w:rsid w:val="57C46E26"/>
    <w:rsid w:val="58860086"/>
    <w:rsid w:val="5E130004"/>
    <w:rsid w:val="5F055D6E"/>
    <w:rsid w:val="611E38E5"/>
    <w:rsid w:val="665E0590"/>
    <w:rsid w:val="728A12D7"/>
    <w:rsid w:val="7A8C279E"/>
    <w:rsid w:val="7B9B2ACE"/>
    <w:rsid w:val="7C312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uiPriority w:val="0"/>
    <w:pPr>
      <w:keepNext/>
      <w:keepLines/>
      <w:spacing w:before="340" w:after="330" w:line="578" w:lineRule="auto"/>
      <w:outlineLvl w:val="0"/>
    </w:pPr>
    <w:rPr>
      <w:b/>
      <w:bCs/>
      <w:kern w:val="44"/>
      <w:sz w:val="44"/>
      <w:szCs w:val="44"/>
    </w:rPr>
  </w:style>
  <w:style w:type="paragraph" w:styleId="4">
    <w:name w:val="heading 2"/>
    <w:basedOn w:val="1"/>
    <w:next w:val="1"/>
    <w:link w:val="19"/>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图表目录1"/>
    <w:basedOn w:val="1"/>
    <w:next w:val="1"/>
    <w:qFormat/>
    <w:uiPriority w:val="0"/>
    <w:pPr>
      <w:spacing w:beforeAutospacing="1"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99"/>
    <w:pPr>
      <w:spacing w:beforeAutospacing="1" w:afterAutospacing="1"/>
      <w:jc w:val="left"/>
    </w:pPr>
    <w:rPr>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2269;&#26377;&#36164;&#20135;&#35843;&#25320;&#65288;&#21010;&#25320;&#65289;&#35745;&#2101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2269;&#26377;&#36164;&#20135;&#35843;&#25320;&#65288;&#21010;&#25320;&#65289;&#35745;&#2101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barChart>
        <c:barDir val="col"/>
        <c:grouping val="clustered"/>
        <c:varyColors val="0"/>
        <c:ser>
          <c:idx val="0"/>
          <c:order val="0"/>
          <c:tx>
            <c:strRef>
              <c:f>'[新建 XLS 工作表.xls]Sheet1'!$B$1</c:f>
              <c:strCache>
                <c:ptCount val="1"/>
                <c:pt idx="0">
                  <c:v>2019</c:v>
                </c:pt>
              </c:strCache>
            </c:strRef>
          </c:tx>
          <c:spPr>
            <a:solidFill>
              <a:schemeClr val="accent1"/>
            </a:solidFill>
            <a:ln>
              <a:noFill/>
            </a:ln>
            <a:effectLst/>
          </c:spPr>
          <c:invertIfNegative val="0"/>
          <c:dLbls>
            <c:delete val="1"/>
          </c:dLbls>
          <c:cat>
            <c:strRef>
              <c:f>'[新建 XLS 工作表.xls]Sheet1'!$A$2:$A$4</c:f>
              <c:strCache>
                <c:ptCount val="3"/>
                <c:pt idx="0">
                  <c:v>总收入</c:v>
                </c:pt>
                <c:pt idx="1">
                  <c:v>总支出</c:v>
                </c:pt>
              </c:strCache>
            </c:strRef>
          </c:cat>
          <c:val>
            <c:numRef>
              <c:f>'[新建 XLS 工作表.xls]Sheet1'!$B$2:$B$4</c:f>
              <c:numCache>
                <c:formatCode>General</c:formatCode>
                <c:ptCount val="3"/>
                <c:pt idx="0">
                  <c:v>1284.55</c:v>
                </c:pt>
                <c:pt idx="1">
                  <c:v>2314.06</c:v>
                </c:pt>
              </c:numCache>
            </c:numRef>
          </c:val>
        </c:ser>
        <c:ser>
          <c:idx val="1"/>
          <c:order val="1"/>
          <c:tx>
            <c:strRef>
              <c:f>'[新建 XLS 工作表.xls]Sheet1'!$C$1</c:f>
              <c:strCache>
                <c:ptCount val="1"/>
                <c:pt idx="0">
                  <c:v>2020</c:v>
                </c:pt>
              </c:strCache>
            </c:strRef>
          </c:tx>
          <c:spPr>
            <a:solidFill>
              <a:schemeClr val="accent2"/>
            </a:solidFill>
            <a:ln>
              <a:noFill/>
            </a:ln>
            <a:effectLst/>
          </c:spPr>
          <c:invertIfNegative val="0"/>
          <c:dLbls>
            <c:delete val="1"/>
          </c:dLbls>
          <c:cat>
            <c:strRef>
              <c:f>'[新建 XLS 工作表.xls]Sheet1'!$A$2:$A$4</c:f>
              <c:strCache>
                <c:ptCount val="3"/>
                <c:pt idx="0">
                  <c:v>总收入</c:v>
                </c:pt>
                <c:pt idx="1">
                  <c:v>总支出</c:v>
                </c:pt>
              </c:strCache>
            </c:strRef>
          </c:cat>
          <c:val>
            <c:numRef>
              <c:f>'[新建 XLS 工作表.xls]Sheet1'!$C$2:$C$4</c:f>
              <c:numCache>
                <c:formatCode>General</c:formatCode>
                <c:ptCount val="3"/>
                <c:pt idx="0">
                  <c:v>2449.86</c:v>
                </c:pt>
                <c:pt idx="1">
                  <c:v>2769.8</c:v>
                </c:pt>
              </c:numCache>
            </c:numRef>
          </c:val>
        </c:ser>
        <c:dLbls>
          <c:showLegendKey val="0"/>
          <c:showVal val="0"/>
          <c:showCatName val="0"/>
          <c:showSerName val="0"/>
          <c:showPercent val="0"/>
          <c:showBubbleSize val="0"/>
        </c:dLbls>
        <c:gapWidth val="219"/>
        <c:overlap val="-27"/>
        <c:axId val="94574464"/>
        <c:axId val="94676864"/>
      </c:barChart>
      <c:catAx>
        <c:axId val="9457446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676864"/>
        <c:crosses val="autoZero"/>
        <c:auto val="1"/>
        <c:lblAlgn val="ctr"/>
        <c:lblOffset val="100"/>
        <c:noMultiLvlLbl val="0"/>
      </c:catAx>
      <c:valAx>
        <c:axId val="946768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57446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manualLayout>
          <c:xMode val="edge"/>
          <c:yMode val="edge"/>
          <c:x val="0.383194444444444"/>
          <c:y val="0.0381944444444444"/>
        </c:manualLayout>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'[新建 XLS 工作表.xls]Sheet1'!$A$2:$A$3</c:f>
              <c:strCache>
                <c:ptCount val="2"/>
                <c:pt idx="0">
                  <c:v>一般公共预算收入</c:v>
                </c:pt>
                <c:pt idx="1">
                  <c:v>政府性基金收入</c:v>
                </c:pt>
              </c:strCache>
            </c:strRef>
          </c:cat>
          <c:val>
            <c:numRef>
              <c:f>'[新建 XLS 工作表.xls]Sheet1'!$B$2:$B$3</c:f>
              <c:numCache>
                <c:formatCode>General</c:formatCode>
                <c:ptCount val="2"/>
                <c:pt idx="0">
                  <c:v>2447.63</c:v>
                </c:pt>
                <c:pt idx="1">
                  <c:v>2.23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manualLayout>
          <c:xMode val="edge"/>
          <c:yMode val="edge"/>
          <c:x val="0.383194444444444"/>
          <c:y val="0.0381944444444444"/>
        </c:manualLayout>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'[新建 XLS 工作表.xls]Sheet1'!$A$2:$A$3</c:f>
              <c:strCache>
                <c:ptCount val="2"/>
                <c:pt idx="0">
                  <c:v>基本支出</c:v>
                </c:pt>
                <c:pt idx="1">
                  <c:v>项目支出</c:v>
                </c:pt>
              </c:strCache>
            </c:strRef>
          </c:cat>
          <c:val>
            <c:numRef>
              <c:f>'[新建 XLS 工作表.xls]Sheet1'!$B$2:$B$3</c:f>
              <c:numCache>
                <c:formatCode>General</c:formatCode>
                <c:ptCount val="2"/>
                <c:pt idx="0">
                  <c:v>1278.6</c:v>
                </c:pt>
                <c:pt idx="1">
                  <c:v>1491.2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财政拨款收、支总计变动情况</a:t>
            </a:r>
          </a:p>
        </c:rich>
      </c:tx>
      <c:layout/>
      <c:overlay val="0"/>
      <c:spPr>
        <a:noFill/>
        <a:ln>
          <a:noFill/>
        </a:ln>
        <a:effectLst/>
      </c:spPr>
    </c:title>
    <c:autoTitleDeleted val="0"/>
    <c:plotArea>
      <c:layout/>
      <c:barChart>
        <c:barDir val="col"/>
        <c:grouping val="clustered"/>
        <c:varyColors val="0"/>
        <c:ser>
          <c:idx val="0"/>
          <c:order val="0"/>
          <c:tx>
            <c:strRef>
              <c:f>'[新建 XLS 工作表.xls]Sheet1'!$A$2</c:f>
              <c:strCache>
                <c:ptCount val="1"/>
                <c:pt idx="0">
                  <c:v>一般公共财政拨款收入</c:v>
                </c:pt>
              </c:strCache>
            </c:strRef>
          </c:tx>
          <c:spPr>
            <a:solidFill>
              <a:schemeClr val="accent1"/>
            </a:solidFill>
            <a:ln>
              <a:noFill/>
            </a:ln>
            <a:effectLst/>
          </c:spPr>
          <c:invertIfNegative val="0"/>
          <c:dLbls>
            <c:delete val="1"/>
          </c:dLbls>
          <c:cat>
            <c:numRef>
              <c:f>'[新建 XLS 工作表.xls]Sheet1'!$B$1:$C$1</c:f>
              <c:numCache>
                <c:formatCode>General</c:formatCode>
                <c:ptCount val="2"/>
                <c:pt idx="0">
                  <c:v>2019</c:v>
                </c:pt>
                <c:pt idx="1">
                  <c:v>2020</c:v>
                </c:pt>
              </c:numCache>
            </c:numRef>
          </c:cat>
          <c:val>
            <c:numRef>
              <c:f>'[新建 XLS 工作表.xls]Sheet1'!$B$2:$C$2</c:f>
              <c:numCache>
                <c:formatCode>General</c:formatCode>
                <c:ptCount val="2"/>
                <c:pt idx="0">
                  <c:v>2152.81</c:v>
                </c:pt>
                <c:pt idx="1">
                  <c:v>2447.63</c:v>
                </c:pt>
              </c:numCache>
            </c:numRef>
          </c:val>
        </c:ser>
        <c:ser>
          <c:idx val="1"/>
          <c:order val="1"/>
          <c:tx>
            <c:strRef>
              <c:f>'[新建 XLS 工作表.xls]Sheet1'!$A$3</c:f>
              <c:strCache>
                <c:ptCount val="1"/>
                <c:pt idx="0">
                  <c:v>一般公共财政拨款支出</c:v>
                </c:pt>
              </c:strCache>
            </c:strRef>
          </c:tx>
          <c:spPr>
            <a:solidFill>
              <a:schemeClr val="accent2"/>
            </a:solidFill>
            <a:ln>
              <a:noFill/>
            </a:ln>
            <a:effectLst/>
          </c:spPr>
          <c:invertIfNegative val="0"/>
          <c:dLbls>
            <c:delete val="1"/>
          </c:dLbls>
          <c:cat>
            <c:numRef>
              <c:f>'[新建 XLS 工作表.xls]Sheet1'!$B$1:$C$1</c:f>
              <c:numCache>
                <c:formatCode>General</c:formatCode>
                <c:ptCount val="2"/>
                <c:pt idx="0">
                  <c:v>2019</c:v>
                </c:pt>
                <c:pt idx="1">
                  <c:v>2020</c:v>
                </c:pt>
              </c:numCache>
            </c:numRef>
          </c:cat>
          <c:val>
            <c:numRef>
              <c:f>'[新建 XLS 工作表.xls]Sheet1'!$B$3:$C$3</c:f>
              <c:numCache>
                <c:formatCode>General</c:formatCode>
                <c:ptCount val="2"/>
                <c:pt idx="0">
                  <c:v>2314.06</c:v>
                </c:pt>
                <c:pt idx="1">
                  <c:v>2754.8</c:v>
                </c:pt>
              </c:numCache>
            </c:numRef>
          </c:val>
        </c:ser>
        <c:dLbls>
          <c:showLegendKey val="0"/>
          <c:showVal val="0"/>
          <c:showCatName val="0"/>
          <c:showSerName val="0"/>
          <c:showPercent val="0"/>
          <c:showBubbleSize val="0"/>
        </c:dLbls>
        <c:gapWidth val="219"/>
        <c:overlap val="-27"/>
        <c:axId val="162532736"/>
        <c:axId val="148647936"/>
      </c:barChart>
      <c:catAx>
        <c:axId val="16253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8647936"/>
        <c:crosses val="autoZero"/>
        <c:auto val="1"/>
        <c:lblAlgn val="ctr"/>
        <c:lblOffset val="100"/>
        <c:noMultiLvlLbl val="0"/>
      </c:catAx>
      <c:valAx>
        <c:axId val="14864793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53273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一般公共财政拨款支出决算变动情况</a:t>
            </a:r>
          </a:p>
        </c:rich>
      </c:tx>
      <c:layout/>
      <c:overlay val="0"/>
      <c:spPr>
        <a:noFill/>
        <a:ln>
          <a:noFill/>
        </a:ln>
        <a:effectLst/>
      </c:spPr>
    </c:title>
    <c:autoTitleDeleted val="0"/>
    <c:plotArea>
      <c:layout/>
      <c:barChart>
        <c:barDir val="col"/>
        <c:grouping val="clustered"/>
        <c:varyColors val="0"/>
        <c:ser>
          <c:idx val="0"/>
          <c:order val="0"/>
          <c:tx>
            <c:strRef>
              <c:f>'[新建 XLS 工作表.xls]Sheet1'!$A$2</c:f>
              <c:strCache>
                <c:ptCount val="1"/>
                <c:pt idx="0">
                  <c:v>一般公共财政拨款支出决算变动情况</c:v>
                </c:pt>
              </c:strCache>
            </c:strRef>
          </c:tx>
          <c:spPr>
            <a:solidFill>
              <a:schemeClr val="accent1"/>
            </a:solidFill>
            <a:ln>
              <a:noFill/>
            </a:ln>
            <a:effectLst/>
          </c:spPr>
          <c:invertIfNegative val="0"/>
          <c:dLbls>
            <c:delete val="1"/>
          </c:dLbls>
          <c:cat>
            <c:numRef>
              <c:f>'[新建 XLS 工作表.xls]Sheet1'!$B$1:$C$1</c:f>
              <c:numCache>
                <c:formatCode>General</c:formatCode>
                <c:ptCount val="2"/>
                <c:pt idx="0">
                  <c:v>2019</c:v>
                </c:pt>
                <c:pt idx="1">
                  <c:v>2020</c:v>
                </c:pt>
              </c:numCache>
            </c:numRef>
          </c:cat>
          <c:val>
            <c:numRef>
              <c:f>'[新建 XLS 工作表.xls]Sheet1'!$B$2:$C$2</c:f>
              <c:numCache>
                <c:formatCode>General</c:formatCode>
                <c:ptCount val="2"/>
                <c:pt idx="0">
                  <c:v>2314.06</c:v>
                </c:pt>
                <c:pt idx="1">
                  <c:v>2754.8</c:v>
                </c:pt>
              </c:numCache>
            </c:numRef>
          </c:val>
        </c:ser>
        <c:ser>
          <c:idx val="1"/>
          <c:order val="1"/>
          <c:tx>
            <c:strRef>
              <c:f>'[新建 XLS 工作表.xls]Sheet1'!$A$3</c:f>
              <c:strCache>
                <c:ptCount val="1"/>
                <c:pt idx="0">
                  <c:v/>
                </c:pt>
              </c:strCache>
            </c:strRef>
          </c:tx>
          <c:spPr>
            <a:solidFill>
              <a:schemeClr val="accent2"/>
            </a:solidFill>
            <a:ln>
              <a:noFill/>
            </a:ln>
            <a:effectLst/>
          </c:spPr>
          <c:invertIfNegative val="0"/>
          <c:dLbls>
            <c:delete val="1"/>
          </c:dLbls>
          <c:cat>
            <c:numRef>
              <c:f>'[新建 XLS 工作表.xls]Sheet1'!$B$1:$C$1</c:f>
              <c:numCache>
                <c:formatCode>General</c:formatCode>
                <c:ptCount val="2"/>
                <c:pt idx="0">
                  <c:v>2019</c:v>
                </c:pt>
                <c:pt idx="1">
                  <c:v>2020</c:v>
                </c:pt>
              </c:numCache>
            </c:numRef>
          </c:cat>
          <c:val>
            <c:numRef>
              <c:f>'[新建 XLS 工作表.xls]Sheet1'!$B$3:$C$3</c:f>
              <c:numCache>
                <c:formatCode>General</c:formatCode>
                <c:ptCount val="2"/>
              </c:numCache>
            </c:numRef>
          </c:val>
        </c:ser>
        <c:dLbls>
          <c:showLegendKey val="0"/>
          <c:showVal val="0"/>
          <c:showCatName val="0"/>
          <c:showSerName val="0"/>
          <c:showPercent val="0"/>
          <c:showBubbleSize val="0"/>
        </c:dLbls>
        <c:gapWidth val="219"/>
        <c:overlap val="-27"/>
        <c:axId val="122569856"/>
        <c:axId val="122571392"/>
      </c:barChart>
      <c:catAx>
        <c:axId val="12256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2571392"/>
        <c:crosses val="autoZero"/>
        <c:auto val="1"/>
        <c:lblAlgn val="ctr"/>
        <c:lblOffset val="100"/>
        <c:noMultiLvlLbl val="0"/>
      </c:catAx>
      <c:valAx>
        <c:axId val="12257139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2569856"/>
        <c:crosses val="autoZero"/>
        <c:crossBetween val="between"/>
      </c:valAx>
      <c:spPr>
        <a:noFill/>
        <a:ln>
          <a:noFill/>
        </a:ln>
        <a:effectLst/>
      </c:spPr>
    </c:plotArea>
    <c:legend>
      <c:legendPos val="b"/>
      <c:layout>
        <c:manualLayout>
          <c:xMode val="edge"/>
          <c:yMode val="edge"/>
          <c:x val="0.260625"/>
          <c:y val="0.9159722222222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收入支出结构分析</a:t>
            </a:r>
          </a:p>
        </c:rich>
      </c:tx>
      <c:layout/>
      <c:overlay val="0"/>
      <c:spPr>
        <a:noFill/>
        <a:ln>
          <a:noFill/>
        </a:ln>
        <a:effectLst/>
      </c:spPr>
    </c:title>
    <c:autoTitleDeleted val="0"/>
    <c:plotArea>
      <c:layout/>
      <c:pieChart>
        <c:varyColors val="1"/>
        <c:ser>
          <c:idx val="0"/>
          <c:order val="0"/>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Pt>
            <c:idx val="3"/>
            <c:bubble3D val="0"/>
            <c:spPr>
              <a:solidFill>
                <a:srgbClr val="8064A2"/>
              </a:solidFill>
              <a:ln w="19050">
                <a:solidFill>
                  <a:srgbClr val="FFFFFF"/>
                </a:solidFill>
              </a:ln>
              <a:effectLst/>
            </c:spPr>
          </c:dPt>
          <c:dPt>
            <c:idx val="4"/>
            <c:bubble3D val="0"/>
            <c:spPr>
              <a:solidFill>
                <a:srgbClr val="4BACC6"/>
              </a:solidFill>
              <a:ln w="19050">
                <a:solidFill>
                  <a:srgbClr val="FFFFFF"/>
                </a:solidFill>
              </a:ln>
              <a:effectLst/>
            </c:spPr>
          </c:dPt>
          <c:dPt>
            <c:idx val="5"/>
            <c:bubble3D val="0"/>
            <c:spPr>
              <a:solidFill>
                <a:srgbClr val="F79646"/>
              </a:solidFill>
              <a:ln w="19050">
                <a:solidFill>
                  <a:srgbClr val="FFFFFF"/>
                </a:solidFill>
              </a:ln>
              <a:effectLst/>
            </c:spPr>
          </c:dPt>
          <c:dPt>
            <c:idx val="6"/>
            <c:bubble3D val="0"/>
            <c:spPr>
              <a:solidFill>
                <a:srgbClr val="2C4D75">
                  <a:lumMod val="60000"/>
                </a:srgbClr>
              </a:solidFill>
              <a:ln w="19050">
                <a:solidFill>
                  <a:srgbClr val="FFFFFF"/>
                </a:solidFill>
              </a:ln>
              <a:effectLst/>
            </c:spPr>
          </c:dPt>
          <c:dPt>
            <c:idx val="7"/>
            <c:bubble3D val="0"/>
            <c:spPr>
              <a:solidFill>
                <a:srgbClr val="772C2A">
                  <a:lumMod val="60000"/>
                </a:srgbClr>
              </a:solidFill>
              <a:ln w="19050">
                <a:solidFill>
                  <a:srgbClr val="FFFFFF"/>
                </a:solidFill>
              </a:ln>
              <a:effectLst/>
            </c:spPr>
          </c:dPt>
          <c:dPt>
            <c:idx val="8"/>
            <c:bubble3D val="0"/>
            <c:spPr>
              <a:solidFill>
                <a:srgbClr val="5F7530">
                  <a:lumMod val="60000"/>
                </a:srgbClr>
              </a:solidFill>
              <a:ln w="19050">
                <a:solidFill>
                  <a:srgbClr val="FFFFFF"/>
                </a:solidFill>
              </a:ln>
              <a:effectLst/>
            </c:spPr>
          </c:dPt>
          <c:dLbls>
            <c:delete val="1"/>
          </c:dLbls>
          <c:cat>
            <c:strRef>
              <c:f>'[国有资产调拨（划拨）计划表.xls]Sheet3'!$A$1:$A$9</c:f>
              <c:strCache>
                <c:ptCount val="9"/>
                <c:pt idx="0">
                  <c:v>一般公共服务支出</c:v>
                </c:pt>
                <c:pt idx="1">
                  <c:v>社会保障和就业支出</c:v>
                </c:pt>
                <c:pt idx="2">
                  <c:v>卫生健康支出</c:v>
                </c:pt>
                <c:pt idx="3">
                  <c:v>节能环保支出</c:v>
                </c:pt>
                <c:pt idx="4">
                  <c:v>城乡社区支出</c:v>
                </c:pt>
                <c:pt idx="5">
                  <c:v>农林水支出</c:v>
                </c:pt>
                <c:pt idx="6">
                  <c:v>住房保障支出</c:v>
                </c:pt>
                <c:pt idx="7">
                  <c:v>其他支出</c:v>
                </c:pt>
                <c:pt idx="8">
                  <c:v>土地出让支出</c:v>
                </c:pt>
              </c:strCache>
            </c:strRef>
          </c:cat>
          <c:val>
            <c:numRef>
              <c:f>'[国有资产调拨（划拨）计划表.xls]Sheet3'!$B$1:$B$9</c:f>
              <c:numCache>
                <c:formatCode>0.00_ </c:formatCode>
                <c:ptCount val="9"/>
                <c:pt idx="0">
                  <c:v>921.01</c:v>
                </c:pt>
                <c:pt idx="1">
                  <c:v>147.38</c:v>
                </c:pt>
                <c:pt idx="2">
                  <c:v>73.04</c:v>
                </c:pt>
                <c:pt idx="3">
                  <c:v>630.25</c:v>
                </c:pt>
                <c:pt idx="4">
                  <c:v>15</c:v>
                </c:pt>
                <c:pt idx="5">
                  <c:v>488.73</c:v>
                </c:pt>
                <c:pt idx="6">
                  <c:v>94.18</c:v>
                </c:pt>
                <c:pt idx="7">
                  <c:v>400.22</c:v>
                </c:pt>
                <c:pt idx="8">
                  <c:v>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三公经费支出</a:t>
            </a:r>
          </a:p>
        </c:rich>
      </c:tx>
      <c:layout/>
      <c:overlay val="0"/>
      <c:spPr>
        <a:noFill/>
        <a:ln>
          <a:noFill/>
        </a:ln>
        <a:effectLst/>
      </c:spPr>
    </c:title>
    <c:autoTitleDeleted val="0"/>
    <c:plotArea>
      <c:layout>
        <c:manualLayout>
          <c:layoutTarget val="inner"/>
          <c:xMode val="edge"/>
          <c:yMode val="edge"/>
          <c:x val="0.0826367041198502"/>
          <c:y val="0.21023720349563"/>
          <c:w val="0.899985018726592"/>
          <c:h val="0.575880149812734"/>
        </c:manualLayout>
      </c:layout>
      <c:lineChart>
        <c:grouping val="stacked"/>
        <c:varyColors val="0"/>
        <c:ser>
          <c:idx val="0"/>
          <c:order val="0"/>
          <c:spPr>
            <a:ln w="28575" cap="rnd" cmpd="sng" algn="ctr">
              <a:solidFill>
                <a:srgbClr val="4F81BD"/>
              </a:solidFill>
              <a:prstDash val="solid"/>
              <a:round/>
            </a:ln>
            <a:effectLst/>
          </c:spPr>
          <c:marker>
            <c:symbol val="none"/>
          </c:marker>
          <c:dLbls>
            <c:delete val="1"/>
          </c:dLbls>
          <c:cat>
            <c:strRef>
              <c:f>'[国有资产调拨（划拨）计划表.xls]Sheet2'!$A$1:$A$3</c:f>
              <c:strCache>
                <c:ptCount val="3"/>
                <c:pt idx="0">
                  <c:v>公车运行维护费</c:v>
                </c:pt>
                <c:pt idx="1">
                  <c:v>公务接待费</c:v>
                </c:pt>
                <c:pt idx="2">
                  <c:v>因公出国（境）费</c:v>
                </c:pt>
              </c:strCache>
            </c:strRef>
          </c:cat>
          <c:val>
            <c:numRef>
              <c:f>'[国有资产调拨（划拨）计划表.xls]Sheet2'!$B$1:$B$3</c:f>
              <c:numCache>
                <c:formatCode>General</c:formatCode>
                <c:ptCount val="3"/>
                <c:pt idx="0">
                  <c:v>17.29</c:v>
                </c:pt>
                <c:pt idx="1">
                  <c:v>0</c:v>
                </c:pt>
                <c:pt idx="2">
                  <c:v>0</c:v>
                </c:pt>
              </c:numCache>
            </c:numRef>
          </c:val>
          <c:smooth val="0"/>
        </c:ser>
        <c:ser>
          <c:idx val="1"/>
          <c:order val="1"/>
          <c:spPr>
            <a:ln w="28575" cap="rnd" cmpd="sng" algn="ctr">
              <a:solidFill>
                <a:srgbClr val="C0504D"/>
              </a:solidFill>
              <a:prstDash val="solid"/>
              <a:round/>
            </a:ln>
            <a:effectLst/>
          </c:spPr>
          <c:marker>
            <c:symbol val="none"/>
          </c:marker>
          <c:dLbls>
            <c:delete val="1"/>
          </c:dLbls>
          <c:cat>
            <c:strRef>
              <c:f>'[国有资产调拨（划拨）计划表.xls]Sheet2'!$A$1:$A$3</c:f>
              <c:strCache>
                <c:ptCount val="3"/>
                <c:pt idx="0">
                  <c:v>公车运行维护费</c:v>
                </c:pt>
                <c:pt idx="1">
                  <c:v>公务接待费</c:v>
                </c:pt>
                <c:pt idx="2">
                  <c:v>因公出国（境）费</c:v>
                </c:pt>
              </c:strCache>
            </c:strRef>
          </c:cat>
          <c:val>
            <c:numRef>
              <c:f>'[国有资产调拨（划拨）计划表.xls]Sheet2'!$C$1:$C$3</c:f>
              <c:numCache>
                <c:formatCode>General</c:formatCode>
                <c:ptCount val="3"/>
                <c:pt idx="0">
                  <c:v>0</c:v>
                </c:pt>
                <c:pt idx="1">
                  <c:v>0</c:v>
                </c:pt>
                <c:pt idx="2">
                  <c:v>0</c:v>
                </c:pt>
              </c:numCache>
            </c:numRef>
          </c:val>
          <c:smooth val="0"/>
        </c:ser>
        <c:dLbls>
          <c:showLegendKey val="0"/>
          <c:showVal val="0"/>
          <c:showCatName val="0"/>
          <c:showSerName val="0"/>
          <c:showPercent val="0"/>
          <c:showBubbleSize val="0"/>
        </c:dLbls>
        <c:marker val="0"/>
        <c:smooth val="0"/>
        <c:axId val="126862848"/>
        <c:axId val="126864384"/>
      </c:lineChart>
      <c:catAx>
        <c:axId val="126862848"/>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26864384"/>
        <c:crosses val="autoZero"/>
        <c:auto val="1"/>
        <c:lblAlgn val="ctr"/>
        <c:lblOffset val="100"/>
        <c:noMultiLvlLbl val="0"/>
      </c:catAx>
      <c:valAx>
        <c:axId val="126864384"/>
        <c:scaling>
          <c:orientation val="minMax"/>
        </c:scaling>
        <c:delete val="0"/>
        <c:axPos val="l"/>
        <c:majorGridlines>
          <c:spPr>
            <a:ln w="9525" cap="flat" cmpd="sng" algn="ctr">
              <a:solidFill>
                <a:srgbClr val="D9D9D9">
                  <a:lumMod val="15000"/>
                  <a:lumOff val="85000"/>
                </a:srgb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268628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solidFill>
      <a:srgbClr val="FFFFFF"/>
    </a:soli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2017</Words>
  <Characters>11503</Characters>
  <Lines>95</Lines>
  <Paragraphs>26</Paragraphs>
  <TotalTime>0</TotalTime>
  <ScaleCrop>false</ScaleCrop>
  <LinksUpToDate>false</LinksUpToDate>
  <CharactersWithSpaces>13494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2021-09-22T08:14:00Z</dcterms:created>
  <dc:creator>张彬茜</dc:creator>
  <cp:lastModifiedBy>不改</cp:lastModifiedBy>
  <cp:lastPrinted>2021-09-22T04:37:00Z</cp:lastPrinted>
  <dcterms:modified xsi:type="dcterms:W3CDTF">2021-09-27T03:15:01Z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2CC94B1AE1484187B034DD08A970CEA7</vt:lpwstr>
  </property>
</Properties>
</file>