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6"/>
        <w:rPr>
          <w:rFonts w:ascii="Times New Roman" w:eastAsia="方正小标宋简体" w:cs="Times New Roman" w:hAnsi="Times New Roman" w:hint="eastAsia"/>
          <w:color w:val="auto"/>
          <w:kern w:val="2"/>
          <w:sz w:val="72"/>
          <w:szCs w:val="72"/>
          <w:lang w:val="en-US" w:eastAsia="zh-CN" w:bidi="ar-SA"/>
          <w:highlight w:val="auto"/>
        </w:rPr>
      </w:pPr>
      <w:bookmarkStart w:id="0" w:name="_Toc15396597"/>
      <w:bookmarkStart w:id="1" w:name="_Toc15377193"/>
      <w:bookmarkStart w:id="2" w:name="_Toc15396475"/>
      <w:bookmarkStart w:id="3" w:name="_Toc15377425"/>
      <w:bookmarkStart w:id="4" w:name="_Toc15378441"/>
      <w:bookmarkStart w:id="5" w:name="_Toc15306267"/>
    </w:p>
    <w:p>
      <w:pPr>
        <w:spacing w:line="600" w:lineRule="exact"/>
        <w:jc w:val="center"/>
        <w:outlineLvl w:val="0"/>
        <w:rPr>
          <w:rFonts w:ascii="方正小标宋简体" w:eastAsia="方正小标宋简体"/>
          <w:color w:val="auto"/>
          <w:sz w:val="72"/>
          <w:szCs w:val="72"/>
        </w:rPr>
      </w:pPr>
      <w:bookmarkEnd w:id="0"/>
      <w:bookmarkEnd w:id="1"/>
      <w:bookmarkEnd w:id="2"/>
      <w:bookmarkEnd w:id="3"/>
      <w:bookmarkEnd w:id="4"/>
      <w:bookmarkEnd w:id="5"/>
    </w:p>
    <w:p>
      <w:pPr>
        <w:spacing w:line="600" w:lineRule="exact"/>
        <w:jc w:val="center"/>
        <w:outlineLvl w:val="0"/>
        <w:rPr>
          <w:rFonts w:ascii="方正小标宋简体" w:eastAsia="方正小标宋简体"/>
          <w:color w:val="auto"/>
          <w:sz w:val="72"/>
          <w:szCs w:val="72"/>
        </w:rPr>
      </w:pPr>
    </w:p>
    <w:p>
      <w:pPr>
        <w:spacing w:line="600" w:lineRule="exact"/>
        <w:jc w:val="center"/>
        <w:outlineLvl w:val="0"/>
        <w:rPr>
          <w:rFonts w:ascii="方正小标宋简体" w:eastAsia="方正小标宋简体"/>
          <w:color w:val="auto"/>
          <w:sz w:val="72"/>
          <w:szCs w:val="72"/>
        </w:rPr>
      </w:pPr>
    </w:p>
    <w:p>
      <w:pPr>
        <w:adjustRightInd w:val="0"/>
        <w:snapToGrid w:val="0"/>
        <w:spacing w:line="360" w:lineRule="auto"/>
        <w:jc w:val="center"/>
        <w:outlineLvl w:val="0"/>
        <w:rPr>
          <w:rFonts w:ascii="黑体" w:eastAsia="黑体" w:cs="黑体" w:hint="eastAsia"/>
          <w:color w:val="auto"/>
          <w:sz w:val="72"/>
          <w:szCs w:val="72"/>
        </w:rPr>
      </w:pPr>
      <w:bookmarkStart w:id="6" w:name="_Toc12796"/>
      <w:r>
        <w:rPr>
          <w:rFonts w:ascii="黑体" w:eastAsia="黑体" w:cs="黑体" w:hint="eastAsia"/>
          <w:color w:val="auto"/>
          <w:sz w:val="72"/>
          <w:szCs w:val="72"/>
          <w:lang w:eastAsia="zh-CN"/>
        </w:rPr>
        <w:t>2024</w:t>
      </w:r>
      <w:r>
        <w:rPr>
          <w:rFonts w:ascii="黑体" w:eastAsia="黑体" w:cs="黑体" w:hint="eastAsia"/>
          <w:color w:val="auto"/>
          <w:sz w:val="72"/>
          <w:szCs w:val="72"/>
        </w:rPr>
        <w:t>年度</w:t>
      </w:r>
      <w:bookmarkEnd w:id="6"/>
    </w:p>
    <w:p>
      <w:pPr>
        <w:adjustRightInd w:val="0"/>
        <w:snapToGrid w:val="0"/>
        <w:spacing w:line="360" w:lineRule="auto"/>
        <w:jc w:val="center"/>
        <w:outlineLvl w:val="0"/>
        <w:rPr>
          <w:rFonts w:ascii="黑体" w:eastAsia="黑体" w:cs="黑体" w:hint="eastAsia"/>
          <w:color w:val="auto"/>
          <w:sz w:val="72"/>
          <w:szCs w:val="72"/>
          <w:lang w:val="en-US" w:eastAsia="zh-CN"/>
        </w:rPr>
      </w:pPr>
      <w:bookmarkStart w:id="7" w:name="_Toc15377194"/>
      <w:bookmarkStart w:id="8" w:name="_Toc15378442"/>
      <w:bookmarkStart w:id="9" w:name="_Toc6811"/>
      <w:bookmarkStart w:id="10" w:name="_Toc15377426"/>
      <w:bookmarkStart w:id="11" w:name="_Toc15396598"/>
      <w:bookmarkStart w:id="12" w:name="_Toc15306268"/>
      <w:bookmarkStart w:id="13" w:name="_Toc15396476"/>
      <w:r>
        <w:rPr>
          <w:rFonts w:ascii="黑体" w:eastAsia="黑体" w:cs="黑体" w:hint="eastAsia"/>
          <w:color w:val="auto"/>
          <w:sz w:val="72"/>
          <w:szCs w:val="72"/>
        </w:rPr>
        <w:t>金川县</w:t>
      </w:r>
      <w:r>
        <w:rPr>
          <w:rFonts w:ascii="黑体" w:eastAsia="黑体" w:cs="黑体" w:hint="eastAsia"/>
          <w:color w:val="auto"/>
          <w:sz w:val="72"/>
          <w:szCs w:val="72"/>
          <w:lang w:eastAsia="zh-CN"/>
        </w:rPr>
        <w:t>沙耳乡人民政府</w:t>
      </w:r>
    </w:p>
    <w:p>
      <w:pPr>
        <w:adjustRightInd w:val="0"/>
        <w:snapToGrid w:val="0"/>
        <w:spacing w:line="360" w:lineRule="auto"/>
        <w:jc w:val="center"/>
        <w:outlineLvl w:val="0"/>
        <w:rPr>
          <w:rFonts w:ascii="黑体" w:eastAsia="黑体" w:cs="黑体" w:hint="eastAsia"/>
          <w:color w:val="auto"/>
          <w:sz w:val="72"/>
          <w:szCs w:val="72"/>
        </w:rPr>
      </w:pPr>
      <w:r>
        <w:rPr>
          <w:rFonts w:ascii="黑体" w:eastAsia="黑体" w:cs="黑体" w:hint="eastAsia"/>
          <w:color w:val="auto"/>
          <w:sz w:val="72"/>
          <w:szCs w:val="72"/>
        </w:rPr>
        <w:t>部门决算</w:t>
      </w:r>
      <w:bookmarkEnd w:id="7"/>
      <w:bookmarkEnd w:id="8"/>
      <w:bookmarkEnd w:id="9"/>
      <w:bookmarkEnd w:id="10"/>
      <w:bookmarkEnd w:id="11"/>
      <w:bookmarkEnd w:id="12"/>
      <w:bookmarkEnd w:id="13"/>
    </w:p>
    <w:p>
      <w:pPr>
        <w:widowControl/>
        <w:jc w:val="center"/>
        <w:rPr>
          <w:rFonts w:ascii="方正小标宋简体" w:eastAsia="方正小标宋简体"/>
          <w:color w:val="auto"/>
          <w:sz w:val="36"/>
          <w:szCs w:val="36"/>
        </w:rPr>
      </w:pPr>
    </w:p>
    <w:p>
      <w:pPr>
        <w:widowControl/>
        <w:jc w:val="center"/>
        <w:rPr>
          <w:rFonts w:ascii="方正小标宋简体" w:eastAsia="方正小标宋简体"/>
          <w:color w:val="auto"/>
          <w:sz w:val="36"/>
          <w:szCs w:val="36"/>
        </w:rPr>
      </w:pPr>
    </w:p>
    <w:p>
      <w:pPr>
        <w:widowControl/>
        <w:jc w:val="center"/>
        <w:rPr>
          <w:rFonts w:ascii="方正小标宋简体" w:eastAsia="方正小标宋简体"/>
          <w:color w:val="auto"/>
          <w:sz w:val="36"/>
          <w:szCs w:val="36"/>
        </w:rPr>
      </w:pPr>
    </w:p>
    <w:p>
      <w:pPr>
        <w:widowControl/>
        <w:jc w:val="center"/>
        <w:rPr>
          <w:rFonts w:ascii="黑体" w:eastAsia="黑体"/>
          <w:color w:val="auto"/>
          <w:sz w:val="48"/>
          <w:szCs w:val="48"/>
        </w:rPr>
      </w:pPr>
      <w:r>
        <w:rPr>
          <w:rFonts w:ascii="方正小标宋简体" w:eastAsia="方正小标宋简体"/>
          <w:color w:val="auto"/>
          <w:sz w:val="36"/>
          <w:szCs w:val="36"/>
        </w:rPr>
        <w:br w:type="page"/>
      </w:r>
      <w:r>
        <w:rPr>
          <w:rFonts w:ascii="黑体" w:eastAsia="黑体" w:hint="eastAsia"/>
          <w:color w:val="auto"/>
          <w:sz w:val="48"/>
          <w:szCs w:val="48"/>
        </w:rPr>
        <w:t>目录</w:t>
      </w:r>
    </w:p>
    <w:p>
      <w:pPr>
        <w:pStyle w:val="25"/>
        <w:tabs>
          <w:tab w:val="right" w:leader="dot" w:pos="8296"/>
        </w:tabs>
        <w:jc w:val="center"/>
        <w:rPr>
          <w:rStyle w:val="29"/>
          <w:rFonts w:ascii="仿宋" w:eastAsia="仿宋" w:hint="eastAsia"/>
          <w:bCs/>
          <w:color w:val="auto"/>
          <w:sz w:val="28"/>
          <w:szCs w:val="28"/>
        </w:rPr>
      </w:pPr>
      <w:r>
        <w:rPr>
          <w:rStyle w:val="29"/>
          <w:rFonts w:ascii="仿宋" w:eastAsia="仿宋"/>
          <w:bCs/>
          <w:color w:val="auto"/>
          <w:sz w:val="28"/>
          <w:szCs w:val="28"/>
        </w:rPr>
        <w:t>公开时间：2025年8月25日</w:t>
      </w: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TOC \o "1-2" \h \z \u </w:instrText>
      </w:r>
      <w:r>
        <w:rPr>
          <w:rStyle w:val="29"/>
          <w:rFonts w:ascii="仿宋" w:eastAsia="仿宋" w:hint="eastAsia"/>
          <w:bCs/>
          <w:color w:val="auto"/>
          <w:sz w:val="28"/>
          <w:szCs w:val="28"/>
        </w:rPr>
        <w:fldChar w:fldCharType="separate"/>
      </w:r>
    </w:p>
    <w:p>
      <w:pPr>
        <w:pStyle w:val="25"/>
        <w:tabs>
          <w:tab w:val="right" w:leader="dot" w:pos="8296"/>
        </w:tabs>
        <w:rPr>
          <w:rStyle w:val="29"/>
          <w:rFonts w:ascii="仿宋" w:eastAsia="仿宋" w:hint="eastAsia"/>
          <w:bCs/>
          <w:color w:val="auto"/>
          <w:sz w:val="28"/>
          <w:szCs w:val="28"/>
        </w:rPr>
      </w:pPr>
    </w:p>
    <w:p>
      <w:pPr>
        <w:pStyle w:val="25"/>
        <w:tabs>
          <w:tab w:val="right" w:leader="dot" w:pos="8296"/>
        </w:tabs>
        <w:rPr>
          <w:rStyle w:val="29"/>
          <w:rFonts w:ascii="仿宋" w:eastAsia="仿宋" w:hint="eastAsia"/>
          <w:bCs/>
          <w:color w:val="auto"/>
          <w:sz w:val="28"/>
          <w:szCs w:val="28"/>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"_Toc15396599"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第一部分 部门概况</w:t>
        <w:tab/>
        <w:t>4</w:t>
      </w:r>
      <w:r>
        <w:rPr>
          <w:rStyle w:val="29"/>
          <w:rFonts w:ascii="仿宋" w:eastAsia="仿宋" w:hint="eastAsia"/>
          <w:bCs/>
          <w:color w:val="auto"/>
          <w:sz w:val="28"/>
          <w:szCs w:val="28"/>
        </w:rPr>
        <w:fldChar w:fldCharType="end"/>
      </w:r>
    </w:p>
    <w:p>
      <w:pPr>
        <w:pStyle w:val="25"/>
        <w:tabs>
          <w:tab w:val="right" w:leader="dot" w:pos="8296"/>
        </w:tabs>
        <w:rPr>
          <w:rStyle w:val="29"/>
          <w:rFonts w:ascii="仿宋" w:eastAsia="仿宋" w:hint="eastAsia"/>
          <w:bCs/>
          <w:color w:val="auto"/>
          <w:sz w:val="28"/>
          <w:szCs w:val="28"/>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"_Toc15396600"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一、基本职能及主要工作</w:t>
        <w:tab/>
        <w:t>4</w:t>
      </w:r>
      <w:r>
        <w:rPr>
          <w:rStyle w:val="29"/>
          <w:rFonts w:ascii="仿宋" w:eastAsia="仿宋" w:hint="eastAsia"/>
          <w:bCs/>
          <w:color w:val="auto"/>
          <w:sz w:val="28"/>
          <w:szCs w:val="28"/>
        </w:rPr>
        <w:fldChar w:fldCharType="end"/>
      </w:r>
    </w:p>
    <w:p>
      <w:pPr>
        <w:pStyle w:val="25"/>
        <w:tabs>
          <w:tab w:val="right" w:leader="dot" w:pos="8296"/>
        </w:tabs>
        <w:rPr>
          <w:rStyle w:val="29"/>
          <w:rFonts w:ascii="仿宋" w:eastAsia="仿宋" w:hint="eastAsia"/>
          <w:bCs/>
          <w:color w:val="auto"/>
          <w:sz w:val="28"/>
          <w:szCs w:val="28"/>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"_Toc15396601"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二、机构设置</w:t>
        <w:tab/>
      </w:r>
      <w:r>
        <w:rPr>
          <w:rFonts w:ascii="仿宋" w:eastAsia="仿宋" w:hint="eastAsia"/>
          <w:bCs/>
          <w:color w:val="auto"/>
          <w:sz w:val="28"/>
          <w:szCs w:val="28"/>
          <w:lang w:val="en-US" w:eastAsia="zh-CN"/>
        </w:rPr>
        <w:t>6</w:t>
      </w:r>
      <w:r>
        <w:rPr>
          <w:rStyle w:val="29"/>
          <w:rFonts w:ascii="仿宋" w:eastAsia="仿宋" w:hint="eastAsia"/>
          <w:bCs/>
          <w:color w:val="auto"/>
          <w:sz w:val="28"/>
          <w:szCs w:val="28"/>
        </w:rPr>
        <w:fldChar w:fldCharType="end"/>
      </w:r>
    </w:p>
    <w:p>
      <w:pPr>
        <w:pStyle w:val="25"/>
        <w:tabs>
          <w:tab w:val="right" w:leader="dot" w:pos="8296"/>
        </w:tabs>
        <w:rPr>
          <w:rStyle w:val="29"/>
          <w:rFonts w:ascii="仿宋" w:eastAsia="仿宋" w:hint="eastAsia"/>
          <w:bCs/>
          <w:color w:val="auto"/>
          <w:sz w:val="28"/>
          <w:szCs w:val="28"/>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"_Toc15396602"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第二部分 部门决算情况说明</w:t>
        <w:tab/>
      </w:r>
      <w:r>
        <w:rPr>
          <w:rFonts w:ascii="仿宋" w:eastAsia="仿宋" w:hint="eastAsia"/>
          <w:bCs/>
          <w:color w:val="auto"/>
          <w:sz w:val="28"/>
          <w:szCs w:val="28"/>
          <w:lang w:val="en-US" w:eastAsia="zh-CN"/>
        </w:rPr>
        <w:t>8</w:t>
      </w:r>
      <w:r>
        <w:rPr>
          <w:rStyle w:val="29"/>
          <w:rFonts w:ascii="仿宋" w:eastAsia="仿宋" w:hint="eastAsia"/>
          <w:bCs/>
          <w:color w:val="auto"/>
          <w:sz w:val="28"/>
          <w:szCs w:val="28"/>
        </w:rPr>
        <w:fldChar w:fldCharType="end"/>
      </w:r>
    </w:p>
    <w:p>
      <w:pPr>
        <w:pStyle w:val="25"/>
        <w:tabs>
          <w:tab w:val="right" w:leader="dot" w:pos="8296"/>
        </w:tabs>
        <w:rPr>
          <w:rStyle w:val="29"/>
          <w:rFonts w:ascii="仿宋" w:eastAsia="仿宋" w:hint="eastAsia"/>
          <w:bCs/>
          <w:color w:val="auto"/>
          <w:sz w:val="28"/>
          <w:szCs w:val="28"/>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"_Toc15396603"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一、收入支出决算总体情况说明</w:t>
        <w:tab/>
      </w:r>
      <w:r>
        <w:rPr>
          <w:rFonts w:ascii="仿宋" w:eastAsia="仿宋" w:hint="eastAsia"/>
          <w:bCs/>
          <w:color w:val="auto"/>
          <w:sz w:val="28"/>
          <w:szCs w:val="28"/>
          <w:lang w:val="en-US" w:eastAsia="zh-CN"/>
        </w:rPr>
        <w:t>8</w:t>
      </w:r>
      <w:r>
        <w:rPr>
          <w:rStyle w:val="29"/>
          <w:rFonts w:ascii="仿宋" w:eastAsia="仿宋" w:hint="eastAsia"/>
          <w:bCs/>
          <w:color w:val="auto"/>
          <w:sz w:val="28"/>
          <w:szCs w:val="28"/>
        </w:rPr>
        <w:fldChar w:fldCharType="end"/>
      </w:r>
    </w:p>
    <w:p>
      <w:pPr>
        <w:pStyle w:val="25"/>
        <w:tabs>
          <w:tab w:val="right" w:leader="dot" w:pos="8296"/>
        </w:tabs>
        <w:rPr>
          <w:rStyle w:val="29"/>
          <w:rFonts w:ascii="仿宋" w:eastAsia="仿宋" w:hint="eastAsia"/>
          <w:bCs/>
          <w:color w:val="auto"/>
          <w:sz w:val="28"/>
          <w:szCs w:val="28"/>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"_Toc15396604"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二、收入决算情况说明</w:t>
        <w:tab/>
      </w:r>
      <w:r>
        <w:rPr>
          <w:rFonts w:ascii="仿宋" w:eastAsia="仿宋" w:hint="eastAsia"/>
          <w:bCs/>
          <w:color w:val="auto"/>
          <w:sz w:val="28"/>
          <w:szCs w:val="28"/>
          <w:lang w:val="en-US" w:eastAsia="zh-CN"/>
        </w:rPr>
        <w:t>8</w:t>
      </w:r>
      <w:r>
        <w:rPr>
          <w:rStyle w:val="29"/>
          <w:rFonts w:ascii="仿宋" w:eastAsia="仿宋" w:hint="eastAsia"/>
          <w:bCs/>
          <w:color w:val="auto"/>
          <w:sz w:val="28"/>
          <w:szCs w:val="28"/>
        </w:rPr>
        <w:fldChar w:fldCharType="end"/>
      </w:r>
    </w:p>
    <w:p>
      <w:pPr>
        <w:pStyle w:val="25"/>
        <w:tabs>
          <w:tab w:val="right" w:leader="dot" w:pos="8296"/>
        </w:tabs>
        <w:rPr>
          <w:rStyle w:val="29"/>
          <w:rFonts w:ascii="仿宋" w:eastAsia="仿宋" w:hint="eastAsia"/>
          <w:bCs/>
          <w:color w:val="auto"/>
          <w:sz w:val="28"/>
          <w:szCs w:val="28"/>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"_Toc15396605"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三、支出决算情况说明</w:t>
        <w:tab/>
      </w:r>
      <w:r>
        <w:rPr>
          <w:rFonts w:ascii="仿宋" w:eastAsia="仿宋" w:hint="eastAsia"/>
          <w:bCs/>
          <w:color w:val="auto"/>
          <w:sz w:val="28"/>
          <w:szCs w:val="28"/>
          <w:lang w:val="en-US" w:eastAsia="zh-CN"/>
        </w:rPr>
        <w:t>9</w:t>
      </w:r>
      <w:r>
        <w:rPr>
          <w:rStyle w:val="29"/>
          <w:rFonts w:ascii="仿宋" w:eastAsia="仿宋" w:hint="eastAsia"/>
          <w:bCs/>
          <w:color w:val="auto"/>
          <w:sz w:val="28"/>
          <w:szCs w:val="28"/>
        </w:rPr>
        <w:fldChar w:fldCharType="end"/>
      </w:r>
    </w:p>
    <w:p>
      <w:pPr>
        <w:pStyle w:val="25"/>
        <w:tabs>
          <w:tab w:val="right" w:leader="dot" w:pos="8296"/>
        </w:tabs>
        <w:rPr>
          <w:rStyle w:val="29"/>
          <w:rFonts w:ascii="仿宋" w:eastAsia="仿宋" w:hint="eastAsia"/>
          <w:bCs/>
          <w:color w:val="auto"/>
          <w:sz w:val="28"/>
          <w:szCs w:val="28"/>
          <w:lang w:val="en-US" w:eastAsia="zh-CN"/>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"_Toc15396606"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四、财政拨款收入支出决算总体情况说明</w:t>
        <w:tab/>
      </w:r>
      <w:r>
        <w:rPr>
          <w:rFonts w:ascii="仿宋" w:eastAsia="仿宋" w:hint="eastAsia"/>
          <w:bCs/>
          <w:color w:val="auto"/>
          <w:sz w:val="28"/>
          <w:szCs w:val="28"/>
          <w:lang w:val="en-US" w:eastAsia="zh-CN"/>
        </w:rPr>
        <w:t>1</w:t>
      </w:r>
      <w:r>
        <w:rPr>
          <w:rStyle w:val="29"/>
          <w:rFonts w:ascii="仿宋" w:eastAsia="仿宋" w:hint="eastAsia"/>
          <w:bCs/>
          <w:color w:val="auto"/>
          <w:sz w:val="28"/>
          <w:szCs w:val="28"/>
        </w:rPr>
        <w:fldChar w:fldCharType="end"/>
      </w:r>
      <w:r>
        <w:rPr>
          <w:rStyle w:val="29"/>
          <w:rFonts w:ascii="仿宋" w:eastAsia="仿宋" w:hint="eastAsia"/>
          <w:bCs/>
          <w:color w:val="auto"/>
          <w:sz w:val="28"/>
          <w:szCs w:val="28"/>
          <w:lang w:val="en-US" w:eastAsia="zh-CN"/>
        </w:rPr>
        <w:t>0</w:t>
      </w:r>
    </w:p>
    <w:p>
      <w:pPr>
        <w:pStyle w:val="25"/>
        <w:tabs>
          <w:tab w:val="right" w:leader="dot" w:pos="8296"/>
        </w:tabs>
        <w:rPr>
          <w:rStyle w:val="29"/>
          <w:rFonts w:ascii="仿宋" w:eastAsia="仿宋" w:hint="eastAsia"/>
          <w:bCs/>
          <w:color w:val="auto"/>
          <w:sz w:val="28"/>
          <w:szCs w:val="28"/>
          <w:lang w:val="en-US" w:eastAsia="zh-CN"/>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"_Toc15396607"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五、一般公共预算财政拨款支出决算情况说明</w:t>
        <w:tab/>
      </w:r>
      <w:r>
        <w:rPr>
          <w:rFonts w:ascii="仿宋" w:eastAsia="仿宋" w:hint="eastAsia"/>
          <w:bCs/>
          <w:color w:val="auto"/>
          <w:sz w:val="28"/>
          <w:szCs w:val="28"/>
          <w:lang w:val="en-US" w:eastAsia="zh-CN"/>
        </w:rPr>
        <w:t>1</w:t>
      </w:r>
      <w:r>
        <w:rPr>
          <w:rStyle w:val="29"/>
          <w:rFonts w:ascii="仿宋" w:eastAsia="仿宋" w:hint="eastAsia"/>
          <w:bCs/>
          <w:color w:val="auto"/>
          <w:sz w:val="28"/>
          <w:szCs w:val="28"/>
        </w:rPr>
        <w:fldChar w:fldCharType="end"/>
      </w:r>
      <w:r>
        <w:rPr>
          <w:rStyle w:val="29"/>
          <w:rFonts w:ascii="仿宋" w:eastAsia="仿宋" w:hint="eastAsia"/>
          <w:bCs/>
          <w:color w:val="auto"/>
          <w:sz w:val="28"/>
          <w:szCs w:val="28"/>
          <w:lang w:val="en-US" w:eastAsia="zh-CN"/>
        </w:rPr>
        <w:t>0</w:t>
      </w:r>
    </w:p>
    <w:p>
      <w:pPr>
        <w:pStyle w:val="25"/>
        <w:tabs>
          <w:tab w:val="right" w:leader="dot" w:pos="8296"/>
        </w:tabs>
        <w:rPr>
          <w:rStyle w:val="29"/>
          <w:rFonts w:ascii="仿宋" w:eastAsia="仿宋" w:hint="eastAsia"/>
          <w:bCs/>
          <w:color w:val="auto"/>
          <w:sz w:val="28"/>
          <w:szCs w:val="28"/>
          <w:lang w:eastAsia="zh-CN"/>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"_Toc15396608"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六、一般公共预算财政拨款基本支出决算情况说明</w:t>
        <w:tab/>
        <w:t>1</w:t>
      </w:r>
      <w:r>
        <w:rPr>
          <w:rStyle w:val="29"/>
          <w:rFonts w:ascii="仿宋" w:eastAsia="仿宋" w:hint="eastAsia"/>
          <w:bCs/>
          <w:color w:val="auto"/>
          <w:sz w:val="28"/>
          <w:szCs w:val="28"/>
        </w:rPr>
        <w:fldChar w:fldCharType="end"/>
      </w:r>
      <w:r>
        <w:rPr>
          <w:rStyle w:val="29"/>
          <w:rFonts w:ascii="仿宋" w:eastAsia="仿宋" w:hint="eastAsia"/>
          <w:bCs/>
          <w:color w:val="auto"/>
          <w:sz w:val="28"/>
          <w:szCs w:val="28"/>
          <w:lang w:val="en-US" w:eastAsia="zh-CN"/>
        </w:rPr>
        <w:t>5</w:t>
      </w:r>
    </w:p>
    <w:p>
      <w:pPr>
        <w:pStyle w:val="25"/>
        <w:tabs>
          <w:tab w:val="right" w:leader="dot" w:pos="8296"/>
        </w:tabs>
        <w:rPr>
          <w:rStyle w:val="29"/>
          <w:rFonts w:ascii="仿宋" w:eastAsia="仿宋" w:hint="eastAsia"/>
          <w:bCs/>
          <w:color w:val="auto"/>
          <w:sz w:val="28"/>
          <w:szCs w:val="28"/>
          <w:lang w:eastAsia="zh-CN"/>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"_Toc15396609"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七、“三公”经费财政拨款支出决算情况说明</w:t>
        <w:tab/>
        <w:t>1</w:t>
      </w:r>
      <w:r>
        <w:rPr>
          <w:rStyle w:val="29"/>
          <w:rFonts w:ascii="仿宋" w:eastAsia="仿宋" w:hint="eastAsia"/>
          <w:bCs/>
          <w:color w:val="auto"/>
          <w:sz w:val="28"/>
          <w:szCs w:val="28"/>
        </w:rPr>
        <w:fldChar w:fldCharType="end"/>
      </w:r>
      <w:r>
        <w:rPr>
          <w:rStyle w:val="29"/>
          <w:rFonts w:ascii="仿宋" w:eastAsia="仿宋" w:hint="eastAsia"/>
          <w:bCs/>
          <w:color w:val="auto"/>
          <w:sz w:val="28"/>
          <w:szCs w:val="28"/>
          <w:lang w:val="en-US" w:eastAsia="zh-CN"/>
        </w:rPr>
        <w:t>6</w:t>
      </w:r>
    </w:p>
    <w:p>
      <w:pPr>
        <w:pStyle w:val="25"/>
        <w:tabs>
          <w:tab w:val="right" w:leader="dot" w:pos="8296"/>
        </w:tabs>
        <w:rPr>
          <w:rStyle w:val="29"/>
          <w:rFonts w:ascii="仿宋" w:eastAsia="仿宋" w:hint="eastAsia"/>
          <w:bCs/>
          <w:color w:val="auto"/>
          <w:sz w:val="28"/>
          <w:szCs w:val="28"/>
          <w:lang w:eastAsia="zh-CN"/>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"_Toc15396610"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八、政府性基金预算支出决算情况说明</w:t>
        <w:tab/>
        <w:t>1</w:t>
      </w:r>
      <w:r>
        <w:rPr>
          <w:rStyle w:val="29"/>
          <w:rFonts w:ascii="仿宋" w:eastAsia="仿宋" w:hint="eastAsia"/>
          <w:bCs/>
          <w:color w:val="auto"/>
          <w:sz w:val="28"/>
          <w:szCs w:val="28"/>
        </w:rPr>
        <w:fldChar w:fldCharType="end"/>
      </w:r>
      <w:r>
        <w:rPr>
          <w:rStyle w:val="29"/>
          <w:rFonts w:ascii="仿宋" w:eastAsia="仿宋" w:hint="eastAsia"/>
          <w:bCs/>
          <w:color w:val="auto"/>
          <w:sz w:val="28"/>
          <w:szCs w:val="28"/>
          <w:lang w:val="en-US" w:eastAsia="zh-CN"/>
        </w:rPr>
        <w:t>8</w:t>
      </w:r>
    </w:p>
    <w:p>
      <w:pPr>
        <w:pStyle w:val="25"/>
        <w:tabs>
          <w:tab w:val="right" w:leader="dot" w:pos="8296"/>
        </w:tabs>
        <w:rPr>
          <w:rStyle w:val="29"/>
          <w:rFonts w:ascii="仿宋" w:eastAsia="仿宋" w:hint="eastAsia"/>
          <w:bCs/>
          <w:color w:val="auto"/>
          <w:sz w:val="28"/>
          <w:szCs w:val="28"/>
          <w:lang w:eastAsia="zh-CN"/>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"_Toc15396611"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九、 国有资本经营预算支出决算情况说明</w:t>
        <w:tab/>
        <w:t>1</w:t>
      </w:r>
      <w:r>
        <w:rPr>
          <w:rStyle w:val="29"/>
          <w:rFonts w:ascii="仿宋" w:eastAsia="仿宋" w:hint="eastAsia"/>
          <w:bCs/>
          <w:color w:val="auto"/>
          <w:sz w:val="28"/>
          <w:szCs w:val="28"/>
        </w:rPr>
        <w:fldChar w:fldCharType="end"/>
      </w:r>
      <w:r>
        <w:rPr>
          <w:rStyle w:val="29"/>
          <w:rFonts w:ascii="仿宋" w:eastAsia="仿宋" w:hint="eastAsia"/>
          <w:bCs/>
          <w:color w:val="auto"/>
          <w:sz w:val="28"/>
          <w:szCs w:val="28"/>
          <w:lang w:val="en-US" w:eastAsia="zh-CN"/>
        </w:rPr>
        <w:t>8</w:t>
      </w:r>
    </w:p>
    <w:p>
      <w:pPr>
        <w:pStyle w:val="25"/>
        <w:tabs>
          <w:tab w:val="right" w:leader="dot" w:pos="8296"/>
        </w:tabs>
        <w:rPr>
          <w:rStyle w:val="29"/>
          <w:rFonts w:ascii="仿宋" w:eastAsia="仿宋" w:hint="eastAsia"/>
          <w:bCs/>
          <w:color w:val="auto"/>
          <w:sz w:val="28"/>
          <w:szCs w:val="28"/>
          <w:lang w:val="en-US" w:eastAsia="zh-CN"/>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"_Toc15396612"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十、其他重要事项的情况说明</w:t>
        <w:tab/>
      </w:r>
      <w:r>
        <w:rPr>
          <w:rFonts w:ascii="仿宋" w:eastAsia="仿宋" w:hint="eastAsia"/>
          <w:bCs/>
          <w:color w:val="auto"/>
          <w:sz w:val="28"/>
          <w:szCs w:val="28"/>
          <w:lang w:val="en-US" w:eastAsia="zh-CN"/>
        </w:rPr>
        <w:t>1</w:t>
      </w:r>
      <w:r>
        <w:rPr>
          <w:rStyle w:val="29"/>
          <w:rFonts w:ascii="仿宋" w:eastAsia="仿宋" w:hint="eastAsia"/>
          <w:bCs/>
          <w:color w:val="auto"/>
          <w:sz w:val="28"/>
          <w:szCs w:val="28"/>
        </w:rPr>
        <w:fldChar w:fldCharType="end"/>
      </w:r>
      <w:r>
        <w:rPr>
          <w:rStyle w:val="29"/>
          <w:rFonts w:ascii="仿宋" w:eastAsia="仿宋" w:hint="eastAsia"/>
          <w:bCs/>
          <w:color w:val="auto"/>
          <w:sz w:val="28"/>
          <w:szCs w:val="28"/>
          <w:lang w:val="en-US" w:eastAsia="zh-CN"/>
        </w:rPr>
        <w:t>9</w:t>
      </w:r>
    </w:p>
    <w:p>
      <w:pPr>
        <w:pStyle w:val="25"/>
        <w:tabs>
          <w:tab w:val="right" w:leader="dot" w:pos="8296"/>
        </w:tabs>
        <w:rPr>
          <w:color w:val="auto"/>
          <w:sz w:val="24"/>
        </w:rPr>
      </w:pPr>
      <w:r>
        <w:rPr>
          <w:rStyle w:val="29"/>
          <w:rFonts w:ascii="仿宋" w:eastAsia="仿宋" w:hint="eastAsia"/>
          <w:bCs/>
          <w:color w:val="auto"/>
          <w:sz w:val="28"/>
          <w:szCs w:val="28"/>
        </w:rPr>
        <w:fldChar w:fldCharType="begin"/>
      </w:r>
      <w:r>
        <w:rPr>
          <w:rStyle w:val="29"/>
          <w:rFonts w:ascii="仿宋" w:eastAsia="仿宋" w:hint="eastAsia"/>
          <w:bCs/>
          <w:color w:val="auto"/>
          <w:sz w:val="28"/>
          <w:szCs w:val="28"/>
        </w:rPr>
        <w:instrText xml:space="preserve"> HYPERLINK \l "_Toc15396613" </w:instrText>
      </w:r>
      <w:r>
        <w:rPr>
          <w:rStyle w:val="29"/>
          <w:rFonts w:ascii="仿宋" w:eastAsia="仿宋" w:hint="eastAsia"/>
          <w:bCs/>
          <w:color w:val="auto"/>
          <w:sz w:val="28"/>
          <w:szCs w:val="28"/>
        </w:rPr>
        <w:fldChar w:fldCharType="separate"/>
      </w:r>
      <w:r>
        <w:rPr>
          <w:rFonts w:ascii="仿宋" w:eastAsia="仿宋" w:hint="eastAsia"/>
          <w:bCs/>
          <w:color w:val="auto"/>
          <w:sz w:val="28"/>
          <w:szCs w:val="28"/>
        </w:rPr>
        <w:t>第三部分 名词解释</w:t>
        <w:tab/>
      </w:r>
      <w:r>
        <w:rPr>
          <w:rFonts w:ascii="仿宋" w:eastAsia="仿宋" w:hint="eastAsia"/>
          <w:bCs/>
          <w:color w:val="auto"/>
          <w:sz w:val="28"/>
          <w:szCs w:val="28"/>
          <w:lang w:val="en-US" w:eastAsia="zh-CN"/>
        </w:rPr>
        <w:t>...............................</w:t>
      </w:r>
      <w:r>
        <w:rPr>
          <w:rFonts w:ascii="仿宋" w:eastAsia="仿宋" w:hint="eastAsia"/>
          <w:bCs/>
          <w:color w:val="auto"/>
          <w:sz w:val="28"/>
          <w:szCs w:val="28"/>
        </w:rPr>
        <w:t>2</w:t>
      </w:r>
      <w:r>
        <w:rPr>
          <w:rStyle w:val="29"/>
          <w:rFonts w:ascii="仿宋" w:eastAsia="仿宋" w:hint="eastAsia"/>
          <w:bCs/>
          <w:color w:val="auto"/>
          <w:sz w:val="28"/>
          <w:szCs w:val="28"/>
        </w:rPr>
        <w:fldChar w:fldCharType="end"/>
      </w:r>
      <w:r>
        <w:rPr>
          <w:rStyle w:val="29"/>
          <w:rFonts w:ascii="仿宋" w:eastAsia="仿宋" w:hint="eastAsia"/>
          <w:bCs/>
          <w:color w:val="auto"/>
          <w:sz w:val="28"/>
          <w:szCs w:val="28"/>
          <w:lang w:val="en-US" w:eastAsia="zh-CN"/>
        </w:rPr>
        <w:t>1</w:t>
      </w:r>
      <w:r>
        <w:rPr>
          <w:rStyle w:val="29"/>
          <w:rFonts w:ascii="仿宋" w:eastAsia="仿宋" w:hint="eastAsia"/>
          <w:bCs/>
          <w:color w:val="auto"/>
          <w:sz w:val="28"/>
          <w:szCs w:val="28"/>
        </w:rPr>
        <w:fldChar w:fldCharType="end"/>
      </w:r>
    </w:p>
    <w:p>
      <w:pPr>
        <w:pStyle w:val="25"/>
        <w:tabs>
          <w:tab w:val="right" w:leader="dot" w:pos="8296"/>
        </w:tabs>
        <w:rPr>
          <w:rStyle w:val="29"/>
          <w:rFonts w:ascii="仿宋" w:eastAsia="仿宋"/>
          <w:bCs/>
          <w:color w:val="auto"/>
          <w:sz w:val="28"/>
          <w:szCs w:val="28"/>
          <w:u w:val="none"/>
          <w:lang w:val="en-US" w:eastAsia="zh-CN"/>
        </w:rPr>
      </w:pPr>
      <w:r>
        <w:rPr>
          <w:rStyle w:val="29"/>
          <w:rFonts w:ascii="仿宋" w:eastAsia="仿宋" w:hint="eastAsia"/>
          <w:bCs/>
          <w:color w:val="auto"/>
          <w:sz w:val="28"/>
          <w:szCs w:val="28"/>
          <w:u w:val="none"/>
        </w:rPr>
        <w:t>第四部分 附件</w:t>
      </w:r>
      <w:r>
        <w:rPr>
          <w:rStyle w:val="29"/>
          <w:rFonts w:ascii="仿宋" w:eastAsia="仿宋" w:hint="eastAsia"/>
          <w:bCs/>
          <w:color w:val="auto"/>
          <w:sz w:val="28"/>
          <w:szCs w:val="28"/>
          <w:u w:val="none"/>
          <w:lang w:val="en-US" w:eastAsia="zh-CN"/>
        </w:rPr>
        <w:t>.........................................25</w:t>
      </w:r>
    </w:p>
    <w:p>
      <w:pPr>
        <w:pStyle w:val="25"/>
        <w:tabs>
          <w:tab w:val="right" w:leader="dot" w:pos="8296"/>
        </w:tabs>
        <w:rPr>
          <w:rStyle w:val="29"/>
          <w:rFonts w:ascii="仿宋" w:eastAsia="仿宋"/>
          <w:bCs/>
          <w:color w:val="auto"/>
          <w:sz w:val="28"/>
          <w:szCs w:val="28"/>
          <w:u w:val="none"/>
          <w:lang w:val="en-US" w:eastAsia="zh-CN"/>
        </w:rPr>
      </w:pPr>
      <w:r>
        <w:rPr>
          <w:rStyle w:val="29"/>
          <w:rFonts w:ascii="仿宋" w:eastAsia="仿宋" w:hint="eastAsia"/>
          <w:bCs/>
          <w:color w:val="auto"/>
          <w:sz w:val="28"/>
          <w:szCs w:val="28"/>
          <w:u w:val="none"/>
        </w:rPr>
        <w:t>第五部分 附表</w:t>
      </w:r>
      <w:r>
        <w:rPr>
          <w:rStyle w:val="29"/>
          <w:rFonts w:ascii="仿宋" w:eastAsia="仿宋" w:hint="eastAsia"/>
          <w:bCs/>
          <w:color w:val="auto"/>
          <w:sz w:val="28"/>
          <w:szCs w:val="28"/>
          <w:u w:val="none"/>
          <w:lang w:val="en-US" w:eastAsia="zh-CN"/>
        </w:rPr>
        <w:t>........................................123</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一、收入支出决算总表</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二、收入决算表</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三、支出决算表</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四、财政拨款收入支出决算总表</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五、财政拨款支出决算明细表</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六、一般公共预算财政拨款支出决算表</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七、一般公共预算财政拨款支出决算明细表</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八、一般公共预算财政拨款基本支出决算</w:t>
      </w:r>
      <w:r>
        <w:rPr>
          <w:rStyle w:val="29"/>
          <w:rFonts w:ascii="仿宋" w:eastAsia="仿宋" w:hint="eastAsia"/>
          <w:bCs/>
          <w:color w:val="auto"/>
          <w:sz w:val="28"/>
          <w:szCs w:val="28"/>
          <w:u w:val="none"/>
          <w:lang w:eastAsia="zh-CN"/>
        </w:rPr>
        <w:t>明细</w:t>
      </w:r>
      <w:r>
        <w:rPr>
          <w:rStyle w:val="29"/>
          <w:rFonts w:ascii="仿宋" w:eastAsia="仿宋" w:hint="eastAsia"/>
          <w:bCs/>
          <w:color w:val="auto"/>
          <w:sz w:val="28"/>
          <w:szCs w:val="28"/>
          <w:u w:val="none"/>
        </w:rPr>
        <w:t>表</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九、一般公共预算财政拨款项目支出决算表</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十、政府性基金预算财政拨款收入支出决算表</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十一、国有资本经营预算财政拨款收入支出决算表</w:t>
      </w:r>
    </w:p>
    <w:p>
      <w:pPr>
        <w:pStyle w:val="25"/>
        <w:tabs>
          <w:tab w:val="right" w:leader="dot" w:pos="8296"/>
        </w:tabs>
        <w:rPr>
          <w:rStyle w:val="29"/>
          <w:rFonts w:ascii="仿宋" w:eastAsia="仿宋" w:hint="eastAsia"/>
          <w:bCs/>
          <w:color w:val="auto"/>
          <w:sz w:val="28"/>
          <w:szCs w:val="28"/>
          <w:u w:val="none"/>
        </w:rPr>
      </w:pPr>
      <w:r>
        <w:rPr>
          <w:rStyle w:val="29"/>
          <w:rFonts w:ascii="仿宋" w:eastAsia="仿宋" w:hint="eastAsia"/>
          <w:bCs/>
          <w:color w:val="auto"/>
          <w:sz w:val="28"/>
          <w:szCs w:val="28"/>
          <w:u w:val="none"/>
        </w:rPr>
        <w:t>十二、</w:t>
      </w:r>
      <w:r>
        <w:rPr>
          <w:rStyle w:val="29"/>
          <w:rFonts w:ascii="仿宋" w:eastAsia="仿宋" w:hint="eastAsia"/>
          <w:bCs/>
          <w:color w:val="auto"/>
          <w:sz w:val="28"/>
          <w:szCs w:val="28"/>
          <w:u w:val="none"/>
          <w:lang w:val="en-US" w:eastAsia="zh-CN"/>
        </w:rPr>
        <w:t>国有资本经营预算财政拨款支出决算表</w:t>
      </w:r>
    </w:p>
    <w:p>
      <w:pPr>
        <w:pStyle w:val="25"/>
        <w:tabs>
          <w:tab w:val="right" w:leader="dot" w:pos="8296"/>
        </w:tabs>
        <w:rPr>
          <w:rStyle w:val="29"/>
          <w:rFonts w:ascii="仿宋" w:eastAsia="仿宋" w:hint="eastAsia"/>
          <w:bCs/>
          <w:color w:val="auto"/>
          <w:sz w:val="28"/>
          <w:szCs w:val="28"/>
        </w:rPr>
      </w:pPr>
      <w:r>
        <w:rPr>
          <w:rStyle w:val="29"/>
          <w:rFonts w:ascii="仿宋" w:eastAsia="仿宋" w:hint="eastAsia"/>
          <w:bCs/>
          <w:color w:val="auto"/>
          <w:sz w:val="28"/>
          <w:szCs w:val="28"/>
          <w:u w:val="none"/>
        </w:rPr>
        <w:t>十三、财政拨款“三公”经费支出决算表</w:t>
      </w:r>
    </w:p>
    <w:p>
      <w:pPr>
        <w:pStyle w:val="25"/>
        <w:tabs>
          <w:tab w:val="right" w:leader="dot" w:pos="8296"/>
        </w:tabs>
        <w:rPr>
          <w:rStyle w:val="29"/>
          <w:rFonts w:ascii="仿宋" w:eastAsia="仿宋" w:hint="eastAsia"/>
          <w:bCs/>
          <w:color w:val="auto"/>
          <w:sz w:val="28"/>
          <w:szCs w:val="28"/>
        </w:rPr>
      </w:pPr>
    </w:p>
    <w:p>
      <w:pPr>
        <w:widowControl/>
        <w:jc w:val="center"/>
        <w:rPr>
          <w:color w:val="auto"/>
          <w:sz w:val="24"/>
        </w:rPr>
      </w:pPr>
    </w:p>
    <w:p>
      <w:pPr>
        <w:widowControl/>
        <w:jc w:val="center"/>
        <w:rPr>
          <w:color w:val="auto"/>
          <w:sz w:val="24"/>
        </w:rPr>
      </w:pPr>
    </w:p>
    <w:p>
      <w:pPr>
        <w:widowControl/>
        <w:jc w:val="center"/>
        <w:rPr>
          <w:color w:val="auto"/>
          <w:sz w:val="24"/>
        </w:rPr>
      </w:pPr>
    </w:p>
    <w:p>
      <w:pPr>
        <w:widowControl/>
        <w:jc w:val="center"/>
        <w:rPr>
          <w:color w:val="auto"/>
          <w:sz w:val="24"/>
        </w:rPr>
      </w:pPr>
    </w:p>
    <w:p>
      <w:pPr>
        <w:widowControl/>
        <w:jc w:val="center"/>
        <w:rPr>
          <w:color w:val="auto"/>
          <w:sz w:val="24"/>
        </w:rPr>
      </w:pPr>
    </w:p>
    <w:p>
      <w:pPr>
        <w:pStyle w:val="15"/>
        <w:rPr>
          <w:color w:val="auto"/>
          <w:sz w:val="24"/>
        </w:rPr>
      </w:pPr>
    </w:p>
    <w:p>
      <w:pPr>
        <w:rPr>
          <w:color w:val="auto"/>
          <w:sz w:val="24"/>
        </w:rPr>
      </w:pPr>
    </w:p>
    <w:p>
      <w:pPr>
        <w:pStyle w:val="15"/>
        <w:rPr>
          <w:color w:val="auto"/>
        </w:rPr>
      </w:pPr>
    </w:p>
    <w:p>
      <w:pPr>
        <w:widowControl/>
        <w:jc w:val="center"/>
        <w:rPr>
          <w:color w:val="auto"/>
          <w:sz w:val="24"/>
        </w:rPr>
      </w:pPr>
    </w:p>
    <w:p>
      <w:pPr>
        <w:pStyle w:val="1"/>
        <w:jc w:val="center"/>
        <w:rPr>
          <w:rStyle w:val="1Char"/>
          <w:rFonts w:ascii="Times New Roman" w:eastAsia="方正小标宋简体" w:cs="方正小标宋简体" w:hAnsi="Times New Roman" w:hint="eastAsia"/>
          <w:b/>
          <w:bCs w:val="0"/>
          <w:color w:val="auto"/>
          <w:highlight w:val="auto"/>
        </w:rPr>
      </w:pPr>
      <w:bookmarkStart w:id="14" w:name="_Toc15396599"/>
      <w:bookmarkStart w:id="15" w:name="_Toc15377196"/>
      <w:r>
        <w:rPr>
          <w:rFonts w:ascii="Times New Roman" w:eastAsia="方正小标宋简体" w:cs="方正小标宋简体" w:hAnsi="Times New Roman" w:hint="eastAsia"/>
          <w:b w:val="0"/>
          <w:color w:val="auto"/>
          <w:highlight w:val="auto"/>
        </w:rPr>
        <w:t>第一部分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Style w:val="1Char"/>
          <w:rFonts w:ascii="Times New Roman" w:eastAsia="方正小标宋简体" w:cs="方正小标宋简体" w:hAnsi="Times New Roman" w:hint="eastAsia"/>
          <w:b w:val="0"/>
          <w:bCs w:val="0"/>
          <w:color w:val="auto"/>
          <w:highlight w:val="auto"/>
        </w:rPr>
        <w:t>部门概况</w:t>
      </w:r>
      <w:bookmarkEnd w:id="14"/>
      <w:bookmarkEnd w:id="15"/>
    </w:p>
    <w:p>
      <w:pPr>
        <w:widowControl/>
        <w:jc w:val="left"/>
        <w:rPr>
          <w:rFonts w:ascii="Times New Roman" w:eastAsia="黑体" w:hAnsi="Times New Roman"/>
          <w:color w:val="auto"/>
          <w:sz w:val="32"/>
          <w:szCs w:val="32"/>
          <w:highlight w:val="auto"/>
        </w:rPr>
      </w:pPr>
    </w:p>
    <w:p>
      <w:pPr>
        <w:pStyle w:val="2"/>
        <w:numPr>
          <w:ilvl w:val="0"/>
          <w:numId w:val="1"/>
        </w:numPr>
        <w:rPr>
          <w:rFonts w:ascii="Times New Roman" w:eastAsia="黑体" w:hAnsi="Times New Roman" w:hint="eastAsia"/>
          <w:b w:val="0"/>
          <w:color w:val="auto"/>
          <w:lang w:eastAsia="zh-CN"/>
          <w:highlight w:val="auto"/>
        </w:rPr>
      </w:pPr>
      <w:r>
        <w:rPr>
          <w:rFonts w:ascii="Times New Roman" w:eastAsia="黑体" w:hAnsi="Times New Roman" w:hint="eastAsia"/>
          <w:b w:val="0"/>
          <w:color w:val="auto"/>
          <w:lang w:eastAsia="zh-CN"/>
          <w:highlight w:val="auto"/>
        </w:rPr>
        <w:t>部门职责</w:t>
      </w:r>
      <w:bookmarkStart w:id="16" w:name="_Toc15396601"/>
      <w:bookmarkStart w:id="17" w:name="_Toc15377200"/>
      <w:bookmarkStart w:id="18" w:name="_GoBack"/>
      <w:bookmarkEnd w:id="18"/>
    </w:p>
    <w:p>
      <w:pPr>
        <w:pStyle w:val="2"/>
        <w:spacing w:before="0" w:after="0" w:line="240" w:lineRule="auto"/>
        <w:ind w:leftChars="153" w:left="641" w:hangingChars="100" w:hanging="320"/>
        <w:rPr>
          <w:rFonts w:ascii="楷体" w:eastAsia="楷体" w:cs="楷体"/>
          <w:color w:val="auto"/>
        </w:rPr>
      </w:pPr>
      <w:bookmarkStart w:id="19" w:name="_Toc31800"/>
      <w:r>
        <w:rPr>
          <w:rFonts w:ascii="楷体" w:eastAsia="楷体" w:cs="楷体" w:hint="eastAsia"/>
          <w:color w:val="auto"/>
        </w:rPr>
        <w:t>（一）主要职能</w:t>
      </w:r>
      <w:bookmarkStart w:id="20" w:name="_Toc15378446"/>
      <w:bookmarkStart w:id="21" w:name="_Toc15377199"/>
      <w:bookmarkEnd w:id="19"/>
    </w:p>
    <w:p>
      <w:pPr>
        <w:snapToGrid w:val="0"/>
        <w:spacing w:line="560" w:lineRule="exact"/>
        <w:ind w:firstLineChars="200" w:firstLine="640"/>
        <w:rPr>
          <w:rFonts w:ascii="Times New Roman" w:eastAsia="仿宋_GB2312" w:cs="Times New Roman" w:hAnsi="Times New Roman"/>
          <w:color w:val="auto"/>
          <w:sz w:val="32"/>
          <w:szCs w:val="32"/>
        </w:rPr>
      </w:pPr>
      <w:bookmarkStart w:id="22" w:name="_Toc21487"/>
      <w:r>
        <w:rPr>
          <w:rFonts w:ascii="Times New Roman" w:eastAsia="仿宋_GB2312" w:cs="Times New Roman" w:hAnsi="Times New Roman"/>
          <w:color w:val="auto"/>
          <w:sz w:val="32"/>
          <w:szCs w:val="32"/>
        </w:rPr>
        <w:t>（1）贯彻落实党和政府各项路线方针政策。深入贯彻党的</w:t>
      </w:r>
      <w:r>
        <w:rPr>
          <w:rFonts w:ascii="Times New Roman" w:eastAsia="仿宋_GB2312" w:cs="Times New Roman" w:hAnsi="Times New Roman" w:hint="eastAsia"/>
          <w:color w:val="auto"/>
          <w:sz w:val="32"/>
          <w:szCs w:val="32"/>
          <w:lang w:eastAsia="zh-CN"/>
        </w:rPr>
        <w:t>二十</w:t>
      </w:r>
      <w:r>
        <w:rPr>
          <w:rFonts w:ascii="Times New Roman" w:eastAsia="仿宋_GB2312" w:cs="Times New Roman" w:hAnsi="Times New Roman"/>
          <w:color w:val="auto"/>
          <w:sz w:val="32"/>
          <w:szCs w:val="32"/>
        </w:rPr>
        <w:t>大精神，宣传和贯彻执行党的路线、方针、政策和国家的法律、法令</w:t>
      </w:r>
      <w:r>
        <w:rPr>
          <w:rFonts w:ascii="Times New Roman" w:eastAsia="仿宋_GB2312" w:cs="Times New Roman" w:hAnsi="Times New Roman" w:hint="eastAsia"/>
          <w:color w:val="auto"/>
          <w:sz w:val="32"/>
          <w:szCs w:val="32"/>
          <w:lang w:eastAsia="zh-CN"/>
        </w:rPr>
        <w:t>；</w:t>
      </w:r>
      <w:r>
        <w:rPr>
          <w:rFonts w:ascii="Times New Roman" w:eastAsia="仿宋_GB2312" w:cs="Times New Roman" w:hAnsi="Times New Roman"/>
          <w:color w:val="auto"/>
          <w:sz w:val="32"/>
          <w:szCs w:val="32"/>
        </w:rPr>
        <w:t>宣传和贯彻上级机关的政策、法规、规章、决定等；执行本级党代会和人代会的决定、决议；研究决定辖区内政治、经济、文化等重大问题。</w:t>
      </w:r>
    </w:p>
    <w:p>
      <w:pPr>
        <w:snapToGrid w:val="0"/>
        <w:spacing w:line="560" w:lineRule="exact"/>
        <w:ind w:firstLineChars="150" w:firstLine="48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w:t>
      </w:r>
      <w:r>
        <w:rPr>
          <w:rFonts w:eastAsia="仿宋_GB2312" w:cs="Times New Roman" w:hint="eastAsia"/>
          <w:color w:val="auto"/>
          <w:sz w:val="32"/>
          <w:szCs w:val="32"/>
          <w:lang w:eastAsia="zh-CN"/>
        </w:rPr>
        <w:t>乡</w:t>
      </w:r>
      <w:r>
        <w:rPr>
          <w:rFonts w:ascii="Times New Roman" w:eastAsia="仿宋_GB2312" w:cs="Times New Roman" w:hAnsi="Times New Roman"/>
          <w:color w:val="auto"/>
          <w:sz w:val="32"/>
          <w:szCs w:val="32"/>
        </w:rPr>
        <w:t>化建设步伐；引导和促进农民专业合作经济组织发展，提高农民进入市场的组织化程度。</w:t>
      </w:r>
    </w:p>
    <w:p>
      <w:pPr>
        <w:snapToGrid w:val="0"/>
        <w:spacing w:line="560" w:lineRule="exact"/>
        <w:ind w:firstLineChars="150" w:firstLine="48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（3）建立和健全农村社会化服务体系，为群众提供各项公共服务。建立和完善农村社会保障体系，做好农村最低生活保障、“五保”对象集中供养、低保家庭子女基础教育免费入学、失地农民基本生活保障、城</w:t>
      </w:r>
      <w:r>
        <w:rPr>
          <w:rFonts w:eastAsia="仿宋_GB2312" w:cs="Times New Roman" w:hint="eastAsia"/>
          <w:color w:val="auto"/>
          <w:sz w:val="32"/>
          <w:szCs w:val="32"/>
          <w:lang w:eastAsia="zh-CN"/>
        </w:rPr>
        <w:t>乡</w:t>
      </w:r>
      <w:r>
        <w:rPr>
          <w:rFonts w:ascii="Times New Roman" w:eastAsia="仿宋_GB2312" w:cs="Times New Roman" w:hAnsi="Times New Roman"/>
          <w:color w:val="auto"/>
          <w:sz w:val="32"/>
          <w:szCs w:val="32"/>
        </w:rPr>
        <w:t>医疗保障及就业培训、救济救助、民政优抚等工作；加强集卫生监督、疫病防控、医疗卫生服务为一体的卫生服务体系建设；切实抓好和完善教育、科技、文化、卫生、体育、农田水利、村</w:t>
      </w:r>
      <w:r>
        <w:rPr>
          <w:rFonts w:eastAsia="仿宋_GB2312" w:cs="Times New Roman" w:hint="eastAsia"/>
          <w:color w:val="auto"/>
          <w:sz w:val="32"/>
          <w:szCs w:val="32"/>
          <w:lang w:eastAsia="zh-CN"/>
        </w:rPr>
        <w:t>乡</w:t>
      </w:r>
      <w:r>
        <w:rPr>
          <w:rFonts w:ascii="Times New Roman" w:eastAsia="仿宋_GB2312" w:cs="Times New Roman" w:hAnsi="Times New Roman"/>
          <w:color w:val="auto"/>
          <w:sz w:val="32"/>
          <w:szCs w:val="32"/>
        </w:rPr>
        <w:t>、生态环境、农村公路管理等基础设施建设，不断改善群众的生产生活条件。</w:t>
      </w:r>
    </w:p>
    <w:p>
      <w:pPr>
        <w:snapToGrid w:val="0"/>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（4）进一步强化社会管理职能，加强辖区内的社会治安综合管理。建立村、企业及单位治安综合治理网络，实行群防群治。加强法制宣传教育，积极做好平安</w:t>
      </w:r>
      <w:r>
        <w:rPr>
          <w:rFonts w:eastAsia="仿宋_GB2312" w:cs="Times New Roman" w:hint="eastAsia"/>
          <w:color w:val="auto"/>
          <w:sz w:val="32"/>
          <w:szCs w:val="32"/>
          <w:lang w:eastAsia="zh-CN"/>
        </w:rPr>
        <w:t>乡乡</w:t>
      </w:r>
      <w:r>
        <w:rPr>
          <w:rFonts w:ascii="Times New Roman" w:eastAsia="仿宋_GB2312" w:cs="Times New Roman" w:hAnsi="Times New Roman"/>
          <w:color w:val="auto"/>
          <w:sz w:val="32"/>
          <w:szCs w:val="32"/>
        </w:rPr>
        <w:t>、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Chars="200" w:firstLine="640"/>
        <w:rPr>
          <w:rFonts w:ascii="Times New Roman" w:cs="Times New Roman" w:hAnsi="Times New Roman"/>
          <w:bCs/>
          <w:color w:val="auto"/>
          <w:sz w:val="32"/>
          <w:szCs w:val="32"/>
          <w:highlight w:val="yellow"/>
        </w:rPr>
      </w:pPr>
      <w:r>
        <w:rPr>
          <w:rFonts w:ascii="Times New Roman" w:eastAsia="仿宋_GB2312" w:cs="Times New Roman" w:hAnsi="Times New Roman"/>
          <w:color w:val="auto"/>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2"/>
        <w:spacing w:before="0" w:after="0" w:line="240" w:lineRule="auto"/>
        <w:ind w:firstLineChars="100" w:firstLine="320"/>
        <w:rPr>
          <w:rFonts w:ascii="楷体" w:eastAsia="楷体" w:cs="楷体" w:hint="eastAsia"/>
          <w:color w:val="auto"/>
        </w:rPr>
      </w:pPr>
      <w:r>
        <w:rPr>
          <w:rFonts w:ascii="楷体" w:eastAsia="楷体" w:cs="楷体" w:hint="eastAsia"/>
          <w:color w:val="auto"/>
        </w:rPr>
        <w:t>（二）</w:t>
      </w:r>
      <w:r>
        <w:rPr>
          <w:rFonts w:ascii="楷体" w:eastAsia="楷体" w:cs="楷体" w:hint="eastAsia"/>
          <w:color w:val="auto"/>
          <w:lang w:eastAsia="zh-CN"/>
        </w:rPr>
        <w:t>2024</w:t>
      </w:r>
      <w:r>
        <w:rPr>
          <w:rFonts w:ascii="楷体" w:eastAsia="楷体" w:cs="楷体" w:hint="eastAsia"/>
          <w:color w:val="auto"/>
        </w:rPr>
        <w:t>年重点工作完成情况</w:t>
      </w:r>
      <w:bookmarkEnd w:id="20"/>
      <w:bookmarkEnd w:id="21"/>
      <w:bookmarkEnd w:id="22"/>
    </w:p>
    <w:p>
      <w:pPr>
        <w:snapToGrid w:val="0"/>
        <w:spacing w:line="560" w:lineRule="exact"/>
        <w:ind w:firstLineChars="200" w:firstLine="640"/>
        <w:rPr>
          <w:rFonts w:ascii="Times New Roman" w:eastAsia="仿宋_GB2312" w:cs="Times New Roman" w:hAnsi="Times New Roman" w:hint="eastAsia"/>
          <w:color w:val="auto"/>
          <w:sz w:val="32"/>
          <w:szCs w:val="32"/>
        </w:rPr>
      </w:pPr>
      <w:r>
        <w:rPr>
          <w:rFonts w:ascii="Times New Roman" w:eastAsia="仿宋_GB2312" w:cs="Times New Roman" w:hAnsi="Times New Roman" w:hint="eastAsia"/>
          <w:color w:val="auto"/>
          <w:sz w:val="32"/>
          <w:szCs w:val="32"/>
        </w:rPr>
        <w:t>（</w:t>
      </w:r>
      <w:r>
        <w:rPr>
          <w:rFonts w:ascii="Times New Roman" w:eastAsia="仿宋_GB2312" w:cs="Times New Roman" w:hAnsi="Times New Roman" w:hint="eastAsia"/>
          <w:color w:val="auto"/>
          <w:sz w:val="32"/>
          <w:szCs w:val="32"/>
          <w:lang w:val="en-US" w:eastAsia="zh-CN"/>
        </w:rPr>
        <w:t>1</w:t>
      </w:r>
      <w:r>
        <w:rPr>
          <w:rFonts w:ascii="Times New Roman" w:eastAsia="仿宋_GB2312" w:cs="Times New Roman" w:hAnsi="Times New Roman" w:hint="eastAsia"/>
          <w:color w:val="auto"/>
          <w:sz w:val="32"/>
          <w:szCs w:val="32"/>
        </w:rPr>
        <w:t>）强化服务优政。深入践行“以人民为中心”发展思想，持续深化“放管服”综合改革，全面落实“三集中、三到位”，启动</w:t>
      </w:r>
      <w:r>
        <w:rPr>
          <w:rFonts w:eastAsia="仿宋_GB2312" w:cs="Times New Roman" w:hint="eastAsia"/>
          <w:color w:val="auto"/>
          <w:sz w:val="32"/>
          <w:szCs w:val="32"/>
          <w:lang w:eastAsia="zh-CN"/>
        </w:rPr>
        <w:t>乡</w:t>
      </w:r>
      <w:r>
        <w:rPr>
          <w:rFonts w:ascii="Times New Roman" w:eastAsia="仿宋_GB2312" w:cs="Times New Roman" w:hAnsi="Times New Roman" w:hint="eastAsia"/>
          <w:color w:val="auto"/>
          <w:sz w:val="32"/>
          <w:szCs w:val="32"/>
        </w:rPr>
        <w:t>便民服务中心标准化改造，强化行政权力运行、行政审批办理，规范办事程序，简化办事流程，减少办事环节，降低办事成本，不断提升为民服务能力。</w:t>
      </w:r>
    </w:p>
    <w:p>
      <w:pPr>
        <w:snapToGrid w:val="0"/>
        <w:spacing w:line="560" w:lineRule="exact"/>
        <w:ind w:firstLineChars="200" w:firstLine="640"/>
        <w:rPr>
          <w:rFonts w:ascii="Times New Roman" w:eastAsia="仿宋_GB2312" w:cs="Times New Roman" w:hAnsi="Times New Roman" w:hint="eastAsia"/>
          <w:color w:val="auto"/>
          <w:sz w:val="32"/>
          <w:szCs w:val="32"/>
        </w:rPr>
      </w:pPr>
      <w:r>
        <w:rPr>
          <w:rFonts w:ascii="Times New Roman" w:eastAsia="仿宋_GB2312" w:cs="Times New Roman" w:hAnsi="Times New Roman" w:hint="eastAsia"/>
          <w:color w:val="auto"/>
          <w:sz w:val="32"/>
          <w:szCs w:val="32"/>
        </w:rPr>
        <w:t>（</w:t>
      </w:r>
      <w:r>
        <w:rPr>
          <w:rFonts w:ascii="Times New Roman" w:eastAsia="仿宋_GB2312" w:cs="Times New Roman" w:hAnsi="Times New Roman" w:hint="eastAsia"/>
          <w:color w:val="auto"/>
          <w:sz w:val="32"/>
          <w:szCs w:val="32"/>
          <w:lang w:val="en-US" w:eastAsia="zh-CN"/>
        </w:rPr>
        <w:t>2</w:t>
      </w:r>
      <w:r>
        <w:rPr>
          <w:rFonts w:ascii="Times New Roman" w:eastAsia="仿宋_GB2312" w:cs="Times New Roman" w:hAnsi="Times New Roman" w:hint="eastAsia"/>
          <w:color w:val="auto"/>
          <w:sz w:val="32"/>
          <w:szCs w:val="32"/>
        </w:rPr>
        <w:t>）强化依法行政。始终把依法行政贯穿于政府工作全过程，自觉接受人大主席团法律监督、工作监督，认真办理人大代表建议批评意见提案建议，充分发挥工会、共青团、妇联等团体作用，主动接受社会和舆论监督，让权力在阳光下运行。不断健全优化重大行政决策制度，努力提高政府决策水平。</w:t>
      </w:r>
    </w:p>
    <w:p>
      <w:pPr>
        <w:snapToGrid w:val="0"/>
        <w:spacing w:line="560" w:lineRule="exact"/>
        <w:ind w:firstLineChars="200" w:firstLine="640"/>
        <w:rPr>
          <w:rFonts w:ascii="Times New Roman" w:eastAsia="仿宋_GB2312" w:cs="Times New Roman" w:hAnsi="Times New Roman" w:hint="eastAsia"/>
          <w:color w:val="auto"/>
          <w:sz w:val="32"/>
          <w:szCs w:val="32"/>
        </w:rPr>
      </w:pPr>
      <w:r>
        <w:rPr>
          <w:rFonts w:ascii="Times New Roman" w:eastAsia="仿宋_GB2312" w:cs="Times New Roman" w:hAnsi="Times New Roman" w:hint="eastAsia"/>
          <w:color w:val="auto"/>
          <w:sz w:val="32"/>
          <w:szCs w:val="32"/>
        </w:rPr>
        <w:t>（</w:t>
      </w:r>
      <w:r>
        <w:rPr>
          <w:rFonts w:ascii="Times New Roman" w:eastAsia="仿宋_GB2312" w:cs="Times New Roman" w:hAnsi="Times New Roman" w:hint="eastAsia"/>
          <w:color w:val="auto"/>
          <w:sz w:val="32"/>
          <w:szCs w:val="32"/>
          <w:lang w:val="en-US" w:eastAsia="zh-CN"/>
        </w:rPr>
        <w:t>3</w:t>
      </w:r>
      <w:r>
        <w:rPr>
          <w:rFonts w:ascii="Times New Roman" w:eastAsia="仿宋_GB2312" w:cs="Times New Roman" w:hAnsi="Times New Roman" w:hint="eastAsia"/>
          <w:color w:val="auto"/>
          <w:sz w:val="32"/>
          <w:szCs w:val="32"/>
        </w:rPr>
        <w:t>）强化务实理政。从</w:t>
      </w:r>
      <w:r>
        <w:rPr>
          <w:rFonts w:eastAsia="仿宋_GB2312" w:cs="Times New Roman" w:hint="eastAsia"/>
          <w:color w:val="auto"/>
          <w:sz w:val="32"/>
          <w:szCs w:val="32"/>
          <w:lang w:eastAsia="zh-CN"/>
        </w:rPr>
        <w:t>乡</w:t>
      </w:r>
      <w:r>
        <w:rPr>
          <w:rFonts w:ascii="Times New Roman" w:eastAsia="仿宋_GB2312" w:cs="Times New Roman" w:hAnsi="Times New Roman" w:hint="eastAsia"/>
          <w:color w:val="auto"/>
          <w:sz w:val="32"/>
          <w:szCs w:val="32"/>
        </w:rPr>
        <w:t>政府领导班子做起，不断深化“两联一进”群众工作全覆盖，带头密切联系群众，带头解决实际问题。精简会议、文件，提高政务活动实效。加强公务员管理，健全目标体系、考核办法、奖惩机制。倡导真抓实干，力戒空谈浮夸，努力形成“定必干、干必成、成必优”的良好氛围。</w:t>
      </w:r>
    </w:p>
    <w:p>
      <w:pPr>
        <w:snapToGrid w:val="0"/>
        <w:spacing w:line="560" w:lineRule="exact"/>
        <w:ind w:firstLineChars="200" w:firstLine="640"/>
        <w:rPr>
          <w:rFonts w:hint="eastAsia"/>
          <w:color w:val="auto"/>
          <w:lang w:eastAsia="zh-CN"/>
        </w:rPr>
      </w:pPr>
      <w:r>
        <w:rPr>
          <w:rFonts w:ascii="Times New Roman" w:eastAsia="仿宋_GB2312" w:cs="Times New Roman" w:hAnsi="Times New Roman" w:hint="eastAsia"/>
          <w:color w:val="auto"/>
          <w:sz w:val="32"/>
          <w:szCs w:val="32"/>
        </w:rPr>
        <w:t>（</w:t>
      </w:r>
      <w:r>
        <w:rPr>
          <w:rFonts w:ascii="Times New Roman" w:eastAsia="仿宋_GB2312" w:cs="Times New Roman" w:hAnsi="Times New Roman" w:hint="eastAsia"/>
          <w:color w:val="auto"/>
          <w:sz w:val="32"/>
          <w:szCs w:val="32"/>
          <w:lang w:val="en-US" w:eastAsia="zh-CN"/>
        </w:rPr>
        <w:t>4</w:t>
      </w:r>
      <w:r>
        <w:rPr>
          <w:rFonts w:ascii="Times New Roman" w:eastAsia="仿宋_GB2312" w:cs="Times New Roman" w:hAnsi="Times New Roman" w:hint="eastAsia"/>
          <w:color w:val="auto"/>
          <w:sz w:val="32"/>
          <w:szCs w:val="32"/>
        </w:rPr>
        <w:t>）强化从严治政。全面落实党风廉政建设责任制，严格履行“一岗双责”和廉洁自律各项规定，深入推进惩治和预防腐败体系建设。认真学习党的二十大精神，巩固拓展落实八项规定精神成果，深入落实县委“六大六治”行动，不折不扣整改巡视反馈问题，努力塑造干事、为民、公正、清廉的政府形象。</w:t>
      </w:r>
    </w:p>
    <w:p>
      <w:pPr>
        <w:pStyle w:val="2"/>
        <w:rPr>
          <w:rStyle w:val="2Char"/>
          <w:rFonts w:ascii="Times New Roman" w:hAnsi="Times New Roman"/>
          <w:b w:val="0"/>
          <w:bCs w:val="0"/>
          <w:color w:val="auto"/>
          <w:highlight w:val="auto"/>
        </w:rPr>
      </w:pPr>
      <w:r>
        <w:rPr>
          <w:rFonts w:ascii="Times New Roman" w:eastAsia="黑体" w:hAnsi="Times New Roman" w:hint="eastAsia"/>
          <w:b w:val="0"/>
          <w:color w:val="auto"/>
          <w:highlight w:val="auto"/>
        </w:rPr>
        <w:t>二、机</w:t>
      </w:r>
      <w:r>
        <w:rPr>
          <w:rStyle w:val="2Char"/>
          <w:rFonts w:ascii="Times New Roman" w:eastAsia="黑体" w:hAnsi="Times New Roman" w:hint="eastAsia"/>
          <w:b w:val="0"/>
          <w:bCs w:val="0"/>
          <w:color w:val="auto"/>
          <w:highlight w:val="auto"/>
        </w:rPr>
        <w:t>构设置</w:t>
      </w:r>
      <w:bookmarkEnd w:id="16"/>
      <w:bookmarkEnd w:id="17"/>
    </w:p>
    <w:p>
      <w:pPr>
        <w:ind w:firstLineChars="250" w:firstLine="800"/>
        <w:rPr>
          <w:rFonts w:ascii="Times New Roman" w:eastAsia="仿宋_GB2312" w:cs="仿宋_GB2312" w:hAnsi="Times New Roman" w:hint="eastAsia"/>
          <w:color w:val="auto"/>
          <w:sz w:val="32"/>
          <w:szCs w:val="32"/>
          <w:highlight w:val="auto"/>
        </w:rPr>
      </w:pPr>
      <w:r>
        <w:rPr>
          <w:rFonts w:ascii="仿宋_GB2312" w:eastAsia="仿宋_GB2312" w:cs="仿宋_GB2312" w:hint="eastAsia"/>
          <w:color w:val="auto"/>
          <w:sz w:val="32"/>
          <w:szCs w:val="32"/>
          <w:highlight w:val="auto"/>
        </w:rPr>
        <w:t>金川县沙耳乡</w:t>
      </w:r>
      <w:r>
        <w:rPr>
          <w:rFonts w:ascii="Times New Roman" w:eastAsia="仿宋_GB2312" w:cs="仿宋_GB2312" w:hAnsi="Times New Roman" w:hint="eastAsia"/>
          <w:color w:val="auto"/>
          <w:sz w:val="32"/>
          <w:szCs w:val="32"/>
          <w:highlight w:val="auto"/>
        </w:rPr>
        <w:t>下属二级</w:t>
      </w:r>
      <w:r>
        <w:rPr>
          <w:rFonts w:ascii="Times New Roman" w:eastAsia="仿宋_GB2312" w:cs="仿宋_GB2312" w:hAnsi="Times New Roman" w:hint="eastAsia"/>
          <w:color w:val="auto"/>
          <w:sz w:val="32"/>
          <w:szCs w:val="32"/>
          <w:lang w:eastAsia="zh-CN"/>
          <w:highlight w:val="auto"/>
        </w:rPr>
        <w:t>预算</w:t>
      </w:r>
      <w:r>
        <w:rPr>
          <w:rFonts w:ascii="Times New Roman" w:eastAsia="仿宋_GB2312" w:cs="仿宋_GB2312" w:hAnsi="Times New Roman" w:hint="eastAsia"/>
          <w:color w:val="auto"/>
          <w:sz w:val="32"/>
          <w:szCs w:val="32"/>
          <w:highlight w:val="auto"/>
        </w:rPr>
        <w:t>单位</w:t>
      </w:r>
      <w:r>
        <w:rPr>
          <w:rFonts w:eastAsia="仿宋_GB2312" w:cs="仿宋_GB2312" w:hint="eastAsia"/>
          <w:color w:val="auto"/>
          <w:sz w:val="32"/>
          <w:szCs w:val="32"/>
          <w:lang w:val="en-US" w:eastAsia="zh-CN"/>
          <w:highlight w:val="auto"/>
        </w:rPr>
        <w:t>4</w:t>
      </w:r>
      <w:r>
        <w:rPr>
          <w:rFonts w:ascii="Times New Roman" w:eastAsia="仿宋_GB2312" w:cs="仿宋_GB2312" w:hAnsi="Times New Roman" w:hint="eastAsia"/>
          <w:color w:val="auto"/>
          <w:sz w:val="32"/>
          <w:szCs w:val="32"/>
          <w:highlight w:val="auto"/>
        </w:rPr>
        <w:t>个，其中行政单位</w:t>
      </w:r>
      <w:r>
        <w:rPr>
          <w:rFonts w:eastAsia="仿宋_GB2312" w:cs="仿宋_GB2312" w:hint="eastAsia"/>
          <w:color w:val="auto"/>
          <w:sz w:val="32"/>
          <w:szCs w:val="32"/>
          <w:lang w:val="en-US" w:eastAsia="zh-CN"/>
          <w:highlight w:val="auto"/>
        </w:rPr>
        <w:t>3</w:t>
      </w:r>
      <w:r>
        <w:rPr>
          <w:rFonts w:ascii="Times New Roman" w:eastAsia="仿宋_GB2312" w:cs="仿宋_GB2312" w:hAnsi="Times New Roman" w:hint="eastAsia"/>
          <w:color w:val="auto"/>
          <w:sz w:val="32"/>
          <w:szCs w:val="32"/>
          <w:highlight w:val="auto"/>
        </w:rPr>
        <w:t>个，参照公务员法管理的事业单位</w:t>
      </w:r>
      <w:r>
        <w:rPr>
          <w:rFonts w:eastAsia="仿宋_GB2312" w:cs="仿宋_GB2312" w:hint="eastAsia"/>
          <w:bCs/>
          <w:color w:val="auto"/>
          <w:sz w:val="32"/>
          <w:szCs w:val="32"/>
          <w:lang w:val="en-US" w:eastAsia="zh-CN"/>
          <w:highlight w:val="auto"/>
        </w:rPr>
        <w:t>0</w:t>
      </w:r>
      <w:r>
        <w:rPr>
          <w:rFonts w:ascii="Times New Roman" w:eastAsia="仿宋_GB2312" w:cs="仿宋_GB2312" w:hAnsi="Times New Roman" w:hint="eastAsia"/>
          <w:color w:val="auto"/>
          <w:sz w:val="32"/>
          <w:szCs w:val="32"/>
          <w:highlight w:val="auto"/>
        </w:rPr>
        <w:t>个，其他事业单位</w:t>
      </w:r>
      <w:r>
        <w:rPr>
          <w:rFonts w:eastAsia="仿宋_GB2312" w:cs="仿宋_GB2312" w:hint="eastAsia"/>
          <w:color w:val="auto"/>
          <w:sz w:val="32"/>
          <w:szCs w:val="32"/>
          <w:lang w:val="en-US" w:eastAsia="zh-CN"/>
          <w:highlight w:val="auto"/>
        </w:rPr>
        <w:t>1</w:t>
      </w:r>
      <w:r>
        <w:rPr>
          <w:rFonts w:ascii="Times New Roman" w:eastAsia="仿宋_GB2312" w:cs="仿宋_GB2312" w:hAnsi="Times New Roman" w:hint="eastAsia"/>
          <w:color w:val="auto"/>
          <w:sz w:val="32"/>
          <w:szCs w:val="32"/>
          <w:highlight w:val="auto"/>
        </w:rPr>
        <w:t>个。</w:t>
      </w:r>
    </w:p>
    <w:p>
      <w:pPr>
        <w:pStyle w:val="16"/>
        <w:adjustRightInd w:val="0"/>
        <w:snapToGrid w:val="0"/>
        <w:spacing w:beforeLines="0" w:before="93" w:line="600" w:lineRule="exact"/>
        <w:ind w:firstLineChars="209" w:firstLine="672"/>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纳入</w:t>
      </w:r>
      <w:r>
        <w:rPr>
          <w:color w:val="auto"/>
          <w:sz w:val="32"/>
          <w:szCs w:val="32"/>
        </w:rPr>
        <w:t>金川县沙耳乡</w:t>
      </w:r>
      <w:r>
        <w:rPr>
          <w:rFonts w:ascii="Times New Roman" w:eastAsia="仿宋_GB2312" w:cs="仿宋_GB2312" w:hAnsi="Times New Roman" w:hint="eastAsia"/>
          <w:color w:val="auto"/>
          <w:sz w:val="32"/>
          <w:szCs w:val="32"/>
          <w:lang w:eastAsia="zh-CN"/>
          <w:highlight w:val="auto"/>
        </w:rPr>
        <w:t>2024年度</w:t>
      </w:r>
      <w:r>
        <w:rPr>
          <w:rFonts w:ascii="Times New Roman" w:eastAsia="仿宋_GB2312" w:cs="仿宋_GB2312" w:hAnsi="Times New Roman" w:hint="eastAsia"/>
          <w:color w:val="auto"/>
          <w:sz w:val="32"/>
          <w:szCs w:val="32"/>
          <w:highlight w:val="auto"/>
        </w:rPr>
        <w:t>部门决算编制范围的二级预算单位包括：</w:t>
      </w:r>
    </w:p>
    <w:p>
      <w:pPr>
        <w:pStyle w:val="16"/>
        <w:numPr>
          <w:ilvl w:val="0"/>
          <w:numId w:val="2"/>
        </w:numPr>
        <w:adjustRightInd w:val="0"/>
        <w:snapToGrid w:val="0"/>
        <w:spacing w:beforeLines="0" w:before="93" w:line="600" w:lineRule="exact"/>
        <w:outlineLvl w:val="2"/>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沙耳乡人民政府办公室</w:t>
      </w:r>
    </w:p>
    <w:p>
      <w:pPr>
        <w:pStyle w:val="16"/>
        <w:numPr>
          <w:ilvl w:val="0"/>
          <w:numId w:val="2"/>
        </w:numPr>
        <w:adjustRightInd w:val="0"/>
        <w:snapToGrid w:val="0"/>
        <w:spacing w:beforeLines="0" w:before="93" w:line="600" w:lineRule="exact"/>
        <w:outlineLvl w:val="2"/>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沙耳乡党委办公室</w:t>
      </w:r>
    </w:p>
    <w:p>
      <w:pPr>
        <w:pStyle w:val="16"/>
        <w:numPr>
          <w:ilvl w:val="0"/>
          <w:numId w:val="2"/>
        </w:numPr>
        <w:adjustRightInd w:val="0"/>
        <w:snapToGrid w:val="0"/>
        <w:spacing w:beforeLines="0" w:before="93" w:line="600" w:lineRule="exact"/>
        <w:outlineLvl w:val="2"/>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沙耳乡人大办公室</w:t>
      </w:r>
    </w:p>
    <w:p>
      <w:pPr>
        <w:pStyle w:val="16"/>
        <w:numPr>
          <w:ilvl w:val="0"/>
          <w:numId w:val="2"/>
        </w:numPr>
        <w:adjustRightInd w:val="0"/>
        <w:snapToGrid w:val="0"/>
        <w:spacing w:beforeLines="0" w:before="93" w:line="600" w:lineRule="exact"/>
        <w:outlineLvl w:val="2"/>
        <w:rPr>
          <w:rFonts w:ascii="Times New Roman" w:eastAsia="仿宋_GB2312" w:cs="仿宋_GB2312" w:hAnsi="Times New Roman" w:hint="eastAsia"/>
          <w:color w:val="auto"/>
          <w:sz w:val="32"/>
          <w:szCs w:val="32"/>
          <w:highlight w:val="auto"/>
        </w:rPr>
      </w:pPr>
      <w:bookmarkStart w:id="23" w:name="_Toc15378450"/>
      <w:bookmarkStart w:id="24" w:name="_Toc15377434"/>
      <w:bookmarkStart w:id="25" w:name="_Toc15377203"/>
      <w:bookmarkStart w:id="26" w:name="_Toc15306277"/>
      <w:r>
        <w:rPr>
          <w:rFonts w:ascii="Times New Roman" w:eastAsia="仿宋_GB2312" w:cs="仿宋_GB2312" w:hAnsi="Times New Roman" w:hint="eastAsia"/>
          <w:color w:val="auto"/>
          <w:sz w:val="32"/>
          <w:szCs w:val="32"/>
          <w:highlight w:val="auto"/>
        </w:rPr>
        <w:t>沙耳乡综合服务中心</w:t>
      </w:r>
      <w:bookmarkEnd w:id="23"/>
      <w:bookmarkEnd w:id="24"/>
      <w:bookmarkEnd w:id="25"/>
      <w:bookmarkEnd w:id="26"/>
    </w:p>
    <w:p>
      <w:pPr>
        <w:pStyle w:val="16"/>
        <w:adjustRightInd w:val="0"/>
        <w:snapToGrid w:val="0"/>
        <w:spacing w:beforeLines="0" w:before="93" w:line="600" w:lineRule="exact"/>
        <w:outlineLvl w:val="2"/>
        <w:rPr>
          <w:rFonts w:ascii="Times New Roman" w:eastAsia="仿宋_GB2312" w:cs="仿宋_GB2312" w:hAnsi="Times New Roman" w:hint="eastAsia"/>
          <w:color w:val="auto"/>
          <w:sz w:val="32"/>
          <w:szCs w:val="32"/>
          <w:highlight w:val="auto"/>
        </w:rPr>
      </w:pPr>
    </w:p>
    <w:p>
      <w:pPr>
        <w:widowControl/>
        <w:jc w:val="left"/>
        <w:rPr>
          <w:rFonts w:ascii="Times New Roman" w:eastAsia="仿宋" w:hAnsi="Times New Roman"/>
          <w:color w:val="auto"/>
          <w:kern w:val="0"/>
          <w:sz w:val="32"/>
          <w:szCs w:val="32"/>
          <w:highlight w:val="auto"/>
        </w:rPr>
      </w:pPr>
      <w:r>
        <w:rPr>
          <w:rFonts w:ascii="Times New Roman" w:eastAsia="仿宋" w:hAnsi="Times New Roman"/>
          <w:color w:val="auto"/>
          <w:sz w:val="32"/>
          <w:szCs w:val="32"/>
          <w:highlight w:val="auto"/>
        </w:rPr>
        <w:br w:type="page"/>
      </w:r>
    </w:p>
    <w:p>
      <w:pPr>
        <w:pStyle w:val="1"/>
        <w:jc w:val="center"/>
        <w:rPr>
          <w:rFonts w:ascii="Times New Roman" w:eastAsia="方正小标宋简体" w:cs="方正小标宋简体" w:hAnsi="Times New Roman" w:hint="eastAsia"/>
          <w:b w:val="0"/>
          <w:color w:val="auto"/>
          <w:highlight w:val="auto"/>
        </w:rPr>
      </w:pPr>
      <w:bookmarkStart w:id="27" w:name="_Toc15396602"/>
      <w:bookmarkStart w:id="28" w:name="_Toc15377204"/>
      <w:r>
        <w:rPr>
          <w:rFonts w:ascii="Times New Roman" w:eastAsia="方正小标宋简体" w:cs="方正小标宋简体" w:hAnsi="Times New Roman" w:hint="eastAsia"/>
          <w:b w:val="0"/>
          <w:color w:val="auto"/>
          <w:highlight w:val="auto"/>
        </w:rPr>
        <w:t>第二部分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Fonts w:ascii="Times New Roman" w:eastAsia="方正小标宋简体" w:cs="方正小标宋简体" w:hAnsi="Times New Roman" w:hint="eastAsia"/>
          <w:b w:val="0"/>
          <w:color w:val="auto"/>
          <w:lang w:val="en-US" w:eastAsia="zh-CN"/>
          <w:highlight w:val="auto"/>
        </w:rPr>
        <w:t>2024年度</w:t>
      </w:r>
      <w:r>
        <w:rPr>
          <w:rFonts w:ascii="Times New Roman" w:eastAsia="方正小标宋简体" w:cs="方正小标宋简体" w:hAnsi="Times New Roman" w:hint="eastAsia"/>
          <w:b w:val="0"/>
          <w:color w:val="auto"/>
          <w:highlight w:val="auto"/>
        </w:rPr>
        <w:t>部门决算情况说明</w:t>
      </w:r>
      <w:bookmarkEnd w:id="27"/>
      <w:bookmarkEnd w:id="28"/>
    </w:p>
    <w:p>
      <w:pPr>
        <w:rPr>
          <w:rFonts w:ascii="Times New Roman" w:hAnsi="Times New Roman"/>
          <w:color w:val="auto"/>
          <w:highlight w:val="auto"/>
        </w:rPr>
      </w:pPr>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29" w:name="_Toc15396603"/>
      <w:bookmarkStart w:id="30" w:name="_Toc15377205"/>
      <w:r>
        <w:rPr>
          <w:rFonts w:ascii="Times New Roman" w:eastAsia="黑体" w:hAnsi="Times New Roman" w:hint="eastAsia"/>
          <w:color w:val="auto"/>
          <w:sz w:val="32"/>
          <w:szCs w:val="32"/>
          <w:lang w:eastAsia="zh-CN"/>
          <w:highlight w:val="auto"/>
        </w:rPr>
        <w:t>一、</w:t>
      </w:r>
      <w:r>
        <w:rPr>
          <w:rFonts w:ascii="Times New Roman" w:eastAsia="黑体" w:hAnsi="Times New Roman" w:hint="eastAsia"/>
          <w:color w:val="auto"/>
          <w:sz w:val="32"/>
          <w:szCs w:val="32"/>
          <w:highlight w:val="auto"/>
        </w:rPr>
        <w:t>收</w:t>
      </w:r>
      <w:r>
        <w:rPr>
          <w:rStyle w:val="2Char"/>
          <w:rFonts w:ascii="Times New Roman" w:eastAsia="黑体" w:hAnsi="Times New Roman" w:hint="eastAsia"/>
          <w:b w:val="0"/>
          <w:color w:val="auto"/>
          <w:highlight w:val="auto"/>
        </w:rPr>
        <w:t>入支出决算总体情况说明</w:t>
      </w:r>
      <w:bookmarkEnd w:id="29"/>
      <w:bookmarkEnd w:id="30"/>
    </w:p>
    <w:p>
      <w:pPr>
        <w:snapToGrid w:val="0"/>
        <w:spacing w:line="520" w:lineRule="exact"/>
        <w:ind w:firstLineChars="200" w:firstLine="632"/>
        <w:rPr>
          <w:rFonts w:ascii="仿宋_GB2312" w:eastAsia="仿宋_GB2312"/>
          <w:color w:val="auto"/>
          <w:spacing w:val="-2"/>
          <w:sz w:val="32"/>
          <w:szCs w:val="32"/>
          <w:lang w:val="en-US" w:eastAsia="zh-CN"/>
        </w:rPr>
      </w:pPr>
      <w:r>
        <w:rPr>
          <w:rFonts w:ascii="仿宋_GB2312" w:eastAsia="仿宋_GB2312" w:hint="eastAsia"/>
          <w:color w:val="auto"/>
          <w:spacing w:val="-2"/>
          <w:sz w:val="32"/>
          <w:szCs w:val="32"/>
          <w:lang w:eastAsia="zh-CN"/>
        </w:rPr>
        <w:t>2024年财政拨款收入</w:t>
      </w:r>
      <w:r>
        <w:rPr>
          <w:rFonts w:ascii="仿宋_GB2312" w:eastAsia="仿宋_GB2312" w:hint="eastAsia"/>
          <w:color w:val="auto"/>
          <w:spacing w:val="-2"/>
          <w:sz w:val="32"/>
          <w:szCs w:val="32"/>
          <w:lang w:val="en-US" w:eastAsia="zh-CN"/>
        </w:rPr>
        <w:t>1652.12</w:t>
      </w:r>
      <w:r>
        <w:rPr>
          <w:rFonts w:ascii="仿宋_GB2312" w:eastAsia="仿宋_GB2312" w:hint="eastAsia"/>
          <w:color w:val="auto"/>
          <w:spacing w:val="-2"/>
          <w:sz w:val="32"/>
          <w:szCs w:val="32"/>
          <w:lang w:eastAsia="zh-CN"/>
        </w:rPr>
        <w:t>万元。与</w:t>
      </w:r>
      <w:r>
        <w:rPr>
          <w:rFonts w:ascii="仿宋_GB2312" w:eastAsia="仿宋_GB2312" w:hint="eastAsia"/>
          <w:color w:val="auto"/>
          <w:spacing w:val="-2"/>
          <w:sz w:val="32"/>
          <w:szCs w:val="32"/>
          <w:lang w:val="en-US" w:eastAsia="zh-CN"/>
        </w:rPr>
        <w:t>2023</w:t>
      </w:r>
      <w:r>
        <w:rPr>
          <w:rFonts w:ascii="仿宋_GB2312" w:eastAsia="仿宋_GB2312" w:hint="eastAsia"/>
          <w:color w:val="auto"/>
          <w:spacing w:val="-2"/>
          <w:sz w:val="32"/>
          <w:szCs w:val="32"/>
          <w:lang w:eastAsia="zh-CN"/>
        </w:rPr>
        <w:t>年相比，一般公共预算财政拨款收入较上年收入增加</w:t>
      </w:r>
      <w:r>
        <w:rPr>
          <w:rFonts w:ascii="仿宋_GB2312" w:eastAsia="仿宋_GB2312" w:hint="eastAsia"/>
          <w:color w:val="auto"/>
          <w:spacing w:val="-2"/>
          <w:sz w:val="32"/>
          <w:szCs w:val="32"/>
          <w:lang w:val="en-US" w:eastAsia="zh-CN"/>
        </w:rPr>
        <w:t xml:space="preserve"> 213.7</w:t>
      </w:r>
      <w:r>
        <w:rPr>
          <w:rFonts w:ascii="仿宋_GB2312" w:eastAsia="仿宋_GB2312" w:hint="eastAsia"/>
          <w:color w:val="auto"/>
          <w:spacing w:val="-2"/>
          <w:sz w:val="32"/>
          <w:szCs w:val="32"/>
          <w:lang w:eastAsia="zh-CN"/>
        </w:rPr>
        <w:t>万元，</w:t>
      </w:r>
      <w:r>
        <w:rPr>
          <w:rFonts w:ascii="仿宋_GB2312" w:eastAsia="仿宋_GB2312" w:hint="eastAsia"/>
          <w:color w:val="auto"/>
          <w:spacing w:val="-2"/>
          <w:sz w:val="32"/>
          <w:szCs w:val="32"/>
          <w:lang w:val="en-US" w:eastAsia="zh-CN"/>
        </w:rPr>
        <w:t>原因为本年保险增加，艰边补贴增加、项目增加。</w:t>
      </w:r>
    </w:p>
    <w:p>
      <w:pPr>
        <w:snapToGrid w:val="0"/>
        <w:spacing w:line="520" w:lineRule="exact"/>
        <w:ind w:firstLineChars="200" w:firstLine="632"/>
        <w:rPr>
          <w:rFonts w:ascii="Times New Roman" w:eastAsia="仿宋_GB2312" w:cs="仿宋_GB2312" w:hAnsi="Times New Roman" w:hint="eastAsia"/>
          <w:color w:val="auto"/>
          <w:sz w:val="32"/>
          <w:szCs w:val="32"/>
          <w:highlight w:val="auto"/>
        </w:rPr>
      </w:pPr>
      <w:r>
        <w:rPr>
          <w:rFonts w:ascii="仿宋_GB2312" w:eastAsia="仿宋_GB2312" w:hint="eastAsia"/>
          <w:color w:val="auto"/>
          <w:spacing w:val="-2"/>
          <w:sz w:val="32"/>
          <w:szCs w:val="32"/>
          <w:lang w:eastAsia="zh-CN"/>
        </w:rPr>
        <w:t>2024年财政拨款</w:t>
      </w:r>
      <w:r>
        <w:rPr>
          <w:rFonts w:ascii="仿宋_GB2312" w:eastAsia="仿宋_GB2312" w:hint="eastAsia"/>
          <w:color w:val="auto"/>
          <w:spacing w:val="-2"/>
          <w:sz w:val="32"/>
          <w:szCs w:val="32"/>
          <w:lang w:val="en-US" w:eastAsia="zh-CN"/>
        </w:rPr>
        <w:t>支出1652.12</w:t>
      </w:r>
      <w:r>
        <w:rPr>
          <w:rFonts w:ascii="仿宋_GB2312" w:eastAsia="仿宋_GB2312" w:hint="eastAsia"/>
          <w:color w:val="auto"/>
          <w:spacing w:val="-2"/>
          <w:sz w:val="32"/>
          <w:szCs w:val="32"/>
          <w:lang w:eastAsia="zh-CN"/>
        </w:rPr>
        <w:t>万元，较上年支出增加</w:t>
      </w:r>
      <w:r>
        <w:rPr>
          <w:rFonts w:ascii="仿宋_GB2312" w:eastAsia="仿宋_GB2312" w:hint="eastAsia"/>
          <w:color w:val="auto"/>
          <w:spacing w:val="-2"/>
          <w:sz w:val="32"/>
          <w:szCs w:val="32"/>
          <w:lang w:val="en-US" w:eastAsia="zh-CN"/>
        </w:rPr>
        <w:t xml:space="preserve"> 213.7</w:t>
      </w:r>
      <w:r>
        <w:rPr>
          <w:rFonts w:ascii="仿宋_GB2312" w:eastAsia="仿宋_GB2312" w:hint="eastAsia"/>
          <w:color w:val="auto"/>
          <w:spacing w:val="-2"/>
          <w:sz w:val="32"/>
          <w:szCs w:val="32"/>
          <w:lang w:eastAsia="zh-CN"/>
        </w:rPr>
        <w:t>万元。</w:t>
      </w:r>
      <w:r>
        <w:rPr>
          <w:rFonts w:ascii="仿宋_GB2312" w:eastAsia="仿宋_GB2312" w:hint="eastAsia"/>
          <w:color w:val="auto"/>
          <w:spacing w:val="-2"/>
          <w:sz w:val="32"/>
          <w:szCs w:val="32"/>
          <w:lang w:val="en-US" w:eastAsia="zh-CN"/>
        </w:rPr>
        <w:t>原因为本年保险增加，艰边补贴增加、项目增加。</w:t>
      </w:r>
    </w:p>
    <w:p>
      <w:pPr>
        <w:keepNext w:val="0"/>
        <w:keepLines w:val="0"/>
        <w:pageBreakBefore w:val="0"/>
        <w:widowControl w:val="0"/>
        <w:kinsoku/>
        <w:wordWrap/>
        <w:overflowPunct/>
        <w:topLinePunct w:val="0"/>
        <w:autoSpaceDE/>
        <w:autoSpaceDN/>
        <w:bidi w:val="0"/>
        <w:adjustRightInd/>
        <w:snapToGrid/>
        <w:ind w:firstLineChars="200" w:firstLine="420"/>
        <w:textAlignment w:val="auto"/>
        <w:rPr>
          <w:rFonts w:ascii="Times New Roman" w:eastAsia="仿宋_GB2312" w:cs="仿宋_GB2312" w:hAnsi="Times New Roman" w:hint="eastAsia"/>
          <w:color w:val="auto"/>
          <w:sz w:val="32"/>
          <w:szCs w:val="32"/>
          <w:highlight w:val="auto"/>
        </w:rPr>
      </w:pPr>
      <w:r>
        <w:rPr>
          <w:color w:val="auto"/>
        </w:rPr>
        <w:drawing>
          <wp:inline distT="0" distB="0" distL="114300" distR="114300">
            <wp:extent cx="4949825" cy="2700654"/>
            <wp:effectExtent l="0" t="0" r="0" b="0"/>
            <wp:docPr id="1" name="图表 4"/>
            <wp:cNvGraphicFramePr>
              <a:graphicFrameLocks noChangeAspect="0"/>
            </wp:cNvGraphicFramePr>
            <a:graphic>
              <a:graphicData uri="http://schemas.openxmlformats.org/drawingml/2006/chart">
                <c:chart xmlns:c="http://schemas.openxmlformats.org/drawingml/2006/chart" r:id="rId3"/>
              </a:graphicData>
            </a:graphic>
          </wp:inline>
        </w:drawing>
      </w:r>
    </w:p>
    <w:p>
      <w:pPr>
        <w:keepNext w:val="0"/>
        <w:keepLines w:val="0"/>
        <w:pageBreakBefore w:val="0"/>
        <w:widowControl w:val="0"/>
        <w:kinsoku/>
        <w:wordWrap/>
        <w:overflowPunct/>
        <w:topLinePunct w:val="0"/>
        <w:autoSpaceDE/>
        <w:autoSpaceDN/>
        <w:bidi w:val="0"/>
        <w:adjustRightInd/>
        <w:snapToGrid/>
        <w:ind w:firstLineChars="300" w:firstLine="960"/>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（图1：</w:t>
      </w:r>
      <w:r>
        <w:rPr>
          <w:rFonts w:ascii="Times New Roman" w:eastAsia="仿宋_GB2312" w:cs="仿宋_GB2312" w:hAnsi="Times New Roman" w:hint="eastAsia"/>
          <w:color w:val="auto"/>
          <w:sz w:val="32"/>
          <w:szCs w:val="32"/>
          <w:lang w:eastAsia="zh-CN"/>
          <w:highlight w:val="auto"/>
        </w:rPr>
        <w:t>收入</w:t>
      </w:r>
      <w:r>
        <w:rPr>
          <w:rFonts w:ascii="Times New Roman" w:eastAsia="仿宋_GB2312" w:cs="仿宋_GB2312" w:hAnsi="Times New Roman" w:hint="eastAsia"/>
          <w:color w:val="auto"/>
          <w:sz w:val="32"/>
          <w:szCs w:val="32"/>
          <w:highlight w:val="auto"/>
        </w:rPr>
        <w:t>、</w:t>
      </w:r>
      <w:r>
        <w:rPr>
          <w:rFonts w:ascii="Times New Roman" w:eastAsia="仿宋_GB2312" w:cs="仿宋_GB2312" w:hAnsi="Times New Roman" w:hint="eastAsia"/>
          <w:color w:val="auto"/>
          <w:sz w:val="32"/>
          <w:szCs w:val="32"/>
          <w:lang w:eastAsia="zh-CN"/>
          <w:highlight w:val="auto"/>
        </w:rPr>
        <w:t>支出</w:t>
      </w:r>
      <w:r>
        <w:rPr>
          <w:rFonts w:ascii="Times New Roman" w:eastAsia="仿宋_GB2312" w:cs="仿宋_GB2312" w:hAnsi="Times New Roman" w:hint="eastAsia"/>
          <w:color w:val="auto"/>
          <w:sz w:val="32"/>
          <w:szCs w:val="32"/>
          <w:highlight w:val="auto"/>
        </w:rPr>
        <w:t>决算总计变动情况图）（柱状图）</w:t>
      </w:r>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黑体" w:hAnsi="Times New Roman" w:hint="eastAsia"/>
          <w:color w:val="auto"/>
          <w:sz w:val="32"/>
          <w:szCs w:val="32"/>
          <w:lang w:eastAsia="zh-CN"/>
          <w:highlight w:val="auto"/>
        </w:rPr>
      </w:pPr>
      <w:bookmarkStart w:id="31" w:name="_Toc15377206"/>
      <w:bookmarkStart w:id="32" w:name="_Toc15396604"/>
      <w:r>
        <w:rPr>
          <w:rFonts w:ascii="Times New Roman" w:eastAsia="黑体" w:hAnsi="Times New Roman" w:hint="eastAsia"/>
          <w:color w:val="auto"/>
          <w:sz w:val="32"/>
          <w:szCs w:val="32"/>
          <w:lang w:eastAsia="zh-CN"/>
          <w:highlight w:val="auto"/>
        </w:rPr>
        <w:t>二、收入决算情况说明</w:t>
      </w:r>
      <w:bookmarkEnd w:id="31"/>
      <w:bookmarkEnd w:id="32"/>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color w:val="auto"/>
          <w:sz w:val="32"/>
          <w:szCs w:val="32"/>
          <w:lang w:eastAsia="zh-CN"/>
          <w:highlight w:val="auto"/>
        </w:rPr>
      </w:pPr>
      <w:r>
        <w:rPr>
          <w:rFonts w:ascii="仿宋_GB2312" w:eastAsia="仿宋_GB2312" w:cs="仿宋_GB2312" w:hint="eastAsia"/>
          <w:color w:val="auto"/>
          <w:sz w:val="32"/>
          <w:szCs w:val="32"/>
          <w:lang w:eastAsia="zh-CN"/>
          <w:highlight w:val="auto"/>
        </w:rPr>
        <w:t>2024年度本年收入合计</w:t>
      </w:r>
      <w:r>
        <w:rPr>
          <w:rFonts w:ascii="仿宋_GB2312" w:eastAsia="仿宋_GB2312" w:cs="仿宋_GB2312" w:hint="eastAsia"/>
          <w:color w:val="auto"/>
          <w:sz w:val="32"/>
          <w:szCs w:val="32"/>
        </w:rPr>
        <w:t>1652.12万元，其中：一般公共预算财政拨款收入1652.07</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99.99</w:t>
      </w:r>
      <w:r>
        <w:rPr>
          <w:rFonts w:ascii="仿宋_GB2312" w:eastAsia="仿宋_GB2312" w:cs="仿宋_GB2312" w:hint="eastAsia"/>
          <w:color w:val="auto"/>
          <w:sz w:val="32"/>
          <w:szCs w:val="32"/>
          <w:lang w:eastAsia="zh-CN"/>
          <w:highlight w:val="auto"/>
        </w:rPr>
        <w:t>%；政府性基金预算财政拨款收入</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%；国有资本经营预算财政拨款收入</w:t>
      </w:r>
      <w:r>
        <w:rPr>
          <w:rFonts w:ascii="仿宋_GB2312" w:eastAsia="仿宋_GB2312" w:cs="仿宋_GB2312" w:hint="eastAsia"/>
          <w:color w:val="auto"/>
          <w:sz w:val="32"/>
          <w:szCs w:val="32"/>
        </w:rPr>
        <w:t>0.05</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%；上级补助收入</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%；事业收入</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%；经营收入</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%；附属单上缴收入</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%；其他收入</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w:t>
      </w:r>
      <w:r>
        <w:rPr>
          <w:rFonts w:ascii="Times New Roman" w:eastAsia="仿宋_GB2312" w:cs="仿宋_GB2312" w:hAnsi="Times New Roman" w:hint="eastAsia"/>
          <w:b/>
          <w:bCs/>
          <w:color w:val="auto"/>
          <w:sz w:val="32"/>
          <w:szCs w:val="32"/>
          <w:lang w:eastAsia="zh-CN"/>
          <w:highlight w:val="auto"/>
        </w:rPr>
        <w:t>（注：仅罗列本部门涉及的收入）</w:t>
      </w:r>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420"/>
        <w:jc w:val="left"/>
        <w:textAlignment w:val="auto"/>
        <w:outlineLvl w:val="1"/>
        <w:rPr>
          <w:rFonts w:ascii="Times New Roman" w:eastAsia="仿宋_GB2312" w:cs="仿宋_GB2312" w:hAnsi="Times New Roman" w:hint="eastAsia"/>
          <w:color w:val="auto"/>
          <w:sz w:val="32"/>
          <w:szCs w:val="32"/>
          <w:lang w:eastAsia="zh-CN"/>
          <w:highlight w:val="auto"/>
        </w:rPr>
      </w:pPr>
      <w:r>
        <w:rPr>
          <w:color w:val="auto"/>
        </w:rPr>
        <w:drawing>
          <wp:anchor distT="0" distB="0" distL="114300" distR="114300" simplePos="0" relativeHeight="28" behindDoc="0" locked="0" layoutInCell="1" hidden="0" allowOverlap="1">
            <wp:simplePos x="0" y="0"/>
            <wp:positionH relativeFrom="column">
              <wp:posOffset>258445</wp:posOffset>
            </wp:positionH>
            <wp:positionV relativeFrom="paragraph">
              <wp:posOffset>189230</wp:posOffset>
            </wp:positionV>
            <wp:extent cx="4141470" cy="2562225"/>
            <wp:effectExtent l="0" t="0" r="0" b="0"/>
            <wp:wrapTight wrapText="bothSides">
              <wp:wrapPolygon>
                <wp:start x="-6" y="-69"/>
                <wp:lineTo x="-6" y="21529"/>
                <wp:lineTo x="21553" y="21529"/>
                <wp:lineTo x="21553" y="-69"/>
                <wp:lineTo x="-6" y="-69"/>
              </wp:wrapPolygon>
            </wp:wrapTight>
            <wp:docPr id="2" name="图表 2"/>
            <wp:cNvGraphicFramePr>
              <a:graphicFrameLocks noChangeAspect="0"/>
            </wp:cNvGraphicFramePr>
            <a:graphic>
              <a:graphicData uri="http://schemas.openxmlformats.org/drawingml/2006/chart">
                <c:chart xmlns:c="http://schemas.openxmlformats.org/drawingml/2006/chart" r:id="rId4"/>
              </a:graphicData>
            </a:graphic>
          </wp:anchor>
        </w:drawing>
      </w:r>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color w:val="auto"/>
          <w:sz w:val="32"/>
          <w:szCs w:val="32"/>
          <w:lang w:eastAsia="zh-CN"/>
          <w:highlight w:val="auto"/>
        </w:rPr>
      </w:pPr>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color w:val="auto"/>
          <w:sz w:val="32"/>
          <w:szCs w:val="32"/>
          <w:lang w:eastAsia="zh-CN"/>
          <w:highlight w:val="auto"/>
        </w:rPr>
      </w:pPr>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color w:val="auto"/>
          <w:sz w:val="32"/>
          <w:szCs w:val="32"/>
          <w:lang w:eastAsia="zh-CN"/>
          <w:highlight w:val="auto"/>
        </w:rPr>
      </w:pPr>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color w:val="auto"/>
          <w:sz w:val="32"/>
          <w:szCs w:val="32"/>
          <w:lang w:eastAsia="zh-CN"/>
          <w:highlight w:val="auto"/>
        </w:rPr>
      </w:pPr>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color w:val="auto"/>
          <w:sz w:val="32"/>
          <w:szCs w:val="32"/>
          <w:lang w:eastAsia="zh-CN"/>
          <w:highlight w:val="auto"/>
        </w:rPr>
      </w:pPr>
    </w:p>
    <w:p>
      <w:pPr>
        <w:pStyle w:val="35"/>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ascii="Times New Roman" w:eastAsia="仿宋_GB2312" w:cs="仿宋_GB2312" w:hAnsi="Times New Roman" w:hint="eastAsia"/>
          <w:color w:val="auto"/>
          <w:sz w:val="32"/>
          <w:szCs w:val="32"/>
          <w:lang w:eastAsia="zh-CN"/>
          <w:highlight w:val="auto"/>
        </w:rPr>
      </w:pPr>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color w:val="auto"/>
          <w:sz w:val="32"/>
          <w:szCs w:val="32"/>
          <w:lang w:eastAsia="zh-CN"/>
          <w:highlight w:val="auto"/>
        </w:rPr>
      </w:pPr>
      <w:r>
        <w:rPr>
          <w:rFonts w:ascii="Times New Roman" w:eastAsia="仿宋_GB2312" w:cs="仿宋_GB2312" w:hAnsi="Times New Roman" w:hint="eastAsia"/>
          <w:color w:val="auto"/>
          <w:sz w:val="32"/>
          <w:szCs w:val="32"/>
          <w:lang w:eastAsia="zh-CN"/>
          <w:highlight w:val="auto"/>
        </w:rPr>
        <w:t>（图2：收入决算结构图）（饼状图）</w:t>
      </w:r>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33" w:name="_Toc15396605"/>
      <w:bookmarkStart w:id="34" w:name="_Toc15377207"/>
      <w:r>
        <w:rPr>
          <w:rFonts w:ascii="Times New Roman" w:eastAsia="黑体" w:hAnsi="Times New Roman" w:hint="eastAsia"/>
          <w:color w:val="auto"/>
          <w:sz w:val="32"/>
          <w:szCs w:val="32"/>
          <w:lang w:eastAsia="zh-CN"/>
          <w:highlight w:val="auto"/>
        </w:rPr>
        <w:t>三、</w:t>
      </w:r>
      <w:r>
        <w:rPr>
          <w:rFonts w:ascii="Times New Roman" w:eastAsia="黑体" w:hAnsi="Times New Roman" w:hint="eastAsia"/>
          <w:color w:val="auto"/>
          <w:sz w:val="32"/>
          <w:szCs w:val="32"/>
          <w:highlight w:val="auto"/>
        </w:rPr>
        <w:t>支</w:t>
      </w:r>
      <w:r>
        <w:rPr>
          <w:rStyle w:val="2Char"/>
          <w:rFonts w:ascii="Times New Roman" w:eastAsia="黑体" w:hAnsi="Times New Roman" w:hint="eastAsia"/>
          <w:b w:val="0"/>
          <w:color w:val="auto"/>
          <w:highlight w:val="auto"/>
        </w:rPr>
        <w:t>出决算情况说明</w:t>
      </w:r>
      <w:bookmarkEnd w:id="33"/>
      <w:bookmarkEnd w:id="34"/>
    </w:p>
    <w:p>
      <w:pPr>
        <w:pStyle w:val="35"/>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color w:val="auto"/>
          <w:sz w:val="32"/>
          <w:szCs w:val="32"/>
          <w:lang w:eastAsia="zh-CN"/>
          <w:highlight w:val="auto"/>
        </w:rPr>
      </w:pPr>
      <w:r>
        <w:rPr>
          <w:rFonts w:ascii="仿宋_GB2312" w:eastAsia="仿宋_GB2312" w:cs="仿宋_GB2312" w:hint="eastAsia"/>
          <w:color w:val="auto"/>
          <w:sz w:val="32"/>
          <w:szCs w:val="32"/>
          <w:lang w:eastAsia="zh-CN"/>
          <w:highlight w:val="auto"/>
        </w:rPr>
        <w:t>2024年度本年支出合计</w:t>
      </w:r>
      <w:r>
        <w:rPr>
          <w:rFonts w:ascii="仿宋_GB2312" w:eastAsia="仿宋_GB2312" w:cs="仿宋_GB2312" w:hint="eastAsia"/>
          <w:color w:val="auto"/>
          <w:sz w:val="32"/>
          <w:szCs w:val="32"/>
        </w:rPr>
        <w:t>1652.12</w:t>
      </w:r>
      <w:r>
        <w:rPr>
          <w:rFonts w:ascii="仿宋_GB2312" w:eastAsia="仿宋_GB2312" w:cs="仿宋_GB2312" w:hint="eastAsia"/>
          <w:color w:val="auto"/>
          <w:sz w:val="32"/>
          <w:szCs w:val="32"/>
          <w:lang w:eastAsia="zh-CN"/>
          <w:highlight w:val="auto"/>
        </w:rPr>
        <w:t>万元，其中：基本支出</w:t>
      </w:r>
      <w:r>
        <w:rPr>
          <w:rFonts w:ascii="仿宋_GB2312" w:eastAsia="仿宋_GB2312" w:cs="仿宋_GB2312" w:hint="eastAsia"/>
          <w:color w:val="auto"/>
          <w:sz w:val="32"/>
          <w:szCs w:val="32"/>
        </w:rPr>
        <w:t>942.58</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57.05</w:t>
      </w:r>
      <w:r>
        <w:rPr>
          <w:rFonts w:ascii="仿宋_GB2312" w:eastAsia="仿宋_GB2312" w:cs="仿宋_GB2312" w:hint="eastAsia"/>
          <w:color w:val="auto"/>
          <w:sz w:val="32"/>
          <w:szCs w:val="32"/>
          <w:lang w:eastAsia="zh-CN"/>
          <w:highlight w:val="auto"/>
        </w:rPr>
        <w:t>%；项目支出</w:t>
      </w:r>
      <w:r>
        <w:rPr>
          <w:rFonts w:ascii="仿宋_GB2312" w:eastAsia="仿宋_GB2312" w:cs="仿宋_GB2312" w:hint="eastAsia"/>
          <w:color w:val="auto"/>
          <w:sz w:val="32"/>
          <w:szCs w:val="32"/>
        </w:rPr>
        <w:t>709.54</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42.94</w:t>
      </w:r>
      <w:r>
        <w:rPr>
          <w:rFonts w:ascii="仿宋_GB2312" w:eastAsia="仿宋_GB2312" w:cs="仿宋_GB2312" w:hint="eastAsia"/>
          <w:color w:val="auto"/>
          <w:sz w:val="32"/>
          <w:szCs w:val="32"/>
          <w:lang w:eastAsia="zh-CN"/>
          <w:highlight w:val="auto"/>
        </w:rPr>
        <w:t>%；上缴上级支出</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%；经营支出</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%；对附属单位补助支出</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color w:val="auto"/>
          <w:sz w:val="32"/>
          <w:szCs w:val="32"/>
        </w:rPr>
        <w:t>0%</w:t>
      </w:r>
      <w:r>
        <w:rPr>
          <w:rFonts w:ascii="仿宋_GB2312" w:eastAsia="仿宋_GB2312" w:cs="仿宋_GB2312" w:hint="eastAsia"/>
          <w:color w:val="auto"/>
          <w:sz w:val="32"/>
          <w:szCs w:val="32"/>
          <w:lang w:eastAsia="zh-CN"/>
          <w:highlight w:val="auto"/>
        </w:rPr>
        <w:t>%。</w:t>
      </w:r>
      <w:r>
        <w:rPr>
          <w:rFonts w:ascii="Times New Roman" w:eastAsia="仿宋_GB2312" w:cs="仿宋_GB2312" w:hAnsi="Times New Roman" w:hint="eastAsia"/>
          <w:b/>
          <w:bCs/>
          <w:color w:val="auto"/>
          <w:sz w:val="32"/>
          <w:szCs w:val="32"/>
          <w:lang w:eastAsia="zh-CN"/>
          <w:highlight w:val="auto"/>
        </w:rPr>
        <w:t>（注：仅罗列本部门涉及的支出）</w:t>
      </w:r>
    </w:p>
    <w:p>
      <w:pPr>
        <w:ind w:firstLineChars="250" w:firstLine="525"/>
        <w:rPr>
          <w:color w:val="auto"/>
        </w:rPr>
      </w:pPr>
      <w:r>
        <w:rPr>
          <w:color w:val="auto"/>
        </w:rPr>
        <w:drawing>
          <wp:inline distT="0" distB="0" distL="114300" distR="114300">
            <wp:extent cx="4660900" cy="2597785"/>
            <wp:effectExtent l="0" t="0" r="0" b="0"/>
            <wp:docPr id="3"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ind w:firstLineChars="250" w:firstLine="800"/>
        <w:rPr>
          <w:rFonts w:ascii="Times New Roman" w:eastAsia="仿宋_GB2312" w:cs="仿宋_GB2312" w:hAnsi="Times New Roman" w:hint="eastAsia"/>
          <w:color w:val="auto"/>
          <w:sz w:val="32"/>
          <w:szCs w:val="32"/>
          <w:lang w:eastAsia="zh-CN"/>
          <w:highlight w:val="auto"/>
        </w:rPr>
      </w:pPr>
      <w:r>
        <w:rPr>
          <w:rFonts w:ascii="Times New Roman" w:eastAsia="仿宋_GB2312" w:cs="仿宋_GB2312" w:hAnsi="Times New Roman" w:hint="eastAsia"/>
          <w:color w:val="auto"/>
          <w:sz w:val="32"/>
          <w:szCs w:val="32"/>
          <w:lang w:eastAsia="zh-CN"/>
          <w:highlight w:val="auto"/>
        </w:rPr>
        <w:t>（图3：支出决算结构图）（饼状图）</w:t>
      </w:r>
    </w:p>
    <w:p>
      <w:pPr>
        <w:spacing w:line="600" w:lineRule="exact"/>
        <w:ind w:firstLineChars="200" w:firstLine="640"/>
        <w:outlineLvl w:val="1"/>
        <w:rPr>
          <w:rStyle w:val="2Char"/>
          <w:rFonts w:ascii="Times New Roman" w:eastAsia="黑体" w:hAnsi="Times New Roman"/>
          <w:b w:val="0"/>
          <w:color w:val="auto"/>
          <w:highlight w:val="auto"/>
        </w:rPr>
      </w:pPr>
      <w:bookmarkStart w:id="35" w:name="_Toc15377208"/>
      <w:bookmarkStart w:id="36" w:name="_Toc15396606"/>
      <w:r>
        <w:rPr>
          <w:rFonts w:ascii="Times New Roman" w:eastAsia="黑体" w:hAnsi="Times New Roman" w:hint="eastAsia"/>
          <w:color w:val="auto"/>
          <w:sz w:val="32"/>
          <w:szCs w:val="32"/>
          <w:highlight w:val="auto"/>
        </w:rPr>
        <w:t>四、财</w:t>
      </w:r>
      <w:r>
        <w:rPr>
          <w:rStyle w:val="2Char"/>
          <w:rFonts w:ascii="Times New Roman" w:eastAsia="黑体" w:hAnsi="Times New Roman" w:hint="eastAsia"/>
          <w:b w:val="0"/>
          <w:color w:val="auto"/>
          <w:highlight w:val="auto"/>
        </w:rPr>
        <w:t>政拨款收入支出决算总体情况说明</w:t>
      </w:r>
      <w:bookmarkEnd w:id="35"/>
      <w:bookmarkEnd w:id="36"/>
    </w:p>
    <w:p>
      <w:pPr>
        <w:snapToGrid w:val="0"/>
        <w:spacing w:line="520" w:lineRule="exact"/>
        <w:ind w:firstLineChars="200" w:firstLine="632"/>
        <w:rPr>
          <w:rFonts w:ascii="仿宋_GB2312" w:eastAsia="仿宋_GB2312"/>
          <w:color w:val="auto"/>
          <w:spacing w:val="-2"/>
          <w:sz w:val="32"/>
          <w:szCs w:val="32"/>
          <w:lang w:val="en-US" w:eastAsia="zh-CN"/>
        </w:rPr>
      </w:pPr>
      <w:r>
        <w:rPr>
          <w:rFonts w:ascii="仿宋_GB2312" w:eastAsia="仿宋_GB2312" w:hint="eastAsia"/>
          <w:color w:val="auto"/>
          <w:spacing w:val="-2"/>
          <w:sz w:val="32"/>
          <w:szCs w:val="32"/>
          <w:lang w:eastAsia="zh-CN"/>
        </w:rPr>
        <w:t>2024年财政拨款收入</w:t>
      </w:r>
      <w:r>
        <w:rPr>
          <w:rFonts w:ascii="仿宋_GB2312" w:eastAsia="仿宋_GB2312" w:hint="eastAsia"/>
          <w:color w:val="auto"/>
          <w:spacing w:val="-2"/>
          <w:sz w:val="32"/>
          <w:szCs w:val="32"/>
          <w:lang w:val="en-US" w:eastAsia="zh-CN"/>
        </w:rPr>
        <w:t>1652.12</w:t>
      </w:r>
      <w:r>
        <w:rPr>
          <w:rFonts w:ascii="仿宋_GB2312" w:eastAsia="仿宋_GB2312" w:hint="eastAsia"/>
          <w:color w:val="auto"/>
          <w:spacing w:val="-2"/>
          <w:sz w:val="32"/>
          <w:szCs w:val="32"/>
          <w:lang w:eastAsia="zh-CN"/>
        </w:rPr>
        <w:t>万元。与</w:t>
      </w:r>
      <w:r>
        <w:rPr>
          <w:rFonts w:ascii="仿宋_GB2312" w:eastAsia="仿宋_GB2312" w:hint="eastAsia"/>
          <w:color w:val="auto"/>
          <w:spacing w:val="-2"/>
          <w:sz w:val="32"/>
          <w:szCs w:val="32"/>
          <w:lang w:val="en-US" w:eastAsia="zh-CN"/>
        </w:rPr>
        <w:t>2023</w:t>
      </w:r>
      <w:r>
        <w:rPr>
          <w:rFonts w:ascii="仿宋_GB2312" w:eastAsia="仿宋_GB2312" w:hint="eastAsia"/>
          <w:color w:val="auto"/>
          <w:spacing w:val="-2"/>
          <w:sz w:val="32"/>
          <w:szCs w:val="32"/>
          <w:lang w:eastAsia="zh-CN"/>
        </w:rPr>
        <w:t>年相比，一般公共预算财政拨款收入较上年收入增加</w:t>
      </w:r>
      <w:r>
        <w:rPr>
          <w:rFonts w:ascii="仿宋_GB2312" w:eastAsia="仿宋_GB2312" w:hint="eastAsia"/>
          <w:color w:val="auto"/>
          <w:spacing w:val="-2"/>
          <w:sz w:val="32"/>
          <w:szCs w:val="32"/>
          <w:lang w:val="en-US" w:eastAsia="zh-CN"/>
        </w:rPr>
        <w:t xml:space="preserve"> 213.7</w:t>
      </w:r>
      <w:r>
        <w:rPr>
          <w:rFonts w:ascii="仿宋_GB2312" w:eastAsia="仿宋_GB2312" w:hint="eastAsia"/>
          <w:color w:val="auto"/>
          <w:spacing w:val="-2"/>
          <w:sz w:val="32"/>
          <w:szCs w:val="32"/>
          <w:lang w:eastAsia="zh-CN"/>
        </w:rPr>
        <w:t>万元，</w:t>
      </w:r>
      <w:r>
        <w:rPr>
          <w:rFonts w:ascii="仿宋_GB2312" w:eastAsia="仿宋_GB2312" w:hint="eastAsia"/>
          <w:color w:val="auto"/>
          <w:spacing w:val="-2"/>
          <w:sz w:val="32"/>
          <w:szCs w:val="32"/>
          <w:lang w:val="en-US" w:eastAsia="zh-CN"/>
        </w:rPr>
        <w:t>原因为本年保险增加，艰边补贴增加、项目增加。</w:t>
      </w:r>
    </w:p>
    <w:p>
      <w:pPr>
        <w:snapToGrid w:val="0"/>
        <w:spacing w:line="520" w:lineRule="exact"/>
        <w:ind w:firstLineChars="200" w:firstLine="632"/>
        <w:rPr>
          <w:rFonts w:ascii="仿宋_GB2312" w:eastAsia="仿宋_GB2312" w:hint="eastAsia"/>
          <w:color w:val="auto"/>
          <w:spacing w:val="-2"/>
          <w:sz w:val="32"/>
          <w:szCs w:val="32"/>
          <w:lang w:eastAsia="zh-CN"/>
        </w:rPr>
      </w:pPr>
      <w:r>
        <w:rPr>
          <w:rFonts w:ascii="仿宋_GB2312" w:eastAsia="仿宋_GB2312" w:hint="eastAsia"/>
          <w:color w:val="auto"/>
          <w:spacing w:val="-2"/>
          <w:sz w:val="32"/>
          <w:szCs w:val="32"/>
          <w:lang w:eastAsia="zh-CN"/>
        </w:rPr>
        <w:t>2024年财政拨款</w:t>
      </w:r>
      <w:r>
        <w:rPr>
          <w:rFonts w:ascii="仿宋_GB2312" w:eastAsia="仿宋_GB2312" w:hint="eastAsia"/>
          <w:color w:val="auto"/>
          <w:spacing w:val="-2"/>
          <w:sz w:val="32"/>
          <w:szCs w:val="32"/>
          <w:lang w:val="en-US" w:eastAsia="zh-CN"/>
        </w:rPr>
        <w:t>支出1652.12</w:t>
      </w:r>
      <w:r>
        <w:rPr>
          <w:rFonts w:ascii="仿宋_GB2312" w:eastAsia="仿宋_GB2312" w:hint="eastAsia"/>
          <w:color w:val="auto"/>
          <w:spacing w:val="-2"/>
          <w:sz w:val="32"/>
          <w:szCs w:val="32"/>
          <w:lang w:eastAsia="zh-CN"/>
        </w:rPr>
        <w:t>万元，较上年支出增加</w:t>
      </w:r>
      <w:r>
        <w:rPr>
          <w:rFonts w:ascii="仿宋_GB2312" w:eastAsia="仿宋_GB2312" w:hint="eastAsia"/>
          <w:color w:val="auto"/>
          <w:spacing w:val="-2"/>
          <w:sz w:val="32"/>
          <w:szCs w:val="32"/>
          <w:lang w:val="en-US" w:eastAsia="zh-CN"/>
        </w:rPr>
        <w:t xml:space="preserve"> 213.7</w:t>
      </w:r>
      <w:r>
        <w:rPr>
          <w:rFonts w:ascii="仿宋_GB2312" w:eastAsia="仿宋_GB2312" w:hint="eastAsia"/>
          <w:color w:val="auto"/>
          <w:spacing w:val="-2"/>
          <w:sz w:val="32"/>
          <w:szCs w:val="32"/>
          <w:lang w:eastAsia="zh-CN"/>
        </w:rPr>
        <w:t>万元。</w:t>
      </w:r>
      <w:r>
        <w:rPr>
          <w:rFonts w:ascii="仿宋_GB2312" w:eastAsia="仿宋_GB2312" w:hint="eastAsia"/>
          <w:color w:val="auto"/>
          <w:spacing w:val="-2"/>
          <w:sz w:val="32"/>
          <w:szCs w:val="32"/>
          <w:lang w:val="en-US" w:eastAsia="zh-CN"/>
        </w:rPr>
        <w:t>原因为本年保险增加，艰边补贴增加、项目增加。</w:t>
      </w:r>
    </w:p>
    <w:p>
      <w:pPr>
        <w:spacing w:line="600" w:lineRule="exact"/>
        <w:ind w:firstLineChars="200" w:firstLine="420"/>
        <w:rPr>
          <w:rFonts w:ascii="Times New Roman" w:eastAsia="仿宋_GB2312" w:cs="仿宋_GB2312" w:hAnsi="Times New Roman" w:hint="eastAsia"/>
          <w:color w:val="auto"/>
          <w:kern w:val="2"/>
          <w:sz w:val="32"/>
          <w:szCs w:val="32"/>
          <w:lang w:val="en-US" w:eastAsia="zh-CN" w:bidi="ar-SA"/>
          <w:highlight w:val="auto"/>
        </w:rPr>
      </w:pPr>
      <w:r>
        <w:rPr>
          <w:color w:val="auto"/>
        </w:rPr>
        <w:drawing>
          <wp:anchor distT="0" distB="0" distL="114300" distR="114300" simplePos="0" relativeHeight="30" behindDoc="0" locked="0" layoutInCell="1" hidden="0" allowOverlap="1">
            <wp:simplePos x="0" y="0"/>
            <wp:positionH relativeFrom="column">
              <wp:posOffset>565150</wp:posOffset>
            </wp:positionH>
            <wp:positionV relativeFrom="paragraph">
              <wp:posOffset>119379</wp:posOffset>
            </wp:positionV>
            <wp:extent cx="4911090" cy="3627120"/>
            <wp:effectExtent l="0" t="0" r="0" b="0"/>
            <wp:wrapTight wrapText="bothSides">
              <wp:wrapPolygon>
                <wp:start x="-14" y="-38"/>
                <wp:lineTo x="-14" y="21572"/>
                <wp:lineTo x="21560" y="21572"/>
                <wp:lineTo x="21560" y="-38"/>
                <wp:lineTo x="-14" y="-38"/>
              </wp:wrapPolygon>
            </wp:wrapTight>
            <wp:docPr id="4" name="图表 4"/>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Times New Roman" w:eastAsia="仿宋_GB2312" w:cs="仿宋_GB2312" w:hAnsi="Times New Roman" w:hint="eastAsia"/>
          <w:color w:val="auto"/>
          <w:kern w:val="2"/>
          <w:sz w:val="32"/>
          <w:szCs w:val="32"/>
          <w:lang w:val="en-US" w:eastAsia="zh-CN" w:bidi="ar-SA"/>
          <w:highlight w:val="auto"/>
        </w:rPr>
        <w:t>（图4：财政拨款收、支决算总计变动情况）（柱状图）</w:t>
      </w:r>
    </w:p>
    <w:p>
      <w:pPr>
        <w:spacing w:line="600" w:lineRule="exact"/>
        <w:ind w:firstLineChars="200" w:firstLine="640"/>
        <w:outlineLvl w:val="1"/>
        <w:rPr>
          <w:rStyle w:val="2Char"/>
          <w:rFonts w:ascii="Times New Roman" w:eastAsia="黑体" w:hAnsi="Times New Roman"/>
          <w:b w:val="0"/>
          <w:color w:val="auto"/>
          <w:highlight w:val="auto"/>
        </w:rPr>
      </w:pPr>
      <w:bookmarkStart w:id="37" w:name="_Toc15396607"/>
      <w:bookmarkStart w:id="38" w:name="_Toc15377209"/>
      <w:r>
        <w:rPr>
          <w:rFonts w:ascii="Times New Roman" w:eastAsia="黑体" w:hAnsi="Times New Roman" w:hint="eastAsia"/>
          <w:color w:val="auto"/>
          <w:sz w:val="32"/>
          <w:szCs w:val="32"/>
          <w:highlight w:val="auto"/>
        </w:rPr>
        <w:t>五、</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般公共预算财政拨款支出决算情况说明</w:t>
      </w:r>
      <w:bookmarkEnd w:id="37"/>
      <w:bookmarkEnd w:id="38"/>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39" w:name="_Toc15377210"/>
      <w:r>
        <w:rPr>
          <w:rFonts w:ascii="Times New Roman" w:eastAsia="楷体_GB2312" w:cs="楷体_GB2312" w:hAnsi="Times New Roman" w:hint="eastAsia"/>
          <w:b/>
          <w:color w:val="auto"/>
          <w:sz w:val="32"/>
          <w:szCs w:val="32"/>
          <w:highlight w:val="auto"/>
        </w:rPr>
        <w:t>（一）一般公共预算财政拨款支出决算总体情况</w:t>
      </w:r>
      <w:bookmarkEnd w:id="39"/>
    </w:p>
    <w:p>
      <w:pPr>
        <w:spacing w:line="600" w:lineRule="exact"/>
        <w:ind w:firstLineChars="200" w:firstLine="640"/>
        <w:outlineLvl w:val="2"/>
        <w:rPr>
          <w:rFonts w:ascii="仿宋" w:eastAsia="仿宋"/>
          <w:b/>
          <w:color w:val="auto"/>
          <w:sz w:val="32"/>
          <w:szCs w:val="32"/>
        </w:rPr>
      </w:pPr>
      <w:r>
        <w:rPr>
          <w:rFonts w:ascii="仿宋" w:eastAsia="仿宋" w:hint="eastAsia"/>
          <w:b/>
          <w:color w:val="auto"/>
          <w:sz w:val="32"/>
          <w:szCs w:val="32"/>
        </w:rPr>
        <w:t>（一）一般公共预算财政拨款支出决算总体情况</w:t>
      </w:r>
    </w:p>
    <w:p>
      <w:pPr>
        <w:snapToGrid w:val="0"/>
        <w:spacing w:line="520" w:lineRule="exact"/>
        <w:ind w:firstLineChars="200" w:firstLine="632"/>
        <w:rPr>
          <w:rFonts w:ascii="仿宋_GB2312" w:eastAsia="仿宋_GB2312" w:hint="eastAsia"/>
          <w:color w:val="auto"/>
          <w:spacing w:val="-2"/>
          <w:sz w:val="32"/>
          <w:szCs w:val="32"/>
          <w:lang w:val="en-US" w:eastAsia="zh-CN"/>
        </w:rPr>
      </w:pPr>
      <w:r>
        <w:rPr>
          <w:rFonts w:ascii="仿宋_GB2312" w:eastAsia="仿宋_GB2312" w:hint="eastAsia"/>
          <w:color w:val="auto"/>
          <w:spacing w:val="-2"/>
          <w:sz w:val="32"/>
          <w:szCs w:val="32"/>
          <w:lang w:eastAsia="zh-CN"/>
        </w:rPr>
        <w:t>2024年一般公共预算财政拨款支出</w:t>
      </w:r>
      <w:r>
        <w:rPr>
          <w:rFonts w:ascii="仿宋_GB2312" w:eastAsia="仿宋_GB2312" w:hint="eastAsia"/>
          <w:color w:val="auto"/>
          <w:spacing w:val="-2"/>
          <w:sz w:val="32"/>
          <w:szCs w:val="32"/>
          <w:lang w:val="en-US" w:eastAsia="zh-CN"/>
        </w:rPr>
        <w:t>1652.12</w:t>
      </w:r>
      <w:r>
        <w:rPr>
          <w:rFonts w:ascii="仿宋_GB2312" w:eastAsia="仿宋_GB2312" w:hint="eastAsia"/>
          <w:color w:val="auto"/>
          <w:spacing w:val="-2"/>
          <w:sz w:val="32"/>
          <w:szCs w:val="32"/>
          <w:lang w:eastAsia="zh-CN"/>
        </w:rPr>
        <w:t>万元，占本年总支出的100%。与</w:t>
      </w:r>
      <w:r>
        <w:rPr>
          <w:rFonts w:ascii="仿宋_GB2312" w:eastAsia="仿宋_GB2312" w:hint="eastAsia"/>
          <w:color w:val="auto"/>
          <w:spacing w:val="-2"/>
          <w:sz w:val="32"/>
          <w:szCs w:val="32"/>
          <w:lang w:val="en-US" w:eastAsia="zh-CN"/>
        </w:rPr>
        <w:t>2023</w:t>
      </w:r>
      <w:r>
        <w:rPr>
          <w:rFonts w:ascii="仿宋_GB2312" w:eastAsia="仿宋_GB2312" w:hint="eastAsia"/>
          <w:color w:val="auto"/>
          <w:spacing w:val="-2"/>
          <w:sz w:val="32"/>
          <w:szCs w:val="32"/>
          <w:lang w:eastAsia="zh-CN"/>
        </w:rPr>
        <w:t>年相比，一般公共预算财政拨款支出较上年支出增加</w:t>
      </w:r>
      <w:r>
        <w:rPr>
          <w:rFonts w:ascii="仿宋_GB2312" w:eastAsia="仿宋_GB2312" w:hint="eastAsia"/>
          <w:color w:val="auto"/>
          <w:spacing w:val="-2"/>
          <w:sz w:val="32"/>
          <w:szCs w:val="32"/>
          <w:lang w:val="en-US" w:eastAsia="zh-CN"/>
        </w:rPr>
        <w:t>213.65</w:t>
      </w:r>
      <w:r>
        <w:rPr>
          <w:rFonts w:ascii="仿宋_GB2312" w:eastAsia="仿宋_GB2312" w:hint="eastAsia"/>
          <w:color w:val="auto"/>
          <w:spacing w:val="-2"/>
          <w:sz w:val="32"/>
          <w:szCs w:val="32"/>
          <w:lang w:eastAsia="zh-CN"/>
        </w:rPr>
        <w:t>万元，</w:t>
      </w:r>
      <w:r>
        <w:rPr>
          <w:rFonts w:ascii="仿宋_GB2312" w:eastAsia="仿宋_GB2312" w:hint="eastAsia"/>
          <w:color w:val="auto"/>
          <w:spacing w:val="-2"/>
          <w:sz w:val="32"/>
          <w:szCs w:val="32"/>
          <w:lang w:val="en-US" w:eastAsia="zh-CN"/>
        </w:rPr>
        <w:t>增加12.93</w:t>
      </w:r>
      <w:r>
        <w:rPr>
          <w:rFonts w:ascii="仿宋_GB2312" w:eastAsia="仿宋_GB2312" w:hint="eastAsia"/>
          <w:color w:val="auto"/>
          <w:spacing w:val="-2"/>
          <w:sz w:val="32"/>
          <w:szCs w:val="32"/>
          <w:lang w:eastAsia="zh-CN"/>
        </w:rPr>
        <w:t>%。</w:t>
      </w:r>
      <w:r>
        <w:rPr>
          <w:rFonts w:ascii="仿宋_GB2312" w:eastAsia="仿宋_GB2312" w:hint="eastAsia"/>
          <w:color w:val="auto"/>
          <w:spacing w:val="-2"/>
          <w:sz w:val="32"/>
          <w:szCs w:val="32"/>
          <w:lang w:val="en-US" w:eastAsia="zh-CN"/>
        </w:rPr>
        <w:t>原因为本年保险增加，艰边补贴增加、项目增加。</w:t>
      </w:r>
    </w:p>
    <w:p>
      <w:pPr>
        <w:pStyle w:val="15"/>
        <w:rPr>
          <w:rFonts w:hint="eastAsia"/>
          <w:color w:val="auto"/>
          <w:lang w:eastAsia="zh-CN"/>
        </w:rPr>
      </w:pPr>
      <w:r>
        <w:rPr>
          <w:color w:val="auto"/>
        </w:rPr>
        <w:drawing>
          <wp:inline distT="0" distB="0" distL="114300" distR="114300">
            <wp:extent cx="4381500" cy="2820034"/>
            <wp:effectExtent l="0" t="0" r="0" b="0"/>
            <wp:docPr id="5" name="图表 7"/>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（图5：一般公共预算财政拨款支出决算变动情况）（柱状图）</w:t>
      </w:r>
    </w:p>
    <w:p>
      <w:pPr>
        <w:spacing w:line="600" w:lineRule="exact"/>
        <w:ind w:firstLineChars="100" w:firstLine="320"/>
        <w:outlineLvl w:val="2"/>
        <w:rPr>
          <w:rFonts w:ascii="Times New Roman" w:eastAsia="楷体_GB2312" w:cs="楷体_GB2312" w:hAnsi="Times New Roman" w:hint="eastAsia"/>
          <w:b/>
          <w:color w:val="auto"/>
          <w:sz w:val="32"/>
          <w:szCs w:val="32"/>
          <w:highlight w:val="auto"/>
        </w:rPr>
      </w:pPr>
      <w:bookmarkStart w:id="40" w:name="_Toc15377211"/>
      <w:r>
        <w:rPr>
          <w:rFonts w:ascii="Times New Roman" w:eastAsia="楷体_GB2312" w:cs="楷体_GB2312" w:hAnsi="Times New Roman" w:hint="eastAsia"/>
          <w:b/>
          <w:color w:val="auto"/>
          <w:sz w:val="32"/>
          <w:szCs w:val="32"/>
          <w:highlight w:val="auto"/>
        </w:rPr>
        <w:t>（二）一般公共预算财政拨款支出决算结构情况</w:t>
      </w:r>
      <w:bookmarkEnd w:id="40"/>
    </w:p>
    <w:p>
      <w:pPr>
        <w:spacing w:line="600" w:lineRule="exact"/>
        <w:ind w:firstLineChars="200" w:firstLine="632"/>
        <w:outlineLvl w:val="2"/>
        <w:rPr>
          <w:rFonts w:ascii="仿宋_GB2312" w:eastAsia="仿宋_GB2312" w:hint="eastAsia"/>
          <w:color w:val="auto"/>
          <w:spacing w:val="-2"/>
          <w:sz w:val="32"/>
          <w:szCs w:val="32"/>
          <w:lang w:eastAsia="zh-CN"/>
        </w:rPr>
      </w:pPr>
      <w:r>
        <w:rPr>
          <w:rFonts w:ascii="仿宋_GB2312" w:eastAsia="仿宋_GB2312" w:hint="eastAsia"/>
          <w:color w:val="auto"/>
          <w:spacing w:val="-2"/>
          <w:sz w:val="32"/>
          <w:szCs w:val="32"/>
          <w:lang w:eastAsia="zh-CN"/>
        </w:rPr>
        <w:t>2024年一般公共预算财政拨款支出为</w:t>
      </w:r>
      <w:r>
        <w:rPr>
          <w:rFonts w:ascii="仿宋_GB2312" w:eastAsia="仿宋_GB2312" w:hint="eastAsia"/>
          <w:color w:val="auto"/>
          <w:spacing w:val="-2"/>
          <w:sz w:val="32"/>
          <w:szCs w:val="32"/>
          <w:lang w:val="en-US" w:eastAsia="zh-CN"/>
        </w:rPr>
        <w:t>1652.12</w:t>
      </w:r>
      <w:r>
        <w:rPr>
          <w:rFonts w:ascii="仿宋_GB2312" w:eastAsia="仿宋_GB2312" w:hint="eastAsia"/>
          <w:color w:val="auto"/>
          <w:spacing w:val="-2"/>
          <w:sz w:val="32"/>
          <w:szCs w:val="32"/>
          <w:lang w:eastAsia="zh-CN"/>
        </w:rPr>
        <w:t>万元。其中：一般公共服务支出为</w:t>
      </w:r>
      <w:r>
        <w:rPr>
          <w:rFonts w:ascii="仿宋_GB2312" w:eastAsia="仿宋_GB2312" w:hint="eastAsia"/>
          <w:color w:val="auto"/>
          <w:spacing w:val="-2"/>
          <w:sz w:val="32"/>
          <w:szCs w:val="32"/>
          <w:lang w:val="en-US" w:eastAsia="zh-CN"/>
        </w:rPr>
        <w:t>480.56</w:t>
      </w:r>
      <w:r>
        <w:rPr>
          <w:rFonts w:ascii="仿宋_GB2312" w:eastAsia="仿宋_GB2312" w:hint="eastAsia"/>
          <w:color w:val="auto"/>
          <w:spacing w:val="-2"/>
          <w:sz w:val="32"/>
          <w:szCs w:val="32"/>
          <w:lang w:eastAsia="zh-CN"/>
        </w:rPr>
        <w:t>万元，占比</w:t>
      </w:r>
      <w:r>
        <w:rPr>
          <w:rFonts w:ascii="仿宋_GB2312" w:eastAsia="仿宋_GB2312" w:hint="eastAsia"/>
          <w:color w:val="auto"/>
          <w:spacing w:val="-2"/>
          <w:sz w:val="32"/>
          <w:szCs w:val="32"/>
          <w:lang w:val="en-US" w:eastAsia="zh-CN"/>
        </w:rPr>
        <w:t>29</w:t>
      </w:r>
      <w:r>
        <w:rPr>
          <w:rFonts w:ascii="仿宋_GB2312" w:eastAsia="仿宋_GB2312" w:hint="eastAsia"/>
          <w:color w:val="auto"/>
          <w:spacing w:val="-2"/>
          <w:sz w:val="32"/>
          <w:szCs w:val="32"/>
          <w:lang w:eastAsia="zh-CN"/>
        </w:rPr>
        <w:t>%；社会保障和就业支出为</w:t>
      </w:r>
      <w:r>
        <w:rPr>
          <w:rFonts w:ascii="仿宋_GB2312" w:eastAsia="仿宋_GB2312" w:hint="eastAsia"/>
          <w:color w:val="auto"/>
          <w:spacing w:val="-2"/>
          <w:sz w:val="32"/>
          <w:szCs w:val="32"/>
          <w:lang w:val="en-US" w:eastAsia="zh-CN"/>
        </w:rPr>
        <w:t>135.53</w:t>
      </w:r>
      <w:r>
        <w:rPr>
          <w:rFonts w:ascii="仿宋_GB2312" w:eastAsia="仿宋_GB2312" w:hint="eastAsia"/>
          <w:color w:val="auto"/>
          <w:spacing w:val="-2"/>
          <w:sz w:val="32"/>
          <w:szCs w:val="32"/>
          <w:lang w:eastAsia="zh-CN"/>
        </w:rPr>
        <w:t>万元，占比</w:t>
      </w:r>
      <w:r>
        <w:rPr>
          <w:rFonts w:ascii="仿宋_GB2312" w:eastAsia="仿宋_GB2312" w:hint="eastAsia"/>
          <w:color w:val="auto"/>
          <w:spacing w:val="-2"/>
          <w:sz w:val="32"/>
          <w:szCs w:val="32"/>
          <w:lang w:val="en-US" w:eastAsia="zh-CN"/>
        </w:rPr>
        <w:t>8</w:t>
      </w:r>
      <w:r>
        <w:rPr>
          <w:rFonts w:ascii="仿宋_GB2312" w:eastAsia="仿宋_GB2312" w:hint="eastAsia"/>
          <w:color w:val="auto"/>
          <w:spacing w:val="-2"/>
          <w:sz w:val="32"/>
          <w:szCs w:val="32"/>
          <w:lang w:eastAsia="zh-CN"/>
        </w:rPr>
        <w:t>%；卫生健康支出为</w:t>
      </w:r>
      <w:r>
        <w:rPr>
          <w:rFonts w:ascii="仿宋_GB2312" w:eastAsia="仿宋_GB2312" w:hint="eastAsia"/>
          <w:color w:val="auto"/>
          <w:spacing w:val="-2"/>
          <w:sz w:val="32"/>
          <w:szCs w:val="32"/>
          <w:lang w:val="en-US" w:eastAsia="zh-CN"/>
        </w:rPr>
        <w:t>54.66</w:t>
      </w:r>
      <w:r>
        <w:rPr>
          <w:rFonts w:ascii="仿宋_GB2312" w:eastAsia="仿宋_GB2312" w:hint="eastAsia"/>
          <w:color w:val="auto"/>
          <w:spacing w:val="-2"/>
          <w:sz w:val="32"/>
          <w:szCs w:val="32"/>
          <w:lang w:eastAsia="zh-CN"/>
        </w:rPr>
        <w:t>万元，占比</w:t>
      </w:r>
      <w:r>
        <w:rPr>
          <w:rFonts w:ascii="仿宋_GB2312" w:eastAsia="仿宋_GB2312" w:hint="eastAsia"/>
          <w:color w:val="auto"/>
          <w:spacing w:val="-2"/>
          <w:sz w:val="32"/>
          <w:szCs w:val="32"/>
          <w:lang w:val="en-US" w:eastAsia="zh-CN"/>
        </w:rPr>
        <w:t>3</w:t>
      </w:r>
      <w:r>
        <w:rPr>
          <w:rFonts w:ascii="仿宋_GB2312" w:eastAsia="仿宋_GB2312" w:hint="eastAsia"/>
          <w:color w:val="auto"/>
          <w:spacing w:val="-2"/>
          <w:sz w:val="32"/>
          <w:szCs w:val="32"/>
          <w:lang w:eastAsia="zh-CN"/>
        </w:rPr>
        <w:t>%；</w:t>
      </w:r>
      <w:r>
        <w:rPr>
          <w:rFonts w:ascii="仿宋_GB2312" w:eastAsia="仿宋_GB2312" w:hint="eastAsia"/>
          <w:color w:val="auto"/>
          <w:spacing w:val="-2"/>
          <w:sz w:val="32"/>
          <w:szCs w:val="32"/>
          <w:lang w:val="en-US" w:eastAsia="zh-CN"/>
        </w:rPr>
        <w:t>节能环保支出76.1万元，占比5%；城乡社区支出15万元，占比1%；农林水支出811.45万元，占比49%；</w:t>
      </w:r>
      <w:r>
        <w:rPr>
          <w:rFonts w:ascii="仿宋_GB2312" w:eastAsia="仿宋_GB2312" w:hint="eastAsia"/>
          <w:color w:val="auto"/>
          <w:spacing w:val="-2"/>
          <w:sz w:val="32"/>
          <w:szCs w:val="32"/>
          <w:lang w:eastAsia="zh-CN"/>
        </w:rPr>
        <w:t>住房保障支出为</w:t>
      </w:r>
      <w:r>
        <w:rPr>
          <w:rFonts w:ascii="仿宋_GB2312" w:eastAsia="仿宋_GB2312" w:hint="eastAsia"/>
          <w:color w:val="auto"/>
          <w:spacing w:val="-2"/>
          <w:sz w:val="32"/>
          <w:szCs w:val="32"/>
          <w:lang w:val="en-US" w:eastAsia="zh-CN"/>
        </w:rPr>
        <w:t>78.77</w:t>
      </w:r>
      <w:r>
        <w:rPr>
          <w:rFonts w:ascii="仿宋_GB2312" w:eastAsia="仿宋_GB2312" w:hint="eastAsia"/>
          <w:color w:val="auto"/>
          <w:spacing w:val="-2"/>
          <w:sz w:val="32"/>
          <w:szCs w:val="32"/>
          <w:lang w:eastAsia="zh-CN"/>
        </w:rPr>
        <w:t>万元，占比</w:t>
      </w:r>
      <w:r>
        <w:rPr>
          <w:rFonts w:ascii="仿宋_GB2312" w:eastAsia="仿宋_GB2312" w:hint="eastAsia"/>
          <w:color w:val="auto"/>
          <w:spacing w:val="-2"/>
          <w:sz w:val="32"/>
          <w:szCs w:val="32"/>
          <w:lang w:val="en-US" w:eastAsia="zh-CN"/>
        </w:rPr>
        <w:t>5</w:t>
      </w:r>
      <w:r>
        <w:rPr>
          <w:rFonts w:ascii="仿宋_GB2312" w:eastAsia="仿宋_GB2312" w:hint="eastAsia"/>
          <w:color w:val="auto"/>
          <w:spacing w:val="-2"/>
          <w:sz w:val="32"/>
          <w:szCs w:val="32"/>
          <w:lang w:eastAsia="zh-CN"/>
        </w:rPr>
        <w:t>%。</w:t>
      </w:r>
    </w:p>
    <w:p>
      <w:pPr>
        <w:pStyle w:val="15"/>
        <w:rPr>
          <w:color w:val="auto"/>
          <w:lang w:val="en-US" w:eastAsia="zh-CN"/>
        </w:rPr>
      </w:pPr>
      <w:r>
        <w:rPr>
          <w:color w:val="auto"/>
        </w:rPr>
        <w:drawing>
          <wp:inline distT="0" distB="0" distL="114300" distR="114300">
            <wp:extent cx="5113020" cy="3740784"/>
            <wp:effectExtent l="0" t="0" r="0" b="0"/>
            <wp:docPr id="6" name="图表 1"/>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（图6：一般公共预算财政拨款支出决算结构）（饼状图）</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41" w:name="_Toc15377212"/>
      <w:r>
        <w:rPr>
          <w:rFonts w:ascii="Times New Roman" w:eastAsia="楷体_GB2312" w:cs="楷体_GB2312" w:hAnsi="Times New Roman" w:hint="eastAsia"/>
          <w:b/>
          <w:color w:val="auto"/>
          <w:sz w:val="32"/>
          <w:szCs w:val="32"/>
          <w:highlight w:val="auto"/>
        </w:rPr>
        <w:t>（三）一般公共预算财政拨款支出决算具体情况</w:t>
      </w:r>
      <w:bookmarkEnd w:id="41"/>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bookmarkStart w:id="42" w:name="_Toc15378460"/>
      <w:bookmarkStart w:id="43" w:name="_Toc15377213"/>
      <w:bookmarkStart w:id="44" w:name="_Toc15377444"/>
      <w:r>
        <w:rPr>
          <w:rFonts w:ascii="Times New Roman" w:eastAsia="仿宋_GB2312" w:cs="仿宋_GB2312" w:hAnsi="Times New Roman" w:hint="eastAsia"/>
          <w:color w:val="auto"/>
          <w:kern w:val="2"/>
          <w:sz w:val="32"/>
          <w:szCs w:val="32"/>
          <w:lang w:val="en-US" w:eastAsia="zh-CN" w:bidi="ar-SA"/>
          <w:highlight w:val="auto"/>
        </w:rPr>
        <w:t>2024年度一般公共预算财政拨款支出决算数为</w:t>
      </w:r>
      <w:r>
        <w:rPr>
          <w:rFonts w:ascii="仿宋_GB2312" w:eastAsia="仿宋_GB2312" w:cs="仿宋_GB2312" w:hint="eastAsia"/>
          <w:color w:val="auto"/>
          <w:sz w:val="32"/>
          <w:szCs w:val="32"/>
        </w:rPr>
        <w:t>1652.07</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完成预算</w:t>
      </w:r>
      <w:r>
        <w:rPr>
          <w:rFonts w:eastAsia="仿宋_GB2312" w:cs="仿宋_GB2312" w:hint="eastAsia"/>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%。其中：</w:t>
      </w:r>
      <w:bookmarkEnd w:id="42"/>
      <w:bookmarkEnd w:id="43"/>
      <w:bookmarkEnd w:id="44"/>
    </w:p>
    <w:p>
      <w:pPr>
        <w:spacing w:line="600" w:lineRule="exact"/>
        <w:ind w:firstLineChars="200" w:firstLine="640"/>
        <w:rPr>
          <w:rStyle w:val="28"/>
          <w:rFonts w:ascii="仿宋" w:eastAsia="仿宋" w:hint="eastAsia"/>
          <w:b w:val="0"/>
          <w:bCs/>
          <w:color w:val="auto"/>
          <w:sz w:val="32"/>
          <w:szCs w:val="32"/>
        </w:rPr>
      </w:pPr>
      <w:r>
        <w:rPr>
          <w:rStyle w:val="28"/>
          <w:rFonts w:ascii="仿宋" w:eastAsia="仿宋" w:hint="eastAsia"/>
          <w:bCs/>
          <w:color w:val="auto"/>
          <w:sz w:val="32"/>
          <w:szCs w:val="32"/>
          <w:lang w:val="en-US" w:eastAsia="zh-CN"/>
        </w:rPr>
        <w:t>1</w:t>
      </w:r>
      <w:r>
        <w:rPr>
          <w:rStyle w:val="28"/>
          <w:rFonts w:ascii="仿宋" w:eastAsia="仿宋"/>
          <w:bCs/>
          <w:color w:val="auto"/>
          <w:sz w:val="32"/>
          <w:szCs w:val="32"/>
        </w:rPr>
        <w:t>.</w:t>
      </w:r>
      <w:r>
        <w:rPr>
          <w:rStyle w:val="28"/>
          <w:rFonts w:ascii="仿宋" w:eastAsia="仿宋" w:hint="eastAsia"/>
          <w:bCs/>
          <w:color w:val="auto"/>
          <w:sz w:val="32"/>
          <w:szCs w:val="32"/>
        </w:rPr>
        <w:t>一般公共服务（类）</w:t>
      </w:r>
      <w:r>
        <w:rPr>
          <w:rStyle w:val="28"/>
          <w:rFonts w:ascii="仿宋" w:eastAsia="仿宋" w:hint="eastAsia"/>
          <w:bCs/>
          <w:color w:val="auto"/>
          <w:sz w:val="32"/>
          <w:szCs w:val="32"/>
          <w:lang w:val="en-US" w:eastAsia="zh-CN"/>
        </w:rPr>
        <w:t>政府</w:t>
      </w:r>
      <w:r>
        <w:rPr>
          <w:rStyle w:val="28"/>
          <w:rFonts w:ascii="仿宋" w:eastAsia="仿宋" w:hint="eastAsia"/>
          <w:bCs/>
          <w:color w:val="auto"/>
          <w:sz w:val="32"/>
          <w:szCs w:val="32"/>
        </w:rPr>
        <w:t>办公室（室）及相关机构事务（款）</w:t>
      </w:r>
      <w:r>
        <w:rPr>
          <w:rStyle w:val="28"/>
          <w:rFonts w:ascii="仿宋" w:eastAsia="仿宋" w:hint="eastAsia"/>
          <w:bCs/>
          <w:color w:val="auto"/>
          <w:sz w:val="32"/>
          <w:szCs w:val="32"/>
          <w:lang w:eastAsia="zh-CN"/>
        </w:rPr>
        <w:t>行政运行</w:t>
      </w:r>
      <w:r>
        <w:rPr>
          <w:rStyle w:val="28"/>
          <w:rFonts w:ascii="仿宋" w:eastAsia="仿宋" w:hint="eastAsia"/>
          <w:bCs/>
          <w:color w:val="auto"/>
          <w:sz w:val="32"/>
          <w:szCs w:val="32"/>
        </w:rPr>
        <w:t>（项）</w:t>
      </w:r>
      <w:r>
        <w:rPr>
          <w:rStyle w:val="28"/>
          <w:rFonts w:ascii="仿宋" w:eastAsia="仿宋"/>
          <w:bCs/>
          <w:color w:val="auto"/>
          <w:sz w:val="32"/>
          <w:szCs w:val="32"/>
        </w:rPr>
        <w:t>:</w:t>
      </w:r>
      <w:r>
        <w:rPr>
          <w:rStyle w:val="28"/>
          <w:rFonts w:ascii="仿宋" w:eastAsia="仿宋"/>
          <w:b w:val="0"/>
          <w:bCs/>
          <w:color w:val="auto"/>
          <w:sz w:val="32"/>
          <w:szCs w:val="32"/>
        </w:rPr>
        <w:t xml:space="preserve"> </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389.26</w:t>
      </w:r>
      <w:r>
        <w:rPr>
          <w:rFonts w:ascii="仿宋_GB2312" w:eastAsia="仿宋_GB2312" w:hint="eastAsia"/>
          <w:color w:val="auto"/>
          <w:spacing w:val="-2"/>
          <w:sz w:val="32"/>
          <w:szCs w:val="32"/>
          <w:lang w:eastAsia="zh-CN"/>
        </w:rPr>
        <w:t>万元，完成预算100%。</w:t>
      </w:r>
      <w:r>
        <w:rPr>
          <w:rFonts w:ascii="Times New Roman" w:eastAsia="仿宋_GB2312" w:cs="仿宋_GB2312" w:hAnsi="Times New Roman" w:hint="eastAsia"/>
          <w:color w:val="auto"/>
          <w:kern w:val="2"/>
          <w:sz w:val="32"/>
          <w:szCs w:val="32"/>
          <w:lang w:val="en-US" w:eastAsia="zh-CN" w:bidi="ar-SA"/>
          <w:highlight w:val="auto"/>
        </w:rPr>
        <w:t>决算数等于预算数</w:t>
      </w:r>
      <w:r>
        <w:rPr>
          <w:rFonts w:ascii="仿宋_GB2312" w:eastAsia="仿宋_GB2312" w:hint="eastAsia"/>
          <w:color w:val="auto"/>
          <w:spacing w:val="-2"/>
          <w:sz w:val="32"/>
          <w:szCs w:val="32"/>
          <w:lang w:eastAsia="zh-CN"/>
        </w:rPr>
        <w:t>。</w:t>
      </w:r>
    </w:p>
    <w:p>
      <w:pPr>
        <w:spacing w:line="600" w:lineRule="exact"/>
        <w:ind w:firstLineChars="200" w:firstLine="640"/>
        <w:rPr>
          <w:rStyle w:val="28"/>
          <w:rFonts w:ascii="仿宋" w:eastAsia="仿宋" w:hint="eastAsia"/>
          <w:b w:val="0"/>
          <w:bCs/>
          <w:color w:val="auto"/>
          <w:sz w:val="32"/>
          <w:szCs w:val="32"/>
        </w:rPr>
      </w:pPr>
      <w:r>
        <w:rPr>
          <w:rStyle w:val="28"/>
          <w:rFonts w:ascii="仿宋" w:eastAsia="仿宋" w:hint="eastAsia"/>
          <w:bCs/>
          <w:color w:val="auto"/>
          <w:sz w:val="32"/>
          <w:szCs w:val="32"/>
          <w:lang w:val="en-US" w:eastAsia="zh-CN"/>
        </w:rPr>
        <w:t>2</w:t>
      </w:r>
      <w:r>
        <w:rPr>
          <w:rStyle w:val="28"/>
          <w:rFonts w:ascii="仿宋" w:eastAsia="仿宋"/>
          <w:bCs/>
          <w:color w:val="auto"/>
          <w:sz w:val="32"/>
          <w:szCs w:val="32"/>
        </w:rPr>
        <w:t>.</w:t>
      </w:r>
      <w:r>
        <w:rPr>
          <w:rStyle w:val="28"/>
          <w:rFonts w:ascii="仿宋" w:eastAsia="仿宋" w:hint="eastAsia"/>
          <w:bCs/>
          <w:color w:val="auto"/>
          <w:sz w:val="32"/>
          <w:szCs w:val="32"/>
        </w:rPr>
        <w:t>一般公共服务（类）</w:t>
      </w:r>
      <w:r>
        <w:rPr>
          <w:rStyle w:val="28"/>
          <w:rFonts w:ascii="仿宋" w:eastAsia="仿宋" w:hint="eastAsia"/>
          <w:bCs/>
          <w:color w:val="auto"/>
          <w:sz w:val="32"/>
          <w:szCs w:val="32"/>
          <w:lang w:eastAsia="zh-CN"/>
        </w:rPr>
        <w:t>人大事务（</w:t>
      </w:r>
      <w:r>
        <w:rPr>
          <w:rStyle w:val="28"/>
          <w:rFonts w:ascii="仿宋" w:eastAsia="仿宋" w:hint="eastAsia"/>
          <w:bCs/>
          <w:color w:val="auto"/>
          <w:sz w:val="32"/>
          <w:szCs w:val="32"/>
        </w:rPr>
        <w:t>款）</w:t>
      </w:r>
      <w:r>
        <w:rPr>
          <w:rStyle w:val="28"/>
          <w:rFonts w:ascii="仿宋" w:eastAsia="仿宋" w:hint="eastAsia"/>
          <w:bCs/>
          <w:color w:val="auto"/>
          <w:sz w:val="32"/>
          <w:szCs w:val="32"/>
          <w:lang w:eastAsia="zh-CN"/>
        </w:rPr>
        <w:t>行政运行</w:t>
      </w:r>
      <w:r>
        <w:rPr>
          <w:rStyle w:val="28"/>
          <w:rFonts w:ascii="仿宋" w:eastAsia="仿宋" w:hint="eastAsia"/>
          <w:bCs/>
          <w:color w:val="auto"/>
          <w:sz w:val="32"/>
          <w:szCs w:val="32"/>
        </w:rPr>
        <w:t>（项）</w:t>
      </w:r>
      <w:r>
        <w:rPr>
          <w:rStyle w:val="28"/>
          <w:rFonts w:ascii="仿宋" w:eastAsia="仿宋"/>
          <w:bCs/>
          <w:color w:val="auto"/>
          <w:sz w:val="32"/>
          <w:szCs w:val="32"/>
        </w:rPr>
        <w:t>:</w:t>
      </w:r>
      <w:r>
        <w:rPr>
          <w:rStyle w:val="28"/>
          <w:rFonts w:ascii="仿宋" w:eastAsia="仿宋"/>
          <w:b w:val="0"/>
          <w:bCs/>
          <w:color w:val="auto"/>
          <w:sz w:val="32"/>
          <w:szCs w:val="32"/>
        </w:rPr>
        <w:t xml:space="preserve"> </w:t>
      </w:r>
      <w:r>
        <w:rPr>
          <w:rStyle w:val="28"/>
          <w:rFonts w:ascii="仿宋" w:eastAsia="仿宋" w:hint="eastAsia"/>
          <w:b w:val="0"/>
          <w:bCs/>
          <w:color w:val="auto"/>
          <w:sz w:val="32"/>
          <w:szCs w:val="32"/>
        </w:rPr>
        <w:t>支出决算为</w:t>
      </w:r>
      <w:r>
        <w:rPr>
          <w:rFonts w:ascii="仿宋_GB2312" w:eastAsia="仿宋_GB2312" w:hint="eastAsia"/>
          <w:color w:val="auto"/>
          <w:spacing w:val="-2"/>
          <w:sz w:val="32"/>
          <w:szCs w:val="32"/>
          <w:lang w:val="en-US" w:eastAsia="zh-CN"/>
        </w:rPr>
        <w:t>19.41</w:t>
      </w:r>
      <w:r>
        <w:rPr>
          <w:rStyle w:val="28"/>
          <w:rFonts w:ascii="仿宋" w:eastAsia="仿宋" w:hint="eastAsia"/>
          <w:b w:val="0"/>
          <w:bCs/>
          <w:color w:val="auto"/>
          <w:sz w:val="32"/>
          <w:szCs w:val="32"/>
        </w:rPr>
        <w:t>万元，完成预算100</w:t>
      </w:r>
      <w:r>
        <w:rPr>
          <w:rStyle w:val="28"/>
          <w:rFonts w:ascii="仿宋" w:eastAsia="仿宋"/>
          <w:b w:val="0"/>
          <w:bCs/>
          <w:color w:val="auto"/>
          <w:sz w:val="32"/>
          <w:szCs w:val="32"/>
        </w:rPr>
        <w:t>%</w:t>
      </w:r>
      <w:r>
        <w:rPr>
          <w:rStyle w:val="28"/>
          <w:rFonts w:ascii="仿宋" w:eastAsia="仿宋" w:hint="eastAsia"/>
          <w:b w:val="0"/>
          <w:bCs/>
          <w:color w:val="auto"/>
          <w:sz w:val="32"/>
          <w:szCs w:val="32"/>
        </w:rPr>
        <w:t>。</w:t>
      </w:r>
      <w:r>
        <w:rPr>
          <w:rFonts w:ascii="Times New Roman" w:eastAsia="仿宋_GB2312" w:cs="仿宋_GB2312" w:hAnsi="Times New Roman" w:hint="eastAsia"/>
          <w:color w:val="auto"/>
          <w:kern w:val="2"/>
          <w:sz w:val="32"/>
          <w:szCs w:val="32"/>
          <w:lang w:val="en-US" w:eastAsia="zh-CN" w:bidi="ar-SA"/>
          <w:highlight w:val="auto"/>
        </w:rPr>
        <w:t>决算数等于预算数</w:t>
      </w:r>
      <w:r>
        <w:rPr>
          <w:rStyle w:val="28"/>
          <w:rFonts w:ascii="仿宋" w:eastAsia="仿宋" w:hint="eastAsia"/>
          <w:b w:val="0"/>
          <w:bCs/>
          <w:color w:val="auto"/>
          <w:sz w:val="32"/>
          <w:szCs w:val="32"/>
        </w:rPr>
        <w:t>。</w:t>
      </w:r>
    </w:p>
    <w:p>
      <w:pPr>
        <w:spacing w:line="600" w:lineRule="exact"/>
        <w:ind w:firstLineChars="200" w:firstLine="640"/>
        <w:rPr>
          <w:rStyle w:val="28"/>
          <w:rFonts w:ascii="仿宋" w:eastAsia="仿宋" w:hint="eastAsia"/>
          <w:b w:val="0"/>
          <w:bCs/>
          <w:color w:val="auto"/>
          <w:sz w:val="32"/>
          <w:szCs w:val="32"/>
        </w:rPr>
      </w:pPr>
      <w:r>
        <w:rPr>
          <w:rStyle w:val="28"/>
          <w:rFonts w:ascii="仿宋" w:eastAsia="仿宋" w:hint="eastAsia"/>
          <w:bCs/>
          <w:color w:val="auto"/>
          <w:sz w:val="32"/>
          <w:szCs w:val="32"/>
          <w:lang w:val="en-US" w:eastAsia="zh-CN"/>
        </w:rPr>
        <w:t>3</w:t>
      </w:r>
      <w:r>
        <w:rPr>
          <w:rStyle w:val="28"/>
          <w:rFonts w:ascii="仿宋" w:eastAsia="仿宋"/>
          <w:bCs/>
          <w:color w:val="auto"/>
          <w:sz w:val="32"/>
          <w:szCs w:val="32"/>
        </w:rPr>
        <w:t>.</w:t>
      </w:r>
      <w:r>
        <w:rPr>
          <w:rStyle w:val="28"/>
          <w:rFonts w:ascii="仿宋" w:eastAsia="仿宋" w:hint="eastAsia"/>
          <w:bCs/>
          <w:color w:val="auto"/>
          <w:sz w:val="32"/>
          <w:szCs w:val="32"/>
        </w:rPr>
        <w:t>一般公共服务（类）</w:t>
      </w:r>
      <w:r>
        <w:rPr>
          <w:rStyle w:val="28"/>
          <w:rFonts w:ascii="仿宋" w:eastAsia="仿宋" w:hint="eastAsia"/>
          <w:bCs/>
          <w:color w:val="auto"/>
          <w:sz w:val="32"/>
          <w:szCs w:val="32"/>
          <w:lang w:val="en-US" w:eastAsia="zh-CN"/>
        </w:rPr>
        <w:t>党委</w:t>
      </w:r>
      <w:r>
        <w:rPr>
          <w:rStyle w:val="28"/>
          <w:rFonts w:ascii="仿宋" w:eastAsia="仿宋" w:hint="eastAsia"/>
          <w:bCs/>
          <w:color w:val="auto"/>
          <w:sz w:val="32"/>
          <w:szCs w:val="32"/>
        </w:rPr>
        <w:t>办公室（室）及相关机构事务（款）</w:t>
      </w:r>
      <w:r>
        <w:rPr>
          <w:rStyle w:val="28"/>
          <w:rFonts w:ascii="仿宋" w:eastAsia="仿宋" w:hint="eastAsia"/>
          <w:bCs/>
          <w:color w:val="auto"/>
          <w:sz w:val="32"/>
          <w:szCs w:val="32"/>
          <w:lang w:eastAsia="zh-CN"/>
        </w:rPr>
        <w:t>行政运行</w:t>
      </w:r>
      <w:r>
        <w:rPr>
          <w:rStyle w:val="28"/>
          <w:rFonts w:ascii="仿宋" w:eastAsia="仿宋" w:hint="eastAsia"/>
          <w:bCs/>
          <w:color w:val="auto"/>
          <w:sz w:val="32"/>
          <w:szCs w:val="32"/>
        </w:rPr>
        <w:t>（项）</w:t>
      </w:r>
      <w:r>
        <w:rPr>
          <w:rStyle w:val="28"/>
          <w:rFonts w:ascii="仿宋" w:eastAsia="仿宋"/>
          <w:bCs/>
          <w:color w:val="auto"/>
          <w:sz w:val="32"/>
          <w:szCs w:val="32"/>
        </w:rPr>
        <w:t>:</w:t>
      </w:r>
      <w:r>
        <w:rPr>
          <w:rStyle w:val="28"/>
          <w:rFonts w:ascii="仿宋" w:eastAsia="仿宋"/>
          <w:b w:val="0"/>
          <w:bCs/>
          <w:color w:val="auto"/>
          <w:sz w:val="32"/>
          <w:szCs w:val="32"/>
        </w:rPr>
        <w:t xml:space="preserve"> </w:t>
      </w:r>
      <w:r>
        <w:rPr>
          <w:rStyle w:val="28"/>
          <w:rFonts w:ascii="仿宋" w:eastAsia="仿宋" w:hint="eastAsia"/>
          <w:b w:val="0"/>
          <w:bCs/>
          <w:color w:val="auto"/>
          <w:sz w:val="32"/>
          <w:szCs w:val="32"/>
        </w:rPr>
        <w:t>支出决算为</w:t>
      </w:r>
      <w:r>
        <w:rPr>
          <w:rFonts w:ascii="仿宋_GB2312" w:eastAsia="仿宋_GB2312" w:hint="eastAsia"/>
          <w:color w:val="auto"/>
          <w:spacing w:val="-2"/>
          <w:sz w:val="32"/>
          <w:szCs w:val="32"/>
          <w:lang w:val="en-US" w:eastAsia="zh-CN"/>
        </w:rPr>
        <w:t>11.27</w:t>
      </w:r>
      <w:r>
        <w:rPr>
          <w:rStyle w:val="28"/>
          <w:rFonts w:ascii="仿宋" w:eastAsia="仿宋" w:hint="eastAsia"/>
          <w:b w:val="0"/>
          <w:bCs/>
          <w:color w:val="auto"/>
          <w:sz w:val="32"/>
          <w:szCs w:val="32"/>
        </w:rPr>
        <w:t>万元，完成预算100</w:t>
      </w:r>
      <w:r>
        <w:rPr>
          <w:rStyle w:val="28"/>
          <w:rFonts w:ascii="仿宋" w:eastAsia="仿宋"/>
          <w:b w:val="0"/>
          <w:bCs/>
          <w:color w:val="auto"/>
          <w:sz w:val="32"/>
          <w:szCs w:val="32"/>
        </w:rPr>
        <w:t>%</w:t>
      </w:r>
      <w:r>
        <w:rPr>
          <w:rStyle w:val="28"/>
          <w:rFonts w:ascii="仿宋" w:eastAsia="仿宋" w:hint="eastAsia"/>
          <w:b w:val="0"/>
          <w:bCs/>
          <w:color w:val="auto"/>
          <w:sz w:val="32"/>
          <w:szCs w:val="32"/>
        </w:rPr>
        <w:t>。</w:t>
      </w:r>
      <w:r>
        <w:rPr>
          <w:rStyle w:val="28"/>
          <w:rFonts w:ascii="仿宋" w:eastAsia="仿宋" w:hint="eastAsia"/>
          <w:b w:val="0"/>
          <w:bCs/>
          <w:color w:val="auto"/>
          <w:sz w:val="32"/>
          <w:szCs w:val="32"/>
          <w:lang w:eastAsia="zh-CN"/>
        </w:rPr>
        <w:t>决算数等于预算数</w:t>
      </w:r>
      <w:r>
        <w:rPr>
          <w:rStyle w:val="28"/>
          <w:rFonts w:ascii="仿宋" w:eastAsia="仿宋" w:hint="eastAsia"/>
          <w:b w:val="0"/>
          <w:bCs/>
          <w:color w:val="auto"/>
          <w:sz w:val="32"/>
          <w:szCs w:val="32"/>
        </w:rPr>
        <w:t>。</w:t>
      </w:r>
    </w:p>
    <w:p>
      <w:pPr>
        <w:spacing w:line="600" w:lineRule="exact"/>
        <w:ind w:firstLineChars="200" w:firstLine="640"/>
        <w:rPr>
          <w:rFonts w:ascii="仿宋_GB2312" w:eastAsia="仿宋_GB2312" w:hint="eastAsia"/>
          <w:color w:val="auto"/>
          <w:spacing w:val="-2"/>
          <w:sz w:val="32"/>
          <w:szCs w:val="32"/>
          <w:lang w:eastAsia="zh-CN"/>
        </w:rPr>
      </w:pPr>
      <w:r>
        <w:rPr>
          <w:rStyle w:val="28"/>
          <w:rFonts w:ascii="仿宋" w:eastAsia="仿宋" w:hint="eastAsia"/>
          <w:bCs/>
          <w:color w:val="auto"/>
          <w:sz w:val="32"/>
          <w:szCs w:val="32"/>
          <w:lang w:val="en-US" w:eastAsia="zh-CN"/>
        </w:rPr>
        <w:t>4</w:t>
      </w:r>
      <w:r>
        <w:rPr>
          <w:rStyle w:val="28"/>
          <w:rFonts w:ascii="仿宋" w:eastAsia="仿宋"/>
          <w:bCs/>
          <w:color w:val="auto"/>
          <w:sz w:val="32"/>
          <w:szCs w:val="32"/>
        </w:rPr>
        <w:t>.</w:t>
      </w:r>
      <w:r>
        <w:rPr>
          <w:rStyle w:val="28"/>
          <w:rFonts w:ascii="仿宋" w:eastAsia="仿宋" w:hint="eastAsia"/>
          <w:bCs/>
          <w:color w:val="auto"/>
          <w:sz w:val="32"/>
          <w:szCs w:val="32"/>
        </w:rPr>
        <w:t>社会保障和就业（类）行政事业单位</w:t>
      </w:r>
      <w:r>
        <w:rPr>
          <w:rStyle w:val="28"/>
          <w:rFonts w:ascii="仿宋" w:eastAsia="仿宋" w:hint="eastAsia"/>
          <w:bCs/>
          <w:color w:val="auto"/>
          <w:sz w:val="32"/>
          <w:szCs w:val="32"/>
          <w:lang w:eastAsia="zh-CN"/>
        </w:rPr>
        <w:t>养老支出</w:t>
      </w:r>
      <w:r>
        <w:rPr>
          <w:rStyle w:val="28"/>
          <w:rFonts w:ascii="仿宋" w:eastAsia="仿宋" w:hint="eastAsia"/>
          <w:bCs/>
          <w:color w:val="auto"/>
          <w:sz w:val="32"/>
          <w:szCs w:val="32"/>
        </w:rPr>
        <w:t>（款）机关事业单位基本养老保险缴费支出（项）</w:t>
      </w:r>
      <w:r>
        <w:rPr>
          <w:rStyle w:val="28"/>
          <w:rFonts w:ascii="仿宋" w:eastAsia="仿宋"/>
          <w:bCs/>
          <w:color w:val="auto"/>
          <w:sz w:val="32"/>
          <w:szCs w:val="32"/>
        </w:rPr>
        <w:t>:</w:t>
      </w:r>
      <w:r>
        <w:rPr>
          <w:rStyle w:val="28"/>
          <w:rFonts w:ascii="仿宋" w:eastAsia="仿宋"/>
          <w:b w:val="0"/>
          <w:bCs/>
          <w:color w:val="auto"/>
          <w:sz w:val="32"/>
          <w:szCs w:val="32"/>
        </w:rPr>
        <w:t xml:space="preserve"> </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80.3</w:t>
      </w:r>
      <w:r>
        <w:rPr>
          <w:rFonts w:ascii="仿宋_GB2312" w:eastAsia="仿宋_GB2312" w:hint="eastAsia"/>
          <w:color w:val="auto"/>
          <w:spacing w:val="-2"/>
          <w:sz w:val="32"/>
          <w:szCs w:val="32"/>
          <w:lang w:eastAsia="zh-CN"/>
        </w:rPr>
        <w:t>万元，完成预算100%，决算数等于预算数。</w:t>
      </w:r>
    </w:p>
    <w:p>
      <w:pPr>
        <w:spacing w:line="600" w:lineRule="exact"/>
        <w:ind w:firstLineChars="200" w:firstLine="640"/>
        <w:rPr>
          <w:rFonts w:ascii="仿宋" w:eastAsia="仿宋"/>
          <w:b/>
          <w:color w:val="auto"/>
          <w:sz w:val="32"/>
          <w:szCs w:val="32"/>
        </w:rPr>
      </w:pPr>
      <w:r>
        <w:rPr>
          <w:rStyle w:val="28"/>
          <w:rFonts w:ascii="仿宋" w:eastAsia="仿宋" w:hint="eastAsia"/>
          <w:bCs/>
          <w:color w:val="auto"/>
          <w:sz w:val="32"/>
          <w:szCs w:val="32"/>
          <w:lang w:val="en-US" w:eastAsia="zh-CN"/>
        </w:rPr>
        <w:t>5</w:t>
      </w:r>
      <w:r>
        <w:rPr>
          <w:rStyle w:val="28"/>
          <w:rFonts w:ascii="仿宋" w:eastAsia="仿宋"/>
          <w:bCs/>
          <w:color w:val="auto"/>
          <w:sz w:val="32"/>
          <w:szCs w:val="32"/>
        </w:rPr>
        <w:t>.</w:t>
      </w:r>
      <w:r>
        <w:rPr>
          <w:rStyle w:val="28"/>
          <w:rFonts w:ascii="仿宋" w:eastAsia="仿宋" w:hint="eastAsia"/>
          <w:bCs/>
          <w:color w:val="auto"/>
          <w:sz w:val="32"/>
          <w:szCs w:val="32"/>
        </w:rPr>
        <w:t>社会保障和就业（类）行政事业单位</w:t>
      </w:r>
      <w:r>
        <w:rPr>
          <w:rStyle w:val="28"/>
          <w:rFonts w:ascii="仿宋" w:eastAsia="仿宋" w:hint="eastAsia"/>
          <w:bCs/>
          <w:color w:val="auto"/>
          <w:sz w:val="32"/>
          <w:szCs w:val="32"/>
          <w:lang w:eastAsia="zh-CN"/>
        </w:rPr>
        <w:t>养老支出</w:t>
      </w:r>
      <w:r>
        <w:rPr>
          <w:rStyle w:val="28"/>
          <w:rFonts w:ascii="仿宋" w:eastAsia="仿宋" w:hint="eastAsia"/>
          <w:bCs/>
          <w:color w:val="auto"/>
          <w:sz w:val="32"/>
          <w:szCs w:val="32"/>
        </w:rPr>
        <w:t>（款）机关事业单位基本职业年金缴费支出（项）</w:t>
      </w:r>
      <w:r>
        <w:rPr>
          <w:rStyle w:val="28"/>
          <w:rFonts w:ascii="仿宋" w:eastAsia="仿宋"/>
          <w:bCs/>
          <w:color w:val="auto"/>
          <w:sz w:val="32"/>
          <w:szCs w:val="32"/>
        </w:rPr>
        <w:t>:</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40.18</w:t>
      </w:r>
      <w:r>
        <w:rPr>
          <w:rFonts w:ascii="仿宋_GB2312" w:eastAsia="仿宋_GB2312" w:hint="eastAsia"/>
          <w:color w:val="auto"/>
          <w:spacing w:val="-2"/>
          <w:sz w:val="32"/>
          <w:szCs w:val="32"/>
          <w:lang w:eastAsia="zh-CN"/>
        </w:rPr>
        <w:t>万元，完成预算100%，决算数等于预算数。</w:t>
      </w:r>
    </w:p>
    <w:p>
      <w:pPr>
        <w:spacing w:line="600" w:lineRule="exact"/>
        <w:ind w:firstLineChars="200" w:firstLine="640"/>
        <w:rPr>
          <w:rFonts w:ascii="仿宋_GB2312" w:eastAsia="仿宋_GB2312" w:hint="eastAsia"/>
          <w:color w:val="auto"/>
          <w:spacing w:val="-2"/>
          <w:sz w:val="32"/>
          <w:szCs w:val="32"/>
          <w:lang w:eastAsia="zh-CN"/>
        </w:rPr>
      </w:pPr>
      <w:r>
        <w:rPr>
          <w:rStyle w:val="28"/>
          <w:rFonts w:ascii="仿宋" w:eastAsia="仿宋" w:hint="eastAsia"/>
          <w:bCs/>
          <w:color w:val="auto"/>
          <w:sz w:val="32"/>
          <w:szCs w:val="32"/>
          <w:lang w:val="en-US" w:eastAsia="zh-CN"/>
        </w:rPr>
        <w:t>6.</w:t>
      </w:r>
      <w:r>
        <w:rPr>
          <w:rStyle w:val="28"/>
          <w:rFonts w:ascii="仿宋" w:eastAsia="仿宋" w:hint="eastAsia"/>
          <w:bCs/>
          <w:color w:val="auto"/>
          <w:sz w:val="32"/>
          <w:szCs w:val="32"/>
        </w:rPr>
        <w:t>卫生健康支出（类）行政事业单位医疗（款）行政单位医疗（项）</w:t>
      </w:r>
      <w:r>
        <w:rPr>
          <w:rStyle w:val="28"/>
          <w:rFonts w:ascii="仿宋" w:eastAsia="仿宋"/>
          <w:bCs/>
          <w:color w:val="auto"/>
          <w:sz w:val="32"/>
          <w:szCs w:val="32"/>
        </w:rPr>
        <w:t>:</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25.92</w:t>
      </w:r>
      <w:r>
        <w:rPr>
          <w:rFonts w:ascii="仿宋_GB2312" w:eastAsia="仿宋_GB2312" w:hint="eastAsia"/>
          <w:color w:val="auto"/>
          <w:spacing w:val="-2"/>
          <w:sz w:val="32"/>
          <w:szCs w:val="32"/>
          <w:lang w:eastAsia="zh-CN"/>
        </w:rPr>
        <w:t>万元，完成预算100%，决算数等于预算数。</w:t>
      </w:r>
    </w:p>
    <w:p>
      <w:pPr>
        <w:spacing w:line="600" w:lineRule="exact"/>
        <w:ind w:firstLineChars="200" w:firstLine="640"/>
        <w:rPr>
          <w:color w:val="auto"/>
        </w:rPr>
      </w:pPr>
      <w:r>
        <w:rPr>
          <w:rStyle w:val="28"/>
          <w:rFonts w:ascii="仿宋" w:eastAsia="仿宋" w:hint="eastAsia"/>
          <w:bCs/>
          <w:color w:val="auto"/>
          <w:sz w:val="32"/>
          <w:szCs w:val="32"/>
          <w:lang w:val="en-US" w:eastAsia="zh-CN"/>
        </w:rPr>
        <w:t>7.</w:t>
      </w:r>
      <w:r>
        <w:rPr>
          <w:rStyle w:val="28"/>
          <w:rFonts w:ascii="仿宋" w:eastAsia="仿宋" w:hint="eastAsia"/>
          <w:bCs/>
          <w:color w:val="auto"/>
          <w:sz w:val="32"/>
          <w:szCs w:val="32"/>
        </w:rPr>
        <w:t>卫生健康支出（类）行政事业单位医疗（款）</w:t>
      </w:r>
      <w:r>
        <w:rPr>
          <w:rStyle w:val="28"/>
          <w:rFonts w:ascii="仿宋" w:eastAsia="仿宋" w:hint="eastAsia"/>
          <w:bCs/>
          <w:color w:val="auto"/>
          <w:sz w:val="32"/>
          <w:szCs w:val="32"/>
          <w:lang w:eastAsia="zh-CN"/>
        </w:rPr>
        <w:t>事业</w:t>
      </w:r>
      <w:r>
        <w:rPr>
          <w:rStyle w:val="28"/>
          <w:rFonts w:ascii="仿宋" w:eastAsia="仿宋" w:hint="eastAsia"/>
          <w:bCs/>
          <w:color w:val="auto"/>
          <w:sz w:val="32"/>
          <w:szCs w:val="32"/>
        </w:rPr>
        <w:t>单位医疗（项）</w:t>
      </w:r>
      <w:r>
        <w:rPr>
          <w:rStyle w:val="28"/>
          <w:rFonts w:ascii="仿宋" w:eastAsia="仿宋"/>
          <w:bCs/>
          <w:color w:val="auto"/>
          <w:sz w:val="32"/>
          <w:szCs w:val="32"/>
        </w:rPr>
        <w:t>:</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16.86</w:t>
      </w:r>
      <w:r>
        <w:rPr>
          <w:rFonts w:ascii="仿宋_GB2312" w:eastAsia="仿宋_GB2312" w:hint="eastAsia"/>
          <w:color w:val="auto"/>
          <w:spacing w:val="-2"/>
          <w:sz w:val="32"/>
          <w:szCs w:val="32"/>
          <w:lang w:eastAsia="zh-CN"/>
        </w:rPr>
        <w:t>万元，完成预算100%，决算数等于预算数。</w:t>
      </w:r>
    </w:p>
    <w:p>
      <w:pPr>
        <w:spacing w:line="600" w:lineRule="exact"/>
        <w:ind w:firstLineChars="200" w:firstLine="640"/>
        <w:rPr>
          <w:rFonts w:ascii="仿宋_GB2312" w:eastAsia="仿宋_GB2312" w:hint="eastAsia"/>
          <w:color w:val="auto"/>
          <w:spacing w:val="-2"/>
          <w:sz w:val="32"/>
          <w:szCs w:val="32"/>
          <w:lang w:eastAsia="zh-CN"/>
        </w:rPr>
      </w:pPr>
      <w:r>
        <w:rPr>
          <w:rStyle w:val="28"/>
          <w:rFonts w:ascii="仿宋" w:eastAsia="仿宋" w:hint="eastAsia"/>
          <w:bCs/>
          <w:color w:val="auto"/>
          <w:sz w:val="32"/>
          <w:szCs w:val="32"/>
          <w:lang w:val="en-US" w:eastAsia="zh-CN"/>
        </w:rPr>
        <w:t>8</w:t>
      </w:r>
      <w:r>
        <w:rPr>
          <w:rStyle w:val="28"/>
          <w:rFonts w:ascii="仿宋" w:eastAsia="仿宋" w:hint="eastAsia"/>
          <w:bCs/>
          <w:color w:val="auto"/>
          <w:sz w:val="32"/>
          <w:szCs w:val="32"/>
        </w:rPr>
        <w:t>.卫生健康支出（类）行政事业单位医疗（款）公务员医疗补助（项）</w:t>
      </w:r>
      <w:r>
        <w:rPr>
          <w:rStyle w:val="28"/>
          <w:rFonts w:ascii="仿宋" w:eastAsia="仿宋"/>
          <w:bCs/>
          <w:color w:val="auto"/>
          <w:sz w:val="32"/>
          <w:szCs w:val="32"/>
        </w:rPr>
        <w:t>:</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8.01</w:t>
      </w:r>
      <w:r>
        <w:rPr>
          <w:rFonts w:ascii="仿宋_GB2312" w:eastAsia="仿宋_GB2312" w:hint="eastAsia"/>
          <w:color w:val="auto"/>
          <w:spacing w:val="-2"/>
          <w:sz w:val="32"/>
          <w:szCs w:val="32"/>
          <w:lang w:eastAsia="zh-CN"/>
        </w:rPr>
        <w:t>万元，完成预算100%，决算数等于预算数。</w:t>
      </w:r>
    </w:p>
    <w:p>
      <w:pPr>
        <w:spacing w:line="600" w:lineRule="exact"/>
        <w:ind w:firstLineChars="200" w:firstLine="640"/>
        <w:rPr>
          <w:rFonts w:ascii="仿宋_GB2312" w:eastAsia="仿宋_GB2312" w:hint="eastAsia"/>
          <w:color w:val="auto"/>
          <w:spacing w:val="-2"/>
          <w:sz w:val="32"/>
          <w:szCs w:val="32"/>
          <w:lang w:eastAsia="zh-CN"/>
        </w:rPr>
      </w:pPr>
      <w:r>
        <w:rPr>
          <w:rStyle w:val="28"/>
          <w:rFonts w:ascii="仿宋" w:eastAsia="仿宋" w:hint="eastAsia"/>
          <w:bCs/>
          <w:color w:val="auto"/>
          <w:sz w:val="32"/>
          <w:szCs w:val="32"/>
          <w:lang w:val="en-US" w:eastAsia="zh-CN"/>
        </w:rPr>
        <w:t>9</w:t>
      </w:r>
      <w:r>
        <w:rPr>
          <w:rStyle w:val="28"/>
          <w:rFonts w:ascii="仿宋" w:eastAsia="仿宋" w:hint="eastAsia"/>
          <w:bCs/>
          <w:color w:val="auto"/>
          <w:sz w:val="32"/>
          <w:szCs w:val="32"/>
        </w:rPr>
        <w:t>.卫生健康支出（类）行政事业单位医疗（款）</w:t>
      </w:r>
      <w:r>
        <w:rPr>
          <w:rStyle w:val="28"/>
          <w:rFonts w:ascii="仿宋" w:eastAsia="仿宋" w:cs="Times New Roman" w:hint="eastAsia"/>
          <w:bCs/>
          <w:color w:val="auto"/>
          <w:sz w:val="32"/>
          <w:szCs w:val="32"/>
        </w:rPr>
        <w:t>其他行政事业单位医疗支出</w:t>
      </w:r>
      <w:r>
        <w:rPr>
          <w:rStyle w:val="28"/>
          <w:rFonts w:ascii="仿宋" w:eastAsia="仿宋" w:hint="eastAsia"/>
          <w:bCs/>
          <w:color w:val="auto"/>
          <w:sz w:val="32"/>
          <w:szCs w:val="32"/>
        </w:rPr>
        <w:t>（项）</w:t>
      </w:r>
      <w:r>
        <w:rPr>
          <w:rStyle w:val="28"/>
          <w:rFonts w:ascii="仿宋" w:eastAsia="仿宋"/>
          <w:bCs/>
          <w:color w:val="auto"/>
          <w:sz w:val="32"/>
          <w:szCs w:val="32"/>
        </w:rPr>
        <w:t>:</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3.88</w:t>
      </w:r>
      <w:r>
        <w:rPr>
          <w:rFonts w:ascii="仿宋_GB2312" w:eastAsia="仿宋_GB2312" w:hint="eastAsia"/>
          <w:color w:val="auto"/>
          <w:spacing w:val="-2"/>
          <w:sz w:val="32"/>
          <w:szCs w:val="32"/>
          <w:lang w:eastAsia="zh-CN"/>
        </w:rPr>
        <w:t>万元，完成预算100%，决算数等于预算数。</w:t>
      </w:r>
    </w:p>
    <w:p>
      <w:pPr>
        <w:spacing w:line="600" w:lineRule="exact"/>
        <w:ind w:firstLineChars="200" w:firstLine="640"/>
        <w:rPr>
          <w:rStyle w:val="28"/>
          <w:rFonts w:ascii="仿宋" w:eastAsia="仿宋" w:hint="eastAsia"/>
          <w:bCs/>
          <w:color w:val="auto"/>
          <w:sz w:val="32"/>
          <w:szCs w:val="32"/>
          <w:lang w:val="en-US" w:eastAsia="zh-CN"/>
        </w:rPr>
      </w:pPr>
      <w:r>
        <w:rPr>
          <w:rStyle w:val="28"/>
          <w:rFonts w:ascii="仿宋" w:eastAsia="仿宋" w:hint="eastAsia"/>
          <w:bCs/>
          <w:color w:val="auto"/>
          <w:sz w:val="32"/>
          <w:szCs w:val="32"/>
          <w:lang w:val="en-US" w:eastAsia="zh-CN"/>
        </w:rPr>
        <w:t>10</w:t>
      </w:r>
      <w:r>
        <w:rPr>
          <w:rStyle w:val="28"/>
          <w:rFonts w:ascii="仿宋" w:eastAsia="仿宋" w:hint="eastAsia"/>
          <w:bCs/>
          <w:color w:val="auto"/>
          <w:sz w:val="32"/>
          <w:szCs w:val="32"/>
        </w:rPr>
        <w:t>.农林水支出（类）农业农村（款）</w:t>
      </w:r>
      <w:r>
        <w:rPr>
          <w:rStyle w:val="28"/>
          <w:rFonts w:ascii="仿宋" w:eastAsia="仿宋" w:hint="eastAsia"/>
          <w:bCs/>
          <w:color w:val="auto"/>
          <w:sz w:val="32"/>
          <w:szCs w:val="32"/>
          <w:lang w:eastAsia="zh-CN"/>
        </w:rPr>
        <w:t>事业运行</w:t>
      </w:r>
      <w:r>
        <w:rPr>
          <w:rStyle w:val="28"/>
          <w:rFonts w:ascii="仿宋" w:eastAsia="仿宋" w:hint="eastAsia"/>
          <w:bCs/>
          <w:color w:val="auto"/>
          <w:sz w:val="32"/>
          <w:szCs w:val="32"/>
        </w:rPr>
        <w:t>（项）：</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268.73</w:t>
      </w:r>
      <w:r>
        <w:rPr>
          <w:rFonts w:ascii="仿宋_GB2312" w:eastAsia="仿宋_GB2312" w:hint="eastAsia"/>
          <w:color w:val="auto"/>
          <w:spacing w:val="-2"/>
          <w:sz w:val="32"/>
          <w:szCs w:val="32"/>
          <w:lang w:eastAsia="zh-CN"/>
        </w:rPr>
        <w:t>万元，完成预算100%，决算数等于预算数。</w:t>
      </w:r>
    </w:p>
    <w:p>
      <w:pPr>
        <w:spacing w:line="600" w:lineRule="exact"/>
        <w:ind w:firstLineChars="200" w:firstLine="640"/>
        <w:rPr>
          <w:rStyle w:val="28"/>
          <w:rFonts w:ascii="仿宋" w:eastAsia="仿宋" w:hint="eastAsia"/>
          <w:b w:val="0"/>
          <w:bCs/>
          <w:color w:val="auto"/>
          <w:sz w:val="32"/>
          <w:szCs w:val="32"/>
        </w:rPr>
      </w:pPr>
      <w:r>
        <w:rPr>
          <w:rStyle w:val="28"/>
          <w:rFonts w:ascii="仿宋" w:eastAsia="仿宋" w:hint="eastAsia"/>
          <w:bCs/>
          <w:color w:val="auto"/>
          <w:sz w:val="32"/>
          <w:szCs w:val="32"/>
          <w:lang w:val="en-US" w:eastAsia="zh-CN"/>
        </w:rPr>
        <w:t>11</w:t>
      </w:r>
      <w:r>
        <w:rPr>
          <w:rStyle w:val="28"/>
          <w:rFonts w:ascii="仿宋" w:eastAsia="仿宋" w:hint="eastAsia"/>
          <w:bCs/>
          <w:color w:val="auto"/>
          <w:sz w:val="32"/>
          <w:szCs w:val="32"/>
        </w:rPr>
        <w:t>.</w:t>
      </w:r>
      <w:r>
        <w:rPr>
          <w:rStyle w:val="28"/>
          <w:rFonts w:ascii="仿宋" w:eastAsia="仿宋" w:hint="eastAsia"/>
          <w:bCs/>
          <w:color w:val="auto"/>
          <w:sz w:val="32"/>
          <w:szCs w:val="32"/>
          <w:lang w:eastAsia="zh-CN"/>
        </w:rPr>
        <w:t>节能环保</w:t>
      </w:r>
      <w:r>
        <w:rPr>
          <w:rStyle w:val="28"/>
          <w:rFonts w:ascii="仿宋" w:eastAsia="仿宋" w:hint="eastAsia"/>
          <w:bCs/>
          <w:color w:val="auto"/>
          <w:sz w:val="32"/>
          <w:szCs w:val="32"/>
        </w:rPr>
        <w:t>支出（类）</w:t>
      </w:r>
      <w:r>
        <w:rPr>
          <w:rStyle w:val="28"/>
          <w:rFonts w:ascii="仿宋" w:eastAsia="仿宋" w:hint="eastAsia"/>
          <w:bCs/>
          <w:color w:val="auto"/>
          <w:sz w:val="32"/>
          <w:szCs w:val="32"/>
          <w:lang w:eastAsia="zh-CN"/>
        </w:rPr>
        <w:t>自然生态保护</w:t>
      </w:r>
      <w:r>
        <w:rPr>
          <w:rStyle w:val="28"/>
          <w:rFonts w:ascii="仿宋" w:eastAsia="仿宋" w:hint="eastAsia"/>
          <w:bCs/>
          <w:color w:val="auto"/>
          <w:sz w:val="32"/>
          <w:szCs w:val="32"/>
        </w:rPr>
        <w:t>（款）</w:t>
      </w:r>
      <w:r>
        <w:rPr>
          <w:rStyle w:val="28"/>
          <w:rFonts w:ascii="仿宋" w:eastAsia="仿宋" w:hint="eastAsia"/>
          <w:bCs/>
          <w:color w:val="auto"/>
          <w:sz w:val="32"/>
          <w:szCs w:val="32"/>
          <w:lang w:eastAsia="zh-CN"/>
        </w:rPr>
        <w:t>生态保护</w:t>
      </w:r>
      <w:r>
        <w:rPr>
          <w:rStyle w:val="28"/>
          <w:rFonts w:ascii="仿宋" w:eastAsia="仿宋" w:hint="eastAsia"/>
          <w:bCs/>
          <w:color w:val="auto"/>
          <w:sz w:val="32"/>
          <w:szCs w:val="32"/>
        </w:rPr>
        <w:t>（项）：</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76.1</w:t>
      </w:r>
      <w:r>
        <w:rPr>
          <w:rFonts w:ascii="仿宋_GB2312" w:eastAsia="仿宋_GB2312" w:hint="eastAsia"/>
          <w:color w:val="auto"/>
          <w:spacing w:val="-2"/>
          <w:sz w:val="32"/>
          <w:szCs w:val="32"/>
          <w:lang w:eastAsia="zh-CN"/>
        </w:rPr>
        <w:t>万元，完成预算100%，决算数等于预算数。</w:t>
      </w:r>
    </w:p>
    <w:p>
      <w:pPr>
        <w:spacing w:line="600" w:lineRule="exact"/>
        <w:ind w:firstLineChars="200" w:firstLine="640"/>
        <w:rPr>
          <w:rFonts w:ascii="仿宋_GB2312" w:eastAsia="仿宋_GB2312" w:hint="eastAsia"/>
          <w:color w:val="auto"/>
          <w:spacing w:val="-2"/>
          <w:sz w:val="32"/>
          <w:szCs w:val="32"/>
          <w:lang w:eastAsia="zh-CN"/>
        </w:rPr>
      </w:pPr>
      <w:r>
        <w:rPr>
          <w:rStyle w:val="28"/>
          <w:rFonts w:ascii="仿宋" w:eastAsia="仿宋" w:hint="eastAsia"/>
          <w:bCs/>
          <w:color w:val="auto"/>
          <w:sz w:val="32"/>
          <w:szCs w:val="32"/>
          <w:lang w:val="en-US" w:eastAsia="zh-CN"/>
        </w:rPr>
        <w:t>12</w:t>
      </w:r>
      <w:r>
        <w:rPr>
          <w:rStyle w:val="28"/>
          <w:rFonts w:ascii="仿宋" w:eastAsia="仿宋" w:hint="eastAsia"/>
          <w:bCs/>
          <w:color w:val="auto"/>
          <w:sz w:val="32"/>
          <w:szCs w:val="32"/>
        </w:rPr>
        <w:t>.农林水支出（类）</w:t>
      </w:r>
      <w:r>
        <w:rPr>
          <w:rStyle w:val="28"/>
          <w:rFonts w:ascii="仿宋" w:eastAsia="仿宋" w:hint="eastAsia"/>
          <w:bCs/>
          <w:color w:val="auto"/>
          <w:sz w:val="32"/>
          <w:szCs w:val="32"/>
          <w:lang w:val="en-US" w:eastAsia="zh-CN"/>
        </w:rPr>
        <w:t>水利</w:t>
      </w:r>
      <w:r>
        <w:rPr>
          <w:rStyle w:val="28"/>
          <w:rFonts w:ascii="仿宋" w:eastAsia="仿宋" w:hint="eastAsia"/>
          <w:bCs/>
          <w:color w:val="auto"/>
          <w:sz w:val="32"/>
          <w:szCs w:val="32"/>
        </w:rPr>
        <w:t>（款）</w:t>
      </w:r>
      <w:r>
        <w:rPr>
          <w:rStyle w:val="28"/>
          <w:rFonts w:ascii="仿宋" w:eastAsia="仿宋" w:hint="eastAsia"/>
          <w:bCs/>
          <w:color w:val="auto"/>
          <w:sz w:val="32"/>
          <w:szCs w:val="32"/>
          <w:lang w:val="en-US" w:eastAsia="zh-CN"/>
        </w:rPr>
        <w:t>乡村道路建设（项</w:t>
      </w:r>
      <w:r>
        <w:rPr>
          <w:rStyle w:val="28"/>
          <w:rFonts w:ascii="仿宋" w:eastAsia="仿宋" w:hint="eastAsia"/>
          <w:bCs/>
          <w:color w:val="auto"/>
          <w:sz w:val="32"/>
          <w:szCs w:val="32"/>
        </w:rPr>
        <w:t>）：</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46.3</w:t>
      </w:r>
      <w:r>
        <w:rPr>
          <w:rFonts w:ascii="仿宋_GB2312" w:eastAsia="仿宋_GB2312" w:hint="eastAsia"/>
          <w:color w:val="auto"/>
          <w:spacing w:val="-2"/>
          <w:sz w:val="32"/>
          <w:szCs w:val="32"/>
          <w:lang w:eastAsia="zh-CN"/>
        </w:rPr>
        <w:t>万元，完成预算100%，决算数等于预算数。</w:t>
      </w:r>
    </w:p>
    <w:p>
      <w:pPr>
        <w:spacing w:line="600" w:lineRule="exact"/>
        <w:ind w:firstLineChars="200" w:firstLine="640"/>
        <w:rPr>
          <w:rFonts w:ascii="仿宋_GB2312" w:eastAsia="仿宋_GB2312" w:hint="eastAsia"/>
          <w:color w:val="auto"/>
          <w:spacing w:val="-2"/>
          <w:sz w:val="32"/>
          <w:szCs w:val="32"/>
          <w:lang w:eastAsia="zh-CN"/>
        </w:rPr>
      </w:pPr>
      <w:r>
        <w:rPr>
          <w:rStyle w:val="28"/>
          <w:rFonts w:ascii="仿宋" w:eastAsia="仿宋" w:hint="eastAsia"/>
          <w:bCs/>
          <w:color w:val="auto"/>
          <w:sz w:val="32"/>
          <w:szCs w:val="32"/>
          <w:lang w:val="en-US" w:eastAsia="zh-CN"/>
        </w:rPr>
        <w:t>13.</w:t>
      </w:r>
      <w:r>
        <w:rPr>
          <w:rStyle w:val="28"/>
          <w:rFonts w:ascii="仿宋" w:eastAsia="仿宋" w:hint="eastAsia"/>
          <w:bCs/>
          <w:color w:val="auto"/>
          <w:sz w:val="32"/>
          <w:szCs w:val="32"/>
        </w:rPr>
        <w:t>农林水支出（类）巩固脱贫攻坚成果衔接乡村振兴（款）</w:t>
      </w:r>
      <w:r>
        <w:rPr>
          <w:rStyle w:val="28"/>
          <w:rFonts w:ascii="仿宋" w:eastAsia="仿宋" w:hint="eastAsia"/>
          <w:bCs/>
          <w:color w:val="auto"/>
          <w:sz w:val="32"/>
          <w:szCs w:val="32"/>
          <w:lang w:val="en-US" w:eastAsia="zh-CN"/>
        </w:rPr>
        <w:t>农村基础设施建设 （项</w:t>
      </w:r>
      <w:r>
        <w:rPr>
          <w:rStyle w:val="28"/>
          <w:rFonts w:ascii="仿宋" w:eastAsia="仿宋" w:hint="eastAsia"/>
          <w:bCs/>
          <w:color w:val="auto"/>
          <w:sz w:val="32"/>
          <w:szCs w:val="32"/>
        </w:rPr>
        <w:t>）</w:t>
      </w:r>
      <w:r>
        <w:rPr>
          <w:rStyle w:val="28"/>
          <w:rFonts w:ascii="仿宋" w:eastAsia="仿宋" w:hint="eastAsia"/>
          <w:bCs/>
          <w:color w:val="auto"/>
          <w:sz w:val="32"/>
          <w:szCs w:val="32"/>
          <w:lang w:eastAsia="zh-CN"/>
        </w:rPr>
        <w:t>：</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242.52</w:t>
      </w:r>
      <w:r>
        <w:rPr>
          <w:rFonts w:ascii="仿宋_GB2312" w:eastAsia="仿宋_GB2312" w:hint="eastAsia"/>
          <w:color w:val="auto"/>
          <w:spacing w:val="-2"/>
          <w:sz w:val="32"/>
          <w:szCs w:val="32"/>
          <w:lang w:eastAsia="zh-CN"/>
        </w:rPr>
        <w:t>万元，完成预算100%，决算数等于预算数。</w:t>
      </w:r>
    </w:p>
    <w:p>
      <w:pPr>
        <w:spacing w:line="600" w:lineRule="exact"/>
        <w:ind w:firstLineChars="200" w:firstLine="640"/>
        <w:rPr>
          <w:rStyle w:val="28"/>
          <w:rFonts w:ascii="仿宋" w:eastAsia="仿宋" w:hint="eastAsia"/>
          <w:bCs/>
          <w:color w:val="auto"/>
          <w:sz w:val="32"/>
          <w:szCs w:val="32"/>
          <w:lang w:val="en-US" w:eastAsia="zh-CN"/>
        </w:rPr>
      </w:pPr>
      <w:r>
        <w:rPr>
          <w:rStyle w:val="28"/>
          <w:rFonts w:ascii="仿宋" w:eastAsia="仿宋" w:hint="eastAsia"/>
          <w:bCs/>
          <w:color w:val="auto"/>
          <w:sz w:val="32"/>
          <w:szCs w:val="32"/>
          <w:lang w:val="en-US" w:eastAsia="zh-CN"/>
        </w:rPr>
        <w:t>14.</w:t>
      </w:r>
      <w:r>
        <w:rPr>
          <w:rStyle w:val="28"/>
          <w:rFonts w:ascii="仿宋" w:eastAsia="仿宋" w:hint="eastAsia"/>
          <w:bCs/>
          <w:color w:val="auto"/>
          <w:sz w:val="32"/>
          <w:szCs w:val="32"/>
        </w:rPr>
        <w:t>农林水支出（类）巩固脱贫攻坚成果衔接乡村振兴（款）其他巩固脱贫攻坚成果衔接乡村振兴支出</w:t>
      </w:r>
      <w:r>
        <w:rPr>
          <w:rStyle w:val="28"/>
          <w:rFonts w:ascii="仿宋" w:eastAsia="仿宋" w:hint="eastAsia"/>
          <w:bCs/>
          <w:color w:val="auto"/>
          <w:sz w:val="32"/>
          <w:szCs w:val="32"/>
          <w:lang w:val="en-US" w:eastAsia="zh-CN"/>
        </w:rPr>
        <w:t>（项</w:t>
      </w:r>
      <w:r>
        <w:rPr>
          <w:rStyle w:val="28"/>
          <w:rFonts w:ascii="仿宋" w:eastAsia="仿宋" w:hint="eastAsia"/>
          <w:bCs/>
          <w:color w:val="auto"/>
          <w:sz w:val="32"/>
          <w:szCs w:val="32"/>
        </w:rPr>
        <w:t>）</w:t>
      </w:r>
      <w:r>
        <w:rPr>
          <w:rStyle w:val="28"/>
          <w:rFonts w:ascii="仿宋" w:eastAsia="仿宋" w:hint="eastAsia"/>
          <w:bCs/>
          <w:color w:val="auto"/>
          <w:sz w:val="32"/>
          <w:szCs w:val="32"/>
          <w:lang w:eastAsia="zh-CN"/>
        </w:rPr>
        <w:t>：</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81.92</w:t>
      </w:r>
      <w:r>
        <w:rPr>
          <w:rFonts w:ascii="仿宋_GB2312" w:eastAsia="仿宋_GB2312" w:hint="eastAsia"/>
          <w:color w:val="auto"/>
          <w:spacing w:val="-2"/>
          <w:sz w:val="32"/>
          <w:szCs w:val="32"/>
          <w:lang w:eastAsia="zh-CN"/>
        </w:rPr>
        <w:t>万元，完成预算100%，决算数等于预算数。</w:t>
      </w:r>
    </w:p>
    <w:p>
      <w:pPr>
        <w:spacing w:line="600" w:lineRule="exact"/>
        <w:ind w:firstLineChars="200" w:firstLine="640"/>
        <w:rPr>
          <w:rStyle w:val="28"/>
          <w:rFonts w:ascii="仿宋" w:eastAsia="仿宋" w:hint="eastAsia"/>
          <w:b w:val="0"/>
          <w:bCs/>
          <w:color w:val="auto"/>
          <w:sz w:val="32"/>
          <w:szCs w:val="32"/>
        </w:rPr>
      </w:pPr>
      <w:r>
        <w:rPr>
          <w:rStyle w:val="28"/>
          <w:rFonts w:ascii="仿宋" w:eastAsia="仿宋" w:hint="eastAsia"/>
          <w:bCs/>
          <w:color w:val="auto"/>
          <w:sz w:val="32"/>
          <w:szCs w:val="32"/>
          <w:lang w:val="en-US" w:eastAsia="zh-CN"/>
        </w:rPr>
        <w:t>15</w:t>
      </w:r>
      <w:r>
        <w:rPr>
          <w:rStyle w:val="28"/>
          <w:rFonts w:ascii="仿宋" w:eastAsia="仿宋" w:hint="eastAsia"/>
          <w:bCs/>
          <w:color w:val="auto"/>
          <w:sz w:val="32"/>
          <w:szCs w:val="32"/>
        </w:rPr>
        <w:t>.农林水支出（类）</w:t>
      </w:r>
      <w:r>
        <w:rPr>
          <w:rStyle w:val="28"/>
          <w:rFonts w:ascii="仿宋" w:eastAsia="仿宋" w:hint="eastAsia"/>
          <w:bCs/>
          <w:color w:val="auto"/>
          <w:sz w:val="32"/>
          <w:szCs w:val="32"/>
          <w:lang w:eastAsia="zh-CN"/>
        </w:rPr>
        <w:t>农村综合改革</w:t>
      </w:r>
      <w:r>
        <w:rPr>
          <w:rStyle w:val="28"/>
          <w:rFonts w:ascii="仿宋" w:eastAsia="仿宋" w:hint="eastAsia"/>
          <w:bCs/>
          <w:color w:val="auto"/>
          <w:sz w:val="32"/>
          <w:szCs w:val="32"/>
        </w:rPr>
        <w:t>（款）对村民委员会和村党支部的补助（项）：</w:t>
      </w:r>
      <w:r>
        <w:rPr>
          <w:rStyle w:val="28"/>
          <w:rFonts w:ascii="仿宋" w:eastAsia="仿宋" w:hint="eastAsia"/>
          <w:b w:val="0"/>
          <w:bCs/>
          <w:color w:val="auto"/>
          <w:sz w:val="32"/>
          <w:szCs w:val="32"/>
        </w:rPr>
        <w:t>支出决算为</w:t>
      </w:r>
      <w:r>
        <w:rPr>
          <w:rStyle w:val="28"/>
          <w:rFonts w:ascii="仿宋" w:eastAsia="仿宋" w:hint="eastAsia"/>
          <w:b w:val="0"/>
          <w:bCs/>
          <w:color w:val="auto"/>
          <w:sz w:val="32"/>
          <w:szCs w:val="32"/>
          <w:lang w:val="en-US" w:eastAsia="zh-CN"/>
        </w:rPr>
        <w:t>171.98</w:t>
      </w:r>
      <w:r>
        <w:rPr>
          <w:rStyle w:val="28"/>
          <w:rFonts w:ascii="仿宋" w:eastAsia="仿宋" w:hint="eastAsia"/>
          <w:b w:val="0"/>
          <w:bCs/>
          <w:color w:val="auto"/>
          <w:sz w:val="32"/>
          <w:szCs w:val="32"/>
        </w:rPr>
        <w:t>万元，完成预算100</w:t>
      </w:r>
      <w:r>
        <w:rPr>
          <w:rStyle w:val="28"/>
          <w:rFonts w:ascii="仿宋" w:eastAsia="仿宋"/>
          <w:b w:val="0"/>
          <w:bCs/>
          <w:color w:val="auto"/>
          <w:sz w:val="32"/>
          <w:szCs w:val="32"/>
        </w:rPr>
        <w:t>%</w:t>
      </w:r>
      <w:r>
        <w:rPr>
          <w:rStyle w:val="28"/>
          <w:rFonts w:ascii="仿宋" w:eastAsia="仿宋" w:hint="eastAsia"/>
          <w:b w:val="0"/>
          <w:bCs/>
          <w:color w:val="auto"/>
          <w:sz w:val="32"/>
          <w:szCs w:val="32"/>
        </w:rPr>
        <w:t>，决算数等于预算数。</w:t>
      </w:r>
    </w:p>
    <w:p>
      <w:pPr>
        <w:spacing w:line="600" w:lineRule="exact"/>
        <w:ind w:firstLineChars="200" w:firstLine="640"/>
        <w:rPr>
          <w:rStyle w:val="28"/>
          <w:rFonts w:ascii="仿宋" w:eastAsia="仿宋" w:hint="eastAsia"/>
          <w:b w:val="0"/>
          <w:bCs/>
          <w:color w:val="auto"/>
          <w:sz w:val="32"/>
          <w:szCs w:val="32"/>
          <w:lang w:eastAsia="zh-CN"/>
        </w:rPr>
      </w:pPr>
      <w:r>
        <w:rPr>
          <w:rStyle w:val="28"/>
          <w:rFonts w:ascii="仿宋" w:eastAsia="仿宋" w:hint="eastAsia"/>
          <w:bCs/>
          <w:color w:val="auto"/>
          <w:sz w:val="32"/>
          <w:szCs w:val="32"/>
          <w:lang w:val="en-US" w:eastAsia="zh-CN"/>
        </w:rPr>
        <w:t>16</w:t>
      </w:r>
      <w:r>
        <w:rPr>
          <w:rStyle w:val="28"/>
          <w:rFonts w:ascii="仿宋" w:eastAsia="仿宋" w:hint="eastAsia"/>
          <w:bCs/>
          <w:color w:val="auto"/>
          <w:sz w:val="32"/>
          <w:szCs w:val="32"/>
        </w:rPr>
        <w:t>.</w:t>
      </w:r>
      <w:r>
        <w:rPr>
          <w:rStyle w:val="28"/>
          <w:rFonts w:ascii="仿宋" w:eastAsia="仿宋" w:hint="eastAsia"/>
          <w:bCs/>
          <w:color w:val="auto"/>
          <w:sz w:val="32"/>
          <w:szCs w:val="32"/>
          <w:lang w:eastAsia="zh-CN"/>
        </w:rPr>
        <w:t>住房保障支出</w:t>
      </w:r>
      <w:r>
        <w:rPr>
          <w:rStyle w:val="28"/>
          <w:rFonts w:ascii="仿宋" w:eastAsia="仿宋" w:hint="eastAsia"/>
          <w:bCs/>
          <w:color w:val="auto"/>
          <w:sz w:val="32"/>
          <w:szCs w:val="32"/>
        </w:rPr>
        <w:t>（类）</w:t>
      </w:r>
      <w:r>
        <w:rPr>
          <w:rStyle w:val="28"/>
          <w:rFonts w:ascii="仿宋" w:eastAsia="仿宋" w:hint="eastAsia"/>
          <w:bCs/>
          <w:color w:val="auto"/>
          <w:sz w:val="32"/>
          <w:szCs w:val="32"/>
          <w:lang w:eastAsia="zh-CN"/>
        </w:rPr>
        <w:t>住房改革支出</w:t>
      </w:r>
      <w:r>
        <w:rPr>
          <w:rStyle w:val="28"/>
          <w:rFonts w:ascii="仿宋" w:eastAsia="仿宋" w:hint="eastAsia"/>
          <w:bCs/>
          <w:color w:val="auto"/>
          <w:sz w:val="32"/>
          <w:szCs w:val="32"/>
        </w:rPr>
        <w:t>（款）</w:t>
      </w:r>
      <w:r>
        <w:rPr>
          <w:rStyle w:val="28"/>
          <w:rFonts w:ascii="仿宋" w:eastAsia="仿宋" w:hint="eastAsia"/>
          <w:bCs/>
          <w:color w:val="auto"/>
          <w:sz w:val="32"/>
          <w:szCs w:val="32"/>
          <w:lang w:eastAsia="zh-CN"/>
        </w:rPr>
        <w:t>住房公积金</w:t>
      </w:r>
      <w:r>
        <w:rPr>
          <w:rStyle w:val="28"/>
          <w:rFonts w:ascii="仿宋" w:eastAsia="仿宋" w:hint="eastAsia"/>
          <w:bCs/>
          <w:color w:val="auto"/>
          <w:sz w:val="32"/>
          <w:szCs w:val="32"/>
        </w:rPr>
        <w:t>（项）</w:t>
      </w:r>
      <w:r>
        <w:rPr>
          <w:rStyle w:val="28"/>
          <w:rFonts w:ascii="仿宋" w:eastAsia="仿宋"/>
          <w:bCs/>
          <w:color w:val="auto"/>
          <w:sz w:val="32"/>
          <w:szCs w:val="32"/>
        </w:rPr>
        <w:t>:</w:t>
      </w:r>
      <w:r>
        <w:rPr>
          <w:rStyle w:val="28"/>
          <w:rFonts w:ascii="仿宋" w:eastAsia="仿宋" w:hint="eastAsia"/>
          <w:b w:val="0"/>
          <w:bCs/>
          <w:color w:val="auto"/>
          <w:sz w:val="32"/>
          <w:szCs w:val="32"/>
        </w:rPr>
        <w:t>支出决算为</w:t>
      </w:r>
      <w:r>
        <w:rPr>
          <w:rStyle w:val="28"/>
          <w:rFonts w:ascii="仿宋" w:eastAsia="仿宋" w:hint="eastAsia"/>
          <w:b w:val="0"/>
          <w:bCs/>
          <w:color w:val="auto"/>
          <w:sz w:val="32"/>
          <w:szCs w:val="32"/>
          <w:lang w:val="en-US" w:eastAsia="zh-CN"/>
        </w:rPr>
        <w:t>70.57</w:t>
      </w:r>
      <w:r>
        <w:rPr>
          <w:rStyle w:val="28"/>
          <w:rFonts w:ascii="仿宋" w:eastAsia="仿宋" w:hint="eastAsia"/>
          <w:b w:val="0"/>
          <w:bCs/>
          <w:color w:val="auto"/>
          <w:sz w:val="32"/>
          <w:szCs w:val="32"/>
        </w:rPr>
        <w:t>万元，完成预算100</w:t>
      </w:r>
      <w:r>
        <w:rPr>
          <w:rStyle w:val="28"/>
          <w:rFonts w:ascii="仿宋" w:eastAsia="仿宋"/>
          <w:b w:val="0"/>
          <w:bCs/>
          <w:color w:val="auto"/>
          <w:sz w:val="32"/>
          <w:szCs w:val="32"/>
        </w:rPr>
        <w:t>%</w:t>
      </w:r>
      <w:r>
        <w:rPr>
          <w:rStyle w:val="28"/>
          <w:rFonts w:ascii="仿宋" w:eastAsia="仿宋" w:hint="eastAsia"/>
          <w:b w:val="0"/>
          <w:bCs/>
          <w:color w:val="auto"/>
          <w:sz w:val="32"/>
          <w:szCs w:val="32"/>
        </w:rPr>
        <w:t>，决算数等于预算数</w:t>
      </w:r>
      <w:r>
        <w:rPr>
          <w:rStyle w:val="28"/>
          <w:rFonts w:ascii="仿宋" w:eastAsia="仿宋" w:hint="eastAsia"/>
          <w:b w:val="0"/>
          <w:bCs/>
          <w:color w:val="auto"/>
          <w:sz w:val="32"/>
          <w:szCs w:val="32"/>
          <w:lang w:eastAsia="zh-CN"/>
        </w:rPr>
        <w:t>。</w:t>
      </w:r>
    </w:p>
    <w:p>
      <w:pPr>
        <w:spacing w:line="600" w:lineRule="exact"/>
        <w:ind w:firstLineChars="200" w:firstLine="640"/>
        <w:rPr>
          <w:rStyle w:val="28"/>
          <w:rFonts w:ascii="仿宋" w:eastAsia="仿宋" w:hint="eastAsia"/>
          <w:b w:val="0"/>
          <w:bCs/>
          <w:color w:val="auto"/>
          <w:sz w:val="32"/>
          <w:szCs w:val="32"/>
          <w:lang w:eastAsia="zh-CN"/>
        </w:rPr>
      </w:pPr>
      <w:r>
        <w:rPr>
          <w:rStyle w:val="28"/>
          <w:rFonts w:ascii="仿宋" w:eastAsia="仿宋" w:hint="eastAsia"/>
          <w:bCs/>
          <w:color w:val="auto"/>
          <w:sz w:val="32"/>
          <w:szCs w:val="32"/>
          <w:lang w:val="en-US" w:eastAsia="zh-CN"/>
        </w:rPr>
        <w:t>17</w:t>
      </w:r>
      <w:r>
        <w:rPr>
          <w:rStyle w:val="28"/>
          <w:rFonts w:ascii="仿宋" w:eastAsia="仿宋" w:hint="eastAsia"/>
          <w:bCs/>
          <w:color w:val="auto"/>
          <w:sz w:val="32"/>
          <w:szCs w:val="32"/>
        </w:rPr>
        <w:t>.</w:t>
      </w:r>
      <w:r>
        <w:rPr>
          <w:rStyle w:val="28"/>
          <w:rFonts w:ascii="仿宋" w:eastAsia="仿宋" w:hint="eastAsia"/>
          <w:bCs/>
          <w:color w:val="auto"/>
          <w:sz w:val="32"/>
          <w:szCs w:val="32"/>
          <w:lang w:eastAsia="zh-CN"/>
        </w:rPr>
        <w:t>住房保障支出</w:t>
      </w:r>
      <w:r>
        <w:rPr>
          <w:rStyle w:val="28"/>
          <w:rFonts w:ascii="仿宋" w:eastAsia="仿宋" w:hint="eastAsia"/>
          <w:bCs/>
          <w:color w:val="auto"/>
          <w:sz w:val="32"/>
          <w:szCs w:val="32"/>
        </w:rPr>
        <w:t>（类）</w:t>
      </w:r>
      <w:r>
        <w:rPr>
          <w:rStyle w:val="28"/>
          <w:rFonts w:ascii="仿宋" w:eastAsia="仿宋" w:hint="eastAsia"/>
          <w:bCs/>
          <w:color w:val="auto"/>
          <w:sz w:val="32"/>
          <w:szCs w:val="32"/>
          <w:lang w:eastAsia="zh-CN"/>
        </w:rPr>
        <w:t>住房改革支出</w:t>
      </w:r>
      <w:r>
        <w:rPr>
          <w:rStyle w:val="28"/>
          <w:rFonts w:ascii="仿宋" w:eastAsia="仿宋" w:hint="eastAsia"/>
          <w:bCs/>
          <w:color w:val="auto"/>
          <w:sz w:val="32"/>
          <w:szCs w:val="32"/>
        </w:rPr>
        <w:t>（款）</w:t>
      </w:r>
      <w:r>
        <w:rPr>
          <w:rStyle w:val="28"/>
          <w:rFonts w:ascii="仿宋" w:eastAsia="仿宋" w:hint="eastAsia"/>
          <w:bCs/>
          <w:color w:val="auto"/>
          <w:sz w:val="32"/>
          <w:szCs w:val="32"/>
          <w:lang w:val="en-US" w:eastAsia="zh-CN"/>
        </w:rPr>
        <w:t>购房补贴</w:t>
      </w:r>
      <w:r>
        <w:rPr>
          <w:rStyle w:val="28"/>
          <w:rFonts w:ascii="仿宋" w:eastAsia="仿宋" w:hint="eastAsia"/>
          <w:bCs/>
          <w:color w:val="auto"/>
          <w:sz w:val="32"/>
          <w:szCs w:val="32"/>
        </w:rPr>
        <w:t>（项）</w:t>
      </w:r>
      <w:r>
        <w:rPr>
          <w:rStyle w:val="28"/>
          <w:rFonts w:ascii="仿宋" w:eastAsia="仿宋"/>
          <w:bCs/>
          <w:color w:val="auto"/>
          <w:sz w:val="32"/>
          <w:szCs w:val="32"/>
        </w:rPr>
        <w:t>:</w:t>
      </w:r>
      <w:r>
        <w:rPr>
          <w:rStyle w:val="28"/>
          <w:rFonts w:ascii="仿宋" w:eastAsia="仿宋" w:hint="eastAsia"/>
          <w:b w:val="0"/>
          <w:bCs/>
          <w:color w:val="auto"/>
          <w:sz w:val="32"/>
          <w:szCs w:val="32"/>
        </w:rPr>
        <w:t>支出决算为</w:t>
      </w:r>
      <w:r>
        <w:rPr>
          <w:rStyle w:val="28"/>
          <w:rFonts w:ascii="仿宋" w:eastAsia="仿宋" w:hint="eastAsia"/>
          <w:b w:val="0"/>
          <w:bCs/>
          <w:color w:val="auto"/>
          <w:sz w:val="32"/>
          <w:szCs w:val="32"/>
          <w:lang w:val="en-US" w:eastAsia="zh-CN"/>
        </w:rPr>
        <w:t>8.2</w:t>
      </w:r>
      <w:r>
        <w:rPr>
          <w:rStyle w:val="28"/>
          <w:rFonts w:ascii="仿宋" w:eastAsia="仿宋" w:hint="eastAsia"/>
          <w:b w:val="0"/>
          <w:bCs/>
          <w:color w:val="auto"/>
          <w:sz w:val="32"/>
          <w:szCs w:val="32"/>
        </w:rPr>
        <w:t>万元，完成预算100</w:t>
      </w:r>
      <w:r>
        <w:rPr>
          <w:rStyle w:val="28"/>
          <w:rFonts w:ascii="仿宋" w:eastAsia="仿宋"/>
          <w:b w:val="0"/>
          <w:bCs/>
          <w:color w:val="auto"/>
          <w:sz w:val="32"/>
          <w:szCs w:val="32"/>
        </w:rPr>
        <w:t>%</w:t>
      </w:r>
      <w:r>
        <w:rPr>
          <w:rStyle w:val="28"/>
          <w:rFonts w:ascii="仿宋" w:eastAsia="仿宋" w:hint="eastAsia"/>
          <w:b w:val="0"/>
          <w:bCs/>
          <w:color w:val="auto"/>
          <w:sz w:val="32"/>
          <w:szCs w:val="32"/>
        </w:rPr>
        <w:t>，决算数等于预算数</w:t>
      </w:r>
      <w:r>
        <w:rPr>
          <w:rStyle w:val="28"/>
          <w:rFonts w:ascii="仿宋" w:eastAsia="仿宋" w:hint="eastAsia"/>
          <w:b w:val="0"/>
          <w:bCs/>
          <w:color w:val="auto"/>
          <w:sz w:val="32"/>
          <w:szCs w:val="32"/>
          <w:lang w:eastAsia="zh-CN"/>
        </w:rPr>
        <w:t>。</w:t>
      </w:r>
    </w:p>
    <w:p>
      <w:pPr>
        <w:spacing w:line="600" w:lineRule="exact"/>
        <w:ind w:firstLineChars="200" w:firstLine="640"/>
        <w:rPr>
          <w:rFonts w:hint="eastAsia"/>
          <w:color w:val="auto"/>
          <w:lang w:eastAsia="zh-CN"/>
        </w:rPr>
      </w:pPr>
      <w:r>
        <w:rPr>
          <w:rStyle w:val="28"/>
          <w:rFonts w:ascii="仿宋" w:eastAsia="仿宋" w:hint="eastAsia"/>
          <w:bCs/>
          <w:color w:val="auto"/>
          <w:sz w:val="32"/>
          <w:szCs w:val="32"/>
          <w:lang w:val="en-US" w:eastAsia="zh-CN"/>
        </w:rPr>
        <w:t>18</w:t>
      </w:r>
      <w:r>
        <w:rPr>
          <w:rStyle w:val="28"/>
          <w:rFonts w:ascii="仿宋" w:eastAsia="仿宋" w:hint="eastAsia"/>
          <w:bCs/>
          <w:color w:val="auto"/>
          <w:sz w:val="32"/>
          <w:szCs w:val="32"/>
        </w:rPr>
        <w:t>.</w:t>
      </w:r>
      <w:r>
        <w:rPr>
          <w:rStyle w:val="28"/>
          <w:rFonts w:ascii="仿宋" w:eastAsia="仿宋" w:hint="eastAsia"/>
          <w:bCs/>
          <w:color w:val="auto"/>
          <w:sz w:val="32"/>
          <w:szCs w:val="32"/>
          <w:lang w:val="en-US" w:eastAsia="zh-CN"/>
        </w:rPr>
        <w:t>城乡社区支出</w:t>
      </w:r>
      <w:r>
        <w:rPr>
          <w:rStyle w:val="28"/>
          <w:rFonts w:ascii="仿宋" w:eastAsia="仿宋" w:hint="eastAsia"/>
          <w:bCs/>
          <w:color w:val="auto"/>
          <w:sz w:val="32"/>
          <w:szCs w:val="32"/>
        </w:rPr>
        <w:t>（类）</w:t>
      </w:r>
      <w:r>
        <w:rPr>
          <w:rStyle w:val="28"/>
          <w:rFonts w:ascii="仿宋" w:eastAsia="仿宋" w:hint="eastAsia"/>
          <w:bCs/>
          <w:color w:val="auto"/>
          <w:sz w:val="32"/>
          <w:szCs w:val="32"/>
          <w:lang w:val="en-US" w:eastAsia="zh-CN"/>
        </w:rPr>
        <w:t>城乡社区环境卫生</w:t>
      </w:r>
      <w:r>
        <w:rPr>
          <w:rStyle w:val="28"/>
          <w:rFonts w:ascii="仿宋" w:eastAsia="仿宋" w:hint="eastAsia"/>
          <w:bCs/>
          <w:color w:val="auto"/>
          <w:sz w:val="32"/>
          <w:szCs w:val="32"/>
        </w:rPr>
        <w:t>（款）</w:t>
      </w:r>
      <w:r>
        <w:rPr>
          <w:rStyle w:val="28"/>
          <w:rFonts w:ascii="仿宋" w:eastAsia="仿宋" w:hint="eastAsia"/>
          <w:bCs/>
          <w:color w:val="auto"/>
          <w:sz w:val="32"/>
          <w:szCs w:val="32"/>
          <w:lang w:val="en-US" w:eastAsia="zh-CN"/>
        </w:rPr>
        <w:t>城乡社区环境卫生</w:t>
      </w:r>
      <w:r>
        <w:rPr>
          <w:rStyle w:val="28"/>
          <w:rFonts w:ascii="仿宋" w:eastAsia="仿宋" w:hint="eastAsia"/>
          <w:bCs/>
          <w:color w:val="auto"/>
          <w:sz w:val="32"/>
          <w:szCs w:val="32"/>
        </w:rPr>
        <w:t>（项）</w:t>
      </w:r>
      <w:r>
        <w:rPr>
          <w:rStyle w:val="28"/>
          <w:rFonts w:ascii="仿宋" w:eastAsia="仿宋"/>
          <w:bCs/>
          <w:color w:val="auto"/>
          <w:sz w:val="32"/>
          <w:szCs w:val="32"/>
        </w:rPr>
        <w:t>:</w:t>
      </w:r>
      <w:r>
        <w:rPr>
          <w:rStyle w:val="28"/>
          <w:rFonts w:ascii="仿宋" w:eastAsia="仿宋" w:hint="eastAsia"/>
          <w:b w:val="0"/>
          <w:bCs/>
          <w:color w:val="auto"/>
          <w:sz w:val="32"/>
          <w:szCs w:val="32"/>
        </w:rPr>
        <w:t>支出决算为</w:t>
      </w:r>
      <w:r>
        <w:rPr>
          <w:rStyle w:val="28"/>
          <w:rFonts w:ascii="仿宋" w:eastAsia="仿宋" w:hint="eastAsia"/>
          <w:b w:val="0"/>
          <w:bCs/>
          <w:color w:val="auto"/>
          <w:sz w:val="32"/>
          <w:szCs w:val="32"/>
          <w:lang w:val="en-US" w:eastAsia="zh-CN"/>
        </w:rPr>
        <w:t>15.00</w:t>
      </w:r>
      <w:r>
        <w:rPr>
          <w:rStyle w:val="28"/>
          <w:rFonts w:ascii="仿宋" w:eastAsia="仿宋" w:hint="eastAsia"/>
          <w:b w:val="0"/>
          <w:bCs/>
          <w:color w:val="auto"/>
          <w:sz w:val="32"/>
          <w:szCs w:val="32"/>
        </w:rPr>
        <w:t>万元，完成预算100</w:t>
      </w:r>
      <w:r>
        <w:rPr>
          <w:rStyle w:val="28"/>
          <w:rFonts w:ascii="仿宋" w:eastAsia="仿宋"/>
          <w:b w:val="0"/>
          <w:bCs/>
          <w:color w:val="auto"/>
          <w:sz w:val="32"/>
          <w:szCs w:val="32"/>
        </w:rPr>
        <w:t>%</w:t>
      </w:r>
      <w:r>
        <w:rPr>
          <w:rStyle w:val="28"/>
          <w:rFonts w:ascii="仿宋" w:eastAsia="仿宋" w:hint="eastAsia"/>
          <w:b w:val="0"/>
          <w:bCs/>
          <w:color w:val="auto"/>
          <w:sz w:val="32"/>
          <w:szCs w:val="32"/>
        </w:rPr>
        <w:t>，决算数等于预算数</w:t>
      </w:r>
      <w:r>
        <w:rPr>
          <w:rStyle w:val="28"/>
          <w:rFonts w:ascii="仿宋" w:eastAsia="仿宋" w:hint="eastAsia"/>
          <w:b w:val="0"/>
          <w:bCs/>
          <w:color w:val="auto"/>
          <w:sz w:val="32"/>
          <w:szCs w:val="32"/>
          <w:lang w:eastAsia="zh-CN"/>
        </w:rPr>
        <w:t>。</w:t>
      </w:r>
    </w:p>
    <w:p>
      <w:pPr>
        <w:spacing w:line="600" w:lineRule="exact"/>
        <w:ind w:firstLineChars="200" w:firstLine="640"/>
        <w:rPr>
          <w:rStyle w:val="28"/>
          <w:rFonts w:ascii="仿宋" w:eastAsia="仿宋" w:hint="eastAsia"/>
          <w:b w:val="0"/>
          <w:bCs/>
          <w:color w:val="auto"/>
          <w:sz w:val="32"/>
          <w:szCs w:val="32"/>
          <w:lang w:eastAsia="zh-CN"/>
        </w:rPr>
      </w:pPr>
      <w:r>
        <w:rPr>
          <w:rStyle w:val="28"/>
          <w:rFonts w:ascii="仿宋" w:eastAsia="仿宋" w:hint="eastAsia"/>
          <w:bCs/>
          <w:color w:val="auto"/>
          <w:sz w:val="32"/>
          <w:szCs w:val="32"/>
          <w:lang w:val="en-US" w:eastAsia="zh-CN"/>
        </w:rPr>
        <w:t xml:space="preserve">19 </w:t>
      </w:r>
      <w:r>
        <w:rPr>
          <w:rStyle w:val="28"/>
          <w:rFonts w:ascii="仿宋" w:eastAsia="仿宋" w:hint="eastAsia"/>
          <w:bCs/>
          <w:color w:val="auto"/>
          <w:sz w:val="32"/>
          <w:szCs w:val="32"/>
        </w:rPr>
        <w:t>.</w:t>
      </w:r>
      <w:r>
        <w:rPr>
          <w:rStyle w:val="28"/>
          <w:rFonts w:ascii="仿宋" w:eastAsia="仿宋" w:hint="eastAsia"/>
          <w:bCs/>
          <w:color w:val="auto"/>
          <w:sz w:val="32"/>
          <w:szCs w:val="32"/>
          <w:lang w:val="en-US" w:eastAsia="zh-CN"/>
        </w:rPr>
        <w:t>国有资本经营预算支出（类）解决历史遗留问题及改革成本支出（款）国有企业退休人员社会化管理补助支出（项）:</w:t>
      </w:r>
      <w:r>
        <w:rPr>
          <w:rStyle w:val="28"/>
          <w:rFonts w:ascii="仿宋" w:eastAsia="仿宋" w:hint="eastAsia"/>
          <w:b w:val="0"/>
          <w:bCs/>
          <w:color w:val="auto"/>
          <w:sz w:val="32"/>
          <w:szCs w:val="32"/>
          <w:lang w:val="en-US" w:eastAsia="zh-CN"/>
        </w:rPr>
        <w:t>支</w:t>
      </w:r>
      <w:r>
        <w:rPr>
          <w:rStyle w:val="28"/>
          <w:rFonts w:ascii="仿宋" w:eastAsia="仿宋" w:hint="eastAsia"/>
          <w:b w:val="0"/>
          <w:bCs/>
          <w:color w:val="auto"/>
          <w:sz w:val="32"/>
          <w:szCs w:val="32"/>
        </w:rPr>
        <w:t>出决算为</w:t>
      </w:r>
      <w:r>
        <w:rPr>
          <w:rStyle w:val="28"/>
          <w:rFonts w:ascii="仿宋" w:eastAsia="仿宋" w:hint="eastAsia"/>
          <w:b w:val="0"/>
          <w:bCs/>
          <w:color w:val="auto"/>
          <w:sz w:val="32"/>
          <w:szCs w:val="32"/>
          <w:lang w:val="en-US" w:eastAsia="zh-CN"/>
        </w:rPr>
        <w:t>0.05</w:t>
      </w:r>
      <w:r>
        <w:rPr>
          <w:rStyle w:val="28"/>
          <w:rFonts w:ascii="仿宋" w:eastAsia="仿宋" w:hint="eastAsia"/>
          <w:b w:val="0"/>
          <w:bCs/>
          <w:color w:val="auto"/>
          <w:sz w:val="32"/>
          <w:szCs w:val="32"/>
        </w:rPr>
        <w:t>万元，完成预算100</w:t>
      </w:r>
      <w:r>
        <w:rPr>
          <w:rStyle w:val="28"/>
          <w:rFonts w:ascii="仿宋" w:eastAsia="仿宋"/>
          <w:b w:val="0"/>
          <w:bCs/>
          <w:color w:val="auto"/>
          <w:sz w:val="32"/>
          <w:szCs w:val="32"/>
        </w:rPr>
        <w:t>%</w:t>
      </w:r>
      <w:r>
        <w:rPr>
          <w:rStyle w:val="28"/>
          <w:rFonts w:ascii="仿宋" w:eastAsia="仿宋" w:hint="eastAsia"/>
          <w:b w:val="0"/>
          <w:bCs/>
          <w:color w:val="auto"/>
          <w:sz w:val="32"/>
          <w:szCs w:val="32"/>
        </w:rPr>
        <w:t>，决算数等于预算数</w:t>
      </w:r>
      <w:r>
        <w:rPr>
          <w:rStyle w:val="28"/>
          <w:rFonts w:ascii="仿宋" w:eastAsia="仿宋" w:hint="eastAsia"/>
          <w:b w:val="0"/>
          <w:bCs/>
          <w:color w:val="auto"/>
          <w:sz w:val="32"/>
          <w:szCs w:val="32"/>
          <w:lang w:eastAsia="zh-CN"/>
        </w:rPr>
        <w:t>。</w:t>
      </w:r>
    </w:p>
    <w:p>
      <w:pPr>
        <w:spacing w:line="600" w:lineRule="exact"/>
        <w:ind w:left="0" w:firstLineChars="200" w:firstLine="640"/>
        <w:rPr>
          <w:rFonts w:hint="eastAsia"/>
          <w:color w:val="auto"/>
        </w:rPr>
      </w:pPr>
      <w:r>
        <w:rPr>
          <w:rStyle w:val="28"/>
          <w:rFonts w:ascii="仿宋" w:eastAsia="仿宋" w:hint="eastAsia"/>
          <w:bCs/>
          <w:color w:val="auto"/>
          <w:sz w:val="32"/>
          <w:szCs w:val="32"/>
          <w:lang w:val="en-US" w:eastAsia="zh-CN"/>
        </w:rPr>
        <w:t>20.</w:t>
      </w:r>
      <w:r>
        <w:rPr>
          <w:rStyle w:val="28"/>
          <w:rFonts w:ascii="仿宋" w:eastAsia="仿宋" w:hint="eastAsia"/>
          <w:bCs/>
          <w:color w:val="auto"/>
          <w:sz w:val="32"/>
          <w:szCs w:val="32"/>
        </w:rPr>
        <w:t>一般公共服务（类）</w:t>
      </w:r>
      <w:r>
        <w:rPr>
          <w:rStyle w:val="28"/>
          <w:rFonts w:ascii="仿宋" w:eastAsia="仿宋" w:hint="eastAsia"/>
          <w:bCs/>
          <w:color w:val="auto"/>
          <w:sz w:val="32"/>
          <w:szCs w:val="32"/>
          <w:lang w:val="en-US" w:eastAsia="zh-CN"/>
        </w:rPr>
        <w:t>政府</w:t>
      </w:r>
      <w:r>
        <w:rPr>
          <w:rStyle w:val="28"/>
          <w:rFonts w:ascii="仿宋" w:eastAsia="仿宋" w:hint="eastAsia"/>
          <w:bCs/>
          <w:color w:val="auto"/>
          <w:sz w:val="32"/>
          <w:szCs w:val="32"/>
        </w:rPr>
        <w:t>办公室（室）及相关机构事务（款）一般行政管理事务（项）</w:t>
      </w:r>
      <w:r>
        <w:rPr>
          <w:rStyle w:val="28"/>
          <w:rFonts w:ascii="仿宋" w:eastAsia="仿宋"/>
          <w:bCs/>
          <w:color w:val="auto"/>
          <w:sz w:val="32"/>
          <w:szCs w:val="32"/>
        </w:rPr>
        <w:t>:</w:t>
      </w:r>
      <w:r>
        <w:rPr>
          <w:rStyle w:val="28"/>
          <w:rFonts w:ascii="仿宋" w:eastAsia="仿宋"/>
          <w:b w:val="0"/>
          <w:bCs/>
          <w:color w:val="auto"/>
          <w:sz w:val="32"/>
          <w:szCs w:val="32"/>
        </w:rPr>
        <w:t xml:space="preserve"> </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6.08</w:t>
      </w:r>
      <w:r>
        <w:rPr>
          <w:rFonts w:ascii="仿宋_GB2312" w:eastAsia="仿宋_GB2312" w:hint="eastAsia"/>
          <w:color w:val="auto"/>
          <w:spacing w:val="-2"/>
          <w:sz w:val="32"/>
          <w:szCs w:val="32"/>
          <w:lang w:eastAsia="zh-CN"/>
        </w:rPr>
        <w:t>万元，完成预算100%。决算数等于预算数。</w:t>
      </w:r>
    </w:p>
    <w:p>
      <w:pPr>
        <w:pStyle w:val="15"/>
        <w:ind w:leftChars="0" w:left="0" w:firstLineChars="200" w:firstLine="640"/>
        <w:rPr>
          <w:rFonts w:ascii="仿宋_GB2312" w:eastAsia="仿宋_GB2312" w:hint="eastAsia"/>
          <w:color w:val="auto"/>
          <w:spacing w:val="-2"/>
          <w:sz w:val="32"/>
          <w:szCs w:val="32"/>
          <w:lang w:eastAsia="zh-CN"/>
        </w:rPr>
      </w:pPr>
      <w:r>
        <w:rPr>
          <w:rStyle w:val="28"/>
          <w:rFonts w:ascii="仿宋" w:eastAsia="仿宋" w:hint="eastAsia"/>
          <w:bCs/>
          <w:color w:val="auto"/>
          <w:sz w:val="32"/>
          <w:szCs w:val="32"/>
          <w:lang w:val="en-US" w:eastAsia="zh-CN"/>
        </w:rPr>
        <w:t>21.</w:t>
      </w:r>
      <w:r>
        <w:rPr>
          <w:rStyle w:val="28"/>
          <w:rFonts w:ascii="仿宋" w:eastAsia="仿宋" w:hint="eastAsia"/>
          <w:bCs/>
          <w:color w:val="auto"/>
          <w:sz w:val="32"/>
          <w:szCs w:val="32"/>
        </w:rPr>
        <w:t>一般公共服务（类）</w:t>
      </w:r>
      <w:r>
        <w:rPr>
          <w:rStyle w:val="28"/>
          <w:rFonts w:ascii="仿宋" w:eastAsia="仿宋" w:hint="eastAsia"/>
          <w:bCs/>
          <w:color w:val="auto"/>
          <w:sz w:val="32"/>
          <w:szCs w:val="32"/>
          <w:lang w:val="en-US" w:eastAsia="zh-CN"/>
        </w:rPr>
        <w:t>政府</w:t>
      </w:r>
      <w:r>
        <w:rPr>
          <w:rStyle w:val="28"/>
          <w:rFonts w:ascii="仿宋" w:eastAsia="仿宋" w:hint="eastAsia"/>
          <w:bCs/>
          <w:color w:val="auto"/>
          <w:sz w:val="32"/>
          <w:szCs w:val="32"/>
        </w:rPr>
        <w:t>办公室（室）及相关机构事务（款）其他政府办公厅（室）及相关机构事务支出（项）</w:t>
      </w:r>
      <w:r>
        <w:rPr>
          <w:rStyle w:val="28"/>
          <w:rFonts w:ascii="仿宋" w:eastAsia="仿宋"/>
          <w:bCs/>
          <w:color w:val="auto"/>
          <w:sz w:val="32"/>
          <w:szCs w:val="32"/>
        </w:rPr>
        <w:t>:</w:t>
      </w:r>
      <w:r>
        <w:rPr>
          <w:rStyle w:val="28"/>
          <w:rFonts w:ascii="仿宋" w:eastAsia="仿宋"/>
          <w:b w:val="0"/>
          <w:bCs/>
          <w:color w:val="auto"/>
          <w:sz w:val="32"/>
          <w:szCs w:val="32"/>
        </w:rPr>
        <w:t xml:space="preserve"> </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54.54</w:t>
      </w:r>
      <w:r>
        <w:rPr>
          <w:rFonts w:ascii="仿宋_GB2312" w:eastAsia="仿宋_GB2312" w:hint="eastAsia"/>
          <w:color w:val="auto"/>
          <w:spacing w:val="-2"/>
          <w:sz w:val="32"/>
          <w:szCs w:val="32"/>
          <w:lang w:eastAsia="zh-CN"/>
        </w:rPr>
        <w:t>万元，完成预算100%。决算数等于预算数。</w:t>
      </w:r>
    </w:p>
    <w:p>
      <w:pPr>
        <w:ind w:firstLineChars="200" w:firstLine="640"/>
        <w:rPr>
          <w:rFonts w:hint="eastAsia"/>
          <w:color w:val="auto"/>
        </w:rPr>
      </w:pPr>
      <w:r>
        <w:rPr>
          <w:rStyle w:val="28"/>
          <w:rFonts w:ascii="仿宋" w:eastAsia="仿宋" w:hint="eastAsia"/>
          <w:bCs/>
          <w:color w:val="auto"/>
          <w:sz w:val="32"/>
          <w:szCs w:val="32"/>
          <w:lang w:val="en-US" w:eastAsia="zh-CN"/>
        </w:rPr>
        <w:t>22.</w:t>
      </w:r>
      <w:r>
        <w:rPr>
          <w:rStyle w:val="28"/>
          <w:rFonts w:ascii="仿宋" w:eastAsia="仿宋" w:hint="eastAsia"/>
          <w:bCs/>
          <w:color w:val="auto"/>
          <w:sz w:val="32"/>
          <w:szCs w:val="32"/>
        </w:rPr>
        <w:t>社会保障和就业（类）民政管理事务（款）</w:t>
      </w:r>
      <w:r>
        <w:rPr>
          <w:rStyle w:val="28"/>
          <w:rFonts w:ascii="仿宋" w:eastAsia="仿宋" w:hint="eastAsia"/>
          <w:bCs/>
          <w:color w:val="auto"/>
          <w:sz w:val="32"/>
          <w:szCs w:val="32"/>
          <w:lang w:val="en-US" w:eastAsia="zh-CN"/>
        </w:rPr>
        <w:t>基层政权建设和社区治理</w:t>
      </w:r>
      <w:r>
        <w:rPr>
          <w:rStyle w:val="28"/>
          <w:rFonts w:ascii="仿宋" w:eastAsia="仿宋" w:hint="eastAsia"/>
          <w:bCs/>
          <w:color w:val="auto"/>
          <w:sz w:val="32"/>
          <w:szCs w:val="32"/>
        </w:rPr>
        <w:t>（项）</w:t>
      </w:r>
      <w:r>
        <w:rPr>
          <w:rStyle w:val="28"/>
          <w:rFonts w:ascii="仿宋" w:eastAsia="仿宋"/>
          <w:bCs/>
          <w:color w:val="auto"/>
          <w:sz w:val="32"/>
          <w:szCs w:val="32"/>
        </w:rPr>
        <w:t>:</w:t>
      </w:r>
      <w:r>
        <w:rPr>
          <w:rFonts w:ascii="仿宋_GB2312" w:eastAsia="仿宋_GB2312" w:hint="eastAsia"/>
          <w:color w:val="auto"/>
          <w:spacing w:val="-2"/>
          <w:sz w:val="32"/>
          <w:szCs w:val="32"/>
          <w:lang w:eastAsia="zh-CN"/>
        </w:rPr>
        <w:t>支出决算为</w:t>
      </w:r>
      <w:r>
        <w:rPr>
          <w:rFonts w:ascii="仿宋_GB2312" w:eastAsia="仿宋_GB2312" w:hint="eastAsia"/>
          <w:color w:val="auto"/>
          <w:spacing w:val="-2"/>
          <w:sz w:val="32"/>
          <w:szCs w:val="32"/>
          <w:lang w:val="en-US" w:eastAsia="zh-CN"/>
        </w:rPr>
        <w:t>15.05</w:t>
      </w:r>
      <w:r>
        <w:rPr>
          <w:rFonts w:ascii="仿宋_GB2312" w:eastAsia="仿宋_GB2312" w:hint="eastAsia"/>
          <w:color w:val="auto"/>
          <w:spacing w:val="-2"/>
          <w:sz w:val="32"/>
          <w:szCs w:val="32"/>
          <w:lang w:eastAsia="zh-CN"/>
        </w:rPr>
        <w:t>万元，完成预算100%，决算数等于预算数。</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（注：仅罗列本部门涉及的全部功能分类科目，至项级。上述“预算”口径为全年预算数。增减变动原因为决算数&lt;项级&gt;和全年预算数&lt;项级&gt;比较，与预算数持平可以不写原因）</w:t>
      </w:r>
    </w:p>
    <w:p>
      <w:pPr>
        <w:tabs>
          <w:tab w:val="right" w:pos="8306"/>
        </w:tabs>
        <w:spacing w:line="600" w:lineRule="exact"/>
        <w:ind w:firstLine="640"/>
        <w:outlineLvl w:val="1"/>
        <w:rPr>
          <w:rStyle w:val="2Char"/>
          <w:rFonts w:ascii="Times New Roman" w:hAnsi="Times New Roman"/>
          <w:color w:val="auto"/>
          <w:highlight w:val="auto"/>
        </w:rPr>
      </w:pPr>
      <w:bookmarkStart w:id="45" w:name="_Toc15377214"/>
      <w:bookmarkStart w:id="46" w:name="_Toc15396608"/>
      <w:r>
        <w:rPr>
          <w:rFonts w:ascii="Times New Roman" w:eastAsia="黑体" w:hAnsi="Times New Roman" w:hint="eastAsia"/>
          <w:color w:val="auto"/>
          <w:sz w:val="32"/>
          <w:szCs w:val="32"/>
          <w:highlight w:val="auto"/>
        </w:rPr>
        <w:t>六</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般公共预算财政拨款基本支出决算情况说明</w:t>
      </w:r>
      <w:bookmarkEnd w:id="45"/>
      <w:bookmarkEnd w:id="46"/>
      <w:r>
        <w:rPr>
          <w:rStyle w:val="2Char"/>
          <w:rFonts w:ascii="Times New Roman" w:eastAsia="黑体" w:hAnsi="Times New Roman"/>
          <w:b w:val="0"/>
          <w:color w:val="auto"/>
          <w:highlight w:val="auto"/>
        </w:rPr>
        <w:tab/>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2024年度一般公共预算财政拨款基本支出</w:t>
      </w:r>
      <w:r>
        <w:rPr>
          <w:rFonts w:ascii="仿宋_GB2312" w:eastAsia="仿宋_GB2312" w:cs="仿宋_GB2312" w:hint="eastAsia"/>
          <w:color w:val="auto"/>
          <w:sz w:val="32"/>
          <w:szCs w:val="32"/>
        </w:rPr>
        <w:t>942.58</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元，其中：</w:t>
      </w:r>
    </w:p>
    <w:p>
      <w:pPr>
        <w:spacing w:line="600" w:lineRule="exact"/>
        <w:ind w:firstLineChars="200" w:firstLine="640"/>
        <w:rPr>
          <w:rFonts w:ascii="仿宋_GB2312" w:eastAsia="仿宋_GB2312" w:hint="eastAsia"/>
          <w:color w:val="auto"/>
          <w:spacing w:val="-2"/>
          <w:sz w:val="32"/>
          <w:szCs w:val="32"/>
          <w:lang w:val="en-US" w:eastAsia="zh-CN"/>
        </w:rPr>
      </w:pPr>
      <w:r>
        <w:rPr>
          <w:rFonts w:ascii="Times New Roman" w:eastAsia="仿宋_GB2312" w:cs="仿宋_GB2312" w:hAnsi="Times New Roman" w:hint="eastAsia"/>
          <w:color w:val="auto"/>
          <w:kern w:val="2"/>
          <w:sz w:val="32"/>
          <w:szCs w:val="32"/>
          <w:lang w:val="en-US" w:eastAsia="zh-CN" w:bidi="ar-SA"/>
          <w:highlight w:val="auto"/>
        </w:rPr>
        <w:t>人员经费</w:t>
      </w:r>
      <w:r>
        <w:rPr>
          <w:rFonts w:ascii="仿宋_GB2312" w:eastAsia="仿宋_GB2312" w:cs="仿宋_GB2312" w:hint="eastAsia"/>
          <w:color w:val="auto"/>
          <w:sz w:val="32"/>
          <w:szCs w:val="32"/>
        </w:rPr>
        <w:t>906.18</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元，主要包括：</w:t>
      </w:r>
      <w:r>
        <w:rPr>
          <w:rFonts w:ascii="仿宋_GB2312" w:eastAsia="仿宋_GB2312" w:hint="eastAsia"/>
          <w:color w:val="auto"/>
          <w:spacing w:val="-2"/>
          <w:sz w:val="32"/>
          <w:szCs w:val="32"/>
          <w:lang w:eastAsia="zh-CN"/>
        </w:rPr>
        <w:t>主要包括：基本工资</w:t>
      </w:r>
      <w:r>
        <w:rPr>
          <w:rFonts w:ascii="仿宋_GB2312" w:eastAsia="仿宋_GB2312" w:hint="eastAsia"/>
          <w:color w:val="auto"/>
          <w:spacing w:val="-2"/>
          <w:sz w:val="32"/>
          <w:szCs w:val="32"/>
          <w:lang w:val="en-US" w:eastAsia="zh-CN"/>
        </w:rPr>
        <w:t>159.67</w:t>
      </w:r>
      <w:r>
        <w:rPr>
          <w:rFonts w:ascii="仿宋_GB2312" w:eastAsia="仿宋_GB2312" w:hint="eastAsia"/>
          <w:color w:val="auto"/>
          <w:spacing w:val="-2"/>
          <w:sz w:val="32"/>
          <w:szCs w:val="32"/>
          <w:lang w:eastAsia="zh-CN"/>
        </w:rPr>
        <w:t>万元、津贴补贴</w:t>
      </w:r>
      <w:r>
        <w:rPr>
          <w:rFonts w:ascii="仿宋_GB2312" w:eastAsia="仿宋_GB2312" w:hint="eastAsia"/>
          <w:color w:val="auto"/>
          <w:spacing w:val="-2"/>
          <w:sz w:val="32"/>
          <w:szCs w:val="32"/>
          <w:lang w:val="en-US" w:eastAsia="zh-CN"/>
        </w:rPr>
        <w:t>200.27</w:t>
      </w:r>
      <w:r>
        <w:rPr>
          <w:rFonts w:ascii="仿宋_GB2312" w:eastAsia="仿宋_GB2312" w:hint="eastAsia"/>
          <w:color w:val="auto"/>
          <w:spacing w:val="-2"/>
          <w:sz w:val="32"/>
          <w:szCs w:val="32"/>
          <w:lang w:eastAsia="zh-CN"/>
        </w:rPr>
        <w:t>万元、奖金</w:t>
      </w:r>
      <w:r>
        <w:rPr>
          <w:rFonts w:ascii="仿宋_GB2312" w:eastAsia="仿宋_GB2312" w:hint="eastAsia"/>
          <w:color w:val="auto"/>
          <w:spacing w:val="-2"/>
          <w:sz w:val="32"/>
          <w:szCs w:val="32"/>
          <w:lang w:val="en-US" w:eastAsia="zh-CN"/>
        </w:rPr>
        <w:t>220.76</w:t>
      </w:r>
      <w:r>
        <w:rPr>
          <w:rFonts w:ascii="仿宋_GB2312" w:eastAsia="仿宋_GB2312" w:hint="eastAsia"/>
          <w:color w:val="auto"/>
          <w:spacing w:val="-2"/>
          <w:sz w:val="32"/>
          <w:szCs w:val="32"/>
          <w:lang w:eastAsia="zh-CN"/>
        </w:rPr>
        <w:t>万元、绩效工资</w:t>
      </w:r>
      <w:r>
        <w:rPr>
          <w:rFonts w:ascii="仿宋_GB2312" w:eastAsia="仿宋_GB2312" w:hint="eastAsia"/>
          <w:color w:val="auto"/>
          <w:spacing w:val="-2"/>
          <w:sz w:val="32"/>
          <w:szCs w:val="32"/>
          <w:lang w:val="en-US" w:eastAsia="zh-CN"/>
        </w:rPr>
        <w:t>47.68万元、</w:t>
      </w:r>
      <w:r>
        <w:rPr>
          <w:rFonts w:ascii="仿宋_GB2312" w:eastAsia="仿宋_GB2312" w:hint="eastAsia"/>
          <w:color w:val="auto"/>
          <w:spacing w:val="-2"/>
          <w:sz w:val="32"/>
          <w:szCs w:val="32"/>
          <w:lang w:eastAsia="zh-CN"/>
        </w:rPr>
        <w:t>机关事业单位基本养老保险缴费</w:t>
      </w:r>
      <w:r>
        <w:rPr>
          <w:rFonts w:ascii="仿宋_GB2312" w:eastAsia="仿宋_GB2312" w:hint="eastAsia"/>
          <w:color w:val="auto"/>
          <w:spacing w:val="-2"/>
          <w:sz w:val="32"/>
          <w:szCs w:val="32"/>
          <w:lang w:val="en-US" w:eastAsia="zh-CN"/>
        </w:rPr>
        <w:t>80.29</w:t>
      </w:r>
      <w:r>
        <w:rPr>
          <w:rFonts w:ascii="仿宋_GB2312" w:eastAsia="仿宋_GB2312" w:hint="eastAsia"/>
          <w:color w:val="auto"/>
          <w:spacing w:val="-2"/>
          <w:sz w:val="32"/>
          <w:szCs w:val="32"/>
          <w:lang w:eastAsia="zh-CN"/>
        </w:rPr>
        <w:t>万元、职业年金缴费</w:t>
      </w:r>
      <w:r>
        <w:rPr>
          <w:rFonts w:ascii="仿宋_GB2312" w:eastAsia="仿宋_GB2312" w:hint="eastAsia"/>
          <w:color w:val="auto"/>
          <w:spacing w:val="-2"/>
          <w:sz w:val="32"/>
          <w:szCs w:val="32"/>
          <w:lang w:val="en-US" w:eastAsia="zh-CN"/>
        </w:rPr>
        <w:t>40.18</w:t>
      </w:r>
      <w:r>
        <w:rPr>
          <w:rFonts w:ascii="仿宋_GB2312" w:eastAsia="仿宋_GB2312" w:hint="eastAsia"/>
          <w:color w:val="auto"/>
          <w:spacing w:val="-2"/>
          <w:sz w:val="32"/>
          <w:szCs w:val="32"/>
          <w:lang w:eastAsia="zh-CN"/>
        </w:rPr>
        <w:t>万元、住房公积金</w:t>
      </w:r>
      <w:r>
        <w:rPr>
          <w:rFonts w:ascii="仿宋_GB2312" w:eastAsia="仿宋_GB2312" w:hint="eastAsia"/>
          <w:color w:val="auto"/>
          <w:spacing w:val="-2"/>
          <w:sz w:val="32"/>
          <w:szCs w:val="32"/>
          <w:lang w:val="en-US" w:eastAsia="zh-CN"/>
        </w:rPr>
        <w:t>70.57</w:t>
      </w:r>
      <w:r>
        <w:rPr>
          <w:rFonts w:ascii="仿宋_GB2312" w:eastAsia="仿宋_GB2312" w:hint="eastAsia"/>
          <w:color w:val="auto"/>
          <w:spacing w:val="-2"/>
          <w:sz w:val="32"/>
          <w:szCs w:val="32"/>
          <w:lang w:eastAsia="zh-CN"/>
        </w:rPr>
        <w:t>万元、职工基本医疗保险缴费</w:t>
      </w:r>
      <w:r>
        <w:rPr>
          <w:rFonts w:ascii="仿宋_GB2312" w:eastAsia="仿宋_GB2312" w:hint="eastAsia"/>
          <w:color w:val="auto"/>
          <w:spacing w:val="-2"/>
          <w:sz w:val="32"/>
          <w:szCs w:val="32"/>
          <w:lang w:val="en-US" w:eastAsia="zh-CN"/>
        </w:rPr>
        <w:t>42.77</w:t>
      </w:r>
      <w:r>
        <w:rPr>
          <w:rFonts w:ascii="仿宋_GB2312" w:eastAsia="仿宋_GB2312" w:hint="eastAsia"/>
          <w:color w:val="auto"/>
          <w:spacing w:val="-2"/>
          <w:sz w:val="32"/>
          <w:szCs w:val="32"/>
          <w:lang w:eastAsia="zh-CN"/>
        </w:rPr>
        <w:t>万元、公务员医疗补助</w:t>
      </w:r>
      <w:r>
        <w:rPr>
          <w:rFonts w:ascii="仿宋_GB2312" w:eastAsia="仿宋_GB2312" w:hint="eastAsia"/>
          <w:color w:val="auto"/>
          <w:spacing w:val="-2"/>
          <w:sz w:val="32"/>
          <w:szCs w:val="32"/>
          <w:lang w:val="en-US" w:eastAsia="zh-CN"/>
        </w:rPr>
        <w:t>8.01</w:t>
      </w:r>
      <w:r>
        <w:rPr>
          <w:rFonts w:ascii="仿宋_GB2312" w:eastAsia="仿宋_GB2312" w:hint="eastAsia"/>
          <w:color w:val="auto"/>
          <w:spacing w:val="-2"/>
          <w:sz w:val="32"/>
          <w:szCs w:val="32"/>
          <w:lang w:eastAsia="zh-CN"/>
        </w:rPr>
        <w:t>万元、其他社会保障缴费</w:t>
      </w:r>
      <w:r>
        <w:rPr>
          <w:rFonts w:ascii="仿宋_GB2312" w:eastAsia="仿宋_GB2312" w:hint="eastAsia"/>
          <w:color w:val="auto"/>
          <w:spacing w:val="-2"/>
          <w:sz w:val="32"/>
          <w:szCs w:val="32"/>
          <w:lang w:val="en-US" w:eastAsia="zh-CN"/>
        </w:rPr>
        <w:t>13.57万元、</w:t>
      </w:r>
      <w:r>
        <w:rPr>
          <w:rFonts w:ascii="仿宋_GB2312" w:eastAsia="仿宋_GB2312" w:hint="eastAsia"/>
          <w:color w:val="auto"/>
          <w:spacing w:val="-2"/>
          <w:sz w:val="32"/>
          <w:szCs w:val="32"/>
          <w:lang w:eastAsia="zh-CN"/>
        </w:rPr>
        <w:t>生活补助</w:t>
      </w:r>
      <w:r>
        <w:rPr>
          <w:rFonts w:ascii="仿宋_GB2312" w:eastAsia="仿宋_GB2312" w:hint="eastAsia"/>
          <w:color w:val="auto"/>
          <w:spacing w:val="-2"/>
          <w:sz w:val="32"/>
          <w:szCs w:val="32"/>
          <w:lang w:val="en-US" w:eastAsia="zh-CN"/>
        </w:rPr>
        <w:t>22.4万元、退休人员购房补贴8.2万元、奖励金0.01万元等</w:t>
      </w:r>
      <w:r>
        <w:rPr>
          <w:rFonts w:ascii="仿宋_GB2312" w:eastAsia="仿宋_GB2312" w:hint="eastAsia"/>
          <w:color w:val="auto"/>
          <w:spacing w:val="-2"/>
          <w:sz w:val="32"/>
          <w:szCs w:val="32"/>
          <w:lang w:eastAsia="zh-CN"/>
        </w:rPr>
        <w:t>。</w:t>
      </w:r>
      <w:r>
        <w:rPr>
          <w:rFonts w:ascii="Times New Roman" w:eastAsia="仿宋_GB2312" w:cs="仿宋_GB2312" w:hAnsi="Times New Roman" w:hint="eastAsia"/>
          <w:color w:val="auto"/>
          <w:kern w:val="2"/>
          <w:sz w:val="32"/>
          <w:szCs w:val="32"/>
          <w:lang w:val="en-US" w:eastAsia="zh-CN" w:bidi="ar-SA"/>
          <w:highlight w:val="auto"/>
        </w:rPr>
        <w:br/>
        <w:t>　</w:t>
      </w:r>
      <w:r>
        <w:rPr>
          <w:rFonts w:ascii="仿宋_GB2312" w:eastAsia="仿宋_GB2312" w:hint="eastAsia"/>
          <w:color w:val="auto"/>
          <w:spacing w:val="-2"/>
          <w:sz w:val="32"/>
          <w:szCs w:val="32"/>
          <w:lang w:eastAsia="zh-CN"/>
        </w:rPr>
        <w:t>公用经费支出为</w:t>
      </w:r>
      <w:r>
        <w:rPr>
          <w:rFonts w:ascii="仿宋_GB2312" w:eastAsia="仿宋_GB2312" w:hint="eastAsia"/>
          <w:color w:val="auto"/>
          <w:spacing w:val="-2"/>
          <w:sz w:val="32"/>
          <w:szCs w:val="32"/>
          <w:lang w:val="en-US" w:eastAsia="zh-CN"/>
        </w:rPr>
        <w:t>36.4</w:t>
      </w:r>
      <w:r>
        <w:rPr>
          <w:rFonts w:ascii="仿宋_GB2312" w:eastAsia="仿宋_GB2312" w:hint="eastAsia"/>
          <w:color w:val="auto"/>
          <w:spacing w:val="-2"/>
          <w:sz w:val="32"/>
          <w:szCs w:val="32"/>
          <w:lang w:eastAsia="zh-CN"/>
        </w:rPr>
        <w:t>万元，主要包括：办公费</w:t>
      </w:r>
      <w:r>
        <w:rPr>
          <w:rFonts w:ascii="仿宋_GB2312" w:eastAsia="仿宋_GB2312" w:hint="eastAsia"/>
          <w:color w:val="auto"/>
          <w:spacing w:val="-2"/>
          <w:sz w:val="32"/>
          <w:szCs w:val="32"/>
          <w:lang w:val="en-US" w:eastAsia="zh-CN"/>
        </w:rPr>
        <w:t>7.15</w:t>
      </w:r>
      <w:r>
        <w:rPr>
          <w:rFonts w:ascii="仿宋_GB2312" w:eastAsia="仿宋_GB2312" w:hint="eastAsia"/>
          <w:color w:val="auto"/>
          <w:spacing w:val="-2"/>
          <w:sz w:val="32"/>
          <w:szCs w:val="32"/>
          <w:lang w:eastAsia="zh-CN"/>
        </w:rPr>
        <w:t>万元、印刷费</w:t>
      </w:r>
      <w:r>
        <w:rPr>
          <w:rFonts w:ascii="仿宋_GB2312" w:eastAsia="仿宋_GB2312" w:hint="eastAsia"/>
          <w:color w:val="auto"/>
          <w:spacing w:val="-2"/>
          <w:sz w:val="32"/>
          <w:szCs w:val="32"/>
          <w:lang w:val="en-US" w:eastAsia="zh-CN"/>
        </w:rPr>
        <w:t>3万元、电费1万元、邮电费5.48万元、差旅费5.99万元、劳务费6万元、公务用车运行维护费6万元、其他交通费用0.1万元、委托业务费1.68万元等。</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（注：仅罗列本部门实际支出涉及的经济分类科目）</w:t>
      </w:r>
    </w:p>
    <w:p>
      <w:pPr>
        <w:spacing w:line="600" w:lineRule="exact"/>
        <w:ind w:firstLine="640"/>
        <w:outlineLvl w:val="1"/>
        <w:rPr>
          <w:rStyle w:val="2Char"/>
          <w:rFonts w:ascii="Times New Roman" w:eastAsia="黑体" w:hAnsi="Times New Roman"/>
          <w:b w:val="0"/>
          <w:color w:val="auto"/>
          <w:highlight w:val="auto"/>
        </w:rPr>
      </w:pPr>
      <w:bookmarkStart w:id="47" w:name="_Toc15396609"/>
      <w:bookmarkStart w:id="48" w:name="_Toc15377215"/>
      <w:r>
        <w:rPr>
          <w:rFonts w:ascii="Times New Roman" w:eastAsia="黑体" w:hAnsi="Times New Roman" w:hint="eastAsia"/>
          <w:color w:val="auto"/>
          <w:sz w:val="32"/>
          <w:szCs w:val="32"/>
          <w:highlight w:val="auto"/>
        </w:rPr>
        <w:t>七、</w:t>
      </w:r>
      <w:r>
        <w:rPr>
          <w:rStyle w:val="2Char"/>
          <w:rFonts w:ascii="Times New Roman" w:eastAsia="黑体" w:hAnsi="Times New Roman" w:hint="eastAsia"/>
          <w:b w:val="0"/>
          <w:color w:val="auto"/>
          <w:highlight w:val="auto"/>
        </w:rPr>
        <w:t>财政拨款</w:t>
      </w:r>
      <w:r>
        <w:rPr>
          <w:rStyle w:val="2Char"/>
          <w:rFonts w:ascii="Times New Roman" w:eastAsia="黑体" w:hAnsi="Times New Roman" w:hint="eastAsia"/>
          <w:color w:val="auto"/>
          <w:highlight w:val="auto"/>
        </w:rPr>
        <w:t>“</w:t>
      </w:r>
      <w:r>
        <w:rPr>
          <w:rStyle w:val="2Char"/>
          <w:rFonts w:ascii="Times New Roman" w:eastAsia="黑体" w:hAnsi="Times New Roman" w:hint="eastAsia"/>
          <w:b w:val="0"/>
          <w:color w:val="auto"/>
          <w:highlight w:val="auto"/>
        </w:rPr>
        <w:t>三公”经费支出决算情况说明</w:t>
      </w:r>
      <w:bookmarkEnd w:id="47"/>
      <w:bookmarkEnd w:id="48"/>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49" w:name="_Toc15377216"/>
      <w:r>
        <w:rPr>
          <w:rFonts w:ascii="Times New Roman" w:eastAsia="楷体_GB2312" w:cs="楷体_GB2312" w:hAnsi="Times New Roman" w:hint="eastAsia"/>
          <w:b/>
          <w:color w:val="auto"/>
          <w:sz w:val="32"/>
          <w:szCs w:val="32"/>
          <w:highlight w:val="auto"/>
        </w:rPr>
        <w:t>（一）“三公”经费财政拨款支出决算总体情况说明</w:t>
      </w:r>
      <w:bookmarkEnd w:id="49"/>
    </w:p>
    <w:p>
      <w:pPr>
        <w:spacing w:line="600" w:lineRule="exact"/>
        <w:ind w:firstLine="640"/>
        <w:rPr>
          <w:rFonts w:eastAsia="仿宋_GB2312" w:cs="仿宋_GB2312"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2024年度“三公”经费财政拨款支出决算为</w:t>
      </w:r>
      <w:r>
        <w:rPr>
          <w:rFonts w:ascii="仿宋_GB2312" w:eastAsia="仿宋_GB2312" w:cs="仿宋_GB2312" w:hint="eastAsia"/>
          <w:color w:val="auto"/>
          <w:sz w:val="32"/>
          <w:szCs w:val="32"/>
        </w:rPr>
        <w:t>6</w:t>
      </w:r>
      <w:r>
        <w:rPr>
          <w:rFonts w:ascii="仿宋_GB2312" w:eastAsia="仿宋_GB2312" w:cs="仿宋_GB2312" w:hint="eastAsia"/>
          <w:color w:val="auto"/>
          <w:kern w:val="2"/>
          <w:sz w:val="32"/>
          <w:szCs w:val="32"/>
          <w:lang w:val="en-US" w:eastAsia="zh-CN" w:bidi="ar-SA"/>
          <w:highlight w:val="auto"/>
        </w:rPr>
        <w:t>万元，完成预算</w:t>
      </w:r>
      <w:r>
        <w:rPr>
          <w:rFonts w:ascii="仿宋_GB2312" w:eastAsia="仿宋_GB2312" w:cs="仿宋_GB2312" w:hint="eastAsia"/>
          <w:color w:val="auto"/>
          <w:sz w:val="32"/>
          <w:szCs w:val="32"/>
        </w:rPr>
        <w:t>100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较上年度增加/减少</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%。决算数与预算数持平</w:t>
      </w:r>
      <w:r>
        <w:rPr>
          <w:rFonts w:eastAsia="仿宋_GB2312" w:cs="仿宋_GB2312" w:hint="eastAsia"/>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hint="eastAsia"/>
          <w:b/>
          <w:bCs/>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（注：上述“预算”口径为全年预算数，包括一般公共预算和政府性基金预算财政拨款支出决算情况）</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50" w:name="_Toc15377217"/>
      <w:r>
        <w:rPr>
          <w:rFonts w:ascii="Times New Roman" w:eastAsia="楷体_GB2312" w:cs="楷体_GB2312" w:hAnsi="Times New Roman" w:hint="eastAsia"/>
          <w:b/>
          <w:color w:val="auto"/>
          <w:sz w:val="32"/>
          <w:szCs w:val="32"/>
          <w:highlight w:val="auto"/>
        </w:rPr>
        <w:t>（二）“三公”经费财政拨款支出决算具体情况说明</w:t>
      </w:r>
      <w:bookmarkEnd w:id="50"/>
    </w:p>
    <w:p>
      <w:pPr>
        <w:spacing w:line="600" w:lineRule="exact"/>
        <w:ind w:firstLine="640"/>
        <w:rPr>
          <w:rFonts w:ascii="仿宋_GB2312" w:eastAsia="仿宋_GB2312" w:cs="仿宋_GB2312"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2024年度“三公”经费财政拨款支出决算中，因公出国（境）费支出决算</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万元，占0%；公务用车购置及运行维护费支出决算</w:t>
      </w:r>
      <w:r>
        <w:rPr>
          <w:rFonts w:ascii="仿宋_GB2312" w:eastAsia="仿宋_GB2312" w:cs="仿宋_GB2312" w:hint="eastAsia"/>
          <w:color w:val="auto"/>
          <w:sz w:val="32"/>
          <w:szCs w:val="32"/>
        </w:rPr>
        <w:t>6</w:t>
      </w:r>
      <w:r>
        <w:rPr>
          <w:rFonts w:ascii="仿宋_GB2312" w:eastAsia="仿宋_GB2312" w:cs="仿宋_GB2312" w:hint="eastAsia"/>
          <w:color w:val="auto"/>
          <w:kern w:val="2"/>
          <w:sz w:val="32"/>
          <w:szCs w:val="32"/>
          <w:lang w:val="en-US" w:eastAsia="zh-CN" w:bidi="ar-SA"/>
          <w:highlight w:val="auto"/>
        </w:rPr>
        <w:t>万元，占100%；公务接待费支出决算</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万元，占0%。具体情况如下：</w:t>
      </w:r>
    </w:p>
    <w:p>
      <w:pPr>
        <w:pStyle w:val="15"/>
        <w:rPr>
          <w:rFonts w:ascii="仿宋_GB2312" w:eastAsia="仿宋_GB2312" w:cs="仿宋_GB2312" w:hint="eastAsia"/>
          <w:color w:val="auto"/>
          <w:kern w:val="2"/>
          <w:sz w:val="32"/>
          <w:szCs w:val="32"/>
          <w:lang w:val="en-US" w:eastAsia="zh-CN" w:bidi="ar-SA"/>
          <w:highlight w:val="auto"/>
        </w:rPr>
      </w:pPr>
    </w:p>
    <w:p>
      <w:pPr>
        <w:rPr>
          <w:rFonts w:ascii="仿宋_GB2312" w:eastAsia="仿宋_GB2312" w:cs="仿宋_GB2312" w:hint="eastAsia"/>
          <w:color w:val="auto"/>
          <w:kern w:val="2"/>
          <w:sz w:val="32"/>
          <w:szCs w:val="32"/>
          <w:lang w:val="en-US" w:eastAsia="zh-CN" w:bidi="ar-SA"/>
          <w:highlight w:val="auto"/>
        </w:rPr>
      </w:pPr>
    </w:p>
    <w:p>
      <w:pPr>
        <w:pStyle w:val="15"/>
        <w:rPr>
          <w:rFonts w:hint="eastAsia"/>
          <w:color w:val="auto"/>
          <w:lang w:val="en-US" w:eastAsia="zh-CN"/>
        </w:rPr>
      </w:pPr>
      <w:r>
        <w:rPr>
          <w:color w:val="auto"/>
        </w:rPr>
        <w:drawing>
          <wp:inline distT="0" distB="0" distL="114300" distR="114300">
            <wp:extent cx="4171950" cy="2677160"/>
            <wp:effectExtent l="0" t="0" r="0" b="0"/>
            <wp:docPr id="7"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（图7：“三公”经费财政拨款支出结构）（饼状图）</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1.因公出国（境）经费支出</w:t>
      </w:r>
      <w:r>
        <w:rPr>
          <w:rFonts w:eastAsia="仿宋_GB2312" w:cs="仿宋_GB2312" w:hint="eastAsia"/>
          <w:b/>
          <w:bCs/>
          <w:color w:val="auto"/>
          <w:kern w:val="2"/>
          <w:sz w:val="32"/>
          <w:szCs w:val="32"/>
          <w:lang w:val="en-US" w:eastAsia="zh-CN" w:bidi="ar-SA"/>
          <w:highlight w:val="auto"/>
        </w:rPr>
        <w:t>0</w:t>
      </w:r>
      <w:r>
        <w:rPr>
          <w:rFonts w:ascii="Times New Roman" w:eastAsia="仿宋_GB2312" w:cs="仿宋_GB2312" w:hAnsi="Times New Roman" w:hint="eastAsia"/>
          <w:b/>
          <w:bCs/>
          <w:color w:val="auto"/>
          <w:kern w:val="2"/>
          <w:sz w:val="32"/>
          <w:szCs w:val="32"/>
          <w:lang w:val="en-US" w:eastAsia="zh-CN" w:bidi="ar-SA"/>
          <w:highlight w:val="auto"/>
        </w:rPr>
        <w:t>万元，完成预算</w:t>
      </w:r>
      <w:r>
        <w:rPr>
          <w:rFonts w:eastAsia="仿宋_GB2312" w:cs="仿宋_GB2312" w:hint="eastAsia"/>
          <w:b/>
          <w:bCs/>
          <w:color w:val="auto"/>
          <w:kern w:val="2"/>
          <w:sz w:val="32"/>
          <w:szCs w:val="32"/>
          <w:lang w:val="en-US" w:eastAsia="zh-CN" w:bidi="ar-SA"/>
          <w:highlight w:val="auto"/>
        </w:rPr>
        <w:t>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全年安排因公出国（境）团</w:t>
      </w:r>
      <w:r>
        <w:rPr>
          <w:rFonts w:ascii="仿宋_GB2312" w:eastAsia="仿宋_GB2312" w:cs="仿宋_GB2312" w:hint="eastAsia"/>
          <w:color w:val="auto"/>
          <w:kern w:val="2"/>
          <w:sz w:val="32"/>
          <w:szCs w:val="32"/>
          <w:lang w:val="en-US" w:eastAsia="zh-CN" w:bidi="ar-SA"/>
          <w:highlight w:val="auto"/>
        </w:rPr>
        <w:t>组</w:t>
      </w:r>
      <w:r>
        <w:rPr>
          <w:rFonts w:ascii="仿宋_GB2312" w:eastAsia="仿宋_GB2312" w:cs="仿宋_GB2312" w:hint="eastAsia"/>
          <w:color w:val="auto"/>
          <w:sz w:val="32"/>
          <w:szCs w:val="32"/>
        </w:rPr>
        <w:t>0</w:t>
      </w:r>
      <w:r>
        <w:rPr>
          <w:rFonts w:ascii="Times New Roman" w:eastAsia="仿宋_GB2312" w:cs="仿宋_GB2312" w:hAnsi="Times New Roman" w:hint="eastAsia"/>
          <w:color w:val="auto"/>
          <w:kern w:val="2"/>
          <w:sz w:val="32"/>
          <w:szCs w:val="32"/>
          <w:lang w:val="en-US" w:eastAsia="zh-CN" w:bidi="ar-SA"/>
          <w:highlight w:val="auto"/>
        </w:rPr>
        <w:t>次，出国（境）</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人</w:t>
      </w:r>
      <w:r>
        <w:rPr>
          <w:rFonts w:ascii="Times New Roman" w:eastAsia="仿宋_GB2312" w:cs="仿宋_GB2312" w:hAnsi="Times New Roman" w:hint="eastAsia"/>
          <w:color w:val="auto"/>
          <w:kern w:val="2"/>
          <w:sz w:val="32"/>
          <w:szCs w:val="32"/>
          <w:lang w:val="en-US" w:eastAsia="zh-CN" w:bidi="ar-SA"/>
          <w:highlight w:val="auto"/>
        </w:rPr>
        <w:t>。因公出国（境）支出决算比2023年增加/减少</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开支内容包括：……（团组名称、出访地点、取得成效等）</w:t>
      </w:r>
    </w:p>
    <w:p>
      <w:pPr>
        <w:numPr>
          <w:ilvl w:val="0"/>
          <w:numId w:val="3"/>
        </w:numPr>
        <w:spacing w:line="600" w:lineRule="exact"/>
        <w:ind w:left="0"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公务用车购置及运行维护费支出</w:t>
      </w:r>
      <w:r>
        <w:rPr>
          <w:rFonts w:ascii="仿宋_GB2312" w:eastAsia="仿宋_GB2312" w:cs="仿宋_GB2312" w:hint="eastAsia"/>
          <w:b/>
          <w:bCs/>
          <w:color w:val="auto"/>
          <w:kern w:val="2"/>
          <w:sz w:val="32"/>
          <w:szCs w:val="32"/>
          <w:lang w:val="en-US" w:eastAsia="zh-CN" w:bidi="ar-SA"/>
          <w:highlight w:val="auto"/>
        </w:rPr>
        <w:t>6万</w:t>
      </w:r>
      <w:r>
        <w:rPr>
          <w:rFonts w:ascii="Times New Roman" w:eastAsia="仿宋_GB2312" w:cs="仿宋_GB2312" w:hAnsi="Times New Roman" w:hint="eastAsia"/>
          <w:b/>
          <w:bCs/>
          <w:color w:val="auto"/>
          <w:kern w:val="2"/>
          <w:sz w:val="32"/>
          <w:szCs w:val="32"/>
          <w:lang w:val="en-US" w:eastAsia="zh-CN" w:bidi="ar-SA"/>
          <w:highlight w:val="auto"/>
        </w:rPr>
        <w:t>元</w:t>
      </w:r>
      <w:r>
        <w:rPr>
          <w:rFonts w:eastAsia="仿宋_GB2312" w:cs="仿宋_GB2312" w:hint="eastAsia"/>
          <w:b/>
          <w:bCs/>
          <w:color w:val="auto"/>
          <w:kern w:val="2"/>
          <w:sz w:val="32"/>
          <w:szCs w:val="32"/>
          <w:lang w:val="en-US" w:eastAsia="zh-CN" w:bidi="ar-SA"/>
          <w:highlight w:val="auto"/>
        </w:rPr>
        <w:t>，</w:t>
      </w:r>
      <w:r>
        <w:rPr>
          <w:rFonts w:ascii="Times New Roman" w:eastAsia="仿宋_GB2312" w:cs="仿宋_GB2312" w:hAnsi="Times New Roman" w:hint="eastAsia"/>
          <w:b/>
          <w:bCs/>
          <w:color w:val="auto"/>
          <w:kern w:val="2"/>
          <w:sz w:val="32"/>
          <w:szCs w:val="32"/>
          <w:lang w:val="en-US" w:eastAsia="zh-CN" w:bidi="ar-SA"/>
          <w:highlight w:val="auto"/>
        </w:rPr>
        <w:t>完成预算</w:t>
      </w:r>
      <w:r>
        <w:rPr>
          <w:rFonts w:eastAsia="仿宋_GB2312" w:cs="仿宋_GB2312" w:hint="eastAsia"/>
          <w:b/>
          <w:bCs/>
          <w:color w:val="auto"/>
          <w:kern w:val="2"/>
          <w:sz w:val="32"/>
          <w:szCs w:val="32"/>
          <w:lang w:val="en-US" w:eastAsia="zh-CN" w:bidi="ar-SA"/>
          <w:highlight w:val="auto"/>
        </w:rPr>
        <w:t>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公务用车购置及运行维护费支出决算比2023年度增加/减少</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w:t>
      </w:r>
    </w:p>
    <w:p>
      <w:pPr>
        <w:numPr>
          <w:ilvl w:val="0"/>
          <w:numId w:val="3"/>
        </w:numPr>
        <w:spacing w:line="600" w:lineRule="exact"/>
        <w:ind w:left="0"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其中：公务用车购置支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color w:val="auto"/>
          <w:sz w:val="32"/>
          <w:szCs w:val="32"/>
        </w:rPr>
        <w:t>0</w:t>
      </w:r>
      <w:r>
        <w:rPr>
          <w:rFonts w:ascii="Times New Roman" w:eastAsia="仿宋_GB2312" w:cs="仿宋_GB2312" w:hAnsi="Times New Roman" w:hint="eastAsia"/>
          <w:color w:val="auto"/>
          <w:kern w:val="2"/>
          <w:sz w:val="32"/>
          <w:szCs w:val="32"/>
          <w:lang w:val="en-US" w:eastAsia="zh-CN" w:bidi="ar-SA"/>
          <w:highlight w:val="auto"/>
        </w:rPr>
        <w:t>万元。全年按规定更新购置公务用车**辆，其中：轿车**辆、金额**万元，越野车**辆、金额**万元，载客汽车**辆、金额**万元，主要用于……。截至2024年12月31日，单位共有公务用车</w:t>
      </w:r>
      <w:r>
        <w:rPr>
          <w:rFonts w:eastAsia="仿宋_GB2312" w:cs="仿宋_GB2312" w:hint="eastAsia"/>
          <w:color w:val="auto"/>
          <w:kern w:val="2"/>
          <w:sz w:val="32"/>
          <w:szCs w:val="32"/>
          <w:lang w:val="en-US" w:eastAsia="zh-CN" w:bidi="ar-SA"/>
          <w:highlight w:val="auto"/>
        </w:rPr>
        <w:t>2</w:t>
      </w:r>
      <w:r>
        <w:rPr>
          <w:rFonts w:ascii="Times New Roman" w:eastAsia="仿宋_GB2312" w:cs="仿宋_GB2312" w:hAnsi="Times New Roman" w:hint="eastAsia"/>
          <w:color w:val="auto"/>
          <w:kern w:val="2"/>
          <w:sz w:val="32"/>
          <w:szCs w:val="32"/>
          <w:lang w:val="en-US" w:eastAsia="zh-CN" w:bidi="ar-SA"/>
          <w:highlight w:val="auto"/>
        </w:rPr>
        <w:t>辆，其中：轿车</w:t>
      </w:r>
      <w:r>
        <w:rPr>
          <w:rFonts w:eastAsia="仿宋_GB2312" w:cs="仿宋_GB2312" w:hint="eastAsia"/>
          <w:color w:val="auto"/>
          <w:kern w:val="2"/>
          <w:sz w:val="32"/>
          <w:szCs w:val="32"/>
          <w:lang w:val="en-US" w:eastAsia="zh-CN" w:bidi="ar-SA"/>
          <w:highlight w:val="auto"/>
        </w:rPr>
        <w:t>1</w:t>
      </w:r>
      <w:r>
        <w:rPr>
          <w:rFonts w:ascii="Times New Roman" w:eastAsia="仿宋_GB2312" w:cs="仿宋_GB2312" w:hAnsi="Times New Roman" w:hint="eastAsia"/>
          <w:color w:val="auto"/>
          <w:kern w:val="2"/>
          <w:sz w:val="32"/>
          <w:szCs w:val="32"/>
          <w:lang w:val="en-US" w:eastAsia="zh-CN" w:bidi="ar-SA"/>
          <w:highlight w:val="auto"/>
        </w:rPr>
        <w:t>辆、越野车</w:t>
      </w:r>
      <w:r>
        <w:rPr>
          <w:rFonts w:eastAsia="仿宋_GB2312" w:cs="仿宋_GB2312" w:hint="eastAsia"/>
          <w:color w:val="auto"/>
          <w:kern w:val="2"/>
          <w:sz w:val="32"/>
          <w:szCs w:val="32"/>
          <w:lang w:val="en-US" w:eastAsia="zh-CN" w:bidi="ar-SA"/>
          <w:highlight w:val="auto"/>
        </w:rPr>
        <w:t>1</w:t>
      </w:r>
      <w:r>
        <w:rPr>
          <w:rFonts w:ascii="Times New Roman" w:eastAsia="仿宋_GB2312" w:cs="仿宋_GB2312" w:hAnsi="Times New Roman" w:hint="eastAsia"/>
          <w:color w:val="auto"/>
          <w:kern w:val="2"/>
          <w:sz w:val="32"/>
          <w:szCs w:val="32"/>
          <w:lang w:val="en-US" w:eastAsia="zh-CN" w:bidi="ar-SA"/>
          <w:highlight w:val="auto"/>
        </w:rPr>
        <w:t>辆、载客汽车</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辆。。</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公务用车运行维护费支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color w:val="auto"/>
          <w:sz w:val="32"/>
          <w:szCs w:val="32"/>
        </w:rPr>
        <w:t>6</w:t>
      </w:r>
      <w:r>
        <w:rPr>
          <w:rFonts w:ascii="Times New Roman" w:eastAsia="仿宋_GB2312" w:cs="仿宋_GB2312" w:hAnsi="Times New Roman" w:hint="eastAsia"/>
          <w:color w:val="auto"/>
          <w:kern w:val="2"/>
          <w:sz w:val="32"/>
          <w:szCs w:val="32"/>
          <w:lang w:val="en-US" w:eastAsia="zh-CN" w:bidi="ar-SA"/>
          <w:highlight w:val="auto"/>
        </w:rPr>
        <w:t>万元。主要用于所需的公务用车燃料费、维修费、过路过桥费、保险费等支出。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3.公务接待费支出</w:t>
      </w:r>
      <w:r>
        <w:rPr>
          <w:rFonts w:ascii="仿宋_GB2312" w:eastAsia="仿宋_GB2312" w:cs="仿宋_GB2312" w:hint="eastAsia"/>
          <w:b/>
          <w:bCs/>
          <w:color w:val="auto"/>
          <w:kern w:val="2"/>
          <w:sz w:val="32"/>
          <w:szCs w:val="32"/>
          <w:lang w:val="en-US" w:eastAsia="zh-CN" w:bidi="ar-SA"/>
          <w:highlight w:val="auto"/>
        </w:rPr>
        <w:t>0万</w:t>
      </w:r>
      <w:r>
        <w:rPr>
          <w:rFonts w:ascii="Times New Roman" w:eastAsia="仿宋_GB2312" w:cs="仿宋_GB2312" w:hAnsi="Times New Roman" w:hint="eastAsia"/>
          <w:b/>
          <w:bCs/>
          <w:color w:val="auto"/>
          <w:kern w:val="2"/>
          <w:sz w:val="32"/>
          <w:szCs w:val="32"/>
          <w:lang w:val="en-US" w:eastAsia="zh-CN" w:bidi="ar-SA"/>
          <w:highlight w:val="auto"/>
        </w:rPr>
        <w:t>元，完成预算</w:t>
      </w:r>
      <w:r>
        <w:rPr>
          <w:rFonts w:eastAsia="仿宋_GB2312" w:cs="仿宋_GB2312" w:hint="eastAsia"/>
          <w:b/>
          <w:bCs/>
          <w:color w:val="auto"/>
          <w:kern w:val="2"/>
          <w:sz w:val="32"/>
          <w:szCs w:val="32"/>
          <w:lang w:val="en-US" w:eastAsia="zh-CN" w:bidi="ar-SA"/>
          <w:highlight w:val="auto"/>
        </w:rPr>
        <w:t>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公务接待费支出决算比2023年度增加/减少</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。其中：</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国内公务接待支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元，主要用于……(执行公务、开展业务活动开支的交通费、住宿费、用餐费等)。国内公务接</w:t>
      </w:r>
      <w:r>
        <w:rPr>
          <w:rFonts w:ascii="仿宋_GB2312" w:eastAsia="仿宋_GB2312" w:cs="仿宋_GB2312" w:hint="eastAsia"/>
          <w:color w:val="auto"/>
          <w:kern w:val="2"/>
          <w:sz w:val="32"/>
          <w:szCs w:val="32"/>
          <w:lang w:val="en-US" w:eastAsia="zh-CN" w:bidi="ar-SA"/>
          <w:highlight w:val="auto"/>
        </w:rPr>
        <w:t>待</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批次，</w:t>
      </w:r>
      <w:r>
        <w:rPr>
          <w:rFonts w:ascii="仿宋_GB2312" w:eastAsia="仿宋_GB2312" w:cs="仿宋_GB2312" w:hint="eastAsia"/>
          <w:color w:val="auto"/>
          <w:sz w:val="32"/>
          <w:szCs w:val="32"/>
        </w:rPr>
        <w:t>0</w:t>
      </w:r>
      <w:r>
        <w:rPr>
          <w:rFonts w:ascii="Times New Roman" w:eastAsia="仿宋_GB2312" w:cs="仿宋_GB2312" w:hAnsi="Times New Roman" w:hint="eastAsia"/>
          <w:color w:val="auto"/>
          <w:kern w:val="2"/>
          <w:sz w:val="32"/>
          <w:szCs w:val="32"/>
          <w:lang w:val="en-US" w:eastAsia="zh-CN" w:bidi="ar-SA"/>
          <w:highlight w:val="auto"/>
        </w:rPr>
        <w:t>人次（不包括陪同人员），共计支出</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万元，具体内容包括：……（接待具体项目、金额）。</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外事接待支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万元，主要用于……（具体项目）。外事接待</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批次，</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人次（不包括陪同人员），共计支出0万</w:t>
      </w:r>
      <w:r>
        <w:rPr>
          <w:rFonts w:ascii="Times New Roman" w:eastAsia="仿宋_GB2312" w:cs="仿宋_GB2312" w:hAnsi="Times New Roman" w:hint="eastAsia"/>
          <w:color w:val="auto"/>
          <w:kern w:val="2"/>
          <w:sz w:val="32"/>
          <w:szCs w:val="32"/>
          <w:lang w:val="en-US" w:eastAsia="zh-CN" w:bidi="ar-SA"/>
          <w:highlight w:val="auto"/>
        </w:rPr>
        <w:t>元。</w:t>
      </w:r>
    </w:p>
    <w:p>
      <w:pPr>
        <w:spacing w:line="600" w:lineRule="exact"/>
        <w:ind w:firstLine="640"/>
        <w:outlineLvl w:val="1"/>
        <w:rPr>
          <w:rStyle w:val="2Char"/>
          <w:rFonts w:ascii="Times New Roman" w:eastAsia="黑体" w:hAnsi="Times New Roman"/>
          <w:color w:val="auto"/>
          <w:highlight w:val="auto"/>
        </w:rPr>
      </w:pPr>
      <w:bookmarkStart w:id="51" w:name="_Toc15377218"/>
      <w:bookmarkStart w:id="52" w:name="_Toc15396610"/>
      <w:r>
        <w:rPr>
          <w:rFonts w:ascii="Times New Roman" w:eastAsia="黑体" w:hAnsi="Times New Roman" w:hint="eastAsia"/>
          <w:color w:val="auto"/>
          <w:sz w:val="32"/>
          <w:szCs w:val="32"/>
          <w:highlight w:val="auto"/>
        </w:rPr>
        <w:t>八、</w:t>
      </w:r>
      <w:r>
        <w:rPr>
          <w:rStyle w:val="2Char"/>
          <w:rFonts w:ascii="Times New Roman" w:eastAsia="黑体" w:hAnsi="Times New Roman" w:hint="eastAsia"/>
          <w:b w:val="0"/>
          <w:color w:val="auto"/>
          <w:highlight w:val="auto"/>
        </w:rPr>
        <w:t>政府性基金预算支出决算情况说明</w:t>
      </w:r>
      <w:bookmarkEnd w:id="51"/>
      <w:bookmarkEnd w:id="52"/>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2024年度政府性基金预算财政拨款支出</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。与2023年度相比，政府性基金预算财政拨款支出增加/减少</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%。主要变动原因是……</w:t>
      </w:r>
      <w:r>
        <w:rPr>
          <w:rFonts w:ascii="Times New Roman" w:eastAsia="仿宋_GB2312" w:cs="仿宋_GB2312" w:hAnsi="Times New Roman" w:hint="eastAsia"/>
          <w:b/>
          <w:bCs/>
          <w:color w:val="auto"/>
          <w:kern w:val="2"/>
          <w:sz w:val="32"/>
          <w:szCs w:val="32"/>
          <w:lang w:val="en-US" w:eastAsia="zh-CN" w:bidi="ar-SA"/>
          <w:highlight w:val="auto"/>
        </w:rPr>
        <w:t>（注：支出数与上年持平可以不写原因）</w:t>
      </w:r>
    </w:p>
    <w:p>
      <w:pPr>
        <w:spacing w:line="600" w:lineRule="exact"/>
        <w:ind w:left="630"/>
        <w:outlineLvl w:val="1"/>
        <w:rPr>
          <w:rStyle w:val="2Char"/>
          <w:rFonts w:ascii="Times New Roman" w:eastAsia="黑体" w:hAnsi="Times New Roman"/>
          <w:b w:val="0"/>
          <w:color w:val="auto"/>
          <w:highlight w:val="auto"/>
        </w:rPr>
      </w:pPr>
      <w:bookmarkStart w:id="53" w:name="_Toc15377219"/>
      <w:bookmarkStart w:id="54" w:name="_Toc15396611"/>
      <w:r>
        <w:rPr>
          <w:rStyle w:val="2Char"/>
          <w:rFonts w:ascii="Times New Roman" w:eastAsia="黑体" w:hAnsi="Times New Roman" w:hint="eastAsia"/>
          <w:b w:val="0"/>
          <w:color w:val="auto"/>
          <w:lang w:eastAsia="zh-CN"/>
          <w:highlight w:val="auto"/>
        </w:rPr>
        <w:t>九、</w:t>
      </w:r>
      <w:r>
        <w:rPr>
          <w:rStyle w:val="2Char"/>
          <w:rFonts w:ascii="Times New Roman" w:eastAsia="黑体" w:hAnsi="Times New Roman" w:hint="eastAsia"/>
          <w:b w:val="0"/>
          <w:color w:val="auto"/>
          <w:highlight w:val="auto"/>
        </w:rPr>
        <w:t>国有资本经营预算支出决算情况说明</w:t>
      </w:r>
      <w:bookmarkEnd w:id="53"/>
      <w:bookmarkEnd w:id="54"/>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2024年度国有资本经营预算财政拨款支出</w:t>
      </w:r>
      <w:r>
        <w:rPr>
          <w:rFonts w:ascii="仿宋_GB2312" w:eastAsia="仿宋_GB2312" w:cs="仿宋_GB2312" w:hint="eastAsia"/>
          <w:color w:val="auto"/>
          <w:sz w:val="32"/>
          <w:szCs w:val="32"/>
        </w:rPr>
        <w:t>0.05</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。与2023年度相比，国有资本经营预算财政拨款支出增加</w:t>
      </w:r>
      <w:r>
        <w:rPr>
          <w:rFonts w:eastAsia="仿宋_GB2312" w:cs="仿宋_GB2312" w:hint="eastAsia"/>
          <w:color w:val="auto"/>
          <w:kern w:val="2"/>
          <w:sz w:val="32"/>
          <w:szCs w:val="32"/>
          <w:lang w:val="en-US" w:eastAsia="zh-CN" w:bidi="ar-SA"/>
          <w:highlight w:val="auto"/>
        </w:rPr>
        <w:t>0.05</w:t>
      </w:r>
      <w:r>
        <w:rPr>
          <w:rFonts w:ascii="Times New Roman" w:eastAsia="仿宋_GB2312" w:cs="仿宋_GB2312" w:hAnsi="Times New Roman" w:hint="eastAsia"/>
          <w:color w:val="auto"/>
          <w:kern w:val="2"/>
          <w:sz w:val="32"/>
          <w:szCs w:val="32"/>
          <w:lang w:val="en-US" w:eastAsia="zh-CN" w:bidi="ar-SA"/>
          <w:highlight w:val="auto"/>
        </w:rPr>
        <w:t>万元，增长</w:t>
      </w:r>
      <w:r>
        <w:rPr>
          <w:rFonts w:eastAsia="仿宋_GB2312" w:cs="仿宋_GB2312" w:hint="eastAsia"/>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%。主要变动原因是国有企业退休人员社会化管理费用</w:t>
      </w:r>
      <w:r>
        <w:rPr>
          <w:rFonts w:ascii="Times New Roman" w:eastAsia="仿宋_GB2312" w:cs="仿宋_GB2312" w:hAnsi="Times New Roman" w:hint="eastAsia"/>
          <w:b/>
          <w:bCs/>
          <w:color w:val="auto"/>
          <w:kern w:val="2"/>
          <w:sz w:val="32"/>
          <w:szCs w:val="32"/>
          <w:lang w:val="en-US" w:eastAsia="zh-CN" w:bidi="ar-SA"/>
          <w:highlight w:val="auto"/>
        </w:rPr>
        <w:t>（注：支出数与上年持平可以不写原因）</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left="630"/>
        <w:outlineLvl w:val="1"/>
        <w:rPr>
          <w:rStyle w:val="2Char"/>
          <w:rFonts w:ascii="Times New Roman" w:eastAsia="黑体" w:hAnsi="Times New Roman" w:hint="eastAsia"/>
          <w:b w:val="0"/>
          <w:color w:val="auto"/>
          <w:highlight w:val="auto"/>
        </w:rPr>
      </w:pPr>
      <w:bookmarkStart w:id="55" w:name="_Toc15377221"/>
      <w:bookmarkStart w:id="56" w:name="_Toc15396612"/>
      <w:r>
        <w:rPr>
          <w:rStyle w:val="2Char"/>
          <w:rFonts w:ascii="Times New Roman" w:eastAsia="黑体" w:hAnsi="Times New Roman" w:hint="eastAsia"/>
          <w:b w:val="0"/>
          <w:color w:val="auto"/>
          <w:lang w:eastAsia="zh-CN"/>
          <w:highlight w:val="auto"/>
        </w:rPr>
        <w:t>十、</w:t>
      </w:r>
      <w:r>
        <w:rPr>
          <w:rStyle w:val="2Char"/>
          <w:rFonts w:ascii="Times New Roman" w:eastAsia="黑体" w:hAnsi="Times New Roman" w:hint="eastAsia"/>
          <w:b w:val="0"/>
          <w:color w:val="auto"/>
          <w:highlight w:val="auto"/>
        </w:rPr>
        <w:t>其他重要事项的情况说明</w:t>
      </w:r>
      <w:bookmarkEnd w:id="55"/>
      <w:bookmarkEnd w:id="56"/>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57" w:name="_Toc15377222"/>
      <w:r>
        <w:rPr>
          <w:rFonts w:ascii="Times New Roman" w:eastAsia="楷体_GB2312" w:cs="楷体_GB2312" w:hAnsi="Times New Roman" w:hint="eastAsia"/>
          <w:b/>
          <w:color w:val="auto"/>
          <w:sz w:val="32"/>
          <w:szCs w:val="32"/>
          <w:highlight w:val="auto"/>
        </w:rPr>
        <w:t>（一）机关运行经费支出情况</w:t>
      </w:r>
      <w:bookmarkEnd w:id="57"/>
    </w:p>
    <w:p>
      <w:pPr>
        <w:spacing w:line="600" w:lineRule="exact"/>
        <w:ind w:firstLine="640"/>
        <w:rPr>
          <w:rFonts w:ascii="Times New Roman" w:eastAsia="仿宋_GB2312" w:cs="仿宋_GB2312" w:hAnsi="Times New Roman"/>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w:t>
      </w:r>
      <w:r>
        <w:rPr>
          <w:rFonts w:ascii="仿宋_GB2312" w:eastAsia="仿宋_GB2312" w:cs="仿宋_GB2312" w:hint="eastAsia"/>
          <w:color w:val="auto"/>
          <w:kern w:val="2"/>
          <w:sz w:val="32"/>
          <w:szCs w:val="32"/>
          <w:lang w:val="en-US" w:eastAsia="zh-CN" w:bidi="ar-SA"/>
          <w:highlight w:val="auto"/>
        </w:rPr>
        <w:t>，</w:t>
      </w:r>
      <w:r>
        <w:rPr>
          <w:rFonts w:ascii="仿宋_GB2312" w:eastAsia="仿宋_GB2312" w:cs="仿宋_GB2312" w:hint="eastAsia"/>
          <w:color w:val="auto"/>
          <w:sz w:val="32"/>
          <w:szCs w:val="32"/>
        </w:rPr>
        <w:t>金川县沙耳乡</w:t>
      </w:r>
      <w:r>
        <w:rPr>
          <w:rFonts w:ascii="仿宋_GB2312" w:eastAsia="仿宋_GB2312" w:cs="仿宋_GB2312" w:hint="eastAsia"/>
          <w:color w:val="auto"/>
          <w:kern w:val="2"/>
          <w:sz w:val="32"/>
          <w:szCs w:val="32"/>
          <w:lang w:val="en-US" w:eastAsia="zh-CN" w:bidi="ar-SA"/>
          <w:highlight w:val="auto"/>
        </w:rPr>
        <w:t>机关运行经费支出</w:t>
      </w:r>
      <w:r>
        <w:rPr>
          <w:rFonts w:ascii="仿宋_GB2312" w:eastAsia="仿宋_GB2312" w:hint="eastAsia"/>
          <w:color w:val="auto"/>
          <w:spacing w:val="-2"/>
          <w:sz w:val="32"/>
          <w:szCs w:val="32"/>
          <w:lang w:val="en-US" w:eastAsia="zh-CN"/>
        </w:rPr>
        <w:t>36.43</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元，比2023年度与2023年度增加</w:t>
      </w:r>
      <w:r>
        <w:rPr>
          <w:rFonts w:eastAsia="仿宋_GB2312" w:cs="仿宋_GB2312" w:hint="eastAsia"/>
          <w:color w:val="auto"/>
          <w:kern w:val="2"/>
          <w:sz w:val="32"/>
          <w:szCs w:val="32"/>
          <w:lang w:val="en-US" w:eastAsia="zh-CN" w:bidi="ar-SA"/>
          <w:highlight w:val="auto"/>
        </w:rPr>
        <w:t>1.28</w:t>
      </w:r>
      <w:r>
        <w:rPr>
          <w:rFonts w:ascii="Times New Roman" w:eastAsia="仿宋_GB2312" w:cs="仿宋_GB2312" w:hAnsi="Times New Roman" w:hint="eastAsia"/>
          <w:color w:val="auto"/>
          <w:kern w:val="2"/>
          <w:sz w:val="32"/>
          <w:szCs w:val="32"/>
          <w:lang w:val="en-US" w:eastAsia="zh-CN" w:bidi="ar-SA"/>
          <w:highlight w:val="auto"/>
        </w:rPr>
        <w:t>元，增长</w:t>
      </w:r>
      <w:r>
        <w:rPr>
          <w:rFonts w:eastAsia="仿宋_GB2312" w:cs="仿宋_GB2312" w:hint="eastAsia"/>
          <w:color w:val="auto"/>
          <w:kern w:val="2"/>
          <w:sz w:val="32"/>
          <w:szCs w:val="32"/>
          <w:lang w:val="en-US" w:eastAsia="zh-CN" w:bidi="ar-SA"/>
          <w:highlight w:val="auto"/>
        </w:rPr>
        <w:t>0.35</w:t>
      </w:r>
      <w:r>
        <w:rPr>
          <w:rFonts w:ascii="Times New Roman" w:eastAsia="仿宋_GB2312" w:cs="仿宋_GB2312" w:hAnsi="Times New Roman" w:hint="eastAsia"/>
          <w:color w:val="auto"/>
          <w:kern w:val="2"/>
          <w:sz w:val="32"/>
          <w:szCs w:val="32"/>
          <w:lang w:val="en-US" w:eastAsia="zh-CN" w:bidi="ar-SA"/>
          <w:highlight w:val="auto"/>
        </w:rPr>
        <w:t>%（或与2023年度决算数持平）。主要原因是</w:t>
      </w:r>
      <w:r>
        <w:rPr>
          <w:rFonts w:eastAsia="仿宋_GB2312" w:cs="仿宋_GB2312" w:hint="eastAsia"/>
          <w:color w:val="auto"/>
          <w:kern w:val="2"/>
          <w:sz w:val="32"/>
          <w:szCs w:val="32"/>
          <w:lang w:val="en-US" w:eastAsia="zh-CN" w:bidi="ar-SA"/>
          <w:highlight w:val="auto"/>
        </w:rPr>
        <w:t>预算增加</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58" w:name="_Toc15377223"/>
      <w:r>
        <w:rPr>
          <w:rFonts w:ascii="Times New Roman" w:eastAsia="楷体_GB2312" w:cs="楷体_GB2312" w:hAnsi="Times New Roman" w:hint="eastAsia"/>
          <w:b/>
          <w:color w:val="auto"/>
          <w:sz w:val="32"/>
          <w:szCs w:val="32"/>
          <w:highlight w:val="auto"/>
        </w:rPr>
        <w:t>（二）政府采购支出情况</w:t>
      </w:r>
      <w:bookmarkEnd w:id="58"/>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w:t>
      </w:r>
      <w:r>
        <w:rPr>
          <w:rFonts w:ascii="仿宋_GB2312" w:eastAsia="仿宋_GB2312" w:cs="仿宋_GB2312" w:hint="eastAsia"/>
          <w:color w:val="auto"/>
          <w:sz w:val="32"/>
          <w:szCs w:val="32"/>
        </w:rPr>
        <w:t>金川县沙耳乡</w:t>
      </w:r>
      <w:r>
        <w:rPr>
          <w:rFonts w:ascii="仿宋_GB2312" w:eastAsia="仿宋_GB2312" w:cs="仿宋_GB2312" w:hint="eastAsia"/>
          <w:color w:val="auto"/>
          <w:kern w:val="2"/>
          <w:sz w:val="32"/>
          <w:szCs w:val="32"/>
          <w:lang w:val="en-US" w:eastAsia="zh-CN" w:bidi="ar-SA"/>
          <w:highlight w:val="auto"/>
        </w:rPr>
        <w:t>政府采购支出总额</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万元，其中：政府采购货物支出</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万元、政府采购工程支出</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万元、政府采购服务支出</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万元。主要用于……（具体工作）。授予中小企业合同金额</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万元，占政府采购支出总额的</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%，其中：授予小微企业合同金额</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万元，占政府采购支出总额的</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59" w:name="_Toc15377224"/>
      <w:r>
        <w:rPr>
          <w:rFonts w:ascii="Times New Roman" w:eastAsia="楷体_GB2312" w:cs="楷体_GB2312" w:hAnsi="Times New Roman" w:hint="eastAsia"/>
          <w:b/>
          <w:color w:val="auto"/>
          <w:sz w:val="32"/>
          <w:szCs w:val="32"/>
          <w:highlight w:val="auto"/>
        </w:rPr>
        <w:t>（三）国有资产占有使用情况</w:t>
      </w:r>
      <w:bookmarkEnd w:id="59"/>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截至2024年12月31日，</w:t>
      </w:r>
      <w:r>
        <w:rPr>
          <w:rFonts w:ascii="仿宋_GB2312" w:eastAsia="仿宋_GB2312" w:cs="仿宋_GB2312" w:hint="eastAsia"/>
          <w:color w:val="auto"/>
          <w:sz w:val="32"/>
          <w:szCs w:val="32"/>
        </w:rPr>
        <w:t>金川县沙耳乡</w:t>
      </w:r>
      <w:r>
        <w:rPr>
          <w:rFonts w:ascii="仿宋_GB2312" w:eastAsia="仿宋_GB2312" w:cs="仿宋_GB2312" w:hint="eastAsia"/>
          <w:color w:val="auto"/>
          <w:kern w:val="2"/>
          <w:sz w:val="32"/>
          <w:szCs w:val="32"/>
          <w:lang w:val="en-US" w:eastAsia="zh-CN" w:bidi="ar-SA"/>
          <w:highlight w:val="auto"/>
        </w:rPr>
        <w:t>共有车辆</w:t>
      </w:r>
      <w:r>
        <w:rPr>
          <w:rFonts w:ascii="仿宋_GB2312" w:eastAsia="仿宋_GB2312" w:cs="仿宋_GB2312" w:hint="eastAsia"/>
          <w:color w:val="auto"/>
          <w:sz w:val="32"/>
          <w:szCs w:val="32"/>
        </w:rPr>
        <w:t>2</w:t>
      </w:r>
      <w:r>
        <w:rPr>
          <w:rFonts w:ascii="仿宋_GB2312" w:eastAsia="仿宋_GB2312" w:cs="仿宋_GB2312" w:hint="eastAsia"/>
          <w:color w:val="auto"/>
          <w:kern w:val="2"/>
          <w:sz w:val="32"/>
          <w:szCs w:val="32"/>
          <w:lang w:val="en-US" w:eastAsia="zh-CN" w:bidi="ar-SA"/>
          <w:highlight w:val="auto"/>
        </w:rPr>
        <w:t>辆，其中：主要负责人用车</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辆、机要通信用车</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辆、应急保障用车</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辆、其他用车</w:t>
      </w:r>
      <w:r>
        <w:rPr>
          <w:rFonts w:ascii="仿宋_GB2312" w:eastAsia="仿宋_GB2312" w:cs="仿宋_GB2312" w:hint="eastAsia"/>
          <w:color w:val="auto"/>
          <w:sz w:val="32"/>
          <w:szCs w:val="32"/>
        </w:rPr>
        <w:t>2</w:t>
      </w:r>
      <w:r>
        <w:rPr>
          <w:rFonts w:ascii="仿宋_GB2312" w:eastAsia="仿宋_GB2312" w:cs="仿宋_GB2312" w:hint="eastAsia"/>
          <w:color w:val="auto"/>
          <w:kern w:val="2"/>
          <w:sz w:val="32"/>
          <w:szCs w:val="32"/>
          <w:lang w:val="en-US" w:eastAsia="zh-CN" w:bidi="ar-SA"/>
          <w:highlight w:val="auto"/>
        </w:rPr>
        <w:t>辆，其他用车主要是用于……。单价100万元（含）以上设备（不含车辆）</w:t>
      </w:r>
      <w:r>
        <w:rPr>
          <w:rFonts w:ascii="仿宋_GB2312" w:eastAsia="仿宋_GB2312" w:cs="仿宋_GB2312" w:hint="eastAsia"/>
          <w:color w:val="auto"/>
          <w:sz w:val="32"/>
          <w:szCs w:val="32"/>
        </w:rPr>
        <w:t>0</w:t>
      </w:r>
      <w:r>
        <w:rPr>
          <w:rFonts w:ascii="仿宋_GB2312" w:eastAsia="仿宋_GB2312" w:cs="仿宋_GB2312" w:hint="eastAsia"/>
          <w:color w:val="auto"/>
          <w:kern w:val="2"/>
          <w:sz w:val="32"/>
          <w:szCs w:val="32"/>
          <w:lang w:val="en-US" w:eastAsia="zh-CN" w:bidi="ar-SA"/>
          <w:highlight w:val="auto"/>
        </w:rPr>
        <w:t>台（套）</w:t>
      </w:r>
      <w:r>
        <w:rPr>
          <w:rFonts w:ascii="Times New Roman" w:eastAsia="仿宋_GB2312" w:cs="仿宋_GB2312" w:hAnsi="Times New Roman" w:hint="eastAsia"/>
          <w:color w:val="auto"/>
          <w:kern w:val="2"/>
          <w:sz w:val="32"/>
          <w:szCs w:val="32"/>
          <w:lang w:val="en-US" w:eastAsia="zh-CN" w:bidi="ar-SA"/>
          <w:highlight w:val="auto"/>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r>
        <w:rPr>
          <w:rFonts w:ascii="Times New Roman" w:eastAsia="楷体_GB2312" w:cs="楷体_GB2312" w:hAnsi="Times New Roman" w:hint="eastAsia"/>
          <w:b/>
          <w:color w:val="auto"/>
          <w:sz w:val="32"/>
          <w:szCs w:val="32"/>
          <w:highlight w:val="auto"/>
        </w:rPr>
        <w:t>（四）预算绩效管理情况</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根据预算绩效管理要求，</w:t>
      </w:r>
      <w:r>
        <w:rPr>
          <w:rFonts w:eastAsia="仿宋_GB2312" w:cs="仿宋_GB2312" w:hint="eastAsia"/>
          <w:color w:val="auto"/>
          <w:kern w:val="2"/>
          <w:sz w:val="32"/>
          <w:szCs w:val="32"/>
          <w:lang w:val="en-US" w:eastAsia="zh-CN" w:bidi="ar-SA"/>
          <w:highlight w:val="auto"/>
        </w:rPr>
        <w:t>沙耳乡</w:t>
      </w:r>
      <w:r>
        <w:rPr>
          <w:rFonts w:ascii="Times New Roman" w:eastAsia="仿宋_GB2312" w:cs="仿宋_GB2312" w:hAnsi="Times New Roman" w:hint="eastAsia"/>
          <w:color w:val="auto"/>
          <w:kern w:val="2"/>
          <w:sz w:val="32"/>
          <w:szCs w:val="32"/>
          <w:lang w:val="en-US" w:eastAsia="zh-CN" w:bidi="ar-SA"/>
          <w:highlight w:val="auto"/>
        </w:rPr>
        <w:t>在2024年度预算编制阶段，组织对日常公用经费（项目名称）等</w:t>
      </w:r>
      <w:r>
        <w:rPr>
          <w:rFonts w:eastAsia="仿宋_GB2312" w:cs="仿宋_GB2312" w:hint="eastAsia"/>
          <w:color w:val="auto"/>
          <w:kern w:val="2"/>
          <w:sz w:val="32"/>
          <w:szCs w:val="32"/>
          <w:lang w:val="en-US" w:eastAsia="zh-CN" w:bidi="ar-SA"/>
          <w:highlight w:val="auto"/>
        </w:rPr>
        <w:t>74</w:t>
      </w:r>
      <w:r>
        <w:rPr>
          <w:rFonts w:ascii="Times New Roman" w:eastAsia="仿宋_GB2312" w:cs="仿宋_GB2312" w:hAnsi="Times New Roman" w:hint="eastAsia"/>
          <w:color w:val="auto"/>
          <w:kern w:val="2"/>
          <w:sz w:val="32"/>
          <w:szCs w:val="32"/>
          <w:lang w:val="en-US" w:eastAsia="zh-CN" w:bidi="ar-SA"/>
          <w:highlight w:val="auto"/>
        </w:rPr>
        <w:t>个项目开展了预算事前绩效评估，对</w:t>
      </w:r>
      <w:r>
        <w:rPr>
          <w:rFonts w:eastAsia="仿宋_GB2312" w:cs="仿宋_GB2312" w:hint="eastAsia"/>
          <w:color w:val="auto"/>
          <w:kern w:val="2"/>
          <w:sz w:val="32"/>
          <w:szCs w:val="32"/>
          <w:lang w:val="en-US" w:eastAsia="zh-CN" w:bidi="ar-SA"/>
          <w:highlight w:val="auto"/>
        </w:rPr>
        <w:t>74</w:t>
      </w:r>
      <w:r>
        <w:rPr>
          <w:rFonts w:ascii="Times New Roman" w:eastAsia="仿宋_GB2312" w:cs="仿宋_GB2312" w:hAnsi="Times New Roman" w:hint="eastAsia"/>
          <w:color w:val="auto"/>
          <w:kern w:val="2"/>
          <w:sz w:val="32"/>
          <w:szCs w:val="32"/>
          <w:lang w:val="en-US" w:eastAsia="zh-CN" w:bidi="ar-SA"/>
          <w:highlight w:val="auto"/>
        </w:rPr>
        <w:t>个项目编制了绩效目标，预算执行过程中，选取</w:t>
      </w:r>
      <w:r>
        <w:rPr>
          <w:rFonts w:eastAsia="仿宋_GB2312" w:cs="仿宋_GB2312" w:hint="eastAsia"/>
          <w:color w:val="auto"/>
          <w:kern w:val="2"/>
          <w:sz w:val="32"/>
          <w:szCs w:val="32"/>
          <w:lang w:val="en-US" w:eastAsia="zh-CN" w:bidi="ar-SA"/>
          <w:highlight w:val="auto"/>
        </w:rPr>
        <w:t>2</w:t>
      </w:r>
      <w:r>
        <w:rPr>
          <w:rFonts w:ascii="Times New Roman" w:eastAsia="仿宋_GB2312" w:cs="仿宋_GB2312" w:hAnsi="Times New Roman" w:hint="eastAsia"/>
          <w:color w:val="auto"/>
          <w:kern w:val="2"/>
          <w:sz w:val="32"/>
          <w:szCs w:val="32"/>
          <w:lang w:val="en-US" w:eastAsia="zh-CN" w:bidi="ar-SA"/>
          <w:highlight w:val="auto"/>
        </w:rPr>
        <w:t>个项目开展绩效监控。</w:t>
      </w:r>
    </w:p>
    <w:p>
      <w:pPr>
        <w:pStyle w:val="16"/>
        <w:pageBreakBefore w:val="0"/>
        <w:widowControl w:val="0"/>
        <w:tabs>
          <w:tab w:val="left" w:pos="2160"/>
        </w:tabs>
        <w:kinsoku/>
        <w:wordWrap/>
        <w:overflowPunct/>
        <w:topLinePunct w:val="0"/>
        <w:autoSpaceDE/>
        <w:autoSpaceDN/>
        <w:bidi w:val="0"/>
        <w:adjustRightInd/>
        <w:spacing w:line="600" w:lineRule="exact"/>
        <w:ind w:left="0" w:firstLineChars="200" w:firstLine="640"/>
        <w:textAlignment w:val="auto"/>
        <w:rPr>
          <w:rFonts w:ascii="黑体" w:cs="黑体" w:hAnsi="黑体" w:hint="eastAsia"/>
          <w:b w:val="0"/>
          <w:bCs w:val="0"/>
          <w:color w:val="auto"/>
          <w:kern w:val="2"/>
          <w:position w:val="0"/>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组织对2024年度一般公共预算、政府性基金预算、国有资本经营预算、社会保险基金预算以及资本资产、债券资金等全面开展绩效自评，形成</w:t>
      </w:r>
      <w:r>
        <w:rPr>
          <w:rFonts w:eastAsia="仿宋_GB2312" w:cs="仿宋_GB2312" w:hint="eastAsia"/>
          <w:color w:val="auto"/>
          <w:kern w:val="2"/>
          <w:sz w:val="32"/>
          <w:szCs w:val="32"/>
          <w:lang w:val="en-US" w:eastAsia="zh-CN" w:bidi="ar-SA"/>
          <w:highlight w:val="auto"/>
        </w:rPr>
        <w:t>沙耳乡</w:t>
      </w:r>
      <w:r>
        <w:rPr>
          <w:rFonts w:ascii="Times New Roman" w:eastAsia="仿宋_GB2312" w:cs="仿宋_GB2312" w:hAnsi="Times New Roman" w:hint="eastAsia"/>
          <w:color w:val="auto"/>
          <w:kern w:val="2"/>
          <w:sz w:val="32"/>
          <w:szCs w:val="32"/>
          <w:lang w:val="en-US" w:eastAsia="zh-CN" w:bidi="ar-SA"/>
          <w:highlight w:val="auto"/>
        </w:rPr>
        <w:t>部门整体（含部门预算项目）绩效自评报告、金川县沙耳乡山埂子村节能亮化项目专项预算项目等专项预算项目绩效自评报告，其中，</w:t>
      </w:r>
      <w:r>
        <w:rPr>
          <w:rFonts w:eastAsia="仿宋_GB2312" w:cs="仿宋_GB2312" w:hint="eastAsia"/>
          <w:color w:val="auto"/>
          <w:kern w:val="2"/>
          <w:sz w:val="32"/>
          <w:szCs w:val="32"/>
          <w:lang w:val="en-US" w:eastAsia="zh-CN" w:bidi="ar-SA"/>
          <w:highlight w:val="auto"/>
        </w:rPr>
        <w:t>沙耳乡</w:t>
      </w:r>
      <w:r>
        <w:rPr>
          <w:rFonts w:ascii="Times New Roman" w:eastAsia="仿宋_GB2312" w:cs="仿宋_GB2312" w:hAnsi="Times New Roman" w:hint="eastAsia"/>
          <w:color w:val="auto"/>
          <w:kern w:val="2"/>
          <w:sz w:val="32"/>
          <w:szCs w:val="32"/>
          <w:lang w:val="en-US" w:eastAsia="zh-CN" w:bidi="ar-SA"/>
          <w:highlight w:val="auto"/>
        </w:rPr>
        <w:t>部门整体（含部门预算项目）绩效自评得分为</w:t>
      </w:r>
      <w:r>
        <w:rPr>
          <w:rFonts w:eastAsia="仿宋_GB2312" w:cs="仿宋_GB2312" w:hint="eastAsia"/>
          <w:color w:val="auto"/>
          <w:kern w:val="2"/>
          <w:sz w:val="32"/>
          <w:szCs w:val="32"/>
          <w:lang w:val="en-US" w:eastAsia="zh-CN" w:bidi="ar-SA"/>
          <w:highlight w:val="auto"/>
        </w:rPr>
        <w:t>94</w:t>
      </w:r>
      <w:r>
        <w:rPr>
          <w:rFonts w:ascii="Times New Roman" w:eastAsia="仿宋_GB2312" w:cs="仿宋_GB2312" w:hAnsi="Times New Roman" w:hint="eastAsia"/>
          <w:color w:val="auto"/>
          <w:kern w:val="2"/>
          <w:sz w:val="32"/>
          <w:szCs w:val="32"/>
          <w:lang w:val="en-US" w:eastAsia="zh-CN" w:bidi="ar-SA"/>
          <w:highlight w:val="auto"/>
        </w:rPr>
        <w:t>分，</w:t>
      </w:r>
      <w:r>
        <w:rPr>
          <w:rFonts w:ascii="Times New Roman" w:eastAsia="仿宋_GB2312" w:cs="Times New Roman" w:hAnsi="Times New Roman"/>
          <w:bCs/>
          <w:color w:val="auto"/>
          <w:kern w:val="0"/>
          <w:sz w:val="32"/>
          <w:szCs w:val="32"/>
          <w:shd w:val="clear" w:color="auto" w:fill="FFFFFF"/>
          <w:lang w:val="zh-CN" w:eastAsia="zh-CN"/>
        </w:rPr>
        <w:t>从总体性分析评价，全年整体支出较优，实现了年初绩效目标</w:t>
      </w:r>
      <w:r>
        <w:rPr>
          <w:rFonts w:ascii="Times New Roman" w:eastAsia="仿宋_GB2312" w:cs="仿宋_GB2312" w:hAnsi="Times New Roman" w:hint="eastAsia"/>
          <w:color w:val="auto"/>
          <w:kern w:val="2"/>
          <w:sz w:val="32"/>
          <w:szCs w:val="32"/>
          <w:lang w:val="en-US" w:eastAsia="zh-CN" w:bidi="ar-SA"/>
          <w:highlight w:val="auto"/>
        </w:rPr>
        <w:t>；金川县沙耳乡山埂子村节能亮化项目专项预算项目绩效自评得分为</w:t>
      </w:r>
      <w:r>
        <w:rPr>
          <w:rFonts w:ascii="仿宋_GB2312" w:eastAsia="仿宋_GB2312" w:cs="仿宋_GB2312" w:hint="eastAsia"/>
          <w:b w:val="0"/>
          <w:bCs w:val="0"/>
          <w:color w:val="auto"/>
          <w:kern w:val="0"/>
          <w:position w:val="0"/>
          <w:sz w:val="32"/>
          <w:szCs w:val="32"/>
          <w:lang w:val="en-US" w:eastAsia="zh-CN" w:bidi="ar-SA"/>
          <w:highlight w:val="auto"/>
        </w:rPr>
        <w:t>99分、</w:t>
      </w:r>
      <w:r>
        <w:rPr>
          <w:rFonts w:ascii="仿宋_GB2312" w:eastAsia="仿宋_GB2312" w:cs="仿宋_GB2312" w:hint="eastAsia"/>
          <w:b w:val="0"/>
          <w:bCs w:val="0"/>
          <w:color w:val="auto"/>
          <w:sz w:val="32"/>
          <w:szCs w:val="32"/>
          <w:lang w:val="zh-CN"/>
          <w:highlight w:val="auto"/>
        </w:rPr>
        <w:t>项目实施情况</w:t>
      </w:r>
      <w:r>
        <w:rPr>
          <w:rFonts w:ascii="仿宋_GB2312" w:eastAsia="仿宋_GB2312" w:cs="仿宋_GB2312" w:hint="eastAsia"/>
          <w:b w:val="0"/>
          <w:bCs w:val="0"/>
          <w:color w:val="auto"/>
          <w:sz w:val="32"/>
          <w:szCs w:val="32"/>
          <w:lang w:val="en-US" w:eastAsia="zh-CN"/>
          <w:highlight w:val="auto"/>
        </w:rPr>
        <w:t>良好</w:t>
      </w:r>
      <w:r>
        <w:rPr>
          <w:rFonts w:cs="仿宋_GB2312" w:hint="eastAsia"/>
          <w:b w:val="0"/>
          <w:bCs w:val="0"/>
          <w:color w:val="auto"/>
          <w:sz w:val="32"/>
          <w:szCs w:val="32"/>
          <w:lang w:val="en-US" w:eastAsia="zh-CN"/>
          <w:highlight w:val="auto"/>
        </w:rPr>
        <w:t>。</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pStyle w:val="15"/>
        <w:rPr>
          <w:rFonts w:ascii="Times New Roman" w:eastAsia="仿宋_GB2312" w:cs="仿宋_GB2312" w:hAnsi="Times New Roman" w:hint="eastAsia"/>
          <w:color w:val="auto"/>
          <w:kern w:val="2"/>
          <w:sz w:val="32"/>
          <w:szCs w:val="32"/>
          <w:lang w:val="en-US" w:eastAsia="zh-CN" w:bidi="ar-SA"/>
          <w:highlight w:val="auto"/>
        </w:rPr>
      </w:pPr>
    </w:p>
    <w:p>
      <w:pPr>
        <w:rPr>
          <w:rFonts w:ascii="Times New Roman" w:eastAsia="仿宋_GB2312" w:cs="仿宋_GB2312" w:hAnsi="Times New Roman" w:hint="eastAsia"/>
          <w:color w:val="auto"/>
          <w:kern w:val="2"/>
          <w:sz w:val="32"/>
          <w:szCs w:val="32"/>
          <w:lang w:val="en-US" w:eastAsia="zh-CN" w:bidi="ar-SA"/>
          <w:highlight w:val="auto"/>
        </w:rPr>
      </w:pPr>
    </w:p>
    <w:p>
      <w:pPr>
        <w:pStyle w:val="15"/>
        <w:rPr>
          <w:rFonts w:ascii="Times New Roman" w:eastAsia="仿宋_GB2312" w:cs="仿宋_GB2312" w:hAnsi="Times New Roman" w:hint="eastAsia"/>
          <w:color w:val="auto"/>
          <w:kern w:val="2"/>
          <w:sz w:val="32"/>
          <w:szCs w:val="32"/>
          <w:lang w:val="en-US" w:eastAsia="zh-CN" w:bidi="ar-SA"/>
          <w:highlight w:val="auto"/>
        </w:rPr>
      </w:pPr>
    </w:p>
    <w:p>
      <w:pPr>
        <w:rPr>
          <w:rFonts w:ascii="Times New Roman" w:eastAsia="仿宋_GB2312" w:cs="仿宋_GB2312" w:hAnsi="Times New Roman" w:hint="eastAsia"/>
          <w:color w:val="auto"/>
          <w:kern w:val="2"/>
          <w:sz w:val="32"/>
          <w:szCs w:val="32"/>
          <w:lang w:val="en-US" w:eastAsia="zh-CN" w:bidi="ar-SA"/>
          <w:highlight w:val="auto"/>
        </w:rPr>
      </w:pPr>
    </w:p>
    <w:p>
      <w:pPr>
        <w:pStyle w:val="15"/>
        <w:rPr>
          <w:rFonts w:ascii="Times New Roman" w:eastAsia="仿宋_GB2312" w:cs="仿宋_GB2312" w:hAnsi="Times New Roman" w:hint="eastAsia"/>
          <w:color w:val="auto"/>
          <w:kern w:val="2"/>
          <w:sz w:val="32"/>
          <w:szCs w:val="32"/>
          <w:lang w:val="en-US" w:eastAsia="zh-CN" w:bidi="ar-SA"/>
          <w:highlight w:val="auto"/>
        </w:rPr>
      </w:pPr>
    </w:p>
    <w:p>
      <w:pPr>
        <w:rPr>
          <w:rFonts w:ascii="Times New Roman" w:eastAsia="仿宋_GB2312" w:cs="仿宋_GB2312" w:hAnsi="Times New Roman" w:hint="eastAsia"/>
          <w:color w:val="auto"/>
          <w:kern w:val="2"/>
          <w:sz w:val="32"/>
          <w:szCs w:val="32"/>
          <w:lang w:val="en-US" w:eastAsia="zh-CN" w:bidi="ar-SA"/>
          <w:highlight w:val="auto"/>
        </w:rPr>
      </w:pPr>
    </w:p>
    <w:p>
      <w:pPr>
        <w:pStyle w:val="15"/>
        <w:rPr>
          <w:rFonts w:ascii="Times New Roman" w:eastAsia="仿宋_GB2312" w:cs="仿宋_GB2312" w:hAnsi="Times New Roman" w:hint="eastAsia"/>
          <w:color w:val="auto"/>
          <w:kern w:val="2"/>
          <w:sz w:val="32"/>
          <w:szCs w:val="32"/>
          <w:lang w:val="en-US" w:eastAsia="zh-CN" w:bidi="ar-SA"/>
          <w:highlight w:val="auto"/>
        </w:rPr>
      </w:pPr>
    </w:p>
    <w:p>
      <w:pPr>
        <w:rPr>
          <w:rFonts w:ascii="Times New Roman" w:eastAsia="仿宋_GB2312" w:cs="仿宋_GB2312" w:hAnsi="Times New Roman" w:hint="eastAsia"/>
          <w:color w:val="auto"/>
          <w:kern w:val="2"/>
          <w:sz w:val="32"/>
          <w:szCs w:val="32"/>
          <w:lang w:val="en-US" w:eastAsia="zh-CN" w:bidi="ar-SA"/>
          <w:highlight w:val="auto"/>
        </w:rPr>
      </w:pPr>
    </w:p>
    <w:p>
      <w:pPr>
        <w:pStyle w:val="15"/>
        <w:rPr>
          <w:rFonts w:hint="eastAsia"/>
          <w:color w:val="auto"/>
          <w:lang w:val="en-US" w:eastAsia="zh-CN"/>
        </w:rPr>
      </w:pPr>
    </w:p>
    <w:p>
      <w:pPr>
        <w:spacing w:line="600" w:lineRule="exact"/>
        <w:jc w:val="center"/>
        <w:outlineLvl w:val="0"/>
        <w:rPr>
          <w:rFonts w:ascii="Times New Roman" w:eastAsia="黑体" w:hAnsi="Times New Roman" w:hint="eastAsia"/>
          <w:color w:val="auto"/>
          <w:sz w:val="44"/>
          <w:szCs w:val="44"/>
          <w:highlight w:val="auto"/>
        </w:rPr>
      </w:pPr>
      <w:bookmarkStart w:id="60" w:name="_Toc15377225"/>
      <w:bookmarkStart w:id="61" w:name="_Toc15396613"/>
      <w:r>
        <w:rPr>
          <w:rFonts w:ascii="Times New Roman" w:eastAsia="黑体" w:hAnsi="Times New Roman" w:hint="eastAsia"/>
          <w:color w:val="auto"/>
          <w:sz w:val="44"/>
          <w:szCs w:val="44"/>
          <w:highlight w:val="auto"/>
        </w:rPr>
        <w:t>第</w:t>
      </w:r>
      <w:r>
        <w:rPr>
          <w:rFonts w:eastAsia="黑体" w:hint="eastAsia"/>
          <w:color w:val="auto"/>
          <w:sz w:val="44"/>
          <w:szCs w:val="44"/>
          <w:lang w:eastAsia="zh-CN"/>
          <w:highlight w:val="auto"/>
        </w:rPr>
        <w:t>三</w:t>
      </w:r>
      <w:r>
        <w:rPr>
          <w:rFonts w:ascii="Times New Roman" w:eastAsia="黑体" w:hAnsi="Times New Roman" w:hint="eastAsia"/>
          <w:color w:val="auto"/>
          <w:sz w:val="44"/>
          <w:szCs w:val="44"/>
          <w:highlight w:val="auto"/>
        </w:rPr>
        <w:t>部分</w:t>
      </w:r>
      <w:r>
        <w:rPr>
          <w:rFonts w:ascii="Times New Roman" w:eastAsia="黑体" w:hAnsi="Times New Roman" w:hint="eastAsia"/>
          <w:color w:val="auto"/>
          <w:sz w:val="44"/>
          <w:szCs w:val="44"/>
          <w:lang w:val="en-US" w:eastAsia="zh-CN"/>
          <w:highlight w:val="auto"/>
        </w:rPr>
        <w:t xml:space="preserve"> </w:t>
      </w:r>
      <w:r>
        <w:rPr>
          <w:rFonts w:eastAsia="黑体"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名词解释</w:t>
      </w:r>
      <w:bookmarkEnd w:id="60"/>
      <w:bookmarkEnd w:id="61"/>
    </w:p>
    <w:p>
      <w:pPr>
        <w:spacing w:line="600" w:lineRule="exact"/>
        <w:jc w:val="left"/>
        <w:rPr>
          <w:rFonts w:ascii="Times New Roman" w:hAnsi="Times New Roman"/>
          <w:b/>
          <w:color w:val="auto"/>
          <w:sz w:val="44"/>
          <w:szCs w:val="44"/>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1.财政拨款收入：指单位从同级财政部门取得的财政预算资金。</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2.事业收入：指事业单位开展专业业务活动及辅助活动取得的收入。</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3.经营收入：指事业单位在专业业务活动及其辅助活动之外开展非独立核算经营活动取得的收入。4.其他收入：指单位取得的除上述收入以外的各项收入。5.使用非财政拨款结余（含专用结余）：指事业单位使用以前年度积累的非财政拨款结余弥补当年收支差额的金额。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6.年初结转和结余：指以前年度尚未完成、结转到本年按有关规定继续使用的资金。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7.结余分配：指事业单位按照会计制度规定缴纳的所得税、提取的专用结余以及转入非财政拨款结余的金额等。</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8.年末结转和结余：指单位按有关规定结转到下年或以后年度继续使用的资金。</w:t>
      </w:r>
    </w:p>
    <w:p>
      <w:pPr>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8.一般公共服务（类）政府办公厅（室）及相关机构事务（款）行政运行（项）：指行政单位的基本支出。</w:t>
      </w:r>
    </w:p>
    <w:p>
      <w:pPr>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9.一般公共服务（类）政府办公厅（室）及相关机构事务（款）一般行政管理事务（项）：指反映行政单位未单独设置顶级科目的其他项目支出。</w:t>
      </w:r>
    </w:p>
    <w:p>
      <w:pPr>
        <w:spacing w:line="600" w:lineRule="exact"/>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10.教育（类）其他教育支出（款）其他教育支出（项）：除上诉项目以外用于教育管理事务方面的支出。</w:t>
      </w:r>
    </w:p>
    <w:p>
      <w:pPr>
        <w:spacing w:line="600" w:lineRule="exact"/>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11.社会保障和就业（类）行政事业单位离退休（款）机关事业单位基本养老保险缴费支出（项）：指单位为职工缴纳的基本养老保险费。</w:t>
      </w:r>
    </w:p>
    <w:p>
      <w:pPr>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12.社会保障和就业（类）行政事业单位离退休（款）机关事业单位基本职业年金缴费支出（项）：指单位为职工实际缴纳的职业年金。</w:t>
      </w:r>
    </w:p>
    <w:p>
      <w:pPr>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13.医疗卫生与计划生育（类）行政事业单位医疗（款）行政单位医疗（项）：指反映职工缴纳的基本医疗保险费。</w:t>
      </w:r>
    </w:p>
    <w:p>
      <w:pPr>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14.医疗卫生与计划生育（类）行政事业单位医疗（款）公务员医疗补助（项）：指按规定可享受公务员医疗补助单位为职工缴纳的公务员医疗补助费。</w:t>
      </w:r>
    </w:p>
    <w:p>
      <w:pPr>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15.住房保障（类）住房改革支出（款）住房公积金（项）：指单位按规定为职工缴纳的住房公积金。</w:t>
      </w:r>
    </w:p>
    <w:p>
      <w:pPr>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16.基本支出：指为保障机构正常运转、完成日常工作任务而发生的人员支出和公用支出。</w:t>
      </w:r>
    </w:p>
    <w:p>
      <w:pPr>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 xml:space="preserve">17.项目支出：指在基本支出之外为完成特定行政任务和事业发展目标所发生的支出。 </w:t>
      </w:r>
    </w:p>
    <w:p>
      <w:pPr>
        <w:pStyle w:val="34"/>
        <w:spacing w:line="560" w:lineRule="exact"/>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Chars="200" w:firstLine="632"/>
        <w:rPr>
          <w:rFonts w:ascii="仿宋_GB2312" w:eastAsia="仿宋_GB2312" w:cs="Arial" w:hint="eastAsia"/>
          <w:color w:val="auto"/>
          <w:spacing w:val="-2"/>
          <w:kern w:val="2"/>
          <w:sz w:val="32"/>
          <w:szCs w:val="32"/>
          <w:lang w:val="en-US" w:eastAsia="zh-CN" w:bidi="ar-SA"/>
        </w:rPr>
      </w:pPr>
      <w:r>
        <w:rPr>
          <w:rFonts w:ascii="仿宋_GB2312" w:eastAsia="仿宋_GB2312" w:cs="Arial" w:hint="eastAsia"/>
          <w:color w:val="auto"/>
          <w:spacing w:val="-2"/>
          <w:kern w:val="2"/>
          <w:sz w:val="32"/>
          <w:szCs w:val="32"/>
          <w:lang w:val="en-US" w:eastAsia="zh-CN" w:bidi="ar-SA"/>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Chars="200" w:firstLine="640"/>
        <w:rPr>
          <w:rFonts w:ascii="Times New Roman" w:eastAsia="仿宋_GB2312" w:cs="仿宋_GB2312" w:hAnsi="Times New Roman"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20</w:t>
      </w:r>
      <w:r>
        <w:rPr>
          <w:rFonts w:ascii="Times New Roman" w:eastAsia="仿宋_GB2312" w:cs="仿宋_GB2312" w:hAnsi="Times New Roman" w:hint="eastAsia"/>
          <w:color w:val="auto"/>
          <w:kern w:val="2"/>
          <w:sz w:val="32"/>
          <w:szCs w:val="32"/>
          <w:lang w:val="en-US" w:eastAsia="zh-CN" w:bidi="ar-SA"/>
          <w:highlight w:val="auto"/>
        </w:rPr>
        <w:t>.基本支出：指为保障机构正常运转、完成日常工作任务而发生的人员支出和公用支出。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21</w:t>
      </w:r>
      <w:r>
        <w:rPr>
          <w:rFonts w:ascii="Times New Roman" w:eastAsia="仿宋_GB2312" w:cs="仿宋_GB2312" w:hAnsi="Times New Roman" w:hint="eastAsia"/>
          <w:color w:val="auto"/>
          <w:kern w:val="2"/>
          <w:sz w:val="32"/>
          <w:szCs w:val="32"/>
          <w:lang w:val="en-US" w:eastAsia="zh-CN" w:bidi="ar-SA"/>
          <w:highlight w:val="auto"/>
        </w:rPr>
        <w:t xml:space="preserve">.项目支出：指在基本支出之外为完成特定行政任务和事业发展目标所发生的支出。 </w:t>
      </w:r>
    </w:p>
    <w:p>
      <w:pPr>
        <w:spacing w:line="600" w:lineRule="exact"/>
        <w:ind w:firstLine="640"/>
        <w:rPr>
          <w:rFonts w:ascii="仿宋_GB2312" w:eastAsia="仿宋_GB2312" w:cs="Arial" w:hint="eastAsia"/>
          <w:color w:val="auto"/>
          <w:spacing w:val="-2"/>
          <w:kern w:val="2"/>
          <w:sz w:val="32"/>
          <w:szCs w:val="32"/>
          <w:lang w:val="en-US" w:eastAsia="zh-CN" w:bidi="ar-SA"/>
        </w:rPr>
      </w:pPr>
      <w:r>
        <w:rPr>
          <w:rFonts w:eastAsia="仿宋_GB2312" w:cs="仿宋_GB2312" w:hint="eastAsia"/>
          <w:color w:val="auto"/>
          <w:kern w:val="2"/>
          <w:sz w:val="32"/>
          <w:szCs w:val="32"/>
          <w:lang w:val="en-US" w:eastAsia="zh-CN" w:bidi="ar-SA"/>
          <w:highlight w:val="auto"/>
        </w:rPr>
        <w:t>22</w:t>
      </w:r>
      <w:r>
        <w:rPr>
          <w:rFonts w:ascii="Times New Roman" w:eastAsia="仿宋_GB2312" w:cs="仿宋_GB2312" w:hAnsi="Times New Roman" w:hint="eastAsia"/>
          <w:color w:val="auto"/>
          <w:kern w:val="2"/>
          <w:sz w:val="32"/>
          <w:szCs w:val="32"/>
          <w:lang w:val="en-US" w:eastAsia="zh-CN" w:bidi="ar-SA"/>
          <w:highlight w:val="auto"/>
        </w:rPr>
        <w:t>.经营支出：指事业单位在专业业务活动及其辅助活动之外开展非独立核算经营活动发生的支出。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23“</w:t>
      </w:r>
      <w:r>
        <w:rPr>
          <w:rFonts w:ascii="Times New Roman" w:eastAsia="仿宋_GB2312" w:cs="仿宋_GB2312" w:hAnsi="Times New Roman" w:hint="eastAsia"/>
          <w:color w:val="auto"/>
          <w:kern w:val="2"/>
          <w:sz w:val="32"/>
          <w:szCs w:val="32"/>
          <w:lang w:val="en-US" w:eastAsia="zh-CN" w:bidi="ar-SA"/>
          <w:highlight w:val="auto"/>
        </w:rPr>
        <w:t>三公</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Chars="200" w:firstLine="632"/>
        <w:rPr>
          <w:rFonts w:ascii="仿宋_GB2312" w:eastAsia="仿宋_GB2312" w:cs="Arial" w:hint="eastAsia"/>
          <w:color w:val="auto"/>
          <w:spacing w:val="-2"/>
          <w:kern w:val="2"/>
          <w:sz w:val="32"/>
          <w:szCs w:val="32"/>
          <w:lang w:val="en-US" w:eastAsia="zh-CN" w:bidi="ar-SA"/>
        </w:rPr>
        <w:sectPr>
          <w:headerReference w:type="default" r:id="rId2"/>
          <w:pgSz w:w="11906" w:h="16838"/>
          <w:pgMar w:top="1440" w:right="1800" w:bottom="1440" w:left="1800" w:header="851" w:footer="992" w:gutter="0"/>
          <w:docGrid w:type="lines" w:linePitch="312" w:charSpace="0"/>
        </w:sect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24</w:t>
      </w:r>
      <w:r>
        <w:rPr>
          <w:rFonts w:ascii="Times New Roman" w:eastAsia="仿宋_GB2312" w:cs="仿宋_GB2312" w:hAnsi="Times New Roman" w:hint="eastAsia"/>
          <w:color w:val="auto"/>
          <w:kern w:val="2"/>
          <w:sz w:val="32"/>
          <w:szCs w:val="32"/>
          <w:lang w:val="en-US" w:eastAsia="zh-CN" w:bidi="ar-SA"/>
          <w:highlight w:val="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1Char"/>
          <w:rFonts w:ascii="Times New Roman" w:eastAsia="黑体" w:hAnsi="Times New Roman" w:hint="eastAsia"/>
          <w:b w:val="0"/>
          <w:color w:val="auto"/>
          <w:lang w:eastAsia="zh-CN"/>
          <w:highlight w:val="auto"/>
        </w:rPr>
      </w:pPr>
      <w:bookmarkStart w:id="62" w:name="_Toc15377226"/>
      <w:r>
        <w:rPr>
          <w:rFonts w:ascii="Times New Roman" w:eastAsia="仿宋_GB2312" w:cs="仿宋_GB2312" w:hAnsi="Times New Roman" w:hint="eastAsia"/>
          <w:color w:val="auto"/>
          <w:kern w:val="2"/>
          <w:sz w:val="32"/>
          <w:szCs w:val="32"/>
          <w:lang w:val="en-US" w:eastAsia="zh-CN" w:bidi="ar-SA"/>
          <w:highlight w:val="auto"/>
        </w:rPr>
        <w:br w:type="page"/>
      </w:r>
      <w:bookmarkStart w:id="63" w:name="_Toc15396614"/>
      <w:r>
        <w:rPr>
          <w:rFonts w:ascii="Times New Roman" w:eastAsia="黑体" w:hAnsi="Times New Roman" w:hint="eastAsia"/>
          <w:color w:val="auto"/>
          <w:sz w:val="44"/>
          <w:szCs w:val="44"/>
          <w:highlight w:val="auto"/>
        </w:rPr>
        <w:t>第四部分</w:t>
      </w:r>
      <w:r>
        <w:rPr>
          <w:rFonts w:ascii="Times New Roman" w:eastAsia="黑体" w:hAnsi="Times New Roman"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 xml:space="preserve"> 附件</w:t>
      </w:r>
      <w:bookmarkEnd w:id="63"/>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黑体" w:hAnsi="Times New Roman" w:hint="eastAsia"/>
          <w:color w:val="auto"/>
          <w:sz w:val="32"/>
          <w:szCs w:val="32"/>
          <w:highlight w:val="auto"/>
        </w:rPr>
      </w:pPr>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方正小标宋简体" w:hAnsi="Times New Roman" w:hint="eastAsia"/>
          <w:color w:val="auto"/>
          <w:sz w:val="44"/>
          <w:szCs w:val="44"/>
          <w:lang w:val="en-US" w:eastAsia="zh-CN"/>
          <w:highlight w:val="auto"/>
        </w:rPr>
      </w:pPr>
      <w:r>
        <w:rPr>
          <w:rFonts w:ascii="Times New Roman" w:eastAsia="黑体" w:cs="黑体" w:hAnsi="Times New Roman" w:hint="eastAsia"/>
          <w:color w:val="auto"/>
          <w:sz w:val="32"/>
          <w:szCs w:val="32"/>
          <w:highlight w:val="auto"/>
        </w:rPr>
        <w:t>附件</w:t>
      </w:r>
      <w:r>
        <w:rPr>
          <w:rFonts w:ascii="Times New Roman" w:eastAsia="黑体" w:cs="黑体" w:hAnsi="Times New Roman" w:hint="eastAsia"/>
          <w:color w:val="auto"/>
          <w:sz w:val="32"/>
          <w:szCs w:val="32"/>
          <w:lang w:val="en-US" w:eastAsia="zh-CN"/>
          <w:highlight w:val="auto"/>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b w:val="0"/>
          <w:bCs/>
          <w:color w:val="auto"/>
          <w:sz w:val="44"/>
          <w:szCs w:val="44"/>
          <w:shd w:val="clear" w:color="auto" w:fill="FFFFFF"/>
          <w:highlight w:val="auto"/>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b w:val="0"/>
          <w:bCs/>
          <w:color w:val="auto"/>
          <w:sz w:val="44"/>
          <w:szCs w:val="44"/>
          <w:shd w:val="clear" w:color="auto" w:fill="FFFFFF"/>
          <w:highlight w:val="auto"/>
        </w:rPr>
      </w:pPr>
      <w:r>
        <w:rPr>
          <w:rFonts w:ascii="Times New Roman" w:eastAsia="方正小标宋简体" w:cs="Times New Roman" w:hAnsi="Times New Roman"/>
          <w:b w:val="0"/>
          <w:bCs/>
          <w:color w:val="auto"/>
          <w:sz w:val="44"/>
          <w:szCs w:val="44"/>
          <w:shd w:val="clear" w:color="auto" w:fill="FFFFFF"/>
          <w:highlight w:val="auto"/>
        </w:rPr>
        <w:t>部门</w:t>
      </w:r>
      <w:r>
        <w:rPr>
          <w:rFonts w:ascii="Times New Roman" w:eastAsia="方正小标宋简体" w:cs="Times New Roman" w:hAnsi="Times New Roman"/>
          <w:b w:val="0"/>
          <w:bCs/>
          <w:color w:val="auto"/>
          <w:sz w:val="44"/>
          <w:szCs w:val="44"/>
          <w:shd w:val="clear" w:color="auto" w:fill="FFFFFF"/>
          <w:lang w:eastAsia="zh-CN"/>
          <w:highlight w:val="auto"/>
        </w:rPr>
        <w:t>预算</w:t>
      </w:r>
      <w:r>
        <w:rPr>
          <w:rFonts w:ascii="Times New Roman" w:eastAsia="方正小标宋简体" w:cs="Times New Roman" w:hAnsi="Times New Roman"/>
          <w:b w:val="0"/>
          <w:bCs/>
          <w:color w:val="auto"/>
          <w:sz w:val="44"/>
          <w:szCs w:val="44"/>
          <w:shd w:val="clear" w:color="auto" w:fill="FFFFFF"/>
          <w:highlight w:val="auto"/>
        </w:rPr>
        <w:t>绩效</w:t>
      </w:r>
      <w:r>
        <w:rPr>
          <w:rFonts w:ascii="Times New Roman" w:eastAsia="方正小标宋简体" w:cs="Times New Roman" w:hAnsi="Times New Roman" w:hint="eastAsia"/>
          <w:b w:val="0"/>
          <w:bCs/>
          <w:color w:val="auto"/>
          <w:sz w:val="44"/>
          <w:szCs w:val="44"/>
          <w:shd w:val="clear" w:color="auto" w:fill="FFFFFF"/>
          <w:lang w:eastAsia="zh-CN"/>
          <w:highlight w:val="auto"/>
        </w:rPr>
        <w:t>评价</w:t>
      </w:r>
      <w:r>
        <w:rPr>
          <w:rFonts w:ascii="Times New Roman" w:eastAsia="方正小标宋简体" w:cs="Times New Roman" w:hAnsi="Times New Roman"/>
          <w:b w:val="0"/>
          <w:bCs/>
          <w:color w:val="auto"/>
          <w:sz w:val="44"/>
          <w:szCs w:val="44"/>
          <w:shd w:val="clear" w:color="auto" w:fill="FFFFFF"/>
          <w:highlight w:val="auto"/>
        </w:rPr>
        <w:t>报告范本</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仿宋_GB2312" w:cs="Times New Roman" w:hAnsi="Times New Roman"/>
          <w:color w:val="auto"/>
          <w:sz w:val="32"/>
          <w:szCs w:val="32"/>
          <w:shd w:val="clear" w:color="auto" w:fill="FFFFFF"/>
          <w:highlight w:val="auto"/>
        </w:rPr>
      </w:pPr>
      <w:r>
        <w:rPr>
          <w:rFonts w:ascii="Times New Roman" w:eastAsia="仿宋_GB2312" w:cs="Times New Roman" w:hAnsi="Times New Roman"/>
          <w:color w:val="auto"/>
          <w:sz w:val="32"/>
          <w:szCs w:val="32"/>
          <w:shd w:val="clear" w:color="auto" w:fill="FFFFFF"/>
          <w:highlight w:val="auto"/>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80"/>
        <w:contextualSpacing/>
        <w:jc w:val="left"/>
        <w:textAlignment w:val="auto"/>
        <w:outlineLvl w:val="9"/>
        <w:rPr>
          <w:rFonts w:ascii="Times New Roman" w:eastAsia="黑体" w:cs="Times New Roman" w:hAnsi="Times New Roman"/>
          <w:color w:val="auto"/>
          <w:kern w:val="0"/>
          <w:sz w:val="24"/>
          <w:szCs w:val="32"/>
          <w:shd w:val="clear" w:color="auto" w:fill="FFFFFF"/>
          <w:highlight w:val="auto"/>
        </w:rPr>
      </w:pP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auto"/>
          <w:kern w:val="0"/>
          <w:sz w:val="32"/>
          <w:szCs w:val="32"/>
          <w:shd w:val="clear" w:color="auto" w:fill="FFFFFF"/>
          <w:lang w:val="zh-CN"/>
          <w:highlight w:val="auto"/>
        </w:rPr>
      </w:pPr>
      <w:r>
        <w:rPr>
          <w:rFonts w:ascii="Times New Roman" w:eastAsia="黑体" w:cs="Times New Roman" w:hAnsi="Times New Roman" w:hint="eastAsia"/>
          <w:color w:val="auto"/>
          <w:kern w:val="0"/>
          <w:sz w:val="32"/>
          <w:szCs w:val="32"/>
          <w:shd w:val="clear" w:color="auto" w:fill="FFFFFF"/>
          <w:lang w:val="zh-CN"/>
          <w:highlight w:val="auto"/>
        </w:rPr>
        <w:t>一、</w:t>
      </w:r>
      <w:r>
        <w:rPr>
          <w:rFonts w:ascii="Times New Roman" w:eastAsia="黑体" w:cs="Times New Roman" w:hAnsi="Times New Roman"/>
          <w:color w:val="auto"/>
          <w:kern w:val="0"/>
          <w:sz w:val="32"/>
          <w:szCs w:val="32"/>
          <w:shd w:val="clear" w:color="auto" w:fill="FFFFFF"/>
          <w:lang w:val="zh-CN"/>
          <w:highlight w:val="auto"/>
        </w:rPr>
        <w:t>部门（单位）基本情况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outlineLvl w:val="9"/>
        <w:rPr>
          <w:rFonts w:ascii="Times New Roman" w:cs="Times New Roman" w:hAnsi="Times New Roman"/>
          <w:color w:val="auto"/>
          <w:szCs w:val="32"/>
        </w:rPr>
      </w:pPr>
      <w:r>
        <w:rPr>
          <w:rFonts w:ascii="Times New Roman" w:eastAsia="楷体_GB2312" w:cs="楷体_GB2312" w:hAnsi="Times New Roman" w:hint="eastAsia"/>
          <w:b/>
          <w:color w:val="auto"/>
          <w:sz w:val="32"/>
          <w:szCs w:val="32"/>
          <w:lang w:val="zh-CN"/>
          <w:highlight w:val="auto"/>
        </w:rPr>
        <w:t>（一）</w:t>
      </w:r>
      <w:r>
        <w:rPr>
          <w:rFonts w:ascii="Times New Roman" w:eastAsia="楷体_GB2312" w:cs="楷体_GB2312" w:hAnsi="Times New Roman"/>
          <w:b/>
          <w:color w:val="auto"/>
          <w:sz w:val="32"/>
          <w:szCs w:val="32"/>
          <w:lang w:val="zh-CN"/>
          <w:highlight w:val="auto"/>
        </w:rPr>
        <w:t>机构组成。</w:t>
      </w:r>
      <w:r>
        <w:rPr>
          <w:rFonts w:ascii="仿宋" w:eastAsia="仿宋" w:cs="仿宋" w:hint="eastAsia"/>
          <w:color w:val="auto"/>
          <w:spacing w:val="34"/>
          <w:sz w:val="32"/>
          <w:szCs w:val="32"/>
          <w:lang w:val="zh-CN"/>
        </w:rPr>
        <w:t>本部门预算单位</w:t>
      </w:r>
      <w:r>
        <w:rPr>
          <w:rFonts w:ascii="仿宋" w:eastAsia="仿宋" w:cs="仿宋" w:hint="eastAsia"/>
          <w:color w:val="auto"/>
          <w:spacing w:val="34"/>
          <w:sz w:val="32"/>
          <w:szCs w:val="32"/>
          <w:lang w:val="en-US" w:eastAsia="zh-CN"/>
        </w:rPr>
        <w:t>1</w:t>
      </w:r>
      <w:r>
        <w:rPr>
          <w:rFonts w:ascii="仿宋" w:eastAsia="仿宋" w:cs="仿宋" w:hint="eastAsia"/>
          <w:color w:val="auto"/>
          <w:spacing w:val="34"/>
          <w:sz w:val="32"/>
          <w:szCs w:val="32"/>
          <w:lang w:val="zh-CN"/>
        </w:rPr>
        <w:t>个，其中内设机构</w:t>
      </w:r>
      <w:r>
        <w:rPr>
          <w:rFonts w:ascii="仿宋" w:eastAsia="仿宋" w:cs="仿宋" w:hint="eastAsia"/>
          <w:color w:val="auto"/>
          <w:spacing w:val="34"/>
          <w:sz w:val="32"/>
          <w:szCs w:val="32"/>
          <w:lang w:val="en-US" w:eastAsia="zh-CN"/>
        </w:rPr>
        <w:t>4</w:t>
      </w:r>
      <w:r>
        <w:rPr>
          <w:rFonts w:ascii="仿宋" w:eastAsia="仿宋" w:cs="仿宋" w:hint="eastAsia"/>
          <w:color w:val="auto"/>
          <w:spacing w:val="34"/>
          <w:sz w:val="32"/>
          <w:szCs w:val="32"/>
          <w:lang w:val="zh-CN"/>
        </w:rPr>
        <w:t>个，分别是金川县沙耳乡人民政府办公室、沙耳乡党委办公室、沙耳乡人大办公室、沙耳乡综合服务中心。</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both"/>
        <w:textAlignment w:val="auto"/>
        <w:outlineLvl w:val="9"/>
        <w:rPr>
          <w:rFonts w:ascii="仿宋_GB2312" w:eastAsia="仿宋_GB2312" w:cs="仿宋_GB2312" w:hint="eastAsia"/>
          <w:color w:val="auto"/>
          <w:spacing w:val="34"/>
          <w:sz w:val="32"/>
          <w:szCs w:val="32"/>
          <w:lang w:val="zh-CN"/>
        </w:rPr>
      </w:pPr>
      <w:r>
        <w:rPr>
          <w:rFonts w:ascii="Times New Roman" w:eastAsia="楷体_GB2312" w:cs="楷体_GB2312" w:hAnsi="Times New Roman"/>
          <w:b/>
          <w:color w:val="auto"/>
          <w:sz w:val="32"/>
          <w:szCs w:val="32"/>
          <w:lang w:val="zh-CN"/>
          <w:highlight w:val="auto"/>
        </w:rPr>
        <w:t>（二）机构职能</w:t>
      </w:r>
      <w:r>
        <w:rPr>
          <w:rFonts w:ascii="Times New Roman" w:eastAsia="楷体_GB2312" w:cs="楷体_GB2312" w:hAnsi="Times New Roman" w:hint="eastAsia"/>
          <w:b/>
          <w:color w:val="auto"/>
          <w:sz w:val="32"/>
          <w:szCs w:val="32"/>
          <w:lang w:val="zh-CN"/>
          <w:highlight w:val="auto"/>
        </w:rPr>
        <w:t>。</w:t>
      </w:r>
      <w:r>
        <w:rPr>
          <w:rFonts w:ascii="仿宋_GB2312" w:eastAsia="仿宋_GB2312" w:cs="仿宋_GB2312" w:hint="eastAsia"/>
          <w:color w:val="auto"/>
          <w:spacing w:val="34"/>
          <w:sz w:val="32"/>
          <w:szCs w:val="32"/>
          <w:lang w:val="zh-CN"/>
        </w:rPr>
        <w:t xml:space="preserve"> 1</w:t>
      </w:r>
      <w:r>
        <w:rPr>
          <w:rFonts w:ascii="仿宋_GB2312" w:cs="仿宋_GB2312" w:hAnsi="仿宋_GB2312" w:hint="eastAsia"/>
          <w:color w:val="auto"/>
          <w:spacing w:val="34"/>
          <w:sz w:val="32"/>
          <w:szCs w:val="32"/>
          <w:lang w:val="en-US" w:eastAsia="zh-CN"/>
        </w:rPr>
        <w:t>.</w:t>
      </w:r>
      <w:r>
        <w:rPr>
          <w:rFonts w:ascii="仿宋_GB2312" w:eastAsia="仿宋_GB2312" w:cs="仿宋_GB2312" w:hint="eastAsia"/>
          <w:color w:val="auto"/>
          <w:spacing w:val="34"/>
          <w:sz w:val="32"/>
          <w:szCs w:val="32"/>
          <w:lang w:val="zh-CN"/>
        </w:rPr>
        <w:t xml:space="preserve">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776"/>
        <w:contextualSpacing/>
        <w:jc w:val="left"/>
        <w:textAlignment w:val="auto"/>
        <w:outlineLvl w:val="9"/>
        <w:rPr>
          <w:rFonts w:ascii="仿宋_GB2312" w:eastAsia="仿宋_GB2312" w:cs="仿宋_GB2312" w:hint="eastAsia"/>
          <w:color w:val="auto"/>
          <w:spacing w:val="34"/>
          <w:sz w:val="32"/>
          <w:szCs w:val="32"/>
          <w:lang w:val="zh-CN"/>
        </w:rPr>
      </w:pPr>
      <w:r>
        <w:rPr>
          <w:rFonts w:ascii="仿宋_GB2312" w:eastAsia="仿宋_GB2312" w:cs="仿宋_GB2312" w:hint="eastAsia"/>
          <w:color w:val="auto"/>
          <w:spacing w:val="34"/>
          <w:sz w:val="32"/>
          <w:szCs w:val="32"/>
          <w:lang w:val="zh-CN"/>
        </w:rPr>
        <w:t xml:space="preserve">2.制定并组织实施村镇建设规划，部署重点工程建设，地方道路建设及公共设施，水利设施的管理，负责土地、林木、水等自然资源和生态环境的保护，做好护林防火工作。 </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776"/>
        <w:contextualSpacing/>
        <w:jc w:val="left"/>
        <w:textAlignment w:val="auto"/>
        <w:outlineLvl w:val="9"/>
        <w:rPr>
          <w:rFonts w:ascii="仿宋_GB2312" w:eastAsia="仿宋_GB2312" w:cs="仿宋_GB2312" w:hint="eastAsia"/>
          <w:color w:val="auto"/>
          <w:spacing w:val="34"/>
          <w:sz w:val="32"/>
          <w:szCs w:val="32"/>
          <w:lang w:val="zh-CN"/>
        </w:rPr>
      </w:pPr>
      <w:r>
        <w:rPr>
          <w:rFonts w:ascii="仿宋_GB2312" w:eastAsia="仿宋_GB2312" w:cs="仿宋_GB2312" w:hint="eastAsia"/>
          <w:color w:val="auto"/>
          <w:spacing w:val="34"/>
          <w:sz w:val="32"/>
          <w:szCs w:val="32"/>
          <w:lang w:val="zh-CN"/>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776"/>
        <w:contextualSpacing/>
        <w:jc w:val="left"/>
        <w:textAlignment w:val="auto"/>
        <w:outlineLvl w:val="9"/>
        <w:rPr>
          <w:rFonts w:ascii="仿宋_GB2312" w:eastAsia="仿宋_GB2312" w:cs="仿宋_GB2312" w:hint="eastAsia"/>
          <w:color w:val="auto"/>
          <w:spacing w:val="34"/>
          <w:sz w:val="32"/>
          <w:szCs w:val="32"/>
          <w:lang w:val="zh-CN"/>
        </w:rPr>
      </w:pPr>
      <w:r>
        <w:rPr>
          <w:rFonts w:ascii="仿宋_GB2312" w:eastAsia="仿宋_GB2312" w:cs="仿宋_GB2312" w:hint="eastAsia"/>
          <w:color w:val="auto"/>
          <w:spacing w:val="34"/>
          <w:sz w:val="32"/>
          <w:szCs w:val="32"/>
          <w:lang w:val="zh-CN"/>
        </w:rPr>
        <w:t xml:space="preserve">4.按计划组织本级财政收入和地方税的征收，完成国家财政计划，不断培植税源，管好财政资金，增强财政实力。 </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776"/>
        <w:contextualSpacing/>
        <w:jc w:val="left"/>
        <w:textAlignment w:val="auto"/>
        <w:outlineLvl w:val="9"/>
        <w:rPr>
          <w:rFonts w:ascii="Times New Roman" w:eastAsia="楷体_GB2312" w:cs="Times New Roman" w:hAnsi="Times New Roman"/>
          <w:b/>
          <w:bCs/>
          <w:color w:val="auto"/>
          <w:kern w:val="0"/>
          <w:szCs w:val="32"/>
          <w:shd w:val="clear" w:color="auto" w:fill="FFFFFF"/>
          <w:lang w:val="zh-CN"/>
          <w:highlight w:val="auto"/>
        </w:rPr>
      </w:pPr>
      <w:r>
        <w:rPr>
          <w:rFonts w:ascii="仿宋_GB2312" w:eastAsia="仿宋_GB2312" w:cs="仿宋_GB2312" w:hint="eastAsia"/>
          <w:color w:val="auto"/>
          <w:spacing w:val="34"/>
          <w:sz w:val="32"/>
          <w:szCs w:val="32"/>
          <w:lang w:val="zh-CN"/>
        </w:rPr>
        <w:t>5.抓好精神文明建设，丰富群众文化生活，提倡移风易俗，反对封建迷信，破除陈规陋习，树立社会主义新风尚</w:t>
      </w:r>
      <w:r>
        <w:rPr>
          <w:rFonts w:ascii="仿宋" w:eastAsia="仿宋" w:cs="仿宋" w:hint="eastAsia"/>
          <w:bCs/>
          <w:color w:val="auto"/>
          <w:spacing w:val="-14"/>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cs="Times New Roman" w:hAnsi="Times New Roman"/>
          <w:color w:val="auto"/>
          <w:szCs w:val="32"/>
        </w:rPr>
      </w:pPr>
      <w:r>
        <w:rPr>
          <w:rFonts w:ascii="Times New Roman" w:eastAsia="楷体_GB2312" w:cs="Times New Roman" w:hAnsi="Times New Roman"/>
          <w:b/>
          <w:bCs/>
          <w:color w:val="auto"/>
          <w:kern w:val="0"/>
          <w:sz w:val="32"/>
          <w:szCs w:val="32"/>
          <w:shd w:val="clear" w:color="auto" w:fill="FFFFFF"/>
          <w:lang w:val="zh-CN"/>
          <w:highlight w:val="auto"/>
        </w:rPr>
        <w:t>（</w:t>
      </w:r>
      <w:r>
        <w:rPr>
          <w:rFonts w:ascii="Times New Roman" w:eastAsia="楷体_GB2312" w:cs="Times New Roman" w:hAnsi="Times New Roman" w:hint="eastAsia"/>
          <w:b/>
          <w:bCs/>
          <w:color w:val="auto"/>
          <w:kern w:val="0"/>
          <w:sz w:val="32"/>
          <w:szCs w:val="32"/>
          <w:shd w:val="clear" w:color="auto" w:fill="FFFFFF"/>
          <w:lang w:val="zh-CN"/>
          <w:highlight w:val="auto"/>
        </w:rPr>
        <w:t>三</w:t>
      </w:r>
      <w:r>
        <w:rPr>
          <w:rFonts w:ascii="Times New Roman" w:eastAsia="楷体_GB2312" w:cs="Times New Roman" w:hAnsi="Times New Roman"/>
          <w:b/>
          <w:bCs/>
          <w:color w:val="auto"/>
          <w:kern w:val="0"/>
          <w:sz w:val="32"/>
          <w:szCs w:val="32"/>
          <w:shd w:val="clear" w:color="auto" w:fill="FFFFFF"/>
          <w:lang w:val="zh-CN"/>
          <w:highlight w:val="auto"/>
        </w:rPr>
        <w:t>）人员概况</w:t>
      </w:r>
      <w:r>
        <w:rPr>
          <w:rFonts w:ascii="Times New Roman" w:eastAsia="楷体_GB2312" w:cs="Times New Roman" w:hAnsi="Times New Roman" w:hint="eastAsia"/>
          <w:b/>
          <w:bCs/>
          <w:color w:val="auto"/>
          <w:kern w:val="0"/>
          <w:sz w:val="32"/>
          <w:szCs w:val="32"/>
          <w:shd w:val="clear" w:color="auto" w:fill="FFFFFF"/>
          <w:lang w:val="zh-CN"/>
          <w:highlight w:val="auto"/>
        </w:rPr>
        <w:t>。</w:t>
      </w:r>
      <w:r>
        <w:rPr>
          <w:rFonts w:ascii="Times New Roman" w:cs="Times New Roman" w:hAnsi="Times New Roman"/>
          <w:color w:val="auto"/>
          <w:szCs w:val="32"/>
          <w:highlight w:val="auto"/>
        </w:rPr>
        <w:t>截至202</w:t>
      </w:r>
      <w:r>
        <w:rPr>
          <w:rFonts w:cs="Times New Roman" w:hint="eastAsia"/>
          <w:color w:val="auto"/>
          <w:szCs w:val="32"/>
          <w:lang w:val="en-US" w:eastAsia="zh-CN"/>
          <w:highlight w:val="auto"/>
        </w:rPr>
        <w:t>4</w:t>
      </w:r>
      <w:r>
        <w:rPr>
          <w:rFonts w:ascii="Times New Roman" w:cs="Times New Roman" w:hAnsi="Times New Roman"/>
          <w:color w:val="auto"/>
          <w:szCs w:val="32"/>
          <w:highlight w:val="auto"/>
        </w:rPr>
        <w:t>年末，</w:t>
      </w:r>
      <w:r>
        <w:rPr>
          <w:rFonts w:cs="Times New Roman" w:hint="eastAsia"/>
          <w:color w:val="auto"/>
          <w:szCs w:val="32"/>
          <w:lang w:eastAsia="zh-CN"/>
          <w:highlight w:val="auto"/>
        </w:rPr>
        <w:t>金川县沙耳乡人民政府</w:t>
      </w:r>
      <w:r>
        <w:rPr>
          <w:rFonts w:ascii="仿宋_GB2312" w:eastAsia="仿宋_GB2312" w:cs="仿宋_GB2312" w:hint="eastAsia"/>
          <w:color w:val="auto"/>
          <w:sz w:val="32"/>
          <w:szCs w:val="32"/>
          <w:highlight w:val="auto"/>
        </w:rPr>
        <w:t>只有一个行政核算机构。</w:t>
      </w:r>
      <w:r>
        <w:rPr>
          <w:rFonts w:ascii="仿宋_GB2312" w:eastAsia="仿宋_GB2312" w:cs="仿宋_GB2312" w:hint="eastAsia"/>
          <w:color w:val="auto"/>
          <w:spacing w:val="34"/>
          <w:sz w:val="32"/>
          <w:szCs w:val="32"/>
          <w:lang w:val="zh-CN" w:eastAsia="zh-CN"/>
          <w:highlight w:val="auto"/>
        </w:rPr>
        <w:t>单位编制数</w:t>
      </w:r>
      <w:r>
        <w:rPr>
          <w:rFonts w:ascii="仿宋_GB2312" w:cs="仿宋_GB2312" w:hAnsi="仿宋_GB2312" w:hint="eastAsia"/>
          <w:color w:val="auto"/>
          <w:spacing w:val="34"/>
          <w:sz w:val="32"/>
          <w:szCs w:val="32"/>
          <w:lang w:val="en-US" w:eastAsia="zh-CN"/>
          <w:highlight w:val="auto"/>
        </w:rPr>
        <w:t>40</w:t>
      </w:r>
      <w:r>
        <w:rPr>
          <w:rFonts w:ascii="仿宋_GB2312" w:eastAsia="仿宋_GB2312" w:cs="仿宋_GB2312" w:hint="eastAsia"/>
          <w:color w:val="auto"/>
          <w:spacing w:val="34"/>
          <w:sz w:val="32"/>
          <w:szCs w:val="32"/>
          <w:lang w:val="zh-CN" w:eastAsia="zh-CN"/>
          <w:highlight w:val="auto"/>
        </w:rPr>
        <w:t>个，其中：公务员编制</w:t>
      </w:r>
      <w:r>
        <w:rPr>
          <w:rFonts w:ascii="仿宋_GB2312" w:cs="仿宋_GB2312" w:hAnsi="仿宋_GB2312" w:hint="eastAsia"/>
          <w:color w:val="auto"/>
          <w:spacing w:val="34"/>
          <w:sz w:val="32"/>
          <w:szCs w:val="32"/>
          <w:lang w:val="en-US" w:eastAsia="zh-CN"/>
          <w:highlight w:val="auto"/>
        </w:rPr>
        <w:t>22</w:t>
      </w:r>
      <w:r>
        <w:rPr>
          <w:rFonts w:ascii="仿宋_GB2312" w:eastAsia="仿宋_GB2312" w:cs="仿宋_GB2312" w:hint="eastAsia"/>
          <w:color w:val="auto"/>
          <w:spacing w:val="34"/>
          <w:sz w:val="32"/>
          <w:szCs w:val="32"/>
          <w:lang w:val="en-US" w:eastAsia="zh-CN"/>
          <w:highlight w:val="auto"/>
        </w:rPr>
        <w:t>个</w:t>
      </w:r>
      <w:r>
        <w:rPr>
          <w:rFonts w:ascii="仿宋_GB2312" w:eastAsia="仿宋_GB2312" w:cs="仿宋_GB2312" w:hint="eastAsia"/>
          <w:color w:val="auto"/>
          <w:spacing w:val="34"/>
          <w:sz w:val="32"/>
          <w:szCs w:val="32"/>
          <w:lang w:val="zh-CN" w:eastAsia="zh-CN"/>
          <w:highlight w:val="auto"/>
        </w:rPr>
        <w:t>、行政工勤编制</w:t>
      </w:r>
      <w:r>
        <w:rPr>
          <w:rFonts w:ascii="仿宋_GB2312" w:cs="仿宋_GB2312" w:hAnsi="仿宋_GB2312" w:hint="eastAsia"/>
          <w:color w:val="auto"/>
          <w:spacing w:val="34"/>
          <w:sz w:val="32"/>
          <w:szCs w:val="32"/>
          <w:lang w:val="en-US" w:eastAsia="zh-CN"/>
          <w:highlight w:val="auto"/>
        </w:rPr>
        <w:t>2</w:t>
      </w:r>
      <w:r>
        <w:rPr>
          <w:rFonts w:ascii="仿宋_GB2312" w:eastAsia="仿宋_GB2312" w:cs="仿宋_GB2312" w:hint="eastAsia"/>
          <w:color w:val="auto"/>
          <w:spacing w:val="34"/>
          <w:sz w:val="32"/>
          <w:szCs w:val="32"/>
          <w:lang w:val="zh-CN" w:eastAsia="zh-CN"/>
          <w:highlight w:val="auto"/>
        </w:rPr>
        <w:t>个，</w:t>
      </w:r>
      <w:r>
        <w:rPr>
          <w:rFonts w:ascii="仿宋_GB2312" w:eastAsia="仿宋_GB2312" w:cs="仿宋_GB2312" w:hint="eastAsia"/>
          <w:color w:val="auto"/>
          <w:sz w:val="32"/>
          <w:szCs w:val="32"/>
          <w:highlight w:val="auto"/>
        </w:rPr>
        <w:t>事业编制</w:t>
      </w:r>
      <w:r>
        <w:rPr>
          <w:rFonts w:ascii="仿宋_GB2312" w:cs="仿宋_GB2312" w:hAnsi="仿宋_GB2312" w:hint="eastAsia"/>
          <w:color w:val="auto"/>
          <w:sz w:val="32"/>
          <w:szCs w:val="32"/>
          <w:lang w:val="en-US" w:eastAsia="zh-CN"/>
          <w:highlight w:val="auto"/>
        </w:rPr>
        <w:t>17</w:t>
      </w:r>
      <w:r>
        <w:rPr>
          <w:rFonts w:ascii="仿宋_GB2312" w:eastAsia="仿宋_GB2312" w:cs="仿宋_GB2312" w:hint="eastAsia"/>
          <w:color w:val="auto"/>
          <w:sz w:val="32"/>
          <w:szCs w:val="32"/>
          <w:highlight w:val="auto"/>
        </w:rPr>
        <w:t>名</w:t>
      </w:r>
      <w:r>
        <w:rPr>
          <w:rFonts w:ascii="仿宋_GB2312" w:eastAsia="仿宋_GB2312" w:cs="仿宋_GB2312" w:hint="eastAsia"/>
          <w:color w:val="auto"/>
          <w:spacing w:val="34"/>
          <w:sz w:val="32"/>
          <w:szCs w:val="32"/>
          <w:lang w:val="zh-CN" w:eastAsia="zh-CN"/>
          <w:highlight w:val="auto"/>
        </w:rPr>
        <w:t>。截止20</w:t>
      </w:r>
      <w:r>
        <w:rPr>
          <w:rFonts w:ascii="仿宋_GB2312" w:eastAsia="仿宋_GB2312" w:cs="仿宋_GB2312" w:hint="eastAsia"/>
          <w:color w:val="auto"/>
          <w:spacing w:val="34"/>
          <w:sz w:val="32"/>
          <w:szCs w:val="32"/>
          <w:lang w:val="en-US" w:eastAsia="zh-CN"/>
          <w:highlight w:val="auto"/>
        </w:rPr>
        <w:t>2</w:t>
      </w:r>
      <w:r>
        <w:rPr>
          <w:rFonts w:ascii="仿宋_GB2312" w:cs="仿宋_GB2312" w:hAnsi="仿宋_GB2312" w:hint="eastAsia"/>
          <w:color w:val="auto"/>
          <w:spacing w:val="34"/>
          <w:sz w:val="32"/>
          <w:szCs w:val="32"/>
          <w:lang w:val="en-US" w:eastAsia="zh-CN"/>
          <w:highlight w:val="auto"/>
        </w:rPr>
        <w:t>4</w:t>
      </w:r>
      <w:r>
        <w:rPr>
          <w:rFonts w:ascii="仿宋_GB2312" w:eastAsia="仿宋_GB2312" w:cs="仿宋_GB2312" w:hint="eastAsia"/>
          <w:color w:val="auto"/>
          <w:spacing w:val="34"/>
          <w:sz w:val="32"/>
          <w:szCs w:val="32"/>
          <w:lang w:val="zh-CN" w:eastAsia="zh-CN"/>
          <w:highlight w:val="auto"/>
        </w:rPr>
        <w:t>年</w:t>
      </w:r>
      <w:r>
        <w:rPr>
          <w:rFonts w:ascii="仿宋_GB2312" w:eastAsia="仿宋_GB2312" w:cs="仿宋_GB2312" w:hint="eastAsia"/>
          <w:color w:val="auto"/>
          <w:spacing w:val="34"/>
          <w:sz w:val="32"/>
          <w:szCs w:val="32"/>
          <w:lang w:val="en-US" w:eastAsia="zh-CN"/>
          <w:highlight w:val="auto"/>
        </w:rPr>
        <w:t>12月</w:t>
      </w:r>
      <w:r>
        <w:rPr>
          <w:rFonts w:ascii="仿宋_GB2312" w:eastAsia="仿宋_GB2312" w:cs="仿宋_GB2312" w:hint="eastAsia"/>
          <w:color w:val="auto"/>
          <w:spacing w:val="34"/>
          <w:sz w:val="32"/>
          <w:szCs w:val="32"/>
          <w:lang w:val="zh-CN" w:eastAsia="zh-CN"/>
          <w:highlight w:val="auto"/>
        </w:rPr>
        <w:t>，单位实有人数</w:t>
      </w:r>
      <w:r>
        <w:rPr>
          <w:rFonts w:ascii="仿宋_GB2312" w:cs="仿宋_GB2312" w:hAnsi="仿宋_GB2312" w:hint="eastAsia"/>
          <w:color w:val="auto"/>
          <w:spacing w:val="34"/>
          <w:sz w:val="32"/>
          <w:szCs w:val="32"/>
          <w:lang w:val="en-US" w:eastAsia="zh-CN"/>
          <w:highlight w:val="auto"/>
        </w:rPr>
        <w:t>38</w:t>
      </w:r>
      <w:r>
        <w:rPr>
          <w:rFonts w:ascii="仿宋_GB2312" w:eastAsia="仿宋_GB2312" w:cs="仿宋_GB2312" w:hint="eastAsia"/>
          <w:color w:val="auto"/>
          <w:spacing w:val="34"/>
          <w:sz w:val="32"/>
          <w:szCs w:val="32"/>
          <w:lang w:val="zh-CN" w:eastAsia="zh-CN"/>
          <w:highlight w:val="auto"/>
        </w:rPr>
        <w:t>人，其中：在职人</w:t>
      </w:r>
      <w:r>
        <w:rPr>
          <w:rFonts w:ascii="仿宋_GB2312" w:cs="仿宋_GB2312" w:hAnsi="仿宋_GB2312" w:hint="eastAsia"/>
          <w:color w:val="auto"/>
          <w:spacing w:val="34"/>
          <w:sz w:val="32"/>
          <w:szCs w:val="32"/>
          <w:lang w:val="en-US" w:eastAsia="zh-CN"/>
          <w:highlight w:val="auto"/>
        </w:rPr>
        <w:t>数</w:t>
      </w:r>
      <w:r>
        <w:rPr>
          <w:rFonts w:ascii="仿宋_GB2312" w:eastAsia="仿宋_GB2312" w:cs="仿宋_GB2312" w:hint="eastAsia"/>
          <w:color w:val="auto"/>
          <w:spacing w:val="34"/>
          <w:sz w:val="32"/>
          <w:szCs w:val="32"/>
          <w:lang w:val="zh-CN" w:eastAsia="zh-CN"/>
          <w:highlight w:val="auto"/>
        </w:rPr>
        <w:t>（公务员</w:t>
      </w:r>
      <w:r>
        <w:rPr>
          <w:rFonts w:ascii="仿宋_GB2312" w:cs="仿宋_GB2312" w:hAnsi="仿宋_GB2312" w:hint="eastAsia"/>
          <w:color w:val="auto"/>
          <w:spacing w:val="34"/>
          <w:sz w:val="32"/>
          <w:szCs w:val="32"/>
          <w:lang w:val="en-US" w:eastAsia="zh-CN"/>
          <w:highlight w:val="auto"/>
        </w:rPr>
        <w:t>20人</w:t>
      </w:r>
      <w:r>
        <w:rPr>
          <w:rFonts w:ascii="仿宋_GB2312" w:eastAsia="仿宋_GB2312" w:cs="仿宋_GB2312" w:hint="eastAsia"/>
          <w:color w:val="auto"/>
          <w:spacing w:val="34"/>
          <w:sz w:val="32"/>
          <w:szCs w:val="32"/>
          <w:lang w:val="zh-CN" w:eastAsia="zh-CN"/>
          <w:highlight w:val="auto"/>
        </w:rPr>
        <w:t>、行政工勤</w:t>
      </w:r>
      <w:r>
        <w:rPr>
          <w:rFonts w:ascii="仿宋_GB2312" w:cs="仿宋_GB2312" w:hAnsi="仿宋_GB2312" w:hint="eastAsia"/>
          <w:color w:val="auto"/>
          <w:spacing w:val="34"/>
          <w:sz w:val="32"/>
          <w:szCs w:val="32"/>
          <w:lang w:val="en-US" w:eastAsia="zh-CN"/>
          <w:highlight w:val="auto"/>
        </w:rPr>
        <w:t>2人</w:t>
      </w:r>
      <w:r>
        <w:rPr>
          <w:rFonts w:ascii="仿宋_GB2312" w:eastAsia="仿宋_GB2312" w:cs="仿宋_GB2312" w:hint="eastAsia"/>
          <w:color w:val="auto"/>
          <w:spacing w:val="34"/>
          <w:sz w:val="32"/>
          <w:szCs w:val="32"/>
          <w:lang w:val="zh-CN" w:eastAsia="zh-CN"/>
          <w:highlight w:val="auto"/>
        </w:rPr>
        <w:t>，</w:t>
      </w:r>
      <w:r>
        <w:rPr>
          <w:rFonts w:ascii="仿宋_GB2312" w:eastAsia="仿宋_GB2312" w:cs="仿宋_GB2312" w:hint="eastAsia"/>
          <w:color w:val="auto"/>
          <w:sz w:val="32"/>
          <w:szCs w:val="32"/>
          <w:highlight w:val="auto"/>
        </w:rPr>
        <w:t>事业</w:t>
      </w:r>
      <w:r>
        <w:rPr>
          <w:rFonts w:ascii="仿宋_GB2312" w:cs="仿宋_GB2312" w:hAnsi="仿宋_GB2312" w:hint="eastAsia"/>
          <w:color w:val="auto"/>
          <w:sz w:val="32"/>
          <w:szCs w:val="32"/>
          <w:lang w:val="en-US" w:eastAsia="zh-CN"/>
          <w:highlight w:val="auto"/>
        </w:rPr>
        <w:t>16人</w:t>
      </w:r>
      <w:r>
        <w:rPr>
          <w:rFonts w:ascii="仿宋_GB2312" w:eastAsia="仿宋_GB2312" w:cs="仿宋_GB2312" w:hint="eastAsia"/>
          <w:color w:val="auto"/>
          <w:spacing w:val="34"/>
          <w:sz w:val="32"/>
          <w:szCs w:val="32"/>
          <w:lang w:val="zh-CN" w:eastAsia="zh-CN"/>
          <w:highlight w:val="auto"/>
        </w:rPr>
        <w:t>），退休</w:t>
      </w:r>
      <w:r>
        <w:rPr>
          <w:rFonts w:ascii="仿宋_GB2312" w:cs="仿宋_GB2312" w:hAnsi="仿宋_GB2312" w:hint="eastAsia"/>
          <w:color w:val="auto"/>
          <w:spacing w:val="34"/>
          <w:sz w:val="32"/>
          <w:szCs w:val="32"/>
          <w:lang w:val="en-US" w:eastAsia="zh-CN"/>
          <w:highlight w:val="auto"/>
        </w:rPr>
        <w:t>15</w:t>
      </w:r>
      <w:r>
        <w:rPr>
          <w:rFonts w:ascii="仿宋_GB2312" w:eastAsia="仿宋_GB2312" w:cs="仿宋_GB2312" w:hint="eastAsia"/>
          <w:color w:val="auto"/>
          <w:spacing w:val="34"/>
          <w:sz w:val="32"/>
          <w:szCs w:val="32"/>
          <w:lang w:val="zh-CN" w:eastAsia="zh-CN"/>
          <w:highlight w:val="auto"/>
        </w:rPr>
        <w:t>人，工资转由社保部门发放。</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auto"/>
          <w:kern w:val="0"/>
          <w:sz w:val="32"/>
          <w:szCs w:val="32"/>
          <w:shd w:val="clear" w:color="auto" w:fill="FFFFFF"/>
          <w:lang w:val="zh-CN" w:eastAsia="zh-CN"/>
          <w:highlight w:val="auto"/>
        </w:rPr>
      </w:pPr>
      <w:r>
        <w:rPr>
          <w:rFonts w:ascii="Times New Roman" w:eastAsia="黑体" w:cs="Times New Roman" w:hAnsi="Times New Roman"/>
          <w:color w:val="auto"/>
          <w:kern w:val="0"/>
          <w:sz w:val="32"/>
          <w:szCs w:val="32"/>
          <w:shd w:val="clear" w:color="auto" w:fill="FFFFFF"/>
          <w:lang w:val="zh-CN" w:eastAsia="zh-CN"/>
          <w:highlight w:val="auto"/>
        </w:rPr>
        <w:t>二、部门资金收支情况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color w:val="auto"/>
          <w:spacing w:val="34"/>
          <w:sz w:val="32"/>
          <w:szCs w:val="32"/>
          <w:lang w:val="en-US" w:eastAsia="zh-CN"/>
          <w:highlight w:val="auto"/>
        </w:rPr>
      </w:pPr>
      <w:r>
        <w:rPr>
          <w:rFonts w:ascii="Times New Roman" w:eastAsia="楷体_GB2312" w:cs="Times New Roman" w:hAnsi="Times New Roman"/>
          <w:b/>
          <w:bCs/>
          <w:color w:val="auto"/>
          <w:kern w:val="0"/>
          <w:sz w:val="32"/>
          <w:szCs w:val="32"/>
          <w:shd w:val="clear" w:color="auto" w:fill="FFFFFF"/>
          <w:lang w:val="zh-CN"/>
          <w:highlight w:val="auto"/>
        </w:rPr>
        <w:t>（一）</w:t>
      </w:r>
      <w:r>
        <w:rPr>
          <w:rFonts w:ascii="Times New Roman" w:eastAsia="楷体_GB2312" w:cs="Times New Roman" w:hAnsi="Times New Roman" w:hint="eastAsia"/>
          <w:b/>
          <w:bCs/>
          <w:color w:val="auto"/>
          <w:kern w:val="0"/>
          <w:sz w:val="32"/>
          <w:szCs w:val="32"/>
          <w:shd w:val="clear" w:color="auto" w:fill="FFFFFF"/>
          <w:lang w:val="zh-CN"/>
          <w:highlight w:val="auto"/>
        </w:rPr>
        <w:t>收入情况</w:t>
      </w:r>
      <w:r>
        <w:rPr>
          <w:rFonts w:ascii="Times New Roman" w:eastAsia="楷体_GB2312" w:cs="Times New Roman" w:hAnsi="Times New Roman"/>
          <w:b/>
          <w:bCs/>
          <w:color w:val="auto"/>
          <w:kern w:val="0"/>
          <w:sz w:val="32"/>
          <w:szCs w:val="32"/>
          <w:shd w:val="clear" w:color="auto" w:fill="FFFFFF"/>
          <w:lang w:val="zh-CN"/>
          <w:highlight w:val="auto"/>
        </w:rPr>
        <w:t>。</w:t>
      </w:r>
      <w:r>
        <w:rPr>
          <w:rFonts w:ascii="仿宋_GB2312" w:eastAsia="仿宋_GB2312" w:cs="仿宋_GB2312" w:hint="eastAsia"/>
          <w:color w:val="auto"/>
          <w:spacing w:val="34"/>
          <w:sz w:val="32"/>
          <w:szCs w:val="32"/>
          <w:lang w:val="en-US" w:eastAsia="zh-CN"/>
          <w:highlight w:val="auto"/>
        </w:rPr>
        <w:t>2024年度收入总计1652.12万元。与2023年相比，收入总计增加213.7万元，增加14.86%。</w:t>
      </w:r>
      <w:bookmarkStart w:id="64" w:name="_Toc26843610"/>
      <w:r>
        <w:rPr>
          <w:rFonts w:ascii="仿宋_GB2312" w:eastAsia="仿宋_GB2312" w:cs="仿宋_GB2312" w:hint="eastAsia"/>
          <w:color w:val="auto"/>
          <w:spacing w:val="34"/>
          <w:sz w:val="32"/>
          <w:szCs w:val="32"/>
          <w:lang w:val="zh-CN" w:eastAsia="zh-CN"/>
          <w:highlight w:val="auto"/>
        </w:rPr>
        <w:t>增加的主要原因是2024年工资变动</w:t>
      </w:r>
      <w:r>
        <w:rPr>
          <w:rFonts w:ascii="仿宋_GB2312" w:eastAsia="仿宋_GB2312" w:cs="仿宋_GB2312" w:hint="eastAsia"/>
          <w:color w:val="auto"/>
          <w:spacing w:val="34"/>
          <w:sz w:val="32"/>
          <w:szCs w:val="32"/>
          <w:lang w:val="en-US" w:eastAsia="zh-CN"/>
          <w:highlight w:val="auto"/>
        </w:rPr>
        <w:t>及保险基数上调，2024年新增6个项目</w:t>
      </w:r>
      <w:r>
        <w:rPr>
          <w:rFonts w:ascii="仿宋_GB2312" w:eastAsia="仿宋_GB2312" w:cs="仿宋_GB2312" w:hint="eastAsia"/>
          <w:color w:val="auto"/>
          <w:spacing w:val="34"/>
          <w:sz w:val="32"/>
          <w:szCs w:val="32"/>
          <w:lang w:val="zh-CN" w:eastAsia="zh-CN"/>
          <w:highlight w:val="auto"/>
        </w:rPr>
        <w:t>。</w:t>
      </w:r>
      <w:r>
        <w:rPr>
          <w:rFonts w:ascii="仿宋_GB2312" w:eastAsia="仿宋_GB2312" w:cs="仿宋_GB2312" w:hint="eastAsia"/>
          <w:color w:val="auto"/>
          <w:spacing w:val="34"/>
          <w:sz w:val="32"/>
          <w:szCs w:val="32"/>
          <w:lang w:val="en-US" w:eastAsia="zh-CN"/>
          <w:highlight w:val="auto"/>
        </w:rPr>
        <w:t>其中：</w:t>
      </w:r>
      <w:bookmarkEnd w:id="64"/>
      <w:r>
        <w:rPr>
          <w:rFonts w:ascii="仿宋_GB2312" w:eastAsia="仿宋_GB2312" w:cs="仿宋_GB2312" w:hint="eastAsia"/>
          <w:color w:val="auto"/>
          <w:spacing w:val="34"/>
          <w:sz w:val="32"/>
          <w:szCs w:val="32"/>
          <w:lang w:val="zh-CN" w:eastAsia="zh-CN"/>
          <w:highlight w:val="auto"/>
        </w:rPr>
        <w:t>一般公共预算财政拨款收入</w:t>
      </w:r>
      <w:r>
        <w:rPr>
          <w:rFonts w:ascii="仿宋_GB2312" w:eastAsia="仿宋_GB2312" w:cs="仿宋_GB2312" w:hint="eastAsia"/>
          <w:color w:val="auto"/>
          <w:spacing w:val="34"/>
          <w:sz w:val="32"/>
          <w:szCs w:val="32"/>
          <w:lang w:val="en-US" w:eastAsia="zh-CN"/>
          <w:highlight w:val="auto"/>
        </w:rPr>
        <w:t>1652.12</w:t>
      </w:r>
      <w:r>
        <w:rPr>
          <w:rFonts w:ascii="仿宋_GB2312" w:eastAsia="仿宋_GB2312" w:cs="仿宋_GB2312" w:hint="eastAsia"/>
          <w:color w:val="auto"/>
          <w:spacing w:val="34"/>
          <w:sz w:val="32"/>
          <w:szCs w:val="32"/>
          <w:lang w:val="zh-CN" w:eastAsia="zh-CN"/>
          <w:highlight w:val="auto"/>
        </w:rPr>
        <w:t>万元，占100%；政府性基金预算财政拨款收入0万元，占0%；国有资本经营预算财政拨款收入0万元，占0%；事业收入0万元，占0%；经营收入0万元，占0%；附属单位上缴收入0万元，占0%；其他收入0万元，占0%。</w:t>
      </w:r>
      <w:r>
        <w:rPr>
          <w:rFonts w:ascii="仿宋_GB2312" w:eastAsia="仿宋_GB2312" w:cs="仿宋_GB2312" w:hint="eastAsia"/>
          <w:color w:val="auto"/>
          <w:spacing w:val="34"/>
          <w:sz w:val="32"/>
          <w:szCs w:val="32"/>
          <w:lang w:val="en-US" w:eastAsia="zh-CN"/>
          <w:highlight w:val="auto"/>
        </w:rPr>
        <w:t>本年度财政应返还额度0万元。</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hint="eastAsia"/>
          <w:color w:val="auto"/>
          <w:spacing w:val="34"/>
          <w:sz w:val="32"/>
          <w:szCs w:val="32"/>
          <w:lang w:val="zh-CN" w:eastAsia="zh-CN"/>
          <w:highlight w:val="auto"/>
        </w:rPr>
      </w:pPr>
      <w:r>
        <w:rPr>
          <w:rFonts w:ascii="Times New Roman" w:eastAsia="楷体_GB2312" w:cs="Times New Roman" w:hAnsi="Times New Roman"/>
          <w:b/>
          <w:bCs/>
          <w:color w:val="auto"/>
          <w:kern w:val="0"/>
          <w:sz w:val="32"/>
          <w:szCs w:val="32"/>
          <w:shd w:val="clear" w:color="auto" w:fill="FFFFFF"/>
          <w:lang w:val="zh-CN"/>
          <w:highlight w:val="auto"/>
        </w:rPr>
        <w:t>（</w:t>
      </w:r>
      <w:r>
        <w:rPr>
          <w:rFonts w:ascii="Times New Roman" w:eastAsia="楷体_GB2312" w:cs="Times New Roman" w:hAnsi="Times New Roman" w:hint="eastAsia"/>
          <w:b/>
          <w:bCs/>
          <w:color w:val="auto"/>
          <w:kern w:val="0"/>
          <w:sz w:val="32"/>
          <w:szCs w:val="32"/>
          <w:shd w:val="clear" w:color="auto" w:fill="FFFFFF"/>
          <w:lang w:val="zh-CN"/>
          <w:highlight w:val="auto"/>
        </w:rPr>
        <w:t>二</w:t>
      </w:r>
      <w:r>
        <w:rPr>
          <w:rFonts w:ascii="Times New Roman" w:eastAsia="楷体_GB2312" w:cs="Times New Roman" w:hAnsi="Times New Roman"/>
          <w:b/>
          <w:bCs/>
          <w:color w:val="auto"/>
          <w:kern w:val="0"/>
          <w:sz w:val="32"/>
          <w:szCs w:val="32"/>
          <w:shd w:val="clear" w:color="auto" w:fill="FFFFFF"/>
          <w:lang w:val="zh-CN"/>
          <w:highlight w:val="auto"/>
        </w:rPr>
        <w:t>）</w:t>
      </w:r>
      <w:r>
        <w:rPr>
          <w:rFonts w:ascii="Times New Roman" w:eastAsia="楷体_GB2312" w:cs="Times New Roman" w:hAnsi="Times New Roman" w:hint="eastAsia"/>
          <w:b/>
          <w:bCs/>
          <w:color w:val="auto"/>
          <w:kern w:val="0"/>
          <w:sz w:val="32"/>
          <w:szCs w:val="32"/>
          <w:shd w:val="clear" w:color="auto" w:fill="FFFFFF"/>
          <w:lang w:val="zh-CN"/>
          <w:highlight w:val="auto"/>
        </w:rPr>
        <w:t>支出情况</w:t>
      </w:r>
      <w:r>
        <w:rPr>
          <w:rFonts w:ascii="Times New Roman" w:eastAsia="楷体_GB2312" w:cs="Times New Roman" w:hAnsi="Times New Roman"/>
          <w:b/>
          <w:bCs/>
          <w:color w:val="auto"/>
          <w:kern w:val="0"/>
          <w:sz w:val="32"/>
          <w:szCs w:val="32"/>
          <w:shd w:val="clear" w:color="auto" w:fill="FFFFFF"/>
          <w:lang w:val="zh-CN"/>
          <w:highlight w:val="auto"/>
        </w:rPr>
        <w:t>。</w:t>
      </w:r>
      <w:r>
        <w:rPr>
          <w:rFonts w:ascii="仿宋_GB2312" w:eastAsia="仿宋_GB2312" w:cs="仿宋_GB2312" w:hint="eastAsia"/>
          <w:color w:val="auto"/>
          <w:spacing w:val="34"/>
          <w:sz w:val="32"/>
          <w:szCs w:val="32"/>
          <w:lang w:val="en-US" w:eastAsia="zh-CN"/>
          <w:highlight w:val="auto"/>
        </w:rPr>
        <w:t>2024</w:t>
      </w:r>
      <w:r>
        <w:rPr>
          <w:rFonts w:ascii="仿宋_GB2312" w:eastAsia="仿宋_GB2312" w:cs="仿宋_GB2312"/>
          <w:color w:val="auto"/>
          <w:spacing w:val="34"/>
          <w:sz w:val="32"/>
          <w:szCs w:val="32"/>
          <w:lang w:val="en-US" w:eastAsia="zh-CN"/>
          <w:highlight w:val="auto"/>
        </w:rPr>
        <w:t>年一般公共预算财政拨款支出</w:t>
      </w:r>
      <w:r>
        <w:rPr>
          <w:rFonts w:ascii="仿宋_GB2312" w:eastAsia="仿宋_GB2312" w:cs="仿宋_GB2312" w:hint="eastAsia"/>
          <w:color w:val="auto"/>
          <w:spacing w:val="34"/>
          <w:sz w:val="32"/>
          <w:szCs w:val="32"/>
          <w:lang w:val="en-US" w:eastAsia="zh-CN"/>
          <w:highlight w:val="auto"/>
        </w:rPr>
        <w:t>1652.12万元</w:t>
      </w:r>
      <w:r>
        <w:rPr>
          <w:rFonts w:ascii="仿宋_GB2312" w:eastAsia="仿宋_GB2312" w:cs="仿宋_GB2312"/>
          <w:color w:val="auto"/>
          <w:spacing w:val="34"/>
          <w:sz w:val="32"/>
          <w:szCs w:val="32"/>
          <w:lang w:val="en-US" w:eastAsia="zh-CN"/>
          <w:highlight w:val="auto"/>
        </w:rPr>
        <w:t>，占本年支出合计的100%。</w:t>
      </w:r>
      <w:r>
        <w:rPr>
          <w:rFonts w:ascii="仿宋_GB2312" w:eastAsia="仿宋_GB2312" w:cs="仿宋_GB2312" w:hint="eastAsia"/>
          <w:color w:val="auto"/>
          <w:spacing w:val="34"/>
          <w:sz w:val="32"/>
          <w:szCs w:val="32"/>
          <w:lang w:val="en-US" w:eastAsia="zh-CN"/>
          <w:highlight w:val="auto"/>
        </w:rPr>
        <w:t>与2023年相比，收入总计增加213.7万元，增加14.86%。</w:t>
      </w:r>
      <w:r>
        <w:rPr>
          <w:rFonts w:ascii="仿宋_GB2312" w:eastAsia="仿宋_GB2312" w:cs="仿宋_GB2312" w:hint="eastAsia"/>
          <w:color w:val="auto"/>
          <w:spacing w:val="34"/>
          <w:sz w:val="32"/>
          <w:szCs w:val="32"/>
          <w:lang w:val="zh-CN" w:eastAsia="zh-CN"/>
          <w:highlight w:val="auto"/>
        </w:rPr>
        <w:t>增加的主要原因是</w:t>
      </w:r>
      <w:r>
        <w:rPr>
          <w:rFonts w:ascii="仿宋_GB2312" w:eastAsia="仿宋_GB2312" w:cs="仿宋_GB2312" w:hint="eastAsia"/>
          <w:color w:val="auto"/>
          <w:spacing w:val="34"/>
          <w:sz w:val="32"/>
          <w:szCs w:val="32"/>
          <w:lang w:val="en-US" w:eastAsia="zh-CN"/>
          <w:highlight w:val="auto"/>
        </w:rPr>
        <w:t>本年保险增加，艰边补贴增加、项目增加。基本支出942.58</w:t>
      </w:r>
      <w:r>
        <w:rPr>
          <w:rFonts w:ascii="仿宋_GB2312" w:eastAsia="仿宋_GB2312" w:cs="仿宋_GB2312" w:hint="eastAsia"/>
          <w:color w:val="auto"/>
          <w:spacing w:val="34"/>
          <w:sz w:val="32"/>
          <w:szCs w:val="32"/>
          <w:lang w:val="zh-CN" w:eastAsia="zh-CN"/>
          <w:highlight w:val="auto"/>
        </w:rPr>
        <w:t>万元，基本支出中人员经费支出为</w:t>
      </w:r>
      <w:r>
        <w:rPr>
          <w:rFonts w:ascii="仿宋_GB2312" w:eastAsia="仿宋_GB2312" w:cs="仿宋_GB2312" w:hint="eastAsia"/>
          <w:color w:val="auto"/>
          <w:spacing w:val="34"/>
          <w:sz w:val="32"/>
          <w:szCs w:val="32"/>
          <w:lang w:val="en-US" w:eastAsia="zh-CN"/>
          <w:highlight w:val="auto"/>
        </w:rPr>
        <w:t>906.18</w:t>
      </w:r>
      <w:r>
        <w:rPr>
          <w:rFonts w:ascii="仿宋_GB2312" w:eastAsia="仿宋_GB2312" w:cs="仿宋_GB2312" w:hint="eastAsia"/>
          <w:color w:val="auto"/>
          <w:spacing w:val="34"/>
          <w:sz w:val="32"/>
          <w:szCs w:val="32"/>
          <w:lang w:val="zh-CN" w:eastAsia="zh-CN"/>
          <w:highlight w:val="auto"/>
        </w:rPr>
        <w:t>万元，主要包括：基本工资</w:t>
      </w:r>
      <w:r>
        <w:rPr>
          <w:rFonts w:ascii="仿宋_GB2312" w:eastAsia="仿宋_GB2312" w:cs="仿宋_GB2312" w:hint="eastAsia"/>
          <w:color w:val="auto"/>
          <w:spacing w:val="34"/>
          <w:sz w:val="32"/>
          <w:szCs w:val="32"/>
          <w:lang w:val="en-US" w:eastAsia="zh-CN"/>
          <w:highlight w:val="auto"/>
        </w:rPr>
        <w:t>159.67</w:t>
      </w:r>
      <w:r>
        <w:rPr>
          <w:rFonts w:ascii="仿宋_GB2312" w:eastAsia="仿宋_GB2312" w:cs="仿宋_GB2312" w:hint="eastAsia"/>
          <w:color w:val="auto"/>
          <w:spacing w:val="34"/>
          <w:sz w:val="32"/>
          <w:szCs w:val="32"/>
          <w:lang w:val="zh-CN" w:eastAsia="zh-CN"/>
          <w:highlight w:val="auto"/>
        </w:rPr>
        <w:t>万元、津贴补贴</w:t>
      </w:r>
      <w:r>
        <w:rPr>
          <w:rFonts w:ascii="仿宋_GB2312" w:eastAsia="仿宋_GB2312" w:cs="仿宋_GB2312" w:hint="eastAsia"/>
          <w:color w:val="auto"/>
          <w:spacing w:val="34"/>
          <w:sz w:val="32"/>
          <w:szCs w:val="32"/>
          <w:lang w:val="en-US" w:eastAsia="zh-CN"/>
          <w:highlight w:val="auto"/>
        </w:rPr>
        <w:t>200.27</w:t>
      </w:r>
      <w:r>
        <w:rPr>
          <w:rFonts w:ascii="仿宋_GB2312" w:eastAsia="仿宋_GB2312" w:cs="仿宋_GB2312" w:hint="eastAsia"/>
          <w:color w:val="auto"/>
          <w:spacing w:val="34"/>
          <w:sz w:val="32"/>
          <w:szCs w:val="32"/>
          <w:lang w:val="zh-CN" w:eastAsia="zh-CN"/>
          <w:highlight w:val="auto"/>
        </w:rPr>
        <w:t>万元、奖金</w:t>
      </w:r>
      <w:r>
        <w:rPr>
          <w:rFonts w:ascii="仿宋_GB2312" w:eastAsia="仿宋_GB2312" w:cs="仿宋_GB2312" w:hint="eastAsia"/>
          <w:color w:val="auto"/>
          <w:spacing w:val="34"/>
          <w:sz w:val="32"/>
          <w:szCs w:val="32"/>
          <w:lang w:val="en-US" w:eastAsia="zh-CN"/>
          <w:highlight w:val="auto"/>
        </w:rPr>
        <w:t>220.76</w:t>
      </w:r>
      <w:r>
        <w:rPr>
          <w:rFonts w:ascii="仿宋_GB2312" w:eastAsia="仿宋_GB2312" w:cs="仿宋_GB2312" w:hint="eastAsia"/>
          <w:color w:val="auto"/>
          <w:spacing w:val="34"/>
          <w:sz w:val="32"/>
          <w:szCs w:val="32"/>
          <w:lang w:val="zh-CN" w:eastAsia="zh-CN"/>
          <w:highlight w:val="auto"/>
        </w:rPr>
        <w:t>万元、绩效工资</w:t>
      </w:r>
      <w:r>
        <w:rPr>
          <w:rFonts w:ascii="仿宋_GB2312" w:eastAsia="仿宋_GB2312" w:cs="仿宋_GB2312" w:hint="eastAsia"/>
          <w:color w:val="auto"/>
          <w:spacing w:val="34"/>
          <w:sz w:val="32"/>
          <w:szCs w:val="32"/>
          <w:lang w:val="en-US" w:eastAsia="zh-CN"/>
          <w:highlight w:val="auto"/>
        </w:rPr>
        <w:t>47.68万元、</w:t>
      </w:r>
      <w:r>
        <w:rPr>
          <w:rFonts w:ascii="仿宋_GB2312" w:eastAsia="仿宋_GB2312" w:cs="仿宋_GB2312" w:hint="eastAsia"/>
          <w:color w:val="auto"/>
          <w:spacing w:val="34"/>
          <w:sz w:val="32"/>
          <w:szCs w:val="32"/>
          <w:lang w:val="zh-CN" w:eastAsia="zh-CN"/>
          <w:highlight w:val="auto"/>
        </w:rPr>
        <w:t>机关事业单位基本养老保险缴费</w:t>
      </w:r>
      <w:r>
        <w:rPr>
          <w:rFonts w:ascii="仿宋_GB2312" w:eastAsia="仿宋_GB2312" w:cs="仿宋_GB2312" w:hint="eastAsia"/>
          <w:color w:val="auto"/>
          <w:spacing w:val="34"/>
          <w:sz w:val="32"/>
          <w:szCs w:val="32"/>
          <w:lang w:val="en-US" w:eastAsia="zh-CN"/>
          <w:highlight w:val="auto"/>
        </w:rPr>
        <w:t>80.29</w:t>
      </w:r>
      <w:r>
        <w:rPr>
          <w:rFonts w:ascii="仿宋_GB2312" w:eastAsia="仿宋_GB2312" w:cs="仿宋_GB2312" w:hint="eastAsia"/>
          <w:color w:val="auto"/>
          <w:spacing w:val="34"/>
          <w:sz w:val="32"/>
          <w:szCs w:val="32"/>
          <w:lang w:val="zh-CN" w:eastAsia="zh-CN"/>
          <w:highlight w:val="auto"/>
        </w:rPr>
        <w:t>万元、职业年金缴费</w:t>
      </w:r>
      <w:r>
        <w:rPr>
          <w:rFonts w:ascii="仿宋_GB2312" w:eastAsia="仿宋_GB2312" w:cs="仿宋_GB2312" w:hint="eastAsia"/>
          <w:color w:val="auto"/>
          <w:spacing w:val="34"/>
          <w:sz w:val="32"/>
          <w:szCs w:val="32"/>
          <w:lang w:val="en-US" w:eastAsia="zh-CN"/>
          <w:highlight w:val="auto"/>
        </w:rPr>
        <w:t>40.18</w:t>
      </w:r>
      <w:r>
        <w:rPr>
          <w:rFonts w:ascii="仿宋_GB2312" w:eastAsia="仿宋_GB2312" w:cs="仿宋_GB2312" w:hint="eastAsia"/>
          <w:color w:val="auto"/>
          <w:spacing w:val="34"/>
          <w:sz w:val="32"/>
          <w:szCs w:val="32"/>
          <w:lang w:val="zh-CN" w:eastAsia="zh-CN"/>
          <w:highlight w:val="auto"/>
        </w:rPr>
        <w:t>万元、住房公积金</w:t>
      </w:r>
      <w:r>
        <w:rPr>
          <w:rFonts w:ascii="仿宋_GB2312" w:eastAsia="仿宋_GB2312" w:cs="仿宋_GB2312" w:hint="eastAsia"/>
          <w:color w:val="auto"/>
          <w:spacing w:val="34"/>
          <w:sz w:val="32"/>
          <w:szCs w:val="32"/>
          <w:lang w:val="en-US" w:eastAsia="zh-CN"/>
          <w:highlight w:val="auto"/>
        </w:rPr>
        <w:t>70.57</w:t>
      </w:r>
      <w:r>
        <w:rPr>
          <w:rFonts w:ascii="仿宋_GB2312" w:eastAsia="仿宋_GB2312" w:cs="仿宋_GB2312" w:hint="eastAsia"/>
          <w:color w:val="auto"/>
          <w:spacing w:val="34"/>
          <w:sz w:val="32"/>
          <w:szCs w:val="32"/>
          <w:lang w:val="zh-CN" w:eastAsia="zh-CN"/>
          <w:highlight w:val="auto"/>
        </w:rPr>
        <w:t>万元、职工基本医疗保险缴费</w:t>
      </w:r>
      <w:r>
        <w:rPr>
          <w:rFonts w:ascii="仿宋_GB2312" w:eastAsia="仿宋_GB2312" w:cs="仿宋_GB2312" w:hint="eastAsia"/>
          <w:color w:val="auto"/>
          <w:spacing w:val="34"/>
          <w:sz w:val="32"/>
          <w:szCs w:val="32"/>
          <w:lang w:val="en-US" w:eastAsia="zh-CN"/>
          <w:highlight w:val="auto"/>
        </w:rPr>
        <w:t>42.77</w:t>
      </w:r>
      <w:r>
        <w:rPr>
          <w:rFonts w:ascii="仿宋_GB2312" w:eastAsia="仿宋_GB2312" w:cs="仿宋_GB2312" w:hint="eastAsia"/>
          <w:color w:val="auto"/>
          <w:spacing w:val="34"/>
          <w:sz w:val="32"/>
          <w:szCs w:val="32"/>
          <w:lang w:val="zh-CN" w:eastAsia="zh-CN"/>
          <w:highlight w:val="auto"/>
        </w:rPr>
        <w:t>万元、公务员医疗补助</w:t>
      </w:r>
      <w:r>
        <w:rPr>
          <w:rFonts w:ascii="仿宋_GB2312" w:eastAsia="仿宋_GB2312" w:cs="仿宋_GB2312" w:hint="eastAsia"/>
          <w:color w:val="auto"/>
          <w:spacing w:val="34"/>
          <w:sz w:val="32"/>
          <w:szCs w:val="32"/>
          <w:lang w:val="en-US" w:eastAsia="zh-CN"/>
          <w:highlight w:val="auto"/>
        </w:rPr>
        <w:t>8.01</w:t>
      </w:r>
      <w:r>
        <w:rPr>
          <w:rFonts w:ascii="仿宋_GB2312" w:eastAsia="仿宋_GB2312" w:cs="仿宋_GB2312" w:hint="eastAsia"/>
          <w:color w:val="auto"/>
          <w:spacing w:val="34"/>
          <w:sz w:val="32"/>
          <w:szCs w:val="32"/>
          <w:lang w:val="zh-CN" w:eastAsia="zh-CN"/>
          <w:highlight w:val="auto"/>
        </w:rPr>
        <w:t>万元、其他社会保障缴费</w:t>
      </w:r>
      <w:r>
        <w:rPr>
          <w:rFonts w:ascii="仿宋_GB2312" w:eastAsia="仿宋_GB2312" w:cs="仿宋_GB2312" w:hint="eastAsia"/>
          <w:color w:val="auto"/>
          <w:spacing w:val="34"/>
          <w:sz w:val="32"/>
          <w:szCs w:val="32"/>
          <w:lang w:val="en-US" w:eastAsia="zh-CN"/>
          <w:highlight w:val="auto"/>
        </w:rPr>
        <w:t>13.57万元、</w:t>
      </w:r>
      <w:r>
        <w:rPr>
          <w:rFonts w:ascii="仿宋_GB2312" w:eastAsia="仿宋_GB2312" w:cs="仿宋_GB2312" w:hint="eastAsia"/>
          <w:color w:val="auto"/>
          <w:spacing w:val="34"/>
          <w:sz w:val="32"/>
          <w:szCs w:val="32"/>
          <w:lang w:val="zh-CN" w:eastAsia="zh-CN"/>
          <w:highlight w:val="auto"/>
        </w:rPr>
        <w:t>生活补助</w:t>
      </w:r>
      <w:r>
        <w:rPr>
          <w:rFonts w:ascii="仿宋_GB2312" w:eastAsia="仿宋_GB2312" w:cs="仿宋_GB2312" w:hint="eastAsia"/>
          <w:color w:val="auto"/>
          <w:spacing w:val="34"/>
          <w:sz w:val="32"/>
          <w:szCs w:val="32"/>
          <w:lang w:val="en-US" w:eastAsia="zh-CN"/>
          <w:highlight w:val="auto"/>
        </w:rPr>
        <w:t>22.4万元、退休人员购房补贴8.2万元、奖励金0.01万元</w:t>
      </w:r>
      <w:r>
        <w:rPr>
          <w:rFonts w:ascii="仿宋_GB2312" w:eastAsia="仿宋_GB2312" w:cs="仿宋_GB2312" w:hint="eastAsia"/>
          <w:color w:val="auto"/>
          <w:spacing w:val="34"/>
          <w:sz w:val="32"/>
          <w:szCs w:val="32"/>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776"/>
        <w:contextualSpacing/>
        <w:jc w:val="left"/>
        <w:textAlignment w:val="auto"/>
        <w:outlineLvl w:val="9"/>
        <w:rPr>
          <w:rFonts w:ascii="仿宋_GB2312" w:eastAsia="仿宋_GB2312" w:cs="仿宋_GB2312" w:hint="eastAsia"/>
          <w:color w:val="auto"/>
          <w:spacing w:val="34"/>
          <w:sz w:val="32"/>
          <w:szCs w:val="32"/>
          <w:lang w:val="en-US" w:eastAsia="zh-CN"/>
          <w:highlight w:val="auto"/>
        </w:rPr>
      </w:pPr>
      <w:r>
        <w:rPr>
          <w:rFonts w:ascii="仿宋_GB2312" w:eastAsia="仿宋_GB2312" w:cs="仿宋_GB2312" w:hint="eastAsia"/>
          <w:color w:val="auto"/>
          <w:spacing w:val="34"/>
          <w:sz w:val="32"/>
          <w:szCs w:val="32"/>
          <w:lang w:val="zh-CN" w:eastAsia="zh-CN"/>
          <w:highlight w:val="auto"/>
        </w:rPr>
        <w:t>公用经费支出为</w:t>
      </w:r>
      <w:r>
        <w:rPr>
          <w:rFonts w:ascii="仿宋_GB2312" w:eastAsia="仿宋_GB2312" w:cs="仿宋_GB2312" w:hint="eastAsia"/>
          <w:color w:val="auto"/>
          <w:spacing w:val="34"/>
          <w:sz w:val="32"/>
          <w:szCs w:val="32"/>
          <w:lang w:val="en-US" w:eastAsia="zh-CN"/>
          <w:highlight w:val="auto"/>
        </w:rPr>
        <w:t>36.4</w:t>
      </w:r>
      <w:r>
        <w:rPr>
          <w:rFonts w:ascii="仿宋_GB2312" w:eastAsia="仿宋_GB2312" w:cs="仿宋_GB2312" w:hint="eastAsia"/>
          <w:color w:val="auto"/>
          <w:spacing w:val="34"/>
          <w:sz w:val="32"/>
          <w:szCs w:val="32"/>
          <w:lang w:val="zh-CN" w:eastAsia="zh-CN"/>
          <w:highlight w:val="auto"/>
        </w:rPr>
        <w:t>万元，主要包括：办公费</w:t>
      </w:r>
      <w:r>
        <w:rPr>
          <w:rFonts w:ascii="仿宋_GB2312" w:eastAsia="仿宋_GB2312" w:cs="仿宋_GB2312" w:hint="eastAsia"/>
          <w:color w:val="auto"/>
          <w:spacing w:val="34"/>
          <w:sz w:val="32"/>
          <w:szCs w:val="32"/>
          <w:lang w:val="en-US" w:eastAsia="zh-CN"/>
          <w:highlight w:val="auto"/>
        </w:rPr>
        <w:t>7.15</w:t>
      </w:r>
      <w:r>
        <w:rPr>
          <w:rFonts w:ascii="仿宋_GB2312" w:eastAsia="仿宋_GB2312" w:cs="仿宋_GB2312" w:hint="eastAsia"/>
          <w:color w:val="auto"/>
          <w:spacing w:val="34"/>
          <w:sz w:val="32"/>
          <w:szCs w:val="32"/>
          <w:lang w:val="zh-CN" w:eastAsia="zh-CN"/>
          <w:highlight w:val="auto"/>
        </w:rPr>
        <w:t>万元、印刷费</w:t>
      </w:r>
      <w:r>
        <w:rPr>
          <w:rFonts w:ascii="仿宋_GB2312" w:eastAsia="仿宋_GB2312" w:cs="仿宋_GB2312" w:hint="eastAsia"/>
          <w:color w:val="auto"/>
          <w:spacing w:val="34"/>
          <w:sz w:val="32"/>
          <w:szCs w:val="32"/>
          <w:lang w:val="en-US" w:eastAsia="zh-CN"/>
          <w:highlight w:val="auto"/>
        </w:rPr>
        <w:t>3万元、电费1万元、邮电费5.48万元、差旅费5.99万元、劳务费6万元、公务用车运行维护费6万元、其他交通费用0.1万元、委托业务费1.68万元。</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776"/>
        <w:contextualSpacing/>
        <w:jc w:val="left"/>
        <w:textAlignment w:val="auto"/>
        <w:outlineLvl w:val="9"/>
        <w:rPr>
          <w:rFonts w:ascii="仿宋_GB2312" w:eastAsia="仿宋_GB2312" w:cs="仿宋_GB2312" w:hint="eastAsia"/>
          <w:color w:val="auto"/>
          <w:spacing w:val="34"/>
          <w:sz w:val="32"/>
          <w:szCs w:val="32"/>
          <w:lang w:val="en-US" w:eastAsia="zh-CN"/>
          <w:highlight w:val="auto"/>
        </w:rPr>
      </w:pPr>
      <w:r>
        <w:rPr>
          <w:rFonts w:ascii="仿宋_GB2312" w:eastAsia="仿宋_GB2312" w:cs="仿宋_GB2312" w:hint="eastAsia"/>
          <w:color w:val="auto"/>
          <w:spacing w:val="34"/>
          <w:sz w:val="32"/>
          <w:szCs w:val="32"/>
          <w:lang w:val="zh-CN" w:eastAsia="zh-CN"/>
          <w:highlight w:val="auto"/>
        </w:rPr>
        <w:t>项目支出</w:t>
      </w:r>
      <w:r>
        <w:rPr>
          <w:rFonts w:ascii="仿宋_GB2312" w:eastAsia="仿宋_GB2312" w:cs="仿宋_GB2312" w:hint="eastAsia"/>
          <w:color w:val="auto"/>
          <w:spacing w:val="34"/>
          <w:sz w:val="32"/>
          <w:szCs w:val="32"/>
          <w:lang w:val="en-US" w:eastAsia="zh-CN"/>
          <w:highlight w:val="auto"/>
        </w:rPr>
        <w:t>709.49</w:t>
      </w:r>
      <w:r>
        <w:rPr>
          <w:rFonts w:ascii="仿宋_GB2312" w:eastAsia="仿宋_GB2312" w:cs="仿宋_GB2312" w:hint="eastAsia"/>
          <w:color w:val="auto"/>
          <w:spacing w:val="34"/>
          <w:sz w:val="32"/>
          <w:szCs w:val="32"/>
          <w:lang w:val="zh-CN" w:eastAsia="zh-CN"/>
          <w:highlight w:val="auto"/>
        </w:rPr>
        <w:t>万元，主要包括：《沙耳乡志》编纂出版工作经费</w:t>
      </w:r>
      <w:r>
        <w:rPr>
          <w:rFonts w:ascii="仿宋_GB2312" w:eastAsia="仿宋_GB2312" w:cs="仿宋_GB2312" w:hint="eastAsia"/>
          <w:color w:val="auto"/>
          <w:spacing w:val="34"/>
          <w:sz w:val="32"/>
          <w:szCs w:val="32"/>
          <w:lang w:val="en-US" w:eastAsia="zh-CN"/>
          <w:highlight w:val="auto"/>
        </w:rPr>
        <w:t>6.08万元、金川县沙耳乡沙尔尼村乡村振兴示范村综合提升项目54.54万元、金川县乡镇综合服务中心项目征地拆迁补偿费用15.05万元、金川县沙耳乡山埂子村节能亮化项目76.1万元、沙耳乡环境卫生综合整治经费15万元、金川县沙耳乡丹扎木村乡村产业道路建设项目46.3万元、金川县沙耳乡沙尔尼村乡村振兴示范村综合提升项目37.5万元、金川县沙耳乡丹扎木村节能亮化项目51.6万元、金川县沙耳乡克尔玛村赵家梁滑坡治理项目30万元、金川县沙耳乡克尔玛村通村公路提升项目征地拆迁补偿费用123.42万元、金川县沙耳乡马道坪牦牛种养一体化建设项目81.92万元、基层组织活动和公共服务运行经费62万元、村社干部补助105.82万元、三老干部生活补助4.16万元。</w:t>
      </w:r>
    </w:p>
    <w:p>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Times New Roman" w:eastAsia="楷体_GB2312" w:cs="Times New Roman" w:hAnsi="Times New Roman" w:hint="eastAsia"/>
          <w:b/>
          <w:bCs/>
          <w:color w:val="auto"/>
          <w:kern w:val="0"/>
          <w:sz w:val="32"/>
          <w:szCs w:val="32"/>
          <w:shd w:val="clear" w:color="auto" w:fill="FFFFFF"/>
          <w:lang w:val="zh-CN" w:eastAsia="zh-CN"/>
          <w:highlight w:val="auto"/>
        </w:rPr>
      </w:pPr>
      <w:r>
        <w:rPr>
          <w:rFonts w:ascii="Times New Roman" w:eastAsia="楷体_GB2312" w:cs="Times New Roman" w:hAnsi="Times New Roman"/>
          <w:b/>
          <w:bCs/>
          <w:color w:val="auto"/>
          <w:kern w:val="0"/>
          <w:sz w:val="32"/>
          <w:szCs w:val="32"/>
          <w:shd w:val="clear" w:color="auto" w:fill="FFFFFF"/>
          <w:lang w:val="zh-CN"/>
          <w:highlight w:val="auto"/>
        </w:rPr>
        <w:t>结余分配和结转结余情况</w:t>
      </w:r>
      <w:r>
        <w:rPr>
          <w:rFonts w:ascii="Times New Roman" w:eastAsia="楷体_GB2312" w:cs="Times New Roman" w:hAnsi="Times New Roman" w:hint="eastAsia"/>
          <w:b/>
          <w:bCs/>
          <w:color w:val="auto"/>
          <w:kern w:val="0"/>
          <w:sz w:val="32"/>
          <w:szCs w:val="32"/>
          <w:shd w:val="clear" w:color="auto" w:fill="FFFFFF"/>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color w:val="auto"/>
          <w:spacing w:val="34"/>
          <w:sz w:val="32"/>
          <w:szCs w:val="32"/>
          <w:lang w:val="zh-CN" w:eastAsia="zh-CN"/>
          <w:highlight w:val="auto"/>
        </w:rPr>
      </w:pPr>
      <w:r>
        <w:rPr>
          <w:rFonts w:ascii="仿宋_GB2312" w:eastAsia="仿宋_GB2312" w:cs="仿宋_GB2312" w:hint="eastAsia"/>
          <w:color w:val="auto"/>
          <w:spacing w:val="34"/>
          <w:sz w:val="32"/>
          <w:szCs w:val="32"/>
          <w:lang w:val="en-US" w:eastAsia="zh-CN"/>
          <w:highlight w:val="auto"/>
        </w:rPr>
        <w:t>本单位2024年决算报表无</w:t>
      </w:r>
      <w:r>
        <w:rPr>
          <w:rFonts w:ascii="仿宋_GB2312" w:eastAsia="仿宋_GB2312" w:cs="仿宋_GB2312"/>
          <w:color w:val="auto"/>
          <w:spacing w:val="34"/>
          <w:sz w:val="32"/>
          <w:szCs w:val="32"/>
          <w:lang w:val="en-US" w:eastAsia="zh-CN"/>
          <w:highlight w:val="auto"/>
        </w:rPr>
        <w:t>结转结余</w:t>
      </w:r>
      <w:r>
        <w:rPr>
          <w:rFonts w:ascii="仿宋_GB2312" w:eastAsia="仿宋_GB2312" w:cs="仿宋_GB2312" w:hint="eastAsia"/>
          <w:color w:val="auto"/>
          <w:spacing w:val="34"/>
          <w:sz w:val="32"/>
          <w:szCs w:val="32"/>
          <w:lang w:val="en-US" w:eastAsia="zh-CN"/>
          <w:highlight w:val="auto"/>
        </w:rPr>
        <w:t>情况</w:t>
      </w:r>
      <w:r>
        <w:rPr>
          <w:rFonts w:ascii="仿宋_GB2312" w:eastAsia="仿宋_GB2312" w:cs="仿宋_GB2312"/>
          <w:color w:val="auto"/>
          <w:spacing w:val="34"/>
          <w:sz w:val="32"/>
          <w:szCs w:val="32"/>
          <w:lang w:val="en-US" w:eastAsia="zh-CN"/>
          <w:highlight w:val="auto"/>
        </w:rPr>
        <w:t>。</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auto"/>
          <w:kern w:val="0"/>
          <w:sz w:val="32"/>
          <w:szCs w:val="32"/>
          <w:shd w:val="clear" w:color="auto" w:fill="FFFFFF"/>
          <w:lang w:val="zh-CN" w:eastAsia="zh-CN"/>
          <w:highlight w:val="auto"/>
        </w:rPr>
      </w:pPr>
      <w:r>
        <w:rPr>
          <w:rFonts w:ascii="Times New Roman" w:eastAsia="黑体" w:cs="Times New Roman" w:hAnsi="Times New Roman"/>
          <w:color w:val="auto"/>
          <w:kern w:val="0"/>
          <w:sz w:val="32"/>
          <w:szCs w:val="32"/>
          <w:shd w:val="clear" w:color="auto" w:fill="FFFFFF"/>
          <w:lang w:val="zh-CN" w:eastAsia="zh-CN"/>
          <w:highlight w:val="auto"/>
        </w:rPr>
        <w:t>三、部门预算绩效分析</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color w:val="auto"/>
          <w:spacing w:val="34"/>
          <w:sz w:val="32"/>
          <w:szCs w:val="32"/>
          <w:lang w:val="zh-CN" w:eastAsia="zh-CN"/>
          <w:highlight w:val="auto"/>
        </w:rPr>
      </w:pPr>
      <w:r>
        <w:rPr>
          <w:rFonts w:ascii="Times New Roman" w:eastAsia="楷体_GB2312" w:cs="Times New Roman" w:hAnsi="Times New Roman"/>
          <w:b/>
          <w:bCs/>
          <w:color w:val="auto"/>
          <w:kern w:val="0"/>
          <w:sz w:val="32"/>
          <w:szCs w:val="32"/>
          <w:shd w:val="clear" w:color="auto" w:fill="FFFFFF"/>
          <w:lang w:val="zh-CN"/>
          <w:highlight w:val="auto"/>
        </w:rPr>
        <w:t>（一）</w:t>
      </w:r>
      <w:r>
        <w:rPr>
          <w:rFonts w:ascii="Times New Roman" w:eastAsia="楷体_GB2312" w:cs="Times New Roman" w:hAnsi="Times New Roman" w:hint="eastAsia"/>
          <w:b/>
          <w:bCs/>
          <w:color w:val="auto"/>
          <w:kern w:val="0"/>
          <w:sz w:val="32"/>
          <w:szCs w:val="32"/>
          <w:shd w:val="clear" w:color="auto" w:fill="FFFFFF"/>
          <w:lang w:val="zh-CN"/>
          <w:highlight w:val="auto"/>
        </w:rPr>
        <w:t>部门预算</w:t>
      </w:r>
      <w:r>
        <w:rPr>
          <w:rFonts w:ascii="Times New Roman" w:eastAsia="楷体_GB2312" w:cs="Times New Roman" w:hAnsi="Times New Roman"/>
          <w:b/>
          <w:bCs/>
          <w:color w:val="auto"/>
          <w:kern w:val="0"/>
          <w:sz w:val="32"/>
          <w:szCs w:val="32"/>
          <w:shd w:val="clear" w:color="auto" w:fill="FFFFFF"/>
          <w:lang w:val="zh-CN"/>
          <w:highlight w:val="auto"/>
        </w:rPr>
        <w:t>总体绩效分析。</w:t>
      </w:r>
      <w:r>
        <w:rPr>
          <w:rFonts w:ascii="仿宋_GB2312" w:eastAsia="仿宋_GB2312" w:cs="仿宋_GB2312" w:hint="eastAsia"/>
          <w:color w:val="auto"/>
          <w:spacing w:val="34"/>
          <w:sz w:val="32"/>
          <w:szCs w:val="32"/>
          <w:lang w:val="zh-CN" w:eastAsia="zh-CN"/>
          <w:highlight w:val="auto"/>
        </w:rPr>
        <w:t>我乡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zh-CN" w:eastAsia="zh-CN"/>
          <w:highlight w:val="auto"/>
        </w:rPr>
      </w:pPr>
      <w:r>
        <w:rPr>
          <w:rFonts w:ascii="仿宋_GB2312" w:eastAsia="仿宋_GB2312" w:cs="仿宋_GB2312" w:hint="eastAsia"/>
          <w:color w:val="auto"/>
          <w:spacing w:val="34"/>
          <w:sz w:val="32"/>
          <w:szCs w:val="32"/>
          <w:lang w:val="en-US" w:eastAsia="zh-CN"/>
          <w:highlight w:val="auto"/>
        </w:rPr>
        <w:t>1.</w:t>
      </w:r>
      <w:r>
        <w:rPr>
          <w:rFonts w:ascii="仿宋_GB2312" w:eastAsia="仿宋_GB2312" w:cs="仿宋_GB2312" w:hint="eastAsia"/>
          <w:color w:val="auto"/>
          <w:spacing w:val="34"/>
          <w:sz w:val="32"/>
          <w:szCs w:val="32"/>
          <w:lang w:val="zh-CN" w:eastAsia="zh-CN"/>
          <w:highlight w:val="auto"/>
        </w:rPr>
        <w:t>履职效能。</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zh-CN" w:eastAsia="zh-CN"/>
          <w:highlight w:val="auto"/>
        </w:rPr>
      </w:pPr>
      <w:r>
        <w:rPr>
          <w:rFonts w:ascii="仿宋_GB2312" w:eastAsia="仿宋_GB2312" w:cs="仿宋_GB2312" w:hint="eastAsia"/>
          <w:color w:val="auto"/>
          <w:spacing w:val="34"/>
          <w:sz w:val="32"/>
          <w:szCs w:val="32"/>
          <w:lang w:val="zh-CN" w:eastAsia="zh-CN"/>
          <w:highlight w:val="auto"/>
        </w:rPr>
        <w:t>数量指标履职效果</w:t>
      </w:r>
      <w:r>
        <w:rPr>
          <w:rFonts w:ascii="仿宋_GB2312" w:eastAsia="仿宋_GB2312" w:cs="仿宋_GB2312" w:hint="eastAsia"/>
          <w:color w:val="auto"/>
          <w:spacing w:val="34"/>
          <w:sz w:val="32"/>
          <w:szCs w:val="32"/>
          <w:lang w:val="en-US" w:eastAsia="zh-CN"/>
          <w:highlight w:val="auto"/>
        </w:rPr>
        <w:t>:严格控制数量确保无遗漏无浪费，厉行节约</w:t>
      </w:r>
      <w:r>
        <w:rPr>
          <w:rFonts w:ascii="仿宋_GB2312" w:eastAsia="仿宋_GB2312" w:cs="仿宋_GB2312" w:hint="eastAsia"/>
          <w:color w:val="auto"/>
          <w:spacing w:val="34"/>
          <w:sz w:val="32"/>
          <w:szCs w:val="32"/>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en-US" w:eastAsia="zh-CN"/>
          <w:highlight w:val="auto"/>
        </w:rPr>
      </w:pPr>
      <w:r>
        <w:rPr>
          <w:rFonts w:ascii="仿宋_GB2312" w:eastAsia="仿宋_GB2312" w:cs="仿宋_GB2312" w:hint="eastAsia"/>
          <w:color w:val="auto"/>
          <w:spacing w:val="34"/>
          <w:sz w:val="32"/>
          <w:szCs w:val="32"/>
          <w:lang w:val="zh-CN" w:eastAsia="zh-CN"/>
          <w:highlight w:val="auto"/>
        </w:rPr>
        <w:t>质量指标履职效果：</w:t>
      </w:r>
      <w:r>
        <w:rPr>
          <w:rFonts w:ascii="仿宋_GB2312" w:eastAsia="仿宋_GB2312" w:cs="仿宋_GB2312" w:hint="eastAsia"/>
          <w:color w:val="auto"/>
          <w:spacing w:val="34"/>
          <w:sz w:val="32"/>
          <w:szCs w:val="32"/>
          <w:lang w:val="en-US" w:eastAsia="zh-CN"/>
          <w:highlight w:val="auto"/>
        </w:rPr>
        <w:t>严格把控质量关，确保与采购文件相匹配。</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en-US" w:eastAsia="zh-CN"/>
          <w:highlight w:val="auto"/>
        </w:rPr>
      </w:pPr>
      <w:r>
        <w:rPr>
          <w:rFonts w:ascii="仿宋_GB2312" w:eastAsia="仿宋_GB2312" w:cs="仿宋_GB2312" w:hint="eastAsia"/>
          <w:color w:val="auto"/>
          <w:spacing w:val="34"/>
          <w:sz w:val="32"/>
          <w:szCs w:val="32"/>
          <w:lang w:val="en-US" w:eastAsia="zh-CN"/>
          <w:highlight w:val="auto"/>
        </w:rPr>
        <w:t>社会效益指标履职效果：确保每一项采购项目都能实现单位职能，提高社会效益，促进社会发展。</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en-US" w:eastAsia="zh-CN"/>
          <w:highlight w:val="auto"/>
        </w:rPr>
      </w:pPr>
      <w:r>
        <w:rPr>
          <w:rFonts w:ascii="仿宋_GB2312" w:eastAsia="仿宋_GB2312" w:cs="仿宋_GB2312"/>
          <w:color w:val="auto"/>
          <w:spacing w:val="34"/>
          <w:sz w:val="32"/>
          <w:szCs w:val="32"/>
          <w:lang w:val="en-US" w:eastAsia="zh-CN"/>
          <w:highlight w:val="auto"/>
        </w:rPr>
        <w:t>服务对象满意度</w:t>
      </w:r>
      <w:r>
        <w:rPr>
          <w:rFonts w:ascii="仿宋_GB2312" w:eastAsia="仿宋_GB2312" w:cs="仿宋_GB2312" w:hint="eastAsia"/>
          <w:color w:val="auto"/>
          <w:spacing w:val="34"/>
          <w:sz w:val="32"/>
          <w:szCs w:val="32"/>
          <w:lang w:val="en-US" w:eastAsia="zh-CN"/>
          <w:highlight w:val="auto"/>
        </w:rPr>
        <w:t>指标</w:t>
      </w:r>
      <w:r>
        <w:rPr>
          <w:rFonts w:ascii="仿宋_GB2312" w:eastAsia="仿宋_GB2312" w:cs="仿宋_GB2312"/>
          <w:color w:val="auto"/>
          <w:spacing w:val="34"/>
          <w:sz w:val="32"/>
          <w:szCs w:val="32"/>
          <w:lang w:val="en-US" w:eastAsia="zh-CN"/>
          <w:highlight w:val="auto"/>
        </w:rPr>
        <w:t>履职效果</w:t>
      </w:r>
      <w:r>
        <w:rPr>
          <w:rFonts w:ascii="仿宋_GB2312" w:eastAsia="仿宋_GB2312" w:cs="仿宋_GB2312" w:hint="eastAsia"/>
          <w:color w:val="auto"/>
          <w:spacing w:val="34"/>
          <w:sz w:val="32"/>
          <w:szCs w:val="32"/>
          <w:lang w:val="en-US" w:eastAsia="zh-CN"/>
          <w:highlight w:val="auto"/>
        </w:rPr>
        <w:t>：以高质量、高标准、高要求实施采购项目，确保受益对象满意度。</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color w:val="auto"/>
          <w:spacing w:val="34"/>
          <w:sz w:val="32"/>
          <w:szCs w:val="32"/>
          <w:lang w:val="en-US" w:eastAsia="zh-CN"/>
          <w:highlight w:val="auto"/>
        </w:rPr>
      </w:pPr>
      <w:r>
        <w:rPr>
          <w:rFonts w:ascii="仿宋_GB2312" w:eastAsia="仿宋_GB2312" w:cs="仿宋_GB2312"/>
          <w:color w:val="auto"/>
          <w:spacing w:val="34"/>
          <w:sz w:val="32"/>
          <w:szCs w:val="32"/>
          <w:lang w:val="en-US" w:eastAsia="zh-CN"/>
          <w:highlight w:val="auto"/>
        </w:rPr>
        <w:t>经济成本指标履职效果</w:t>
      </w:r>
      <w:r>
        <w:rPr>
          <w:rFonts w:ascii="仿宋_GB2312" w:eastAsia="仿宋_GB2312" w:cs="仿宋_GB2312" w:hint="eastAsia"/>
          <w:color w:val="auto"/>
          <w:spacing w:val="34"/>
          <w:sz w:val="32"/>
          <w:szCs w:val="32"/>
          <w:lang w:val="en-US" w:eastAsia="zh-CN"/>
          <w:highlight w:val="auto"/>
        </w:rPr>
        <w:t>：经过专业评估，以合理的经济成本实现项目价值。</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zh-CN" w:eastAsia="zh-CN"/>
          <w:highlight w:val="auto"/>
        </w:rPr>
      </w:pPr>
      <w:r>
        <w:rPr>
          <w:rFonts w:ascii="仿宋_GB2312" w:eastAsia="仿宋_GB2312" w:cs="仿宋_GB2312" w:hint="eastAsia"/>
          <w:color w:val="auto"/>
          <w:spacing w:val="34"/>
          <w:sz w:val="32"/>
          <w:szCs w:val="32"/>
          <w:lang w:val="en-US" w:eastAsia="zh-CN"/>
          <w:highlight w:val="auto"/>
        </w:rPr>
        <w:t>2.</w:t>
      </w:r>
      <w:r>
        <w:rPr>
          <w:rFonts w:ascii="仿宋_GB2312" w:eastAsia="仿宋_GB2312" w:cs="仿宋_GB2312"/>
          <w:color w:val="auto"/>
          <w:spacing w:val="34"/>
          <w:sz w:val="32"/>
          <w:szCs w:val="32"/>
          <w:lang w:val="zh-CN" w:eastAsia="zh-CN"/>
          <w:highlight w:val="auto"/>
        </w:rPr>
        <w:t>预算管理</w:t>
      </w:r>
      <w:r>
        <w:rPr>
          <w:rFonts w:ascii="仿宋_GB2312" w:eastAsia="仿宋_GB2312" w:cs="仿宋_GB2312" w:hint="eastAsia"/>
          <w:color w:val="auto"/>
          <w:spacing w:val="34"/>
          <w:sz w:val="32"/>
          <w:szCs w:val="32"/>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zh-CN" w:eastAsia="zh-CN"/>
          <w:highlight w:val="auto"/>
        </w:rPr>
      </w:pPr>
      <w:r>
        <w:rPr>
          <w:rFonts w:ascii="仿宋_GB2312" w:eastAsia="仿宋_GB2312" w:cs="仿宋_GB2312" w:hint="eastAsia"/>
          <w:color w:val="auto"/>
          <w:spacing w:val="34"/>
          <w:sz w:val="32"/>
          <w:szCs w:val="32"/>
          <w:lang w:val="zh-CN" w:eastAsia="zh-CN"/>
          <w:highlight w:val="auto"/>
        </w:rPr>
        <w:t>严格按照县级部门预算编制通知和有关要求，按时完成基础库、项目库报送工作，按时完成2024年预算编制工作，并按时提交部门预算草案。预算编制全面、科学。2024年实际支出和部门决算一致，绩效目标填报及年末结余结转都是严格按照县财政局的要求认真完成，不存在违规违纪使用资金的情况并按时完成202</w:t>
      </w:r>
      <w:r>
        <w:rPr>
          <w:rFonts w:ascii="仿宋_GB2312" w:eastAsia="仿宋_GB2312" w:cs="仿宋_GB2312" w:hint="eastAsia"/>
          <w:color w:val="auto"/>
          <w:spacing w:val="34"/>
          <w:sz w:val="32"/>
          <w:szCs w:val="32"/>
          <w:lang w:val="en-US" w:eastAsia="zh-CN"/>
          <w:highlight w:val="auto"/>
        </w:rPr>
        <w:t>4</w:t>
      </w:r>
      <w:r>
        <w:rPr>
          <w:rFonts w:ascii="仿宋_GB2312" w:eastAsia="仿宋_GB2312" w:cs="仿宋_GB2312" w:hint="eastAsia"/>
          <w:color w:val="auto"/>
          <w:spacing w:val="34"/>
          <w:sz w:val="32"/>
          <w:szCs w:val="32"/>
          <w:lang w:val="zh-CN" w:eastAsia="zh-CN"/>
          <w:highlight w:val="auto"/>
        </w:rPr>
        <w:t>年预算编制工作，及时提交了部门预算草案。</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zh-CN" w:eastAsia="zh-CN"/>
          <w:highlight w:val="auto"/>
        </w:rPr>
      </w:pPr>
      <w:r>
        <w:rPr>
          <w:rFonts w:ascii="仿宋_GB2312" w:eastAsia="仿宋_GB2312" w:cs="仿宋_GB2312" w:hint="eastAsia"/>
          <w:color w:val="auto"/>
          <w:spacing w:val="34"/>
          <w:sz w:val="32"/>
          <w:szCs w:val="32"/>
          <w:lang w:val="en-US" w:eastAsia="zh-CN"/>
          <w:highlight w:val="auto"/>
        </w:rPr>
        <w:t>3.</w:t>
      </w:r>
      <w:r>
        <w:rPr>
          <w:rFonts w:ascii="仿宋_GB2312" w:eastAsia="仿宋_GB2312" w:cs="仿宋_GB2312"/>
          <w:color w:val="auto"/>
          <w:spacing w:val="34"/>
          <w:sz w:val="32"/>
          <w:szCs w:val="32"/>
          <w:lang w:val="zh-CN" w:eastAsia="zh-CN"/>
          <w:highlight w:val="auto"/>
        </w:rPr>
        <w:t>财务管理</w:t>
      </w:r>
      <w:r>
        <w:rPr>
          <w:rFonts w:ascii="仿宋_GB2312" w:eastAsia="仿宋_GB2312" w:cs="仿宋_GB2312" w:hint="eastAsia"/>
          <w:color w:val="auto"/>
          <w:spacing w:val="34"/>
          <w:sz w:val="32"/>
          <w:szCs w:val="32"/>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zh-CN" w:eastAsia="zh-CN"/>
          <w:highlight w:val="auto"/>
        </w:rPr>
      </w:pPr>
      <w:r>
        <w:rPr>
          <w:rFonts w:ascii="仿宋_GB2312" w:eastAsia="仿宋_GB2312" w:cs="仿宋_GB2312" w:hint="eastAsia"/>
          <w:color w:val="auto"/>
          <w:spacing w:val="34"/>
          <w:sz w:val="32"/>
          <w:szCs w:val="32"/>
          <w:lang w:val="zh-CN" w:eastAsia="zh-CN"/>
          <w:highlight w:val="auto"/>
        </w:rPr>
        <w:t>根据相关要求，单位使用预算资金基本符合相关的预算财务管理制度。我乡在财政批复后</w:t>
      </w:r>
      <w:r>
        <w:rPr>
          <w:rFonts w:ascii="仿宋_GB2312" w:eastAsia="仿宋_GB2312" w:cs="仿宋_GB2312" w:hint="eastAsia"/>
          <w:color w:val="auto"/>
          <w:spacing w:val="34"/>
          <w:sz w:val="32"/>
          <w:szCs w:val="32"/>
          <w:lang w:val="en-US" w:eastAsia="zh-CN"/>
          <w:highlight w:val="auto"/>
        </w:rPr>
        <w:t>20日内在指定网站公开预决算信息。按照相关要求进行绩效自我评价，按要求及时上报，对发现的问题提出整改措施，并整改落实到位。</w:t>
      </w:r>
      <w:r>
        <w:rPr>
          <w:rFonts w:ascii="仿宋_GB2312" w:eastAsia="仿宋_GB2312" w:cs="仿宋_GB2312" w:hint="eastAsia"/>
          <w:color w:val="auto"/>
          <w:spacing w:val="34"/>
          <w:sz w:val="32"/>
          <w:szCs w:val="32"/>
          <w:lang w:val="zh-CN" w:eastAsia="zh-CN"/>
          <w:highlight w:val="auto"/>
        </w:rPr>
        <w:t>绩效评价及依法接受财政监督情况等。</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zh-CN" w:eastAsia="zh-CN"/>
          <w:highlight w:val="auto"/>
        </w:rPr>
      </w:pPr>
      <w:r>
        <w:rPr>
          <w:rFonts w:ascii="仿宋_GB2312" w:eastAsia="仿宋_GB2312" w:cs="仿宋_GB2312" w:hint="eastAsia"/>
          <w:color w:val="auto"/>
          <w:spacing w:val="34"/>
          <w:sz w:val="32"/>
          <w:szCs w:val="32"/>
          <w:lang w:val="en-US" w:eastAsia="zh-CN"/>
          <w:highlight w:val="auto"/>
        </w:rPr>
        <w:t>4.</w:t>
      </w:r>
      <w:r>
        <w:rPr>
          <w:rFonts w:ascii="仿宋_GB2312" w:eastAsia="仿宋_GB2312" w:cs="仿宋_GB2312"/>
          <w:color w:val="auto"/>
          <w:spacing w:val="34"/>
          <w:sz w:val="32"/>
          <w:szCs w:val="32"/>
          <w:lang w:val="zh-CN" w:eastAsia="zh-CN"/>
          <w:highlight w:val="auto"/>
        </w:rPr>
        <w:t>资产管理</w:t>
      </w:r>
      <w:r>
        <w:rPr>
          <w:rFonts w:ascii="仿宋_GB2312" w:eastAsia="仿宋_GB2312" w:cs="仿宋_GB2312" w:hint="eastAsia"/>
          <w:color w:val="auto"/>
          <w:spacing w:val="34"/>
          <w:sz w:val="32"/>
          <w:szCs w:val="32"/>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color w:val="auto"/>
          <w:spacing w:val="34"/>
          <w:sz w:val="32"/>
          <w:szCs w:val="32"/>
          <w:lang w:val="en-US" w:eastAsia="zh-CN"/>
          <w:highlight w:val="auto"/>
        </w:rPr>
      </w:pPr>
      <w:r>
        <w:rPr>
          <w:rFonts w:ascii="仿宋_GB2312" w:eastAsia="仿宋_GB2312" w:cs="仿宋_GB2312" w:hint="eastAsia"/>
          <w:color w:val="auto"/>
          <w:spacing w:val="34"/>
          <w:sz w:val="32"/>
          <w:szCs w:val="32"/>
          <w:lang w:val="zh-CN" w:eastAsia="zh-CN"/>
          <w:highlight w:val="auto"/>
        </w:rPr>
        <w:t>我乡</w:t>
      </w:r>
      <w:r>
        <w:rPr>
          <w:rFonts w:ascii="仿宋_GB2312" w:eastAsia="仿宋_GB2312" w:cs="仿宋_GB2312" w:hint="eastAsia"/>
          <w:color w:val="auto"/>
          <w:spacing w:val="34"/>
          <w:sz w:val="32"/>
          <w:szCs w:val="32"/>
          <w:lang w:val="en-US" w:eastAsia="zh-CN"/>
          <w:highlight w:val="auto"/>
        </w:rPr>
        <w:t>2024年所有国有资产纳入</w:t>
      </w:r>
      <w:r>
        <w:rPr>
          <w:rFonts w:ascii="仿宋_GB2312" w:eastAsia="仿宋_GB2312" w:cs="仿宋_GB2312" w:hint="eastAsia"/>
          <w:color w:val="auto"/>
          <w:spacing w:val="34"/>
          <w:sz w:val="32"/>
          <w:szCs w:val="32"/>
          <w:lang w:val="zh-CN" w:eastAsia="zh-CN"/>
          <w:highlight w:val="auto"/>
        </w:rPr>
        <w:t>资产管理系统，及时准确上报并做好资产的管理工作，</w:t>
      </w:r>
      <w:r>
        <w:rPr>
          <w:rFonts w:ascii="仿宋_GB2312" w:eastAsia="仿宋_GB2312" w:cs="仿宋_GB2312" w:hint="eastAsia"/>
          <w:color w:val="auto"/>
          <w:spacing w:val="34"/>
          <w:sz w:val="32"/>
          <w:szCs w:val="32"/>
          <w:lang w:val="en-US" w:eastAsia="zh-CN"/>
          <w:highlight w:val="auto"/>
        </w:rPr>
        <w:t>无闲置资产。</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zh-CN" w:eastAsia="zh-CN"/>
          <w:highlight w:val="auto"/>
        </w:rPr>
      </w:pPr>
      <w:r>
        <w:rPr>
          <w:rFonts w:ascii="仿宋_GB2312" w:eastAsia="仿宋_GB2312" w:cs="仿宋_GB2312" w:hint="eastAsia"/>
          <w:color w:val="auto"/>
          <w:spacing w:val="34"/>
          <w:sz w:val="32"/>
          <w:szCs w:val="32"/>
          <w:lang w:val="en-US" w:eastAsia="zh-CN"/>
          <w:highlight w:val="auto"/>
        </w:rPr>
        <w:t>5.</w:t>
      </w:r>
      <w:r>
        <w:rPr>
          <w:rFonts w:ascii="仿宋_GB2312" w:eastAsia="仿宋_GB2312" w:cs="仿宋_GB2312"/>
          <w:color w:val="auto"/>
          <w:spacing w:val="34"/>
          <w:sz w:val="32"/>
          <w:szCs w:val="32"/>
          <w:lang w:val="zh-CN" w:eastAsia="zh-CN"/>
          <w:highlight w:val="auto"/>
        </w:rPr>
        <w:t>采购管理</w:t>
      </w:r>
      <w:r>
        <w:rPr>
          <w:rFonts w:ascii="仿宋_GB2312" w:eastAsia="仿宋_GB2312" w:cs="仿宋_GB2312" w:hint="eastAsia"/>
          <w:color w:val="auto"/>
          <w:spacing w:val="34"/>
          <w:sz w:val="32"/>
          <w:szCs w:val="32"/>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776"/>
        <w:contextualSpacing/>
        <w:jc w:val="left"/>
        <w:textAlignment w:val="auto"/>
        <w:outlineLvl w:val="9"/>
        <w:rPr>
          <w:rFonts w:ascii="仿宋_GB2312" w:eastAsia="仿宋_GB2312" w:cs="仿宋_GB2312" w:hint="eastAsia"/>
          <w:color w:val="auto"/>
          <w:spacing w:val="34"/>
          <w:sz w:val="32"/>
          <w:szCs w:val="32"/>
          <w:lang w:val="zh-CN" w:eastAsia="zh-CN"/>
          <w:highlight w:val="auto"/>
        </w:rPr>
      </w:pPr>
      <w:r>
        <w:rPr>
          <w:rFonts w:ascii="仿宋_GB2312" w:eastAsia="仿宋_GB2312" w:cs="仿宋_GB2312" w:hint="eastAsia"/>
          <w:color w:val="auto"/>
          <w:spacing w:val="34"/>
          <w:sz w:val="32"/>
          <w:szCs w:val="32"/>
          <w:lang w:val="en-US" w:eastAsia="zh-CN"/>
          <w:highlight w:val="auto"/>
        </w:rPr>
        <w:t>为保障单位正常运转，实现机构只能，根据实际需求按照程序实施政府采购</w:t>
      </w:r>
      <w:r>
        <w:rPr>
          <w:rFonts w:ascii="仿宋_GB2312" w:eastAsia="仿宋_GB2312" w:cs="仿宋_GB2312" w:hint="eastAsia"/>
          <w:color w:val="auto"/>
          <w:spacing w:val="34"/>
          <w:sz w:val="32"/>
          <w:szCs w:val="32"/>
          <w:lang w:val="zh-CN" w:eastAsia="zh-CN"/>
          <w:highlight w:val="auto"/>
        </w:rPr>
        <w:t>、采购</w:t>
      </w:r>
      <w:r>
        <w:rPr>
          <w:rFonts w:ascii="仿宋_GB2312" w:eastAsia="仿宋_GB2312" w:cs="仿宋_GB2312" w:hint="eastAsia"/>
          <w:color w:val="auto"/>
          <w:spacing w:val="34"/>
          <w:sz w:val="32"/>
          <w:szCs w:val="32"/>
          <w:lang w:val="en-US" w:eastAsia="zh-CN"/>
          <w:highlight w:val="auto"/>
        </w:rPr>
        <w:t>项目</w:t>
      </w:r>
      <w:r>
        <w:rPr>
          <w:rFonts w:ascii="仿宋_GB2312" w:eastAsia="仿宋_GB2312" w:cs="仿宋_GB2312" w:hint="eastAsia"/>
          <w:color w:val="auto"/>
          <w:spacing w:val="34"/>
          <w:sz w:val="32"/>
          <w:szCs w:val="32"/>
          <w:lang w:val="zh-CN" w:eastAsia="zh-CN"/>
          <w:highlight w:val="auto"/>
        </w:rPr>
        <w:t>执行率</w:t>
      </w:r>
      <w:r>
        <w:rPr>
          <w:rFonts w:ascii="仿宋_GB2312" w:eastAsia="仿宋_GB2312" w:cs="仿宋_GB2312" w:hint="eastAsia"/>
          <w:color w:val="auto"/>
          <w:spacing w:val="34"/>
          <w:sz w:val="32"/>
          <w:szCs w:val="32"/>
          <w:lang w:val="en-US" w:eastAsia="zh-CN"/>
          <w:highlight w:val="auto"/>
        </w:rPr>
        <w:t>达100%，采购结果与预期目标相匹配，通过科学合理的评价方法和标准，提高采购质量和效益</w:t>
      </w:r>
      <w:r>
        <w:rPr>
          <w:rFonts w:ascii="仿宋_GB2312" w:eastAsia="仿宋_GB2312" w:cs="仿宋_GB2312" w:hint="eastAsia"/>
          <w:color w:val="auto"/>
          <w:spacing w:val="34"/>
          <w:sz w:val="32"/>
          <w:szCs w:val="32"/>
          <w:lang w:val="zh-CN" w:eastAsia="zh-CN"/>
          <w:highlight w:val="auto"/>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仿宋_GB2312" w:cs="仿宋_GB2312" w:hAnsi="Times New Roman" w:hint="eastAsia"/>
          <w:color w:val="auto"/>
          <w:kern w:val="2"/>
          <w:sz w:val="32"/>
          <w:szCs w:val="32"/>
          <w:lang w:val="zh-CN" w:eastAsia="zh-CN" w:bidi="ar-SA"/>
          <w:highlight w:val="auto"/>
        </w:rPr>
      </w:pP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仿宋_GB2312" w:hAnsi="Times New Roman" w:hint="eastAsia"/>
          <w:color w:val="auto"/>
          <w:kern w:val="2"/>
          <w:sz w:val="32"/>
          <w:szCs w:val="32"/>
          <w:lang w:val="zh-CN" w:eastAsia="zh-CN" w:bidi="ar-SA"/>
          <w:highlight w:val="auto"/>
        </w:rPr>
      </w:pPr>
      <w:r>
        <w:rPr>
          <w:rFonts w:ascii="Times New Roman" w:eastAsia="楷体_GB2312" w:cs="Times New Roman" w:hAnsi="Times New Roman"/>
          <w:b/>
          <w:bCs/>
          <w:color w:val="auto"/>
          <w:kern w:val="0"/>
          <w:sz w:val="32"/>
          <w:szCs w:val="32"/>
          <w:shd w:val="clear" w:color="auto" w:fill="FFFFFF"/>
          <w:lang w:val="zh-CN"/>
          <w:highlight w:val="auto"/>
        </w:rPr>
        <w:t>（二）部门预算项目绩效分析。</w:t>
      </w:r>
      <w:r>
        <w:rPr>
          <w:rFonts w:ascii="Times New Roman" w:eastAsia="仿宋_GB2312" w:cs="仿宋_GB2312" w:hAnsi="Times New Roman" w:hint="eastAsia"/>
          <w:color w:val="auto"/>
          <w:kern w:val="2"/>
          <w:sz w:val="32"/>
          <w:szCs w:val="32"/>
          <w:lang w:val="zh-CN" w:eastAsia="zh-CN" w:bidi="ar-SA"/>
          <w:highlight w:val="auto"/>
        </w:rPr>
        <w:t>填报以下数据，并根据部门预算绩效评价指标体系“项目绩效”涉及二、三级指标进行逐项绩效分析并评分，依次包括项目决策、项目执行、目标实现等情况。</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仿宋_GB2312" w:hAnsi="Times New Roman" w:hint="eastAsia"/>
          <w:color w:val="auto"/>
          <w:kern w:val="2"/>
          <w:sz w:val="32"/>
          <w:szCs w:val="32"/>
          <w:lang w:val="zh-CN" w:eastAsia="zh-CN" w:bidi="ar-SA"/>
          <w:highlight w:val="auto"/>
        </w:rPr>
      </w:pPr>
      <w:r>
        <w:rPr>
          <w:rFonts w:ascii="Times New Roman" w:eastAsia="仿宋_GB2312" w:cs="仿宋_GB2312" w:hAnsi="Times New Roman" w:hint="eastAsia"/>
          <w:color w:val="auto"/>
          <w:kern w:val="2"/>
          <w:sz w:val="32"/>
          <w:szCs w:val="32"/>
          <w:lang w:val="zh-CN" w:eastAsia="zh-CN" w:bidi="ar-SA"/>
          <w:highlight w:val="auto"/>
        </w:rPr>
        <w:t>常年项目绩效分析。该类项目总数74个，涉及预算总金额964.81万元，1—12月预算执行总体进度为100%，其中：预算结余率大于10%的项目共计 0  个。</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仿宋_GB2312" w:hAnsi="Times New Roman" w:hint="eastAsia"/>
          <w:color w:val="auto"/>
          <w:kern w:val="2"/>
          <w:sz w:val="32"/>
          <w:szCs w:val="32"/>
          <w:lang w:val="zh-CN" w:eastAsia="zh-CN" w:bidi="ar-SA"/>
          <w:highlight w:val="auto"/>
        </w:rPr>
      </w:pPr>
      <w:r>
        <w:rPr>
          <w:rFonts w:ascii="Times New Roman" w:eastAsia="仿宋_GB2312" w:cs="仿宋_GB2312" w:hAnsi="Times New Roman" w:hint="eastAsia"/>
          <w:color w:val="auto"/>
          <w:kern w:val="2"/>
          <w:sz w:val="32"/>
          <w:szCs w:val="32"/>
          <w:lang w:val="zh-CN" w:eastAsia="zh-CN" w:bidi="ar-SA"/>
          <w:highlight w:val="auto"/>
        </w:rPr>
        <w:t>阶段（一次性）项目绩效分析。该类项目总数14个，涉及预算总金额687.31万元，1—12月预算执行总体进度为100 %，其中：预算结余率大于10%的项目共计 0 个。</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仿宋_GB2312" w:hAnsi="Times New Roman" w:hint="eastAsia"/>
          <w:color w:val="auto"/>
          <w:kern w:val="2"/>
          <w:sz w:val="32"/>
          <w:szCs w:val="32"/>
          <w:lang w:val="zh-CN" w:eastAsia="zh-CN" w:bidi="ar-SA"/>
          <w:highlight w:val="auto"/>
        </w:rPr>
      </w:pPr>
      <w:r>
        <w:rPr>
          <w:rFonts w:ascii="Times New Roman" w:eastAsia="仿宋_GB2312" w:cs="仿宋_GB2312" w:hAnsi="Times New Roman" w:hint="eastAsia"/>
          <w:color w:val="auto"/>
          <w:kern w:val="2"/>
          <w:sz w:val="32"/>
          <w:szCs w:val="32"/>
          <w:lang w:val="zh-CN" w:eastAsia="zh-CN" w:bidi="ar-SA"/>
          <w:highlight w:val="auto"/>
        </w:rPr>
        <w:t>1.项目决策。</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仿宋_GB2312" w:hAnsi="Times New Roman" w:hint="eastAsia"/>
          <w:color w:val="auto"/>
          <w:kern w:val="2"/>
          <w:sz w:val="32"/>
          <w:szCs w:val="32"/>
          <w:lang w:val="zh-CN" w:eastAsia="zh-CN" w:bidi="ar-SA"/>
          <w:highlight w:val="auto"/>
        </w:rPr>
      </w:pPr>
      <w:r>
        <w:rPr>
          <w:rFonts w:ascii="Times New Roman" w:eastAsia="仿宋_GB2312" w:cs="仿宋_GB2312" w:hAnsi="Times New Roman" w:hint="eastAsia"/>
          <w:color w:val="auto"/>
          <w:kern w:val="2"/>
          <w:sz w:val="32"/>
          <w:szCs w:val="32"/>
          <w:lang w:val="zh-CN" w:eastAsia="zh-CN" w:bidi="ar-SA"/>
          <w:highlight w:val="auto"/>
        </w:rPr>
        <w:t>本单位预算项目设立都按规定履行评估论证、按程序申报、预算项目绩效目标与计划期内的任务量、预算安排的资金量匹配情况，绩效目标设置科学合理、规范完整、量化细化、预算匹配、预算项目在规定时间内完成项目入库，明确绩效目标，控制支行成本，提高项目发挥作用。</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仿宋_GB2312" w:hAnsi="Times New Roman" w:hint="eastAsia"/>
          <w:color w:val="auto"/>
          <w:kern w:val="2"/>
          <w:sz w:val="32"/>
          <w:szCs w:val="32"/>
          <w:lang w:val="zh-CN" w:eastAsia="zh-CN" w:bidi="ar-SA"/>
          <w:highlight w:val="auto"/>
        </w:rPr>
      </w:pPr>
      <w:r>
        <w:rPr>
          <w:rFonts w:ascii="Times New Roman" w:eastAsia="仿宋_GB2312" w:cs="仿宋_GB2312" w:hAnsi="Times New Roman" w:hint="eastAsia"/>
          <w:color w:val="auto"/>
          <w:kern w:val="2"/>
          <w:sz w:val="32"/>
          <w:szCs w:val="32"/>
          <w:lang w:val="zh-CN" w:eastAsia="zh-CN" w:bidi="ar-SA"/>
          <w:highlight w:val="auto"/>
        </w:rPr>
        <w:t>2.项目执行。</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仿宋_GB2312" w:hAnsi="Times New Roman" w:hint="eastAsia"/>
          <w:color w:val="auto"/>
          <w:kern w:val="2"/>
          <w:sz w:val="32"/>
          <w:szCs w:val="32"/>
          <w:lang w:val="zh-CN" w:eastAsia="zh-CN" w:bidi="ar-SA"/>
          <w:highlight w:val="auto"/>
        </w:rPr>
      </w:pPr>
      <w:r>
        <w:rPr>
          <w:rFonts w:ascii="Times New Roman" w:eastAsia="仿宋_GB2312" w:cs="仿宋_GB2312" w:hAnsi="Times New Roman" w:hint="eastAsia"/>
          <w:color w:val="auto"/>
          <w:kern w:val="2"/>
          <w:sz w:val="32"/>
          <w:szCs w:val="32"/>
          <w:lang w:val="zh-CN" w:eastAsia="zh-CN" w:bidi="ar-SA"/>
          <w:highlight w:val="auto"/>
        </w:rPr>
        <w:t>预算项目实际列支内容与绩效目标设置方向相符、预算项目采取对应调整措施，按程序调整、预算项目按照文件时间节点有序推进。</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仿宋_GB2312" w:hAnsi="Times New Roman" w:hint="eastAsia"/>
          <w:color w:val="auto"/>
          <w:kern w:val="2"/>
          <w:sz w:val="32"/>
          <w:szCs w:val="32"/>
          <w:lang w:val="zh-CN" w:eastAsia="zh-CN" w:bidi="ar-SA"/>
          <w:highlight w:val="auto"/>
        </w:rPr>
      </w:pPr>
      <w:r>
        <w:rPr>
          <w:rFonts w:ascii="Times New Roman" w:eastAsia="仿宋_GB2312" w:cs="仿宋_GB2312" w:hAnsi="Times New Roman" w:hint="eastAsia"/>
          <w:color w:val="auto"/>
          <w:kern w:val="2"/>
          <w:sz w:val="32"/>
          <w:szCs w:val="32"/>
          <w:lang w:val="zh-CN" w:eastAsia="zh-CN" w:bidi="ar-SA"/>
          <w:highlight w:val="auto"/>
        </w:rPr>
        <w:t>3.目标实现。</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仿宋_GB2312" w:hAnsi="Times New Roman" w:hint="eastAsia"/>
          <w:color w:val="auto"/>
          <w:kern w:val="2"/>
          <w:sz w:val="32"/>
          <w:szCs w:val="32"/>
          <w:lang w:val="zh-CN" w:eastAsia="zh-CN" w:bidi="ar-SA"/>
          <w:highlight w:val="auto"/>
        </w:rPr>
      </w:pPr>
      <w:r>
        <w:rPr>
          <w:rFonts w:ascii="Times New Roman" w:eastAsia="仿宋_GB2312" w:cs="仿宋_GB2312" w:hAnsi="Times New Roman" w:hint="eastAsia"/>
          <w:color w:val="auto"/>
          <w:kern w:val="2"/>
          <w:sz w:val="32"/>
          <w:szCs w:val="32"/>
          <w:lang w:val="zh-CN" w:eastAsia="zh-CN" w:bidi="ar-SA"/>
          <w:highlight w:val="auto"/>
        </w:rPr>
        <w:t>根据预算绩效管理要求，我单位在年初预算编制阶段，组织对项目开展了预算事前绩效评估，本部门按要求对2024年部门整体支出开展绩效自评，我单位深入贯彻落实二十大关于“全面实施绩效管理”的要求，努力提升本单位绩效预算管理业务水平。主动公开绩效结果，加大资金使用效率，提升政府管理水平。及时告知各部门（科室）部门预算及项目支出进度。</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Times New Roman" w:hAnsi="Times New Roman" w:hint="eastAsia"/>
          <w:color w:val="auto"/>
          <w:sz w:val="32"/>
          <w:szCs w:val="32"/>
          <w:u w:val="none"/>
          <w:lang w:val="zh-CN" w:eastAsia="zh-CN"/>
          <w:highlight w:val="auto"/>
        </w:rPr>
      </w:pPr>
      <w:r>
        <w:rPr>
          <w:rFonts w:ascii="Times New Roman" w:eastAsia="楷体_GB2312" w:cs="Times New Roman" w:hAnsi="Times New Roman"/>
          <w:b/>
          <w:bCs/>
          <w:color w:val="auto"/>
          <w:kern w:val="0"/>
          <w:sz w:val="32"/>
          <w:szCs w:val="32"/>
          <w:shd w:val="clear" w:color="auto" w:fill="FFFFFF"/>
          <w:lang w:val="zh-CN" w:eastAsia="zh-CN"/>
          <w:highlight w:val="auto"/>
        </w:rPr>
        <w:t>（</w:t>
      </w:r>
      <w:r>
        <w:rPr>
          <w:rFonts w:eastAsia="楷体_GB2312" w:cs="Times New Roman" w:hint="eastAsia"/>
          <w:b/>
          <w:bCs/>
          <w:color w:val="auto"/>
          <w:kern w:val="0"/>
          <w:sz w:val="32"/>
          <w:szCs w:val="32"/>
          <w:shd w:val="clear" w:color="auto" w:fill="FFFFFF"/>
          <w:lang w:val="en-US" w:eastAsia="zh-CN"/>
          <w:highlight w:val="auto"/>
        </w:rPr>
        <w:t>三</w:t>
      </w:r>
      <w:r>
        <w:rPr>
          <w:rFonts w:ascii="Times New Roman" w:eastAsia="楷体_GB2312" w:cs="Times New Roman" w:hAnsi="Times New Roman"/>
          <w:b/>
          <w:bCs/>
          <w:color w:val="auto"/>
          <w:kern w:val="0"/>
          <w:sz w:val="32"/>
          <w:szCs w:val="32"/>
          <w:shd w:val="clear" w:color="auto" w:fill="FFFFFF"/>
          <w:lang w:val="zh-CN" w:eastAsia="zh-CN"/>
          <w:highlight w:val="auto"/>
        </w:rPr>
        <w:t>）绩效结果应用情况</w:t>
      </w:r>
      <w:r>
        <w:rPr>
          <w:rFonts w:ascii="Times New Roman" w:eastAsia="楷体_GB2312" w:cs="Times New Roman" w:hAnsi="Times New Roman" w:hint="eastAsia"/>
          <w:b/>
          <w:bCs/>
          <w:color w:val="auto"/>
          <w:kern w:val="0"/>
          <w:sz w:val="32"/>
          <w:szCs w:val="32"/>
          <w:shd w:val="clear" w:color="auto" w:fill="FFFFFF"/>
          <w:lang w:val="zh-CN" w:eastAsia="zh-CN"/>
          <w:highlight w:val="auto"/>
        </w:rPr>
        <w:t>。</w:t>
      </w:r>
    </w:p>
    <w:p>
      <w:pPr>
        <w:keepNext w:val="0"/>
        <w:keepLines w:val="0"/>
        <w:pageBreakBefore w:val="0"/>
        <w:widowControl w:val="0"/>
        <w:kinsoku/>
        <w:wordWrap/>
        <w:overflowPunct/>
        <w:topLinePunct w:val="0"/>
        <w:autoSpaceDE/>
        <w:autoSpaceDN/>
        <w:bidi w:val="0"/>
        <w:snapToGrid w:val="0"/>
        <w:spacing w:line="600" w:lineRule="exact"/>
        <w:ind w:firstLineChars="200" w:firstLine="640"/>
        <w:textAlignment w:val="auto"/>
        <w:rPr>
          <w:rFonts w:ascii="Times New Roman" w:eastAsia="仿宋_GB2312" w:cs="Times New Roman" w:hAnsi="Times New Roman"/>
          <w:color w:val="auto"/>
          <w:sz w:val="32"/>
          <w:szCs w:val="32"/>
          <w:u w:val="none"/>
          <w:highlight w:val="auto"/>
        </w:rPr>
      </w:pPr>
      <w:r>
        <w:rPr>
          <w:rFonts w:ascii="Times New Roman" w:eastAsia="仿宋_GB2312" w:cs="Times New Roman" w:hAnsi="Times New Roman" w:hint="eastAsia"/>
          <w:color w:val="auto"/>
          <w:sz w:val="32"/>
          <w:szCs w:val="32"/>
          <w:u w:val="none"/>
          <w:lang w:val="zh-CN" w:eastAsia="zh-CN"/>
          <w:highlight w:val="auto"/>
        </w:rPr>
        <w:t>根据预算绩效管理要求，我单位在年初预算编制阶段，组织对项目开展了预算事前绩效评估，本部门按要求对2024年部门整体支出开展绩效自评，我单位深入贯彻落实二十大关于“全面实施绩效管理”的要求，努力提升本单位绩效预算管理业务水平。主动公开绩效结果，加大资金使用效率，提升政府管理水平。及时告知各部门（科室）部门预算及项目支出进度。</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auto"/>
          <w:kern w:val="0"/>
          <w:sz w:val="32"/>
          <w:szCs w:val="32"/>
          <w:shd w:val="clear" w:color="auto" w:fill="FFFFFF"/>
          <w:lang w:val="zh-CN"/>
          <w:highlight w:val="auto"/>
        </w:rPr>
      </w:pPr>
      <w:r>
        <w:rPr>
          <w:rFonts w:ascii="Times New Roman" w:eastAsia="黑体" w:cs="Times New Roman" w:hAnsi="Times New Roman"/>
          <w:color w:val="auto"/>
          <w:kern w:val="0"/>
          <w:sz w:val="32"/>
          <w:szCs w:val="32"/>
          <w:shd w:val="clear" w:color="auto" w:fill="FFFFFF"/>
          <w:lang w:val="zh-CN" w:eastAsia="zh-CN"/>
          <w:highlight w:val="auto"/>
        </w:rPr>
        <w:t>四、</w:t>
      </w:r>
      <w:r>
        <w:rPr>
          <w:rFonts w:ascii="Times New Roman" w:eastAsia="黑体" w:cs="Times New Roman" w:hAnsi="Times New Roman"/>
          <w:color w:val="auto"/>
          <w:kern w:val="0"/>
          <w:sz w:val="32"/>
          <w:szCs w:val="32"/>
          <w:shd w:val="clear" w:color="auto" w:fill="FFFFFF"/>
          <w:lang w:val="zh-CN"/>
          <w:highlight w:val="auto"/>
        </w:rPr>
        <w:t>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outlineLvl w:val="9"/>
        <w:rPr>
          <w:rFonts w:ascii="Times New Roman" w:eastAsia="楷体_GB2312" w:cs="Times New Roman" w:hAnsi="Times New Roman"/>
          <w:b/>
          <w:bCs/>
          <w:color w:val="auto"/>
          <w:kern w:val="0"/>
          <w:sz w:val="32"/>
          <w:szCs w:val="32"/>
          <w:shd w:val="clear" w:color="auto" w:fill="FFFFFF"/>
          <w:lang w:val="zh-CN"/>
          <w:highlight w:val="auto"/>
        </w:rPr>
      </w:pPr>
      <w:r>
        <w:rPr>
          <w:rFonts w:ascii="Times New Roman" w:eastAsia="楷体_GB2312" w:cs="Times New Roman" w:hAnsi="Times New Roman"/>
          <w:b/>
          <w:bCs/>
          <w:color w:val="auto"/>
          <w:kern w:val="0"/>
          <w:sz w:val="32"/>
          <w:szCs w:val="32"/>
          <w:shd w:val="clear" w:color="auto" w:fill="FFFFFF"/>
          <w:lang w:val="zh-CN"/>
          <w:highlight w:val="auto"/>
        </w:rPr>
        <w:t>（一）评价结论。</w:t>
      </w:r>
    </w:p>
    <w:p>
      <w:pPr>
        <w:keepNext w:val="0"/>
        <w:keepLines w:val="0"/>
        <w:pageBreakBefore w:val="0"/>
        <w:widowControl/>
        <w:kinsoku/>
        <w:wordWrap/>
        <w:overflowPunct/>
        <w:topLinePunct w:val="0"/>
        <w:bidi w:val="0"/>
        <w:adjustRightInd w:val="0"/>
        <w:snapToGrid w:val="0"/>
        <w:spacing w:line="560" w:lineRule="exact"/>
        <w:ind w:firstLineChars="200" w:firstLine="640"/>
        <w:contextualSpacing/>
        <w:jc w:val="left"/>
        <w:textAlignment w:val="auto"/>
        <w:rPr>
          <w:rFonts w:ascii="Times New Roman" w:eastAsia="仿宋_GB2312" w:cs="Times New Roman" w:hAnsi="Times New Roman"/>
          <w:color w:val="auto"/>
          <w:kern w:val="0"/>
          <w:sz w:val="32"/>
          <w:szCs w:val="32"/>
          <w:shd w:val="clear" w:color="auto" w:fill="FFFFFF"/>
          <w:lang w:val="zh-CN"/>
        </w:rPr>
      </w:pPr>
      <w:r>
        <w:rPr>
          <w:rFonts w:ascii="Times New Roman" w:eastAsia="仿宋_GB2312" w:cs="Times New Roman" w:hAnsi="Times New Roman"/>
          <w:bCs/>
          <w:color w:val="auto"/>
          <w:kern w:val="0"/>
          <w:sz w:val="32"/>
          <w:szCs w:val="32"/>
          <w:shd w:val="clear" w:color="auto" w:fill="FFFFFF"/>
          <w:lang w:val="zh-CN" w:eastAsia="zh-CN"/>
        </w:rPr>
        <w:t>我</w:t>
      </w:r>
      <w:r>
        <w:rPr>
          <w:rFonts w:cs="Times New Roman" w:hint="eastAsia"/>
          <w:bCs/>
          <w:color w:val="auto"/>
          <w:kern w:val="0"/>
          <w:sz w:val="32"/>
          <w:szCs w:val="32"/>
          <w:shd w:val="clear" w:color="auto" w:fill="FFFFFF"/>
          <w:lang w:val="zh-CN" w:eastAsia="zh-CN"/>
        </w:rPr>
        <w:t>乡</w:t>
      </w:r>
      <w:r>
        <w:rPr>
          <w:rFonts w:ascii="Times New Roman" w:eastAsia="仿宋_GB2312" w:cs="Times New Roman" w:hAnsi="Times New Roman"/>
          <w:bCs/>
          <w:color w:val="auto"/>
          <w:kern w:val="0"/>
          <w:sz w:val="32"/>
          <w:szCs w:val="32"/>
          <w:shd w:val="clear" w:color="auto" w:fill="FFFFFF"/>
          <w:lang w:val="zh-CN" w:eastAsia="zh-CN"/>
        </w:rPr>
        <w:t>对</w:t>
      </w:r>
      <w:r>
        <w:rPr>
          <w:rFonts w:cs="Times New Roman" w:hint="eastAsia"/>
          <w:bCs/>
          <w:color w:val="auto"/>
          <w:kern w:val="0"/>
          <w:sz w:val="32"/>
          <w:szCs w:val="32"/>
          <w:shd w:val="clear" w:color="auto" w:fill="FFFFFF"/>
          <w:lang w:val="zh-CN" w:eastAsia="zh-CN"/>
        </w:rPr>
        <w:t>2024</w:t>
      </w:r>
      <w:r>
        <w:rPr>
          <w:rFonts w:ascii="Times New Roman" w:eastAsia="仿宋_GB2312" w:cs="Times New Roman" w:hAnsi="Times New Roman"/>
          <w:bCs/>
          <w:color w:val="auto"/>
          <w:kern w:val="0"/>
          <w:sz w:val="32"/>
          <w:szCs w:val="32"/>
          <w:shd w:val="clear" w:color="auto" w:fill="FFFFFF"/>
          <w:lang w:val="zh-CN" w:eastAsia="zh-CN"/>
        </w:rPr>
        <w:t>年度整体支出情况开展自评，得分</w:t>
      </w:r>
      <w:r>
        <w:rPr>
          <w:rFonts w:eastAsia="仿宋_GB2312" w:cs="Times New Roman" w:hint="eastAsia"/>
          <w:bCs/>
          <w:color w:val="auto"/>
          <w:kern w:val="0"/>
          <w:sz w:val="32"/>
          <w:szCs w:val="32"/>
          <w:shd w:val="clear" w:color="auto" w:fill="FFFFFF"/>
          <w:lang w:val="en-US" w:eastAsia="zh-CN"/>
        </w:rPr>
        <w:t>9</w:t>
      </w:r>
      <w:r>
        <w:rPr>
          <w:rFonts w:cs="Times New Roman" w:hint="eastAsia"/>
          <w:bCs/>
          <w:color w:val="auto"/>
          <w:kern w:val="0"/>
          <w:sz w:val="32"/>
          <w:szCs w:val="32"/>
          <w:shd w:val="clear" w:color="auto" w:fill="FFFFFF"/>
          <w:lang w:val="en-US" w:eastAsia="zh-CN"/>
        </w:rPr>
        <w:t>4</w:t>
      </w:r>
      <w:r>
        <w:rPr>
          <w:rFonts w:ascii="Times New Roman" w:eastAsia="仿宋_GB2312" w:cs="Times New Roman" w:hAnsi="Times New Roman"/>
          <w:bCs/>
          <w:color w:val="auto"/>
          <w:kern w:val="0"/>
          <w:sz w:val="32"/>
          <w:szCs w:val="32"/>
          <w:shd w:val="clear" w:color="auto" w:fill="FFFFFF"/>
          <w:lang w:val="zh-CN" w:eastAsia="zh-CN"/>
        </w:rPr>
        <w:t>分。从总体性分析评价，全年整体支出较优，实现了年初绩效目标。从结构性分析评价，一般公共预算基本支出完成预算的</w:t>
      </w:r>
      <w:r>
        <w:rPr>
          <w:rFonts w:eastAsia="仿宋_GB2312" w:cs="Times New Roman" w:hint="eastAsia"/>
          <w:bCs/>
          <w:color w:val="auto"/>
          <w:kern w:val="0"/>
          <w:sz w:val="32"/>
          <w:szCs w:val="32"/>
          <w:shd w:val="clear" w:color="auto" w:fill="FFFFFF"/>
          <w:lang w:val="en-US" w:eastAsia="zh-CN"/>
        </w:rPr>
        <w:t>100</w:t>
      </w:r>
      <w:r>
        <w:rPr>
          <w:rFonts w:ascii="Times New Roman" w:eastAsia="仿宋_GB2312" w:cs="Times New Roman" w:hAnsi="Times New Roman"/>
          <w:bCs/>
          <w:color w:val="auto"/>
          <w:kern w:val="0"/>
          <w:sz w:val="32"/>
          <w:szCs w:val="32"/>
          <w:shd w:val="clear" w:color="auto" w:fill="FFFFFF"/>
          <w:lang w:val="zh-CN" w:eastAsia="zh-CN"/>
        </w:rPr>
        <w:t>%，绩效目标实际实现程度与预期目标的偏离度为</w:t>
      </w:r>
      <w:r>
        <w:rPr>
          <w:rFonts w:eastAsia="仿宋_GB2312" w:cs="Times New Roman" w:hint="eastAsia"/>
          <w:bCs/>
          <w:color w:val="auto"/>
          <w:kern w:val="0"/>
          <w:sz w:val="32"/>
          <w:szCs w:val="32"/>
          <w:shd w:val="clear" w:color="auto" w:fill="FFFFFF"/>
          <w:lang w:val="zh-CN" w:eastAsia="zh-CN"/>
        </w:rPr>
        <w:t>持平</w:t>
      </w:r>
      <w:r>
        <w:rPr>
          <w:rFonts w:ascii="Times New Roman" w:eastAsia="仿宋_GB2312" w:cs="Times New Roman" w:hAnsi="Times New Roman"/>
          <w:bCs/>
          <w:color w:val="auto"/>
          <w:kern w:val="0"/>
          <w:sz w:val="32"/>
          <w:szCs w:val="32"/>
          <w:shd w:val="clear" w:color="auto" w:fill="FFFFFF"/>
          <w:lang w:val="zh-CN" w:eastAsia="zh-CN"/>
        </w:rPr>
        <w:t>，整体绩效管理合理合规；一般公共预算项目支出完成预算的</w:t>
      </w:r>
      <w:r>
        <w:rPr>
          <w:rFonts w:eastAsia="仿宋_GB2312" w:cs="Times New Roman" w:hint="eastAsia"/>
          <w:bCs/>
          <w:color w:val="auto"/>
          <w:kern w:val="0"/>
          <w:sz w:val="32"/>
          <w:szCs w:val="32"/>
          <w:shd w:val="clear" w:color="auto" w:fill="FFFFFF"/>
          <w:lang w:val="en-US" w:eastAsia="zh-CN"/>
        </w:rPr>
        <w:t>100</w:t>
      </w:r>
      <w:r>
        <w:rPr>
          <w:rFonts w:ascii="Times New Roman" w:eastAsia="仿宋_GB2312" w:cs="Times New Roman" w:hAnsi="Times New Roman"/>
          <w:bCs/>
          <w:color w:val="auto"/>
          <w:kern w:val="0"/>
          <w:sz w:val="32"/>
          <w:szCs w:val="32"/>
          <w:shd w:val="clear" w:color="auto" w:fill="FFFFFF"/>
          <w:lang w:val="zh-CN" w:eastAsia="zh-CN"/>
        </w:rPr>
        <w:t>%，绩效目标实际实现程度与预期目标的偏离度为</w:t>
      </w:r>
      <w:r>
        <w:rPr>
          <w:rFonts w:eastAsia="仿宋_GB2312" w:cs="Times New Roman" w:hint="eastAsia"/>
          <w:bCs/>
          <w:color w:val="auto"/>
          <w:kern w:val="0"/>
          <w:sz w:val="32"/>
          <w:szCs w:val="32"/>
          <w:shd w:val="clear" w:color="auto" w:fill="FFFFFF"/>
          <w:lang w:val="zh-CN" w:eastAsia="zh-CN"/>
        </w:rPr>
        <w:t>持平</w:t>
      </w:r>
      <w:r>
        <w:rPr>
          <w:rFonts w:ascii="Times New Roman" w:eastAsia="仿宋_GB2312" w:cs="Times New Roman" w:hAnsi="Times New Roman"/>
          <w:bCs/>
          <w:color w:val="auto"/>
          <w:kern w:val="0"/>
          <w:sz w:val="32"/>
          <w:szCs w:val="32"/>
          <w:shd w:val="clear" w:color="auto" w:fill="FFFFFF"/>
          <w:lang w:val="zh-CN" w:eastAsia="zh-CN"/>
        </w:rPr>
        <w:t>，整体绩效管理合理合规。</w:t>
      </w:r>
      <w:r>
        <w:rPr>
          <w:rFonts w:cs="Times New Roman" w:hint="eastAsia"/>
          <w:bCs/>
          <w:color w:val="auto"/>
          <w:kern w:val="0"/>
          <w:sz w:val="32"/>
          <w:szCs w:val="32"/>
          <w:shd w:val="clear" w:color="auto" w:fill="FFFFFF"/>
          <w:lang w:val="zh-CN" w:eastAsia="zh-CN"/>
        </w:rPr>
        <w:t>2024</w:t>
      </w:r>
      <w:r>
        <w:rPr>
          <w:rFonts w:ascii="Times New Roman" w:eastAsia="仿宋_GB2312" w:cs="Times New Roman" w:hAnsi="Times New Roman"/>
          <w:bCs/>
          <w:color w:val="auto"/>
          <w:kern w:val="0"/>
          <w:sz w:val="32"/>
          <w:szCs w:val="32"/>
          <w:shd w:val="clear" w:color="auto" w:fill="FFFFFF"/>
          <w:lang w:val="zh-CN" w:eastAsia="zh-CN"/>
        </w:rPr>
        <w:t>年度整体支出绩效评价优好，无违纪违规问题，预算编制、预算执行、完成结果等均达到既定目标管理。</w:t>
      </w:r>
    </w:p>
    <w:p>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Times New Roman" w:eastAsia="楷体_GB2312" w:cs="Times New Roman" w:hAnsi="Times New Roman"/>
          <w:b/>
          <w:bCs/>
          <w:color w:val="auto"/>
          <w:kern w:val="0"/>
          <w:sz w:val="32"/>
          <w:szCs w:val="32"/>
          <w:shd w:val="clear" w:color="auto" w:fill="FFFFFF"/>
          <w:lang w:val="zh-CN"/>
          <w:highlight w:val="auto"/>
        </w:rPr>
      </w:pPr>
      <w:r>
        <w:rPr>
          <w:rFonts w:ascii="Times New Roman" w:eastAsia="楷体_GB2312" w:cs="Times New Roman" w:hAnsi="Times New Roman"/>
          <w:b/>
          <w:bCs/>
          <w:color w:val="auto"/>
          <w:kern w:val="0"/>
          <w:sz w:val="32"/>
          <w:szCs w:val="32"/>
          <w:shd w:val="clear" w:color="auto" w:fill="FFFFFF"/>
          <w:lang w:val="zh-CN"/>
          <w:highlight w:val="auto"/>
        </w:rPr>
        <w:t>存在问题。</w:t>
      </w:r>
    </w:p>
    <w:p>
      <w:pPr>
        <w:keepNext w:val="0"/>
        <w:keepLines w:val="0"/>
        <w:pageBreakBefore w:val="0"/>
        <w:widowControl/>
        <w:kinsoku/>
        <w:wordWrap/>
        <w:overflowPunct/>
        <w:topLinePunct w:val="0"/>
        <w:bidi w:val="0"/>
        <w:adjustRightInd w:val="0"/>
        <w:snapToGrid w:val="0"/>
        <w:spacing w:line="560" w:lineRule="exact"/>
        <w:ind w:firstLineChars="200" w:firstLine="640"/>
        <w:contextualSpacing/>
        <w:jc w:val="left"/>
        <w:textAlignment w:val="auto"/>
        <w:rPr>
          <w:rFonts w:ascii="Times New Roman" w:eastAsia="仿宋_GB2312" w:cs="Times New Roman" w:hAnsi="Times New Roman"/>
          <w:bCs/>
          <w:color w:val="auto"/>
          <w:kern w:val="0"/>
          <w:sz w:val="32"/>
          <w:szCs w:val="32"/>
          <w:shd w:val="clear" w:color="auto" w:fill="FFFFFF"/>
          <w:lang w:val="zh-CN" w:eastAsia="zh-CN"/>
        </w:rPr>
      </w:pPr>
      <w:r>
        <w:rPr>
          <w:rFonts w:ascii="Times New Roman" w:eastAsia="仿宋_GB2312" w:cs="Times New Roman" w:hAnsi="Times New Roman"/>
          <w:bCs/>
          <w:color w:val="auto"/>
          <w:kern w:val="0"/>
          <w:sz w:val="32"/>
          <w:szCs w:val="32"/>
          <w:shd w:val="clear" w:color="auto" w:fill="FFFFFF"/>
          <w:lang w:val="zh-CN" w:eastAsia="zh-CN"/>
        </w:rPr>
        <w:t>个别人员经费和公用经费测算标准及套用公式不够科学精准，部分经济科目在预算执行中存在较早亮红灯</w:t>
      </w:r>
      <w:r>
        <w:rPr>
          <w:rFonts w:ascii="Times New Roman" w:eastAsia="仿宋_GB2312" w:cs="Times New Roman" w:hAnsi="Times New Roman" w:hint="eastAsia"/>
          <w:bCs/>
          <w:color w:val="auto"/>
          <w:kern w:val="0"/>
          <w:sz w:val="32"/>
          <w:szCs w:val="32"/>
          <w:shd w:val="clear" w:color="auto" w:fill="FFFFFF"/>
          <w:lang w:val="zh-CN" w:eastAsia="zh-CN"/>
        </w:rPr>
        <w:t>，预算经费支出进度较快</w:t>
      </w:r>
      <w:r>
        <w:rPr>
          <w:rFonts w:ascii="Times New Roman" w:eastAsia="仿宋_GB2312" w:cs="Times New Roman" w:hAnsi="Times New Roman"/>
          <w:bCs/>
          <w:color w:val="auto"/>
          <w:kern w:val="0"/>
          <w:sz w:val="32"/>
          <w:szCs w:val="32"/>
          <w:shd w:val="clear" w:color="auto" w:fill="FFFFFF"/>
          <w:lang w:val="zh-CN" w:eastAsia="zh-CN"/>
        </w:rPr>
        <w:t>。</w:t>
      </w:r>
    </w:p>
    <w:p>
      <w:pPr>
        <w:keepNext w:val="0"/>
        <w:keepLines w:val="0"/>
        <w:pageBreakBefore w:val="0"/>
        <w:widowControl/>
        <w:numPr>
          <w:ilvl w:val="0"/>
          <w:numId w:val="5"/>
        </w:numPr>
        <w:kinsoku/>
        <w:wordWrap/>
        <w:overflowPunct/>
        <w:topLinePunct w:val="0"/>
        <w:bidi w:val="0"/>
        <w:adjustRightInd w:val="0"/>
        <w:snapToGrid w:val="0"/>
        <w:spacing w:line="560" w:lineRule="exact"/>
        <w:ind w:left="0" w:firstLineChars="200" w:firstLine="640"/>
        <w:contextualSpacing/>
        <w:jc w:val="left"/>
        <w:textAlignment w:val="auto"/>
        <w:rPr>
          <w:rFonts w:ascii="Times New Roman" w:eastAsia="楷体_GB2312" w:cs="Times New Roman" w:hAnsi="Times New Roman"/>
          <w:b/>
          <w:bCs/>
          <w:color w:val="auto"/>
          <w:kern w:val="0"/>
          <w:sz w:val="32"/>
          <w:szCs w:val="32"/>
          <w:shd w:val="clear" w:color="auto" w:fill="FFFFFF"/>
          <w:lang w:val="zh-CN" w:eastAsia="zh-CN"/>
          <w:highlight w:val="auto"/>
        </w:rPr>
      </w:pPr>
      <w:r>
        <w:rPr>
          <w:rFonts w:ascii="Times New Roman" w:eastAsia="楷体_GB2312" w:cs="Times New Roman" w:hAnsi="Times New Roman"/>
          <w:b/>
          <w:bCs/>
          <w:color w:val="auto"/>
          <w:kern w:val="0"/>
          <w:sz w:val="32"/>
          <w:szCs w:val="32"/>
          <w:shd w:val="clear" w:color="auto" w:fill="FFFFFF"/>
          <w:lang w:val="zh-CN" w:eastAsia="zh-CN"/>
          <w:highlight w:val="auto"/>
        </w:rPr>
        <w:t>改进建议。</w:t>
      </w:r>
    </w:p>
    <w:p>
      <w:pPr>
        <w:keepNext w:val="0"/>
        <w:keepLines w:val="0"/>
        <w:pageBreakBefore w:val="0"/>
        <w:widowControl/>
        <w:kinsoku/>
        <w:wordWrap/>
        <w:overflowPunct/>
        <w:topLinePunct w:val="0"/>
        <w:bidi w:val="0"/>
        <w:adjustRightInd w:val="0"/>
        <w:snapToGrid w:val="0"/>
        <w:spacing w:line="560" w:lineRule="exact"/>
        <w:ind w:firstLineChars="200" w:firstLine="640"/>
        <w:contextualSpacing/>
        <w:jc w:val="left"/>
        <w:textAlignment w:val="auto"/>
        <w:rPr>
          <w:rFonts w:ascii="Times New Roman" w:eastAsia="仿宋_GB2312" w:cs="Times New Roman" w:hAnsi="Times New Roman"/>
          <w:bCs/>
          <w:color w:val="auto"/>
          <w:kern w:val="0"/>
          <w:sz w:val="32"/>
          <w:szCs w:val="32"/>
          <w:shd w:val="clear" w:color="auto" w:fill="FFFFFF"/>
          <w:lang w:val="zh-CN" w:eastAsia="zh-CN"/>
        </w:rPr>
      </w:pPr>
      <w:r>
        <w:rPr>
          <w:rFonts w:ascii="Times New Roman" w:eastAsia="仿宋_GB2312" w:cs="Times New Roman" w:hAnsi="Times New Roman"/>
          <w:bCs/>
          <w:color w:val="auto"/>
          <w:kern w:val="0"/>
          <w:sz w:val="32"/>
          <w:szCs w:val="32"/>
          <w:shd w:val="clear" w:color="auto" w:fill="FFFFFF"/>
          <w:lang w:val="zh-CN" w:eastAsia="zh-CN"/>
        </w:rPr>
        <w:t>我</w:t>
      </w:r>
      <w:r>
        <w:rPr>
          <w:rFonts w:cs="Times New Roman" w:hint="eastAsia"/>
          <w:bCs/>
          <w:color w:val="auto"/>
          <w:kern w:val="0"/>
          <w:sz w:val="32"/>
          <w:szCs w:val="32"/>
          <w:shd w:val="clear" w:color="auto" w:fill="FFFFFF"/>
          <w:lang w:val="zh-CN" w:eastAsia="zh-CN"/>
        </w:rPr>
        <w:t>乡</w:t>
      </w:r>
      <w:r>
        <w:rPr>
          <w:rFonts w:ascii="Times New Roman" w:eastAsia="仿宋_GB2312" w:cs="Times New Roman" w:hAnsi="Times New Roman"/>
          <w:bCs/>
          <w:color w:val="auto"/>
          <w:kern w:val="0"/>
          <w:sz w:val="32"/>
          <w:szCs w:val="32"/>
          <w:shd w:val="clear" w:color="auto" w:fill="FFFFFF"/>
          <w:lang w:val="zh-CN" w:eastAsia="zh-CN"/>
        </w:rPr>
        <w:t>将积极对接财政部门作出技术调整，优化预算测算标准，科学审批年度预算汇编，使资金真正能够因地制宜，发挥实效。进一步做好预算编制前提调研准备工作，根据实际需要积极评估测算，尽量</w:t>
      </w:r>
      <w:r>
        <w:rPr>
          <w:rFonts w:cs="Times New Roman" w:hint="eastAsia"/>
          <w:bCs/>
          <w:color w:val="auto"/>
          <w:kern w:val="0"/>
          <w:sz w:val="32"/>
          <w:szCs w:val="32"/>
          <w:shd w:val="clear" w:color="auto" w:fill="FFFFFF"/>
          <w:lang w:val="zh-CN" w:eastAsia="zh-CN"/>
        </w:rPr>
        <w:t>增加</w:t>
      </w:r>
      <w:r>
        <w:rPr>
          <w:rFonts w:ascii="Times New Roman" w:eastAsia="仿宋_GB2312" w:cs="Times New Roman" w:hAnsi="Times New Roman"/>
          <w:bCs/>
          <w:color w:val="auto"/>
          <w:kern w:val="0"/>
          <w:sz w:val="32"/>
          <w:szCs w:val="32"/>
          <w:shd w:val="clear" w:color="auto" w:fill="FFFFFF"/>
          <w:lang w:val="zh-CN" w:eastAsia="zh-CN"/>
        </w:rPr>
        <w:t>减轻资金闲置或低使用率现象，启用预算执行绩效监控机制，及时提示项目管理部门按照绩效目标开展实施。</w:t>
      </w:r>
    </w:p>
    <w:p>
      <w:pPr>
        <w:pStyle w:val="18"/>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ascii="Times New Roman" w:eastAsia="仿宋_GB2312" w:cs="Times New Roman" w:hAnsi="Times New Roman" w:hint="eastAsia"/>
          <w:color w:val="auto"/>
          <w:kern w:val="2"/>
          <w:sz w:val="32"/>
          <w:szCs w:val="32"/>
          <w:u w:val="none"/>
          <w:lang w:val="zh-CN" w:eastAsia="zh-CN"/>
        </w:rPr>
      </w:pPr>
      <w:r>
        <w:rPr>
          <w:rFonts w:ascii="Times New Roman" w:eastAsia="仿宋_GB2312" w:cs="Times New Roman" w:hAnsi="Times New Roman" w:hint="eastAsia"/>
          <w:color w:val="auto"/>
          <w:kern w:val="2"/>
          <w:sz w:val="32"/>
          <w:szCs w:val="32"/>
          <w:u w:val="none"/>
          <w:lang w:val="zh-CN" w:eastAsia="zh-CN"/>
        </w:rPr>
        <w:t>附表：</w:t>
      </w:r>
      <w:r>
        <w:rPr>
          <w:rFonts w:ascii="Times New Roman" w:eastAsia="仿宋_GB2312" w:cs="Times New Roman" w:hAnsi="Times New Roman" w:hint="eastAsia"/>
          <w:color w:val="auto"/>
          <w:kern w:val="2"/>
          <w:sz w:val="32"/>
          <w:szCs w:val="32"/>
          <w:u w:val="none"/>
          <w:lang w:val="en-US" w:eastAsia="zh-CN"/>
        </w:rPr>
        <w:t>部门预算项目支出绩效自评表（2024年度）</w:t>
      </w:r>
    </w:p>
    <w:p>
      <w:pPr>
        <w:pStyle w:val="18"/>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ascii="Times New Roman" w:eastAsia="仿宋_GB2312" w:cs="仿宋_GB2312" w:hAnsi="Times New Roman" w:hint="eastAsia"/>
          <w:b w:val="0"/>
          <w:bCs w:val="0"/>
          <w:color w:val="auto"/>
          <w:kern w:val="0"/>
          <w:position w:val="0"/>
          <w:sz w:val="32"/>
          <w:szCs w:val="32"/>
          <w:lang w:val="zh-CN" w:eastAsia="zh-CN" w:bidi="ar-SA"/>
          <w:highlight w:val="auto"/>
        </w:rPr>
      </w:pPr>
      <w:r>
        <w:rPr>
          <w:rFonts w:ascii="Times New Roman" w:eastAsia="仿宋_GB2312" w:cs="仿宋_GB2312" w:hAnsi="Times New Roman" w:hint="eastAsia"/>
          <w:b w:val="0"/>
          <w:bCs w:val="0"/>
          <w:color w:val="auto"/>
          <w:kern w:val="0"/>
          <w:position w:val="0"/>
          <w:sz w:val="32"/>
          <w:szCs w:val="32"/>
          <w:lang w:val="en-US" w:eastAsia="zh-CN" w:bidi="ar-SA"/>
          <w:highlight w:val="auto"/>
        </w:rPr>
        <w:t>（注：按照绩效自评工作安排，各部门已在预算管理一体化系统绩效自评模块上传“部门预算项目支出绩效自评表（2024年度）”，该表格应作为附表予以公开）</w:t>
      </w:r>
    </w:p>
    <w:tbl>
      <w:tblPr>
        <w:jc w:val="left"/>
        <w:tblInd w:w="93" w:type="dxa"/>
        <w:tblW w:w="93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25"/>
        <w:gridCol w:w="1500"/>
        <w:gridCol w:w="1320"/>
        <w:gridCol w:w="1590"/>
        <w:gridCol w:w="521"/>
        <w:gridCol w:w="810"/>
        <w:gridCol w:w="390"/>
        <w:gridCol w:w="795"/>
        <w:gridCol w:w="505"/>
        <w:gridCol w:w="456"/>
        <w:gridCol w:w="960"/>
      </w:tblGrid>
      <w:tr>
        <w:trPr>
          <w:trHeight w:val="407"/>
        </w:trPr>
        <w:tc>
          <w:tcPr>
            <w:tcW w:w="4935"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20"/>
                <w:szCs w:val="20"/>
                <w:u w:val="none"/>
              </w:rPr>
            </w:pPr>
            <w:r>
              <w:rPr>
                <w:rFonts w:ascii="宋体" w:eastAsia="宋体" w:cs="宋体"/>
                <w:i w:val="0"/>
                <w:iCs w:val="0"/>
                <w:color w:val="auto"/>
                <w:kern w:val="0"/>
                <w:sz w:val="20"/>
                <w:szCs w:val="20"/>
                <w:u w:val="none"/>
                <w:lang w:val="en-US" w:eastAsia="zh-CN"/>
              </w:rPr>
              <w:t>报表编号：510000_0013zp</w:t>
            </w: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22"/>
                <w:szCs w:val="22"/>
                <w:u w:val="none"/>
              </w:rPr>
            </w:pPr>
          </w:p>
        </w:tc>
        <w:tc>
          <w:tcPr>
            <w:tcW w:w="1995" w:type="dxa"/>
            <w:gridSpan w:val="3"/>
            <w:tcBorders>
              <w:top w:val="nil"/>
              <w:left w:val="nil"/>
              <w:bottom w:val="nil"/>
              <w:right w:val="nil"/>
            </w:tcBorders>
            <w:shd w:val="clear" w:color="auto" w:fill="auto"/>
            <w:noWrap/>
            <w:vAlign w:val="center"/>
          </w:tcPr>
          <w:p>
            <w:pPr>
              <w:rPr>
                <w:rFonts w:ascii="宋体" w:eastAsia="宋体" w:cs="宋体" w:hint="eastAsia"/>
                <w:i w:val="0"/>
                <w:iCs w:val="0"/>
                <w:color w:val="auto"/>
                <w:sz w:val="20"/>
                <w:szCs w:val="20"/>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22"/>
                <w:szCs w:val="22"/>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22"/>
                <w:szCs w:val="22"/>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22"/>
                <w:szCs w:val="22"/>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51000021Y000000011490-日常公用经费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提高预算编制质量，严格执行预算，保障单位日常运转。</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21.81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21.48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21.48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21.81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21.48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21.48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科目调整次数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67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预算编制准确率（计算方法为：∣（执行数-预算数）/预算数∣）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904"/>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“三公经费”控制率[计算方法为：（三公经费实际支出数/预算安排数]×100%）</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运转保障率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51322622R000000307551-其他社会保障缴费（失业保险）</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51322622R000000307567-其他社会保障缴费（工伤保险）</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51322622R000000307571-其他社会保障缴费（残疾人就业保障金）</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4.59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4.33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4.33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4.59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4.33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4.33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51322622R000000307882-住房公积金（职工）</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39.94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39.78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39.78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39.94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39.78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39.78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51322622R000000308399-生活补助（遗嘱人员）</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3.62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3.62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51322622R000000308424-春节慰问金</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1.65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1.65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51322622R000000308426-村社干部补助</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102.52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105.82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105.82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102.52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105.82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105.82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51322623R000007822512-机关事业单位基本养老保险缴费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47.05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46.99</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46.99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47.05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46.99</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46.99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51322623R000007822795-职业年金缴费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23.52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23.52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23.52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23.52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23.52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23.52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51322623R000007823104-职工基本医疗保险缴费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23.30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23.30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23.30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23.30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51322623R000007823488-公务员医疗补助缴费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7.57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7.57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7.57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7.57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7.57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7.57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51322623R000008940976-年度考核奖</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48.83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48.83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48.83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48.83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51322623T000009576028-金川县沙耳乡沙尔尼村乡村振兴示范村综合提升项目</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沙耳乡沙耳尼村新建民宿一处，600平方米，该项目建于沙耳乡沙尔尼村，旅游资源丰富，该项目建设能够改善该村的基础设施条件，同时提升该村旅游形象，为该村旅游发展添砖加瓦。</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92.04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92.04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92.04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92.04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民宿面积</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平方米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新建民宿</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座（处）</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按方案进度完成率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发展壮大村集体经济</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67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生态效益指标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该村的整体面貌，美化人居环境和村容村貌，减少环境的污染</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定性</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好坏</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auto"/>
                <w:sz w:val="18"/>
                <w:szCs w:val="18"/>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项目投入资金</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210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51322623T000009894429-沙耳乡环境卫生综合整治经费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904"/>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为迎接建州70周年，切实加强全乡环境卫生综合整治，着力改善脏乱差的现象，全面保证干净、整洁的环境卫生，沙耳乡全面清理村庄内外、道路两侧、沟渠内及周边积存拉圾杂物，旅游厕所设施维修维护，营造干净通畅、整齐清洁的农村人居环境。</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标识标牌</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个</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全乡环境卫生综合整治次数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按合同完成率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发展旅游业，实现群众增收</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元/人</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沙耳乡环境卫生综合整治经费</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51322623T000009894488-金川县沙耳乡丹扎木村节能亮化项目</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该项目建于沙耳乡丹扎木村，旅游资源丰富，该项目建设能够改善该村的基础设施条件，美化人居环境和村容村貌，同时提升该村形象，为该村旅游发展添砖加瓦。该项目建设十分有必要。</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54.00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51.60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95.56%</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54.00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51.60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95.56%</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安装太阳能路灯</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盏</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按合同完成率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美化人居环境</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生态效益指标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太阳能路灯节能指标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成本控制</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4500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元/台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51322623T000009894500-金川县沙耳乡丹扎木村乡村产业道路建设项目</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904"/>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通过金川县沙耳乡丹扎木村乡村产业道路建设项目示范引领周边群众发展打造特色产业经济，提升产业道路基础设施条件，全力发展乡村特色产业，壮大村级集体经济，因此，金川县沙耳乡丹扎木村乡村产业道路建设项目是十分必要的。</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56.00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46.30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82.69%</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56.00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46.30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82.69%</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道路提升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新建乡村道路</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860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按合同完成率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提升产业道路基础设施</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项目投入资金</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56</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51322623T000009894508-金川县沙耳乡克尔玛村赵家梁滑坡治理项目</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希望通过金川县沙耳乡克尔玛村赵家梁滑坡治理项目示范引领周边群众发展打造特色产业经济，提升游客旅游体验环境，完善基础设施建设，全力发展乡村旅游业，因此，金川县沙耳乡克尔玛村赵家梁滑坡治理项目是十分必要的。</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61.76</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61.76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31.76</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31.76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新建挡土墙和被动防护网高度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新建挡土墙和被动防护网长度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按合同进度完成率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发展旅游业，实现群众增收</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元/人</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项目资金投入</w:t>
            </w:r>
          </w:p>
        </w:tc>
        <w:tc>
          <w:tcPr>
            <w:tcW w:w="52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17595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2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51322624R000010329662-三老干部生活补助</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4.32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4.16</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4.32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4.16</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51322624R000010562265-在职在编人员基本工资</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86.19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90.07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90.07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86.19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90.07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90.07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51322624R000010567592-年终一次性奖金（行政）</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7.18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7.64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7.64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7.18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7.64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7.64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51322624R000010568356-公务员规范津贴补贴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67.29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69.57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69.57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67.29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69.57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69.57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51322624R000010570295-基础绩效奖（行政）</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73.54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75.66</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75.66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73.54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75.66</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75.66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51322624R000010571106-艰苦边远地区津贴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31.67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32.62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32.62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31.67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32.62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32.62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51322624R000010571424-高海拔地区折算工龄补贴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51322624R000010571692-乡镇工作补贴（行政）</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24.00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25.52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25.52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24.00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25.52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25.52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51322624R000010574781-其他工资性支出</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1.44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1.44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51322624R000011908631-退休人员建房补助</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51322624T000010174323-基层组织活动和公共服务运行经费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904"/>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切实保障基础组织正常开展活动，农村公共服务运行维护和村级办公运转等服务群众的必要支出。规范基层活动和运行经费管理，有利于进一步强化基层组织政治功能和服务功能，有利于夯实党在基层执政的基础和群众基础，有利于提高基层组织引领发展、服务群众的能力和水平。</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66.00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62.00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62.00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66.00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62.00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62.00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召开村民大会会议次数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42</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运行经费资金使用准确率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98</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12月底前资金拨付率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保障村级组织基本运行</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98</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服务对象满意度指标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村社群众满意度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运行成本控制</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51322624T000011158499-2023年度金川县中省国有企业退休人员社会化管理财政补助资</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1130"/>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根据《州国资委关于拨付2023年各县（市）接收央省企业退休人员社会化管理补助经费的函》（阿州国资函〔2023〕5号）、《关于拨付2023年各县市接受中省企业退休人员社会化管理补助经费的函》（阿州财资〔2023〕53号）文件精神，申请下达2023年度金川县中省国有企业退休人员社会化管理财政补助资金260元。</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中省国有企业退休人员人数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人</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资金拨付准确率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12月底拨付率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政策知晓率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服务对象满意度指标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国有企业退休人员满意度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投入资金</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260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51322624T000011586974-金川县沙耳乡文旅融合建设项目</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158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通过项目实施提高经济发展，增加经济收入，带动全村经济发展。项目实施后，继续坚持“利益共联、风险共担、效益共享”的原则，以租赁的方式产生收益，此模式能有效促进村集体经济全面发展壮大，增强示范引领作用，进一步提高经济收益。同时可以推广、辐射至周边农村，进一步推动乡村产业结构的调整，促进产业增效和农民增收,预计每年能为集体经济带来10万元以上收益，为全村村民分红100元以上，梨花节、红叶节等大型节假日期间示范带动收入预计5000元以上。</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6.69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22.31%</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6.69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22.31%</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赔偿青苗、土地构筑物等</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征地数量</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2.276</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亩</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征地图斑数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块</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按合同拨付赔偿率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发展旅游业，实现群众增收</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元/户</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项目资金投入</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51322624T000011686241-金川县沙耳乡山埂子村节能亮化项目</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通过金川县沙耳乡山埂子村节能亮化项目引领周边群众发展打造特色夜间经济，提升游客旅游体验环境，全力发展乡村旅游业，壮大村级集体经济，因此，金川县沙耳乡山埂子村节能亮化项目是十分必要的。</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76.10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95.13%</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76.10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95.13%</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安装太阳能路灯</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160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盏</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1130"/>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垃圾桶</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个（台、套、件、辆）</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项目按合同完成率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67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务工人均增收</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元/人·次</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项目总投资</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51322624T000011857211-金川县沙耳乡马道坪牦牛种养一体化建设项目</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904"/>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实施完成后可改善产业单一、生产生活条件差等现状。因地制宜的发展特色产业，不仅能提高土地的产出效益，且能增加农民收入和脱贫户的收益，带动县域经济的发展，促进畜牧产业资源优势转变为商品经济优势，真正实现有效保护资源、农牧增收的目的。</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81.92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81.92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81.92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81.92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新建围栏长度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5000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新建源头取水池体积</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立方米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新建道路硬化长度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新建蓄水池体积</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立方米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安装水管长度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7000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新建田间作业便道长度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2024年11月30日前完成及时率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2024年8月25日前资金支付率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75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带动周边群众务工收入增收</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元/人</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带动周边群众务工人数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人</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可持续影响指标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项目使用年限</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项目总成本</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51322624T000011985243-金川县沙耳乡克尔玛村通村公路提升项目征地拆迁补偿费用</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修建金川县沙耳乡克尔玛村通村公路替提升项目时占用土地31.36亩（其中承包地23.26亩、占用村集体荒山荒坡8.1亩）。对23.26承包地及地上经济林木和附属物进行补偿。</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123.42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123.42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123.42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123.42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占用村民承包地户数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户（套）</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占用村民承包地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23.26</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亩</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资金拨付准确率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受益群众</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人</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补偿总金额</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123.418</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承包地赔付金额</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30000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元/亩</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51322624T000012070732-金川县乡镇综合服务中心项目征地拆迁补偿费用</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项目建设内容与金川县宏观政策、行业政策、主管单位职能和规划、当年重点工作息息相关；项目具有现实需求，且需求迫切，可缩短出行距离，具有明显的经济、社会、环境及可持续性效益。</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15.05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梨树盛果</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棵</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拆迁房屋</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89.08</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平方米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资金拨付准确率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受益人数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人</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补偿总金额</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142530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实物量调查三方费用</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8000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51322625R000012982792-退休人员建房补助-新</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51322625T000012173062-《沙耳乡志》编纂出版工作经费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通过编修和开发利用《沙耳乡志》，不断满足人民群众精神文化需求，为全面建设“美丽富裕幸福”新金川，助力乡村文化振兴贡献方志力量。绩效指标可量化考核，契合政策，与部门的长期规划目标、年度工作目标相一致。</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编纂《沙耳乡志》册数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编纂内容求实存真、系统全面</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定性</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达到定稿</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auto"/>
                <w:sz w:val="18"/>
                <w:szCs w:val="18"/>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编纂《沙耳乡志》字数要求</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万字</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2025年12月底之前完成编纂出版工作</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不断满足人民群众精神文化需求</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98</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可持续发展指标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留存地方历史文化记忆</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98</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服务对象满意度指标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服务群众对该项工作的满意度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《沙耳乡志》编纂出版经费</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15.2</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51322625T000012179434-沙耳乡实施和监管克尔玛环境综合整治项目</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沙耳乡人民政府办公室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有具体项目实施方案、资金已落实, 建设内容如下：开展乡村环境整治及村道维修200米。</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村道维修</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按合同验收合格率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时效指标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按时完成率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资金支付进度（质保金除外）</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99</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可持续影响指标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可持续影响指标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满意度指标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群众满意度</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成本指标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经济成本指标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项目总投资</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万元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51000021Y000000011490-日常公用经费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提高预算编制质量，严格执行预算，保障单位日常运转。</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科目调整次数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67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预算编制准确率（计算方法为：∣（执行数-预算数）/预算数∣）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904"/>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“三公经费”控制率[计算方法为：（三公经费实际支出数/预算安排数]×100%）</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运转保障率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51322622R000000307567-其他社会保障缴费（工伤保险）</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51322622R000000307882-住房公积金（职工）</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2.29</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2.29</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51322623R000007822512-机关事业单位基本养老保险缴费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51322623R000007822795-职业年金缴费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0.99</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0.99</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51322623R000007823104-职工基本医疗保险缴费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51322623R000007823488-公务员医疗补助缴费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51322623R000008940976-年度考核奖</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1.84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1.84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1.84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1.84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51322624R000010562265-在职在编人员基本工资</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5.20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5.20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51322624R000010568356-公务员规范津贴补贴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3.82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1.91</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1.91</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3.82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1.91</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1.91</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51322624R000010570295-基础绩效奖（行政）</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4.67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4.67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51322624R000010571106-艰苦边远地区津贴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1.79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1.79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51322624R000010571424-高海拔地区折算工龄补贴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51322624R000010571692-乡镇工作补贴（行政）</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0.57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0.57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0.57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0.57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51322624R000010574781-其他工资性支出</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沙耳乡党委办公室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51000021Y000000011490-日常公用经费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提高预算编制质量，严格执行预算，保障单位日常运转。</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0.94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科目调整次数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67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预算编制准确率（计算方法为：∣（执行数-预算数）/预算数∣）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904"/>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“三公经费”控制率[计算方法为：（三公经费实际支出数/预算安排数]×100%）</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运转保障率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51322622R000000307882-住房公积金（职工）</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1.48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1.48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2.20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1.48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1.48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51322623R000007822512-机关事业单位基本养老保险缴费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2.63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2.63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2.63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2.63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2.63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2.63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51322623R000007822795-职业年金缴费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51322623R000007823104-职工基本医疗保险缴费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1.28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51322623R000007823488-公务员医疗补助缴费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0.22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51322623R000008940976-年度考核奖</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1.84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1.84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1.84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1.84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51322624R000010562265-在职在编人员基本工资</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5.26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5.42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5.42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5.26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5.42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5.42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51322624R000010567592-年终一次性奖金（行政）</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0.45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51322624R000010568356-公务员规范津贴补贴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3.61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3.61</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3.61</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3.61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3.61</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3.61</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51322624R000010570295-基础绩效奖（行政）</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4.23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4.23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4.23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4.23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4.23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4.23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51322624R000010571106-艰苦边远地区津贴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1.54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51322624R000010571424-高海拔地区折算工龄补贴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0.16</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0.16</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51322624R000010571692-乡镇工作补贴（行政）</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51322624R000010574781-其他工资性支出</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沙耳乡人大办公室</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0.07</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0.07</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51000021Y000000011490-日常公用经费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提高预算编制质量，严格执行预算，保障单位日常运转。</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13.07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13.05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13.05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13.07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13.05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13.05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科目调整次数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67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质量指标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预算编制准确率（计算方法为：∣（执行数-预算数）/预算数∣）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904"/>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经济效益指标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“三公经费”控制率[计算方法为：（三公经费实际支出数/预算安排数]×100%）</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运转保障率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51322622R000000307551-其他社会保障缴费（失业保险）</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51322622R000000307567-其他社会保障缴费（工伤保险）</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0.33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0.33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0.33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0.33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0.33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0.33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51322622R000000307571-其他社会保障缴费（残疾人就业保障金）</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51322622R000000307882-住房公积金（职工）</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28.54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27.03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27.03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28.54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27.03</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27.03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51322622R000006494124-退休人员一次性退休补贴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3.78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3.78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3.78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3.78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51322623R000007822512-机关事业单位基本养老保险缴费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33.32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27.92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27.92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33.32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27.92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27.92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51322623R000007822795-职业年金缴费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16.66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14.35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14.35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16.66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14.35</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14.35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51322623R000007823104-职工基本医疗保险缴费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16.65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16.86</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16.86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16.65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16.86</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16.86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51322623R000007823488-公务员医疗补助缴费</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3.46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3.88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3.88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3.46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3.88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3.88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51322623R000007823763-奖励金</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0.01</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0.01</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0.01</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0.01</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auto"/>
                <w:sz w:val="18"/>
                <w:szCs w:val="18"/>
                <w:u w:val="none"/>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auto"/>
                <w:sz w:val="18"/>
                <w:szCs w:val="18"/>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auto"/>
                <w:sz w:val="18"/>
                <w:szCs w:val="18"/>
                <w:u w:val="none"/>
              </w:rPr>
            </w:pP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auto"/>
                <w:sz w:val="18"/>
                <w:szCs w:val="18"/>
                <w:u w:val="none"/>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auto"/>
                <w:sz w:val="18"/>
                <w:szCs w:val="18"/>
                <w:u w:val="none"/>
              </w:rPr>
            </w:pP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auto"/>
                <w:sz w:val="18"/>
                <w:szCs w:val="18"/>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90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51322623R000008940976-年度考核奖</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29.38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29.38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29.38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29.38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51322624R000010562265-在职在编人员基本工资</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58.66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61.94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61.94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58.66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61.94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61.94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51322624R000010570025-事业单位绩效工资</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49.18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47.68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47.68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49.18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47.68</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47.68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51322624R000010570573-基础绩效奖（事业）</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52.38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54.32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54.32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52.38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54.32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54.32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51322624R000010570840-年终一次性奖金（事业）</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4.89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5.09</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5.09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4.89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5.09</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5.09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51322624R000010571106-艰苦边远地区津贴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23.68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24.34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24.34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23.68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24.34</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24.34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51322624R000010571424-高海拔地区折算工龄补贴</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0.76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1.92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1.92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0.76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1.92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1.92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51322624R000010571962-乡镇工作补贴（事业）</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17.58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21.41</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21.41</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17.58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21.41</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21.41</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904"/>
        </w:trPr>
        <w:tc>
          <w:tcPr>
            <w:tcW w:w="93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auto"/>
                <w:sz w:val="30"/>
                <w:szCs w:val="30"/>
                <w:u w:val="none"/>
              </w:rPr>
            </w:pPr>
            <w:r>
              <w:rPr>
                <w:rFonts w:ascii="黑体" w:eastAsia="黑体" w:cs="黑体" w:hint="eastAsia"/>
                <w:b/>
                <w:bCs/>
                <w:i w:val="0"/>
                <w:iCs w:val="0"/>
                <w:color w:val="auto"/>
                <w:kern w:val="0"/>
                <w:sz w:val="30"/>
                <w:szCs w:val="30"/>
                <w:u w:val="none"/>
                <w:lang w:val="en-US" w:eastAsia="zh-CN"/>
              </w:rPr>
              <w:t>部门预算项目支出绩效自评表（2024年度）</w:t>
            </w:r>
          </w:p>
        </w:tc>
      </w:tr>
      <w:tr>
        <w:trPr>
          <w:trHeight w:val="286"/>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项目名称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51322624R000010574781-其他工资性支出</w:t>
            </w:r>
          </w:p>
        </w:tc>
      </w:tr>
      <w:tr>
        <w:trPr>
          <w:trHeight w:val="512"/>
        </w:trPr>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主管部门</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w:t>
            </w:r>
          </w:p>
        </w:tc>
        <w:tc>
          <w:tcPr>
            <w:tcW w:w="79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实施单位 （盖章）</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沙耳乡综合服务中心</w:t>
            </w:r>
          </w:p>
        </w:tc>
      </w:tr>
      <w:tr>
        <w:trPr>
          <w:trHeight w:val="286"/>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项目基本情况</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1.项目年度目标完成情况</w:t>
            </w: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项目年度目标</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年度目标完成情况</w:t>
            </w:r>
          </w:p>
        </w:tc>
      </w:tr>
      <w:tr>
        <w:trPr>
          <w:trHeight w:val="708"/>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严格执行相关政策，保障工资及时、足额发放或社保及时、足额缴纳，预算编制科学合理，减少结余资金。</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对照年度目标，说明相关任务目标的完成情况（100字以内）</w:t>
            </w:r>
          </w:p>
        </w:tc>
      </w:tr>
      <w:tr>
        <w:trPr>
          <w:trHeight w:val="693"/>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2.项目实施内容及过程概述</w:t>
            </w:r>
          </w:p>
        </w:tc>
        <w:tc>
          <w:tcPr>
            <w:tcW w:w="734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361"/>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预算执行情况（10分）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年度预算数（万元）</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年初预算</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调整后预算数</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原因</w:t>
            </w:r>
          </w:p>
        </w:tc>
      </w:tr>
      <w:tr>
        <w:trPr>
          <w:trHeight w:val="346"/>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总额</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auto"/>
                <w:sz w:val="18"/>
                <w:szCs w:val="18"/>
                <w:u w:val="none"/>
              </w:rPr>
            </w:pPr>
            <w:r>
              <w:rPr>
                <w:rFonts w:ascii="黑体" w:eastAsia="黑体" w:cs="黑体" w:hint="eastAsia"/>
                <w:i/>
                <w:iCs/>
                <w:color w:val="auto"/>
                <w:kern w:val="0"/>
                <w:sz w:val="18"/>
                <w:szCs w:val="18"/>
                <w:u w:val="none"/>
                <w:lang w:val="en-US" w:eastAsia="zh-CN"/>
              </w:rPr>
              <w:t>无</w:t>
            </w:r>
          </w:p>
        </w:tc>
      </w:tr>
      <w:tr>
        <w:trPr>
          <w:trHeight w:val="39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其中：财政资金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1.12</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财政专户管理资金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单位资金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其他资金</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17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绩效指标（90分）</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一级指标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二级指标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指标性质</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指标值</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度量单位</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得分</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未完成原因分析</w:t>
            </w: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产出指标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数量指标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发放（缴纳）覆盖率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60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339"/>
        </w:trPr>
        <w:tc>
          <w:tcPr>
            <w:tcW w:w="5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效益指标</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社会效益指标</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足额保障率（参保率）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auto"/>
                <w:sz w:val="16"/>
                <w:szCs w:val="16"/>
                <w:u w:val="none"/>
              </w:rPr>
            </w:pPr>
          </w:p>
        </w:tc>
      </w:tr>
      <w:tr>
        <w:trPr>
          <w:trHeight w:val="286"/>
        </w:trPr>
        <w:tc>
          <w:tcPr>
            <w:tcW w:w="74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auto"/>
                <w:sz w:val="18"/>
                <w:szCs w:val="18"/>
                <w:u w:val="none"/>
              </w:rPr>
            </w:pPr>
          </w:p>
        </w:tc>
      </w:tr>
      <w:tr>
        <w:trPr>
          <w:trHeight w:val="60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评价结论</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自评为优</w:t>
            </w:r>
          </w:p>
        </w:tc>
      </w:tr>
      <w:tr>
        <w:trPr>
          <w:trHeight w:val="572"/>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存在问题</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633"/>
        </w:trPr>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改进措施</w:t>
            </w:r>
          </w:p>
        </w:tc>
        <w:tc>
          <w:tcPr>
            <w:tcW w:w="8847"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auto"/>
                <w:sz w:val="16"/>
                <w:szCs w:val="16"/>
                <w:u w:val="none"/>
              </w:rPr>
            </w:pPr>
            <w:r>
              <w:rPr>
                <w:rFonts w:ascii="微软雅黑" w:eastAsia="微软雅黑" w:cs="微软雅黑" w:hint="eastAsia"/>
                <w:i/>
                <w:iCs/>
                <w:color w:val="auto"/>
                <w:kern w:val="0"/>
                <w:sz w:val="16"/>
                <w:szCs w:val="16"/>
                <w:u w:val="none"/>
                <w:lang w:val="en-US" w:eastAsia="zh-CN"/>
              </w:rPr>
              <w:t>无</w:t>
            </w:r>
          </w:p>
        </w:tc>
      </w:tr>
      <w:tr>
        <w:trPr>
          <w:trHeight w:val="286"/>
        </w:trPr>
        <w:tc>
          <w:tcPr>
            <w:tcW w:w="545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项目负责人：赵凯琴</w:t>
            </w:r>
          </w:p>
        </w:tc>
        <w:tc>
          <w:tcPr>
            <w:tcW w:w="391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auto"/>
                <w:sz w:val="18"/>
                <w:szCs w:val="18"/>
                <w:u w:val="none"/>
              </w:rPr>
            </w:pPr>
            <w:r>
              <w:rPr>
                <w:rFonts w:ascii="黑体" w:eastAsia="黑体" w:cs="黑体" w:hint="eastAsia"/>
                <w:i w:val="0"/>
                <w:iCs w:val="0"/>
                <w:color w:val="auto"/>
                <w:kern w:val="0"/>
                <w:sz w:val="18"/>
                <w:szCs w:val="18"/>
                <w:u w:val="none"/>
                <w:lang w:val="en-US" w:eastAsia="zh-CN"/>
              </w:rPr>
              <w:t>财务负责人：王丽</w:t>
            </w:r>
          </w:p>
        </w:tc>
      </w:tr>
      <w:tr>
        <w:trPr>
          <w:trHeight w:val="286"/>
        </w:trPr>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0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32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15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21"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81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39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79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505"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456"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c>
          <w:tcPr>
            <w:tcW w:w="960" w:type="dxa"/>
            <w:tcBorders>
              <w:top w:val="nil"/>
              <w:left w:val="nil"/>
              <w:bottom w:val="nil"/>
              <w:right w:val="nil"/>
            </w:tcBorders>
            <w:shd w:val="clear" w:color="auto" w:fill="auto"/>
            <w:noWrap/>
            <w:vAlign w:val="center"/>
          </w:tcPr>
          <w:p>
            <w:pPr>
              <w:rPr>
                <w:rFonts w:ascii="宋体" w:eastAsia="宋体" w:cs="宋体" w:hint="eastAsia"/>
                <w:i w:val="0"/>
                <w:iCs w:val="0"/>
                <w:color w:val="auto"/>
                <w:sz w:val="18"/>
                <w:szCs w:val="18"/>
                <w:u w:val="none"/>
              </w:rPr>
            </w:pPr>
          </w:p>
        </w:tc>
      </w:tr>
      <w:tr>
        <w:trPr>
          <w:trHeight w:val="286"/>
        </w:trPr>
        <w:tc>
          <w:tcPr>
            <w:tcW w:w="9372" w:type="dxa"/>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1、报表说明:该报表查询项目信息、绩效目标信息、预算及执行情况，用于预算单位查询导出开展项目自评。</w:t>
            </w:r>
          </w:p>
        </w:tc>
      </w:tr>
      <w:tr>
        <w:trPr>
          <w:trHeight w:val="286"/>
        </w:trPr>
        <w:tc>
          <w:tcPr>
            <w:tcW w:w="9372" w:type="dxa"/>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2、取数口径：部门项目绩效目标表信息，包括年初预算、追加预算、结转预算和调整预算的绩效目标（以项目的最终绩效目标为准）。</w:t>
            </w:r>
          </w:p>
        </w:tc>
      </w:tr>
      <w:tr>
        <w:trPr>
          <w:trHeight w:val="286"/>
        </w:trPr>
        <w:tc>
          <w:tcPr>
            <w:tcW w:w="9372" w:type="dxa"/>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适用地区：全省范围</w:t>
            </w:r>
          </w:p>
        </w:tc>
      </w:tr>
      <w:tr>
        <w:trPr>
          <w:trHeight w:val="286"/>
        </w:trPr>
        <w:tc>
          <w:tcPr>
            <w:tcW w:w="9372" w:type="dxa"/>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auto"/>
                <w:sz w:val="18"/>
                <w:szCs w:val="18"/>
                <w:u w:val="none"/>
              </w:rPr>
            </w:pPr>
            <w:r>
              <w:rPr>
                <w:rFonts w:ascii="宋体" w:eastAsia="宋体" w:cs="宋体"/>
                <w:i w:val="0"/>
                <w:iCs w:val="0"/>
                <w:color w:val="auto"/>
                <w:kern w:val="0"/>
                <w:sz w:val="18"/>
                <w:szCs w:val="18"/>
                <w:u w:val="none"/>
                <w:lang w:val="en-US" w:eastAsia="zh-CN"/>
              </w:rPr>
              <w:t>适用用户：部门用户、单位用户</w:t>
            </w:r>
          </w:p>
        </w:tc>
      </w:tr>
    </w:tbl>
    <w:p>
      <w:pPr>
        <w:pStyle w:val="18"/>
        <w:keepNext w:val="0"/>
        <w:keepLines w:val="0"/>
        <w:pageBreakBefore w:val="0"/>
        <w:widowControl w:val="0"/>
        <w:kinsoku/>
        <w:wordWrap/>
        <w:overflowPunct/>
        <w:topLinePunct w:val="0"/>
        <w:autoSpaceDE/>
        <w:autoSpaceDN/>
        <w:bidi w:val="0"/>
        <w:spacing w:line="560" w:lineRule="exact"/>
        <w:textAlignment w:val="auto"/>
        <w:rPr>
          <w:rFonts w:ascii="Times New Roman" w:cs="Times New Roman" w:hAnsi="Times New Roman" w:hint="eastAsia"/>
          <w:color w:val="auto"/>
          <w:sz w:val="32"/>
          <w:szCs w:val="32"/>
          <w:lang w:val="zh-CN" w:eastAsia="zh-CN"/>
          <w:highlight w:val="yellow"/>
        </w:rPr>
      </w:pPr>
    </w:p>
    <w:p>
      <w:pPr>
        <w:pStyle w:val="16"/>
        <w:rPr>
          <w:rFonts w:ascii="Times New Roman" w:cs="宋体" w:hAnsi="Times New Roman" w:hint="eastAsia"/>
          <w:color w:val="auto"/>
          <w:kern w:val="0"/>
          <w:sz w:val="32"/>
          <w:szCs w:val="32"/>
          <w:shd w:val="clear" w:color="auto" w:fill="FFFFFF"/>
          <w:lang w:val="zh-CN"/>
          <w:highlight w:val="yellow"/>
        </w:rPr>
      </w:pPr>
    </w:p>
    <w:p>
      <w:pPr>
        <w:rPr>
          <w:rFonts w:ascii="Times New Roman" w:eastAsia="黑体" w:cs="黑体" w:hAnsi="Times New Roman" w:hint="eastAsia"/>
          <w:color w:val="auto"/>
          <w:kern w:val="0"/>
          <w:sz w:val="32"/>
          <w:szCs w:val="32"/>
          <w:shd w:val="clear" w:color="auto" w:fill="FFFFFF"/>
          <w:lang w:val="zh-CN"/>
          <w:highlight w:val="auto"/>
        </w:rPr>
      </w:pPr>
      <w:r>
        <w:rPr>
          <w:rFonts w:ascii="Times New Roman" w:eastAsia="黑体" w:cs="黑体" w:hAnsi="Times New Roman" w:hint="eastAsia"/>
          <w:color w:val="auto"/>
          <w:kern w:val="0"/>
          <w:sz w:val="32"/>
          <w:szCs w:val="32"/>
          <w:shd w:val="clear" w:color="auto" w:fill="FFFFFF"/>
          <w:lang w:val="zh-CN"/>
          <w:highlight w:val="auto"/>
        </w:rPr>
        <w:br w:type="page"/>
      </w:r>
    </w:p>
    <w:p>
      <w:pPr>
        <w:pStyle w:val="16"/>
        <w:rPr>
          <w:rFonts w:ascii="Times New Roman" w:eastAsia="黑体" w:cs="黑体" w:hAnsi="Times New Roman" w:hint="eastAsia"/>
          <w:color w:val="auto"/>
          <w:sz w:val="32"/>
          <w:szCs w:val="32"/>
          <w:lang w:val="en-US" w:eastAsia="zh-CN"/>
          <w:highlight w:val="auto"/>
        </w:rPr>
      </w:pPr>
      <w:r>
        <w:rPr>
          <w:rFonts w:ascii="Times New Roman" w:eastAsia="黑体" w:cs="黑体" w:hAnsi="Times New Roman" w:hint="eastAsia"/>
          <w:color w:val="auto"/>
          <w:kern w:val="0"/>
          <w:sz w:val="32"/>
          <w:szCs w:val="32"/>
          <w:shd w:val="clear" w:color="auto" w:fill="FFFFFF"/>
          <w:lang w:val="zh-CN"/>
          <w:highlight w:val="auto"/>
        </w:rPr>
        <w:t>附件</w:t>
      </w:r>
      <w:r>
        <w:rPr>
          <w:rFonts w:ascii="Times New Roman" w:eastAsia="黑体" w:cs="黑体" w:hAnsi="Times New Roman" w:hint="eastAsia"/>
          <w:color w:val="auto"/>
          <w:kern w:val="0"/>
          <w:sz w:val="32"/>
          <w:szCs w:val="32"/>
          <w:shd w:val="clear" w:color="auto" w:fill="FFFFFF"/>
          <w:lang w:val="en-US" w:eastAsia="zh-CN"/>
          <w:highlight w:val="auto"/>
        </w:rPr>
        <w:t>2</w:t>
      </w:r>
    </w:p>
    <w:p>
      <w:pPr>
        <w:pStyle w:val="38"/>
        <w:keepNext w:val="0"/>
        <w:keepLines w:val="0"/>
        <w:pageBreakBefore w:val="0"/>
        <w:widowControl w:val="0"/>
        <w:kinsoku/>
        <w:wordWrap/>
        <w:overflowPunct/>
        <w:topLinePunct w:val="0"/>
        <w:autoSpaceDE/>
        <w:autoSpaceDN/>
        <w:bidi w:val="0"/>
        <w:spacing w:line="578" w:lineRule="exact"/>
        <w:ind w:left="0"/>
        <w:jc w:val="center"/>
        <w:textAlignment w:val="auto"/>
        <w:rPr>
          <w:rFonts w:ascii="Times New Roman" w:eastAsia="方正小标宋简体" w:cs="方正小标宋简体" w:hAnsi="Times New Roman" w:hint="eastAsia"/>
          <w:color w:val="auto"/>
          <w:kern w:val="2"/>
          <w:sz w:val="44"/>
          <w:szCs w:val="44"/>
          <w:lang w:val="en-US" w:eastAsia="zh-CN"/>
          <w:highlight w:val="auto"/>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ascii="方正小标宋简体" w:eastAsia="方正小标宋简体" w:cs="方正小标宋简体" w:hint="eastAsia"/>
          <w:color w:val="auto"/>
          <w:kern w:val="2"/>
          <w:sz w:val="44"/>
          <w:szCs w:val="44"/>
          <w:lang w:val="en-US" w:eastAsia="zh-CN" w:bidi="ar-SA"/>
          <w:highlight w:val="auto"/>
        </w:rPr>
      </w:pPr>
      <w:r>
        <w:rPr>
          <w:rFonts w:ascii="方正小标宋简体" w:eastAsia="方正小标宋简体" w:cs="方正小标宋简体" w:hint="eastAsia"/>
          <w:color w:val="auto"/>
          <w:kern w:val="2"/>
          <w:sz w:val="44"/>
          <w:szCs w:val="44"/>
          <w:lang w:val="en-US" w:eastAsia="zh-CN" w:bidi="ar-SA"/>
          <w:highlight w:val="auto"/>
        </w:rPr>
        <w:t>金川县沙耳乡山埂子村节能亮化项目专项预算项目绩效评价报告</w:t>
      </w:r>
    </w:p>
    <w:p>
      <w:pPr>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ascii="宋体" w:eastAsia="宋体" w:cs="Times New Roman"/>
          <w:color w:val="auto"/>
          <w:kern w:val="2"/>
          <w:sz w:val="32"/>
          <w:szCs w:val="32"/>
          <w:lang w:val="zh-CN" w:eastAsia="zh-CN" w:bidi="ar-SA"/>
          <w:highlight w:val="auto"/>
        </w:rPr>
      </w:pP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黑体" w:eastAsia="黑体"/>
          <w:color w:val="auto"/>
          <w:sz w:val="32"/>
          <w:szCs w:val="32"/>
          <w:lang w:val="zh-CN"/>
          <w:highlight w:val="auto"/>
        </w:rPr>
      </w:pPr>
      <w:r>
        <w:rPr>
          <w:rFonts w:ascii="黑体" w:eastAsia="黑体" w:hint="eastAsia"/>
          <w:color w:val="auto"/>
          <w:sz w:val="32"/>
          <w:szCs w:val="32"/>
          <w:highlight w:val="auto"/>
        </w:rPr>
        <w:t>一、</w:t>
      </w:r>
      <w:r>
        <w:rPr>
          <w:rFonts w:ascii="黑体" w:eastAsia="黑体" w:hint="eastAsia"/>
          <w:color w:val="auto"/>
          <w:sz w:val="32"/>
          <w:szCs w:val="32"/>
          <w:lang w:val="zh-CN"/>
          <w:highlight w:val="auto"/>
        </w:rPr>
        <w:t>项目概况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rPr>
          <w:rFonts w:ascii="仿宋_GB2312" w:eastAsia="仿宋_GB2312" w:cs="仿宋_GB2312" w:hint="eastAsia"/>
          <w:color w:val="auto"/>
          <w:kern w:val="0"/>
          <w:sz w:val="32"/>
          <w:szCs w:val="32"/>
          <w:u w:val="none"/>
          <w:shd w:val="clear" w:color="auto" w:fill="FFFFFF"/>
          <w:lang w:val="zh-CN"/>
          <w:highlight w:val="auto"/>
        </w:rPr>
      </w:pPr>
      <w:r>
        <w:rPr>
          <w:rFonts w:ascii="楷体_GB2312" w:eastAsia="楷体_GB2312" w:hint="eastAsia"/>
          <w:b/>
          <w:color w:val="auto"/>
          <w:sz w:val="32"/>
          <w:szCs w:val="32"/>
          <w:u w:val="none"/>
          <w:lang w:val="zh-CN"/>
          <w:highlight w:val="auto"/>
        </w:rPr>
        <w:t>（一）设立背景及基本情况。</w:t>
      </w:r>
      <w:r>
        <w:rPr>
          <w:rFonts w:ascii="仿宋_GB2312" w:eastAsia="仿宋_GB2312" w:cs="仿宋_GB2312" w:hint="eastAsia"/>
          <w:color w:val="auto"/>
          <w:sz w:val="32"/>
          <w:szCs w:val="32"/>
          <w:lang w:eastAsia="zh-CN"/>
        </w:rPr>
        <w:t>山埂子</w:t>
      </w:r>
      <w:r>
        <w:rPr>
          <w:rFonts w:ascii="仿宋_GB2312" w:eastAsia="仿宋_GB2312" w:cs="仿宋_GB2312" w:hint="eastAsia"/>
          <w:color w:val="auto"/>
          <w:sz w:val="32"/>
          <w:szCs w:val="32"/>
        </w:rPr>
        <w:t>村地理位置得天独厚，近年来依托梨花红叶景区旅游产业发展迅速。202</w:t>
      </w:r>
      <w:r>
        <w:rPr>
          <w:rFonts w:ascii="仿宋_GB2312" w:eastAsia="仿宋_GB2312" w:cs="仿宋_GB2312" w:hint="eastAsia"/>
          <w:color w:val="auto"/>
          <w:sz w:val="32"/>
          <w:szCs w:val="32"/>
          <w:lang w:val="en-US" w:eastAsia="zh-CN"/>
        </w:rPr>
        <w:t>4</w:t>
      </w:r>
      <w:r>
        <w:rPr>
          <w:rFonts w:ascii="仿宋_GB2312" w:eastAsia="仿宋_GB2312" w:cs="仿宋_GB2312" w:hint="eastAsia"/>
          <w:color w:val="auto"/>
          <w:sz w:val="32"/>
          <w:szCs w:val="32"/>
        </w:rPr>
        <w:t>年底村农民人均纯收入达16800元，呈现出经济快速发展、人民安居乐业、社会和谐稳定的良好局面。</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楷体_GB2312" w:eastAsia="楷体_GB2312"/>
          <w:b/>
          <w:color w:val="auto"/>
          <w:sz w:val="32"/>
          <w:szCs w:val="32"/>
          <w:u w:val="none"/>
          <w:lang w:val="zh-CN"/>
          <w:highlight w:val="auto"/>
        </w:rPr>
      </w:pPr>
      <w:r>
        <w:rPr>
          <w:rFonts w:ascii="楷体_GB2312" w:eastAsia="楷体_GB2312" w:hint="eastAsia"/>
          <w:b/>
          <w:color w:val="auto"/>
          <w:sz w:val="32"/>
          <w:szCs w:val="32"/>
          <w:u w:val="none"/>
          <w:lang w:val="zh-CN"/>
          <w:highlight w:val="auto"/>
        </w:rPr>
        <w:t>（</w:t>
      </w:r>
      <w:r>
        <w:rPr>
          <w:rFonts w:ascii="楷体_GB2312" w:eastAsia="楷体_GB2312" w:cs="Times New Roman" w:hint="eastAsia"/>
          <w:b/>
          <w:color w:val="auto"/>
          <w:sz w:val="32"/>
          <w:szCs w:val="32"/>
          <w:u w:val="none"/>
          <w:lang w:val="zh-CN"/>
          <w:highlight w:val="auto"/>
        </w:rPr>
        <w:t>二）</w:t>
      </w:r>
      <w:r>
        <w:rPr>
          <w:rFonts w:ascii="楷体_GB2312" w:eastAsia="楷体_GB2312" w:cs="Times New Roman"/>
          <w:b/>
          <w:color w:val="auto"/>
          <w:sz w:val="32"/>
          <w:szCs w:val="32"/>
          <w:u w:val="none"/>
          <w:lang w:val="en-US" w:eastAsia="zh-CN"/>
          <w:highlight w:val="auto"/>
        </w:rPr>
        <w:t>实施目的及支持方向</w:t>
      </w:r>
      <w:r>
        <w:rPr>
          <w:rFonts w:ascii="楷体_GB2312" w:eastAsia="楷体_GB2312" w:cs="Times New Roman" w:hint="eastAsia"/>
          <w:b/>
          <w:color w:val="auto"/>
          <w:sz w:val="32"/>
          <w:szCs w:val="32"/>
          <w:u w:val="none"/>
          <w:lang w:val="en-US" w:eastAsia="zh-CN"/>
          <w:highlight w:val="auto"/>
        </w:rPr>
        <w:t>。</w:t>
      </w:r>
      <w:r>
        <w:rPr>
          <w:rFonts w:ascii="仿宋_GB2312" w:eastAsia="仿宋_GB2312" w:cs="仿宋_GB2312" w:hint="eastAsia"/>
          <w:color w:val="auto"/>
          <w:sz w:val="32"/>
          <w:szCs w:val="32"/>
          <w:lang w:eastAsia="zh-CN"/>
        </w:rPr>
        <w:t>山埂子</w:t>
      </w:r>
      <w:r>
        <w:rPr>
          <w:rFonts w:ascii="仿宋_GB2312" w:eastAsia="仿宋_GB2312" w:cs="仿宋_GB2312" w:hint="eastAsia"/>
          <w:color w:val="auto"/>
          <w:sz w:val="32"/>
          <w:szCs w:val="32"/>
        </w:rPr>
        <w:t>村希望通过金川县沙耳乡</w:t>
      </w:r>
      <w:r>
        <w:rPr>
          <w:rFonts w:ascii="仿宋_GB2312" w:eastAsia="仿宋_GB2312" w:cs="仿宋_GB2312" w:hint="eastAsia"/>
          <w:color w:val="auto"/>
          <w:sz w:val="32"/>
          <w:szCs w:val="32"/>
          <w:lang w:eastAsia="zh-CN"/>
        </w:rPr>
        <w:t>山埂子</w:t>
      </w:r>
      <w:r>
        <w:rPr>
          <w:rFonts w:ascii="仿宋_GB2312" w:eastAsia="仿宋_GB2312" w:cs="仿宋_GB2312" w:hint="eastAsia"/>
          <w:color w:val="auto"/>
          <w:sz w:val="32"/>
          <w:szCs w:val="32"/>
        </w:rPr>
        <w:t>村节能亮化项目引领周边群众发展打造特色</w:t>
      </w:r>
      <w:r>
        <w:rPr>
          <w:rFonts w:ascii="仿宋_GB2312" w:eastAsia="仿宋_GB2312" w:cs="仿宋_GB2312" w:hint="eastAsia"/>
          <w:color w:val="auto"/>
          <w:sz w:val="32"/>
          <w:szCs w:val="32"/>
          <w:lang w:eastAsia="zh-CN"/>
        </w:rPr>
        <w:t>夜间经济</w:t>
      </w:r>
      <w:r>
        <w:rPr>
          <w:rFonts w:ascii="仿宋_GB2312" w:eastAsia="仿宋_GB2312" w:cs="仿宋_GB2312" w:hint="eastAsia"/>
          <w:color w:val="auto"/>
          <w:sz w:val="32"/>
          <w:szCs w:val="32"/>
        </w:rPr>
        <w:t>，提升游客旅游体验环境，全力发展乡村旅游业，壮大村级集体经济，</w:t>
      </w:r>
      <w:r>
        <w:rPr>
          <w:rFonts w:ascii="仿宋_GB2312" w:eastAsia="仿宋_GB2312" w:cs="仿宋_GB2312" w:hint="eastAsia"/>
          <w:color w:val="auto"/>
          <w:kern w:val="0"/>
          <w:sz w:val="32"/>
          <w:szCs w:val="32"/>
          <w:u w:val="none"/>
          <w:shd w:val="clear" w:color="auto" w:fill="FFFFFF"/>
          <w:lang w:val="en-US" w:eastAsia="zh-CN"/>
          <w:highlight w:val="auto"/>
        </w:rPr>
        <w:t>因此实施该项目。</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rPr>
          <w:rFonts w:ascii="仿宋_GB2312" w:eastAsia="仿宋_GB2312" w:cs="仿宋_GB2312" w:hint="eastAsia"/>
          <w:color w:val="auto"/>
          <w:kern w:val="0"/>
          <w:sz w:val="32"/>
          <w:szCs w:val="32"/>
          <w:u w:val="none"/>
          <w:shd w:val="clear" w:color="auto" w:fill="FFFFFF"/>
          <w:lang w:val="zh-CN"/>
          <w:highlight w:val="auto"/>
        </w:rPr>
      </w:pPr>
      <w:r>
        <w:rPr>
          <w:rFonts w:ascii="楷体_GB2312" w:eastAsia="楷体_GB2312" w:cs="Times New Roman" w:hint="eastAsia"/>
          <w:b/>
          <w:color w:val="auto"/>
          <w:sz w:val="32"/>
          <w:szCs w:val="32"/>
          <w:u w:val="none"/>
          <w:lang w:val="zh-CN" w:eastAsia="zh-CN"/>
          <w:highlight w:val="auto"/>
        </w:rPr>
        <w:t>（三）</w:t>
      </w:r>
      <w:r>
        <w:rPr>
          <w:rFonts w:ascii="楷体_GB2312" w:eastAsia="楷体_GB2312" w:cs="Times New Roman"/>
          <w:b/>
          <w:color w:val="auto"/>
          <w:sz w:val="32"/>
          <w:szCs w:val="32"/>
          <w:u w:val="none"/>
          <w:lang w:val="en-US" w:eastAsia="zh-CN"/>
          <w:highlight w:val="auto"/>
        </w:rPr>
        <w:t>预算安排及分配管理</w:t>
      </w:r>
      <w:r>
        <w:rPr>
          <w:rFonts w:ascii="楷体_GB2312" w:eastAsia="楷体_GB2312" w:cs="Times New Roman" w:hint="eastAsia"/>
          <w:b/>
          <w:color w:val="auto"/>
          <w:sz w:val="32"/>
          <w:szCs w:val="32"/>
          <w:u w:val="none"/>
          <w:lang w:val="zh-CN" w:eastAsia="zh-CN"/>
          <w:highlight w:val="auto"/>
        </w:rPr>
        <w:t>。</w:t>
      </w:r>
      <w:r>
        <w:rPr>
          <w:rFonts w:ascii="仿宋_GB2312" w:eastAsia="仿宋_GB2312" w:cs="仿宋_GB2312" w:hint="eastAsia"/>
          <w:color w:val="auto"/>
          <w:kern w:val="0"/>
          <w:sz w:val="32"/>
          <w:szCs w:val="32"/>
          <w:u w:val="none"/>
          <w:shd w:val="clear" w:color="auto" w:fill="FFFFFF"/>
          <w:lang w:val="zh-CN" w:eastAsia="zh-CN"/>
          <w:highlight w:val="auto"/>
        </w:rPr>
        <w:t>项目</w:t>
      </w:r>
      <w:r>
        <w:rPr>
          <w:rFonts w:ascii="仿宋_GB2312" w:eastAsia="仿宋_GB2312" w:cs="仿宋_GB2312" w:hint="eastAsia"/>
          <w:color w:val="auto"/>
          <w:kern w:val="0"/>
          <w:sz w:val="32"/>
          <w:szCs w:val="32"/>
          <w:u w:val="none"/>
          <w:shd w:val="clear" w:color="auto" w:fill="FFFFFF"/>
          <w:lang w:val="en-US" w:eastAsia="zh-CN"/>
          <w:highlight w:val="auto"/>
        </w:rPr>
        <w:t>资金来源为</w:t>
      </w:r>
      <w:r>
        <w:rPr>
          <w:rFonts w:ascii="仿宋_GB2312" w:eastAsia="仿宋_GB2312" w:cs="仿宋_GB2312" w:hint="eastAsia"/>
          <w:color w:val="auto"/>
          <w:kern w:val="0"/>
          <w:sz w:val="32"/>
          <w:szCs w:val="32"/>
          <w:u w:val="none"/>
          <w:shd w:val="clear" w:color="auto" w:fill="FFFFFF"/>
          <w:lang w:val="zh-CN" w:eastAsia="zh-CN"/>
          <w:highlight w:val="auto"/>
        </w:rPr>
        <w:t>202</w:t>
      </w:r>
      <w:r>
        <w:rPr>
          <w:rFonts w:ascii="仿宋_GB2312" w:eastAsia="仿宋_GB2312" w:cs="仿宋_GB2312" w:hint="eastAsia"/>
          <w:color w:val="auto"/>
          <w:kern w:val="0"/>
          <w:sz w:val="32"/>
          <w:szCs w:val="32"/>
          <w:u w:val="none"/>
          <w:shd w:val="clear" w:color="auto" w:fill="FFFFFF"/>
          <w:lang w:val="en-US" w:eastAsia="zh-CN"/>
          <w:highlight w:val="auto"/>
        </w:rPr>
        <w:t>4年革命老区</w:t>
      </w:r>
      <w:r>
        <w:rPr>
          <w:rFonts w:ascii="仿宋_GB2312" w:eastAsia="仿宋_GB2312" w:cs="仿宋_GB2312" w:hint="eastAsia"/>
          <w:color w:val="auto"/>
          <w:kern w:val="0"/>
          <w:sz w:val="32"/>
          <w:szCs w:val="32"/>
          <w:u w:val="none"/>
          <w:shd w:val="clear" w:color="auto" w:fill="FFFFFF"/>
          <w:lang w:val="zh-CN" w:eastAsia="zh-CN"/>
          <w:highlight w:val="auto"/>
        </w:rPr>
        <w:t>资金</w:t>
      </w:r>
      <w:r>
        <w:rPr>
          <w:rFonts w:ascii="仿宋_GB2312" w:eastAsia="仿宋_GB2312" w:cs="仿宋_GB2312" w:hint="eastAsia"/>
          <w:color w:val="auto"/>
          <w:kern w:val="0"/>
          <w:sz w:val="32"/>
          <w:szCs w:val="32"/>
          <w:u w:val="none"/>
          <w:shd w:val="clear" w:color="auto" w:fill="FFFFFF"/>
          <w:lang w:val="en-US" w:eastAsia="zh-CN"/>
          <w:highlight w:val="auto"/>
        </w:rPr>
        <w:t>80</w:t>
      </w:r>
      <w:r>
        <w:rPr>
          <w:rFonts w:ascii="仿宋_GB2312" w:eastAsia="仿宋_GB2312" w:cs="仿宋_GB2312" w:hint="eastAsia"/>
          <w:color w:val="auto"/>
          <w:kern w:val="0"/>
          <w:sz w:val="32"/>
          <w:szCs w:val="32"/>
          <w:u w:val="none"/>
          <w:shd w:val="clear" w:color="auto" w:fill="FFFFFF"/>
          <w:lang w:val="zh-CN" w:eastAsia="zh-CN"/>
          <w:highlight w:val="auto"/>
        </w:rPr>
        <w:t>万元。</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仿宋_GB2312" w:eastAsia="仿宋_GB2312" w:cs="仿宋_GB2312"/>
          <w:color w:val="auto"/>
          <w:kern w:val="0"/>
          <w:sz w:val="32"/>
          <w:szCs w:val="32"/>
          <w:u w:val="none"/>
          <w:shd w:val="clear" w:color="auto" w:fill="FFFFFF"/>
          <w:lang w:val="zh-CN" w:eastAsia="zh-CN"/>
          <w:highlight w:val="auto"/>
        </w:rPr>
      </w:pPr>
      <w:r>
        <w:rPr>
          <w:rFonts w:ascii="楷体_GB2312" w:eastAsia="楷体_GB2312" w:cs="Times New Roman" w:hint="eastAsia"/>
          <w:b/>
          <w:color w:val="auto"/>
          <w:sz w:val="32"/>
          <w:szCs w:val="32"/>
          <w:u w:val="none"/>
          <w:lang w:val="zh-CN" w:eastAsia="zh-CN"/>
          <w:highlight w:val="auto"/>
        </w:rPr>
        <w:t>（四）项目绩效目标设置。</w:t>
      </w:r>
      <w:r>
        <w:rPr>
          <w:rFonts w:ascii="仿宋_GB2312" w:eastAsia="仿宋_GB2312" w:cs="仿宋_GB2312" w:hint="eastAsia"/>
          <w:color w:val="auto"/>
          <w:kern w:val="0"/>
          <w:sz w:val="32"/>
          <w:szCs w:val="32"/>
          <w:u w:val="none"/>
          <w:shd w:val="clear" w:color="auto" w:fill="FFFFFF"/>
          <w:lang w:val="zh-CN" w:eastAsia="zh-CN"/>
          <w:highlight w:val="auto"/>
        </w:rPr>
        <w:t>社会主义新农村建设的总体目标中，把“生活宽裕、改善农民的生存状态”作为新农村建设的核心目标，提出生活宽裕的重要条件正是与农民生活直接相关的水、电、路等基础设施，而</w:t>
      </w:r>
      <w:r>
        <w:rPr>
          <w:rFonts w:ascii="仿宋_GB2312" w:eastAsia="仿宋_GB2312" w:cs="仿宋_GB2312" w:hint="eastAsia"/>
          <w:color w:val="auto"/>
          <w:kern w:val="0"/>
          <w:sz w:val="32"/>
          <w:szCs w:val="32"/>
          <w:u w:val="none"/>
          <w:shd w:val="clear" w:color="auto" w:fill="FFFFFF"/>
          <w:lang w:val="en-US" w:eastAsia="zh-CN"/>
          <w:highlight w:val="auto"/>
        </w:rPr>
        <w:t>道路</w:t>
      </w:r>
      <w:r>
        <w:rPr>
          <w:rFonts w:ascii="仿宋_GB2312" w:eastAsia="仿宋_GB2312" w:cs="仿宋_GB2312" w:hint="eastAsia"/>
          <w:color w:val="auto"/>
          <w:kern w:val="0"/>
          <w:sz w:val="32"/>
          <w:szCs w:val="32"/>
          <w:u w:val="none"/>
          <w:shd w:val="clear" w:color="auto" w:fill="FFFFFF"/>
          <w:lang w:val="zh-CN" w:eastAsia="zh-CN"/>
          <w:highlight w:val="auto"/>
        </w:rPr>
        <w:t>作为农民生活中的一项最基本条件，其重要性不言而喻。</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outlineLvl w:val="9"/>
        <w:rPr>
          <w:rFonts w:ascii="黑体" w:eastAsia="黑体" w:hint="eastAsia"/>
          <w:color w:val="auto"/>
          <w:sz w:val="32"/>
          <w:szCs w:val="32"/>
          <w:lang w:eastAsia="zh-CN"/>
          <w:highlight w:val="auto"/>
        </w:rPr>
      </w:pPr>
      <w:r>
        <w:rPr>
          <w:rFonts w:ascii="黑体" w:eastAsia="黑体" w:hint="eastAsia"/>
          <w:color w:val="auto"/>
          <w:sz w:val="32"/>
          <w:szCs w:val="32"/>
          <w:highlight w:val="auto"/>
        </w:rPr>
        <w:t>二、</w:t>
      </w:r>
      <w:r>
        <w:rPr>
          <w:rFonts w:ascii="黑体" w:eastAsia="黑体" w:hint="eastAsia"/>
          <w:color w:val="auto"/>
          <w:sz w:val="32"/>
          <w:szCs w:val="32"/>
          <w:lang w:eastAsia="zh-CN"/>
          <w:highlight w:val="auto"/>
        </w:rPr>
        <w:t>评价实施</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color w:val="auto"/>
          <w:sz w:val="32"/>
          <w:szCs w:val="32"/>
        </w:rPr>
      </w:pPr>
      <w:r>
        <w:rPr>
          <w:rFonts w:ascii="楷体_GB2312" w:eastAsia="楷体_GB2312" w:hint="eastAsia"/>
          <w:b/>
          <w:color w:val="auto"/>
          <w:sz w:val="32"/>
          <w:szCs w:val="32"/>
          <w:u w:val="none"/>
          <w:lang w:val="zh-CN"/>
          <w:highlight w:val="auto"/>
        </w:rPr>
        <w:t>（一）评价目的。</w:t>
      </w:r>
      <w:r>
        <w:rPr>
          <w:rFonts w:eastAsia="仿宋_GB2312" w:cs="Times New Roman"/>
          <w:color w:val="auto"/>
          <w:sz w:val="32"/>
          <w:szCs w:val="32"/>
        </w:rPr>
        <w:t>通过</w:t>
      </w:r>
      <w:r>
        <w:rPr>
          <w:rFonts w:eastAsia="仿宋_GB2312" w:cs="Times New Roman" w:hint="eastAsia"/>
          <w:color w:val="auto"/>
          <w:sz w:val="32"/>
          <w:szCs w:val="32"/>
          <w:lang w:eastAsia="zh-CN"/>
        </w:rPr>
        <w:t>项目</w:t>
      </w:r>
      <w:r>
        <w:rPr>
          <w:rFonts w:eastAsia="仿宋_GB2312" w:cs="Times New Roman" w:hint="eastAsia"/>
          <w:color w:val="auto"/>
          <w:sz w:val="32"/>
          <w:szCs w:val="32"/>
        </w:rPr>
        <w:t>绩效</w:t>
      </w:r>
      <w:r>
        <w:rPr>
          <w:rFonts w:eastAsia="仿宋_GB2312" w:cs="Times New Roman" w:hint="eastAsia"/>
          <w:color w:val="auto"/>
          <w:sz w:val="32"/>
          <w:szCs w:val="32"/>
          <w:lang w:eastAsia="zh-CN"/>
        </w:rPr>
        <w:t>自评</w:t>
      </w:r>
      <w:r>
        <w:rPr>
          <w:rFonts w:eastAsia="仿宋_GB2312" w:cs="Times New Roman" w:hint="eastAsia"/>
          <w:color w:val="auto"/>
          <w:sz w:val="32"/>
          <w:szCs w:val="32"/>
          <w:lang w:val="en-US" w:eastAsia="zh-CN"/>
        </w:rPr>
        <w:t>督导项目建设落地落实</w:t>
      </w:r>
      <w:r>
        <w:rPr>
          <w:rFonts w:eastAsia="仿宋_GB2312" w:cs="Times New Roman" w:hint="eastAsia"/>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outlineLvl w:val="9"/>
        <w:rPr>
          <w:rFonts w:eastAsia="仿宋_GB2312" w:cs="Times New Roman" w:hint="eastAsia"/>
          <w:color w:val="auto"/>
          <w:sz w:val="32"/>
          <w:szCs w:val="32"/>
          <w:lang w:eastAsia="zh-CN"/>
        </w:rPr>
      </w:pPr>
      <w:r>
        <w:rPr>
          <w:rFonts w:ascii="楷体_GB2312" w:eastAsia="楷体_GB2312" w:hint="eastAsia"/>
          <w:b/>
          <w:color w:val="auto"/>
          <w:sz w:val="32"/>
          <w:szCs w:val="32"/>
          <w:u w:val="none"/>
          <w:lang w:val="zh-CN"/>
          <w:highlight w:val="auto"/>
        </w:rPr>
        <w:t>（二）预设问题及评价重点。</w:t>
      </w:r>
      <w:r>
        <w:rPr>
          <w:rFonts w:eastAsia="仿宋_GB2312" w:cs="Times New Roman" w:hint="eastAsia"/>
          <w:color w:val="auto"/>
          <w:sz w:val="32"/>
          <w:szCs w:val="32"/>
        </w:rPr>
        <w:t>按照绩效评价指标体系，对资金支出使用全过程及其实施效果进行综合评价和判断</w:t>
      </w:r>
      <w:r>
        <w:rPr>
          <w:rFonts w:eastAsia="仿宋_GB2312" w:cs="Times New Roman" w:hint="eastAsia"/>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outlineLvl w:val="9"/>
        <w:rPr>
          <w:rFonts w:eastAsia="仿宋_GB2312" w:cs="Times New Roman" w:hint="eastAsia"/>
          <w:color w:val="auto"/>
          <w:sz w:val="32"/>
          <w:szCs w:val="32"/>
          <w:lang w:val="zh-CN" w:eastAsia="zh-CN"/>
        </w:rPr>
      </w:pPr>
      <w:r>
        <w:rPr>
          <w:rFonts w:ascii="楷体_GB2312" w:eastAsia="楷体_GB2312" w:hint="eastAsia"/>
          <w:b/>
          <w:color w:val="auto"/>
          <w:sz w:val="32"/>
          <w:szCs w:val="32"/>
          <w:u w:val="none"/>
          <w:lang w:val="zh-CN"/>
          <w:highlight w:val="auto"/>
        </w:rPr>
        <w:t>（三）评价选点。</w:t>
      </w:r>
      <w:r>
        <w:rPr>
          <w:rFonts w:eastAsia="仿宋_GB2312" w:cs="Times New Roman" w:hint="eastAsia"/>
          <w:color w:val="auto"/>
          <w:sz w:val="32"/>
          <w:szCs w:val="32"/>
          <w:lang w:val="en-US" w:eastAsia="zh-CN"/>
        </w:rPr>
        <w:t>针对预先设计的</w:t>
      </w:r>
      <w:r>
        <w:rPr>
          <w:rFonts w:eastAsia="仿宋_GB2312" w:cs="Times New Roman" w:hint="eastAsia"/>
          <w:color w:val="auto"/>
          <w:sz w:val="32"/>
          <w:szCs w:val="32"/>
          <w:lang w:val="zh-CN" w:eastAsia="zh-CN"/>
        </w:rPr>
        <w:t>项目绩效</w:t>
      </w:r>
      <w:r>
        <w:rPr>
          <w:rFonts w:eastAsia="仿宋_GB2312" w:cs="Times New Roman" w:hint="eastAsia"/>
          <w:color w:val="auto"/>
          <w:sz w:val="32"/>
          <w:szCs w:val="32"/>
          <w:lang w:val="en-US" w:eastAsia="zh-CN"/>
        </w:rPr>
        <w:t>目标，进行全面</w:t>
      </w:r>
      <w:r>
        <w:rPr>
          <w:rFonts w:eastAsia="仿宋_GB2312" w:cs="Times New Roman" w:hint="eastAsia"/>
          <w:color w:val="auto"/>
          <w:sz w:val="32"/>
          <w:szCs w:val="32"/>
          <w:lang w:val="zh-CN" w:eastAsia="zh-CN"/>
        </w:rPr>
        <w:t>自评。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hint="eastAsia"/>
          <w:color w:val="auto"/>
          <w:sz w:val="32"/>
          <w:szCs w:val="32"/>
          <w:lang w:eastAsia="zh-CN"/>
        </w:rPr>
      </w:pPr>
      <w:r>
        <w:rPr>
          <w:rFonts w:ascii="楷体_GB2312" w:eastAsia="楷体_GB2312" w:hint="eastAsia"/>
          <w:b/>
          <w:color w:val="auto"/>
          <w:sz w:val="32"/>
          <w:szCs w:val="32"/>
          <w:u w:val="none"/>
          <w:lang w:val="zh-CN"/>
          <w:highlight w:val="auto"/>
        </w:rPr>
        <w:t>（四）评价方法。</w:t>
      </w:r>
      <w:r>
        <w:rPr>
          <w:rFonts w:eastAsia="仿宋_GB2312" w:cs="Times New Roman"/>
          <w:color w:val="auto"/>
          <w:sz w:val="32"/>
          <w:szCs w:val="32"/>
        </w:rPr>
        <w:t>根据项目情况和评价重点，</w:t>
      </w:r>
      <w:r>
        <w:rPr>
          <w:rFonts w:eastAsia="仿宋_GB2312" w:cs="Times New Roman" w:hint="eastAsia"/>
          <w:color w:val="auto"/>
          <w:sz w:val="32"/>
          <w:szCs w:val="32"/>
          <w:lang w:val="en-US" w:eastAsia="zh-CN"/>
        </w:rPr>
        <w:t>通过</w:t>
      </w:r>
      <w:r>
        <w:rPr>
          <w:rFonts w:eastAsia="仿宋_GB2312" w:cs="Times New Roman"/>
          <w:color w:val="auto"/>
          <w:sz w:val="32"/>
          <w:szCs w:val="32"/>
        </w:rPr>
        <w:t>单位自评法</w:t>
      </w:r>
      <w:r>
        <w:rPr>
          <w:rFonts w:eastAsia="仿宋_GB2312" w:cs="Times New Roman" w:hint="eastAsia"/>
          <w:color w:val="auto"/>
          <w:sz w:val="32"/>
          <w:szCs w:val="32"/>
          <w:lang w:eastAsia="zh-CN"/>
        </w:rPr>
        <w:t>、</w:t>
      </w:r>
      <w:r>
        <w:rPr>
          <w:rFonts w:eastAsia="仿宋_GB2312" w:cs="Times New Roman"/>
          <w:color w:val="auto"/>
          <w:sz w:val="32"/>
          <w:szCs w:val="32"/>
        </w:rPr>
        <w:t>实地勘察法、座谈调研法</w:t>
      </w:r>
      <w:r>
        <w:rPr>
          <w:rFonts w:eastAsia="仿宋_GB2312" w:cs="Times New Roman" w:hint="eastAsia"/>
          <w:color w:val="auto"/>
          <w:sz w:val="32"/>
          <w:szCs w:val="32"/>
          <w:lang w:val="en-US" w:eastAsia="zh-CN"/>
        </w:rPr>
        <w:t>等多种方法</w:t>
      </w:r>
      <w:r>
        <w:rPr>
          <w:rFonts w:eastAsia="仿宋_GB2312" w:cs="Times New Roman" w:hint="eastAsia"/>
          <w:color w:val="auto"/>
          <w:sz w:val="32"/>
          <w:szCs w:val="32"/>
          <w:lang w:eastAsia="zh-CN"/>
        </w:rPr>
        <w:t>用来</w:t>
      </w:r>
      <w:r>
        <w:rPr>
          <w:rFonts w:eastAsia="仿宋_GB2312" w:cs="Times New Roman"/>
          <w:color w:val="auto"/>
          <w:sz w:val="32"/>
          <w:szCs w:val="32"/>
        </w:rPr>
        <w:t>收集相关材料和开展具体评价。</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hint="eastAsia"/>
          <w:color w:val="auto"/>
          <w:sz w:val="32"/>
          <w:szCs w:val="32"/>
          <w:lang w:eastAsia="zh-CN"/>
        </w:rPr>
      </w:pPr>
      <w:r>
        <w:rPr>
          <w:rFonts w:ascii="楷体_GB2312" w:eastAsia="楷体_GB2312" w:hint="eastAsia"/>
          <w:b/>
          <w:color w:val="auto"/>
          <w:sz w:val="32"/>
          <w:szCs w:val="32"/>
          <w:u w:val="none"/>
          <w:lang w:val="zh-CN"/>
          <w:highlight w:val="auto"/>
        </w:rPr>
        <w:t>（五）评价组织。</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hint="eastAsia"/>
          <w:color w:val="auto"/>
          <w:sz w:val="32"/>
          <w:szCs w:val="32"/>
          <w:lang w:val="en-US" w:eastAsia="zh-CN"/>
        </w:rPr>
      </w:pPr>
      <w:r>
        <w:rPr>
          <w:rFonts w:eastAsia="仿宋_GB2312" w:cs="Times New Roman" w:hint="eastAsia"/>
          <w:color w:val="auto"/>
          <w:sz w:val="32"/>
          <w:szCs w:val="32"/>
          <w:lang w:val="en-US" w:eastAsia="zh-CN"/>
        </w:rPr>
        <w:t>组长：黄德均  沙耳乡党委书记</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hint="eastAsia"/>
          <w:color w:val="auto"/>
          <w:sz w:val="32"/>
          <w:szCs w:val="32"/>
          <w:lang w:val="en-US" w:eastAsia="zh-CN"/>
        </w:rPr>
      </w:pPr>
      <w:r>
        <w:rPr>
          <w:rFonts w:eastAsia="仿宋_GB2312" w:cs="Times New Roman" w:hint="eastAsia"/>
          <w:color w:val="auto"/>
          <w:sz w:val="32"/>
          <w:szCs w:val="32"/>
          <w:lang w:val="en-US" w:eastAsia="zh-CN"/>
        </w:rPr>
        <w:t>副组长：赵凯琴  沙耳乡人民政府副乡长</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olor w:val="auto"/>
          <w:sz w:val="32"/>
          <w:szCs w:val="32"/>
          <w:lang w:val="en-US" w:eastAsia="zh-CN"/>
        </w:rPr>
      </w:pPr>
      <w:r>
        <w:rPr>
          <w:rFonts w:eastAsia="仿宋_GB2312" w:cs="Times New Roman" w:hint="eastAsia"/>
          <w:color w:val="auto"/>
          <w:sz w:val="32"/>
          <w:szCs w:val="32"/>
          <w:lang w:val="en-US" w:eastAsia="zh-CN"/>
        </w:rPr>
        <w:t>成员：高宇 杨洪萍</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仿宋_GB2312" w:eastAsia="仿宋_GB2312"/>
          <w:color w:val="auto"/>
          <w:sz w:val="32"/>
          <w:szCs w:val="32"/>
          <w:u w:val="none"/>
          <w:lang w:val="zh-CN"/>
          <w:highlight w:val="auto"/>
        </w:rPr>
      </w:pPr>
      <w:r>
        <w:rPr>
          <w:rFonts w:ascii="黑体" w:eastAsia="黑体" w:hint="eastAsia"/>
          <w:color w:val="auto"/>
          <w:sz w:val="32"/>
          <w:szCs w:val="32"/>
          <w:u w:val="none"/>
          <w:highlight w:val="auto"/>
        </w:rPr>
        <w:t>三、</w:t>
      </w:r>
      <w:r>
        <w:rPr>
          <w:rFonts w:ascii="黑体" w:eastAsia="黑体" w:hint="eastAsia"/>
          <w:color w:val="auto"/>
          <w:sz w:val="32"/>
          <w:szCs w:val="32"/>
          <w:u w:val="none"/>
          <w:lang w:eastAsia="zh-CN"/>
          <w:highlight w:val="auto"/>
        </w:rPr>
        <w:t>绩效分析</w:t>
      </w:r>
      <w:r>
        <w:rPr>
          <w:rFonts w:ascii="仿宋_GB2312" w:eastAsia="仿宋_GB2312" w:hint="eastAsia"/>
          <w:color w:val="auto"/>
          <w:sz w:val="32"/>
          <w:szCs w:val="32"/>
          <w:u w:val="none"/>
          <w:lang w:val="zh-CN"/>
          <w:highlight w:val="auto"/>
        </w:rPr>
        <w:tab/>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楷体_GB2312" w:eastAsia="楷体_GB2312" w:cs="Times New Roman" w:hint="eastAsia"/>
          <w:b/>
          <w:color w:val="auto"/>
          <w:sz w:val="32"/>
          <w:szCs w:val="32"/>
          <w:u w:val="none"/>
          <w:lang w:val="en-US" w:eastAsia="zh-CN"/>
          <w:highlight w:val="auto"/>
        </w:rPr>
      </w:pPr>
      <w:r>
        <w:rPr>
          <w:rFonts w:ascii="楷体_GB2312" w:eastAsia="楷体_GB2312" w:cs="Times New Roman" w:hint="eastAsia"/>
          <w:b/>
          <w:color w:val="auto"/>
          <w:sz w:val="32"/>
          <w:szCs w:val="32"/>
          <w:u w:val="none"/>
          <w:lang w:val="zh-CN"/>
          <w:highlight w:val="auto"/>
        </w:rPr>
        <w:t>（一）</w:t>
      </w:r>
      <w:r>
        <w:rPr>
          <w:rFonts w:ascii="楷体_GB2312" w:eastAsia="楷体_GB2312" w:cs="Times New Roman" w:hint="eastAsia"/>
          <w:b/>
          <w:color w:val="auto"/>
          <w:sz w:val="32"/>
          <w:szCs w:val="32"/>
          <w:u w:val="none"/>
          <w:lang w:val="en-US" w:eastAsia="zh-CN"/>
          <w:highlight w:val="auto"/>
        </w:rPr>
        <w:t>通用指标</w:t>
      </w:r>
      <w:r>
        <w:rPr>
          <w:rFonts w:ascii="Times New Roman" w:eastAsia="楷体_GB2312" w:cs="Times New Roman" w:hAnsi="Times New Roman"/>
          <w:b/>
          <w:bCs/>
          <w:color w:val="auto"/>
          <w:kern w:val="0"/>
          <w:sz w:val="32"/>
          <w:szCs w:val="32"/>
          <w:shd w:val="clear" w:color="auto" w:fill="FFFFFF"/>
          <w:lang w:val="zh-CN"/>
          <w:highlight w:val="auto"/>
        </w:rPr>
        <w:t>绩效分析。</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eastAsia="仿宋_GB2312" w:cs="Times New Roman" w:hAnsi="Times New Roman"/>
          <w:color w:val="auto"/>
          <w:sz w:val="32"/>
          <w:szCs w:val="32"/>
          <w:lang w:val="en-US" w:eastAsia="zh-CN"/>
        </w:rPr>
      </w:pPr>
      <w:r>
        <w:rPr>
          <w:rFonts w:ascii="楷体_GB2312" w:eastAsia="楷体_GB2312" w:cs="楷体_GB2312" w:hint="eastAsia"/>
          <w:color w:val="auto"/>
          <w:sz w:val="32"/>
          <w:szCs w:val="32"/>
          <w:lang w:val="en-US" w:eastAsia="zh-CN"/>
        </w:rPr>
        <w:t>1.</w:t>
      </w:r>
      <w:r>
        <w:rPr>
          <w:rFonts w:ascii="楷体_GB2312" w:eastAsia="楷体_GB2312" w:cs="楷体_GB2312" w:hint="eastAsia"/>
          <w:color w:val="auto"/>
          <w:sz w:val="32"/>
          <w:szCs w:val="32"/>
          <w:lang w:eastAsia="zh-CN"/>
        </w:rPr>
        <w:t>项目决策。</w:t>
      </w:r>
      <w:r>
        <w:rPr>
          <w:rFonts w:ascii="Times New Roman" w:eastAsia="仿宋_GB2312" w:cs="Times New Roman" w:hAnsi="Times New Roman" w:hint="eastAsia"/>
          <w:color w:val="auto"/>
          <w:sz w:val="32"/>
          <w:szCs w:val="32"/>
          <w:lang w:eastAsia="zh-CN"/>
        </w:rPr>
        <w:t>项目决策程序严密</w:t>
      </w:r>
      <w:r>
        <w:rPr>
          <w:rFonts w:eastAsia="仿宋_GB2312" w:cs="Times New Roman" w:hint="eastAsia"/>
          <w:color w:val="auto"/>
          <w:sz w:val="32"/>
          <w:szCs w:val="32"/>
          <w:lang w:eastAsia="zh-CN"/>
        </w:rPr>
        <w:t>。项目规划论证符合要求，项目绩效目标设置科学合理。项目资金与项目总体规划、相关行业事业发展相匹配，</w:t>
      </w:r>
      <w:r>
        <w:rPr>
          <w:rFonts w:eastAsia="仿宋_GB2312" w:cs="Times New Roman" w:hint="eastAsia"/>
          <w:color w:val="auto"/>
          <w:sz w:val="32"/>
          <w:szCs w:val="32"/>
          <w:lang w:val="en-US" w:eastAsia="zh-CN"/>
        </w:rPr>
        <w:t>能有效</w:t>
      </w:r>
      <w:r>
        <w:rPr>
          <w:rFonts w:eastAsia="仿宋_GB2312" w:cs="Times New Roman" w:hint="eastAsia"/>
          <w:color w:val="auto"/>
          <w:sz w:val="32"/>
          <w:szCs w:val="32"/>
          <w:lang w:eastAsia="zh-CN"/>
        </w:rPr>
        <w:t>聚焦重大任务、重点领域、重点环节和重点项目。</w:t>
      </w:r>
      <w:r>
        <w:rPr>
          <w:rFonts w:eastAsia="仿宋_GB2312" w:cs="Times New Roman" w:hint="eastAsia"/>
          <w:color w:val="auto"/>
          <w:sz w:val="32"/>
          <w:szCs w:val="32"/>
          <w:lang w:val="en-US" w:eastAsia="zh-CN"/>
        </w:rPr>
        <w:t>项目决策得分18分。</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eastAsia="仿宋_GB2312" w:cs="Times New Roman" w:hAnsi="Times New Roman"/>
          <w:color w:val="auto"/>
          <w:sz w:val="32"/>
          <w:szCs w:val="32"/>
          <w:lang w:val="en-US" w:eastAsia="zh-CN"/>
        </w:rPr>
      </w:pPr>
      <w:r>
        <w:rPr>
          <w:rFonts w:ascii="楷体_GB2312" w:eastAsia="楷体_GB2312" w:cs="楷体_GB2312" w:hint="eastAsia"/>
          <w:color w:val="auto"/>
          <w:sz w:val="32"/>
          <w:szCs w:val="32"/>
          <w:lang w:val="en-US" w:eastAsia="zh-CN"/>
        </w:rPr>
        <w:t>2.</w:t>
      </w:r>
      <w:r>
        <w:rPr>
          <w:rFonts w:ascii="楷体_GB2312" w:eastAsia="楷体_GB2312" w:cs="楷体_GB2312" w:hint="eastAsia"/>
          <w:color w:val="auto"/>
          <w:sz w:val="32"/>
          <w:szCs w:val="32"/>
          <w:lang w:eastAsia="zh-CN"/>
        </w:rPr>
        <w:t>项目管理。</w:t>
      </w:r>
      <w:r>
        <w:rPr>
          <w:rFonts w:ascii="Times New Roman" w:eastAsia="仿宋_GB2312" w:cs="Times New Roman" w:hAnsi="Times New Roman" w:hint="eastAsia"/>
          <w:color w:val="auto"/>
          <w:sz w:val="32"/>
          <w:szCs w:val="32"/>
          <w:lang w:eastAsia="zh-CN"/>
        </w:rPr>
        <w:t>项目制度办法体系健全、要素完备</w:t>
      </w:r>
      <w:r>
        <w:rPr>
          <w:rFonts w:eastAsia="仿宋_GB2312" w:cs="Times New Roman" w:hint="eastAsia"/>
          <w:color w:val="auto"/>
          <w:sz w:val="32"/>
          <w:szCs w:val="32"/>
          <w:lang w:eastAsia="zh-CN"/>
        </w:rPr>
        <w:t>。项目资金分配因素选取、权重设置、区域分布，项目管理、审批符合</w:t>
      </w:r>
      <w:r>
        <w:rPr>
          <w:rFonts w:eastAsia="仿宋_GB2312" w:cs="Times New Roman" w:hint="eastAsia"/>
          <w:color w:val="auto"/>
          <w:sz w:val="32"/>
          <w:szCs w:val="32"/>
          <w:lang w:val="en-US" w:eastAsia="zh-CN"/>
        </w:rPr>
        <w:t>该项目实施方案内容。项目绩效监管按要求开展，项目管理、指导有力有效。项目管理得分18分。</w:t>
      </w:r>
    </w:p>
    <w:p>
      <w:pPr>
        <w:keepNext w:val="0"/>
        <w:keepLines w:val="0"/>
        <w:pageBreakBefore w:val="0"/>
        <w:widowControl w:val="0"/>
        <w:kinsoku/>
        <w:wordWrap/>
        <w:overflowPunct/>
        <w:topLinePunct w:val="0"/>
        <w:autoSpaceDE/>
        <w:autoSpaceDN/>
        <w:bidi w:val="0"/>
        <w:adjustRightInd/>
        <w:snapToGrid/>
        <w:spacing w:line="578" w:lineRule="exact"/>
        <w:ind w:leftChars="200" w:left="420" w:firstLine="0"/>
        <w:jc w:val="left"/>
        <w:textAlignment w:val="auto"/>
        <w:outlineLvl w:val="9"/>
        <w:rPr>
          <w:rFonts w:ascii="Times New Roman" w:eastAsia="仿宋_GB2312" w:cs="Times New Roman" w:hAnsi="Times New Roman"/>
          <w:color w:val="auto"/>
          <w:sz w:val="32"/>
          <w:szCs w:val="32"/>
          <w:lang w:val="en-US" w:eastAsia="zh-CN"/>
        </w:rPr>
      </w:pPr>
      <w:r>
        <w:rPr>
          <w:rFonts w:ascii="楷体_GB2312" w:eastAsia="楷体_GB2312" w:cs="楷体_GB2312" w:hint="eastAsia"/>
          <w:color w:val="auto"/>
          <w:sz w:val="32"/>
          <w:szCs w:val="32"/>
          <w:lang w:val="en-US" w:eastAsia="zh-CN"/>
        </w:rPr>
        <w:t>3.项目实施。</w:t>
      </w:r>
      <w:r>
        <w:rPr>
          <w:rFonts w:ascii="Times New Roman" w:eastAsia="仿宋_GB2312" w:cs="Times New Roman" w:hAnsi="Times New Roman" w:hint="eastAsia"/>
          <w:color w:val="auto"/>
          <w:sz w:val="32"/>
          <w:szCs w:val="32"/>
          <w:lang w:eastAsia="zh-CN"/>
        </w:rPr>
        <w:t>项目资金财政拨付、单位执行和地方配套</w:t>
      </w:r>
      <w:r>
        <w:rPr>
          <w:rFonts w:ascii="Times New Roman" w:eastAsia="仿宋_GB2312" w:cs="Times New Roman" w:hAnsi="Times New Roman" w:hint="eastAsia"/>
          <w:color w:val="auto"/>
          <w:sz w:val="32"/>
          <w:szCs w:val="32"/>
          <w:lang w:val="en-US" w:eastAsia="zh-CN"/>
        </w:rPr>
        <w:t>按时到位。资金使用拨付、项目实施全过程符合规定。</w:t>
      </w:r>
      <w:r>
        <w:rPr>
          <w:rFonts w:eastAsia="仿宋_GB2312" w:cs="Times New Roman" w:hint="eastAsia"/>
          <w:color w:val="auto"/>
          <w:sz w:val="32"/>
          <w:szCs w:val="32"/>
          <w:lang w:val="en-US" w:eastAsia="zh-CN"/>
        </w:rPr>
        <w:t>项目实施得分9分。</w:t>
      </w:r>
    </w:p>
    <w:p>
      <w:pPr>
        <w:keepNext w:val="0"/>
        <w:keepLines w:val="0"/>
        <w:pageBreakBefore w:val="0"/>
        <w:widowControl w:val="0"/>
        <w:kinsoku/>
        <w:wordWrap/>
        <w:overflowPunct/>
        <w:topLinePunct w:val="0"/>
        <w:autoSpaceDE/>
        <w:autoSpaceDN/>
        <w:bidi w:val="0"/>
        <w:adjustRightInd/>
        <w:snapToGrid/>
        <w:spacing w:line="578" w:lineRule="exact"/>
        <w:ind w:leftChars="200" w:left="420" w:firstLine="0"/>
        <w:textAlignment w:val="auto"/>
        <w:outlineLvl w:val="9"/>
        <w:rPr>
          <w:rFonts w:ascii="Times New Roman" w:eastAsia="仿宋_GB2312" w:cs="Times New Roman" w:hAnsi="Times New Roman" w:hint="eastAsia"/>
          <w:color w:val="auto"/>
          <w:sz w:val="32"/>
          <w:szCs w:val="32"/>
          <w:lang w:eastAsia="zh-CN"/>
        </w:rPr>
      </w:pPr>
      <w:r>
        <w:rPr>
          <w:rFonts w:ascii="楷体_GB2312" w:eastAsia="楷体_GB2312" w:cs="楷体_GB2312" w:hint="eastAsia"/>
          <w:color w:val="auto"/>
          <w:sz w:val="32"/>
          <w:szCs w:val="32"/>
          <w:lang w:val="en-US" w:eastAsia="zh-CN"/>
        </w:rPr>
        <w:t>4.项目结果。</w:t>
      </w:r>
      <w:r>
        <w:rPr>
          <w:rFonts w:ascii="Times New Roman" w:eastAsia="仿宋_GB2312" w:cs="Times New Roman" w:hAnsi="Times New Roman" w:hint="eastAsia"/>
          <w:color w:val="auto"/>
          <w:sz w:val="32"/>
          <w:szCs w:val="32"/>
          <w:lang w:val="en-US" w:eastAsia="zh-CN"/>
        </w:rPr>
        <w:t>围绕</w:t>
      </w:r>
      <w:r>
        <w:rPr>
          <w:rFonts w:ascii="Times New Roman" w:eastAsia="仿宋_GB2312" w:cs="Times New Roman" w:hAnsi="Times New Roman" w:hint="eastAsia"/>
          <w:color w:val="auto"/>
          <w:sz w:val="32"/>
          <w:szCs w:val="32"/>
          <w:lang w:eastAsia="zh-CN"/>
        </w:rPr>
        <w:t>目标完成、完成时效进行绩效分析。项目顺利完成预期目标，实施结果与绩效目标相匹配，反映目标实现程度达100%。项目实际完成时间与计划完成时间的比较提前。</w:t>
      </w:r>
      <w:r>
        <w:rPr>
          <w:rFonts w:eastAsia="仿宋_GB2312" w:cs="Times New Roman" w:hint="eastAsia"/>
          <w:color w:val="auto"/>
          <w:sz w:val="32"/>
          <w:szCs w:val="32"/>
          <w:lang w:val="en-US" w:eastAsia="zh-CN"/>
        </w:rPr>
        <w:t>项目结果得分9分。</w:t>
      </w:r>
    </w:p>
    <w:p>
      <w:pPr>
        <w:keepNext w:val="0"/>
        <w:keepLines w:val="0"/>
        <w:pageBreakBefore w:val="0"/>
        <w:widowControl w:val="0"/>
        <w:kinsoku/>
        <w:wordWrap/>
        <w:overflowPunct/>
        <w:topLinePunct w:val="0"/>
        <w:autoSpaceDE/>
        <w:autoSpaceDN/>
        <w:bidi w:val="0"/>
        <w:adjustRightInd/>
        <w:snapToGrid/>
        <w:spacing w:line="578" w:lineRule="exact"/>
        <w:ind w:firstLineChars="200" w:firstLine="640"/>
        <w:textAlignment w:val="auto"/>
        <w:outlineLvl w:val="9"/>
        <w:rPr>
          <w:rFonts w:ascii="楷体_GB2312" w:eastAsia="楷体_GB2312" w:cs="楷体_GB2312" w:hint="eastAsia"/>
          <w:color w:val="auto"/>
          <w:sz w:val="32"/>
          <w:szCs w:val="32"/>
          <w:lang w:val="zh-CN" w:eastAsia="zh-CN"/>
        </w:rPr>
      </w:pPr>
      <w:r>
        <w:rPr>
          <w:rFonts w:ascii="楷体_GB2312" w:eastAsia="楷体_GB2312" w:cs="Times New Roman" w:hint="eastAsia"/>
          <w:b/>
          <w:color w:val="auto"/>
          <w:sz w:val="32"/>
          <w:szCs w:val="32"/>
          <w:u w:val="none"/>
          <w:lang w:val="zh-CN"/>
          <w:highlight w:val="auto"/>
        </w:rPr>
        <w:t>（二）</w:t>
      </w:r>
      <w:r>
        <w:rPr>
          <w:rFonts w:ascii="楷体_GB2312" w:eastAsia="楷体_GB2312" w:cs="Times New Roman" w:hint="eastAsia"/>
          <w:b/>
          <w:color w:val="auto"/>
          <w:sz w:val="32"/>
          <w:szCs w:val="32"/>
          <w:u w:val="none"/>
          <w:lang w:val="en-US" w:eastAsia="zh-CN"/>
          <w:highlight w:val="auto"/>
        </w:rPr>
        <w:t>专用指标</w:t>
      </w:r>
      <w:r>
        <w:rPr>
          <w:rFonts w:ascii="Times New Roman" w:eastAsia="楷体_GB2312" w:cs="Times New Roman" w:hAnsi="Times New Roman"/>
          <w:b/>
          <w:bCs/>
          <w:color w:val="auto"/>
          <w:kern w:val="0"/>
          <w:sz w:val="32"/>
          <w:szCs w:val="32"/>
          <w:shd w:val="clear" w:color="auto" w:fill="FFFFFF"/>
          <w:lang w:val="zh-CN"/>
          <w:highlight w:val="auto"/>
        </w:rPr>
        <w:t>绩效分析。</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outlineLvl w:val="9"/>
        <w:rPr>
          <w:rFonts w:ascii="楷体_GB2312" w:eastAsia="楷体_GB2312" w:cs="楷体_GB2312" w:hint="eastAsia"/>
          <w:color w:val="auto"/>
          <w:sz w:val="32"/>
          <w:szCs w:val="32"/>
          <w:lang w:val="en-US" w:eastAsia="zh-CN"/>
        </w:rPr>
      </w:pPr>
      <w:r>
        <w:rPr>
          <w:rFonts w:ascii="楷体_GB2312" w:eastAsia="楷体_GB2312" w:cs="楷体_GB2312" w:hint="eastAsia"/>
          <w:color w:val="auto"/>
          <w:sz w:val="32"/>
          <w:szCs w:val="32"/>
          <w:lang w:val="en-US" w:eastAsia="zh-CN"/>
        </w:rPr>
        <w:t>基础设施。</w:t>
      </w:r>
      <w:r>
        <w:rPr>
          <w:rFonts w:eastAsia="仿宋_GB2312" w:cs="Times New Roman" w:hint="eastAsia"/>
          <w:color w:val="auto"/>
          <w:sz w:val="32"/>
          <w:szCs w:val="32"/>
          <w:lang w:eastAsia="zh-CN"/>
        </w:rPr>
        <w:t>项目</w:t>
      </w:r>
      <w:r>
        <w:rPr>
          <w:rFonts w:eastAsia="仿宋_GB2312" w:cs="Times New Roman" w:hint="eastAsia"/>
          <w:color w:val="auto"/>
          <w:sz w:val="32"/>
          <w:szCs w:val="32"/>
          <w:lang w:val="en-US" w:eastAsia="zh-CN"/>
        </w:rPr>
        <w:t>施工中，按时间节点</w:t>
      </w:r>
      <w:r>
        <w:rPr>
          <w:rFonts w:eastAsia="仿宋_GB2312" w:cs="Times New Roman" w:hint="eastAsia"/>
          <w:color w:val="auto"/>
          <w:sz w:val="32"/>
          <w:szCs w:val="32"/>
          <w:lang w:eastAsia="zh-CN"/>
        </w:rPr>
        <w:t>达到计划工程进度。项目</w:t>
      </w:r>
      <w:r>
        <w:rPr>
          <w:rFonts w:eastAsia="仿宋_GB2312" w:cs="Times New Roman" w:hint="eastAsia"/>
          <w:color w:val="auto"/>
          <w:sz w:val="32"/>
          <w:szCs w:val="32"/>
          <w:lang w:val="en-US" w:eastAsia="zh-CN"/>
        </w:rPr>
        <w:t>实施过程中，按要求</w:t>
      </w:r>
      <w:r>
        <w:rPr>
          <w:rFonts w:eastAsia="仿宋_GB2312" w:cs="Times New Roman" w:hint="eastAsia"/>
          <w:color w:val="auto"/>
          <w:sz w:val="32"/>
          <w:szCs w:val="32"/>
          <w:lang w:eastAsia="zh-CN"/>
        </w:rPr>
        <w:t>达到预先确定的资金拨付进度。项目验收及时合格。项目经济社会功能</w:t>
      </w:r>
      <w:r>
        <w:rPr>
          <w:rFonts w:eastAsia="仿宋_GB2312" w:cs="Times New Roman" w:hint="eastAsia"/>
          <w:color w:val="auto"/>
          <w:sz w:val="32"/>
          <w:szCs w:val="32"/>
          <w:lang w:val="en-US" w:eastAsia="zh-CN"/>
        </w:rPr>
        <w:t>按要求</w:t>
      </w:r>
      <w:r>
        <w:rPr>
          <w:rFonts w:eastAsia="仿宋_GB2312" w:cs="Times New Roman" w:hint="eastAsia"/>
          <w:color w:val="auto"/>
          <w:sz w:val="32"/>
          <w:szCs w:val="32"/>
          <w:lang w:eastAsia="zh-CN"/>
        </w:rPr>
        <w:t>实现。项目后续维护</w:t>
      </w:r>
      <w:r>
        <w:rPr>
          <w:rFonts w:eastAsia="仿宋_GB2312" w:cs="Times New Roman" w:hint="eastAsia"/>
          <w:color w:val="auto"/>
          <w:sz w:val="32"/>
          <w:szCs w:val="32"/>
          <w:lang w:val="en-US" w:eastAsia="zh-CN"/>
        </w:rPr>
        <w:t>按要求</w:t>
      </w:r>
      <w:r>
        <w:rPr>
          <w:rFonts w:eastAsia="仿宋_GB2312" w:cs="Times New Roman" w:hint="eastAsia"/>
          <w:color w:val="auto"/>
          <w:sz w:val="32"/>
          <w:szCs w:val="32"/>
          <w:lang w:eastAsia="zh-CN"/>
        </w:rPr>
        <w:t>实现。</w:t>
      </w:r>
      <w:r>
        <w:rPr>
          <w:rFonts w:eastAsia="仿宋_GB2312" w:cs="Times New Roman" w:hint="eastAsia"/>
          <w:color w:val="auto"/>
          <w:sz w:val="32"/>
          <w:szCs w:val="32"/>
          <w:lang w:val="en-US" w:eastAsia="zh-CN"/>
        </w:rPr>
        <w:t>基础设施得分30分。</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eastAsia="仿宋_GB2312" w:cs="Times New Roman"/>
          <w:color w:val="auto"/>
          <w:sz w:val="32"/>
          <w:szCs w:val="32"/>
          <w:lang w:val="en-US" w:eastAsia="zh-CN"/>
        </w:rPr>
      </w:pPr>
      <w:r>
        <w:rPr>
          <w:rFonts w:ascii="楷体_GB2312" w:eastAsia="楷体_GB2312" w:cs="Times New Roman" w:hint="eastAsia"/>
          <w:b/>
          <w:color w:val="auto"/>
          <w:sz w:val="32"/>
          <w:szCs w:val="32"/>
          <w:u w:val="none"/>
          <w:lang w:val="zh-CN"/>
          <w:highlight w:val="auto"/>
        </w:rPr>
        <w:t>（三）</w:t>
      </w:r>
      <w:r>
        <w:rPr>
          <w:rFonts w:ascii="楷体_GB2312" w:eastAsia="楷体_GB2312" w:cs="Times New Roman" w:hint="eastAsia"/>
          <w:b/>
          <w:color w:val="auto"/>
          <w:sz w:val="32"/>
          <w:szCs w:val="32"/>
          <w:u w:val="none"/>
          <w:lang w:val="en-US" w:eastAsia="zh-CN"/>
          <w:highlight w:val="auto"/>
        </w:rPr>
        <w:t>个性指标</w:t>
      </w:r>
      <w:r>
        <w:rPr>
          <w:rFonts w:ascii="Times New Roman" w:eastAsia="楷体_GB2312" w:cs="Times New Roman" w:hAnsi="Times New Roman"/>
          <w:b/>
          <w:bCs/>
          <w:color w:val="auto"/>
          <w:kern w:val="0"/>
          <w:sz w:val="32"/>
          <w:szCs w:val="32"/>
          <w:shd w:val="clear" w:color="auto" w:fill="FFFFFF"/>
          <w:lang w:val="zh-CN"/>
          <w:highlight w:val="auto"/>
        </w:rPr>
        <w:t>绩效分析。</w:t>
      </w:r>
      <w:r>
        <w:rPr>
          <w:rFonts w:eastAsia="仿宋_GB2312" w:cs="Times New Roman" w:hint="eastAsia"/>
          <w:color w:val="auto"/>
          <w:sz w:val="32"/>
          <w:szCs w:val="32"/>
          <w:lang w:val="zh-CN" w:eastAsia="zh-CN"/>
        </w:rPr>
        <w:t>带动增加脱贫人口务工收入。个性指标</w:t>
      </w:r>
      <w:r>
        <w:rPr>
          <w:rFonts w:eastAsia="仿宋_GB2312" w:cs="Times New Roman" w:hint="eastAsia"/>
          <w:color w:val="auto"/>
          <w:sz w:val="32"/>
          <w:szCs w:val="32"/>
          <w:lang w:val="en-US" w:eastAsia="zh-CN"/>
        </w:rPr>
        <w:t>得分16分。</w:t>
      </w:r>
    </w:p>
    <w:p>
      <w:pPr>
        <w:pageBreakBefore w:val="0"/>
        <w:widowControl/>
        <w:tabs>
          <w:tab w:val="left" w:pos="2160"/>
        </w:tabs>
        <w:kinsoku/>
        <w:wordWrap/>
        <w:overflowPunct/>
        <w:topLinePunct w:val="0"/>
        <w:autoSpaceDE/>
        <w:autoSpaceDN/>
        <w:bidi w:val="0"/>
        <w:adjustRightInd/>
        <w:spacing w:line="600" w:lineRule="exact"/>
        <w:ind w:left="0" w:firstLineChars="200" w:firstLine="640"/>
        <w:jc w:val="left"/>
        <w:textAlignment w:val="auto"/>
        <w:rPr>
          <w:rFonts w:ascii="黑体" w:eastAsia="黑体" w:cs="Times New Roman" w:hint="eastAsia"/>
          <w:color w:val="auto"/>
          <w:kern w:val="0"/>
          <w:position w:val="3"/>
          <w:sz w:val="32"/>
          <w:szCs w:val="32"/>
          <w:u w:val="none"/>
          <w:lang w:val="en-US" w:bidi="ar-SA"/>
          <w:highlight w:val="auto"/>
        </w:rPr>
      </w:pPr>
      <w:r>
        <w:rPr>
          <w:rFonts w:ascii="黑体" w:eastAsia="黑体" w:cs="Times New Roman" w:hint="eastAsia"/>
          <w:color w:val="auto"/>
          <w:kern w:val="0"/>
          <w:position w:val="3"/>
          <w:sz w:val="32"/>
          <w:szCs w:val="32"/>
          <w:u w:val="none"/>
          <w:lang w:val="en-US" w:eastAsia="zh-CN" w:bidi="ar-SA"/>
          <w:highlight w:val="auto"/>
        </w:rPr>
        <w:t>四</w:t>
      </w:r>
      <w:r>
        <w:rPr>
          <w:rFonts w:ascii="黑体" w:eastAsia="黑体" w:cs="Times New Roman" w:hint="eastAsia"/>
          <w:color w:val="auto"/>
          <w:kern w:val="0"/>
          <w:position w:val="3"/>
          <w:sz w:val="32"/>
          <w:szCs w:val="32"/>
          <w:u w:val="none"/>
          <w:lang w:val="en-US" w:bidi="ar-SA"/>
          <w:highlight w:val="auto"/>
        </w:rPr>
        <w:t>、评价结论</w:t>
      </w:r>
    </w:p>
    <w:p>
      <w:pPr>
        <w:pageBreakBefore w:val="0"/>
        <w:widowControl/>
        <w:tabs>
          <w:tab w:val="left" w:pos="2160"/>
        </w:tabs>
        <w:kinsoku/>
        <w:wordWrap/>
        <w:overflowPunct/>
        <w:topLinePunct w:val="0"/>
        <w:autoSpaceDE/>
        <w:autoSpaceDN/>
        <w:bidi w:val="0"/>
        <w:adjustRightInd/>
        <w:spacing w:line="600" w:lineRule="exact"/>
        <w:ind w:left="0" w:firstLineChars="200" w:firstLine="640"/>
        <w:jc w:val="left"/>
        <w:textAlignment w:val="auto"/>
        <w:rPr>
          <w:rFonts w:ascii="黑体" w:eastAsia="黑体" w:cs="黑体" w:hint="eastAsia"/>
          <w:b w:val="0"/>
          <w:bCs w:val="0"/>
          <w:color w:val="auto"/>
          <w:kern w:val="2"/>
          <w:position w:val="0"/>
          <w:sz w:val="32"/>
          <w:szCs w:val="32"/>
          <w:lang w:val="en-US" w:eastAsia="zh-CN" w:bidi="ar-SA"/>
          <w:highlight w:val="auto"/>
        </w:rPr>
      </w:pPr>
      <w:r>
        <w:rPr>
          <w:rFonts w:ascii="仿宋_GB2312" w:eastAsia="仿宋_GB2312" w:cs="仿宋_GB2312" w:hint="eastAsia"/>
          <w:b w:val="0"/>
          <w:bCs w:val="0"/>
          <w:color w:val="auto"/>
          <w:kern w:val="0"/>
          <w:position w:val="0"/>
          <w:sz w:val="32"/>
          <w:szCs w:val="32"/>
          <w:lang w:val="en-US" w:eastAsia="zh-CN" w:bidi="ar-SA"/>
          <w:highlight w:val="auto"/>
        </w:rPr>
        <w:t>专项预算项目绩效自评合格，评价总分99分、</w:t>
      </w:r>
      <w:r>
        <w:rPr>
          <w:rFonts w:ascii="仿宋_GB2312" w:eastAsia="仿宋_GB2312" w:cs="仿宋_GB2312" w:hint="eastAsia"/>
          <w:b w:val="0"/>
          <w:bCs w:val="0"/>
          <w:color w:val="auto"/>
          <w:kern w:val="0"/>
          <w:position w:val="3"/>
          <w:sz w:val="32"/>
          <w:szCs w:val="32"/>
          <w:lang w:val="zh-CN" w:bidi="ar-SA"/>
          <w:highlight w:val="auto"/>
        </w:rPr>
        <w:t>项目实施情况</w:t>
      </w:r>
      <w:r>
        <w:rPr>
          <w:rFonts w:ascii="仿宋_GB2312" w:eastAsia="仿宋_GB2312" w:cs="仿宋_GB2312" w:hint="eastAsia"/>
          <w:b w:val="0"/>
          <w:bCs w:val="0"/>
          <w:color w:val="auto"/>
          <w:kern w:val="0"/>
          <w:position w:val="3"/>
          <w:sz w:val="32"/>
          <w:szCs w:val="32"/>
          <w:lang w:val="en-US" w:eastAsia="zh-CN" w:bidi="ar-SA"/>
          <w:highlight w:val="auto"/>
        </w:rPr>
        <w:t>良好</w:t>
      </w:r>
      <w:r>
        <w:rPr>
          <w:rFonts w:ascii="仿宋_GB2312" w:eastAsia="仿宋_GB2312" w:cs="仿宋_GB2312" w:hint="eastAsia"/>
          <w:b w:val="0"/>
          <w:bCs w:val="0"/>
          <w:color w:val="auto"/>
          <w:kern w:val="0"/>
          <w:position w:val="3"/>
          <w:sz w:val="32"/>
          <w:szCs w:val="32"/>
          <w:lang w:val="zh-CN" w:bidi="ar-SA"/>
          <w:highlight w:val="auto"/>
        </w:rPr>
        <w:t>。</w:t>
      </w:r>
    </w:p>
    <w:p>
      <w:pPr>
        <w:pageBreakBefore w:val="0"/>
        <w:widowControl/>
        <w:tabs>
          <w:tab w:val="left" w:pos="2160"/>
        </w:tabs>
        <w:kinsoku/>
        <w:wordWrap/>
        <w:overflowPunct/>
        <w:topLinePunct w:val="0"/>
        <w:autoSpaceDE/>
        <w:autoSpaceDN/>
        <w:bidi w:val="0"/>
        <w:adjustRightInd/>
        <w:spacing w:line="600" w:lineRule="exact"/>
        <w:ind w:left="0" w:firstLineChars="200" w:firstLine="640"/>
        <w:jc w:val="left"/>
        <w:textAlignment w:val="auto"/>
        <w:rPr>
          <w:rFonts w:ascii="黑体" w:eastAsia="黑体" w:cs="Times New Roman" w:hint="eastAsia"/>
          <w:color w:val="auto"/>
          <w:kern w:val="0"/>
          <w:position w:val="3"/>
          <w:sz w:val="32"/>
          <w:szCs w:val="32"/>
          <w:u w:val="none"/>
          <w:lang w:val="en-US" w:eastAsia="zh-CN" w:bidi="ar-SA"/>
          <w:highlight w:val="auto"/>
        </w:rPr>
      </w:pPr>
      <w:r>
        <w:rPr>
          <w:rFonts w:ascii="黑体" w:eastAsia="黑体" w:cs="Times New Roman" w:hint="eastAsia"/>
          <w:color w:val="auto"/>
          <w:kern w:val="0"/>
          <w:position w:val="3"/>
          <w:sz w:val="32"/>
          <w:szCs w:val="32"/>
          <w:u w:val="none"/>
          <w:lang w:val="en-US" w:eastAsia="zh-CN" w:bidi="ar-SA"/>
          <w:highlight w:val="auto"/>
        </w:rPr>
        <w:t>五、存在主要问题</w:t>
      </w:r>
    </w:p>
    <w:p>
      <w:pPr>
        <w:pageBreakBefore w:val="0"/>
        <w:widowControl/>
        <w:tabs>
          <w:tab w:val="left" w:pos="2160"/>
        </w:tabs>
        <w:kinsoku/>
        <w:wordWrap/>
        <w:overflowPunct/>
        <w:topLinePunct w:val="0"/>
        <w:autoSpaceDE/>
        <w:autoSpaceDN/>
        <w:bidi w:val="0"/>
        <w:adjustRightInd/>
        <w:spacing w:line="600" w:lineRule="exact"/>
        <w:ind w:left="0" w:firstLineChars="200" w:firstLine="640"/>
        <w:jc w:val="left"/>
        <w:textAlignment w:val="auto"/>
        <w:rPr>
          <w:rFonts w:ascii="黑体" w:eastAsia="黑体" w:cs="黑体" w:hint="eastAsia"/>
          <w:b w:val="0"/>
          <w:bCs w:val="0"/>
          <w:color w:val="auto"/>
          <w:kern w:val="2"/>
          <w:position w:val="0"/>
          <w:sz w:val="32"/>
          <w:szCs w:val="32"/>
          <w:lang w:val="en-US" w:eastAsia="zh-CN" w:bidi="ar-SA"/>
          <w:highlight w:val="auto"/>
        </w:rPr>
      </w:pPr>
      <w:r>
        <w:rPr>
          <w:rFonts w:ascii="仿宋_GB2312" w:eastAsia="仿宋_GB2312" w:cs="仿宋_GB2312" w:hint="eastAsia"/>
          <w:b w:val="0"/>
          <w:bCs w:val="0"/>
          <w:color w:val="auto"/>
          <w:kern w:val="0"/>
          <w:position w:val="0"/>
          <w:sz w:val="32"/>
          <w:szCs w:val="32"/>
          <w:lang w:val="en-US" w:eastAsia="zh-CN" w:bidi="ar-SA"/>
          <w:highlight w:val="auto"/>
        </w:rPr>
        <w:t>无。</w:t>
      </w:r>
    </w:p>
    <w:p>
      <w:pPr>
        <w:pageBreakBefore w:val="0"/>
        <w:widowControl/>
        <w:tabs>
          <w:tab w:val="left" w:pos="2160"/>
        </w:tabs>
        <w:kinsoku/>
        <w:wordWrap/>
        <w:overflowPunct/>
        <w:topLinePunct w:val="0"/>
        <w:autoSpaceDE/>
        <w:autoSpaceDN/>
        <w:bidi w:val="0"/>
        <w:adjustRightInd/>
        <w:spacing w:line="600" w:lineRule="exact"/>
        <w:ind w:left="0" w:firstLineChars="200" w:firstLine="640"/>
        <w:jc w:val="left"/>
        <w:textAlignment w:val="auto"/>
        <w:rPr>
          <w:rFonts w:ascii="黑体" w:eastAsia="黑体" w:cs="Times New Roman" w:hint="eastAsia"/>
          <w:color w:val="auto"/>
          <w:kern w:val="0"/>
          <w:position w:val="3"/>
          <w:sz w:val="32"/>
          <w:szCs w:val="32"/>
          <w:u w:val="none"/>
          <w:lang w:val="zh-CN" w:eastAsia="zh-CN" w:bidi="ar-SA"/>
          <w:highlight w:val="auto"/>
        </w:rPr>
      </w:pPr>
      <w:r>
        <w:rPr>
          <w:rFonts w:ascii="黑体" w:eastAsia="黑体" w:cs="Times New Roman" w:hint="eastAsia"/>
          <w:color w:val="auto"/>
          <w:kern w:val="0"/>
          <w:position w:val="3"/>
          <w:sz w:val="32"/>
          <w:szCs w:val="32"/>
          <w:u w:val="none"/>
          <w:lang w:val="zh-CN" w:eastAsia="zh-CN" w:bidi="ar-SA"/>
          <w:highlight w:val="auto"/>
        </w:rPr>
        <w:t>六、改进建议</w:t>
      </w:r>
    </w:p>
    <w:p>
      <w:pPr>
        <w:tabs>
          <w:tab w:val="left" w:pos="1911"/>
        </w:tabs>
        <w:jc w:val="left"/>
        <w:rPr>
          <w:rFonts w:ascii="仿宋_GB2312" w:eastAsia="仿宋_GB2312" w:cs="仿宋_GB2312" w:hint="eastAsia"/>
          <w:b w:val="0"/>
          <w:bCs w:val="0"/>
          <w:color w:val="auto"/>
          <w:kern w:val="0"/>
          <w:position w:val="0"/>
          <w:sz w:val="32"/>
          <w:szCs w:val="32"/>
          <w:lang w:eastAsia="zh-CN" w:bidi="ar-SA"/>
          <w:highlight w:val="auto"/>
        </w:rPr>
      </w:pPr>
      <w:r>
        <w:rPr>
          <w:rFonts w:ascii="仿宋_GB2312" w:eastAsia="仿宋_GB2312" w:cs="仿宋_GB2312" w:hint="eastAsia"/>
          <w:color w:val="auto"/>
          <w:kern w:val="0"/>
          <w:sz w:val="32"/>
          <w:szCs w:val="32"/>
          <w:u w:val="none"/>
          <w:shd w:val="clear" w:color="auto" w:fill="FFFFFF"/>
          <w:lang w:val="zh-CN" w:eastAsia="zh-CN"/>
          <w:highlight w:val="auto"/>
        </w:rPr>
        <w:t xml:space="preserve"> </w:t>
      </w:r>
      <w:r>
        <w:rPr>
          <w:rFonts w:ascii="仿宋_GB2312" w:eastAsia="仿宋_GB2312" w:cs="仿宋_GB2312" w:hint="eastAsia"/>
          <w:b w:val="0"/>
          <w:bCs w:val="0"/>
          <w:color w:val="auto"/>
          <w:kern w:val="0"/>
          <w:position w:val="0"/>
          <w:sz w:val="32"/>
          <w:szCs w:val="32"/>
          <w:lang w:val="en-US" w:eastAsia="zh-CN" w:bidi="ar-SA"/>
          <w:highlight w:val="auto"/>
        </w:rPr>
        <w:t xml:space="preserve">   </w:t>
      </w:r>
      <w:bookmarkStart w:id="65" w:name="_Hlk110546638"/>
      <w:r>
        <w:rPr>
          <w:rFonts w:ascii="仿宋_GB2312" w:eastAsia="仿宋_GB2312" w:cs="仿宋_GB2312" w:hint="eastAsia"/>
          <w:b w:val="0"/>
          <w:bCs w:val="0"/>
          <w:color w:val="auto"/>
          <w:kern w:val="0"/>
          <w:position w:val="0"/>
          <w:sz w:val="32"/>
          <w:szCs w:val="32"/>
          <w:lang w:val="en-US" w:eastAsia="zh-CN" w:bidi="ar-SA"/>
          <w:highlight w:val="auto"/>
        </w:rPr>
        <w:t>无。</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color w:val="auto"/>
          <w:kern w:val="0"/>
          <w:position w:val="0"/>
          <w:sz w:val="32"/>
          <w:szCs w:val="32"/>
          <w:lang w:val="en-US" w:eastAsia="zh-CN" w:bidi="ar-SA"/>
          <w:highlight w:val="auto"/>
        </w:rPr>
      </w:pPr>
      <w:bookmarkEnd w:id="65"/>
    </w:p>
    <w:p>
      <w:pPr>
        <w:keepNext w:val="0"/>
        <w:keepLines w:val="0"/>
        <w:pageBreakBefore w:val="0"/>
        <w:widowControl w:val="0"/>
        <w:kinsoku/>
        <w:wordWrap/>
        <w:overflowPunct/>
        <w:topLinePunct w:val="0"/>
        <w:autoSpaceDE/>
        <w:autoSpaceDN/>
        <w:bidi w:val="0"/>
        <w:spacing w:line="578" w:lineRule="exact"/>
        <w:ind w:left="0"/>
        <w:jc w:val="center"/>
        <w:textAlignment w:val="auto"/>
        <w:rPr>
          <w:rFonts w:ascii="方正小标宋简体" w:eastAsia="方正小标宋简体" w:cs="方正小标宋简体" w:hint="eastAsia"/>
          <w:color w:val="auto"/>
          <w:kern w:val="2"/>
          <w:sz w:val="44"/>
          <w:szCs w:val="44"/>
          <w:lang w:val="en-US" w:eastAsia="zh-CN" w:bidi="ar-SA"/>
          <w:highlight w:val="auto"/>
        </w:rPr>
      </w:pPr>
      <w:r>
        <w:rPr>
          <w:rFonts w:ascii="方正小标宋简体" w:eastAsia="方正小标宋简体" w:cs="方正小标宋简体" w:hint="eastAsia"/>
          <w:color w:val="auto"/>
          <w:kern w:val="2"/>
          <w:sz w:val="44"/>
          <w:szCs w:val="44"/>
          <w:lang w:val="en-US" w:eastAsia="zh-CN" w:bidi="ar-SA"/>
          <w:highlight w:val="auto"/>
        </w:rPr>
        <w:t>金川县沙耳乡山埂子村节能亮化项目专项预算项目绩效评价报告</w:t>
      </w:r>
    </w:p>
    <w:p>
      <w:pPr>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ascii="宋体" w:eastAsia="宋体" w:cs="Times New Roman"/>
          <w:color w:val="auto"/>
          <w:kern w:val="2"/>
          <w:sz w:val="32"/>
          <w:szCs w:val="32"/>
          <w:lang w:val="zh-CN" w:eastAsia="zh-CN" w:bidi="ar-SA"/>
          <w:highlight w:val="auto"/>
        </w:rPr>
      </w:pP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黑体" w:eastAsia="黑体"/>
          <w:color w:val="auto"/>
          <w:sz w:val="32"/>
          <w:szCs w:val="32"/>
          <w:lang w:val="zh-CN"/>
          <w:highlight w:val="auto"/>
        </w:rPr>
      </w:pPr>
      <w:r>
        <w:rPr>
          <w:rFonts w:ascii="黑体" w:eastAsia="黑体" w:hint="eastAsia"/>
          <w:color w:val="auto"/>
          <w:sz w:val="32"/>
          <w:szCs w:val="32"/>
          <w:highlight w:val="auto"/>
        </w:rPr>
        <w:t>一、</w:t>
      </w:r>
      <w:r>
        <w:rPr>
          <w:rFonts w:ascii="黑体" w:eastAsia="黑体" w:hint="eastAsia"/>
          <w:color w:val="auto"/>
          <w:sz w:val="32"/>
          <w:szCs w:val="32"/>
          <w:lang w:val="zh-CN"/>
          <w:highlight w:val="auto"/>
        </w:rPr>
        <w:t>项目概况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rPr>
          <w:rFonts w:ascii="仿宋_GB2312" w:eastAsia="仿宋_GB2312" w:cs="仿宋_GB2312" w:hint="eastAsia"/>
          <w:color w:val="auto"/>
          <w:kern w:val="0"/>
          <w:sz w:val="32"/>
          <w:szCs w:val="32"/>
          <w:u w:val="none"/>
          <w:shd w:val="clear" w:color="auto" w:fill="FFFFFF"/>
          <w:lang w:val="zh-CN"/>
          <w:highlight w:val="auto"/>
        </w:rPr>
      </w:pPr>
      <w:r>
        <w:rPr>
          <w:rFonts w:ascii="楷体_GB2312" w:eastAsia="楷体_GB2312" w:hint="eastAsia"/>
          <w:b/>
          <w:color w:val="auto"/>
          <w:sz w:val="32"/>
          <w:szCs w:val="32"/>
          <w:u w:val="none"/>
          <w:lang w:val="zh-CN"/>
          <w:highlight w:val="auto"/>
        </w:rPr>
        <w:t>（一）设立背景及基本情况。</w:t>
      </w:r>
      <w:r>
        <w:rPr>
          <w:rFonts w:ascii="仿宋_GB2312" w:eastAsia="仿宋_GB2312" w:cs="仿宋_GB2312" w:hint="eastAsia"/>
          <w:color w:val="auto"/>
          <w:sz w:val="32"/>
          <w:szCs w:val="32"/>
          <w:lang w:eastAsia="zh-CN"/>
        </w:rPr>
        <w:t>山埂子</w:t>
      </w:r>
      <w:r>
        <w:rPr>
          <w:rFonts w:ascii="仿宋_GB2312" w:eastAsia="仿宋_GB2312" w:cs="仿宋_GB2312" w:hint="eastAsia"/>
          <w:color w:val="auto"/>
          <w:sz w:val="32"/>
          <w:szCs w:val="32"/>
        </w:rPr>
        <w:t>村地理位置得天独厚，近年来依托梨花红叶景区旅游产业发展迅速。202</w:t>
      </w:r>
      <w:r>
        <w:rPr>
          <w:rFonts w:ascii="仿宋_GB2312" w:eastAsia="仿宋_GB2312" w:cs="仿宋_GB2312" w:hint="eastAsia"/>
          <w:color w:val="auto"/>
          <w:sz w:val="32"/>
          <w:szCs w:val="32"/>
          <w:lang w:val="en-US" w:eastAsia="zh-CN"/>
        </w:rPr>
        <w:t>4</w:t>
      </w:r>
      <w:r>
        <w:rPr>
          <w:rFonts w:ascii="仿宋_GB2312" w:eastAsia="仿宋_GB2312" w:cs="仿宋_GB2312" w:hint="eastAsia"/>
          <w:color w:val="auto"/>
          <w:sz w:val="32"/>
          <w:szCs w:val="32"/>
        </w:rPr>
        <w:t>年底村农民人均纯收入达16800元，呈现出经济快速发展、人民安居乐业、社会和谐稳定的良好局面。</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楷体_GB2312" w:eastAsia="楷体_GB2312"/>
          <w:b/>
          <w:color w:val="auto"/>
          <w:sz w:val="32"/>
          <w:szCs w:val="32"/>
          <w:u w:val="none"/>
          <w:lang w:val="zh-CN"/>
          <w:highlight w:val="auto"/>
        </w:rPr>
      </w:pPr>
      <w:r>
        <w:rPr>
          <w:rFonts w:ascii="楷体_GB2312" w:eastAsia="楷体_GB2312" w:hint="eastAsia"/>
          <w:b/>
          <w:color w:val="auto"/>
          <w:sz w:val="32"/>
          <w:szCs w:val="32"/>
          <w:u w:val="none"/>
          <w:lang w:val="zh-CN"/>
          <w:highlight w:val="auto"/>
        </w:rPr>
        <w:t>（</w:t>
      </w:r>
      <w:r>
        <w:rPr>
          <w:rFonts w:ascii="楷体_GB2312" w:eastAsia="楷体_GB2312" w:cs="Times New Roman" w:hint="eastAsia"/>
          <w:b/>
          <w:color w:val="auto"/>
          <w:sz w:val="32"/>
          <w:szCs w:val="32"/>
          <w:u w:val="none"/>
          <w:lang w:val="zh-CN"/>
          <w:highlight w:val="auto"/>
        </w:rPr>
        <w:t>二）</w:t>
      </w:r>
      <w:r>
        <w:rPr>
          <w:rFonts w:ascii="楷体_GB2312" w:eastAsia="楷体_GB2312" w:cs="Times New Roman"/>
          <w:b/>
          <w:color w:val="auto"/>
          <w:sz w:val="32"/>
          <w:szCs w:val="32"/>
          <w:u w:val="none"/>
          <w:lang w:val="en-US" w:eastAsia="zh-CN"/>
          <w:highlight w:val="auto"/>
        </w:rPr>
        <w:t>实施目的及支持方向</w:t>
      </w:r>
      <w:r>
        <w:rPr>
          <w:rFonts w:ascii="楷体_GB2312" w:eastAsia="楷体_GB2312" w:cs="Times New Roman" w:hint="eastAsia"/>
          <w:b/>
          <w:color w:val="auto"/>
          <w:sz w:val="32"/>
          <w:szCs w:val="32"/>
          <w:u w:val="none"/>
          <w:lang w:val="en-US" w:eastAsia="zh-CN"/>
          <w:highlight w:val="auto"/>
        </w:rPr>
        <w:t>。</w:t>
      </w:r>
      <w:r>
        <w:rPr>
          <w:rFonts w:ascii="仿宋_GB2312" w:eastAsia="仿宋_GB2312" w:cs="仿宋_GB2312" w:hint="eastAsia"/>
          <w:color w:val="auto"/>
          <w:sz w:val="32"/>
          <w:szCs w:val="32"/>
          <w:lang w:eastAsia="zh-CN"/>
        </w:rPr>
        <w:t>山埂子</w:t>
      </w:r>
      <w:r>
        <w:rPr>
          <w:rFonts w:ascii="仿宋_GB2312" w:eastAsia="仿宋_GB2312" w:cs="仿宋_GB2312" w:hint="eastAsia"/>
          <w:color w:val="auto"/>
          <w:sz w:val="32"/>
          <w:szCs w:val="32"/>
        </w:rPr>
        <w:t>村希望通过金川县沙耳乡</w:t>
      </w:r>
      <w:r>
        <w:rPr>
          <w:rFonts w:ascii="仿宋_GB2312" w:eastAsia="仿宋_GB2312" w:cs="仿宋_GB2312" w:hint="eastAsia"/>
          <w:color w:val="auto"/>
          <w:sz w:val="32"/>
          <w:szCs w:val="32"/>
          <w:lang w:eastAsia="zh-CN"/>
        </w:rPr>
        <w:t>山埂子</w:t>
      </w:r>
      <w:r>
        <w:rPr>
          <w:rFonts w:ascii="仿宋_GB2312" w:eastAsia="仿宋_GB2312" w:cs="仿宋_GB2312" w:hint="eastAsia"/>
          <w:color w:val="auto"/>
          <w:sz w:val="32"/>
          <w:szCs w:val="32"/>
        </w:rPr>
        <w:t>村节能亮化项目引领周边群众发展打造特色</w:t>
      </w:r>
      <w:r>
        <w:rPr>
          <w:rFonts w:ascii="仿宋_GB2312" w:eastAsia="仿宋_GB2312" w:cs="仿宋_GB2312" w:hint="eastAsia"/>
          <w:color w:val="auto"/>
          <w:sz w:val="32"/>
          <w:szCs w:val="32"/>
          <w:lang w:eastAsia="zh-CN"/>
        </w:rPr>
        <w:t>夜间经济</w:t>
      </w:r>
      <w:r>
        <w:rPr>
          <w:rFonts w:ascii="仿宋_GB2312" w:eastAsia="仿宋_GB2312" w:cs="仿宋_GB2312" w:hint="eastAsia"/>
          <w:color w:val="auto"/>
          <w:sz w:val="32"/>
          <w:szCs w:val="32"/>
        </w:rPr>
        <w:t>，提升游客旅游体验环境，全力发展乡村旅游业，壮大村级集体经济，</w:t>
      </w:r>
      <w:r>
        <w:rPr>
          <w:rFonts w:ascii="仿宋_GB2312" w:eastAsia="仿宋_GB2312" w:cs="仿宋_GB2312" w:hint="eastAsia"/>
          <w:color w:val="auto"/>
          <w:kern w:val="0"/>
          <w:sz w:val="32"/>
          <w:szCs w:val="32"/>
          <w:u w:val="none"/>
          <w:shd w:val="clear" w:color="auto" w:fill="FFFFFF"/>
          <w:lang w:val="en-US" w:eastAsia="zh-CN"/>
          <w:highlight w:val="auto"/>
        </w:rPr>
        <w:t>因此实施该项目。</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rPr>
          <w:rFonts w:ascii="仿宋_GB2312" w:eastAsia="仿宋_GB2312" w:cs="仿宋_GB2312" w:hint="eastAsia"/>
          <w:color w:val="auto"/>
          <w:kern w:val="0"/>
          <w:sz w:val="32"/>
          <w:szCs w:val="32"/>
          <w:u w:val="none"/>
          <w:shd w:val="clear" w:color="auto" w:fill="FFFFFF"/>
          <w:lang w:val="zh-CN"/>
          <w:highlight w:val="auto"/>
        </w:rPr>
      </w:pPr>
      <w:r>
        <w:rPr>
          <w:rFonts w:ascii="楷体_GB2312" w:eastAsia="楷体_GB2312" w:cs="Times New Roman" w:hint="eastAsia"/>
          <w:b/>
          <w:color w:val="auto"/>
          <w:sz w:val="32"/>
          <w:szCs w:val="32"/>
          <w:u w:val="none"/>
          <w:lang w:val="zh-CN" w:eastAsia="zh-CN"/>
          <w:highlight w:val="auto"/>
        </w:rPr>
        <w:t>（三）</w:t>
      </w:r>
      <w:r>
        <w:rPr>
          <w:rFonts w:ascii="楷体_GB2312" w:eastAsia="楷体_GB2312" w:cs="Times New Roman"/>
          <w:b/>
          <w:color w:val="auto"/>
          <w:sz w:val="32"/>
          <w:szCs w:val="32"/>
          <w:u w:val="none"/>
          <w:lang w:val="en-US" w:eastAsia="zh-CN"/>
          <w:highlight w:val="auto"/>
        </w:rPr>
        <w:t>预算安排及分配管理</w:t>
      </w:r>
      <w:r>
        <w:rPr>
          <w:rFonts w:ascii="楷体_GB2312" w:eastAsia="楷体_GB2312" w:cs="Times New Roman" w:hint="eastAsia"/>
          <w:b/>
          <w:color w:val="auto"/>
          <w:sz w:val="32"/>
          <w:szCs w:val="32"/>
          <w:u w:val="none"/>
          <w:lang w:val="zh-CN" w:eastAsia="zh-CN"/>
          <w:highlight w:val="auto"/>
        </w:rPr>
        <w:t>。</w:t>
      </w:r>
      <w:r>
        <w:rPr>
          <w:rFonts w:ascii="仿宋_GB2312" w:eastAsia="仿宋_GB2312" w:cs="仿宋_GB2312" w:hint="eastAsia"/>
          <w:color w:val="auto"/>
          <w:kern w:val="0"/>
          <w:sz w:val="32"/>
          <w:szCs w:val="32"/>
          <w:u w:val="none"/>
          <w:shd w:val="clear" w:color="auto" w:fill="FFFFFF"/>
          <w:lang w:val="zh-CN" w:eastAsia="zh-CN"/>
          <w:highlight w:val="auto"/>
        </w:rPr>
        <w:t>项目</w:t>
      </w:r>
      <w:r>
        <w:rPr>
          <w:rFonts w:ascii="仿宋_GB2312" w:eastAsia="仿宋_GB2312" w:cs="仿宋_GB2312" w:hint="eastAsia"/>
          <w:color w:val="auto"/>
          <w:kern w:val="0"/>
          <w:sz w:val="32"/>
          <w:szCs w:val="32"/>
          <w:u w:val="none"/>
          <w:shd w:val="clear" w:color="auto" w:fill="FFFFFF"/>
          <w:lang w:val="en-US" w:eastAsia="zh-CN"/>
          <w:highlight w:val="auto"/>
        </w:rPr>
        <w:t>资金来源为</w:t>
      </w:r>
      <w:r>
        <w:rPr>
          <w:rFonts w:ascii="仿宋_GB2312" w:eastAsia="仿宋_GB2312" w:cs="仿宋_GB2312" w:hint="eastAsia"/>
          <w:color w:val="auto"/>
          <w:kern w:val="0"/>
          <w:sz w:val="32"/>
          <w:szCs w:val="32"/>
          <w:u w:val="none"/>
          <w:shd w:val="clear" w:color="auto" w:fill="FFFFFF"/>
          <w:lang w:val="zh-CN" w:eastAsia="zh-CN"/>
          <w:highlight w:val="auto"/>
        </w:rPr>
        <w:t>202</w:t>
      </w:r>
      <w:r>
        <w:rPr>
          <w:rFonts w:ascii="仿宋_GB2312" w:eastAsia="仿宋_GB2312" w:cs="仿宋_GB2312" w:hint="eastAsia"/>
          <w:color w:val="auto"/>
          <w:kern w:val="0"/>
          <w:sz w:val="32"/>
          <w:szCs w:val="32"/>
          <w:u w:val="none"/>
          <w:shd w:val="clear" w:color="auto" w:fill="FFFFFF"/>
          <w:lang w:val="en-US" w:eastAsia="zh-CN"/>
          <w:highlight w:val="auto"/>
        </w:rPr>
        <w:t>4年革命老区</w:t>
      </w:r>
      <w:r>
        <w:rPr>
          <w:rFonts w:ascii="仿宋_GB2312" w:eastAsia="仿宋_GB2312" w:cs="仿宋_GB2312" w:hint="eastAsia"/>
          <w:color w:val="auto"/>
          <w:kern w:val="0"/>
          <w:sz w:val="32"/>
          <w:szCs w:val="32"/>
          <w:u w:val="none"/>
          <w:shd w:val="clear" w:color="auto" w:fill="FFFFFF"/>
          <w:lang w:val="zh-CN" w:eastAsia="zh-CN"/>
          <w:highlight w:val="auto"/>
        </w:rPr>
        <w:t>资金</w:t>
      </w:r>
      <w:r>
        <w:rPr>
          <w:rFonts w:ascii="仿宋_GB2312" w:eastAsia="仿宋_GB2312" w:cs="仿宋_GB2312" w:hint="eastAsia"/>
          <w:color w:val="auto"/>
          <w:kern w:val="0"/>
          <w:sz w:val="32"/>
          <w:szCs w:val="32"/>
          <w:u w:val="none"/>
          <w:shd w:val="clear" w:color="auto" w:fill="FFFFFF"/>
          <w:lang w:val="en-US" w:eastAsia="zh-CN"/>
          <w:highlight w:val="auto"/>
        </w:rPr>
        <w:t>80</w:t>
      </w:r>
      <w:r>
        <w:rPr>
          <w:rFonts w:ascii="仿宋_GB2312" w:eastAsia="仿宋_GB2312" w:cs="仿宋_GB2312" w:hint="eastAsia"/>
          <w:color w:val="auto"/>
          <w:kern w:val="0"/>
          <w:sz w:val="32"/>
          <w:szCs w:val="32"/>
          <w:u w:val="none"/>
          <w:shd w:val="clear" w:color="auto" w:fill="FFFFFF"/>
          <w:lang w:val="zh-CN" w:eastAsia="zh-CN"/>
          <w:highlight w:val="auto"/>
        </w:rPr>
        <w:t>万元。</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rPr>
          <w:rFonts w:ascii="仿宋_GB2312" w:eastAsia="仿宋_GB2312" w:cs="仿宋_GB2312"/>
          <w:color w:val="auto"/>
          <w:kern w:val="0"/>
          <w:sz w:val="32"/>
          <w:szCs w:val="32"/>
          <w:u w:val="none"/>
          <w:shd w:val="clear" w:color="auto" w:fill="FFFFFF"/>
          <w:lang w:val="zh-CN" w:eastAsia="zh-CN"/>
          <w:highlight w:val="auto"/>
        </w:rPr>
      </w:pPr>
      <w:r>
        <w:rPr>
          <w:rFonts w:ascii="楷体_GB2312" w:eastAsia="楷体_GB2312" w:cs="Times New Roman" w:hint="eastAsia"/>
          <w:b/>
          <w:color w:val="auto"/>
          <w:sz w:val="32"/>
          <w:szCs w:val="32"/>
          <w:u w:val="none"/>
          <w:lang w:val="zh-CN" w:eastAsia="zh-CN"/>
          <w:highlight w:val="auto"/>
        </w:rPr>
        <w:t>（四）项目绩效目标设置。</w:t>
      </w:r>
      <w:r>
        <w:rPr>
          <w:rFonts w:ascii="仿宋_GB2312" w:eastAsia="仿宋_GB2312" w:cs="仿宋_GB2312" w:hint="eastAsia"/>
          <w:color w:val="auto"/>
          <w:kern w:val="0"/>
          <w:sz w:val="32"/>
          <w:szCs w:val="32"/>
          <w:u w:val="none"/>
          <w:shd w:val="clear" w:color="auto" w:fill="FFFFFF"/>
          <w:lang w:val="zh-CN" w:eastAsia="zh-CN"/>
          <w:highlight w:val="auto"/>
        </w:rPr>
        <w:t>社会主义新农村建设的总体目标中，把“生活宽裕、改善农民的生存状态”作为新农村建设的核心目标，提出生活宽裕的重要条件正是与农民生活直接相关的水、电、路等基础设施，而</w:t>
      </w:r>
      <w:r>
        <w:rPr>
          <w:rFonts w:ascii="仿宋_GB2312" w:eastAsia="仿宋_GB2312" w:cs="仿宋_GB2312" w:hint="eastAsia"/>
          <w:color w:val="auto"/>
          <w:kern w:val="0"/>
          <w:sz w:val="32"/>
          <w:szCs w:val="32"/>
          <w:u w:val="none"/>
          <w:shd w:val="clear" w:color="auto" w:fill="FFFFFF"/>
          <w:lang w:val="en-US" w:eastAsia="zh-CN"/>
          <w:highlight w:val="auto"/>
        </w:rPr>
        <w:t>道路</w:t>
      </w:r>
      <w:r>
        <w:rPr>
          <w:rFonts w:ascii="仿宋_GB2312" w:eastAsia="仿宋_GB2312" w:cs="仿宋_GB2312" w:hint="eastAsia"/>
          <w:color w:val="auto"/>
          <w:kern w:val="0"/>
          <w:sz w:val="32"/>
          <w:szCs w:val="32"/>
          <w:u w:val="none"/>
          <w:shd w:val="clear" w:color="auto" w:fill="FFFFFF"/>
          <w:lang w:val="zh-CN" w:eastAsia="zh-CN"/>
          <w:highlight w:val="auto"/>
        </w:rPr>
        <w:t>作为农民生活中的一项最基本条件，其重要性不言而喻。</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outlineLvl w:val="9"/>
        <w:rPr>
          <w:rFonts w:ascii="黑体" w:eastAsia="黑体" w:hint="eastAsia"/>
          <w:color w:val="auto"/>
          <w:sz w:val="32"/>
          <w:szCs w:val="32"/>
          <w:lang w:eastAsia="zh-CN"/>
          <w:highlight w:val="auto"/>
        </w:rPr>
      </w:pPr>
      <w:r>
        <w:rPr>
          <w:rFonts w:ascii="黑体" w:eastAsia="黑体" w:hint="eastAsia"/>
          <w:color w:val="auto"/>
          <w:sz w:val="32"/>
          <w:szCs w:val="32"/>
          <w:highlight w:val="auto"/>
        </w:rPr>
        <w:t>二、</w:t>
      </w:r>
      <w:r>
        <w:rPr>
          <w:rFonts w:ascii="黑体" w:eastAsia="黑体" w:hint="eastAsia"/>
          <w:color w:val="auto"/>
          <w:sz w:val="32"/>
          <w:szCs w:val="32"/>
          <w:lang w:eastAsia="zh-CN"/>
          <w:highlight w:val="auto"/>
        </w:rPr>
        <w:t>评价实施</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color w:val="auto"/>
          <w:sz w:val="32"/>
          <w:szCs w:val="32"/>
        </w:rPr>
      </w:pPr>
      <w:r>
        <w:rPr>
          <w:rFonts w:ascii="楷体_GB2312" w:eastAsia="楷体_GB2312" w:hint="eastAsia"/>
          <w:b/>
          <w:color w:val="auto"/>
          <w:sz w:val="32"/>
          <w:szCs w:val="32"/>
          <w:u w:val="none"/>
          <w:lang w:val="zh-CN"/>
          <w:highlight w:val="auto"/>
        </w:rPr>
        <w:t>（一）评价目的。</w:t>
      </w:r>
      <w:r>
        <w:rPr>
          <w:rFonts w:eastAsia="仿宋_GB2312" w:cs="Times New Roman"/>
          <w:color w:val="auto"/>
          <w:sz w:val="32"/>
          <w:szCs w:val="32"/>
        </w:rPr>
        <w:t>通过</w:t>
      </w:r>
      <w:r>
        <w:rPr>
          <w:rFonts w:eastAsia="仿宋_GB2312" w:cs="Times New Roman" w:hint="eastAsia"/>
          <w:color w:val="auto"/>
          <w:sz w:val="32"/>
          <w:szCs w:val="32"/>
          <w:lang w:eastAsia="zh-CN"/>
        </w:rPr>
        <w:t>项目</w:t>
      </w:r>
      <w:r>
        <w:rPr>
          <w:rFonts w:eastAsia="仿宋_GB2312" w:cs="Times New Roman" w:hint="eastAsia"/>
          <w:color w:val="auto"/>
          <w:sz w:val="32"/>
          <w:szCs w:val="32"/>
        </w:rPr>
        <w:t>绩效</w:t>
      </w:r>
      <w:r>
        <w:rPr>
          <w:rFonts w:eastAsia="仿宋_GB2312" w:cs="Times New Roman" w:hint="eastAsia"/>
          <w:color w:val="auto"/>
          <w:sz w:val="32"/>
          <w:szCs w:val="32"/>
          <w:lang w:eastAsia="zh-CN"/>
        </w:rPr>
        <w:t>自评</w:t>
      </w:r>
      <w:r>
        <w:rPr>
          <w:rFonts w:eastAsia="仿宋_GB2312" w:cs="Times New Roman" w:hint="eastAsia"/>
          <w:color w:val="auto"/>
          <w:sz w:val="32"/>
          <w:szCs w:val="32"/>
          <w:lang w:val="en-US" w:eastAsia="zh-CN"/>
        </w:rPr>
        <w:t>督导项目建设落地落实</w:t>
      </w:r>
      <w:r>
        <w:rPr>
          <w:rFonts w:eastAsia="仿宋_GB2312" w:cs="Times New Roman" w:hint="eastAsia"/>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outlineLvl w:val="9"/>
        <w:rPr>
          <w:rFonts w:eastAsia="仿宋_GB2312" w:cs="Times New Roman" w:hint="eastAsia"/>
          <w:color w:val="auto"/>
          <w:sz w:val="32"/>
          <w:szCs w:val="32"/>
          <w:lang w:eastAsia="zh-CN"/>
        </w:rPr>
      </w:pPr>
      <w:r>
        <w:rPr>
          <w:rFonts w:ascii="楷体_GB2312" w:eastAsia="楷体_GB2312" w:hint="eastAsia"/>
          <w:b/>
          <w:color w:val="auto"/>
          <w:sz w:val="32"/>
          <w:szCs w:val="32"/>
          <w:u w:val="none"/>
          <w:lang w:val="zh-CN"/>
          <w:highlight w:val="auto"/>
        </w:rPr>
        <w:t>（二）预设问题及评价重点。</w:t>
      </w:r>
      <w:r>
        <w:rPr>
          <w:rFonts w:eastAsia="仿宋_GB2312" w:cs="Times New Roman" w:hint="eastAsia"/>
          <w:color w:val="auto"/>
          <w:sz w:val="32"/>
          <w:szCs w:val="32"/>
        </w:rPr>
        <w:t>按照绩效评价指标体系，对资金支出使用全过程及其实施效果进行综合评价和判断</w:t>
      </w:r>
      <w:r>
        <w:rPr>
          <w:rFonts w:eastAsia="仿宋_GB2312" w:cs="Times New Roman" w:hint="eastAsia"/>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textAlignment w:val="auto"/>
        <w:outlineLvl w:val="9"/>
        <w:rPr>
          <w:rFonts w:eastAsia="仿宋_GB2312" w:cs="Times New Roman" w:hint="eastAsia"/>
          <w:color w:val="auto"/>
          <w:sz w:val="32"/>
          <w:szCs w:val="32"/>
          <w:lang w:val="zh-CN" w:eastAsia="zh-CN"/>
        </w:rPr>
      </w:pPr>
      <w:r>
        <w:rPr>
          <w:rFonts w:ascii="楷体_GB2312" w:eastAsia="楷体_GB2312" w:hint="eastAsia"/>
          <w:b/>
          <w:color w:val="auto"/>
          <w:sz w:val="32"/>
          <w:szCs w:val="32"/>
          <w:u w:val="none"/>
          <w:lang w:val="zh-CN"/>
          <w:highlight w:val="auto"/>
        </w:rPr>
        <w:t>（三）评价选点。</w:t>
      </w:r>
      <w:r>
        <w:rPr>
          <w:rFonts w:eastAsia="仿宋_GB2312" w:cs="Times New Roman" w:hint="eastAsia"/>
          <w:color w:val="auto"/>
          <w:sz w:val="32"/>
          <w:szCs w:val="32"/>
          <w:lang w:val="en-US" w:eastAsia="zh-CN"/>
        </w:rPr>
        <w:t>针对预先设计的</w:t>
      </w:r>
      <w:r>
        <w:rPr>
          <w:rFonts w:eastAsia="仿宋_GB2312" w:cs="Times New Roman" w:hint="eastAsia"/>
          <w:color w:val="auto"/>
          <w:sz w:val="32"/>
          <w:szCs w:val="32"/>
          <w:lang w:val="zh-CN" w:eastAsia="zh-CN"/>
        </w:rPr>
        <w:t>项目绩效</w:t>
      </w:r>
      <w:r>
        <w:rPr>
          <w:rFonts w:eastAsia="仿宋_GB2312" w:cs="Times New Roman" w:hint="eastAsia"/>
          <w:color w:val="auto"/>
          <w:sz w:val="32"/>
          <w:szCs w:val="32"/>
          <w:lang w:val="en-US" w:eastAsia="zh-CN"/>
        </w:rPr>
        <w:t>目标，进行全面</w:t>
      </w:r>
      <w:r>
        <w:rPr>
          <w:rFonts w:eastAsia="仿宋_GB2312" w:cs="Times New Roman" w:hint="eastAsia"/>
          <w:color w:val="auto"/>
          <w:sz w:val="32"/>
          <w:szCs w:val="32"/>
          <w:lang w:val="zh-CN" w:eastAsia="zh-CN"/>
        </w:rPr>
        <w:t>自评。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hint="eastAsia"/>
          <w:color w:val="auto"/>
          <w:sz w:val="32"/>
          <w:szCs w:val="32"/>
          <w:lang w:eastAsia="zh-CN"/>
        </w:rPr>
      </w:pPr>
      <w:r>
        <w:rPr>
          <w:rFonts w:ascii="楷体_GB2312" w:eastAsia="楷体_GB2312" w:hint="eastAsia"/>
          <w:b/>
          <w:color w:val="auto"/>
          <w:sz w:val="32"/>
          <w:szCs w:val="32"/>
          <w:u w:val="none"/>
          <w:lang w:val="zh-CN"/>
          <w:highlight w:val="auto"/>
        </w:rPr>
        <w:t>（四）评价方法。</w:t>
      </w:r>
      <w:r>
        <w:rPr>
          <w:rFonts w:eastAsia="仿宋_GB2312" w:cs="Times New Roman"/>
          <w:color w:val="auto"/>
          <w:sz w:val="32"/>
          <w:szCs w:val="32"/>
        </w:rPr>
        <w:t>根据项目情况和评价重点，</w:t>
      </w:r>
      <w:r>
        <w:rPr>
          <w:rFonts w:eastAsia="仿宋_GB2312" w:cs="Times New Roman" w:hint="eastAsia"/>
          <w:color w:val="auto"/>
          <w:sz w:val="32"/>
          <w:szCs w:val="32"/>
          <w:lang w:val="en-US" w:eastAsia="zh-CN"/>
        </w:rPr>
        <w:t>通过</w:t>
      </w:r>
      <w:r>
        <w:rPr>
          <w:rFonts w:eastAsia="仿宋_GB2312" w:cs="Times New Roman"/>
          <w:color w:val="auto"/>
          <w:sz w:val="32"/>
          <w:szCs w:val="32"/>
        </w:rPr>
        <w:t>单位自评法</w:t>
      </w:r>
      <w:r>
        <w:rPr>
          <w:rFonts w:eastAsia="仿宋_GB2312" w:cs="Times New Roman" w:hint="eastAsia"/>
          <w:color w:val="auto"/>
          <w:sz w:val="32"/>
          <w:szCs w:val="32"/>
          <w:lang w:eastAsia="zh-CN"/>
        </w:rPr>
        <w:t>、</w:t>
      </w:r>
      <w:r>
        <w:rPr>
          <w:rFonts w:eastAsia="仿宋_GB2312" w:cs="Times New Roman"/>
          <w:color w:val="auto"/>
          <w:sz w:val="32"/>
          <w:szCs w:val="32"/>
        </w:rPr>
        <w:t>实地勘察法、座谈调研法</w:t>
      </w:r>
      <w:r>
        <w:rPr>
          <w:rFonts w:eastAsia="仿宋_GB2312" w:cs="Times New Roman" w:hint="eastAsia"/>
          <w:color w:val="auto"/>
          <w:sz w:val="32"/>
          <w:szCs w:val="32"/>
          <w:lang w:val="en-US" w:eastAsia="zh-CN"/>
        </w:rPr>
        <w:t>等多种方法</w:t>
      </w:r>
      <w:r>
        <w:rPr>
          <w:rFonts w:eastAsia="仿宋_GB2312" w:cs="Times New Roman" w:hint="eastAsia"/>
          <w:color w:val="auto"/>
          <w:sz w:val="32"/>
          <w:szCs w:val="32"/>
          <w:lang w:eastAsia="zh-CN"/>
        </w:rPr>
        <w:t>用来</w:t>
      </w:r>
      <w:r>
        <w:rPr>
          <w:rFonts w:eastAsia="仿宋_GB2312" w:cs="Times New Roman"/>
          <w:color w:val="auto"/>
          <w:sz w:val="32"/>
          <w:szCs w:val="32"/>
        </w:rPr>
        <w:t>收集相关材料和开展具体评价。</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hint="eastAsia"/>
          <w:color w:val="auto"/>
          <w:sz w:val="32"/>
          <w:szCs w:val="32"/>
          <w:lang w:eastAsia="zh-CN"/>
        </w:rPr>
      </w:pPr>
      <w:r>
        <w:rPr>
          <w:rFonts w:ascii="楷体_GB2312" w:eastAsia="楷体_GB2312" w:hint="eastAsia"/>
          <w:b/>
          <w:color w:val="auto"/>
          <w:sz w:val="32"/>
          <w:szCs w:val="32"/>
          <w:u w:val="none"/>
          <w:lang w:val="zh-CN"/>
          <w:highlight w:val="auto"/>
        </w:rPr>
        <w:t>（五）评价组织。</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hint="eastAsia"/>
          <w:color w:val="auto"/>
          <w:sz w:val="32"/>
          <w:szCs w:val="32"/>
          <w:lang w:val="en-US" w:eastAsia="zh-CN"/>
        </w:rPr>
      </w:pPr>
      <w:r>
        <w:rPr>
          <w:rFonts w:eastAsia="仿宋_GB2312" w:cs="Times New Roman" w:hint="eastAsia"/>
          <w:color w:val="auto"/>
          <w:sz w:val="32"/>
          <w:szCs w:val="32"/>
          <w:lang w:val="en-US" w:eastAsia="zh-CN"/>
        </w:rPr>
        <w:t>组长：黄德均  沙耳乡党委书记</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hint="eastAsia"/>
          <w:color w:val="auto"/>
          <w:sz w:val="32"/>
          <w:szCs w:val="32"/>
          <w:lang w:val="en-US" w:eastAsia="zh-CN"/>
        </w:rPr>
      </w:pPr>
      <w:r>
        <w:rPr>
          <w:rFonts w:eastAsia="仿宋_GB2312" w:cs="Times New Roman" w:hint="eastAsia"/>
          <w:color w:val="auto"/>
          <w:sz w:val="32"/>
          <w:szCs w:val="32"/>
          <w:lang w:val="en-US" w:eastAsia="zh-CN"/>
        </w:rPr>
        <w:t>副组长：赵凯琴  沙耳乡人民政府副乡长</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olor w:val="auto"/>
          <w:sz w:val="32"/>
          <w:szCs w:val="32"/>
          <w:lang w:val="en-US" w:eastAsia="zh-CN"/>
        </w:rPr>
      </w:pPr>
      <w:r>
        <w:rPr>
          <w:rFonts w:eastAsia="仿宋_GB2312" w:cs="Times New Roman" w:hint="eastAsia"/>
          <w:color w:val="auto"/>
          <w:sz w:val="32"/>
          <w:szCs w:val="32"/>
          <w:lang w:val="en-US" w:eastAsia="zh-CN"/>
        </w:rPr>
        <w:t>成员：高宇 杨洪萍</w:t>
      </w:r>
    </w:p>
    <w:p>
      <w:pPr>
        <w:keepNext w:val="0"/>
        <w:keepLines w:val="0"/>
        <w:pageBreakBefore w:val="0"/>
        <w:widowControl w:val="0"/>
        <w:kinsoku/>
        <w:wordWrap/>
        <w:overflowPunct/>
        <w:topLinePunct w:val="0"/>
        <w:autoSpaceDE/>
        <w:autoSpaceDN/>
        <w:bidi w:val="0"/>
        <w:adjustRightInd w:val="0"/>
        <w:snapToGrid w:val="0"/>
        <w:spacing w:line="578" w:lineRule="exact"/>
        <w:ind w:firstLineChars="200" w:firstLine="640"/>
        <w:textAlignment w:val="auto"/>
        <w:rPr>
          <w:rFonts w:ascii="仿宋_GB2312" w:eastAsia="仿宋_GB2312"/>
          <w:color w:val="auto"/>
          <w:sz w:val="32"/>
          <w:szCs w:val="32"/>
          <w:u w:val="none"/>
          <w:lang w:val="zh-CN"/>
          <w:highlight w:val="auto"/>
        </w:rPr>
      </w:pPr>
      <w:r>
        <w:rPr>
          <w:rFonts w:ascii="黑体" w:eastAsia="黑体" w:hint="eastAsia"/>
          <w:color w:val="auto"/>
          <w:sz w:val="32"/>
          <w:szCs w:val="32"/>
          <w:u w:val="none"/>
          <w:highlight w:val="auto"/>
        </w:rPr>
        <w:t>三、</w:t>
      </w:r>
      <w:r>
        <w:rPr>
          <w:rFonts w:ascii="黑体" w:eastAsia="黑体" w:hint="eastAsia"/>
          <w:color w:val="auto"/>
          <w:sz w:val="32"/>
          <w:szCs w:val="32"/>
          <w:u w:val="none"/>
          <w:lang w:eastAsia="zh-CN"/>
          <w:highlight w:val="auto"/>
        </w:rPr>
        <w:t>绩效分析</w:t>
      </w:r>
      <w:r>
        <w:rPr>
          <w:rFonts w:ascii="仿宋_GB2312" w:eastAsia="仿宋_GB2312" w:hint="eastAsia"/>
          <w:color w:val="auto"/>
          <w:sz w:val="32"/>
          <w:szCs w:val="32"/>
          <w:u w:val="none"/>
          <w:lang w:val="zh-CN"/>
          <w:highlight w:val="auto"/>
        </w:rPr>
        <w:tab/>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楷体_GB2312" w:eastAsia="楷体_GB2312" w:cs="Times New Roman" w:hint="eastAsia"/>
          <w:b/>
          <w:color w:val="auto"/>
          <w:sz w:val="32"/>
          <w:szCs w:val="32"/>
          <w:u w:val="none"/>
          <w:lang w:val="en-US" w:eastAsia="zh-CN"/>
          <w:highlight w:val="auto"/>
        </w:rPr>
      </w:pPr>
      <w:r>
        <w:rPr>
          <w:rFonts w:ascii="楷体_GB2312" w:eastAsia="楷体_GB2312" w:cs="Times New Roman" w:hint="eastAsia"/>
          <w:b/>
          <w:color w:val="auto"/>
          <w:sz w:val="32"/>
          <w:szCs w:val="32"/>
          <w:u w:val="none"/>
          <w:lang w:val="zh-CN"/>
          <w:highlight w:val="auto"/>
        </w:rPr>
        <w:t>（一）</w:t>
      </w:r>
      <w:r>
        <w:rPr>
          <w:rFonts w:ascii="楷体_GB2312" w:eastAsia="楷体_GB2312" w:cs="Times New Roman" w:hint="eastAsia"/>
          <w:b/>
          <w:color w:val="auto"/>
          <w:sz w:val="32"/>
          <w:szCs w:val="32"/>
          <w:u w:val="none"/>
          <w:lang w:val="en-US" w:eastAsia="zh-CN"/>
          <w:highlight w:val="auto"/>
        </w:rPr>
        <w:t>通用指标</w:t>
      </w:r>
      <w:r>
        <w:rPr>
          <w:rFonts w:ascii="Times New Roman" w:eastAsia="楷体_GB2312" w:cs="Times New Roman" w:hAnsi="Times New Roman"/>
          <w:b/>
          <w:bCs/>
          <w:color w:val="auto"/>
          <w:kern w:val="0"/>
          <w:sz w:val="32"/>
          <w:szCs w:val="32"/>
          <w:shd w:val="clear" w:color="auto" w:fill="FFFFFF"/>
          <w:lang w:val="zh-CN"/>
          <w:highlight w:val="auto"/>
        </w:rPr>
        <w:t>绩效分析。</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eastAsia="仿宋_GB2312" w:cs="Times New Roman" w:hAnsi="Times New Roman"/>
          <w:color w:val="auto"/>
          <w:sz w:val="32"/>
          <w:szCs w:val="32"/>
          <w:lang w:val="en-US" w:eastAsia="zh-CN"/>
        </w:rPr>
      </w:pPr>
      <w:r>
        <w:rPr>
          <w:rFonts w:ascii="楷体_GB2312" w:eastAsia="楷体_GB2312" w:cs="楷体_GB2312" w:hint="eastAsia"/>
          <w:color w:val="auto"/>
          <w:sz w:val="32"/>
          <w:szCs w:val="32"/>
          <w:lang w:val="en-US" w:eastAsia="zh-CN"/>
        </w:rPr>
        <w:t>1.</w:t>
      </w:r>
      <w:r>
        <w:rPr>
          <w:rFonts w:ascii="楷体_GB2312" w:eastAsia="楷体_GB2312" w:cs="楷体_GB2312" w:hint="eastAsia"/>
          <w:color w:val="auto"/>
          <w:sz w:val="32"/>
          <w:szCs w:val="32"/>
          <w:lang w:eastAsia="zh-CN"/>
        </w:rPr>
        <w:t>项目决策。</w:t>
      </w:r>
      <w:r>
        <w:rPr>
          <w:rFonts w:ascii="Times New Roman" w:eastAsia="仿宋_GB2312" w:cs="Times New Roman" w:hAnsi="Times New Roman" w:hint="eastAsia"/>
          <w:color w:val="auto"/>
          <w:sz w:val="32"/>
          <w:szCs w:val="32"/>
          <w:lang w:eastAsia="zh-CN"/>
        </w:rPr>
        <w:t>项目决策程序严密</w:t>
      </w:r>
      <w:r>
        <w:rPr>
          <w:rFonts w:eastAsia="仿宋_GB2312" w:cs="Times New Roman" w:hint="eastAsia"/>
          <w:color w:val="auto"/>
          <w:sz w:val="32"/>
          <w:szCs w:val="32"/>
          <w:lang w:eastAsia="zh-CN"/>
        </w:rPr>
        <w:t>。项目规划论证符合要求，项目绩效目标设置科学合理。项目资金与项目总体规划、相关行业事业发展相匹配，</w:t>
      </w:r>
      <w:r>
        <w:rPr>
          <w:rFonts w:eastAsia="仿宋_GB2312" w:cs="Times New Roman" w:hint="eastAsia"/>
          <w:color w:val="auto"/>
          <w:sz w:val="32"/>
          <w:szCs w:val="32"/>
          <w:lang w:val="en-US" w:eastAsia="zh-CN"/>
        </w:rPr>
        <w:t>能有效</w:t>
      </w:r>
      <w:r>
        <w:rPr>
          <w:rFonts w:eastAsia="仿宋_GB2312" w:cs="Times New Roman" w:hint="eastAsia"/>
          <w:color w:val="auto"/>
          <w:sz w:val="32"/>
          <w:szCs w:val="32"/>
          <w:lang w:eastAsia="zh-CN"/>
        </w:rPr>
        <w:t>聚焦重大任务、重点领域、重点环节和重点项目。</w:t>
      </w:r>
      <w:r>
        <w:rPr>
          <w:rFonts w:eastAsia="仿宋_GB2312" w:cs="Times New Roman" w:hint="eastAsia"/>
          <w:color w:val="auto"/>
          <w:sz w:val="32"/>
          <w:szCs w:val="32"/>
          <w:lang w:val="en-US" w:eastAsia="zh-CN"/>
        </w:rPr>
        <w:t>项目决策得分18分。</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eastAsia="仿宋_GB2312" w:cs="Times New Roman" w:hAnsi="Times New Roman"/>
          <w:color w:val="auto"/>
          <w:sz w:val="32"/>
          <w:szCs w:val="32"/>
          <w:lang w:val="en-US" w:eastAsia="zh-CN"/>
        </w:rPr>
      </w:pPr>
      <w:r>
        <w:rPr>
          <w:rFonts w:ascii="楷体_GB2312" w:eastAsia="楷体_GB2312" w:cs="楷体_GB2312" w:hint="eastAsia"/>
          <w:color w:val="auto"/>
          <w:sz w:val="32"/>
          <w:szCs w:val="32"/>
          <w:lang w:val="en-US" w:eastAsia="zh-CN"/>
        </w:rPr>
        <w:t>2.</w:t>
      </w:r>
      <w:r>
        <w:rPr>
          <w:rFonts w:ascii="楷体_GB2312" w:eastAsia="楷体_GB2312" w:cs="楷体_GB2312" w:hint="eastAsia"/>
          <w:color w:val="auto"/>
          <w:sz w:val="32"/>
          <w:szCs w:val="32"/>
          <w:lang w:eastAsia="zh-CN"/>
        </w:rPr>
        <w:t>项目管理。</w:t>
      </w:r>
      <w:r>
        <w:rPr>
          <w:rFonts w:ascii="Times New Roman" w:eastAsia="仿宋_GB2312" w:cs="Times New Roman" w:hAnsi="Times New Roman" w:hint="eastAsia"/>
          <w:color w:val="auto"/>
          <w:sz w:val="32"/>
          <w:szCs w:val="32"/>
          <w:lang w:eastAsia="zh-CN"/>
        </w:rPr>
        <w:t>项目制度办法体系健全、要素完备</w:t>
      </w:r>
      <w:r>
        <w:rPr>
          <w:rFonts w:eastAsia="仿宋_GB2312" w:cs="Times New Roman" w:hint="eastAsia"/>
          <w:color w:val="auto"/>
          <w:sz w:val="32"/>
          <w:szCs w:val="32"/>
          <w:lang w:eastAsia="zh-CN"/>
        </w:rPr>
        <w:t>。项目资金分配因素选取、权重设置、区域分布，项目管理、审批符合</w:t>
      </w:r>
      <w:r>
        <w:rPr>
          <w:rFonts w:eastAsia="仿宋_GB2312" w:cs="Times New Roman" w:hint="eastAsia"/>
          <w:color w:val="auto"/>
          <w:sz w:val="32"/>
          <w:szCs w:val="32"/>
          <w:lang w:val="en-US" w:eastAsia="zh-CN"/>
        </w:rPr>
        <w:t>该项目实施方案内容。项目绩效监管按要求开展，项目管理、指导有力有效。项目管理得分18分。</w:t>
      </w:r>
    </w:p>
    <w:p>
      <w:pPr>
        <w:keepNext w:val="0"/>
        <w:keepLines w:val="0"/>
        <w:pageBreakBefore w:val="0"/>
        <w:widowControl w:val="0"/>
        <w:kinsoku/>
        <w:wordWrap/>
        <w:overflowPunct/>
        <w:topLinePunct w:val="0"/>
        <w:autoSpaceDE/>
        <w:autoSpaceDN/>
        <w:bidi w:val="0"/>
        <w:adjustRightInd/>
        <w:snapToGrid/>
        <w:spacing w:line="578" w:lineRule="exact"/>
        <w:ind w:leftChars="200" w:left="420" w:firstLine="0"/>
        <w:jc w:val="left"/>
        <w:textAlignment w:val="auto"/>
        <w:outlineLvl w:val="9"/>
        <w:rPr>
          <w:rFonts w:ascii="Times New Roman" w:eastAsia="仿宋_GB2312" w:cs="Times New Roman" w:hAnsi="Times New Roman"/>
          <w:color w:val="auto"/>
          <w:sz w:val="32"/>
          <w:szCs w:val="32"/>
          <w:lang w:val="en-US" w:eastAsia="zh-CN"/>
        </w:rPr>
      </w:pPr>
      <w:r>
        <w:rPr>
          <w:rFonts w:ascii="楷体_GB2312" w:eastAsia="楷体_GB2312" w:cs="楷体_GB2312" w:hint="eastAsia"/>
          <w:color w:val="auto"/>
          <w:sz w:val="32"/>
          <w:szCs w:val="32"/>
          <w:lang w:val="en-US" w:eastAsia="zh-CN"/>
        </w:rPr>
        <w:t>3.项目实施。</w:t>
      </w:r>
      <w:r>
        <w:rPr>
          <w:rFonts w:ascii="Times New Roman" w:eastAsia="仿宋_GB2312" w:cs="Times New Roman" w:hAnsi="Times New Roman" w:hint="eastAsia"/>
          <w:color w:val="auto"/>
          <w:sz w:val="32"/>
          <w:szCs w:val="32"/>
          <w:lang w:eastAsia="zh-CN"/>
        </w:rPr>
        <w:t>项目资金财政拨付、单位执行和地方配套</w:t>
      </w:r>
      <w:r>
        <w:rPr>
          <w:rFonts w:ascii="Times New Roman" w:eastAsia="仿宋_GB2312" w:cs="Times New Roman" w:hAnsi="Times New Roman" w:hint="eastAsia"/>
          <w:color w:val="auto"/>
          <w:sz w:val="32"/>
          <w:szCs w:val="32"/>
          <w:lang w:val="en-US" w:eastAsia="zh-CN"/>
        </w:rPr>
        <w:t>按时到位。资金使用拨付、项目实施全过程符合规定。</w:t>
      </w:r>
      <w:r>
        <w:rPr>
          <w:rFonts w:eastAsia="仿宋_GB2312" w:cs="Times New Roman" w:hint="eastAsia"/>
          <w:color w:val="auto"/>
          <w:sz w:val="32"/>
          <w:szCs w:val="32"/>
          <w:lang w:val="en-US" w:eastAsia="zh-CN"/>
        </w:rPr>
        <w:t>项目实施得分9分。</w:t>
      </w:r>
    </w:p>
    <w:p>
      <w:pPr>
        <w:keepNext w:val="0"/>
        <w:keepLines w:val="0"/>
        <w:pageBreakBefore w:val="0"/>
        <w:widowControl w:val="0"/>
        <w:kinsoku/>
        <w:wordWrap/>
        <w:overflowPunct/>
        <w:topLinePunct w:val="0"/>
        <w:autoSpaceDE/>
        <w:autoSpaceDN/>
        <w:bidi w:val="0"/>
        <w:adjustRightInd/>
        <w:snapToGrid/>
        <w:spacing w:line="578" w:lineRule="exact"/>
        <w:ind w:leftChars="200" w:left="420" w:firstLine="0"/>
        <w:textAlignment w:val="auto"/>
        <w:outlineLvl w:val="9"/>
        <w:rPr>
          <w:rFonts w:ascii="Times New Roman" w:eastAsia="仿宋_GB2312" w:cs="Times New Roman" w:hAnsi="Times New Roman" w:hint="eastAsia"/>
          <w:color w:val="auto"/>
          <w:sz w:val="32"/>
          <w:szCs w:val="32"/>
          <w:lang w:eastAsia="zh-CN"/>
        </w:rPr>
      </w:pPr>
      <w:r>
        <w:rPr>
          <w:rFonts w:ascii="楷体_GB2312" w:eastAsia="楷体_GB2312" w:cs="楷体_GB2312" w:hint="eastAsia"/>
          <w:color w:val="auto"/>
          <w:sz w:val="32"/>
          <w:szCs w:val="32"/>
          <w:lang w:val="en-US" w:eastAsia="zh-CN"/>
        </w:rPr>
        <w:t>4.项目结果。</w:t>
      </w:r>
      <w:r>
        <w:rPr>
          <w:rFonts w:ascii="Times New Roman" w:eastAsia="仿宋_GB2312" w:cs="Times New Roman" w:hAnsi="Times New Roman" w:hint="eastAsia"/>
          <w:color w:val="auto"/>
          <w:sz w:val="32"/>
          <w:szCs w:val="32"/>
          <w:lang w:val="en-US" w:eastAsia="zh-CN"/>
        </w:rPr>
        <w:t>围绕</w:t>
      </w:r>
      <w:r>
        <w:rPr>
          <w:rFonts w:ascii="Times New Roman" w:eastAsia="仿宋_GB2312" w:cs="Times New Roman" w:hAnsi="Times New Roman" w:hint="eastAsia"/>
          <w:color w:val="auto"/>
          <w:sz w:val="32"/>
          <w:szCs w:val="32"/>
          <w:lang w:eastAsia="zh-CN"/>
        </w:rPr>
        <w:t>目标完成、完成时效进行绩效分析。项目顺利完成预期目标，实施结果与绩效目标相匹配，反映目标实现程度达100%。项目实际完成时间与计划完成时间的比较提前。</w:t>
      </w:r>
      <w:r>
        <w:rPr>
          <w:rFonts w:eastAsia="仿宋_GB2312" w:cs="Times New Roman" w:hint="eastAsia"/>
          <w:color w:val="auto"/>
          <w:sz w:val="32"/>
          <w:szCs w:val="32"/>
          <w:lang w:val="en-US" w:eastAsia="zh-CN"/>
        </w:rPr>
        <w:t>项目结果得分9分。</w:t>
      </w:r>
    </w:p>
    <w:p>
      <w:pPr>
        <w:keepNext w:val="0"/>
        <w:keepLines w:val="0"/>
        <w:pageBreakBefore w:val="0"/>
        <w:widowControl w:val="0"/>
        <w:kinsoku/>
        <w:wordWrap/>
        <w:overflowPunct/>
        <w:topLinePunct w:val="0"/>
        <w:autoSpaceDE/>
        <w:autoSpaceDN/>
        <w:bidi w:val="0"/>
        <w:adjustRightInd/>
        <w:snapToGrid/>
        <w:spacing w:line="578" w:lineRule="exact"/>
        <w:ind w:firstLineChars="200" w:firstLine="640"/>
        <w:textAlignment w:val="auto"/>
        <w:outlineLvl w:val="9"/>
        <w:rPr>
          <w:rFonts w:ascii="楷体_GB2312" w:eastAsia="楷体_GB2312" w:cs="楷体_GB2312" w:hint="eastAsia"/>
          <w:color w:val="auto"/>
          <w:sz w:val="32"/>
          <w:szCs w:val="32"/>
          <w:lang w:val="zh-CN" w:eastAsia="zh-CN"/>
        </w:rPr>
      </w:pPr>
      <w:r>
        <w:rPr>
          <w:rFonts w:ascii="楷体_GB2312" w:eastAsia="楷体_GB2312" w:cs="Times New Roman" w:hint="eastAsia"/>
          <w:b/>
          <w:color w:val="auto"/>
          <w:sz w:val="32"/>
          <w:szCs w:val="32"/>
          <w:u w:val="none"/>
          <w:lang w:val="zh-CN"/>
          <w:highlight w:val="auto"/>
        </w:rPr>
        <w:t>（二）</w:t>
      </w:r>
      <w:r>
        <w:rPr>
          <w:rFonts w:ascii="楷体_GB2312" w:eastAsia="楷体_GB2312" w:cs="Times New Roman" w:hint="eastAsia"/>
          <w:b/>
          <w:color w:val="auto"/>
          <w:sz w:val="32"/>
          <w:szCs w:val="32"/>
          <w:u w:val="none"/>
          <w:lang w:val="en-US" w:eastAsia="zh-CN"/>
          <w:highlight w:val="auto"/>
        </w:rPr>
        <w:t>专用指标</w:t>
      </w:r>
      <w:r>
        <w:rPr>
          <w:rFonts w:ascii="Times New Roman" w:eastAsia="楷体_GB2312" w:cs="Times New Roman" w:hAnsi="Times New Roman"/>
          <w:b/>
          <w:bCs/>
          <w:color w:val="auto"/>
          <w:kern w:val="0"/>
          <w:sz w:val="32"/>
          <w:szCs w:val="32"/>
          <w:shd w:val="clear" w:color="auto" w:fill="FFFFFF"/>
          <w:lang w:val="zh-CN"/>
          <w:highlight w:val="auto"/>
        </w:rPr>
        <w:t>绩效分析。</w:t>
      </w:r>
    </w:p>
    <w:p>
      <w:pPr>
        <w:keepNext w:val="0"/>
        <w:keepLines w:val="0"/>
        <w:pageBreakBefore w:val="0"/>
        <w:widowControl w:val="0"/>
        <w:kinsoku/>
        <w:wordWrap/>
        <w:overflowPunct/>
        <w:topLinePunct w:val="0"/>
        <w:autoSpaceDE/>
        <w:autoSpaceDN/>
        <w:bidi w:val="0"/>
        <w:adjustRightInd/>
        <w:snapToGrid/>
        <w:spacing w:line="578" w:lineRule="exact"/>
        <w:ind w:left="0" w:firstLineChars="200" w:firstLine="640"/>
        <w:textAlignment w:val="auto"/>
        <w:outlineLvl w:val="9"/>
        <w:rPr>
          <w:rFonts w:ascii="楷体_GB2312" w:eastAsia="楷体_GB2312" w:cs="楷体_GB2312" w:hint="eastAsia"/>
          <w:color w:val="auto"/>
          <w:sz w:val="32"/>
          <w:szCs w:val="32"/>
          <w:lang w:val="en-US" w:eastAsia="zh-CN"/>
        </w:rPr>
      </w:pPr>
      <w:r>
        <w:rPr>
          <w:rFonts w:ascii="楷体_GB2312" w:eastAsia="楷体_GB2312" w:cs="楷体_GB2312" w:hint="eastAsia"/>
          <w:color w:val="auto"/>
          <w:sz w:val="32"/>
          <w:szCs w:val="32"/>
          <w:lang w:val="en-US" w:eastAsia="zh-CN"/>
        </w:rPr>
        <w:t>基础设施。</w:t>
      </w:r>
      <w:r>
        <w:rPr>
          <w:rFonts w:eastAsia="仿宋_GB2312" w:cs="Times New Roman" w:hint="eastAsia"/>
          <w:color w:val="auto"/>
          <w:sz w:val="32"/>
          <w:szCs w:val="32"/>
          <w:lang w:eastAsia="zh-CN"/>
        </w:rPr>
        <w:t>项目</w:t>
      </w:r>
      <w:r>
        <w:rPr>
          <w:rFonts w:eastAsia="仿宋_GB2312" w:cs="Times New Roman" w:hint="eastAsia"/>
          <w:color w:val="auto"/>
          <w:sz w:val="32"/>
          <w:szCs w:val="32"/>
          <w:lang w:val="en-US" w:eastAsia="zh-CN"/>
        </w:rPr>
        <w:t>施工中，按时间节点</w:t>
      </w:r>
      <w:r>
        <w:rPr>
          <w:rFonts w:eastAsia="仿宋_GB2312" w:cs="Times New Roman" w:hint="eastAsia"/>
          <w:color w:val="auto"/>
          <w:sz w:val="32"/>
          <w:szCs w:val="32"/>
          <w:lang w:eastAsia="zh-CN"/>
        </w:rPr>
        <w:t>达到计划工程进度。项目</w:t>
      </w:r>
      <w:r>
        <w:rPr>
          <w:rFonts w:eastAsia="仿宋_GB2312" w:cs="Times New Roman" w:hint="eastAsia"/>
          <w:color w:val="auto"/>
          <w:sz w:val="32"/>
          <w:szCs w:val="32"/>
          <w:lang w:val="en-US" w:eastAsia="zh-CN"/>
        </w:rPr>
        <w:t>实施过程中，按要求</w:t>
      </w:r>
      <w:r>
        <w:rPr>
          <w:rFonts w:eastAsia="仿宋_GB2312" w:cs="Times New Roman" w:hint="eastAsia"/>
          <w:color w:val="auto"/>
          <w:sz w:val="32"/>
          <w:szCs w:val="32"/>
          <w:lang w:eastAsia="zh-CN"/>
        </w:rPr>
        <w:t>达到预先确定的资金拨付进度。项目验收及时合格。项目经济社会功能</w:t>
      </w:r>
      <w:r>
        <w:rPr>
          <w:rFonts w:eastAsia="仿宋_GB2312" w:cs="Times New Roman" w:hint="eastAsia"/>
          <w:color w:val="auto"/>
          <w:sz w:val="32"/>
          <w:szCs w:val="32"/>
          <w:lang w:val="en-US" w:eastAsia="zh-CN"/>
        </w:rPr>
        <w:t>按要求</w:t>
      </w:r>
      <w:r>
        <w:rPr>
          <w:rFonts w:eastAsia="仿宋_GB2312" w:cs="Times New Roman" w:hint="eastAsia"/>
          <w:color w:val="auto"/>
          <w:sz w:val="32"/>
          <w:szCs w:val="32"/>
          <w:lang w:eastAsia="zh-CN"/>
        </w:rPr>
        <w:t>实现。项目后续维护</w:t>
      </w:r>
      <w:r>
        <w:rPr>
          <w:rFonts w:eastAsia="仿宋_GB2312" w:cs="Times New Roman" w:hint="eastAsia"/>
          <w:color w:val="auto"/>
          <w:sz w:val="32"/>
          <w:szCs w:val="32"/>
          <w:lang w:val="en-US" w:eastAsia="zh-CN"/>
        </w:rPr>
        <w:t>按要求</w:t>
      </w:r>
      <w:r>
        <w:rPr>
          <w:rFonts w:eastAsia="仿宋_GB2312" w:cs="Times New Roman" w:hint="eastAsia"/>
          <w:color w:val="auto"/>
          <w:sz w:val="32"/>
          <w:szCs w:val="32"/>
          <w:lang w:eastAsia="zh-CN"/>
        </w:rPr>
        <w:t>实现。</w:t>
      </w:r>
      <w:r>
        <w:rPr>
          <w:rFonts w:eastAsia="仿宋_GB2312" w:cs="Times New Roman" w:hint="eastAsia"/>
          <w:color w:val="auto"/>
          <w:sz w:val="32"/>
          <w:szCs w:val="32"/>
          <w:lang w:val="en-US" w:eastAsia="zh-CN"/>
        </w:rPr>
        <w:t>基础设施得分30分。</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eastAsia="仿宋_GB2312" w:cs="Times New Roman"/>
          <w:color w:val="auto"/>
          <w:sz w:val="32"/>
          <w:szCs w:val="32"/>
          <w:lang w:val="en-US" w:eastAsia="zh-CN"/>
        </w:rPr>
      </w:pPr>
      <w:r>
        <w:rPr>
          <w:rFonts w:ascii="楷体_GB2312" w:eastAsia="楷体_GB2312" w:cs="Times New Roman" w:hint="eastAsia"/>
          <w:b/>
          <w:color w:val="auto"/>
          <w:sz w:val="32"/>
          <w:szCs w:val="32"/>
          <w:u w:val="none"/>
          <w:lang w:val="zh-CN"/>
          <w:highlight w:val="auto"/>
        </w:rPr>
        <w:t>（三）</w:t>
      </w:r>
      <w:r>
        <w:rPr>
          <w:rFonts w:ascii="楷体_GB2312" w:eastAsia="楷体_GB2312" w:cs="Times New Roman" w:hint="eastAsia"/>
          <w:b/>
          <w:color w:val="auto"/>
          <w:sz w:val="32"/>
          <w:szCs w:val="32"/>
          <w:u w:val="none"/>
          <w:lang w:val="en-US" w:eastAsia="zh-CN"/>
          <w:highlight w:val="auto"/>
        </w:rPr>
        <w:t>个性指标</w:t>
      </w:r>
      <w:r>
        <w:rPr>
          <w:rFonts w:ascii="Times New Roman" w:eastAsia="楷体_GB2312" w:cs="Times New Roman" w:hAnsi="Times New Roman"/>
          <w:b/>
          <w:bCs/>
          <w:color w:val="auto"/>
          <w:kern w:val="0"/>
          <w:sz w:val="32"/>
          <w:szCs w:val="32"/>
          <w:shd w:val="clear" w:color="auto" w:fill="FFFFFF"/>
          <w:lang w:val="zh-CN"/>
          <w:highlight w:val="auto"/>
        </w:rPr>
        <w:t>绩效分析。</w:t>
      </w:r>
      <w:r>
        <w:rPr>
          <w:rFonts w:eastAsia="仿宋_GB2312" w:cs="Times New Roman" w:hint="eastAsia"/>
          <w:color w:val="auto"/>
          <w:sz w:val="32"/>
          <w:szCs w:val="32"/>
          <w:lang w:val="zh-CN" w:eastAsia="zh-CN"/>
        </w:rPr>
        <w:t>带动增加脱贫人口务工收入。个性指标</w:t>
      </w:r>
      <w:r>
        <w:rPr>
          <w:rFonts w:eastAsia="仿宋_GB2312" w:cs="Times New Roman" w:hint="eastAsia"/>
          <w:color w:val="auto"/>
          <w:sz w:val="32"/>
          <w:szCs w:val="32"/>
          <w:lang w:val="en-US" w:eastAsia="zh-CN"/>
        </w:rPr>
        <w:t>得分16分。</w:t>
      </w:r>
    </w:p>
    <w:p>
      <w:pPr>
        <w:pageBreakBefore w:val="0"/>
        <w:widowControl/>
        <w:tabs>
          <w:tab w:val="left" w:pos="2160"/>
        </w:tabs>
        <w:kinsoku/>
        <w:wordWrap/>
        <w:overflowPunct/>
        <w:topLinePunct w:val="0"/>
        <w:autoSpaceDE/>
        <w:autoSpaceDN/>
        <w:bidi w:val="0"/>
        <w:adjustRightInd/>
        <w:spacing w:line="600" w:lineRule="exact"/>
        <w:ind w:left="0" w:firstLineChars="200" w:firstLine="640"/>
        <w:jc w:val="left"/>
        <w:textAlignment w:val="auto"/>
        <w:rPr>
          <w:rFonts w:ascii="黑体" w:eastAsia="黑体" w:cs="Times New Roman" w:hint="eastAsia"/>
          <w:color w:val="auto"/>
          <w:kern w:val="0"/>
          <w:position w:val="3"/>
          <w:sz w:val="32"/>
          <w:szCs w:val="32"/>
          <w:u w:val="none"/>
          <w:lang w:val="en-US" w:bidi="ar-SA"/>
          <w:highlight w:val="auto"/>
        </w:rPr>
      </w:pPr>
      <w:r>
        <w:rPr>
          <w:rFonts w:ascii="黑体" w:eastAsia="黑体" w:cs="Times New Roman" w:hint="eastAsia"/>
          <w:color w:val="auto"/>
          <w:kern w:val="0"/>
          <w:position w:val="3"/>
          <w:sz w:val="32"/>
          <w:szCs w:val="32"/>
          <w:u w:val="none"/>
          <w:lang w:val="en-US" w:eastAsia="zh-CN" w:bidi="ar-SA"/>
          <w:highlight w:val="auto"/>
        </w:rPr>
        <w:t>四</w:t>
      </w:r>
      <w:r>
        <w:rPr>
          <w:rFonts w:ascii="黑体" w:eastAsia="黑体" w:cs="Times New Roman" w:hint="eastAsia"/>
          <w:color w:val="auto"/>
          <w:kern w:val="0"/>
          <w:position w:val="3"/>
          <w:sz w:val="32"/>
          <w:szCs w:val="32"/>
          <w:u w:val="none"/>
          <w:lang w:val="en-US" w:bidi="ar-SA"/>
          <w:highlight w:val="auto"/>
        </w:rPr>
        <w:t>、评价结论</w:t>
      </w:r>
    </w:p>
    <w:p>
      <w:pPr>
        <w:pageBreakBefore w:val="0"/>
        <w:widowControl/>
        <w:tabs>
          <w:tab w:val="left" w:pos="2160"/>
        </w:tabs>
        <w:kinsoku/>
        <w:wordWrap/>
        <w:overflowPunct/>
        <w:topLinePunct w:val="0"/>
        <w:autoSpaceDE/>
        <w:autoSpaceDN/>
        <w:bidi w:val="0"/>
        <w:adjustRightInd/>
        <w:spacing w:line="600" w:lineRule="exact"/>
        <w:ind w:left="0" w:firstLineChars="200" w:firstLine="640"/>
        <w:jc w:val="left"/>
        <w:textAlignment w:val="auto"/>
        <w:rPr>
          <w:rFonts w:ascii="黑体" w:eastAsia="黑体" w:cs="黑体" w:hint="eastAsia"/>
          <w:b w:val="0"/>
          <w:bCs w:val="0"/>
          <w:color w:val="auto"/>
          <w:kern w:val="2"/>
          <w:position w:val="0"/>
          <w:sz w:val="32"/>
          <w:szCs w:val="32"/>
          <w:lang w:val="en-US" w:eastAsia="zh-CN" w:bidi="ar-SA"/>
          <w:highlight w:val="auto"/>
        </w:rPr>
      </w:pPr>
      <w:r>
        <w:rPr>
          <w:rFonts w:ascii="仿宋_GB2312" w:eastAsia="仿宋_GB2312" w:cs="仿宋_GB2312" w:hint="eastAsia"/>
          <w:b w:val="0"/>
          <w:bCs w:val="0"/>
          <w:color w:val="auto"/>
          <w:kern w:val="0"/>
          <w:position w:val="0"/>
          <w:sz w:val="32"/>
          <w:szCs w:val="32"/>
          <w:lang w:val="en-US" w:eastAsia="zh-CN" w:bidi="ar-SA"/>
          <w:highlight w:val="auto"/>
        </w:rPr>
        <w:t>专项预算项目绩效自评合格，评价总分99分、</w:t>
      </w:r>
      <w:r>
        <w:rPr>
          <w:rFonts w:ascii="仿宋_GB2312" w:eastAsia="仿宋_GB2312" w:cs="仿宋_GB2312" w:hint="eastAsia"/>
          <w:b w:val="0"/>
          <w:bCs w:val="0"/>
          <w:color w:val="auto"/>
          <w:kern w:val="0"/>
          <w:position w:val="3"/>
          <w:sz w:val="32"/>
          <w:szCs w:val="32"/>
          <w:lang w:val="zh-CN" w:bidi="ar-SA"/>
          <w:highlight w:val="auto"/>
        </w:rPr>
        <w:t>项目实施情况</w:t>
      </w:r>
      <w:r>
        <w:rPr>
          <w:rFonts w:ascii="仿宋_GB2312" w:eastAsia="仿宋_GB2312" w:cs="仿宋_GB2312" w:hint="eastAsia"/>
          <w:b w:val="0"/>
          <w:bCs w:val="0"/>
          <w:color w:val="auto"/>
          <w:kern w:val="0"/>
          <w:position w:val="3"/>
          <w:sz w:val="32"/>
          <w:szCs w:val="32"/>
          <w:lang w:val="en-US" w:eastAsia="zh-CN" w:bidi="ar-SA"/>
          <w:highlight w:val="auto"/>
        </w:rPr>
        <w:t>良好</w:t>
      </w:r>
      <w:r>
        <w:rPr>
          <w:rFonts w:ascii="仿宋_GB2312" w:eastAsia="仿宋_GB2312" w:cs="仿宋_GB2312" w:hint="eastAsia"/>
          <w:b w:val="0"/>
          <w:bCs w:val="0"/>
          <w:color w:val="auto"/>
          <w:kern w:val="0"/>
          <w:position w:val="3"/>
          <w:sz w:val="32"/>
          <w:szCs w:val="32"/>
          <w:lang w:val="zh-CN" w:bidi="ar-SA"/>
          <w:highlight w:val="auto"/>
        </w:rPr>
        <w:t>。</w:t>
      </w:r>
    </w:p>
    <w:p>
      <w:pPr>
        <w:pageBreakBefore w:val="0"/>
        <w:widowControl/>
        <w:tabs>
          <w:tab w:val="left" w:pos="2160"/>
        </w:tabs>
        <w:kinsoku/>
        <w:wordWrap/>
        <w:overflowPunct/>
        <w:topLinePunct w:val="0"/>
        <w:autoSpaceDE/>
        <w:autoSpaceDN/>
        <w:bidi w:val="0"/>
        <w:adjustRightInd/>
        <w:spacing w:line="600" w:lineRule="exact"/>
        <w:ind w:left="0" w:firstLineChars="200" w:firstLine="640"/>
        <w:jc w:val="left"/>
        <w:textAlignment w:val="auto"/>
        <w:rPr>
          <w:rFonts w:ascii="黑体" w:eastAsia="黑体" w:cs="Times New Roman" w:hint="eastAsia"/>
          <w:color w:val="auto"/>
          <w:kern w:val="0"/>
          <w:position w:val="3"/>
          <w:sz w:val="32"/>
          <w:szCs w:val="32"/>
          <w:u w:val="none"/>
          <w:lang w:val="en-US" w:eastAsia="zh-CN" w:bidi="ar-SA"/>
          <w:highlight w:val="auto"/>
        </w:rPr>
      </w:pPr>
      <w:r>
        <w:rPr>
          <w:rFonts w:ascii="黑体" w:eastAsia="黑体" w:cs="Times New Roman" w:hint="eastAsia"/>
          <w:color w:val="auto"/>
          <w:kern w:val="0"/>
          <w:position w:val="3"/>
          <w:sz w:val="32"/>
          <w:szCs w:val="32"/>
          <w:u w:val="none"/>
          <w:lang w:val="en-US" w:eastAsia="zh-CN" w:bidi="ar-SA"/>
          <w:highlight w:val="auto"/>
        </w:rPr>
        <w:t>五、存在主要问题</w:t>
      </w:r>
    </w:p>
    <w:p>
      <w:pPr>
        <w:pageBreakBefore w:val="0"/>
        <w:widowControl/>
        <w:tabs>
          <w:tab w:val="left" w:pos="2160"/>
        </w:tabs>
        <w:kinsoku/>
        <w:wordWrap/>
        <w:overflowPunct/>
        <w:topLinePunct w:val="0"/>
        <w:autoSpaceDE/>
        <w:autoSpaceDN/>
        <w:bidi w:val="0"/>
        <w:adjustRightInd/>
        <w:spacing w:line="600" w:lineRule="exact"/>
        <w:ind w:left="0" w:firstLineChars="200" w:firstLine="640"/>
        <w:jc w:val="left"/>
        <w:textAlignment w:val="auto"/>
        <w:rPr>
          <w:rFonts w:ascii="黑体" w:eastAsia="黑体" w:cs="黑体" w:hint="eastAsia"/>
          <w:b w:val="0"/>
          <w:bCs w:val="0"/>
          <w:color w:val="auto"/>
          <w:kern w:val="2"/>
          <w:position w:val="0"/>
          <w:sz w:val="32"/>
          <w:szCs w:val="32"/>
          <w:lang w:val="en-US" w:eastAsia="zh-CN" w:bidi="ar-SA"/>
          <w:highlight w:val="auto"/>
        </w:rPr>
      </w:pPr>
      <w:r>
        <w:rPr>
          <w:rFonts w:ascii="仿宋_GB2312" w:eastAsia="仿宋_GB2312" w:cs="仿宋_GB2312" w:hint="eastAsia"/>
          <w:b w:val="0"/>
          <w:bCs w:val="0"/>
          <w:color w:val="auto"/>
          <w:kern w:val="0"/>
          <w:position w:val="0"/>
          <w:sz w:val="32"/>
          <w:szCs w:val="32"/>
          <w:lang w:val="en-US" w:eastAsia="zh-CN" w:bidi="ar-SA"/>
          <w:highlight w:val="auto"/>
        </w:rPr>
        <w:t>无。</w:t>
      </w:r>
    </w:p>
    <w:p>
      <w:pPr>
        <w:pageBreakBefore w:val="0"/>
        <w:widowControl/>
        <w:tabs>
          <w:tab w:val="left" w:pos="2160"/>
        </w:tabs>
        <w:kinsoku/>
        <w:wordWrap/>
        <w:overflowPunct/>
        <w:topLinePunct w:val="0"/>
        <w:autoSpaceDE/>
        <w:autoSpaceDN/>
        <w:bidi w:val="0"/>
        <w:adjustRightInd/>
        <w:spacing w:line="600" w:lineRule="exact"/>
        <w:ind w:left="0" w:firstLineChars="200" w:firstLine="640"/>
        <w:jc w:val="left"/>
        <w:textAlignment w:val="auto"/>
        <w:rPr>
          <w:rFonts w:ascii="黑体" w:eastAsia="黑体" w:cs="Times New Roman" w:hint="eastAsia"/>
          <w:color w:val="auto"/>
          <w:kern w:val="0"/>
          <w:position w:val="3"/>
          <w:sz w:val="32"/>
          <w:szCs w:val="32"/>
          <w:u w:val="none"/>
          <w:lang w:val="zh-CN" w:eastAsia="zh-CN" w:bidi="ar-SA"/>
          <w:highlight w:val="auto"/>
        </w:rPr>
      </w:pPr>
      <w:r>
        <w:rPr>
          <w:rFonts w:ascii="黑体" w:eastAsia="黑体" w:cs="Times New Roman" w:hint="eastAsia"/>
          <w:color w:val="auto"/>
          <w:kern w:val="0"/>
          <w:position w:val="3"/>
          <w:sz w:val="32"/>
          <w:szCs w:val="32"/>
          <w:u w:val="none"/>
          <w:lang w:val="zh-CN" w:eastAsia="zh-CN" w:bidi="ar-SA"/>
          <w:highlight w:val="auto"/>
        </w:rPr>
        <w:t>六、改进建议</w:t>
      </w:r>
    </w:p>
    <w:p>
      <w:pPr>
        <w:tabs>
          <w:tab w:val="left" w:pos="1911"/>
        </w:tabs>
        <w:jc w:val="left"/>
        <w:rPr>
          <w:rFonts w:ascii="仿宋_GB2312" w:eastAsia="仿宋_GB2312" w:cs="仿宋_GB2312" w:hint="eastAsia"/>
          <w:b w:val="0"/>
          <w:bCs w:val="0"/>
          <w:color w:val="auto"/>
          <w:kern w:val="0"/>
          <w:position w:val="0"/>
          <w:sz w:val="32"/>
          <w:szCs w:val="32"/>
          <w:lang w:eastAsia="zh-CN" w:bidi="ar-SA"/>
          <w:highlight w:val="auto"/>
        </w:rPr>
      </w:pPr>
      <w:r>
        <w:rPr>
          <w:rFonts w:ascii="仿宋_GB2312" w:eastAsia="仿宋_GB2312" w:cs="仿宋_GB2312" w:hint="eastAsia"/>
          <w:color w:val="auto"/>
          <w:kern w:val="0"/>
          <w:sz w:val="32"/>
          <w:szCs w:val="32"/>
          <w:u w:val="none"/>
          <w:shd w:val="clear" w:color="auto" w:fill="FFFFFF"/>
          <w:lang w:val="zh-CN" w:eastAsia="zh-CN"/>
          <w:highlight w:val="auto"/>
        </w:rPr>
        <w:t xml:space="preserve"> </w:t>
      </w:r>
      <w:r>
        <w:rPr>
          <w:rFonts w:ascii="仿宋_GB2312" w:eastAsia="仿宋_GB2312" w:cs="仿宋_GB2312" w:hint="eastAsia"/>
          <w:b w:val="0"/>
          <w:bCs w:val="0"/>
          <w:color w:val="auto"/>
          <w:kern w:val="0"/>
          <w:position w:val="0"/>
          <w:sz w:val="32"/>
          <w:szCs w:val="32"/>
          <w:lang w:val="en-US" w:eastAsia="zh-CN" w:bidi="ar-SA"/>
          <w:highlight w:val="auto"/>
        </w:rPr>
        <w:t xml:space="preserve">   无。</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color w:val="auto"/>
          <w:kern w:val="0"/>
          <w:position w:val="0"/>
          <w:sz w:val="32"/>
          <w:szCs w:val="3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color w:val="auto"/>
          <w:kern w:val="0"/>
          <w:position w:val="0"/>
          <w:sz w:val="32"/>
          <w:szCs w:val="32"/>
          <w:lang w:val="en-US" w:eastAsia="zh-CN" w:bidi="ar-SA"/>
          <w:highlight w:val="auto"/>
        </w:rPr>
      </w:pPr>
      <w:bookmarkStart w:id="66" w:name="_Toc15396618"/>
      <w:r>
        <w:rPr>
          <w:rFonts w:ascii="Times New Roman" w:eastAsia="仿宋_GB2312" w:cs="仿宋_GB2312" w:hAnsi="Times New Roman" w:hint="eastAsia"/>
          <w:b w:val="0"/>
          <w:bCs w:val="0"/>
          <w:color w:val="auto"/>
          <w:kern w:val="0"/>
          <w:position w:val="0"/>
          <w:sz w:val="32"/>
          <w:szCs w:val="32"/>
          <w:lang w:val="en-US" w:eastAsia="zh-CN" w:bidi="ar-SA"/>
          <w:highlight w:val="auto"/>
        </w:rPr>
        <w:br w:type="page"/>
      </w:r>
    </w:p>
    <w:p>
      <w:pPr>
        <w:widowControl/>
        <w:jc w:val="center"/>
        <w:rPr>
          <w:rFonts w:ascii="Times New Roman" w:eastAsia="仿宋" w:hAnsi="Times New Roman" w:hint="eastAsia"/>
          <w:b w:val="0"/>
          <w:color w:val="auto"/>
          <w:highlight w:val="auto"/>
        </w:rPr>
      </w:pPr>
      <w:r>
        <w:rPr>
          <w:rFonts w:ascii="Times New Roman" w:eastAsia="黑体" w:hAnsi="Times New Roman" w:hint="eastAsia"/>
          <w:color w:val="auto"/>
          <w:sz w:val="44"/>
          <w:szCs w:val="44"/>
          <w:highlight w:val="auto"/>
        </w:rPr>
        <w:t>第</w:t>
      </w:r>
      <w:r>
        <w:rPr>
          <w:rStyle w:val="1Char"/>
          <w:rFonts w:ascii="Times New Roman" w:eastAsia="黑体" w:hAnsi="Times New Roman" w:hint="eastAsia"/>
          <w:b w:val="0"/>
          <w:color w:val="auto"/>
          <w:highlight w:val="auto"/>
        </w:rPr>
        <w:t>五部分 附表</w:t>
      </w:r>
      <w:bookmarkStart w:id="67" w:name="_Toc15396619"/>
      <w:bookmarkEnd w:id="62"/>
      <w:bookmarkEnd w:id="66"/>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bookmarkEnd w:id="67"/>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68" w:name="_Toc15396620"/>
      <w:r>
        <w:rPr>
          <w:rFonts w:ascii="Times New Roman" w:eastAsia="仿宋_GB2312" w:cs="仿宋_GB2312" w:hAnsi="Times New Roman" w:hint="eastAsia"/>
          <w:color w:val="auto"/>
          <w:sz w:val="32"/>
          <w:szCs w:val="32"/>
          <w:highlight w:val="auto"/>
        </w:rPr>
        <w:t>二、收入决算表</w:t>
      </w:r>
      <w:bookmarkEnd w:id="68"/>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69" w:name="_Toc15396621"/>
      <w:r>
        <w:rPr>
          <w:rFonts w:ascii="Times New Roman" w:eastAsia="仿宋_GB2312" w:cs="仿宋_GB2312" w:hAnsi="Times New Roman" w:hint="eastAsia"/>
          <w:color w:val="auto"/>
          <w:sz w:val="32"/>
          <w:szCs w:val="32"/>
          <w:highlight w:val="auto"/>
        </w:rPr>
        <w:t>三、支出决算表</w:t>
      </w:r>
      <w:bookmarkEnd w:id="69"/>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0" w:name="_Toc15396622"/>
      <w:r>
        <w:rPr>
          <w:rFonts w:ascii="Times New Roman" w:eastAsia="仿宋_GB2312" w:cs="仿宋_GB2312" w:hAnsi="Times New Roman" w:hint="eastAsia"/>
          <w:color w:val="auto"/>
          <w:sz w:val="32"/>
          <w:szCs w:val="32"/>
          <w:highlight w:val="auto"/>
        </w:rPr>
        <w:t>四、财政拨款收入支出决算总表</w:t>
      </w:r>
      <w:bookmarkEnd w:id="70"/>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1" w:name="_Toc15396623"/>
      <w:r>
        <w:rPr>
          <w:rFonts w:ascii="Times New Roman" w:eastAsia="仿宋_GB2312" w:cs="仿宋_GB2312" w:hAnsi="Times New Roman" w:hint="eastAsia"/>
          <w:color w:val="auto"/>
          <w:sz w:val="32"/>
          <w:szCs w:val="32"/>
          <w:highlight w:val="auto"/>
        </w:rPr>
        <w:t>五、财政拨款支出决算明细表</w:t>
      </w:r>
      <w:bookmarkStart w:id="72" w:name="_Toc15396624"/>
      <w:bookmarkEnd w:id="71"/>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bookmarkEnd w:id="72"/>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3" w:name="_Toc15396625"/>
      <w:r>
        <w:rPr>
          <w:rFonts w:ascii="Times New Roman" w:eastAsia="仿宋_GB2312" w:cs="仿宋_GB2312" w:hAnsi="Times New Roman" w:hint="eastAsia"/>
          <w:color w:val="auto"/>
          <w:sz w:val="32"/>
          <w:szCs w:val="32"/>
          <w:highlight w:val="auto"/>
        </w:rPr>
        <w:t>七、一般公共预算财政拨款支出决算明细表</w:t>
      </w:r>
      <w:bookmarkEnd w:id="73"/>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4" w:name="_Toc15396626"/>
      <w:r>
        <w:rPr>
          <w:rFonts w:ascii="Times New Roman" w:eastAsia="仿宋_GB2312" w:cs="仿宋_GB2312" w:hAnsi="Times New Roman" w:hint="eastAsia"/>
          <w:color w:val="auto"/>
          <w:sz w:val="32"/>
          <w:szCs w:val="32"/>
          <w:highlight w:val="auto"/>
        </w:rPr>
        <w:t>八、一般公共预算财政拨款基本支出决算表</w:t>
      </w:r>
      <w:bookmarkEnd w:id="74"/>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5" w:name="_Toc15396627"/>
      <w:r>
        <w:rPr>
          <w:rFonts w:ascii="Times New Roman" w:eastAsia="仿宋_GB2312" w:cs="仿宋_GB2312" w:hAnsi="Times New Roman" w:hint="eastAsia"/>
          <w:color w:val="auto"/>
          <w:sz w:val="32"/>
          <w:szCs w:val="32"/>
          <w:highlight w:val="auto"/>
        </w:rPr>
        <w:t>九、一般公共预算财政拨款项目支出决算表</w:t>
      </w:r>
      <w:bookmarkEnd w:id="75"/>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6" w:name="_Toc15396628"/>
      <w:r>
        <w:rPr>
          <w:rFonts w:ascii="Times New Roman" w:eastAsia="仿宋_GB2312" w:cs="仿宋_GB2312" w:hAnsi="Times New Roman" w:hint="eastAsia"/>
          <w:color w:val="auto"/>
          <w:sz w:val="32"/>
          <w:szCs w:val="32"/>
          <w:highlight w:val="auto"/>
        </w:rPr>
        <w:t>十、</w:t>
      </w:r>
      <w:bookmarkEnd w:id="76"/>
      <w:r>
        <w:rPr>
          <w:rFonts w:ascii="Times New Roman" w:eastAsia="仿宋_GB2312" w:cs="仿宋_GB2312" w:hAnsi="Times New Roman" w:hint="eastAsia"/>
          <w:color w:val="auto"/>
          <w:sz w:val="32"/>
          <w:szCs w:val="32"/>
          <w:highlight w:val="auto"/>
        </w:rPr>
        <w:t>政府性基金预算财政拨款收入支出决算表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7" w:name="_Toc15396629"/>
      <w:r>
        <w:rPr>
          <w:rFonts w:ascii="Times New Roman" w:eastAsia="仿宋_GB2312" w:cs="仿宋_GB2312" w:hAnsi="Times New Roman" w:hint="eastAsia"/>
          <w:color w:val="auto"/>
          <w:sz w:val="32"/>
          <w:szCs w:val="32"/>
          <w:highlight w:val="auto"/>
        </w:rPr>
        <w:t>十一、</w:t>
      </w:r>
      <w:bookmarkEnd w:id="77"/>
      <w:r>
        <w:rPr>
          <w:rFonts w:ascii="Times New Roman" w:eastAsia="仿宋_GB2312" w:cs="仿宋_GB2312" w:hAnsi="Times New Roman" w:hint="eastAsia"/>
          <w:color w:val="auto"/>
          <w:sz w:val="32"/>
          <w:szCs w:val="32"/>
          <w:highlight w:val="auto"/>
        </w:rPr>
        <w:t>国有资本经营预算</w:t>
      </w:r>
      <w:r>
        <w:rPr>
          <w:rFonts w:ascii="Times New Roman" w:eastAsia="仿宋_GB2312" w:cs="仿宋_GB2312" w:hAnsi="Times New Roman" w:hint="eastAsia"/>
          <w:color w:val="auto"/>
          <w:sz w:val="32"/>
          <w:szCs w:val="32"/>
          <w:lang w:eastAsia="zh-CN"/>
          <w:highlight w:val="auto"/>
        </w:rPr>
        <w:t>财政拨款收入</w:t>
      </w:r>
      <w:r>
        <w:rPr>
          <w:rFonts w:ascii="Times New Roman" w:eastAsia="仿宋_GB2312" w:cs="仿宋_GB2312" w:hAnsi="Times New Roman" w:hint="eastAsia"/>
          <w:color w:val="auto"/>
          <w:sz w:val="32"/>
          <w:szCs w:val="32"/>
          <w:highlight w:val="auto"/>
        </w:rPr>
        <w:t>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8" w:name="_Toc15396630"/>
      <w:r>
        <w:rPr>
          <w:rFonts w:ascii="Times New Roman" w:eastAsia="仿宋_GB2312" w:cs="仿宋_GB2312" w:hAnsi="Times New Roman" w:hint="eastAsia"/>
          <w:color w:val="auto"/>
          <w:sz w:val="32"/>
          <w:szCs w:val="32"/>
          <w:highlight w:val="auto"/>
        </w:rPr>
        <w:t>十二、</w:t>
      </w:r>
      <w:bookmarkEnd w:id="78"/>
      <w:r>
        <w:rPr>
          <w:rFonts w:ascii="Times New Roman" w:eastAsia="仿宋_GB2312" w:cs="仿宋_GB2312" w:hAnsi="Times New Roman" w:hint="eastAsia"/>
          <w:color w:val="auto"/>
          <w:sz w:val="32"/>
          <w:szCs w:val="32"/>
          <w:lang w:eastAsia="zh-CN"/>
          <w:highlight w:val="auto"/>
        </w:rPr>
        <w:t>国有资本经营预算财政拨款支出决算表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lang w:eastAsia="zh-CN"/>
          <w:highlight w:val="auto"/>
        </w:rPr>
      </w:pPr>
      <w:bookmarkStart w:id="79" w:name="_Toc15396631"/>
      <w:r>
        <w:rPr>
          <w:rFonts w:ascii="Times New Roman" w:eastAsia="仿宋_GB2312" w:cs="仿宋_GB2312" w:hAnsi="Times New Roman" w:hint="eastAsia"/>
          <w:color w:val="auto"/>
          <w:sz w:val="32"/>
          <w:szCs w:val="32"/>
          <w:highlight w:val="auto"/>
        </w:rPr>
        <w:t>十三、</w:t>
      </w:r>
      <w:bookmarkEnd w:id="79"/>
      <w:r>
        <w:rPr>
          <w:rFonts w:ascii="Times New Roman" w:eastAsia="仿宋_GB2312" w:cs="仿宋_GB2312" w:hAnsi="Times New Roman" w:hint="eastAsia"/>
          <w:color w:val="auto"/>
          <w:sz w:val="32"/>
          <w:szCs w:val="32"/>
          <w:lang w:eastAsia="zh-CN"/>
          <w:highlight w:val="auto"/>
        </w:rPr>
        <w:t>财政拨款“三公”经费支出决算表</w:t>
      </w:r>
    </w:p>
    <w:p>
      <w:pPr>
        <w:rPr>
          <w:rFonts w:ascii="Times New Roman" w:hAnsi="Times New Roman" w:hint="eastAsia"/>
          <w:lang w:eastAsia="zh-CN"/>
        </w:rPr>
      </w:pPr>
    </w:p>
    <w:sectPr>
      <w:footerReference w:type="default" r:id="rId10"/>
      <w:footerReference w:type="first" r:id="rId11"/>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AR PL UKai CN"/>
    <w:panose1 w:val="02020603050405020304"/>
    <w:charset w:val="86"/>
    <w:family w:val="auto"/>
    <w:pitch w:val="variable"/>
    <w:sig w:usb0="E0002AFF" w:usb1="C0007841" w:usb2="00000009" w:usb3="00000000" w:csb0="400001FF" w:csb1="FFFF0000"/>
  </w:font>
  <w:font w:name="方正小标宋简体">
    <w:altName w:val="AR PL UKai CN"/>
    <w:panose1 w:val="02010601030101010101"/>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宋体">
    <w:altName w:val="方正书宋_GBK"/>
    <w:panose1 w:val="02010600030101010101"/>
    <w:charset w:val="7A"/>
    <w:family w:val="auto"/>
    <w:pitch w:val="variable"/>
    <w:sig w:usb0="00000003" w:usb1="288F0000" w:usb2="00000006" w:usb3="00000000" w:csb0="00040001" w:csb1="00000000"/>
  </w:font>
  <w:font w:name="微软雅黑">
    <w:altName w:val="AR PL UKai CN"/>
    <w:panose1 w:val="020B0503020204020204"/>
    <w:charset w:val="86"/>
    <w:family w:val="auto"/>
    <w:pitch w:val="variable"/>
    <w:sig w:usb0="80000287" w:usb1="28CF3C50" w:usb2="00000016" w:usb3="00000000" w:csb0="0004001F"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C41C05E"/>
    <w:multiLevelType w:val="singleLevel"/>
    <w:tmpl w:val="5C41C05E"/>
    <w:lvl w:ilvl="0">
      <w:start w:val="1"/>
      <w:numFmt w:val="chineseCounting"/>
      <w:lvlRestart w:val="0"/>
      <w:suff w:val="nothing"/>
      <w:lvlText w:val="%1、"/>
      <w:lvlJc w:val="left"/>
      <w:pPr>
        <w:tabs>
          <w:tab w:val="num" w:pos="0"/>
        </w:tabs>
        <w:ind w:left="0" w:hanging="0"/>
      </w:pPr>
      <w:rPr>
        <w:rFonts w:hint="eastAsia"/>
      </w:rPr>
    </w:lvl>
  </w:abstractNum>
  <w:abstractNum w:abstractNumId="1">
    <w:nsid w:val="62621CDC"/>
    <w:multiLevelType w:val="multilevel"/>
    <w:tmpl w:val="62621CDC"/>
    <w:lvl w:ilvl="0">
      <w:start w:val="1"/>
      <w:numFmt w:val="decimal"/>
      <w:lvlRestart w:val="0"/>
      <w:lvlText w:val="%1."/>
      <w:lvlJc w:val="left"/>
      <w:pPr>
        <w:tabs>
          <w:tab w:val="num" w:pos="0"/>
        </w:tabs>
        <w:ind w:left="1152" w:hanging="480"/>
      </w:pPr>
      <w:rPr>
        <w:rFonts w:hint="default"/>
      </w:rPr>
    </w:lvl>
    <w:lvl w:ilvl="1">
      <w:start w:val="1"/>
      <w:numFmt w:val="lowerLetter"/>
      <w:lvlText w:val="%2)"/>
      <w:lvlJc w:val="left"/>
      <w:pPr>
        <w:tabs>
          <w:tab w:val="num" w:pos="0"/>
        </w:tabs>
        <w:ind w:left="1512" w:hanging="420"/>
      </w:pPr>
    </w:lvl>
    <w:lvl w:ilvl="2">
      <w:start w:val="1"/>
      <w:numFmt w:val="lowerRoman"/>
      <w:lvlText w:val="%3."/>
      <w:lvlJc w:val="right"/>
      <w:pPr>
        <w:tabs>
          <w:tab w:val="num" w:pos="0"/>
        </w:tabs>
        <w:ind w:left="1932" w:hanging="420"/>
      </w:pPr>
    </w:lvl>
    <w:lvl w:ilvl="3">
      <w:start w:val="1"/>
      <w:numFmt w:val="decimal"/>
      <w:lvlText w:val="%4."/>
      <w:lvlJc w:val="left"/>
      <w:pPr>
        <w:tabs>
          <w:tab w:val="num" w:pos="0"/>
        </w:tabs>
        <w:ind w:left="2352" w:hanging="420"/>
      </w:pPr>
    </w:lvl>
    <w:lvl w:ilvl="4">
      <w:start w:val="1"/>
      <w:numFmt w:val="lowerLetter"/>
      <w:lvlText w:val="%5)"/>
      <w:lvlJc w:val="left"/>
      <w:pPr>
        <w:tabs>
          <w:tab w:val="num" w:pos="0"/>
        </w:tabs>
        <w:ind w:left="2772" w:hanging="420"/>
      </w:pPr>
    </w:lvl>
    <w:lvl w:ilvl="5">
      <w:start w:val="1"/>
      <w:numFmt w:val="lowerRoman"/>
      <w:lvlText w:val="%6."/>
      <w:lvlJc w:val="right"/>
      <w:pPr>
        <w:tabs>
          <w:tab w:val="num" w:pos="0"/>
        </w:tabs>
        <w:ind w:left="3192" w:hanging="420"/>
      </w:pPr>
    </w:lvl>
    <w:lvl w:ilvl="6">
      <w:start w:val="1"/>
      <w:numFmt w:val="decimal"/>
      <w:lvlText w:val="%7."/>
      <w:lvlJc w:val="left"/>
      <w:pPr>
        <w:tabs>
          <w:tab w:val="num" w:pos="0"/>
        </w:tabs>
        <w:ind w:left="3612" w:hanging="420"/>
      </w:pPr>
    </w:lvl>
    <w:lvl w:ilvl="7">
      <w:start w:val="1"/>
      <w:numFmt w:val="lowerLetter"/>
      <w:lvlText w:val="%8)"/>
      <w:lvlJc w:val="left"/>
      <w:pPr>
        <w:tabs>
          <w:tab w:val="num" w:pos="0"/>
        </w:tabs>
        <w:ind w:left="4032" w:hanging="420"/>
      </w:pPr>
    </w:lvl>
    <w:lvl w:ilvl="8">
      <w:start w:val="1"/>
      <w:numFmt w:val="lowerRoman"/>
      <w:lvlText w:val="%9."/>
      <w:lvlJc w:val="right"/>
      <w:pPr>
        <w:tabs>
          <w:tab w:val="num" w:pos="0"/>
        </w:tabs>
        <w:ind w:left="4452" w:hanging="420"/>
      </w:pPr>
    </w:lvl>
  </w:abstractNum>
  <w:abstractNum w:abstractNumId="2">
    <w:nsid w:val="353036B0"/>
    <w:multiLevelType w:val="singleLevel"/>
    <w:tmpl w:val="353036B0"/>
    <w:lvl w:ilvl="0">
      <w:start w:val="2"/>
      <w:numFmt w:val="decimal"/>
      <w:lvlRestart w:val="0"/>
      <w:lvlText w:val="%1."/>
      <w:lvlJc w:val="left"/>
      <w:pPr>
        <w:tabs>
          <w:tab w:val="num" w:pos="0"/>
        </w:tabs>
        <w:ind w:left="0" w:hanging="0"/>
      </w:pPr>
    </w:lvl>
  </w:abstractNum>
  <w:abstractNum w:abstractNumId="3">
    <w:nsid w:val="20F01687"/>
    <w:multiLevelType w:val="singleLevel"/>
    <w:tmpl w:val="20F01687"/>
    <w:lvl w:ilvl="0">
      <w:start w:val="3"/>
      <w:numFmt w:val="chineseCounting"/>
      <w:lvlRestart w:val="0"/>
      <w:suff w:val="nothing"/>
      <w:lvlText w:val="（%1）"/>
      <w:lvlJc w:val="left"/>
      <w:pPr>
        <w:tabs>
          <w:tab w:val="num" w:pos="0"/>
        </w:tabs>
        <w:ind w:left="0" w:hanging="0"/>
      </w:pPr>
      <w:rPr>
        <w:rFonts w:hint="eastAsia"/>
      </w:rPr>
    </w:lvl>
  </w:abstractNum>
  <w:abstractNum w:abstractNumId="4">
    <w:nsid w:val="615F0E73"/>
    <w:multiLevelType w:val="singleLevel"/>
    <w:tmpl w:val="615F0E73"/>
    <w:lvl w:ilvl="0">
      <w:start w:val="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1"/>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Body Text Indent"/>
    <w:basedOn w:val="0"/>
    <w:next w:val="18"/>
    <w:pPr>
      <w:spacing w:after="120"/>
      <w:ind w:leftChars="200" w:left="200"/>
    </w:pPr>
    <w:rPr>
      <w:rFonts w:ascii="仿宋_GB2312" w:hAnsi="仿宋_GB2312"/>
      <w:szCs w:val="32"/>
    </w:rPr>
  </w:style>
  <w:style w:type="paragraph" w:styleId="18">
    <w:name w:val="Body Text First Indent 2"/>
    <w:basedOn w:val="17"/>
    <w:pPr>
      <w:ind w:firstLineChars="200" w:firstLine="200"/>
    </w:p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footnote text"/>
    <w:basedOn w:val="0"/>
    <w:next w:val="18"/>
    <w:pPr>
      <w:snapToGrid w:val="0"/>
      <w:jc w:val="left"/>
    </w:pPr>
    <w:rPr>
      <w:sz w:val="18"/>
      <w:szCs w:val="18"/>
    </w:rPr>
  </w:style>
  <w:style w:type="paragraph" w:styleId="25">
    <w:name w:val="toc 2"/>
    <w:basedOn w:val="0"/>
    <w:next w:val="0"/>
    <w:pPr>
      <w:tabs>
        <w:tab w:val="right" w:leader="dot" w:pos="8296"/>
      </w:tabs>
      <w:ind w:leftChars="200" w:left="200"/>
    </w:pPr>
  </w:style>
  <w:style w:type="paragraph" w:styleId="26">
    <w:name w:val="HTML Preformatt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7">
    <w:name w:val="Normal (Web)"/>
    <w:pPr>
      <w:widowControl w:val="0"/>
      <w:jc w:val="both"/>
    </w:pPr>
    <w:rPr>
      <w:rFonts w:ascii="Times New Roman" w:eastAsia="宋体" w:cs="Times New Roman" w:hAnsi="Times New Roman"/>
      <w:kern w:val="2"/>
      <w:sz w:val="24"/>
      <w:szCs w:val="32"/>
      <w:lang w:val="en-US" w:eastAsia="zh-CN" w:bidi="ar-SA"/>
    </w:rPr>
  </w:style>
  <w:style w:type="character" w:styleId="28">
    <w:name w:val="Strong"/>
    <w:basedOn w:val="10"/>
    <w:rPr>
      <w:b/>
    </w:rPr>
  </w:style>
  <w:style w:type="character" w:styleId="29">
    <w:name w:val="Hyperlink"/>
    <w:basedOn w:val="10"/>
    <w:rPr>
      <w:color w:val="0000FF"/>
      <w:u w:val="single"/>
    </w:rPr>
  </w:style>
  <w:style w:type="paragraph" w:customStyle="1" w:styleId="30">
    <w:name w:val="标题 5（有编号）（绿盟科技）"/>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character" w:customStyle="1" w:styleId="31">
    <w:name w:val="Header Char"/>
    <w:basedOn w:val="10"/>
    <w:rPr>
      <w:rFonts w:ascii="Times New Roman" w:hAnsi="Times New Roman"/>
      <w:sz w:val="18"/>
      <w:szCs w:val="18"/>
    </w:rPr>
  </w:style>
  <w:style w:type="character" w:customStyle="1" w:styleId="32">
    <w:name w:val="Footer Char"/>
    <w:basedOn w:val="10"/>
    <w:rPr>
      <w:rFonts w:ascii="Times New Roman" w:hAnsi="Times New Roman"/>
      <w:sz w:val="18"/>
      <w:szCs w:val="18"/>
    </w:rPr>
  </w:style>
  <w:style w:type="character" w:customStyle="1" w:styleId="33">
    <w:name w:val="Body Text Char"/>
    <w:basedOn w:val="10"/>
    <w:rPr>
      <w:rFonts w:ascii="Times New Roman" w:hAnsi="Times New Roman"/>
      <w:szCs w:val="24"/>
    </w:rPr>
  </w:style>
  <w:style w:type="paragraph" w:customStyle="1" w:styleId="34">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5">
    <w:name w:val="List Paragraph"/>
    <w:basedOn w:val="0"/>
    <w:pPr>
      <w:ind w:firstLineChars="200" w:firstLine="200"/>
    </w:pPr>
  </w:style>
  <w:style w:type="paragraph" w:customStyle="1" w:styleId="36">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7">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8">
    <w:name w:val="四号正文"/>
    <w:basedOn w:val="0"/>
    <w:pPr>
      <w:spacing w:line="360" w:lineRule="auto"/>
    </w:pPr>
    <w:rPr>
      <w:rFonts w:ascii="??" w:eastAsia="宋体" w:hAnsi="??"/>
      <w:color w:val="000000"/>
      <w:kern w:val="0"/>
      <w:sz w:val="28"/>
      <w:szCs w:val="21"/>
      <w:lang w:val="zh-CN"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chart" Target="charts/chart3.xml"/><Relationship Id="rId6" Type="http://schemas.openxmlformats.org/officeDocument/2006/relationships/chart" Target="charts/chart4.xml"/><Relationship Id="rId7" Type="http://schemas.openxmlformats.org/officeDocument/2006/relationships/chart" Target="charts/chart5.xml"/><Relationship Id="rId8" Type="http://schemas.openxmlformats.org/officeDocument/2006/relationships/chart" Target="charts/chart6.xml"/><Relationship Id="rId9" Type="http://schemas.openxmlformats.org/officeDocument/2006/relationships/chart" Target="charts/chart7.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收入、支出决算总计变动情况图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v>支出</c:v>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0"/>
            <c:dLblPos val="in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1438.42</c:v>
                </c:pt>
                <c:pt idx="1">
                  <c:v>1652.12</c:v>
                </c:pt>
              </c:numCache>
            </c:numRef>
          </c:val>
        </c:ser>
        <c:ser>
          <c:idx val="1"/>
          <c:order val="1"/>
          <c:tx>
            <c:v>收入</c:v>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0"/>
            <c:dLbl>
              <c:idx val="0"/>
              <c:numFmt formatCode="General" sourceLinked="0"/>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dLblPos val="inEnd"/>
              <c:showLegendKey val="0"/>
              <c:showVal val="1"/>
              <c:showCatName val="0"/>
              <c:showSerName val="0"/>
              <c:showPercent val="0"/>
              <c:showBubbleSize val="0"/>
            </c:dLbl>
            <c:dLblPos val="in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1438.42</c:v>
                </c:pt>
                <c:pt idx="1">
                  <c:v>1652.12</c:v>
                </c:pt>
              </c:numCache>
            </c:numRef>
          </c:val>
        </c:ser>
        <c:gapWidth val="65"/>
        <c:axId val="0"/>
        <c:axId val="1"/>
      </c:barChart>
      <c:catAx>
        <c:axId val="0"/>
        <c:scaling>
          <c:orientation val="minMax"/>
        </c:scaling>
        <c:delete val="0"/>
        <c:axPos val="b"/>
        <c:numFmt formatCode="General" sourceLinked="0"/>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45375172"/>
          <c:y val="0.076219514"/>
          <c:w val="0.274407"/>
          <c:h val="0.44674796"/>
        </c:manualLayout>
      </c:layout>
      <c:pieChart>
        <c:varyColors val="1"/>
        <c:ser>
          <c:idx val="0"/>
          <c:order val="0"/>
          <c:tx>
            <c:v>收入决算数</c:v>
          </c:tx>
          <c:spPr>
            <a:ln>
              <a:noFill/>
            </a:ln>
          </c:spPr>
          <c:dPt>
            <c:idx val="0"/>
            <c:bubble3D val="0"/>
            <c:explosion val="0"/>
            <c:spPr>
              <a:solidFill>
                <a:srgbClr val="4F81BD"/>
              </a:solidFill>
            </c:spPr>
          </c:dPt>
          <c:dPt>
            <c:idx val="1"/>
            <c:bubble3D val="0"/>
            <c:explosion val="0"/>
            <c:spPr>
              <a:solidFill>
                <a:srgbClr val="C0504D"/>
              </a:solidFill>
            </c:spPr>
          </c:dPt>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1"/>
          </c:dLbls>
          <c:cat>
            <c:strLit>
              <c:ptCount val="6"/>
              <c:pt idx="0">
                <c:v>一般公共预算财政拨款</c:v>
              </c:pt>
              <c:pt idx="1">
                <c:v>国有资本经营预算支出</c:v>
              </c:pt>
              <c:pt idx="2">
                <c:v>&amp;sxmk&amp;</c:v>
              </c:pt>
              <c:pt idx="5">
                <c:v>&amp;sxmk&amp;</c:v>
              </c:pt>
            </c:strLit>
          </c:cat>
          <c:val>
            <c:numRef>
              <c:f/>
              <c:numCache>
                <c:formatCode>General</c:formatCode>
                <c:ptCount val="2"/>
                <c:pt idx="0">
                  <c:v>1652.07</c:v>
                </c:pt>
                <c:pt idx="1">
                  <c:v>0.05</c:v>
                </c:pt>
              </c:numCache>
            </c:numRef>
          </c:val>
        </c:ser>
        <c:ser>
          <c:idx val="1"/>
          <c:order val="1"/>
          <c:tx>
            <c:v>支出决算数</c:v>
          </c:tx>
          <c:spPr>
            <a:ln>
              <a:noFill/>
            </a:ln>
          </c:spPr>
          <c:dPt>
            <c:idx val="0"/>
            <c:invertIfNegative val="0"/>
            <c:bubble3D val="0"/>
          </c:dPt>
          <c:dPt>
            <c:idx val="1"/>
            <c:invertIfNegative val="0"/>
            <c:bubble3D val="0"/>
          </c:dPt>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1"/>
          </c:dLbls>
          <c:cat>
            <c:strLit>
              <c:ptCount val="6"/>
              <c:pt idx="0">
                <c:v>一般公共预算财政拨款</c:v>
              </c:pt>
              <c:pt idx="1">
                <c:v>国有资本经营预算支出</c:v>
              </c:pt>
              <c:pt idx="2">
                <c:v>&amp;sxmk&amp;</c:v>
              </c:pt>
              <c:pt idx="5">
                <c:v>&amp;sxmk&amp;</c:v>
              </c:pt>
            </c:strLit>
          </c:cat>
          <c:val>
            <c:numRef>
              <c:f/>
              <c:numCache>
                <c:formatCode>General</c:formatCode>
                <c:ptCount val="2"/>
                <c:pt idx="0">
                  <c:v>11.94</c:v>
                </c:pt>
                <c:pt idx="1">
                  <c:v>0.5</c:v>
                </c:pt>
              </c:numCache>
            </c:numRef>
          </c:val>
        </c:ser>
        <c:firstSliceAng val="0"/>
      </c:pieChart>
      <c:spPr>
        <a:noFill/>
        <a:ln>
          <a:noFill/>
        </a:ln>
      </c:spPr>
    </c:plotArea>
    <c:legend>
      <c:legendPos val="r"/>
      <c:layout>
        <c:manualLayout>
          <c:xMode val="edge"/>
          <c:yMode val="edge"/>
          <c:x val="0.4015"/>
          <c:y val="2.5E-4"/>
          <c:w val="0.32025"/>
          <c:h val="0.9495"/>
        </c:manualLayout>
      </c:layout>
      <c:overlay val="0"/>
      <c:spPr>
        <a:noFill/>
        <a:ln>
          <a:noFill/>
        </a:ln>
      </c:spPr>
      <c:txPr>
        <a:bodyPr/>
        <a:lstStyle/>
        <a:p>
          <a:pPr>
            <a:defRPr sz="750" b="0" i="0" u="none" strike="noStrike" baseline="0">
              <a:solidFill>
                <a:srgbClr val="000000"/>
              </a:solidFill>
              <a:latin typeface="宋体"/>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45375172"/>
          <c:y val="0.076219514"/>
          <c:w val="0.274407"/>
          <c:h val="0.44674796"/>
        </c:manualLayout>
      </c:layout>
      <c:pieChart>
        <c:varyColors val="1"/>
        <c:ser>
          <c:idx val="0"/>
          <c:order val="0"/>
          <c:tx>
            <c:v>收入决算数</c:v>
          </c:tx>
          <c:spPr>
            <a:ln>
              <a:noFill/>
            </a:ln>
          </c:spPr>
          <c:dPt>
            <c:idx val="0"/>
            <c:bubble3D val="0"/>
            <c:explosion val="0"/>
            <c:spPr>
              <a:solidFill>
                <a:srgbClr val="4F81BD"/>
              </a:solidFill>
            </c:spPr>
          </c:dPt>
          <c:dPt>
            <c:idx val="1"/>
            <c:bubble3D val="0"/>
            <c:explosion val="0"/>
            <c:spPr>
              <a:solidFill>
                <a:srgbClr val="C0504D"/>
              </a:solidFill>
            </c:spPr>
          </c:dPt>
          <c:dLbls>
            <c:spPr>
              <a:noFill/>
              <a:ln>
                <a:noFill/>
              </a:ln>
            </c:spPr>
            <c:txPr>
              <a:bodyPr vert="horz"/>
              <a:lstStyle/>
              <a:p>
                <a:pPr>
                  <a:defRPr sz="12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1"/>
          </c:dLbls>
          <c:cat>
            <c:strLit>
              <c:ptCount val="6"/>
              <c:pt idx="0">
                <c:v>基本支出</c:v>
              </c:pt>
              <c:pt idx="1">
                <c:v>项目支出</c:v>
              </c:pt>
              <c:pt idx="2">
                <c:v>&amp;sxmk&amp;</c:v>
              </c:pt>
              <c:pt idx="5">
                <c:v>&amp;sxmk&amp;</c:v>
              </c:pt>
            </c:strLit>
          </c:cat>
          <c:val>
            <c:numRef>
              <c:f/>
              <c:numCache>
                <c:formatCode>General</c:formatCode>
                <c:ptCount val="2"/>
                <c:pt idx="0">
                  <c:v>0.5705</c:v>
                </c:pt>
                <c:pt idx="1">
                  <c:v>0.4294</c:v>
                </c:pt>
              </c:numCache>
            </c:numRef>
          </c:val>
        </c:ser>
        <c:ser>
          <c:idx val="1"/>
          <c:order val="1"/>
          <c:tx>
            <c:v>支出决算数</c:v>
          </c:tx>
          <c:spPr>
            <a:ln>
              <a:noFill/>
            </a:ln>
          </c:spPr>
          <c:dPt>
            <c:idx val="0"/>
            <c:invertIfNegative val="0"/>
            <c:bubble3D val="0"/>
          </c:dPt>
          <c:dPt>
            <c:idx val="1"/>
            <c:invertIfNegative val="0"/>
            <c:bubble3D val="0"/>
          </c:dPt>
          <c:dLbls>
            <c:spPr>
              <a:noFill/>
              <a:ln>
                <a:noFill/>
              </a:ln>
            </c:spPr>
            <c:txPr>
              <a:bodyPr vert="horz"/>
              <a:lstStyle/>
              <a:p>
                <a:pPr>
                  <a:defRPr sz="12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1"/>
          </c:dLbls>
          <c:cat>
            <c:strLit>
              <c:ptCount val="6"/>
              <c:pt idx="0">
                <c:v>基本支出</c:v>
              </c:pt>
              <c:pt idx="1">
                <c:v>项目支出</c:v>
              </c:pt>
              <c:pt idx="2">
                <c:v>&amp;sxmk&amp;</c:v>
              </c:pt>
              <c:pt idx="5">
                <c:v>&amp;sxmk&amp;</c:v>
              </c:pt>
            </c:strLit>
          </c:cat>
          <c:val>
            <c:numRef>
              <c:f/>
              <c:numCache>
                <c:formatCode>General</c:formatCode>
                <c:ptCount val="2"/>
                <c:pt idx="0">
                  <c:v>11.94</c:v>
                </c:pt>
                <c:pt idx="1">
                  <c:v>0.5</c:v>
                </c:pt>
              </c:numCache>
            </c:numRef>
          </c:val>
        </c:ser>
        <c:firstSliceAng val="0"/>
      </c:pieChart>
      <c:spPr>
        <a:noFill/>
        <a:ln>
          <a:noFill/>
        </a:ln>
      </c:spPr>
    </c:plotArea>
    <c:legend>
      <c:legendPos val="r"/>
      <c:layout>
        <c:manualLayout>
          <c:xMode val="edge"/>
          <c:yMode val="edge"/>
          <c:x val="0.5023028"/>
          <c:y val="0.010806916"/>
          <c:w val="0.49318048"/>
          <c:h val="0.94956774"/>
        </c:manualLayout>
      </c:layout>
      <c:overlay val="0"/>
      <c:spPr>
        <a:noFill/>
        <a:ln>
          <a:noFill/>
        </a:ln>
      </c:spPr>
      <c:txPr>
        <a:bodyPr/>
        <a:lstStyle/>
        <a:p>
          <a:pPr>
            <a:defRPr sz="1200" b="0" i="0" u="none" strike="noStrike" baseline="0">
              <a:solidFill>
                <a:srgbClr val="000000"/>
              </a:solidFill>
              <a:latin typeface="宋体"/>
              <a:ea typeface="宋体"/>
              <a:cs typeface="Lucida Sans"/>
            </a:defRPr>
          </a:pPr>
          <a:endParaRPr lang="zh-CN"/>
        </a:p>
      </c:txPr>
      <c:legendEntry>
        <c:idx val="0"/>
        <c:txPr>
          <a:bodyPr/>
          <a:lstStyle/>
          <a:p>
            <a:pPr>
              <a:defRPr sz="1200" b="0" i="0" u="none" strike="noStrike" baseline="0">
                <a:solidFill>
                  <a:srgbClr val="000000"/>
                </a:solidFill>
                <a:latin typeface="宋体"/>
                <a:ea typeface="宋体"/>
                <a:cs typeface="Lucida Sans"/>
              </a:defRPr>
            </a:pPr>
            <a:endParaRPr lang="zh-CN"/>
          </a:p>
        </c:txPr>
      </c:legendEntry>
      <c:legendEntry>
        <c:idx val="1"/>
        <c:txPr>
          <a:bodyPr/>
          <a:lstStyle/>
          <a:p>
            <a:pPr>
              <a:defRPr sz="1200" b="0" i="0" u="none" strike="noStrike" baseline="0">
                <a:solidFill>
                  <a:srgbClr val="000000"/>
                </a:solidFill>
                <a:latin typeface="宋体"/>
                <a:ea typeface="宋体"/>
                <a:cs typeface="Lucida Sans"/>
              </a:defRPr>
            </a:pPr>
            <a:endParaRPr lang="zh-CN"/>
          </a:p>
        </c:txPr>
      </c:legendEntry>
    </c:legend>
    <c:plotVisOnly val="1"/>
    <c:dispBlanksAs val="gap"/>
    <c:showDLblsOverMax val="0"/>
  </c:chart>
  <c:spPr/>
  <c:txPr>
    <a:bodyPr/>
    <a:lstStyle/>
    <a:p>
      <a:pPr>
        <a:defRPr sz="12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收入、支出决算总计变动情况图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v>支出</c:v>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0"/>
            <c:dLblPos val="in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1438.42</c:v>
                </c:pt>
                <c:pt idx="1">
                  <c:v>1652.12</c:v>
                </c:pt>
              </c:numCache>
            </c:numRef>
          </c:val>
        </c:ser>
        <c:ser>
          <c:idx val="1"/>
          <c:order val="1"/>
          <c:tx>
            <c:v>收入</c:v>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0"/>
            <c:dLbl>
              <c:idx val="0"/>
              <c:numFmt formatCode="General" sourceLinked="0"/>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dLblPos val="inEnd"/>
              <c:showLegendKey val="0"/>
              <c:showVal val="1"/>
              <c:showCatName val="0"/>
              <c:showSerName val="0"/>
              <c:showPercent val="0"/>
              <c:showBubbleSize val="0"/>
            </c:dLbl>
            <c:dLblPos val="in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1438.42</c:v>
                </c:pt>
                <c:pt idx="1">
                  <c:v>1652.12</c:v>
                </c:pt>
              </c:numCache>
            </c:numRef>
          </c:val>
        </c:ser>
        <c:gapWidth val="65"/>
        <c:axId val="0"/>
        <c:axId val="1"/>
      </c:barChart>
      <c:catAx>
        <c:axId val="0"/>
        <c:scaling>
          <c:orientation val="minMax"/>
        </c:scaling>
        <c:delete val="0"/>
        <c:axPos val="b"/>
        <c:numFmt formatCode="General" sourceLinked="0"/>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宋体"/>
                <a:ea typeface="宋体"/>
                <a:cs typeface="Lucida Sans"/>
              </a:defRPr>
            </a:pPr>
            <a:r>
              <a:rPr lang="zh-CN" sz="1800" b="1" i="0" u="none" strike="noStrike" baseline="0">
                <a:solidFill>
                  <a:srgbClr val="000000"/>
                </a:solidFill>
                <a:latin typeface="宋体"/>
                <a:ea typeface="宋体"/>
                <a:cs typeface="Lucida Sans"/>
              </a:rPr>
              <a:t>一般公共预算财政拨款支出决算</a:t>
            </a:r>
            <a:r>
              <a:rPr lang="zh-CN" sz="1800" b="1" i="0" u="none" strike="noStrike" baseline="0">
                <a:solidFill>
                  <a:srgbClr val="000000"/>
                </a:solidFill>
                <a:latin typeface="宋体"/>
                <a:ea typeface="宋体"/>
                <a:cs typeface="Lucida Sans"/>
              </a:rPr>
              <a:t>
</a:t>
            </a:r>
          </a:p>
        </c:rich>
      </c:tx>
      <c:layout>
        <c:manualLayout>
          <c:xMode val="edge"/>
          <c:yMode val="edge"/>
          <c:x val="0.13405797"/>
          <c:y val="0.020265706"/>
        </c:manualLayout>
      </c:layout>
      <c:overlay val="0"/>
      <c:spPr>
        <a:ln>
          <a:noFill/>
        </a:ln>
      </c:spPr>
    </c:title>
    <c:autoTitleDeleted val="1"/>
    <c:plotArea>
      <c:layout>
        <c:manualLayout>
          <c:layoutTarget val="inner"/>
          <c:xMode val="edge"/>
          <c:yMode val="edge"/>
          <c:x val="0.107690096"/>
          <c:y val="0.16899315"/>
          <c:w val="0.749888"/>
          <c:h val="0.6789392"/>
        </c:manualLayout>
      </c:layout>
      <c:barChart>
        <c:barDir val="col"/>
        <c:grouping val="clustered"/>
        <c:varyColors val="0"/>
        <c:ser>
          <c:idx val="0"/>
          <c:order val="0"/>
          <c:spPr>
            <a:solidFill>
              <a:srgbClr val="4F81BD"/>
            </a:solidFill>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1438.42</c:v>
                </c:pt>
                <c:pt idx="1">
                  <c:v>1652.07</c:v>
                </c:pt>
              </c:numCache>
            </c:numRef>
          </c:val>
        </c:ser>
        <c:ser>
          <c:idx val="1"/>
          <c:order val="1"/>
          <c:spPr>
            <a:solidFill>
              <a:srgbClr val="C0504D"/>
            </a:solidFill>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Lit>
              <c:ptCount val="2"/>
              <c:pt idx="0">
                <c:v>2023年</c:v>
              </c:pt>
              <c:pt idx="1">
                <c:v>2024年</c:v>
              </c:pt>
            </c:strLit>
          </c:cat>
          <c:val>
            <c:numRef>
              <c:f/>
            </c:numRef>
          </c:val>
        </c:ser>
        <c:gapWidth val="150"/>
        <c:axId val="0"/>
        <c:axId val="1"/>
      </c:barChart>
      <c:catAx>
        <c:axId val="0"/>
        <c:scaling>
          <c:orientation val="minMax"/>
        </c:scaling>
        <c:delete val="0"/>
        <c:axPos val="b"/>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7116886"/>
          <c:w val="1.0"/>
          <c:h val="0.44088396"/>
        </c:manualLayout>
      </c:layout>
      <c:pieChart>
        <c:varyColors val="1"/>
        <c:ser>
          <c:idx val="0"/>
          <c:order val="0"/>
          <c:tx>
            <c:v>支出决算数</c:v>
          </c:tx>
          <c:spPr>
            <a:solidFill>
              <a:srgbClr val="4F81BD"/>
            </a:solidFill>
          </c:spPr>
          <c:dPt>
            <c:idx val="0"/>
            <c:bubble3D val="0"/>
            <c:explosion val="0"/>
            <c:spPr>
              <a:solidFill>
                <a:srgbClr val="4572A7"/>
              </a:solidFill>
            </c:spPr>
          </c:dPt>
          <c:dPt>
            <c:idx val="1"/>
            <c:bubble3D val="0"/>
            <c:explosion val="0"/>
            <c:spPr>
              <a:solidFill>
                <a:srgbClr val="AA4643"/>
              </a:solidFill>
            </c:spPr>
          </c:dPt>
          <c:dPt>
            <c:idx val="2"/>
            <c:bubble3D val="0"/>
            <c:explosion val="0"/>
            <c:spPr>
              <a:solidFill>
                <a:srgbClr val="89A54E"/>
              </a:solidFill>
            </c:spPr>
          </c:dPt>
          <c:dPt>
            <c:idx val="3"/>
            <c:bubble3D val="0"/>
            <c:explosion val="0"/>
            <c:spPr>
              <a:solidFill>
                <a:srgbClr val="71588F"/>
              </a:solidFill>
            </c:spPr>
          </c:dPt>
          <c:dPt>
            <c:idx val="4"/>
            <c:bubble3D val="0"/>
            <c:explosion val="0"/>
            <c:spPr>
              <a:solidFill>
                <a:srgbClr val="4198AF"/>
              </a:solidFill>
            </c:spPr>
          </c:dPt>
          <c:dPt>
            <c:idx val="5"/>
            <c:bubble3D val="0"/>
            <c:explosion val="0"/>
            <c:spPr>
              <a:solidFill>
                <a:srgbClr val="DB843D"/>
              </a:solidFill>
            </c:spPr>
          </c:dPt>
          <c:dPt>
            <c:idx val="6"/>
            <c:bubble3D val="0"/>
            <c:explosion val="0"/>
            <c:spPr>
              <a:solidFill>
                <a:srgbClr val="93A9CF"/>
              </a:solidFill>
            </c:spPr>
          </c:dPt>
          <c:dPt>
            <c:idx val="7"/>
            <c:bubble3D val="0"/>
            <c:explosion val="0"/>
            <c:spPr>
              <a:solidFill>
                <a:srgbClr val="D19392"/>
              </a:solidFill>
            </c:spPr>
          </c:dPt>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18"/>
              <c:pt idx="0">
                <c:v>一般公共服务支出</c:v>
              </c:pt>
              <c:pt idx="1">
                <c:v>社会保障和就业支出</c:v>
              </c:pt>
              <c:pt idx="2">
                <c:v>卫生健康支出</c:v>
              </c:pt>
              <c:pt idx="3">
                <c:v>节能环保支出</c:v>
              </c:pt>
              <c:pt idx="4">
                <c:v>城乡社区支出</c:v>
              </c:pt>
              <c:pt idx="5">
                <c:v>农林水支出</c:v>
              </c:pt>
              <c:pt idx="6">
                <c:v>住房保障支出</c:v>
              </c:pt>
              <c:pt idx="7">
                <c:v>国有资本经营预算支出</c:v>
              </c:pt>
              <c:pt idx="8">
                <c:v>&amp;sxmk&amp;</c:v>
              </c:pt>
              <c:pt idx="17">
                <c:v>&amp;sxmk&amp;</c:v>
              </c:pt>
            </c:strLit>
          </c:cat>
          <c:val>
            <c:numRef>
              <c:f/>
              <c:numCache>
                <c:formatCode>General</c:formatCode>
                <c:ptCount val="8"/>
                <c:pt idx="0">
                  <c:v>0.290874754860422</c:v>
                </c:pt>
                <c:pt idx="1">
                  <c:v>0.0820339926881825</c:v>
                </c:pt>
                <c:pt idx="2">
                  <c:v>0.0330847638186088</c:v>
                </c:pt>
                <c:pt idx="3">
                  <c:v>0.0460620293925381</c:v>
                </c:pt>
                <c:pt idx="4">
                  <c:v>0.00907924363847662</c:v>
                </c:pt>
                <c:pt idx="5">
                  <c:v>0.491156816696124</c:v>
                </c:pt>
                <c:pt idx="6">
                  <c:v>0.0476781347601869</c:v>
                </c:pt>
                <c:pt idx="7">
                  <c:v>0.0</c:v>
                </c:pt>
              </c:numCache>
            </c:numRef>
          </c:val>
        </c:ser>
        <c:ser>
          <c:idx val="1"/>
          <c:order val="1"/>
          <c:spPr>
            <a:solidFill>
              <a:srgbClr val="C0504D"/>
            </a:solidFill>
          </c:spPr>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18"/>
              <c:pt idx="0">
                <c:v>一般公共服务支出</c:v>
              </c:pt>
              <c:pt idx="1">
                <c:v>社会保障和就业支出</c:v>
              </c:pt>
              <c:pt idx="2">
                <c:v>卫生健康支出</c:v>
              </c:pt>
              <c:pt idx="3">
                <c:v>节能环保支出</c:v>
              </c:pt>
              <c:pt idx="4">
                <c:v>城乡社区支出</c:v>
              </c:pt>
              <c:pt idx="5">
                <c:v>农林水支出</c:v>
              </c:pt>
              <c:pt idx="6">
                <c:v>住房保障支出</c:v>
              </c:pt>
              <c:pt idx="7">
                <c:v>国有资本经营预算支出</c:v>
              </c:pt>
              <c:pt idx="8">
                <c:v>&amp;sxmk&amp;</c:v>
              </c:pt>
              <c:pt idx="17">
                <c:v>&amp;sxmk&amp;</c:v>
              </c:pt>
            </c:strLit>
          </c:cat>
          <c:val>
            <c:numRef>
              <c:f/>
            </c:numRef>
          </c:val>
        </c:ser>
        <c:firstSliceAng val="0"/>
      </c:pieChart>
      <c:spPr>
        <a:noFill/>
        <a:ln>
          <a:noFill/>
        </a:ln>
      </c:spPr>
    </c:plotArea>
    <c:legend>
      <c:legendPos val="r"/>
      <c:layout>
        <c:manualLayout>
          <c:xMode val="edge"/>
          <c:yMode val="edge"/>
          <c:x val="0.103"/>
          <c:y val="0.5135"/>
          <c:w val="0.78525"/>
          <c:h val="0.4435"/>
        </c:manualLayout>
      </c:layout>
      <c:overlay val="0"/>
      <c:spPr>
        <a:noFill/>
        <a:ln>
          <a:noFill/>
        </a:ln>
      </c:spPr>
      <c:txPr>
        <a:bodyPr/>
        <a:lstStyle/>
        <a:p>
          <a:pPr>
            <a:defRPr sz="650" b="0" i="0" u="none" strike="noStrike" baseline="0">
              <a:solidFill>
                <a:srgbClr val="000000"/>
              </a:solidFill>
              <a:latin typeface="宋体"/>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7116886"/>
          <c:w val="1.0"/>
          <c:h val="0.44088396"/>
        </c:manualLayout>
      </c:layout>
      <c:pieChart>
        <c:varyColors val="1"/>
        <c:ser>
          <c:idx val="0"/>
          <c:order val="0"/>
          <c:tx>
            <c:v>支出决算数</c:v>
          </c:tx>
          <c:spPr>
            <a:solidFill>
              <a:srgbClr val="4F81BD"/>
            </a:solidFill>
          </c:spPr>
          <c:dPt>
            <c:idx val="0"/>
            <c:bubble3D val="0"/>
            <c:explosion val="0"/>
            <c:spPr>
              <a:solidFill>
                <a:srgbClr val="4F81BD"/>
              </a:solidFill>
            </c:spPr>
          </c:dPt>
          <c:dPt>
            <c:idx val="1"/>
            <c:bubble3D val="0"/>
            <c:explosion val="0"/>
            <c:spPr>
              <a:solidFill>
                <a:srgbClr val="C0504D"/>
              </a:solidFill>
            </c:spPr>
          </c:dPt>
          <c:dPt>
            <c:idx val="2"/>
            <c:bubble3D val="0"/>
            <c:explosion val="0"/>
            <c:spPr>
              <a:solidFill>
                <a:srgbClr val="9BBB59"/>
              </a:solidFill>
            </c:spPr>
          </c:dPt>
          <c:dLbls>
            <c:spPr>
              <a:noFill/>
              <a:ln>
                <a:noFill/>
              </a:ln>
            </c:spPr>
            <c:txPr>
              <a:bodyPr vert="horz"/>
              <a:lstStyle/>
              <a:p>
                <a:pPr>
                  <a:defRPr sz="1600" b="0" i="0" u="none" strike="noStrike" baseline="0">
                    <a:solidFill>
                      <a:srgbClr val="000000"/>
                    </a:solidFill>
                    <a:latin typeface="宋体"/>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因公出国（境）费</c:v>
              </c:pt>
              <c:pt idx="1">
                <c:v>  公务接待费</c:v>
              </c:pt>
              <c:pt idx="2">
                <c:v>公务用车购置及运行维护费</c:v>
              </c:pt>
              <c:pt idx="3">
                <c:v>&amp;sxmk&amp;</c:v>
              </c:pt>
              <c:pt idx="7">
                <c:v>&amp;sxmk&amp;</c:v>
              </c:pt>
            </c:strLit>
          </c:cat>
          <c:val>
            <c:numRef>
              <c:f/>
              <c:numCache>
                <c:formatCode>General</c:formatCode>
                <c:ptCount val="3"/>
                <c:pt idx="0">
                  <c:v>0.0</c:v>
                </c:pt>
                <c:pt idx="1">
                  <c:v>0.0</c:v>
                </c:pt>
                <c:pt idx="2">
                  <c:v>60000.0</c:v>
                </c:pt>
              </c:numCache>
            </c:numRef>
          </c:val>
        </c:ser>
        <c:ser>
          <c:idx val="1"/>
          <c:order val="1"/>
          <c:tx>
            <c:v>预算数</c:v>
          </c:tx>
          <c:spPr>
            <a:solidFill>
              <a:srgbClr val="C0504D"/>
            </a:solidFill>
          </c:spPr>
          <c:dPt>
            <c:idx val="0"/>
            <c:invertIfNegative val="0"/>
            <c:bubble3D val="0"/>
          </c:dPt>
          <c:dPt>
            <c:idx val="1"/>
            <c:invertIfNegative val="0"/>
            <c:bubble3D val="0"/>
          </c:dPt>
          <c:dPt>
            <c:idx val="2"/>
            <c:invertIfNegative val="0"/>
            <c:bubble3D val="0"/>
          </c:dPt>
          <c:dLbls>
            <c:spPr>
              <a:noFill/>
              <a:ln>
                <a:noFill/>
              </a:ln>
            </c:spPr>
            <c:txPr>
              <a:bodyPr vert="horz"/>
              <a:lstStyle/>
              <a:p>
                <a:pPr>
                  <a:defRPr sz="1600" b="0" i="0" u="none" strike="noStrike" baseline="0">
                    <a:solidFill>
                      <a:srgbClr val="000000"/>
                    </a:solidFill>
                    <a:latin typeface="宋体"/>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因公出国（境）费</c:v>
              </c:pt>
              <c:pt idx="1">
                <c:v>  公务接待费</c:v>
              </c:pt>
              <c:pt idx="2">
                <c:v>公务用车购置及运行维护费</c:v>
              </c:pt>
              <c:pt idx="3">
                <c:v>&amp;sxmk&amp;</c:v>
              </c:pt>
              <c:pt idx="7">
                <c:v>&amp;sxmk&amp;</c:v>
              </c:pt>
            </c:strLit>
          </c:cat>
          <c:val>
            <c:numRef>
              <c:f/>
              <c:numCache>
                <c:formatCode>General</c:formatCode>
                <c:ptCount val="3"/>
                <c:pt idx="0">
                  <c:v>11.67</c:v>
                </c:pt>
                <c:pt idx="1">
                  <c:v>0.1</c:v>
                </c:pt>
              </c:numCache>
            </c:numRef>
          </c:val>
        </c:ser>
        <c:firstSliceAng val="0"/>
      </c:pieChart>
      <c:spPr>
        <a:noFill/>
        <a:ln>
          <a:noFill/>
        </a:ln>
      </c:spPr>
    </c:plotArea>
    <c:legend>
      <c:legendPos val="r"/>
      <c:layout>
        <c:manualLayout>
          <c:xMode val="edge"/>
          <c:yMode val="edge"/>
          <c:x val="0.103"/>
          <c:y val="0.5135"/>
          <c:w val="0.78525"/>
          <c:h val="0.4435"/>
        </c:manualLayout>
      </c:layout>
      <c:overlay val="0"/>
      <c:spPr>
        <a:noFill/>
        <a:ln>
          <a:noFill/>
        </a:ln>
      </c:spPr>
      <c:txPr>
        <a:bodyPr/>
        <a:lstStyle/>
        <a:p>
          <a:pPr>
            <a:defRPr sz="1600" b="0" i="0" u="none" strike="noStrike" baseline="0">
              <a:solidFill>
                <a:srgbClr val="000000"/>
              </a:solidFill>
              <a:latin typeface="宋体"/>
              <a:ea typeface="宋体"/>
              <a:cs typeface="Lucida Sans"/>
            </a:defRPr>
          </a:pPr>
          <a:endParaRPr lang="zh-CN"/>
        </a:p>
      </c:txPr>
      <c:legendEntry>
        <c:idx val="0"/>
        <c:txPr>
          <a:bodyPr/>
          <a:lstStyle/>
          <a:p>
            <a:pPr>
              <a:defRPr sz="1600" b="0" i="0" u="none" strike="noStrike" baseline="0">
                <a:solidFill>
                  <a:srgbClr val="000000"/>
                </a:solidFill>
                <a:latin typeface="宋体"/>
                <a:ea typeface="宋体"/>
                <a:cs typeface="Lucida Sans"/>
              </a:defRPr>
            </a:pPr>
            <a:endParaRPr lang="zh-CN"/>
          </a:p>
        </c:txPr>
      </c:legendEntry>
      <c:legendEntry>
        <c:idx val="1"/>
        <c:txPr>
          <a:bodyPr/>
          <a:lstStyle/>
          <a:p>
            <a:pPr>
              <a:defRPr sz="1600" b="0" i="0" u="none" strike="noStrike" baseline="0">
                <a:solidFill>
                  <a:srgbClr val="000000"/>
                </a:solidFill>
                <a:latin typeface="宋体"/>
                <a:ea typeface="宋体"/>
                <a:cs typeface="Lucida Sans"/>
              </a:defRPr>
            </a:pPr>
            <a:endParaRPr lang="zh-CN"/>
          </a:p>
        </c:txPr>
      </c:legendEntry>
      <c:legendEntry>
        <c:idx val="2"/>
        <c:txPr>
          <a:bodyPr/>
          <a:lstStyle/>
          <a:p>
            <a:pPr>
              <a:defRPr sz="1600" b="0" i="0" u="none" strike="noStrike" baseline="0">
                <a:solidFill>
                  <a:srgbClr val="000000"/>
                </a:solidFill>
                <a:latin typeface="宋体"/>
                <a:ea typeface="宋体"/>
                <a:cs typeface="Lucida Sans"/>
              </a:defRPr>
            </a:pPr>
            <a:endParaRPr lang="zh-CN"/>
          </a:p>
        </c:txPr>
      </c:legendEntry>
    </c:legend>
    <c:plotVisOnly val="1"/>
    <c:dispBlanksAs val="gap"/>
    <c:showDLblsOverMax val="0"/>
  </c:chart>
  <c:spPr/>
  <c:txPr>
    <a:bodyPr/>
    <a:lstStyle/>
    <a:p>
      <a:pPr>
        <a:defRPr sz="16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TotalTime>
  <Application>Yozo_Office27021597764231179</Application>
  <Pages>141</Pages>
  <Words>51942</Words>
  <Characters>62379</Characters>
  <Lines>16294</Lines>
  <Paragraphs>9097</Paragraphs>
  <CharactersWithSpaces>62553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32</cp:revision>
  <cp:lastPrinted>2025-08-06T17:34:00Z</cp:lastPrinted>
  <dcterms:created xsi:type="dcterms:W3CDTF">2020-08-09T09:49:00Z</dcterms:created>
  <dcterms:modified xsi:type="dcterms:W3CDTF">2025-08-26T07:41:17Z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ICV">
    <vt:lpwstr>F2827819FE494C5DA70091380024E4EE_13</vt:lpwstr>
  </property>
  <property fmtid="{D5CDD505-2E9C-101B-9397-08002B2CF9AE}" pid="4" name="KSOTemplateDocerSaveRecord">
    <vt:lpwstr>eyJoZGlkIjoiNDFmMjE2NzAxMjZhNTQwNGMyMmM5MmYyZjI0Njk2NTUiLCJ1c2VySWQiOiI1NzQ5NTYxNDQifQ==</vt:lpwstr>
  </property>
</Properties>
</file>