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Times New Roman" w:eastAsia="方正小标宋简体" w:cs="Times New Roman" w:hAnsi="Times New Roman"/>
          <w:sz w:val="72"/>
          <w:szCs w:val="72"/>
        </w:rPr>
      </w:pPr>
      <w:bookmarkStart w:id="0" w:name="_Toc15396475"/>
      <w:bookmarkStart w:id="1" w:name="_Toc15377425"/>
      <w:bookmarkStart w:id="2" w:name="_Toc15396597"/>
      <w:bookmarkStart w:id="3" w:name="_Toc15378441"/>
      <w:bookmarkStart w:id="4" w:name="_Toc15377193"/>
      <w:bookmarkStart w:id="5" w:name="_Toc15306267"/>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adjustRightInd w:val="0"/>
        <w:snapToGrid w:val="0"/>
        <w:spacing w:line="360" w:lineRule="auto"/>
        <w:jc w:val="center"/>
        <w:outlineLvl w:val="0"/>
        <w:rPr>
          <w:rFonts w:ascii="Times New Roman" w:eastAsia="方正小标宋简体" w:cs="Times New Roman" w:hAnsi="Times New Roman"/>
          <w:sz w:val="72"/>
          <w:szCs w:val="72"/>
        </w:rPr>
      </w:pPr>
      <w:bookmarkStart w:id="6" w:name="_Toc26843601"/>
      <w:r>
        <w:rPr>
          <w:rFonts w:eastAsia="方正小标宋简体" w:cs="Times New Roman" w:hint="eastAsia"/>
          <w:sz w:val="72"/>
          <w:szCs w:val="72"/>
          <w:lang w:val="en-US" w:eastAsia="zh-CN"/>
        </w:rPr>
        <w:t>2022</w:t>
      </w:r>
      <w:r>
        <w:rPr>
          <w:rFonts w:ascii="Times New Roman" w:eastAsia="方正小标宋简体" w:cs="Times New Roman" w:hAnsi="Times New Roman"/>
          <w:sz w:val="72"/>
          <w:szCs w:val="72"/>
        </w:rPr>
        <w:t>年度</w:t>
      </w:r>
      <w:bookmarkEnd w:id="0"/>
      <w:bookmarkEnd w:id="1"/>
      <w:bookmarkEnd w:id="2"/>
      <w:bookmarkEnd w:id="3"/>
      <w:bookmarkEnd w:id="4"/>
      <w:bookmarkEnd w:id="6"/>
    </w:p>
    <w:p>
      <w:pPr>
        <w:adjustRightInd w:val="0"/>
        <w:snapToGrid w:val="0"/>
        <w:spacing w:line="360" w:lineRule="auto"/>
        <w:jc w:val="center"/>
        <w:outlineLvl w:val="0"/>
        <w:rPr>
          <w:rFonts w:eastAsia="方正小标宋简体" w:cs="Times New Roman" w:hint="eastAsia"/>
          <w:sz w:val="72"/>
          <w:szCs w:val="72"/>
          <w:lang w:val="en-US" w:eastAsia="zh-CN"/>
        </w:rPr>
      </w:pPr>
      <w:bookmarkStart w:id="7" w:name="_Toc15377194"/>
      <w:bookmarkStart w:id="8" w:name="_Toc26843603"/>
      <w:bookmarkStart w:id="9" w:name="_Toc15378442"/>
      <w:bookmarkStart w:id="10" w:name="_Toc15306268"/>
      <w:bookmarkStart w:id="11" w:name="_Toc15396598"/>
      <w:bookmarkStart w:id="12" w:name="_Toc15377426"/>
      <w:bookmarkStart w:id="13" w:name="_Toc15396476"/>
      <w:bookmarkEnd w:id="5"/>
      <w:r>
        <w:rPr>
          <w:rFonts w:eastAsia="方正小标宋简体" w:cs="Times New Roman" w:hint="eastAsia"/>
          <w:sz w:val="72"/>
          <w:szCs w:val="72"/>
          <w:lang w:val="en-US" w:eastAsia="zh-CN"/>
        </w:rPr>
        <w:t>金川县沙耳乡人民政府</w:t>
      </w:r>
    </w:p>
    <w:p>
      <w:pPr>
        <w:adjustRightInd w:val="0"/>
        <w:snapToGrid w:val="0"/>
        <w:spacing w:line="360" w:lineRule="auto"/>
        <w:jc w:val="center"/>
        <w:outlineLvl w:val="0"/>
        <w:rPr>
          <w:rFonts w:ascii="Times New Roman" w:eastAsia="方正小标宋简体" w:cs="Times New Roman" w:hAnsi="Times New Roman"/>
          <w:sz w:val="72"/>
          <w:szCs w:val="72"/>
        </w:rPr>
      </w:pPr>
      <w:r>
        <w:rPr>
          <w:rFonts w:ascii="Times New Roman" w:eastAsia="方正小标宋简体" w:cs="Times New Roman" w:hAnsi="Times New Roman"/>
          <w:sz w:val="72"/>
          <w:szCs w:val="72"/>
        </w:rPr>
        <w:t>部门决算</w:t>
      </w:r>
      <w:bookmarkEnd w:id="7"/>
      <w:bookmarkEnd w:id="8"/>
      <w:bookmarkEnd w:id="9"/>
      <w:bookmarkEnd w:id="10"/>
      <w:bookmarkEnd w:id="11"/>
      <w:bookmarkEnd w:id="12"/>
      <w:bookmarkEnd w:id="13"/>
    </w:p>
    <w:p>
      <w:pPr>
        <w:pStyle w:val="16"/>
        <w:spacing w:beforeLines="0" w:before="93"/>
        <w:rPr>
          <w:rFonts w:ascii="Times New Roman" w:eastAsia="方正小标宋简体" w:cs="Times New Roman" w:hAnsi="Times New Roman"/>
          <w:sz w:val="52"/>
          <w:szCs w:val="52"/>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widowControl/>
        <w:jc w:val="center"/>
        <w:rPr>
          <w:rFonts w:ascii="Times New Roman" w:eastAsia="黑体" w:cs="Times New Roman" w:hAnsi="Times New Roman"/>
          <w:sz w:val="48"/>
          <w:szCs w:val="48"/>
        </w:rPr>
      </w:pPr>
      <w:r>
        <w:rPr>
          <w:rFonts w:ascii="Times New Roman" w:eastAsia="仿宋_GB2312" w:cs="Times New Roman" w:hAnsi="Times New Roman"/>
          <w:sz w:val="32"/>
          <w:szCs w:val="32"/>
        </w:rPr>
        <w:t>已经保密审查、内容审定，同意对外公开</w:t>
      </w:r>
      <w:r>
        <w:rPr>
          <w:rFonts w:ascii="Times New Roman" w:eastAsia="方正小标宋简体" w:cs="Times New Roman" w:hAnsi="Times New Roman"/>
          <w:sz w:val="36"/>
          <w:szCs w:val="36"/>
        </w:rPr>
        <w:br w:type="page"/>
      </w:r>
      <w:r>
        <w:rPr>
          <w:rFonts w:ascii="Times New Roman" w:eastAsia="黑体" w:cs="Times New Roman" w:hAnsi="Times New Roman"/>
          <w:sz w:val="48"/>
          <w:szCs w:val="48"/>
        </w:rPr>
        <w:t>目录</w:t>
      </w:r>
    </w:p>
    <w:p>
      <w:pPr>
        <w:widowControl/>
        <w:jc w:val="center"/>
        <w:rPr>
          <w:rFonts w:ascii="Times New Roman" w:eastAsia="黑体" w:cs="Times New Roman" w:hAnsi="Times New Roman"/>
          <w:sz w:val="28"/>
          <w:szCs w:val="28"/>
        </w:rPr>
      </w:pPr>
    </w:p>
    <w:p>
      <w:pPr>
        <w:pStyle w:val="21"/>
        <w:tabs>
          <w:tab w:val="right" w:leader="dot" w:pos="8296"/>
        </w:tabs>
        <w:rPr>
          <w:rFonts w:ascii="Times New Roman" w:cs="Times New Roman" w:hAnsi="Times New Roman"/>
        </w:rPr>
      </w:pPr>
      <w:r>
        <w:rPr>
          <w:rFonts w:ascii="Times New Roman" w:cs="Times New Roman" w:hAnsi="Times New Roman"/>
        </w:rPr>
        <w:t>公开时间：202</w:t>
      </w:r>
      <w:r>
        <w:rPr>
          <w:rFonts w:ascii="Times New Roman" w:cs="Times New Roman" w:hAnsi="Times New Roman" w:hint="eastAsia"/>
          <w:lang w:val="en-US" w:eastAsia="zh-CN"/>
        </w:rPr>
        <w:t>3</w:t>
      </w:r>
      <w:r>
        <w:rPr>
          <w:rFonts w:ascii="Times New Roman" w:cs="Times New Roman" w:hAnsi="Times New Roman"/>
        </w:rPr>
        <w:t>年</w:t>
      </w:r>
      <w:r>
        <w:rPr>
          <w:rFonts w:ascii="Times New Roman" w:cs="Times New Roman" w:hAnsi="Times New Roman" w:hint="eastAsia"/>
          <w:lang w:val="en-US" w:eastAsia="zh-CN"/>
        </w:rPr>
        <w:t>8</w:t>
      </w:r>
      <w:r>
        <w:rPr>
          <w:rFonts w:ascii="Times New Roman" w:cs="Times New Roman" w:hAnsi="Times New Roman"/>
        </w:rPr>
        <w:t>月</w:t>
      </w:r>
      <w:r>
        <w:rPr>
          <w:rFonts w:ascii="Times New Roman" w:cs="Times New Roman" w:hAnsi="Times New Roman" w:hint="eastAsia"/>
          <w:lang w:val="en-US" w:eastAsia="zh-CN"/>
        </w:rPr>
        <w:t>30</w:t>
      </w:r>
      <w:r>
        <w:rPr>
          <w:rFonts w:ascii="Times New Roman" w:cs="Times New Roman" w:hAnsi="Times New Roman"/>
        </w:rPr>
        <w:t>日</w:t>
      </w:r>
    </w:p>
    <w:p>
      <w:pPr>
        <w:pStyle w:val="21"/>
        <w:tabs>
          <w:tab w:val="right" w:leader="dot" w:pos="8296"/>
        </w:tabs>
        <w:rPr>
          <w:rFonts w:ascii="Times New Roman" w:cs="Times New Roman" w:hAnsi="Times New Roman"/>
        </w:rPr>
      </w:pPr>
      <w:r>
        <w:rPr>
          <w:rFonts w:ascii="Times New Roman" w:cs="Times New Roman" w:hAnsi="Times New Roman"/>
        </w:rPr>
        <w:fldChar w:fldCharType="begin"/>
      </w:r>
      <w:r>
        <w:rPr>
          <w:rFonts w:ascii="Times New Roman" w:cs="Times New Roman" w:hAnsi="Times New Roman"/>
        </w:rPr>
        <w:instrText xml:space="preserve"> TOC \o "1-2" \h \u </w:instrText>
      </w:r>
      <w:r>
        <w:rPr>
          <w:rFonts w:ascii="Times New Roman" w:cs="Times New Roman" w:hAnsi="Times New Roman"/>
        </w:rPr>
        <w:fldChar w:fldCharType="separate"/>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"_Toc26843604"</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 xml:space="preserve">第一部分 </w:t>
      </w:r>
      <w:r>
        <w:rPr>
          <w:rFonts w:ascii="Times New Roman" w:eastAsia="仿宋" w:cs="Times New Roman" w:hAnsi="Times New Roman"/>
          <w:bCs/>
          <w:sz w:val="24"/>
          <w:szCs w:val="28"/>
          <w:lang w:val="en-US" w:eastAsia="zh-CN" w:bidi="ar-SA"/>
        </w:rPr>
        <w:t>部门概况</w:t>
      </w:r>
      <w:r>
        <w:rPr>
          <w:rFonts w:ascii="Times New Roman" w:eastAsia="仿宋" w:cs="Times New Roman" w:hAnsi="Times New Roman"/>
          <w:sz w:val="24"/>
          <w:szCs w:val="28"/>
        </w:rPr>
        <w:tab/>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PageRef _Toc26843604 \h</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4</w:t>
      </w:r>
      <w:r>
        <w:rPr>
          <w:rFonts w:ascii="Times New Roman" w:eastAsia="仿宋" w:cs="Times New Roman" w:hAnsi="Times New Roman"/>
          <w:sz w:val="24"/>
          <w:szCs w:val="28"/>
        </w:rPr>
        <w:fldChar w:fldCharType="end"/>
      </w:r>
      <w:r>
        <w:rPr>
          <w:rFonts w:ascii="Times New Roman" w:eastAsia="仿宋" w:cs="Times New Roman" w:hAnsi="Times New Roman"/>
          <w:sz w:val="24"/>
          <w:szCs w:val="28"/>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"_Toc26843605"</w:instrText>
      </w:r>
      <w:r>
        <w:rPr>
          <w:rFonts w:ascii="Times New Roman" w:cs="Times New Roman" w:hAnsi="Times New Roman"/>
          <w:sz w:val="24"/>
        </w:rPr>
        <w:fldChar w:fldCharType="separate"/>
      </w:r>
      <w:r>
        <w:rPr>
          <w:rFonts w:ascii="Times New Roman" w:cs="Times New Roman" w:hAnsi="Times New Roman"/>
          <w:sz w:val="24"/>
        </w:rPr>
        <w:t>一、基</w:t>
      </w:r>
      <w:r>
        <w:rPr>
          <w:rFonts w:ascii="Times New Roman" w:cs="Times New Roman" w:hAnsi="Times New Roman"/>
          <w:bCs/>
          <w:sz w:val="24"/>
          <w:lang w:val="en-US" w:eastAsia="zh-CN" w:bidi="ar-SA"/>
        </w:rPr>
        <w:t>本职能及主要工作</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_Toc26843605 \h</w:instrText>
      </w:r>
      <w:r>
        <w:rPr>
          <w:rFonts w:ascii="Times New Roman" w:cs="Times New Roman" w:hAnsi="Times New Roman"/>
          <w:sz w:val="24"/>
        </w:rPr>
        <w:fldChar w:fldCharType="separate"/>
      </w:r>
      <w:r>
        <w:rPr>
          <w:rFonts w:ascii="Times New Roman" w:cs="Times New Roman" w:hAnsi="Times New Roman"/>
          <w:sz w:val="24"/>
        </w:rPr>
        <w:t>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"_Toc26843606"</w:instrText>
      </w:r>
      <w:r>
        <w:rPr>
          <w:rFonts w:ascii="Times New Roman" w:cs="Times New Roman" w:hAnsi="Times New Roman"/>
          <w:sz w:val="24"/>
        </w:rPr>
        <w:fldChar w:fldCharType="separate"/>
      </w:r>
      <w:r>
        <w:rPr>
          <w:rFonts w:ascii="Times New Roman" w:cs="Times New Roman" w:hAnsi="Times New Roman"/>
          <w:sz w:val="24"/>
        </w:rPr>
        <w:t>二、机</w:t>
      </w:r>
      <w:r>
        <w:rPr>
          <w:rFonts w:ascii="Times New Roman" w:cs="Times New Roman" w:hAnsi="Times New Roman"/>
          <w:bCs/>
          <w:sz w:val="24"/>
          <w:lang w:val="en-US" w:eastAsia="zh-CN" w:bidi="ar-SA"/>
        </w:rPr>
        <w:t>构设置</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_Toc26843606 \h</w:instrText>
      </w:r>
      <w:r>
        <w:rPr>
          <w:rFonts w:ascii="Times New Roman" w:cs="Times New Roman" w:hAnsi="Times New Roman"/>
          <w:sz w:val="24"/>
        </w:rPr>
        <w:fldChar w:fldCharType="separate"/>
      </w:r>
      <w:r>
        <w:rPr>
          <w:rFonts w:ascii="Times New Roman" w:cs="Times New Roman" w:hAnsi="Times New Roman"/>
          <w:sz w:val="24"/>
        </w:rPr>
        <w:t>6</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"_Toc26843607"</w:instrText>
      </w:r>
      <w:r>
        <w:rPr>
          <w:rFonts w:ascii="Times New Roman" w:cs="Times New Roman" w:hAnsi="Times New Roman"/>
          <w:sz w:val="24"/>
        </w:rPr>
        <w:fldChar w:fldCharType="separate"/>
      </w:r>
      <w:r>
        <w:rPr>
          <w:rFonts w:ascii="Times New Roman" w:cs="Times New Roman" w:hAnsi="Times New Roman"/>
          <w:sz w:val="24"/>
        </w:rPr>
        <w:t>第二部分 202</w:t>
      </w:r>
      <w:r>
        <w:rPr>
          <w:rFonts w:ascii="Times New Roman" w:cs="Times New Roman" w:hAnsi="Times New Roman" w:hint="eastAsia"/>
          <w:sz w:val="24"/>
          <w:lang w:val="en-US" w:eastAsia="zh-CN"/>
        </w:rPr>
        <w:t>2</w:t>
      </w:r>
      <w:r>
        <w:rPr>
          <w:rFonts w:ascii="Times New Roman" w:cs="Times New Roman" w:hAnsi="Times New Roman"/>
          <w:sz w:val="24"/>
        </w:rPr>
        <w:t>年度</w:t>
      </w:r>
      <w:r>
        <w:rPr>
          <w:rFonts w:ascii="Times New Roman" w:eastAsia="仿宋" w:cs="Times New Roman" w:hAnsi="Times New Roman"/>
          <w:bCs/>
          <w:sz w:val="24"/>
          <w:szCs w:val="28"/>
          <w:lang w:val="en-US" w:eastAsia="zh-CN" w:bidi="ar-SA"/>
        </w:rPr>
        <w:t>部门决算情况说明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_Toc26843607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一、</w:t>
      </w:r>
      <w:r>
        <w:rPr>
          <w:rFonts w:ascii="Times New Roman" w:cs="Times New Roman" w:hAnsi="Times New Roman"/>
          <w:sz w:val="24"/>
        </w:rPr>
        <w:t xml:space="preserve">  收</w:t>
      </w:r>
      <w:r>
        <w:rPr>
          <w:rFonts w:ascii="Times New Roman" w:cs="Times New Roman" w:hAnsi="Times New Roman"/>
          <w:bCs/>
          <w:sz w:val="24"/>
          <w:lang w:val="en-US" w:eastAsia="zh-CN" w:bidi="ar-SA"/>
        </w:rPr>
        <w:t>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_Toc26843608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二、</w:t>
      </w:r>
      <w:r>
        <w:rPr>
          <w:rFonts w:ascii="Times New Roman" w:cs="Times New Roman" w:hAnsi="Times New Roman"/>
          <w:sz w:val="24"/>
        </w:rPr>
        <w:t xml:space="preserve">  收</w:t>
      </w:r>
      <w:r>
        <w:rPr>
          <w:rFonts w:ascii="Times New Roman" w:cs="Times New Roman" w:hAnsi="Times New Roman"/>
          <w:bCs/>
          <w:sz w:val="24"/>
          <w:lang w:val="en-US" w:eastAsia="zh-CN" w:bidi="ar-SA"/>
        </w:rPr>
        <w:t>入决算情况说明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_Toc26843609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 xml:space="preserve">  支</w:t>
      </w:r>
      <w:r>
        <w:rPr>
          <w:rFonts w:ascii="Times New Roman" w:cs="Times New Roman" w:hAnsi="Times New Roman"/>
          <w:bCs/>
          <w:sz w:val="24"/>
          <w:lang w:val="en-US" w:eastAsia="zh-CN" w:bidi="ar-SA"/>
        </w:rPr>
        <w:t>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_Toc26843612 \h</w:instrText>
      </w:r>
      <w:r>
        <w:rPr>
          <w:rFonts w:ascii="Times New Roman" w:cs="Times New Roman" w:hAnsi="Times New Roman"/>
          <w:sz w:val="24"/>
        </w:rPr>
        <w:fldChar w:fldCharType="separate"/>
      </w:r>
      <w:r>
        <w:rPr>
          <w:rFonts w:ascii="Times New Roman" w:cs="Times New Roman" w:hAnsi="Times New Roman"/>
          <w:sz w:val="24"/>
        </w:rPr>
        <w:t>9</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"_Toc26843615"</w:instrText>
      </w:r>
      <w:r>
        <w:rPr>
          <w:rFonts w:ascii="Times New Roman" w:cs="Times New Roman" w:hAnsi="Times New Roman"/>
          <w:sz w:val="24"/>
        </w:rPr>
        <w:fldChar w:fldCharType="separate"/>
      </w:r>
      <w:r>
        <w:rPr>
          <w:rFonts w:ascii="Times New Roman" w:cs="Times New Roman" w:hAnsi="Times New Roman"/>
          <w:sz w:val="24"/>
        </w:rPr>
        <w:t>四、财</w:t>
      </w:r>
      <w:r>
        <w:rPr>
          <w:rFonts w:ascii="Times New Roman" w:cs="Times New Roman" w:hAnsi="Times New Roman"/>
          <w:bCs/>
          <w:sz w:val="24"/>
          <w:lang w:val="en-US" w:eastAsia="zh-CN" w:bidi="ar-SA"/>
        </w:rPr>
        <w:t>政拨款收入支出决算总体情况说明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_Toc26843615 \h</w:instrText>
      </w:r>
      <w:r>
        <w:rPr>
          <w:rFonts w:ascii="Times New Roman" w:cs="Times New Roman" w:hAnsi="Times New Roman"/>
          <w:sz w:val="24"/>
        </w:rPr>
        <w:fldChar w:fldCharType="separate"/>
      </w:r>
      <w:r>
        <w:rPr>
          <w:rFonts w:ascii="Times New Roman" w:cs="Times New Roman" w:hAnsi="Times New Roman"/>
          <w:sz w:val="24"/>
        </w:rPr>
        <w:t>10</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"_Toc26843616"</w:instrText>
      </w:r>
      <w:r>
        <w:rPr>
          <w:rFonts w:ascii="Times New Roman" w:cs="Times New Roman" w:hAnsi="Times New Roman"/>
          <w:sz w:val="24"/>
        </w:rPr>
        <w:fldChar w:fldCharType="separate"/>
      </w:r>
      <w:r>
        <w:rPr>
          <w:rFonts w:ascii="Times New Roman" w:cs="Times New Roman" w:hAnsi="Times New Roman"/>
          <w:sz w:val="24"/>
        </w:rPr>
        <w:t>五、一</w:t>
      </w:r>
      <w:r>
        <w:rPr>
          <w:rFonts w:ascii="Times New Roman" w:cs="Times New Roman" w:hAnsi="Times New Roman"/>
          <w:bCs/>
          <w:sz w:val="24"/>
          <w:lang w:val="en-US" w:eastAsia="zh-CN" w:bidi="ar-SA"/>
        </w:rPr>
        <w:t>般公共预算财政拨款支出决算情况说明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_Toc26843616 \h</w:instrText>
      </w:r>
      <w:r>
        <w:rPr>
          <w:rFonts w:ascii="Times New Roman" w:cs="Times New Roman" w:hAnsi="Times New Roman"/>
          <w:sz w:val="24"/>
        </w:rPr>
        <w:fldChar w:fldCharType="separate"/>
      </w:r>
      <w:r>
        <w:rPr>
          <w:rFonts w:ascii="Times New Roman" w:cs="Times New Roman" w:hAnsi="Times New Roman"/>
          <w:sz w:val="24"/>
        </w:rPr>
        <w:t>10</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"_Toc26843617"</w:instrText>
      </w:r>
      <w:r>
        <w:rPr>
          <w:rFonts w:ascii="Times New Roman" w:cs="Times New Roman" w:hAnsi="Times New Roman"/>
          <w:sz w:val="24"/>
        </w:rPr>
        <w:fldChar w:fldCharType="separate"/>
      </w:r>
      <w:r>
        <w:rPr>
          <w:rFonts w:ascii="Times New Roman" w:cs="Times New Roman" w:hAnsi="Times New Roman"/>
          <w:sz w:val="24"/>
        </w:rPr>
        <w:t>六、一</w:t>
      </w:r>
      <w:r>
        <w:rPr>
          <w:rFonts w:ascii="Times New Roman" w:cs="Times New Roman" w:hAnsi="Times New Roman"/>
          <w:bCs/>
          <w:sz w:val="24"/>
          <w:lang w:val="en-US" w:eastAsia="zh-CN" w:bidi="ar-SA"/>
        </w:rPr>
        <w:t>般公共预算财政拨款基本支出决算情况说明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_Toc26843617 \h</w:instrText>
      </w:r>
      <w:r>
        <w:rPr>
          <w:rFonts w:ascii="Times New Roman" w:cs="Times New Roman" w:hAnsi="Times New Roman"/>
          <w:sz w:val="24"/>
        </w:rPr>
        <w:fldChar w:fldCharType="separate"/>
      </w:r>
      <w:r>
        <w:rPr>
          <w:rFonts w:ascii="Times New Roman" w:cs="Times New Roman" w:hAnsi="Times New Roman"/>
          <w:sz w:val="24"/>
        </w:rPr>
        <w:t>12</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"_Toc26843618"</w:instrText>
      </w:r>
      <w:r>
        <w:rPr>
          <w:rFonts w:ascii="Times New Roman" w:cs="Times New Roman" w:hAnsi="Times New Roman"/>
          <w:sz w:val="24"/>
        </w:rPr>
        <w:fldChar w:fldCharType="separate"/>
      </w:r>
      <w:r>
        <w:rPr>
          <w:rFonts w:ascii="Times New Roman" w:cs="Times New Roman" w:hAnsi="Times New Roman"/>
          <w:sz w:val="24"/>
        </w:rPr>
        <w:t>七、</w:t>
      </w:r>
      <w:r>
        <w:rPr>
          <w:rFonts w:ascii="Times New Roman" w:cs="Times New Roman" w:hAnsi="Times New Roman"/>
          <w:bCs/>
          <w:sz w:val="24"/>
          <w:lang w:val="en-US" w:eastAsia="zh-CN" w:bidi="ar-SA"/>
        </w:rPr>
        <w:t>“三公”经费财政拨款支出决算情况说明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_Toc26843618 \h</w:instrText>
      </w:r>
      <w:r>
        <w:rPr>
          <w:rFonts w:ascii="Times New Roman" w:cs="Times New Roman" w:hAnsi="Times New Roman"/>
          <w:sz w:val="24"/>
        </w:rPr>
        <w:fldChar w:fldCharType="separate"/>
      </w:r>
      <w:r>
        <w:rPr>
          <w:rFonts w:ascii="Times New Roman" w:cs="Times New Roman" w:hAnsi="Times New Roman"/>
          <w:sz w:val="24"/>
        </w:rPr>
        <w:t>13</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"_Toc26843619"</w:instrText>
      </w:r>
      <w:r>
        <w:rPr>
          <w:rFonts w:ascii="Times New Roman" w:cs="Times New Roman" w:hAnsi="Times New Roman"/>
          <w:sz w:val="24"/>
        </w:rPr>
        <w:fldChar w:fldCharType="separate"/>
      </w:r>
      <w:r>
        <w:rPr>
          <w:rFonts w:ascii="Times New Roman" w:cs="Times New Roman" w:hAnsi="Times New Roman"/>
          <w:sz w:val="24"/>
        </w:rPr>
        <w:t>八、</w:t>
      </w:r>
      <w:r>
        <w:rPr>
          <w:rFonts w:ascii="Times New Roman" w:cs="Times New Roman" w:hAnsi="Times New Roman"/>
          <w:bCs/>
          <w:sz w:val="24"/>
          <w:lang w:val="en-US" w:eastAsia="zh-CN" w:bidi="ar-SA"/>
        </w:rPr>
        <w:t>政府性基金预算支出决算情况说明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_Toc26843619 \h</w:instrText>
      </w:r>
      <w:r>
        <w:rPr>
          <w:rFonts w:ascii="Times New Roman" w:cs="Times New Roman" w:hAnsi="Times New Roman"/>
          <w:sz w:val="24"/>
        </w:rPr>
        <w:fldChar w:fldCharType="separate"/>
      </w:r>
      <w:r>
        <w:rPr>
          <w:rFonts w:ascii="Times New Roman" w:cs="Times New Roman" w:hAnsi="Times New Roman"/>
          <w:sz w:val="24"/>
        </w:rPr>
        <w:t>16</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 xml:space="preserve">  </w:t>
      </w:r>
      <w:r>
        <w:rPr>
          <w:rFonts w:ascii="Times New Roman" w:cs="Times New Roman" w:hAnsi="Times New Roman"/>
          <w:bCs/>
          <w:sz w:val="24"/>
          <w:lang w:val="en-US" w:eastAsia="zh-CN" w:bidi="ar-SA"/>
        </w:rPr>
        <w:t>国有资本经营预算支出决算情况说明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_Toc26843620 \h</w:instrText>
      </w:r>
      <w:r>
        <w:rPr>
          <w:rFonts w:ascii="Times New Roman" w:cs="Times New Roman" w:hAnsi="Times New Roman"/>
          <w:sz w:val="24"/>
        </w:rPr>
        <w:fldChar w:fldCharType="separate"/>
      </w:r>
      <w:r>
        <w:rPr>
          <w:rFonts w:ascii="Times New Roman" w:cs="Times New Roman" w:hAnsi="Times New Roman"/>
          <w:sz w:val="24"/>
        </w:rPr>
        <w:t>16</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 xml:space="preserve">  </w:t>
      </w:r>
      <w:r>
        <w:rPr>
          <w:rFonts w:ascii="Times New Roman" w:cs="Times New Roman" w:hAnsi="Times New Roman"/>
          <w:bCs/>
          <w:sz w:val="24"/>
          <w:lang w:val="en-US" w:eastAsia="zh-CN" w:bidi="ar-SA"/>
        </w:rPr>
        <w:t>其他重要事项的情况说明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_Toc26843621 \h</w:instrText>
      </w:r>
      <w:r>
        <w:rPr>
          <w:rFonts w:ascii="Times New Roman" w:cs="Times New Roman" w:hAnsi="Times New Roman"/>
          <w:sz w:val="24"/>
        </w:rPr>
        <w:fldChar w:fldCharType="separate"/>
      </w:r>
      <w:r>
        <w:rPr>
          <w:rFonts w:ascii="Times New Roman" w:cs="Times New Roman" w:hAnsi="Times New Roman"/>
          <w:sz w:val="24"/>
        </w:rPr>
        <w:t>16</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"_Toc26843622"</w:instrText>
      </w:r>
      <w:r>
        <w:rPr>
          <w:rFonts w:ascii="Times New Roman" w:cs="Times New Roman" w:hAnsi="Times New Roman"/>
          <w:sz w:val="24"/>
        </w:rPr>
        <w:fldChar w:fldCharType="separate"/>
      </w:r>
      <w:r>
        <w:rPr>
          <w:rFonts w:ascii="Times New Roman" w:eastAsia="仿宋" w:cs="Times New Roman" w:hAnsi="Times New Roman"/>
          <w:bCs/>
          <w:sz w:val="24"/>
          <w:szCs w:val="28"/>
          <w:lang w:val="en-US" w:eastAsia="zh-CN" w:bidi="ar-SA"/>
        </w:rPr>
        <w:t>第三部分</w:t>
      </w:r>
      <w:r>
        <w:rPr>
          <w:rFonts w:ascii="Times New Roman" w:cs="Times New Roman" w:hAnsi="Times New Roman"/>
          <w:sz w:val="24"/>
        </w:rPr>
        <w:t xml:space="preserve">  名</w:t>
      </w:r>
      <w:r>
        <w:rPr>
          <w:rFonts w:ascii="Times New Roman" w:eastAsia="仿宋" w:cs="Times New Roman" w:hAnsi="Times New Roman"/>
          <w:bCs/>
          <w:sz w:val="24"/>
          <w:szCs w:val="28"/>
          <w:lang w:val="en-US" w:eastAsia="zh-CN" w:bidi="ar-SA"/>
        </w:rPr>
        <w:t>词解释</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_Toc26843622 \h</w:instrText>
      </w:r>
      <w:r>
        <w:rPr>
          <w:rFonts w:ascii="Times New Roman" w:cs="Times New Roman" w:hAnsi="Times New Roman"/>
          <w:sz w:val="24"/>
        </w:rPr>
        <w:fldChar w:fldCharType="separate"/>
      </w:r>
      <w:r>
        <w:rPr>
          <w:rFonts w:ascii="Times New Roman" w:cs="Times New Roman" w:hAnsi="Times New Roman"/>
          <w:sz w:val="24"/>
        </w:rPr>
        <w:t>18</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"_Toc26843623"</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四部分 附件</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_Toc26843623 \h</w:instrText>
      </w:r>
      <w:r>
        <w:rPr>
          <w:rFonts w:ascii="Times New Roman" w:cs="Times New Roman" w:hAnsi="Times New Roman"/>
          <w:sz w:val="24"/>
        </w:rPr>
        <w:fldChar w:fldCharType="separate"/>
      </w:r>
      <w:r>
        <w:rPr>
          <w:rFonts w:ascii="Times New Roman" w:cs="Times New Roman" w:hAnsi="Times New Roman"/>
          <w:sz w:val="24"/>
        </w:rPr>
        <w:t>20</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"_Toc26843626"</w:instrText>
      </w:r>
      <w:r>
        <w:rPr>
          <w:rFonts w:ascii="Times New Roman" w:cs="Times New Roman" w:hAnsi="Times New Roman"/>
          <w:sz w:val="24"/>
        </w:rPr>
        <w:fldChar w:fldCharType="separate"/>
      </w:r>
      <w:r>
        <w:rPr>
          <w:rFonts w:ascii="Times New Roman" w:cs="Times New Roman" w:hAnsi="Times New Roman"/>
          <w:sz w:val="24"/>
        </w:rPr>
        <w:t>一、收</w:t>
      </w:r>
      <w:r>
        <w:rPr>
          <w:rFonts w:ascii="Times New Roman" w:cs="Times New Roman" w:hAnsi="Times New Roman"/>
          <w:bCs/>
          <w:sz w:val="24"/>
          <w:lang w:val="en-US" w:eastAsia="zh-CN" w:bidi="ar-SA"/>
        </w:rPr>
        <w:t>入支出决算总表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5</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"_Toc26843627"</w:instrText>
      </w:r>
      <w:r>
        <w:rPr>
          <w:rFonts w:ascii="Times New Roman" w:cs="Times New Roman" w:hAnsi="Times New Roman"/>
          <w:sz w:val="24"/>
        </w:rPr>
        <w:fldChar w:fldCharType="separate"/>
      </w:r>
      <w:r>
        <w:rPr>
          <w:rFonts w:ascii="Times New Roman" w:cs="Times New Roman" w:hAnsi="Times New Roman"/>
          <w:sz w:val="24"/>
        </w:rPr>
        <w:t>二、收</w:t>
      </w:r>
      <w:r>
        <w:rPr>
          <w:rFonts w:ascii="Times New Roman" w:cs="Times New Roman" w:hAnsi="Times New Roman"/>
          <w:bCs/>
          <w:sz w:val="24"/>
          <w:lang w:val="en-US" w:eastAsia="zh-CN" w:bidi="ar-SA"/>
        </w:rPr>
        <w:t>入决算表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5</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支</w:t>
      </w:r>
      <w:r>
        <w:rPr>
          <w:rFonts w:ascii="Times New Roman" w:cs="Times New Roman" w:hAnsi="Times New Roman"/>
          <w:bCs/>
          <w:sz w:val="24"/>
          <w:lang w:val="en-US" w:eastAsia="zh-CN" w:bidi="ar-SA"/>
        </w:rPr>
        <w:t>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5</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四、</w:t>
      </w:r>
      <w:r>
        <w:rPr>
          <w:rFonts w:ascii="Times New Roman" w:cs="Times New Roman" w:hAnsi="Times New Roman"/>
          <w:sz w:val="24"/>
        </w:rPr>
        <w:t>财</w:t>
      </w:r>
      <w:r>
        <w:rPr>
          <w:rFonts w:ascii="Times New Roman" w:cs="Times New Roman" w:hAnsi="Times New Roman"/>
          <w:bCs/>
          <w:sz w:val="24"/>
          <w:lang w:val="en-US" w:eastAsia="zh-CN" w:bidi="ar-SA"/>
        </w:rPr>
        <w:t>政拨款收入支出决算总表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5</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五、</w:t>
      </w:r>
      <w:r>
        <w:rPr>
          <w:rFonts w:ascii="Times New Roman" w:cs="Times New Roman" w:hAnsi="Times New Roman"/>
          <w:sz w:val="24"/>
        </w:rPr>
        <w:t>财</w:t>
      </w:r>
      <w:r>
        <w:rPr>
          <w:rFonts w:ascii="Times New Roman" w:cs="Times New Roman" w:hAnsi="Times New Roman"/>
          <w:bCs/>
          <w:sz w:val="24"/>
          <w:lang w:val="en-US" w:eastAsia="zh-CN" w:bidi="ar-SA"/>
        </w:rPr>
        <w:t>政拨款支出决算明细表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5</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六、</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5</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七、</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般公共预算财政拨款支出决算明细表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5</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"_Toc26843633"</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八、</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般公共预算财政拨款基本支出决算表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5</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"_Toc26843634"</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般公共预算财政拨款项目支出决算表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5</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"_Toc26843635"</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般公共预算财政拨款“三公”经费支出决算表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5</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"_Toc26843636"</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十一、</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府性基金预算财政拨款收入支出决算表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5</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"_Toc26843637"</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十二、</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府性基金预算财政拨款“三公”经费支出决算表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5</w:t>
      </w:r>
    </w:p>
    <w:p>
      <w:pPr>
        <w:pStyle w:val="22"/>
        <w:tabs>
          <w:tab w:val="right" w:leader="dot" w:pos="8296"/>
        </w:tabs>
        <w:adjustRightInd w:val="0"/>
        <w:snapToGrid w:val="0"/>
        <w:spacing w:line="440" w:lineRule="exact"/>
        <w:jc w:val="left"/>
        <w:rPr>
          <w:rFonts w:ascii="Times New Roman" w:eastAsia="宋体" w:cs="Times New Roman" w:hAnsi="Times New Roman" w:hint="eastAsia"/>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十三、</w:t>
      </w:r>
      <w:r>
        <w:rPr>
          <w:rFonts w:ascii="Times New Roman" w:cs="Times New Roman" w:hAnsi="Times New Roman"/>
          <w:sz w:val="24"/>
        </w:rPr>
        <w:t>国</w:t>
      </w:r>
      <w:r>
        <w:rPr>
          <w:rFonts w:ascii="Times New Roman" w:cs="Times New Roman" w:hAnsi="Times New Roman"/>
          <w:bCs/>
          <w:sz w:val="24"/>
          <w:lang w:val="en-US" w:eastAsia="zh-CN" w:bidi="ar-SA"/>
        </w:rPr>
        <w:t>有资本经营预算财政拨款收入支出决算表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5</w:t>
      </w:r>
      <w:r>
        <w:rPr>
          <w:rFonts w:ascii="Times New Roman" w:cs="Times New Roman" w:hAnsi="Times New Roman"/>
        </w:rPr>
        <w:fldChar w:fldCharType="end"/>
      </w:r>
    </w:p>
    <w:p>
      <w:pPr>
        <w:widowControl/>
        <w:spacing w:line="440" w:lineRule="exact"/>
        <w:ind w:firstLineChars="100" w:firstLine="240"/>
        <w:jc w:val="left"/>
        <w:rPr>
          <w:rFonts w:ascii="Times New Roman" w:eastAsia="仿宋" w:cs="Times New Roman" w:hAnsi="Times New Roman"/>
          <w:bCs/>
          <w:kern w:val="44"/>
          <w:sz w:val="24"/>
        </w:rPr>
      </w:pPr>
      <w:r>
        <w:rPr>
          <w:rFonts w:ascii="Times New Roman" w:cs="Times New Roman" w:hAnsi="Times New Roman"/>
          <w:sz w:val="24"/>
        </w:rPr>
        <w:fldChar w:fldCharType="begin"/>
      </w:r>
      <w:r>
        <w:instrText>HYPERLINK  \l "_Toc26843623"</w:instrText>
      </w:r>
      <w:r>
        <w:rPr>
          <w:rFonts w:ascii="Times New Roman" w:cs="Times New Roman" w:hAnsi="Times New Roman"/>
          <w:sz w:val="24"/>
        </w:rPr>
        <w:fldChar w:fldCharType="separate"/>
      </w:r>
      <w:bookmarkStart w:id="14" w:name="_Toc15396599"/>
      <w:bookmarkStart w:id="15" w:name="_Toc15377196"/>
      <w:r>
        <w:rPr>
          <w:rFonts w:ascii="Times New Roman" w:cs="Times New Roman" w:hAnsi="Times New Roman"/>
          <w:sz w:val="24"/>
        </w:rPr>
        <w:t>第</w:t>
      </w:r>
      <w:r>
        <w:rPr>
          <w:rFonts w:eastAsia="仿宋" w:cs="Times New Roman" w:hint="eastAsia"/>
          <w:bCs/>
          <w:sz w:val="24"/>
          <w:szCs w:val="28"/>
          <w:lang w:val="en-US" w:eastAsia="zh-CN" w:bidi="ar-SA"/>
        </w:rPr>
        <w:t>五</w:t>
      </w:r>
      <w:r>
        <w:rPr>
          <w:rFonts w:ascii="Times New Roman" w:eastAsia="仿宋" w:cs="Times New Roman" w:hAnsi="Times New Roman"/>
          <w:bCs/>
          <w:sz w:val="24"/>
          <w:szCs w:val="28"/>
          <w:lang w:val="en-US" w:eastAsia="zh-CN" w:bidi="ar-SA"/>
        </w:rPr>
        <w:t>部分 附</w:t>
      </w:r>
      <w:r>
        <w:rPr>
          <w:rFonts w:eastAsia="仿宋" w:cs="Times New Roman" w:hint="eastAsia"/>
          <w:bCs/>
          <w:sz w:val="24"/>
          <w:szCs w:val="28"/>
          <w:lang w:val="en-US" w:eastAsia="zh-CN" w:bidi="ar-SA"/>
        </w:rPr>
        <w:t>表</w:t>
      </w:r>
      <w:r>
        <w:rPr>
          <w:rFonts w:eastAsia="仿宋" w:cs="Times New Roman" w:hint="eastAsia"/>
          <w:sz w:val="24"/>
          <w:lang w:val="en-US" w:eastAsia="zh-CN"/>
        </w:rPr>
        <w:t>.</w:t>
      </w:r>
      <w:r>
        <w:rPr>
          <w:rFonts w:ascii="Times New Roman" w:cs="Times New Roman" w:hAnsi="Times New Roman"/>
          <w:sz w:val="24"/>
        </w:rPr>
        <w:fldChar w:fldCharType="end"/>
      </w:r>
      <w:r>
        <w:rPr>
          <w:rFonts w:cs="Times New Roman" w:hint="eastAsia"/>
          <w:sz w:val="24"/>
          <w:lang w:val="en-US" w:eastAsia="zh-CN"/>
        </w:rPr>
        <w:t>.......................................................................................................26</w:t>
      </w:r>
      <w:r>
        <w:rPr>
          <w:rFonts w:ascii="Times New Roman" w:eastAsia="仿宋" w:cs="Times New Roman" w:hAnsi="Times New Roman"/>
          <w:b/>
          <w:sz w:val="24"/>
        </w:rPr>
        <w:br w:type="page"/>
      </w:r>
    </w:p>
    <w:p>
      <w:pPr>
        <w:pStyle w:val="1"/>
        <w:keepNext/>
        <w:keepLines/>
        <w:pageBreakBefore w:val="0"/>
        <w:widowControl w:val="0"/>
        <w:kinsoku/>
        <w:wordWrap/>
        <w:overflowPunct/>
        <w:topLinePunct w:val="0"/>
        <w:bidi w:val="0"/>
        <w:spacing w:line="576" w:lineRule="exact"/>
        <w:jc w:val="center"/>
        <w:rPr>
          <w:rStyle w:val="1Char"/>
          <w:rFonts w:ascii="Times New Roman" w:eastAsia="黑体" w:cs="Times New Roman" w:hAnsi="Times New Roman"/>
          <w:b/>
          <w:bCs w:val="0"/>
        </w:rPr>
      </w:pPr>
      <w:bookmarkStart w:id="16" w:name="_Toc26843604"/>
      <w:r>
        <w:rPr>
          <w:rFonts w:ascii="Times New Roman" w:eastAsia="黑体" w:cs="Times New Roman" w:hAnsi="Times New Roman"/>
          <w:b w:val="0"/>
        </w:rPr>
        <w:t xml:space="preserve">第一部分 </w:t>
      </w:r>
      <w:r>
        <w:rPr>
          <w:rFonts w:ascii="Times New Roman" w:eastAsia="黑体" w:cs="Times New Roman" w:hAnsi="Times New Roman"/>
          <w:b w:val="0"/>
          <w:kern w:val="44"/>
          <w:sz w:val="44"/>
          <w:szCs w:val="44"/>
        </w:rPr>
        <w:t>部门概况</w:t>
      </w:r>
      <w:bookmarkEnd w:id="14"/>
      <w:bookmarkEnd w:id="15"/>
      <w:bookmarkEnd w:id="16"/>
    </w:p>
    <w:p>
      <w:pPr>
        <w:pageBreakBefore w:val="0"/>
        <w:widowControl/>
        <w:kinsoku/>
        <w:wordWrap/>
        <w:overflowPunct/>
        <w:topLinePunct w:val="0"/>
        <w:bidi w:val="0"/>
        <w:spacing w:line="576" w:lineRule="exact"/>
        <w:jc w:val="left"/>
        <w:rPr>
          <w:rFonts w:ascii="Times New Roman" w:eastAsia="黑体" w:cs="Times New Roman" w:hAnsi="Times New Roman"/>
          <w:sz w:val="32"/>
          <w:szCs w:val="32"/>
        </w:rPr>
      </w:pPr>
    </w:p>
    <w:p>
      <w:pPr>
        <w:pStyle w:val="2"/>
        <w:keepNext/>
        <w:keepLines/>
        <w:pageBreakBefore w:val="0"/>
        <w:widowControl w:val="0"/>
        <w:kinsoku/>
        <w:wordWrap/>
        <w:overflowPunct/>
        <w:topLinePunct w:val="0"/>
        <w:bidi w:val="0"/>
        <w:spacing w:after="0" w:line="576" w:lineRule="exact"/>
        <w:rPr>
          <w:rStyle w:val="2Char"/>
          <w:rFonts w:ascii="Times New Roman" w:eastAsia="黑体" w:cs="Times New Roman" w:hAnsi="Times New Roman"/>
          <w:b w:val="0"/>
          <w:bCs w:val="0"/>
        </w:rPr>
      </w:pPr>
      <w:bookmarkStart w:id="17" w:name="_Toc26843605"/>
      <w:bookmarkStart w:id="18" w:name="_Toc15396600"/>
      <w:bookmarkStart w:id="19" w:name="_Toc15377197"/>
      <w:r>
        <w:rPr>
          <w:rStyle w:val="2Char"/>
          <w:rFonts w:ascii="Times New Roman" w:eastAsia="黑体" w:cs="Times New Roman" w:hAnsi="Times New Roman"/>
          <w:b w:val="0"/>
          <w:bCs w:val="0"/>
        </w:rPr>
        <w:t>一、基本职能及主要工作</w:t>
      </w:r>
      <w:bookmarkEnd w:id="17"/>
      <w:bookmarkEnd w:id="18"/>
      <w:bookmarkEnd w:id="19"/>
    </w:p>
    <w:p>
      <w:pPr>
        <w:pStyle w:val="18"/>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楷体" w:cs="Times New Roman" w:hAnsi="Times New Roman"/>
          <w:b/>
          <w:color w:val="000000"/>
          <w:kern w:val="0"/>
          <w:sz w:val="32"/>
          <w:szCs w:val="32"/>
          <w:shd w:val="clear" w:color="auto" w:fill="auto"/>
        </w:rPr>
      </w:pPr>
      <w:bookmarkStart w:id="20" w:name="_Toc15378445"/>
      <w:bookmarkStart w:id="21" w:name="_Toc15377198"/>
      <w:r>
        <w:rPr>
          <w:rFonts w:ascii="Times New Roman" w:eastAsia="楷体" w:cs="Times New Roman" w:hAnsi="Times New Roman"/>
          <w:b/>
          <w:color w:val="000000"/>
          <w:kern w:val="0"/>
          <w:sz w:val="32"/>
          <w:szCs w:val="32"/>
          <w:shd w:val="clear" w:color="auto" w:fill="auto"/>
        </w:rPr>
        <w:t>（一）主要职能。</w:t>
      </w:r>
      <w:bookmarkEnd w:id="20"/>
      <w:bookmarkEnd w:id="21"/>
    </w:p>
    <w:p>
      <w:pPr>
        <w:widowControl/>
        <w:spacing w:line="560" w:lineRule="exact"/>
        <w:ind w:firstLineChars="250" w:firstLine="800"/>
        <w:jc w:val="left"/>
        <w:rPr>
          <w:rFonts w:ascii="仿宋_GB2312" w:eastAsia="仿宋_GB2312" w:hint="eastAsia"/>
          <w:sz w:val="32"/>
          <w:szCs w:val="32"/>
        </w:rPr>
      </w:pPr>
      <w:bookmarkStart w:id="22" w:name="_Toc15377199"/>
      <w:bookmarkStart w:id="23" w:name="_Toc15378446"/>
      <w:r>
        <w:rPr>
          <w:rFonts w:ascii="仿宋_GB2312" w:eastAsia="仿宋_GB2312" w:hint="eastAsia"/>
          <w:sz w:val="32"/>
          <w:szCs w:val="32"/>
        </w:rPr>
        <w:t>1．根据党章和《地方组织法》的规定，乡党委、政府承担辖区内促进经济发展、提供公共服务、加强社会管理、维护社会稳定，推动物质文明、政治文明、精神文明及和谐社会建设等任务。其主要职能是：</w:t>
      </w:r>
    </w:p>
    <w:p>
      <w:pPr>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（1）、贯彻落实党和政府各项路线方针政策。深入贯彻党的</w:t>
      </w:r>
      <w:r>
        <w:rPr>
          <w:rFonts w:ascii="仿宋_GB2312" w:eastAsia="仿宋_GB2312" w:hint="eastAsia"/>
          <w:sz w:val="32"/>
          <w:szCs w:val="32"/>
          <w:lang w:eastAsia="zh-CN"/>
        </w:rPr>
        <w:t>二十</w:t>
      </w:r>
      <w:r>
        <w:rPr>
          <w:rFonts w:ascii="仿宋_GB2312" w:eastAsia="仿宋_GB2312" w:hint="eastAsia"/>
          <w:sz w:val="32"/>
          <w:szCs w:val="32"/>
        </w:rPr>
        <w:t>大、十八届四中、五中全会精神，宣传和贯彻执行党的路线、方针、政策和国家的</w:t>
      </w:r>
    </w:p>
    <w:p>
      <w:pPr>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法律、法令；宣传和贯彻上级机关的政策、法规、规章、决定等；执行本级党代会和人代会的决定、决议；研究决定辖区内政治、经济、文化等重大问题。</w:t>
      </w:r>
    </w:p>
    <w:p>
      <w:pPr>
        <w:snapToGrid w:val="0"/>
        <w:spacing w:line="560" w:lineRule="exact"/>
        <w:ind w:firstLineChars="150" w:firstLine="480"/>
        <w:rPr>
          <w:rFonts w:ascii="仿宋_GB2312" w:eastAsia="仿宋_GB2312" w:hint="eastAsia"/>
          <w:sz w:val="32"/>
          <w:szCs w:val="32"/>
        </w:rPr>
      </w:pPr>
      <w:r>
        <w:rPr>
          <w:rFonts w:ascii="仿宋_GB2312" w:eastAsia="仿宋_GB2312" w:hint="eastAsia"/>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snapToGrid w:val="0"/>
        <w:spacing w:line="560" w:lineRule="exact"/>
        <w:ind w:firstLineChars="150" w:firstLine="480"/>
        <w:rPr>
          <w:rFonts w:ascii="仿宋_GB2312" w:eastAsia="仿宋_GB2312" w:hint="eastAsia"/>
          <w:sz w:val="32"/>
          <w:szCs w:val="32"/>
        </w:rPr>
      </w:pPr>
      <w:r>
        <w:rPr>
          <w:rFonts w:ascii="仿宋_GB2312" w:eastAsia="仿宋_GB2312" w:hint="eastAsia"/>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4）、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snapToGrid w:val="0"/>
        <w:spacing w:line="560" w:lineRule="exact"/>
        <w:ind w:firstLineChars="200" w:firstLine="640"/>
        <w:rPr>
          <w:rFonts w:hint="eastAsia"/>
          <w:bCs/>
          <w:color w:val="000000"/>
          <w:sz w:val="32"/>
          <w:szCs w:val="32"/>
          <w:highlight w:val="yellow"/>
        </w:rPr>
      </w:pPr>
      <w:r>
        <w:rPr>
          <w:rFonts w:ascii="仿宋_GB2312" w:eastAsia="仿宋_GB2312" w:hint="eastAsia"/>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pStyle w:val="18"/>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方正楷体_GBK" w:cs="Times New Roman" w:hAnsi="Times New Roman"/>
          <w:b/>
          <w:bCs/>
          <w:color w:val="000000"/>
          <w:kern w:val="0"/>
          <w:sz w:val="32"/>
          <w:szCs w:val="32"/>
          <w:shd w:val="clear" w:color="auto" w:fill="auto"/>
        </w:rPr>
      </w:pPr>
      <w:r>
        <w:rPr>
          <w:rFonts w:ascii="Times New Roman" w:eastAsia="方正楷体_GBK" w:cs="Times New Roman" w:hAnsi="Times New Roman"/>
          <w:b/>
          <w:bCs/>
          <w:color w:val="000000"/>
          <w:kern w:val="0"/>
          <w:sz w:val="32"/>
          <w:szCs w:val="32"/>
          <w:shd w:val="clear" w:color="auto" w:fill="auto"/>
        </w:rPr>
        <w:t>（二）202</w:t>
      </w:r>
      <w:r>
        <w:rPr>
          <w:rFonts w:eastAsia="方正楷体_GBK" w:cs="Times New Roman" w:hint="eastAsia"/>
          <w:b/>
          <w:bCs/>
          <w:color w:val="000000"/>
          <w:kern w:val="0"/>
          <w:sz w:val="32"/>
          <w:szCs w:val="32"/>
          <w:shd w:val="clear" w:color="auto" w:fill="auto"/>
          <w:lang w:val="en-US" w:eastAsia="zh-CN"/>
        </w:rPr>
        <w:t>2</w:t>
      </w:r>
      <w:r>
        <w:rPr>
          <w:rFonts w:ascii="Times New Roman" w:eastAsia="方正楷体_GBK" w:cs="Times New Roman" w:hAnsi="Times New Roman"/>
          <w:b/>
          <w:bCs/>
          <w:color w:val="000000"/>
          <w:kern w:val="0"/>
          <w:sz w:val="32"/>
          <w:szCs w:val="32"/>
          <w:shd w:val="clear" w:color="auto" w:fill="auto"/>
        </w:rPr>
        <w:t>年重点工作完成情况。</w:t>
      </w:r>
      <w:bookmarkEnd w:id="22"/>
      <w:bookmarkEnd w:id="23"/>
    </w:p>
    <w:p>
      <w:pPr>
        <w:spacing w:line="576" w:lineRule="exact"/>
        <w:ind w:firstLineChars="300" w:firstLine="960"/>
        <w:rPr>
          <w:rFonts w:ascii="仿宋_GB2312" w:eastAsia="仿宋_GB2312" w:hint="eastAsia"/>
          <w:sz w:val="32"/>
          <w:szCs w:val="32"/>
        </w:rPr>
      </w:pPr>
      <w:bookmarkStart w:id="24" w:name="_Toc79163855"/>
      <w:bookmarkStart w:id="25" w:name="_Toc79163605"/>
      <w:r>
        <w:rPr>
          <w:rFonts w:ascii="仿宋_GB2312" w:eastAsia="仿宋_GB2312" w:hint="eastAsia"/>
          <w:sz w:val="32"/>
          <w:szCs w:val="32"/>
        </w:rPr>
        <w:t>在县委、县政府的正确领导下，在县级联系部门的关怀下，在乡人大的监督支持下，在各村两委的密切配合下，紧紧团结依靠全乡人民，健全完善了相关管理制度，认真贯彻落实科学发展观、党的十八大及十八届四中、五中全会及</w:t>
      </w:r>
      <w:r>
        <w:rPr>
          <w:rFonts w:ascii="仿宋_GB2312" w:eastAsia="仿宋_GB2312"/>
          <w:sz w:val="32"/>
          <w:szCs w:val="32"/>
        </w:rPr>
        <w:t>党的</w:t>
      </w:r>
      <w:bookmarkStart w:id="26" w:name="_GoBack"/>
      <w:bookmarkEnd w:id="26"/>
      <w:r>
        <w:rPr>
          <w:rFonts w:ascii="仿宋_GB2312" w:eastAsia="仿宋_GB2312" w:cs="仿宋_GB2312" w:hint="eastAsia"/>
          <w:sz w:val="32"/>
          <w:szCs w:val="32"/>
          <w:lang w:eastAsia="zh-CN"/>
        </w:rPr>
        <w:t>二十</w:t>
      </w:r>
      <w:r>
        <w:rPr>
          <w:rFonts w:ascii="仿宋_GB2312" w:eastAsia="仿宋_GB2312" w:cs="仿宋_GB2312" w:hint="eastAsia"/>
          <w:sz w:val="32"/>
          <w:szCs w:val="32"/>
        </w:rPr>
        <w:t>大</w:t>
      </w:r>
      <w:r>
        <w:rPr>
          <w:rFonts w:ascii="仿宋_GB2312" w:eastAsia="仿宋_GB2312" w:hint="eastAsia"/>
          <w:sz w:val="32"/>
          <w:szCs w:val="32"/>
        </w:rPr>
        <w:t>精神和习近平总书记系列重要讲话精神。按照省委</w:t>
      </w:r>
      <w:r>
        <w:rPr>
          <w:rFonts w:ascii="仿宋_GB2312" w:eastAsia="仿宋_GB2312"/>
          <w:sz w:val="32"/>
          <w:szCs w:val="32"/>
        </w:rPr>
        <w:t>“</w:t>
      </w:r>
      <w:r>
        <w:rPr>
          <w:rFonts w:ascii="仿宋_GB2312" w:eastAsia="仿宋_GB2312" w:hint="eastAsia"/>
          <w:sz w:val="32"/>
          <w:szCs w:val="32"/>
        </w:rPr>
        <w:t>三大发展战略</w:t>
      </w:r>
      <w:r>
        <w:rPr>
          <w:rFonts w:ascii="仿宋_GB2312" w:eastAsia="仿宋_GB2312"/>
          <w:sz w:val="32"/>
          <w:szCs w:val="32"/>
        </w:rPr>
        <w:t>”</w:t>
      </w:r>
      <w:r>
        <w:rPr>
          <w:rFonts w:ascii="仿宋_GB2312" w:eastAsia="仿宋_GB2312" w:hint="eastAsia"/>
          <w:sz w:val="32"/>
          <w:szCs w:val="32"/>
        </w:rPr>
        <w:t>、州委</w:t>
      </w:r>
      <w:r>
        <w:rPr>
          <w:rFonts w:ascii="仿宋_GB2312" w:eastAsia="仿宋_GB2312"/>
          <w:sz w:val="32"/>
          <w:szCs w:val="32"/>
        </w:rPr>
        <w:t>“</w:t>
      </w:r>
      <w:r>
        <w:rPr>
          <w:rFonts w:ascii="仿宋_GB2312" w:eastAsia="仿宋_GB2312" w:hint="eastAsia"/>
          <w:sz w:val="32"/>
          <w:szCs w:val="32"/>
        </w:rPr>
        <w:t>五为</w:t>
      </w:r>
      <w:r>
        <w:rPr>
          <w:rFonts w:ascii="仿宋_GB2312" w:eastAsia="仿宋_GB2312"/>
          <w:sz w:val="32"/>
          <w:szCs w:val="32"/>
        </w:rPr>
        <w:t>”</w:t>
      </w:r>
      <w:r>
        <w:rPr>
          <w:rFonts w:ascii="仿宋_GB2312" w:eastAsia="仿宋_GB2312" w:hint="eastAsia"/>
          <w:sz w:val="32"/>
          <w:szCs w:val="32"/>
        </w:rPr>
        <w:t>总体工作要求，把握</w:t>
      </w:r>
      <w:r>
        <w:rPr>
          <w:rFonts w:ascii="仿宋_GB2312" w:eastAsia="仿宋_GB2312"/>
          <w:sz w:val="32"/>
          <w:szCs w:val="32"/>
        </w:rPr>
        <w:t>“</w:t>
      </w:r>
      <w:r>
        <w:rPr>
          <w:rFonts w:ascii="仿宋_GB2312" w:eastAsia="仿宋_GB2312" w:hint="eastAsia"/>
          <w:sz w:val="32"/>
          <w:szCs w:val="32"/>
        </w:rPr>
        <w:t>夯实基础、增量提质、跨越发展</w:t>
      </w:r>
      <w:r>
        <w:rPr>
          <w:rFonts w:ascii="仿宋_GB2312" w:eastAsia="仿宋_GB2312"/>
          <w:sz w:val="32"/>
          <w:szCs w:val="32"/>
        </w:rPr>
        <w:t>”</w:t>
      </w:r>
      <w:r>
        <w:rPr>
          <w:rFonts w:ascii="仿宋_GB2312" w:eastAsia="仿宋_GB2312" w:hint="eastAsia"/>
          <w:sz w:val="32"/>
          <w:szCs w:val="32"/>
        </w:rPr>
        <w:t>的工作基调，紧紧围绕县委县政府</w:t>
      </w:r>
      <w:r>
        <w:rPr>
          <w:rFonts w:ascii="仿宋_GB2312" w:eastAsia="仿宋_GB2312"/>
          <w:sz w:val="32"/>
          <w:szCs w:val="32"/>
        </w:rPr>
        <w:t>“</w:t>
      </w:r>
      <w:r>
        <w:rPr>
          <w:rFonts w:ascii="仿宋_GB2312" w:eastAsia="仿宋_GB2312" w:hint="eastAsia"/>
          <w:sz w:val="32"/>
          <w:szCs w:val="32"/>
        </w:rPr>
        <w:t>一二三四五</w:t>
      </w:r>
      <w:r>
        <w:rPr>
          <w:rFonts w:ascii="仿宋_GB2312" w:eastAsia="仿宋_GB2312"/>
          <w:sz w:val="32"/>
          <w:szCs w:val="32"/>
        </w:rPr>
        <w:t>”</w:t>
      </w:r>
      <w:r>
        <w:rPr>
          <w:rFonts w:ascii="仿宋_GB2312" w:eastAsia="仿宋_GB2312" w:hint="eastAsia"/>
          <w:sz w:val="32"/>
          <w:szCs w:val="32"/>
        </w:rPr>
        <w:t>发展战略、</w:t>
      </w:r>
      <w:r>
        <w:rPr>
          <w:rFonts w:ascii="仿宋_GB2312" w:eastAsia="仿宋_GB2312"/>
          <w:sz w:val="32"/>
          <w:szCs w:val="32"/>
        </w:rPr>
        <w:t>“</w:t>
      </w:r>
      <w:r>
        <w:rPr>
          <w:rFonts w:ascii="仿宋_GB2312" w:eastAsia="仿宋_GB2312" w:hint="eastAsia"/>
          <w:sz w:val="32"/>
          <w:szCs w:val="32"/>
        </w:rPr>
        <w:t>一四三四</w:t>
      </w:r>
      <w:r>
        <w:rPr>
          <w:rFonts w:ascii="仿宋_GB2312" w:eastAsia="仿宋_GB2312"/>
          <w:sz w:val="32"/>
          <w:szCs w:val="32"/>
        </w:rPr>
        <w:t>”</w:t>
      </w:r>
      <w:r>
        <w:rPr>
          <w:rFonts w:ascii="仿宋_GB2312" w:eastAsia="仿宋_GB2312" w:hint="eastAsia"/>
          <w:sz w:val="32"/>
          <w:szCs w:val="32"/>
        </w:rPr>
        <w:t>治县方略，为加快“四地三县”建设，牢牢抓住中央和省州支持民族地区跨越发展的大好机遇，攻坚克难、乘势而上，全面完成了年初既定确定的各项任务。</w:t>
      </w:r>
    </w:p>
    <w:p>
      <w:pPr>
        <w:snapToGrid w:val="0"/>
        <w:ind w:firstLineChars="200" w:firstLine="640"/>
        <w:rPr>
          <w:rFonts w:ascii="仿宋_GB2312" w:eastAsia="仿宋_GB2312" w:hint="eastAsia"/>
          <w:sz w:val="32"/>
          <w:szCs w:val="32"/>
          <w:lang w:eastAsia="zh-CN"/>
        </w:rPr>
      </w:pPr>
      <w:r>
        <w:rPr>
          <w:rFonts w:ascii="仿宋_GB2312" w:eastAsia="仿宋_GB2312" w:hint="eastAsia"/>
          <w:sz w:val="32"/>
          <w:szCs w:val="32"/>
        </w:rPr>
        <w:t>20</w:t>
      </w:r>
      <w:r>
        <w:rPr>
          <w:rFonts w:ascii="仿宋_GB2312" w:eastAsia="仿宋_GB2312" w:hint="eastAsia"/>
          <w:sz w:val="32"/>
          <w:szCs w:val="32"/>
          <w:lang w:val="en-US" w:eastAsia="zh-CN"/>
        </w:rPr>
        <w:t>22</w:t>
      </w:r>
      <w:r>
        <w:rPr>
          <w:rFonts w:ascii="仿宋_GB2312" w:eastAsia="仿宋_GB2312" w:hint="eastAsia"/>
          <w:sz w:val="32"/>
          <w:szCs w:val="32"/>
        </w:rPr>
        <w:t>年以来，班子成员以“四个全面”为主线，以“党建引领，和谐稳定，补齐短板，调整产业，脱贫奔康，发展旅游，凝心聚力”为思路，以“发展特色产业，拓宽致富渠道，建设生态小康</w:t>
      </w:r>
      <w:r>
        <w:rPr>
          <w:rFonts w:ascii="仿宋_GB2312" w:eastAsia="仿宋_GB2312" w:hint="eastAsia"/>
          <w:sz w:val="32"/>
          <w:szCs w:val="32"/>
          <w:lang w:eastAsia="zh-CN"/>
        </w:rPr>
        <w:t>沙耳</w:t>
      </w:r>
      <w:r>
        <w:rPr>
          <w:rFonts w:ascii="仿宋_GB2312" w:eastAsia="仿宋_GB2312" w:hint="eastAsia"/>
          <w:sz w:val="32"/>
          <w:szCs w:val="32"/>
        </w:rPr>
        <w:t>；发展公益事业，提升民生水平，建设民主和谐</w:t>
      </w:r>
      <w:r>
        <w:rPr>
          <w:rFonts w:ascii="仿宋_GB2312" w:eastAsia="仿宋_GB2312" w:hint="eastAsia"/>
          <w:sz w:val="32"/>
          <w:szCs w:val="32"/>
          <w:lang w:eastAsia="zh-CN"/>
        </w:rPr>
        <w:t>沙耳</w:t>
      </w:r>
      <w:r>
        <w:rPr>
          <w:rFonts w:ascii="仿宋_GB2312" w:eastAsia="仿宋_GB2312" w:hint="eastAsia"/>
          <w:sz w:val="32"/>
          <w:szCs w:val="32"/>
        </w:rPr>
        <w:t>；弘扬孝德文化，壮大旅游产业，建设孝德美丽</w:t>
      </w:r>
      <w:r>
        <w:rPr>
          <w:rFonts w:ascii="仿宋_GB2312" w:eastAsia="仿宋_GB2312" w:hint="eastAsia"/>
          <w:sz w:val="32"/>
          <w:szCs w:val="32"/>
          <w:lang w:eastAsia="zh-CN"/>
        </w:rPr>
        <w:t>沙耳</w:t>
      </w:r>
      <w:r>
        <w:rPr>
          <w:rFonts w:ascii="仿宋_GB2312" w:eastAsia="仿宋_GB2312" w:hint="eastAsia"/>
          <w:sz w:val="32"/>
          <w:szCs w:val="32"/>
        </w:rPr>
        <w:t>；依托资源优势，加快小康进程，建设幸福安康</w:t>
      </w:r>
      <w:r>
        <w:rPr>
          <w:rFonts w:ascii="仿宋_GB2312" w:eastAsia="仿宋_GB2312" w:hint="eastAsia"/>
          <w:sz w:val="32"/>
          <w:szCs w:val="32"/>
          <w:lang w:eastAsia="zh-CN"/>
        </w:rPr>
        <w:t>沙耳</w:t>
      </w:r>
      <w:r>
        <w:rPr>
          <w:rFonts w:ascii="仿宋_GB2312" w:eastAsia="仿宋_GB2312" w:hint="eastAsia"/>
          <w:sz w:val="32"/>
          <w:szCs w:val="32"/>
        </w:rPr>
        <w:t>”的工作目标，进一步理清工作思路，创新工作方式、振奋精神，抢抓机遇、攻坚破难，继续夯实基础设施，大力发展特色优势产业，积极培育壮大集体经济，奋力推进旅游强乡工作基调，带动群众增收致富</w:t>
      </w:r>
      <w:r>
        <w:rPr>
          <w:rFonts w:ascii="仿宋_GB2312" w:eastAsia="仿宋_GB2312" w:hint="eastAsia"/>
          <w:sz w:val="32"/>
          <w:szCs w:val="32"/>
          <w:lang w:eastAsia="zh-CN"/>
        </w:rPr>
        <w:t>。</w:t>
      </w:r>
    </w:p>
    <w:p>
      <w:pPr>
        <w:pStyle w:val="2"/>
        <w:keepNext/>
        <w:keepLines/>
        <w:pageBreakBefore w:val="0"/>
        <w:widowControl w:val="0"/>
        <w:kinsoku/>
        <w:wordWrap/>
        <w:overflowPunct/>
        <w:topLinePunct w:val="0"/>
        <w:bidi w:val="0"/>
        <w:spacing w:after="0" w:line="576" w:lineRule="exact"/>
        <w:rPr>
          <w:rStyle w:val="2Char"/>
          <w:rFonts w:ascii="Times New Roman" w:eastAsia="方正黑体_GBK" w:cs="Times New Roman" w:hAnsi="Times New Roman"/>
          <w:b w:val="0"/>
          <w:bCs w:val="0"/>
        </w:rPr>
      </w:pPr>
      <w:r>
        <w:rPr>
          <w:rFonts w:ascii="Times New Roman" w:eastAsia="黑体" w:cs="Times New Roman" w:hAnsi="Times New Roman"/>
          <w:b w:val="0"/>
          <w:color w:val="000000"/>
          <w:lang w:val="en-US" w:eastAsia="zh-CN"/>
        </w:rPr>
        <w:t xml:space="preserve">   </w:t>
      </w:r>
      <w:bookmarkStart w:id="27" w:name="_Toc26843606"/>
      <w:bookmarkStart w:id="28" w:name="_Toc15396601"/>
      <w:bookmarkStart w:id="29" w:name="_Toc15377200"/>
      <w:bookmarkEnd w:id="24"/>
      <w:bookmarkEnd w:id="25"/>
      <w:r>
        <w:rPr>
          <w:rStyle w:val="2Char"/>
          <w:rFonts w:ascii="Times New Roman" w:eastAsia="黑体" w:cs="Times New Roman" w:hAnsi="Times New Roman"/>
          <w:b w:val="0"/>
          <w:bCs w:val="0"/>
        </w:rPr>
        <w:t>二、机构设置</w:t>
      </w:r>
      <w:bookmarkEnd w:id="27"/>
      <w:bookmarkEnd w:id="28"/>
      <w:bookmarkEnd w:id="29"/>
    </w:p>
    <w:p>
      <w:pPr>
        <w:spacing w:line="578" w:lineRule="exact"/>
        <w:ind w:left="0" w:firstLineChars="200" w:firstLine="640"/>
        <w:rPr>
          <w:rFonts w:ascii="仿宋_GB2312" w:eastAsia="仿宋_GB2312" w:hint="eastAsia"/>
          <w:sz w:val="32"/>
          <w:szCs w:val="32"/>
        </w:rPr>
      </w:pPr>
      <w:r>
        <w:rPr>
          <w:rFonts w:ascii="仿宋_GB2312" w:eastAsia="仿宋_GB2312" w:hint="eastAsia"/>
          <w:sz w:val="32"/>
          <w:szCs w:val="32"/>
        </w:rPr>
        <w:t>1、机构情况：我</w:t>
      </w:r>
      <w:r>
        <w:rPr>
          <w:rFonts w:ascii="仿宋_GB2312" w:eastAsia="仿宋_GB2312" w:hint="eastAsia"/>
          <w:sz w:val="32"/>
          <w:szCs w:val="32"/>
          <w:lang w:eastAsia="zh-CN"/>
        </w:rPr>
        <w:t>乡</w:t>
      </w:r>
      <w:r>
        <w:rPr>
          <w:rFonts w:ascii="仿宋_GB2312" w:eastAsia="仿宋_GB2312" w:hint="eastAsia"/>
          <w:sz w:val="32"/>
          <w:szCs w:val="32"/>
        </w:rPr>
        <w:t>有行政核算机构</w:t>
      </w:r>
      <w:r>
        <w:rPr>
          <w:rFonts w:ascii="仿宋_GB2312" w:eastAsia="仿宋_GB2312" w:hint="eastAsia"/>
          <w:sz w:val="32"/>
          <w:szCs w:val="32"/>
          <w:lang w:val="en-US" w:eastAsia="zh-CN"/>
        </w:rPr>
        <w:t>3个（沙耳乡人民政府办公室、沙耳乡人大办公室、沙耳乡党委办公室），事业核实机构1个（沙耳乡综合服务中心）</w:t>
      </w:r>
      <w:r>
        <w:rPr>
          <w:rFonts w:ascii="仿宋_GB2312" w:eastAsia="仿宋_GB2312" w:hint="eastAsia"/>
          <w:sz w:val="32"/>
          <w:szCs w:val="32"/>
        </w:rPr>
        <w:t>。</w:t>
      </w:r>
    </w:p>
    <w:p>
      <w:pPr>
        <w:keepNext w:val="0"/>
        <w:keepLines w:val="0"/>
        <w:pageBreakBefore w:val="0"/>
        <w:widowControl/>
        <w:kinsoku/>
        <w:wordWrap/>
        <w:overflowPunct/>
        <w:topLinePunct w:val="0"/>
        <w:autoSpaceDE/>
        <w:autoSpaceDN/>
        <w:bidi w:val="0"/>
        <w:adjustRightInd/>
        <w:snapToGrid/>
        <w:spacing w:line="576" w:lineRule="exact"/>
        <w:ind w:firstLineChars="200" w:firstLine="600"/>
        <w:jc w:val="left"/>
        <w:textAlignment w:val="auto"/>
        <w:rPr>
          <w:rFonts w:ascii="Times New Roman" w:eastAsia="仿宋" w:cs="Times New Roman" w:hAnsi="Times New Roman"/>
          <w:kern w:val="0"/>
          <w:sz w:val="32"/>
          <w:szCs w:val="32"/>
        </w:rPr>
      </w:pPr>
      <w:r>
        <w:rPr>
          <w:rFonts w:ascii="仿宋_GB2312" w:eastAsia="仿宋_GB2312" w:hint="eastAsia"/>
          <w:sz w:val="30"/>
          <w:szCs w:val="30"/>
        </w:rPr>
        <w:t>　　2.人员情况：</w:t>
      </w:r>
      <w:r>
        <w:rPr>
          <w:rFonts w:ascii="仿宋_GB2312" w:eastAsia="仿宋_GB2312"/>
          <w:bCs/>
          <w:sz w:val="32"/>
        </w:rPr>
        <w:t>  </w:t>
      </w:r>
      <w:r>
        <w:rPr>
          <w:rFonts w:ascii="仿宋_GB2312" w:eastAsia="仿宋_GB2312" w:hint="eastAsia"/>
          <w:bCs/>
          <w:sz w:val="32"/>
        </w:rPr>
        <w:t>20</w:t>
      </w:r>
      <w:r>
        <w:rPr>
          <w:rFonts w:ascii="仿宋_GB2312" w:eastAsia="仿宋_GB2312" w:hint="eastAsia"/>
          <w:bCs/>
          <w:sz w:val="32"/>
          <w:lang w:val="en-US" w:eastAsia="zh-CN"/>
        </w:rPr>
        <w:t>22</w:t>
      </w:r>
      <w:r>
        <w:rPr>
          <w:rFonts w:ascii="仿宋_GB2312" w:eastAsia="仿宋_GB2312" w:hint="eastAsia"/>
          <w:bCs/>
          <w:sz w:val="32"/>
        </w:rPr>
        <w:t>年年初在职</w:t>
      </w:r>
      <w:r>
        <w:rPr>
          <w:rFonts w:ascii="仿宋_GB2312" w:eastAsia="仿宋_GB2312" w:hint="eastAsia"/>
          <w:bCs/>
          <w:sz w:val="32"/>
          <w:lang w:val="en-US" w:eastAsia="zh-CN"/>
        </w:rPr>
        <w:t>41</w:t>
      </w:r>
      <w:r>
        <w:rPr>
          <w:rFonts w:ascii="仿宋_GB2312" w:eastAsia="仿宋_GB2312" w:hint="eastAsia"/>
          <w:bCs/>
          <w:sz w:val="32"/>
        </w:rPr>
        <w:t>人（行政人员</w:t>
      </w:r>
      <w:r>
        <w:rPr>
          <w:rFonts w:ascii="仿宋_GB2312" w:eastAsia="仿宋_GB2312" w:hint="eastAsia"/>
          <w:bCs/>
          <w:sz w:val="32"/>
          <w:lang w:val="en-US" w:eastAsia="zh-CN"/>
        </w:rPr>
        <w:t>23</w:t>
      </w:r>
      <w:r>
        <w:rPr>
          <w:rFonts w:ascii="仿宋_GB2312" w:eastAsia="仿宋_GB2312" w:hint="eastAsia"/>
          <w:bCs/>
          <w:sz w:val="32"/>
        </w:rPr>
        <w:t>人,行政工勤</w:t>
      </w:r>
      <w:r>
        <w:rPr>
          <w:rFonts w:ascii="仿宋_GB2312" w:eastAsia="仿宋_GB2312" w:hint="eastAsia"/>
          <w:bCs/>
          <w:sz w:val="32"/>
          <w:lang w:val="en-US" w:eastAsia="zh-CN"/>
        </w:rPr>
        <w:t>2</w:t>
      </w:r>
      <w:r>
        <w:rPr>
          <w:rFonts w:ascii="仿宋_GB2312" w:eastAsia="仿宋_GB2312" w:hint="eastAsia"/>
          <w:bCs/>
          <w:sz w:val="32"/>
        </w:rPr>
        <w:t>人。事业管理</w:t>
      </w:r>
      <w:r>
        <w:rPr>
          <w:rFonts w:ascii="仿宋_GB2312" w:eastAsia="仿宋_GB2312" w:hint="eastAsia"/>
          <w:bCs/>
          <w:sz w:val="32"/>
          <w:lang w:val="en-US" w:eastAsia="zh-CN"/>
        </w:rPr>
        <w:t>7</w:t>
      </w:r>
      <w:r>
        <w:rPr>
          <w:rFonts w:ascii="仿宋_GB2312" w:eastAsia="仿宋_GB2312" w:hint="eastAsia"/>
          <w:bCs/>
          <w:sz w:val="32"/>
        </w:rPr>
        <w:t>人，专业技术人员</w:t>
      </w:r>
      <w:r>
        <w:rPr>
          <w:rFonts w:ascii="仿宋_GB2312" w:eastAsia="仿宋_GB2312" w:hint="eastAsia"/>
          <w:bCs/>
          <w:sz w:val="32"/>
          <w:lang w:val="en-US" w:eastAsia="zh-CN"/>
        </w:rPr>
        <w:t>7</w:t>
      </w:r>
      <w:r>
        <w:rPr>
          <w:rFonts w:ascii="仿宋_GB2312" w:eastAsia="仿宋_GB2312" w:hint="eastAsia"/>
          <w:bCs/>
          <w:sz w:val="32"/>
        </w:rPr>
        <w:t>人，事业工勤</w:t>
      </w:r>
      <w:r>
        <w:rPr>
          <w:rFonts w:ascii="仿宋_GB2312" w:eastAsia="仿宋_GB2312" w:hint="eastAsia"/>
          <w:bCs/>
          <w:sz w:val="32"/>
          <w:lang w:val="en-US" w:eastAsia="zh-CN"/>
        </w:rPr>
        <w:t>2</w:t>
      </w:r>
      <w:r>
        <w:rPr>
          <w:rFonts w:ascii="仿宋_GB2312" w:eastAsia="仿宋_GB2312" w:hint="eastAsia"/>
          <w:bCs/>
          <w:sz w:val="32"/>
        </w:rPr>
        <w:t>人）。20</w:t>
      </w:r>
      <w:r>
        <w:rPr>
          <w:rFonts w:ascii="仿宋_GB2312" w:eastAsia="仿宋_GB2312" w:hint="eastAsia"/>
          <w:bCs/>
          <w:sz w:val="32"/>
          <w:lang w:val="en-US" w:eastAsia="zh-CN"/>
        </w:rPr>
        <w:t>22</w:t>
      </w:r>
      <w:r>
        <w:rPr>
          <w:rFonts w:ascii="仿宋_GB2312" w:eastAsia="仿宋_GB2312" w:hint="eastAsia"/>
          <w:bCs/>
          <w:sz w:val="32"/>
        </w:rPr>
        <w:t>年年末在职</w:t>
      </w:r>
      <w:r>
        <w:rPr>
          <w:rFonts w:ascii="仿宋_GB2312" w:eastAsia="仿宋_GB2312" w:hint="eastAsia"/>
          <w:bCs/>
          <w:sz w:val="32"/>
          <w:lang w:val="en-US" w:eastAsia="zh-CN"/>
        </w:rPr>
        <w:t>40</w:t>
      </w:r>
      <w:r>
        <w:rPr>
          <w:rFonts w:ascii="仿宋_GB2312" w:eastAsia="仿宋_GB2312" w:hint="eastAsia"/>
          <w:bCs/>
          <w:sz w:val="32"/>
        </w:rPr>
        <w:t>人（行政人员</w:t>
      </w:r>
      <w:r>
        <w:rPr>
          <w:rFonts w:ascii="仿宋_GB2312" w:eastAsia="仿宋_GB2312" w:hint="eastAsia"/>
          <w:bCs/>
          <w:sz w:val="32"/>
          <w:lang w:val="en-US" w:eastAsia="zh-CN"/>
        </w:rPr>
        <w:t>21</w:t>
      </w:r>
      <w:r>
        <w:rPr>
          <w:rFonts w:ascii="仿宋_GB2312" w:eastAsia="仿宋_GB2312" w:hint="eastAsia"/>
          <w:bCs/>
          <w:sz w:val="32"/>
        </w:rPr>
        <w:t>人,行政工勤</w:t>
      </w:r>
      <w:r>
        <w:rPr>
          <w:rFonts w:ascii="仿宋_GB2312" w:eastAsia="仿宋_GB2312" w:hint="eastAsia"/>
          <w:bCs/>
          <w:sz w:val="32"/>
          <w:lang w:val="en-US" w:eastAsia="zh-CN"/>
        </w:rPr>
        <w:t>2</w:t>
      </w:r>
      <w:r>
        <w:rPr>
          <w:rFonts w:ascii="仿宋_GB2312" w:eastAsia="仿宋_GB2312" w:hint="eastAsia"/>
          <w:bCs/>
          <w:sz w:val="32"/>
        </w:rPr>
        <w:t>人。事业管理</w:t>
      </w:r>
      <w:r>
        <w:rPr>
          <w:rFonts w:ascii="仿宋_GB2312" w:eastAsia="仿宋_GB2312" w:hint="eastAsia"/>
          <w:bCs/>
          <w:sz w:val="32"/>
          <w:lang w:val="en-US" w:eastAsia="zh-CN"/>
        </w:rPr>
        <w:t>8</w:t>
      </w:r>
      <w:r>
        <w:rPr>
          <w:rFonts w:ascii="仿宋_GB2312" w:eastAsia="仿宋_GB2312" w:hint="eastAsia"/>
          <w:bCs/>
          <w:sz w:val="32"/>
        </w:rPr>
        <w:t>人，专业技术人员</w:t>
      </w:r>
      <w:r>
        <w:rPr>
          <w:rFonts w:ascii="仿宋_GB2312" w:eastAsia="仿宋_GB2312" w:hint="eastAsia"/>
          <w:bCs/>
          <w:sz w:val="32"/>
          <w:lang w:val="en-US" w:eastAsia="zh-CN"/>
        </w:rPr>
        <w:t>7</w:t>
      </w:r>
      <w:r>
        <w:rPr>
          <w:rFonts w:ascii="仿宋_GB2312" w:eastAsia="仿宋_GB2312" w:hint="eastAsia"/>
          <w:bCs/>
          <w:sz w:val="32"/>
        </w:rPr>
        <w:t>人，事业工勤</w:t>
      </w:r>
      <w:r>
        <w:rPr>
          <w:rFonts w:ascii="仿宋_GB2312" w:eastAsia="仿宋_GB2312" w:hint="eastAsia"/>
          <w:bCs/>
          <w:sz w:val="32"/>
          <w:lang w:val="en-US" w:eastAsia="zh-CN"/>
        </w:rPr>
        <w:t>2</w:t>
      </w:r>
      <w:r>
        <w:rPr>
          <w:rFonts w:ascii="仿宋_GB2312" w:eastAsia="仿宋_GB2312" w:hint="eastAsia"/>
          <w:bCs/>
          <w:sz w:val="32"/>
        </w:rPr>
        <w:t>人）</w:t>
      </w:r>
      <w:r>
        <w:rPr>
          <w:rFonts w:ascii="Times New Roman" w:eastAsia="仿宋_GB2312" w:cs="Times New Roman" w:hAnsi="Times New Roman"/>
          <w:bCs/>
          <w:kern w:val="0"/>
          <w:sz w:val="32"/>
          <w:szCs w:val="32"/>
          <w:shd w:val="clear" w:color="auto" w:fill="FFFFFF"/>
          <w:lang w:val="zh-CN" w:eastAsia="zh-CN"/>
        </w:rPr>
        <w:t>。</w:t>
      </w:r>
      <w:r>
        <w:rPr>
          <w:rFonts w:ascii="Times New Roman" w:eastAsia="仿宋" w:cs="Times New Roman" w:hAnsi="Times New Roman"/>
          <w:sz w:val="32"/>
          <w:szCs w:val="32"/>
        </w:rPr>
        <w:br w:type="page"/>
      </w:r>
    </w:p>
    <w:p>
      <w:pPr>
        <w:pStyle w:val="1"/>
        <w:keepNext/>
        <w:keepLines/>
        <w:pageBreakBefore w:val="0"/>
        <w:widowControl w:val="0"/>
        <w:kinsoku/>
        <w:wordWrap/>
        <w:overflowPunct/>
        <w:topLinePunct w:val="0"/>
        <w:bidi w:val="0"/>
        <w:spacing w:line="576" w:lineRule="exact"/>
        <w:ind w:right="440"/>
        <w:jc w:val="center"/>
        <w:rPr>
          <w:rStyle w:val="1Char"/>
          <w:rFonts w:ascii="Times New Roman" w:eastAsia="黑体" w:cs="Times New Roman" w:hAnsi="Times New Roman"/>
          <w:b w:val="0"/>
          <w:bCs/>
        </w:rPr>
      </w:pPr>
      <w:bookmarkStart w:id="30" w:name="_Toc15377204"/>
      <w:bookmarkStart w:id="31" w:name="_Toc26843607"/>
      <w:bookmarkStart w:id="32" w:name="_Toc15396602"/>
      <w:r>
        <w:rPr>
          <w:rFonts w:ascii="Times New Roman" w:eastAsia="黑体" w:cs="Times New Roman" w:hAnsi="Times New Roman"/>
          <w:b w:val="0"/>
        </w:rPr>
        <w:t>第二部分 202</w:t>
      </w:r>
      <w:r>
        <w:rPr>
          <w:rFonts w:eastAsia="黑体" w:cs="Times New Roman" w:hint="eastAsia"/>
          <w:b w:val="0"/>
          <w:lang w:val="en-US" w:eastAsia="zh-CN"/>
        </w:rPr>
        <w:t>2</w:t>
      </w:r>
      <w:r>
        <w:rPr>
          <w:rFonts w:ascii="Times New Roman" w:eastAsia="黑体" w:cs="Times New Roman" w:hAnsi="Times New Roman"/>
          <w:b w:val="0"/>
        </w:rPr>
        <w:t>年度</w:t>
      </w:r>
      <w:r>
        <w:rPr>
          <w:rFonts w:ascii="Times New Roman" w:eastAsia="黑体" w:cs="Times New Roman" w:hAnsi="Times New Roman"/>
          <w:b w:val="0"/>
          <w:kern w:val="44"/>
          <w:sz w:val="44"/>
          <w:szCs w:val="44"/>
        </w:rPr>
        <w:t>部门决算情况说明</w:t>
      </w:r>
      <w:bookmarkEnd w:id="30"/>
      <w:bookmarkEnd w:id="31"/>
      <w:bookmarkEnd w:id="32"/>
    </w:p>
    <w:p>
      <w:pPr>
        <w:pageBreakBefore w:val="0"/>
        <w:widowControl w:val="0"/>
        <w:kinsoku/>
        <w:wordWrap/>
        <w:overflowPunct/>
        <w:topLinePunct w:val="0"/>
        <w:bidi w:val="0"/>
        <w:spacing w:line="576" w:lineRule="exact"/>
        <w:rPr>
          <w:rFonts w:ascii="Times New Roman" w:cs="Times New Roman" w:hAnsi="Times New Roman"/>
        </w:rPr>
      </w:pPr>
    </w:p>
    <w:p>
      <w:pPr>
        <w:pStyle w:val="30"/>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3" w:name="_Toc15396603"/>
      <w:bookmarkStart w:id="34" w:name="_Toc26843608"/>
      <w:bookmarkStart w:id="35" w:name="_Toc15377205"/>
      <w:r>
        <w:rPr>
          <w:rFonts w:ascii="Times New Roman" w:eastAsia="黑体" w:cs="Times New Roman" w:hAnsi="Times New Roman"/>
          <w:sz w:val="32"/>
          <w:szCs w:val="32"/>
        </w:rPr>
        <w:t>收</w:t>
      </w:r>
      <w:r>
        <w:rPr>
          <w:rStyle w:val="2Char"/>
          <w:rFonts w:ascii="Times New Roman" w:eastAsia="黑体" w:cs="Times New Roman" w:hAnsi="Times New Roman"/>
          <w:b w:val="0"/>
        </w:rPr>
        <w:t>入支出决算总体情况说明</w:t>
      </w:r>
      <w:bookmarkEnd w:id="33"/>
      <w:bookmarkEnd w:id="34"/>
      <w:bookmarkEnd w:id="35"/>
    </w:p>
    <w:p>
      <w:pPr>
        <w:snapToGrid w:val="0"/>
        <w:spacing w:line="520" w:lineRule="exact"/>
        <w:ind w:firstLineChars="200" w:firstLine="640"/>
        <w:rPr>
          <w:rFonts w:ascii="楷体_GB2312" w:eastAsia="楷体_GB2312" w:hint="eastAsia"/>
          <w:b/>
          <w:sz w:val="32"/>
          <w:szCs w:val="32"/>
        </w:rPr>
      </w:pPr>
      <w:r>
        <w:rPr>
          <w:rFonts w:ascii="楷体_GB2312" w:eastAsia="楷体_GB2312" w:hint="eastAsia"/>
          <w:b/>
          <w:sz w:val="32"/>
          <w:szCs w:val="32"/>
        </w:rPr>
        <w:t>（一）收入支出预算安排情况。</w:t>
      </w:r>
    </w:p>
    <w:p>
      <w:pPr>
        <w:snapToGrid w:val="0"/>
        <w:spacing w:line="520" w:lineRule="exact"/>
        <w:ind w:firstLineChars="200" w:firstLine="632"/>
        <w:rPr>
          <w:rFonts w:ascii="仿宋_GB2312" w:eastAsia="仿宋_GB2312"/>
          <w:color w:val="000000"/>
          <w:spacing w:val="-2"/>
          <w:kern w:val="2"/>
          <w:sz w:val="32"/>
          <w:szCs w:val="32"/>
          <w:lang w:val="en-US" w:eastAsia="zh-CN" w:bidi="ar-SA"/>
        </w:rPr>
      </w:pPr>
      <w:r>
        <w:rPr>
          <w:rFonts w:ascii="仿宋_GB2312" w:eastAsia="仿宋_GB2312" w:hint="eastAsia"/>
          <w:color w:val="000000"/>
          <w:spacing w:val="-2"/>
          <w:kern w:val="2"/>
          <w:sz w:val="32"/>
          <w:szCs w:val="32"/>
          <w:lang w:val="en-US" w:eastAsia="zh-CN" w:bidi="ar-SA"/>
        </w:rPr>
        <w:t>2022年度总收入1206.62万元，较上年收入增加202.13万元，增加20.12%。增加的主要原因是</w:t>
      </w:r>
      <w:r>
        <w:rPr>
          <w:rFonts w:ascii="仿宋_GB2312" w:eastAsia="仿宋_GB2312" w:hint="eastAsia"/>
          <w:sz w:val="32"/>
          <w:szCs w:val="32"/>
          <w:lang w:val="en-US" w:eastAsia="zh-CN"/>
        </w:rPr>
        <w:t>2022年基本工资上调。</w:t>
      </w:r>
    </w:p>
    <w:p>
      <w:pPr>
        <w:snapToGrid w:val="0"/>
        <w:spacing w:line="520" w:lineRule="exact"/>
        <w:ind w:firstLineChars="200" w:firstLine="640"/>
        <w:rPr>
          <w:rFonts w:ascii="楷体_GB2312" w:eastAsia="楷体_GB2312" w:hint="eastAsia"/>
          <w:b/>
          <w:sz w:val="32"/>
          <w:szCs w:val="32"/>
        </w:rPr>
      </w:pPr>
      <w:r>
        <w:rPr>
          <w:rFonts w:ascii="楷体_GB2312" w:eastAsia="楷体_GB2312" w:hint="eastAsia"/>
          <w:b/>
          <w:sz w:val="32"/>
          <w:szCs w:val="32"/>
        </w:rPr>
        <w:t>（二）收入支出预算执行情况。</w:t>
      </w:r>
    </w:p>
    <w:p>
      <w:pPr>
        <w:snapToGrid w:val="0"/>
        <w:ind w:firstLineChars="250" w:firstLine="800"/>
        <w:rPr>
          <w:rFonts w:ascii="仿宋_GB2312" w:eastAsia="仿宋_GB2312" w:hint="eastAsia"/>
          <w:sz w:val="32"/>
          <w:lang w:eastAsia="zh-CN"/>
        </w:rPr>
      </w:pPr>
      <w:r>
        <w:rPr>
          <w:rFonts w:ascii="仿宋_GB2312" w:eastAsia="仿宋_GB2312" w:hint="eastAsia"/>
          <w:sz w:val="32"/>
        </w:rPr>
        <w:t>20</w:t>
      </w:r>
      <w:r>
        <w:rPr>
          <w:rFonts w:ascii="仿宋_GB2312" w:eastAsia="仿宋_GB2312" w:hint="eastAsia"/>
          <w:sz w:val="32"/>
          <w:lang w:val="en-US" w:eastAsia="zh-CN"/>
        </w:rPr>
        <w:t>22</w:t>
      </w:r>
      <w:r>
        <w:rPr>
          <w:rFonts w:ascii="仿宋_GB2312" w:eastAsia="仿宋_GB2312" w:hint="eastAsia"/>
          <w:sz w:val="32"/>
        </w:rPr>
        <w:t>年总收入</w:t>
      </w:r>
      <w:r>
        <w:rPr>
          <w:rFonts w:ascii="仿宋_GB2312" w:eastAsia="仿宋_GB2312" w:hint="eastAsia"/>
          <w:sz w:val="32"/>
          <w:lang w:val="en-US" w:eastAsia="zh-CN"/>
        </w:rPr>
        <w:t>1206.62</w:t>
      </w:r>
      <w:r>
        <w:rPr>
          <w:rFonts w:ascii="仿宋_GB2312" w:eastAsia="仿宋_GB2312" w:hint="eastAsia"/>
          <w:sz w:val="32"/>
        </w:rPr>
        <w:t>万元，总支出</w:t>
      </w:r>
      <w:r>
        <w:rPr>
          <w:rFonts w:eastAsia="仿宋_GB2312" w:hint="eastAsia"/>
          <w:sz w:val="32"/>
          <w:szCs w:val="32"/>
          <w:lang w:val="en-US" w:eastAsia="zh-CN"/>
        </w:rPr>
        <w:t>1206.62</w:t>
      </w:r>
      <w:r>
        <w:rPr>
          <w:rFonts w:ascii="仿宋_GB2312" w:eastAsia="仿宋_GB2312" w:hint="eastAsia"/>
          <w:sz w:val="32"/>
        </w:rPr>
        <w:t>万元，20</w:t>
      </w:r>
      <w:r>
        <w:rPr>
          <w:rFonts w:ascii="仿宋_GB2312" w:eastAsia="仿宋_GB2312" w:hint="eastAsia"/>
          <w:sz w:val="32"/>
          <w:lang w:val="en-US" w:eastAsia="zh-CN"/>
        </w:rPr>
        <w:t>22</w:t>
      </w:r>
      <w:r>
        <w:rPr>
          <w:rFonts w:ascii="仿宋_GB2312" w:eastAsia="仿宋_GB2312" w:hint="eastAsia"/>
          <w:sz w:val="32"/>
        </w:rPr>
        <w:t>年总收入</w:t>
      </w:r>
      <w:r>
        <w:rPr>
          <w:rFonts w:eastAsia="仿宋_GB2312" w:hint="eastAsia"/>
          <w:sz w:val="32"/>
          <w:szCs w:val="32"/>
          <w:lang w:val="en-US" w:eastAsia="zh-CN"/>
        </w:rPr>
        <w:t>0</w:t>
      </w:r>
      <w:r>
        <w:rPr>
          <w:rFonts w:ascii="仿宋_GB2312" w:eastAsia="仿宋_GB2312" w:hint="eastAsia"/>
          <w:sz w:val="32"/>
        </w:rPr>
        <w:t>万元，总支出</w:t>
      </w:r>
      <w:r>
        <w:rPr>
          <w:rFonts w:ascii="仿宋_GB2312" w:eastAsia="仿宋_GB2312" w:hint="eastAsia"/>
          <w:sz w:val="32"/>
          <w:lang w:val="en-US" w:eastAsia="zh-CN"/>
        </w:rPr>
        <w:t>0</w:t>
      </w:r>
      <w:r>
        <w:rPr>
          <w:rFonts w:ascii="仿宋_GB2312" w:eastAsia="仿宋_GB2312" w:hint="eastAsia"/>
          <w:sz w:val="32"/>
        </w:rPr>
        <w:t>万元</w:t>
      </w:r>
      <w:r>
        <w:rPr>
          <w:rFonts w:ascii="仿宋_GB2312" w:eastAsia="仿宋_GB2312" w:hint="eastAsia"/>
          <w:sz w:val="32"/>
          <w:lang w:eastAsia="zh-CN"/>
        </w:rPr>
        <w:t>。</w:t>
      </w:r>
      <w:r>
        <w:rPr>
          <w:rFonts w:ascii="仿宋_GB2312" w:eastAsia="仿宋_GB2312" w:hint="eastAsia"/>
          <w:sz w:val="32"/>
        </w:rPr>
        <w:t>与上年度对比</w:t>
      </w:r>
      <w:r>
        <w:rPr>
          <w:rFonts w:ascii="仿宋_GB2312" w:eastAsia="仿宋_GB2312" w:hint="eastAsia"/>
          <w:sz w:val="32"/>
          <w:lang w:eastAsia="zh-CN"/>
        </w:rPr>
        <w:t>财返有所减少。</w:t>
      </w:r>
    </w:p>
    <w:p>
      <w:pPr>
        <w:snapToGrid w:val="0"/>
        <w:spacing w:line="520" w:lineRule="exact"/>
        <w:ind w:firstLineChars="200" w:firstLine="420"/>
        <w:rPr>
          <w:rFonts w:ascii="仿宋_GB2312" w:eastAsia="仿宋_GB2312" w:hint="eastAsia"/>
          <w:b/>
          <w:sz w:val="32"/>
          <w:szCs w:val="32"/>
        </w:rPr>
      </w:pPr>
      <w:r>
        <w:drawing>
          <wp:anchor distT="0" distB="0" distL="114300" distR="114300" simplePos="0" relativeHeight="24" behindDoc="0" locked="0" layoutInCell="1" hidden="0" allowOverlap="1">
            <wp:simplePos x="0" y="0"/>
            <wp:positionH relativeFrom="column">
              <wp:posOffset>382904</wp:posOffset>
            </wp:positionH>
            <wp:positionV relativeFrom="paragraph">
              <wp:posOffset>22224</wp:posOffset>
            </wp:positionV>
            <wp:extent cx="4381500" cy="2819400"/>
            <wp:effectExtent l="0" t="0" r="28" b="43"/>
            <wp:wrapSquare wrapText="bothSides"/>
            <wp:docPr id="1" name="图表 8"/>
            <wp:cNvGraphicFramePr>
              <a:graphicFrameLocks noChangeAspect="1"/>
            </wp:cNvGraphicFramePr>
            <a:graphic>
              <a:graphicData uri="http://schemas.openxmlformats.org/drawingml/2006/chart">
                <c:chart xmlns:c="http://schemas.openxmlformats.org/drawingml/2006/chart" r:id="rId4"/>
              </a:graphicData>
            </a:graphic>
          </wp:anchor>
        </w:drawing>
      </w:r>
    </w:p>
    <w:p>
      <w:pPr>
        <w:snapToGrid w:val="0"/>
        <w:spacing w:line="520" w:lineRule="exact"/>
        <w:ind w:firstLineChars="200" w:firstLine="640"/>
        <w:rPr>
          <w:rFonts w:ascii="仿宋_GB2312" w:eastAsia="仿宋_GB2312" w:hint="eastAsia"/>
          <w:b/>
          <w:sz w:val="32"/>
          <w:szCs w:val="32"/>
        </w:rPr>
      </w:pPr>
    </w:p>
    <w:p>
      <w:pPr>
        <w:snapToGrid w:val="0"/>
        <w:spacing w:line="520" w:lineRule="exact"/>
        <w:ind w:firstLineChars="200" w:firstLine="640"/>
        <w:rPr>
          <w:rFonts w:ascii="仿宋_GB2312" w:eastAsia="仿宋_GB2312" w:hint="eastAsia"/>
          <w:b/>
          <w:sz w:val="32"/>
          <w:szCs w:val="32"/>
        </w:rPr>
      </w:pPr>
    </w:p>
    <w:p>
      <w:pPr>
        <w:snapToGrid w:val="0"/>
        <w:spacing w:line="520" w:lineRule="exact"/>
        <w:ind w:firstLineChars="200" w:firstLine="640"/>
        <w:rPr>
          <w:rFonts w:ascii="仿宋_GB2312" w:eastAsia="仿宋_GB2312" w:hint="eastAsia"/>
          <w:b/>
          <w:sz w:val="32"/>
          <w:szCs w:val="32"/>
        </w:rPr>
      </w:pPr>
    </w:p>
    <w:p>
      <w:pPr>
        <w:snapToGrid w:val="0"/>
        <w:spacing w:line="520" w:lineRule="exact"/>
        <w:ind w:firstLineChars="200" w:firstLine="640"/>
        <w:rPr>
          <w:rFonts w:ascii="仿宋_GB2312" w:eastAsia="仿宋_GB2312" w:hint="eastAsia"/>
          <w:b/>
          <w:sz w:val="32"/>
          <w:szCs w:val="32"/>
        </w:rPr>
      </w:pPr>
    </w:p>
    <w:p>
      <w:pPr>
        <w:snapToGrid w:val="0"/>
        <w:spacing w:line="520" w:lineRule="exact"/>
        <w:ind w:firstLineChars="200" w:firstLine="640"/>
        <w:rPr>
          <w:rFonts w:ascii="仿宋_GB2312" w:eastAsia="仿宋_GB2312" w:hint="eastAsia"/>
          <w:b/>
          <w:sz w:val="32"/>
          <w:szCs w:val="32"/>
        </w:rPr>
      </w:pPr>
    </w:p>
    <w:p>
      <w:pPr>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cs="Times New Roman" w:hAnsi="Times New Roman"/>
        </w:rPr>
      </w:pPr>
      <w:r>
        <w:rPr>
          <w:rFonts w:ascii="Times New Roman" w:eastAsia="仿宋_GB2312" w:cs="Times New Roman" w:hAnsi="Times New Roman"/>
          <w:color w:val="auto"/>
          <w:sz w:val="32"/>
          <w:szCs w:val="32"/>
        </w:rPr>
        <w:t>（图1：收、支决算总计变动情况图）（柱状图）</w:t>
      </w:r>
    </w:p>
    <w:p>
      <w:pPr>
        <w:pStyle w:val="30"/>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6" w:name="_Toc15396604"/>
      <w:bookmarkStart w:id="37" w:name="_Toc26843609"/>
      <w:bookmarkStart w:id="38" w:name="_Toc15377206"/>
      <w:r>
        <w:rPr>
          <w:rFonts w:ascii="Times New Roman" w:eastAsia="黑体" w:cs="Times New Roman" w:hAnsi="Times New Roman"/>
          <w:sz w:val="32"/>
          <w:szCs w:val="32"/>
        </w:rPr>
        <w:t>收</w:t>
      </w:r>
      <w:r>
        <w:rPr>
          <w:rStyle w:val="2Char"/>
          <w:rFonts w:ascii="Times New Roman" w:eastAsia="黑体" w:cs="Times New Roman" w:hAnsi="Times New Roman"/>
          <w:b w:val="0"/>
        </w:rPr>
        <w:t>入决算情况说明</w:t>
      </w:r>
      <w:bookmarkEnd w:id="36"/>
      <w:bookmarkEnd w:id="37"/>
      <w:bookmarkEnd w:id="38"/>
    </w:p>
    <w:p>
      <w:pPr>
        <w:spacing w:line="600" w:lineRule="exact"/>
        <w:ind w:firstLineChars="200" w:firstLine="640"/>
        <w:outlineLvl w:val="1"/>
        <w:rPr>
          <w:rFonts w:ascii="仿宋" w:eastAsia="仿宋" w:hint="eastAsia"/>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w:t>
      </w:r>
      <w:r>
        <w:rPr>
          <w:rFonts w:ascii="仿宋" w:eastAsia="仿宋" w:hint="eastAsia"/>
          <w:color w:val="000000"/>
          <w:sz w:val="32"/>
          <w:szCs w:val="32"/>
          <w:lang w:val="en-US" w:eastAsia="zh-CN"/>
        </w:rPr>
        <w:t>总</w:t>
      </w:r>
      <w:r>
        <w:rPr>
          <w:rFonts w:ascii="仿宋" w:eastAsia="仿宋" w:hint="eastAsia"/>
          <w:color w:val="000000"/>
          <w:sz w:val="32"/>
          <w:szCs w:val="32"/>
        </w:rPr>
        <w:t>收入</w:t>
      </w:r>
      <w:r>
        <w:rPr>
          <w:rFonts w:ascii="仿宋" w:eastAsia="仿宋" w:hint="eastAsia"/>
          <w:color w:val="000000"/>
          <w:sz w:val="32"/>
          <w:szCs w:val="32"/>
          <w:lang w:eastAsia="zh-CN"/>
        </w:rPr>
        <w:t>1206.62</w:t>
      </w:r>
      <w:r>
        <w:rPr>
          <w:rFonts w:ascii="仿宋" w:eastAsia="仿宋" w:hint="eastAsia"/>
          <w:color w:val="000000"/>
          <w:sz w:val="32"/>
          <w:szCs w:val="32"/>
        </w:rPr>
        <w:t>万元，其中：一般公共预算财政拨款收入</w:t>
      </w:r>
      <w:r>
        <w:rPr>
          <w:rFonts w:ascii="仿宋" w:eastAsia="仿宋" w:hint="eastAsia"/>
          <w:color w:val="000000"/>
          <w:sz w:val="32"/>
          <w:szCs w:val="32"/>
          <w:lang w:eastAsia="zh-CN"/>
        </w:rPr>
        <w:t>1206.62</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；国有资本经营预算财政拨款收入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；事业收入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；经营收入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；附属单位上缴收入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；其他收入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r>
        <w:rPr>
          <w:rFonts w:ascii="Times New Roman" w:eastAsia="仿宋" w:cs="Times New Roman" w:hAnsi="Times New Roman"/>
          <w:sz w:val="32"/>
          <w:szCs w:val="32"/>
          <w:lang w:val="en-US" w:eastAsia="zh-CN"/>
        </w:rPr>
        <w:drawing>
          <wp:anchor distT="0" distB="0" distL="114300" distR="114300" simplePos="0" relativeHeight="18" behindDoc="0" locked="0" layoutInCell="1" hidden="0" allowOverlap="1">
            <wp:simplePos x="0" y="0"/>
            <wp:positionH relativeFrom="column">
              <wp:posOffset>1134110</wp:posOffset>
            </wp:positionH>
            <wp:positionV relativeFrom="paragraph">
              <wp:posOffset>225425</wp:posOffset>
            </wp:positionV>
            <wp:extent cx="3496945" cy="2228215"/>
            <wp:effectExtent l="0" t="0" r="0" b="0"/>
            <wp:wrapNone/>
            <wp:docPr id="2" name="图表 1"/>
            <wp:cNvGraphicFramePr>
              <a:graphicFrameLocks noChangeAspect="0"/>
            </wp:cNvGraphicFramePr>
            <a:graphic>
              <a:graphicData uri="http://schemas.openxmlformats.org/drawingml/2006/chart">
                <c:chart xmlns:c="http://schemas.openxmlformats.org/drawingml/2006/chart" r:id="rId5"/>
              </a:graphicData>
            </a:graphic>
          </wp:anchor>
        </w:drawing>
      </w:r>
    </w:p>
    <w:p>
      <w:pPr>
        <w:pStyle w:val="16"/>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p>
    <w:p>
      <w:pPr>
        <w:pStyle w:val="16"/>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jc w:val="center"/>
        <w:rPr>
          <w:rFonts w:ascii="Times New Roman" w:eastAsia="仿宋_GB2312"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jc w:val="center"/>
        <w:rPr>
          <w:rFonts w:ascii="Times New Roman" w:eastAsia="仿宋_GB2312"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jc w:val="center"/>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（图2：收入决算结构图）（饼状图）</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p>
    <w:p>
      <w:pPr>
        <w:pStyle w:val="30"/>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9" w:name="_Toc15396605"/>
      <w:bookmarkStart w:id="40" w:name="_Toc26843612"/>
      <w:bookmarkStart w:id="41" w:name="_Toc15377207"/>
      <w:r>
        <w:rPr>
          <w:rFonts w:ascii="Times New Roman" w:eastAsia="黑体" w:cs="Times New Roman" w:hAnsi="Times New Roman"/>
          <w:sz w:val="32"/>
          <w:szCs w:val="32"/>
        </w:rPr>
        <w:t>支</w:t>
      </w:r>
      <w:r>
        <w:rPr>
          <w:rStyle w:val="2Char"/>
          <w:rFonts w:ascii="Times New Roman" w:eastAsia="黑体" w:cs="Times New Roman" w:hAnsi="Times New Roman"/>
          <w:b w:val="0"/>
        </w:rPr>
        <w:t>出决算情况说明</w:t>
      </w:r>
      <w:bookmarkEnd w:id="39"/>
      <w:bookmarkEnd w:id="40"/>
      <w:bookmarkEnd w:id="41"/>
    </w:p>
    <w:p>
      <w:pPr>
        <w:spacing w:line="600" w:lineRule="exact"/>
        <w:ind w:firstLine="640"/>
        <w:rPr>
          <w:rFonts w:ascii="仿宋_GB2312" w:eastAsia="仿宋_GB2312" w:hint="eastAsia"/>
          <w:color w:val="FF0000"/>
          <w:sz w:val="32"/>
          <w:szCs w:val="32"/>
          <w:lang w:eastAsia="zh-CN"/>
        </w:rPr>
      </w:pPr>
      <w:r>
        <w:rPr>
          <w:rFonts w:ascii="仿宋_GB2312" w:eastAsia="仿宋_GB2312" w:hint="eastAsia"/>
          <w:color w:val="FF0000"/>
          <w:sz w:val="32"/>
          <w:szCs w:val="32"/>
          <w:lang w:eastAsia="zh-CN"/>
        </w:rPr>
        <w:drawing>
          <wp:anchor distT="0" distB="0" distL="114300" distR="114300" simplePos="0" relativeHeight="20" behindDoc="0" locked="0" layoutInCell="1" hidden="0" allowOverlap="1">
            <wp:simplePos x="0" y="0"/>
            <wp:positionH relativeFrom="column">
              <wp:posOffset>-95885</wp:posOffset>
            </wp:positionH>
            <wp:positionV relativeFrom="paragraph">
              <wp:posOffset>1770379</wp:posOffset>
            </wp:positionV>
            <wp:extent cx="5061585" cy="1984374"/>
            <wp:effectExtent l="0" t="0" r="0" b="0"/>
            <wp:wrapTopAndBottom/>
            <wp:docPr id="3" name="图表 6"/>
            <wp:cNvGraphicFramePr>
              <a:graphicFrameLocks noChangeAspect="0"/>
            </wp:cNvGraphicFramePr>
            <a:graphic>
              <a:graphicData uri="http://schemas.openxmlformats.org/drawingml/2006/chart">
                <c:chart xmlns:c="http://schemas.openxmlformats.org/drawingml/2006/chart" r:id="rId6"/>
              </a:graphicData>
            </a:graphic>
          </wp:anchor>
        </w:drawing>
      </w:r>
      <w:r>
        <w:rPr>
          <w:rFonts w:ascii="仿宋" w:eastAsia="仿宋" w:hint="eastAsia"/>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eastAsia="zh-CN"/>
        </w:rPr>
        <w:t>1206.62</w:t>
      </w:r>
      <w:r>
        <w:rPr>
          <w:rFonts w:ascii="仿宋" w:eastAsia="仿宋" w:hint="eastAsia"/>
          <w:color w:val="000000"/>
          <w:sz w:val="32"/>
          <w:szCs w:val="32"/>
        </w:rPr>
        <w:t>万元，其中：基本支出</w:t>
      </w:r>
      <w:r>
        <w:rPr>
          <w:rFonts w:ascii="仿宋_GB2312" w:eastAsia="仿宋_GB2312" w:hint="eastAsia"/>
          <w:sz w:val="32"/>
          <w:szCs w:val="32"/>
          <w:lang w:val="en-US" w:eastAsia="zh-CN"/>
        </w:rPr>
        <w:t>875.1</w:t>
      </w:r>
      <w:r>
        <w:rPr>
          <w:rFonts w:ascii="仿宋" w:eastAsia="仿宋" w:hint="eastAsia"/>
          <w:color w:val="000000"/>
          <w:sz w:val="32"/>
          <w:szCs w:val="32"/>
        </w:rPr>
        <w:t>万元，占</w:t>
      </w:r>
      <w:r>
        <w:rPr>
          <w:rFonts w:ascii="仿宋" w:eastAsia="仿宋" w:hint="eastAsia"/>
          <w:color w:val="000000"/>
          <w:sz w:val="32"/>
          <w:szCs w:val="32"/>
          <w:lang w:val="en-US" w:eastAsia="zh-CN"/>
        </w:rPr>
        <w:t>72.52</w:t>
      </w:r>
      <w:r>
        <w:rPr>
          <w:rFonts w:ascii="仿宋" w:eastAsia="仿宋" w:hint="eastAsia"/>
          <w:color w:val="000000"/>
          <w:sz w:val="32"/>
          <w:szCs w:val="32"/>
        </w:rPr>
        <w:t>%；项目支出</w:t>
      </w:r>
      <w:r>
        <w:rPr>
          <w:rFonts w:ascii="仿宋_GB2312" w:eastAsia="仿宋_GB2312"/>
          <w:sz w:val="32"/>
          <w:szCs w:val="32"/>
          <w:lang w:eastAsia="zh-CN"/>
        </w:rPr>
        <w:t>331.</w:t>
      </w:r>
      <w:r>
        <w:rPr>
          <w:rFonts w:ascii="仿宋_GB2312" w:eastAsia="仿宋_GB2312" w:hint="eastAsia"/>
          <w:sz w:val="32"/>
          <w:szCs w:val="32"/>
          <w:lang w:val="en-US" w:eastAsia="zh-CN"/>
        </w:rPr>
        <w:t>52</w:t>
      </w:r>
      <w:r>
        <w:rPr>
          <w:rFonts w:ascii="仿宋" w:eastAsia="仿宋" w:hint="eastAsia"/>
          <w:color w:val="000000"/>
          <w:sz w:val="32"/>
          <w:szCs w:val="32"/>
        </w:rPr>
        <w:t>万元，占</w:t>
      </w:r>
      <w:r>
        <w:rPr>
          <w:rFonts w:ascii="仿宋" w:eastAsia="仿宋" w:hint="eastAsia"/>
          <w:color w:val="000000"/>
          <w:sz w:val="32"/>
          <w:szCs w:val="32"/>
          <w:lang w:val="en-US" w:eastAsia="zh-CN"/>
        </w:rPr>
        <w:t>27.48</w:t>
      </w:r>
      <w:r>
        <w:rPr>
          <w:rFonts w:ascii="仿宋" w:eastAsia="仿宋" w:hint="eastAsia"/>
          <w:color w:val="000000"/>
          <w:sz w:val="32"/>
          <w:szCs w:val="32"/>
        </w:rPr>
        <w:t>%；上缴上级支出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%；经营支出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；对附属单位补助支出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p>
    <w:p>
      <w:pPr>
        <w:pageBreakBefore w:val="0"/>
        <w:widowControl w:val="0"/>
        <w:kinsoku/>
        <w:wordWrap/>
        <w:overflowPunct/>
        <w:topLinePunct w:val="0"/>
        <w:bidi w:val="0"/>
        <w:spacing w:line="576" w:lineRule="exact"/>
        <w:ind w:firstLine="640"/>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（图3：支出决算结构图）（饼状图）</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hint="eastAsia"/>
          <w:b w:val="0"/>
        </w:rPr>
      </w:pPr>
      <w:bookmarkStart w:id="42" w:name="_Toc26843615"/>
      <w:bookmarkStart w:id="43" w:name="_Toc15377208"/>
      <w:bookmarkStart w:id="44" w:name="_Toc15396606"/>
      <w:r>
        <w:rPr>
          <w:rFonts w:ascii="Times New Roman" w:eastAsia="黑体" w:cs="Times New Roman" w:hAnsi="Times New Roman"/>
          <w:sz w:val="32"/>
          <w:szCs w:val="32"/>
        </w:rPr>
        <w:t>四、财</w:t>
      </w:r>
      <w:r>
        <w:rPr>
          <w:rStyle w:val="2Char"/>
          <w:rFonts w:ascii="Times New Roman" w:eastAsia="黑体" w:cs="Times New Roman" w:hAnsi="Times New Roman"/>
          <w:b w:val="0"/>
        </w:rPr>
        <w:t>政拨款收入支出决算总体情况说明</w:t>
      </w:r>
      <w:bookmarkEnd w:id="42"/>
      <w:bookmarkEnd w:id="43"/>
      <w:bookmarkEnd w:id="44"/>
    </w:p>
    <w:p>
      <w:pPr>
        <w:pageBreakBefore w:val="0"/>
        <w:widowControl w:val="0"/>
        <w:kinsoku/>
        <w:wordWrap/>
        <w:overflowPunct/>
        <w:topLinePunct w:val="0"/>
        <w:bidi w:val="0"/>
        <w:spacing w:line="576" w:lineRule="exact"/>
        <w:ind w:firstLineChars="200" w:firstLine="420"/>
        <w:outlineLvl w:val="1"/>
        <w:rPr>
          <w:rStyle w:val="2Char"/>
          <w:rFonts w:ascii="Times New Roman" w:eastAsia="黑体" w:cs="Times New Roman" w:hAnsi="Times New Roman"/>
          <w:b w:val="0"/>
        </w:rPr>
      </w:pPr>
      <w:r>
        <w:drawing>
          <wp:anchor distT="0" distB="0" distL="114300" distR="114300" simplePos="0" relativeHeight="26" behindDoc="0" locked="0" layoutInCell="1" hidden="0" allowOverlap="1">
            <wp:simplePos x="0" y="0"/>
            <wp:positionH relativeFrom="column">
              <wp:posOffset>234950</wp:posOffset>
            </wp:positionH>
            <wp:positionV relativeFrom="paragraph">
              <wp:posOffset>1727199</wp:posOffset>
            </wp:positionV>
            <wp:extent cx="4381500" cy="2819400"/>
            <wp:effectExtent l="0" t="0" r="0" b="0"/>
            <wp:wrapTopAndBottom/>
            <wp:docPr id="4" name="图表 13"/>
            <wp:cNvGraphicFramePr>
              <a:graphicFrameLocks noChangeAspect="1"/>
            </wp:cNvGraphicFramePr>
            <a:graphic>
              <a:graphicData uri="http://schemas.openxmlformats.org/drawingml/2006/chart">
                <c:chart xmlns:c="http://schemas.openxmlformats.org/drawingml/2006/chart" r:id="rId7"/>
              </a:graphicData>
            </a:graphic>
          </wp:anchor>
        </w:drawing>
      </w:r>
    </w:p>
    <w:p>
      <w:pPr>
        <w:pStyle w:val="16"/>
        <w:pageBreakBefore w:val="0"/>
        <w:widowControl w:val="0"/>
        <w:kinsoku/>
        <w:wordWrap/>
        <w:overflowPunct/>
        <w:topLinePunct w:val="0"/>
        <w:bidi w:val="0"/>
        <w:adjustRightInd w:val="0"/>
        <w:snapToGrid w:val="0"/>
        <w:spacing w:beforeLines="0" w:before="93" w:line="576" w:lineRule="exact"/>
        <w:ind w:firstLineChars="208" w:firstLine="666"/>
        <w:rPr>
          <w:rFonts w:ascii="Times New Roman" w:eastAsia="仿宋" w:cs="Times New Roman" w:hAnsi="Times New Roman"/>
          <w:sz w:val="32"/>
          <w:szCs w:val="32"/>
          <w:lang w:eastAsia="zh-CN"/>
        </w:rPr>
      </w:pPr>
      <w:r>
        <w:rPr>
          <w:rFonts w:ascii="仿宋" w:eastAsia="仿宋" w:hint="eastAsia"/>
          <w:color w:val="000000"/>
          <w:sz w:val="32"/>
          <w:szCs w:val="32"/>
          <w:lang w:val="en-US" w:eastAsia="zh-CN"/>
        </w:rPr>
        <w:t>2022年财政拨款收入</w:t>
      </w:r>
      <w:r>
        <w:rPr>
          <w:rFonts w:ascii="仿宋" w:eastAsia="仿宋" w:hint="eastAsia"/>
          <w:color w:val="000000"/>
          <w:sz w:val="32"/>
          <w:szCs w:val="32"/>
          <w:lang w:eastAsia="zh-CN"/>
        </w:rPr>
        <w:t>1206.62</w:t>
      </w:r>
      <w:r>
        <w:rPr>
          <w:rFonts w:ascii="仿宋" w:eastAsia="仿宋" w:hint="eastAsia"/>
          <w:color w:val="000000"/>
          <w:sz w:val="32"/>
          <w:szCs w:val="32"/>
          <w:lang w:val="en-US" w:eastAsia="zh-CN"/>
        </w:rPr>
        <w:t>万元。与2021年相比，一般公共预算财政拨款收入较上年增加</w:t>
      </w:r>
      <w:r>
        <w:rPr>
          <w:rFonts w:ascii="仿宋_GB2312" w:eastAsia="仿宋_GB2312" w:hint="eastAsia"/>
          <w:color w:val="000000"/>
          <w:spacing w:val="-2"/>
          <w:kern w:val="2"/>
          <w:sz w:val="32"/>
          <w:szCs w:val="32"/>
          <w:lang w:val="en-US" w:eastAsia="zh-CN" w:bidi="ar-SA"/>
        </w:rPr>
        <w:t>202.13万元，增加20.12%</w:t>
      </w:r>
      <w:r>
        <w:rPr>
          <w:rFonts w:ascii="仿宋" w:eastAsia="仿宋" w:hint="eastAsia"/>
          <w:color w:val="000000"/>
          <w:sz w:val="32"/>
          <w:szCs w:val="32"/>
          <w:lang w:val="en-US" w:eastAsia="zh-CN"/>
        </w:rPr>
        <w:t>。</w:t>
      </w:r>
      <w:r>
        <w:rPr>
          <w:rFonts w:ascii="仿宋_GB2312" w:eastAsia="仿宋_GB2312" w:hint="eastAsia"/>
          <w:color w:val="000000"/>
          <w:spacing w:val="-2"/>
          <w:kern w:val="2"/>
          <w:sz w:val="32"/>
          <w:szCs w:val="32"/>
          <w:lang w:val="en-US" w:eastAsia="zh-CN" w:bidi="ar-SA"/>
        </w:rPr>
        <w:t>增加的主要原因</w:t>
      </w:r>
      <w:r>
        <w:rPr>
          <w:rFonts w:ascii="仿宋_GB2312" w:eastAsia="仿宋_GB2312" w:hint="eastAsia"/>
          <w:sz w:val="32"/>
          <w:szCs w:val="32"/>
          <w:lang w:val="en-US" w:eastAsia="zh-CN"/>
        </w:rPr>
        <w:t>2022年工资上调。</w:t>
      </w:r>
    </w:p>
    <w:p>
      <w:pPr>
        <w:pageBreakBefore w:val="0"/>
        <w:widowControl w:val="0"/>
        <w:kinsoku/>
        <w:wordWrap/>
        <w:overflowPunct/>
        <w:topLinePunct w:val="0"/>
        <w:bidi w:val="0"/>
        <w:spacing w:line="576" w:lineRule="exact"/>
        <w:ind w:firstLineChars="200" w:firstLine="640"/>
        <w:rPr>
          <w:rFonts w:ascii="Times New Roman" w:eastAsia="黑体" w:cs="Times New Roman" w:hAnsi="Times New Roman"/>
          <w:sz w:val="32"/>
          <w:szCs w:val="32"/>
        </w:rPr>
      </w:pPr>
      <w:r>
        <w:rPr>
          <w:rFonts w:ascii="Times New Roman" w:eastAsia="仿宋_GB2312" w:cs="Times New Roman" w:hAnsi="Times New Roman"/>
          <w:color w:val="auto"/>
          <w:sz w:val="32"/>
          <w:szCs w:val="32"/>
        </w:rPr>
        <w:t>（图4：财政拨款收、支决算总计变动情况）（柱状图）</w:t>
      </w:r>
      <w:bookmarkStart w:id="45" w:name="_Toc15377209"/>
      <w:bookmarkStart w:id="46" w:name="_Toc15396607"/>
      <w:bookmarkStart w:id="47" w:name="_Toc26843616"/>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r>
        <w:rPr>
          <w:rFonts w:ascii="Times New Roman" w:eastAsia="黑体" w:cs="Times New Roman" w:hAnsi="Times New Roman"/>
          <w:sz w:val="32"/>
          <w:szCs w:val="32"/>
        </w:rPr>
        <w:t>五、</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般公共预算财政拨款支出决算情况说明</w:t>
      </w:r>
      <w:bookmarkEnd w:id="45"/>
      <w:bookmarkEnd w:id="46"/>
      <w:bookmarkEnd w:id="47"/>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48" w:name="_Toc15377210"/>
      <w:r>
        <w:rPr>
          <w:rFonts w:ascii="Times New Roman" w:eastAsia="仿宋" w:cs="Times New Roman" w:hAnsi="Times New Roman"/>
          <w:b/>
          <w:sz w:val="32"/>
          <w:szCs w:val="32"/>
        </w:rPr>
        <w:t>（一）一般公共预算财政拨款支出决算总体情况</w:t>
      </w:r>
      <w:bookmarkEnd w:id="48"/>
    </w:p>
    <w:p>
      <w:pPr>
        <w:snapToGrid w:val="0"/>
        <w:spacing w:line="520" w:lineRule="exact"/>
        <w:ind w:firstLineChars="200" w:firstLine="640"/>
        <w:rPr>
          <w:rFonts w:ascii="仿宋_GB2312" w:eastAsia="仿宋_GB2312" w:hint="eastAsia"/>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w:t>
      </w:r>
      <w:r>
        <w:rPr>
          <w:rFonts w:ascii="仿宋_GB2312" w:eastAsia="仿宋_GB2312" w:hint="eastAsia"/>
          <w:spacing w:val="-2"/>
          <w:kern w:val="2"/>
          <w:sz w:val="32"/>
          <w:szCs w:val="32"/>
          <w:lang w:val="en-US" w:eastAsia="zh-CN" w:bidi="ar-SA"/>
        </w:rPr>
        <w:t>一般公共预算财政拨款支出</w:t>
      </w:r>
      <w:r>
        <w:rPr>
          <w:rFonts w:ascii="仿宋_GB2312" w:eastAsia="仿宋_GB2312" w:hint="eastAsia"/>
          <w:spacing w:val="-2"/>
          <w:kern w:val="2"/>
          <w:sz w:val="32"/>
          <w:szCs w:val="32"/>
          <w:lang w:eastAsia="zh-CN" w:bidi="ar-SA"/>
        </w:rPr>
        <w:t>1206.62</w:t>
      </w:r>
      <w:r>
        <w:rPr>
          <w:rFonts w:ascii="仿宋_GB2312" w:eastAsia="仿宋_GB2312" w:hint="eastAsia"/>
          <w:spacing w:val="-2"/>
          <w:kern w:val="2"/>
          <w:sz w:val="32"/>
          <w:szCs w:val="32"/>
          <w:lang w:val="en-US" w:eastAsia="zh-CN" w:bidi="ar-SA"/>
        </w:rPr>
        <w:t>万元，</w:t>
      </w:r>
      <w:r>
        <w:rPr>
          <w:rFonts w:ascii="仿宋" w:eastAsia="仿宋" w:hint="eastAsia"/>
          <w:color w:val="000000"/>
          <w:sz w:val="32"/>
          <w:szCs w:val="32"/>
        </w:rPr>
        <w:t>占本年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的100</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color w:val="000000"/>
          <w:sz w:val="32"/>
          <w:szCs w:val="32"/>
        </w:rPr>
        <w:t>与</w:t>
      </w: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年相比</w:t>
      </w:r>
      <w:r>
        <w:rPr>
          <w:rFonts w:ascii="仿宋" w:eastAsia="仿宋" w:hint="eastAsia"/>
          <w:color w:val="auto"/>
          <w:sz w:val="32"/>
          <w:szCs w:val="32"/>
          <w:lang w:val="en-US" w:eastAsia="zh-CN"/>
        </w:rPr>
        <w:t>较上年支出增加</w:t>
      </w:r>
      <w:r>
        <w:rPr>
          <w:rFonts w:ascii="仿宋_GB2312" w:eastAsia="仿宋_GB2312" w:hint="eastAsia"/>
          <w:color w:val="000000"/>
          <w:spacing w:val="-2"/>
          <w:kern w:val="2"/>
          <w:sz w:val="32"/>
          <w:szCs w:val="32"/>
          <w:lang w:val="en-US" w:eastAsia="zh-CN" w:bidi="ar-SA"/>
        </w:rPr>
        <w:t>202.13万元，增加20.12%</w:t>
      </w:r>
      <w:r>
        <w:rPr>
          <w:rFonts w:ascii="仿宋_GB2312" w:eastAsia="仿宋_GB2312" w:hint="eastAsia"/>
          <w:spacing w:val="-2"/>
          <w:kern w:val="2"/>
          <w:sz w:val="32"/>
          <w:szCs w:val="32"/>
          <w:lang w:val="en-US" w:eastAsia="zh-CN" w:bidi="ar-SA"/>
        </w:rPr>
        <w:t>。</w:t>
      </w:r>
      <w:r>
        <w:rPr>
          <w:rFonts w:ascii="仿宋_GB2312" w:eastAsia="仿宋_GB2312" w:hint="eastAsia"/>
          <w:color w:val="000000"/>
          <w:spacing w:val="-2"/>
          <w:kern w:val="2"/>
          <w:sz w:val="32"/>
          <w:szCs w:val="32"/>
          <w:lang w:val="en-US" w:eastAsia="zh-CN" w:bidi="ar-SA"/>
        </w:rPr>
        <w:t>增加的主要原因</w:t>
      </w:r>
      <w:r>
        <w:rPr>
          <w:rFonts w:ascii="仿宋_GB2312" w:eastAsia="仿宋_GB2312" w:hint="eastAsia"/>
          <w:sz w:val="32"/>
          <w:szCs w:val="32"/>
          <w:lang w:val="en-US" w:eastAsia="zh-CN"/>
        </w:rPr>
        <w:t>2022年工资上调。</w:t>
      </w:r>
    </w:p>
    <w:p>
      <w:pPr>
        <w:pStyle w:val="15"/>
        <w:rPr>
          <w:rFonts w:hint="eastAsia"/>
          <w:lang w:val="en-US" w:eastAsia="zh-CN"/>
        </w:rPr>
      </w:pPr>
    </w:p>
    <w:p>
      <w:pPr>
        <w:snapToGrid w:val="0"/>
        <w:spacing w:line="520" w:lineRule="exact"/>
        <w:ind w:firstLineChars="200" w:firstLine="632"/>
        <w:rPr>
          <w:rFonts w:ascii="仿宋_GB2312" w:eastAsia="仿宋_GB2312" w:hint="eastAsia"/>
          <w:spacing w:val="-2"/>
          <w:kern w:val="2"/>
          <w:sz w:val="32"/>
          <w:szCs w:val="32"/>
          <w:lang w:val="en-US" w:eastAsia="zh-CN" w:bidi="ar-SA"/>
        </w:rPr>
      </w:pPr>
    </w:p>
    <w:p>
      <w:pPr>
        <w:pageBreakBefore w:val="0"/>
        <w:widowControl w:val="0"/>
        <w:kinsoku/>
        <w:wordWrap/>
        <w:overflowPunct/>
        <w:topLinePunct w:val="0"/>
        <w:bidi w:val="0"/>
        <w:spacing w:line="576" w:lineRule="exact"/>
        <w:rPr>
          <w:rFonts w:ascii="Times New Roman" w:eastAsia="仿宋" w:cs="Times New Roman" w:hAnsi="Times New Roman"/>
          <w:sz w:val="32"/>
          <w:szCs w:val="32"/>
        </w:rPr>
      </w:pPr>
      <w:r>
        <w:rPr>
          <w:rFonts w:ascii="仿宋" w:eastAsia="仿宋" w:hint="eastAsia"/>
          <w:color w:val="000000"/>
          <w:sz w:val="32"/>
          <w:szCs w:val="32"/>
        </w:rPr>
        <w:drawing>
          <wp:anchor distT="0" distB="0" distL="114300" distR="114300" simplePos="0" relativeHeight="28" behindDoc="0" locked="0" layoutInCell="1" hidden="0" allowOverlap="1">
            <wp:simplePos x="0" y="0"/>
            <wp:positionH relativeFrom="column">
              <wp:posOffset>219075</wp:posOffset>
            </wp:positionH>
            <wp:positionV relativeFrom="paragraph">
              <wp:posOffset>169545</wp:posOffset>
            </wp:positionV>
            <wp:extent cx="4836159" cy="2752090"/>
            <wp:effectExtent l="0" t="0" r="0" b="0"/>
            <wp:wrapTopAndBottom/>
            <wp:docPr id="5" name="图表 8"/>
            <wp:cNvGraphicFramePr>
              <a:graphicFrameLocks noChangeAspect="0"/>
            </wp:cNvGraphicFramePr>
            <a:graphic>
              <a:graphicData uri="http://schemas.openxmlformats.org/drawingml/2006/chart">
                <c:chart xmlns:c="http://schemas.openxmlformats.org/drawingml/2006/chart" r:id="rId8"/>
              </a:graphicData>
            </a:graphic>
          </wp:anchor>
        </w:drawing>
      </w:r>
      <w:r>
        <w:rPr>
          <w:rFonts w:ascii="Times New Roman" w:eastAsia="仿宋" w:cs="Times New Roman" w:hAnsi="Times New Roman"/>
          <w:color w:val="auto"/>
          <w:sz w:val="32"/>
          <w:szCs w:val="32"/>
        </w:rPr>
        <w:t>（图5：一般公共预算财政拨款支出决算变动情况）（柱状图）</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49" w:name="_Toc15377211"/>
      <w:r>
        <w:rPr>
          <w:rFonts w:ascii="Times New Roman" w:eastAsia="仿宋" w:cs="Times New Roman" w:hAnsi="Times New Roman"/>
          <w:b/>
          <w:sz w:val="32"/>
          <w:szCs w:val="32"/>
        </w:rPr>
        <w:t>（二）一般公共预算财政拨款支出决算结构情况</w:t>
      </w:r>
      <w:bookmarkEnd w:id="49"/>
    </w:p>
    <w:p>
      <w:pPr>
        <w:spacing w:line="600" w:lineRule="exact"/>
        <w:ind w:firstLine="640"/>
        <w:rPr>
          <w:rFonts w:ascii="仿宋" w:eastAsia="仿宋"/>
          <w:color w:val="000000"/>
          <w:sz w:val="32"/>
          <w:szCs w:val="32"/>
          <w:lang w:val="en-US" w:eastAsia="zh-CN"/>
        </w:rPr>
      </w:pPr>
      <w:r>
        <w:rPr>
          <w:rFonts w:ascii="仿宋" w:eastAsia="仿宋" w:hint="eastAsia"/>
          <w:color w:val="000000"/>
          <w:sz w:val="32"/>
          <w:szCs w:val="32"/>
          <w:lang w:val="en-US" w:eastAsia="zh-CN"/>
        </w:rPr>
        <w:t>2</w:t>
      </w:r>
      <w:r>
        <w:rPr>
          <w:rFonts w:ascii="仿宋" w:eastAsia="仿宋"/>
          <w:color w:val="000000"/>
          <w:sz w:val="32"/>
          <w:szCs w:val="32"/>
        </w:rPr>
        <w:t>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年一般公共预算财政拨款支出</w:t>
      </w:r>
      <w:r>
        <w:rPr>
          <w:rFonts w:ascii="仿宋" w:eastAsia="仿宋" w:hint="eastAsia"/>
          <w:color w:val="000000"/>
          <w:sz w:val="32"/>
          <w:szCs w:val="32"/>
          <w:lang w:eastAsia="zh-CN"/>
        </w:rPr>
        <w:t>1206.62</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一般公共服务（类）</w:t>
      </w:r>
      <w:r>
        <w:rPr>
          <w:rFonts w:ascii="仿宋" w:eastAsia="仿宋" w:hint="eastAsia"/>
          <w:color w:val="000000"/>
          <w:sz w:val="32"/>
          <w:szCs w:val="32"/>
        </w:rPr>
        <w:t>支出</w:t>
      </w:r>
      <w:r>
        <w:rPr>
          <w:rFonts w:ascii="仿宋" w:eastAsia="仿宋" w:hint="eastAsia"/>
          <w:color w:val="000000"/>
          <w:sz w:val="32"/>
          <w:szCs w:val="32"/>
          <w:lang w:val="en-US" w:eastAsia="zh-CN"/>
        </w:rPr>
        <w:t>414.92</w:t>
      </w:r>
      <w:r>
        <w:rPr>
          <w:rFonts w:ascii="仿宋" w:eastAsia="仿宋" w:hint="eastAsia"/>
          <w:color w:val="000000"/>
          <w:sz w:val="32"/>
          <w:szCs w:val="32"/>
        </w:rPr>
        <w:t>万元，占</w:t>
      </w:r>
      <w:r>
        <w:rPr>
          <w:rFonts w:ascii="仿宋" w:eastAsia="仿宋" w:hint="eastAsia"/>
          <w:color w:val="000000"/>
          <w:sz w:val="32"/>
          <w:szCs w:val="32"/>
          <w:lang w:val="en-US" w:eastAsia="zh-CN"/>
        </w:rPr>
        <w:t>34.39</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 w:eastAsia="仿宋" w:hint="eastAsia"/>
          <w:color w:val="000000"/>
          <w:sz w:val="32"/>
          <w:szCs w:val="32"/>
          <w:lang w:val="en-US" w:eastAsia="zh-CN"/>
        </w:rPr>
        <w:t>95.36</w:t>
      </w:r>
      <w:r>
        <w:rPr>
          <w:rFonts w:ascii="仿宋" w:eastAsia="仿宋" w:hint="eastAsia"/>
          <w:color w:val="000000"/>
          <w:sz w:val="32"/>
          <w:szCs w:val="32"/>
        </w:rPr>
        <w:t>万元，占</w:t>
      </w:r>
      <w:r>
        <w:rPr>
          <w:rFonts w:ascii="仿宋" w:eastAsia="仿宋" w:hint="eastAsia"/>
          <w:color w:val="000000"/>
          <w:sz w:val="32"/>
          <w:szCs w:val="32"/>
          <w:lang w:val="en-US" w:eastAsia="zh-CN"/>
        </w:rPr>
        <w:t>7.9</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w:t>
      </w:r>
      <w:r>
        <w:rPr>
          <w:rFonts w:ascii="仿宋" w:eastAsia="仿宋" w:hint="eastAsia"/>
          <w:b/>
          <w:bCs/>
          <w:color w:val="000000"/>
          <w:sz w:val="32"/>
          <w:szCs w:val="32"/>
          <w:lang w:eastAsia="zh-CN"/>
        </w:rPr>
        <w:t>健康</w:t>
      </w:r>
      <w:r>
        <w:rPr>
          <w:rFonts w:ascii="仿宋" w:eastAsia="仿宋" w:hint="eastAsia"/>
          <w:b/>
          <w:bCs/>
          <w:color w:val="000000"/>
          <w:sz w:val="32"/>
          <w:szCs w:val="32"/>
        </w:rPr>
        <w:t>支出</w:t>
      </w:r>
      <w:r>
        <w:rPr>
          <w:rFonts w:ascii="仿宋" w:eastAsia="仿宋" w:hint="eastAsia"/>
          <w:color w:val="000000"/>
          <w:sz w:val="32"/>
          <w:szCs w:val="32"/>
          <w:lang w:val="en-US" w:eastAsia="zh-CN"/>
        </w:rPr>
        <w:t>43.76</w:t>
      </w:r>
      <w:r>
        <w:rPr>
          <w:rFonts w:ascii="仿宋" w:eastAsia="仿宋" w:hint="eastAsia"/>
          <w:color w:val="000000"/>
          <w:sz w:val="32"/>
          <w:szCs w:val="32"/>
        </w:rPr>
        <w:t>万元，占</w:t>
      </w:r>
      <w:r>
        <w:rPr>
          <w:rFonts w:ascii="仿宋" w:eastAsia="仿宋" w:hint="eastAsia"/>
          <w:color w:val="000000"/>
          <w:sz w:val="32"/>
          <w:szCs w:val="32"/>
          <w:lang w:val="en-US" w:eastAsia="zh-CN"/>
        </w:rPr>
        <w:t>3.62</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lang w:val="en-US" w:eastAsia="zh-CN"/>
        </w:rPr>
        <w:t>农林水支出</w:t>
      </w:r>
      <w:r>
        <w:rPr>
          <w:rFonts w:ascii="仿宋" w:eastAsia="仿宋" w:hint="eastAsia"/>
          <w:color w:val="000000"/>
          <w:sz w:val="32"/>
          <w:szCs w:val="32"/>
          <w:lang w:val="en-US" w:eastAsia="zh-CN"/>
        </w:rPr>
        <w:t>533.56万元，</w:t>
      </w:r>
      <w:r>
        <w:rPr>
          <w:rFonts w:ascii="仿宋" w:eastAsia="仿宋" w:hint="eastAsia"/>
          <w:color w:val="000000"/>
          <w:sz w:val="32"/>
          <w:szCs w:val="32"/>
        </w:rPr>
        <w:t>占</w:t>
      </w:r>
      <w:r>
        <w:rPr>
          <w:rFonts w:ascii="仿宋" w:eastAsia="仿宋" w:hint="eastAsia"/>
          <w:color w:val="000000"/>
          <w:sz w:val="32"/>
          <w:szCs w:val="32"/>
          <w:lang w:val="en-US" w:eastAsia="zh-CN"/>
        </w:rPr>
        <w:t>44.22</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bCs/>
          <w:color w:val="000000"/>
          <w:sz w:val="32"/>
          <w:szCs w:val="32"/>
        </w:rPr>
        <w:t>住房保障支出</w:t>
      </w:r>
      <w:r>
        <w:rPr>
          <w:rFonts w:ascii="仿宋" w:eastAsia="仿宋" w:hint="eastAsia"/>
          <w:color w:val="000000"/>
          <w:sz w:val="32"/>
          <w:szCs w:val="32"/>
          <w:lang w:val="en-US" w:eastAsia="zh-CN"/>
        </w:rPr>
        <w:t>59.70</w:t>
      </w:r>
      <w:r>
        <w:rPr>
          <w:rFonts w:ascii="仿宋" w:eastAsia="仿宋" w:hint="eastAsia"/>
          <w:color w:val="000000"/>
          <w:sz w:val="32"/>
          <w:szCs w:val="32"/>
        </w:rPr>
        <w:t>万元，占</w:t>
      </w:r>
      <w:r>
        <w:rPr>
          <w:rFonts w:ascii="仿宋" w:eastAsia="仿宋" w:hint="eastAsia"/>
          <w:color w:val="000000"/>
          <w:sz w:val="32"/>
          <w:szCs w:val="32"/>
          <w:lang w:val="en-US" w:eastAsia="zh-CN"/>
        </w:rPr>
        <w:t>4.95</w:t>
      </w:r>
      <w:r>
        <w:rPr>
          <w:rFonts w:ascii="仿宋" w:eastAsia="仿宋"/>
          <w:color w:val="000000"/>
          <w:sz w:val="32"/>
          <w:szCs w:val="32"/>
        </w:rPr>
        <w:t>%</w:t>
      </w:r>
      <w:r>
        <w:rPr>
          <w:rFonts w:ascii="仿宋" w:eastAsia="仿宋" w:hint="eastAsia"/>
          <w:color w:val="000000"/>
          <w:sz w:val="32"/>
          <w:szCs w:val="32"/>
          <w:lang w:eastAsia="zh-CN"/>
        </w:rPr>
        <w:t>。其他支出</w:t>
      </w:r>
      <w:r>
        <w:rPr>
          <w:rFonts w:ascii="仿宋" w:eastAsia="仿宋" w:hint="eastAsia"/>
          <w:color w:val="000000"/>
          <w:sz w:val="32"/>
          <w:szCs w:val="32"/>
          <w:lang w:val="en-US" w:eastAsia="zh-CN"/>
        </w:rPr>
        <w:t>59.32万元，</w:t>
      </w:r>
      <w:r>
        <w:rPr>
          <w:rFonts w:ascii="仿宋" w:eastAsia="仿宋" w:hint="eastAsia"/>
          <w:color w:val="000000"/>
          <w:sz w:val="32"/>
          <w:szCs w:val="32"/>
        </w:rPr>
        <w:t>占</w:t>
      </w:r>
      <w:r>
        <w:rPr>
          <w:rFonts w:ascii="仿宋" w:eastAsia="仿宋" w:hint="eastAsia"/>
          <w:color w:val="000000"/>
          <w:sz w:val="32"/>
          <w:szCs w:val="32"/>
          <w:lang w:val="en-US" w:eastAsia="zh-CN"/>
        </w:rPr>
        <w:t>4.92</w:t>
      </w:r>
      <w:r>
        <w:rPr>
          <w:rFonts w:ascii="仿宋" w:eastAsia="仿宋"/>
          <w:color w:val="000000"/>
          <w:sz w:val="32"/>
          <w:szCs w:val="32"/>
        </w:rPr>
        <w:t>%</w:t>
      </w:r>
      <w:r>
        <w:rPr>
          <w:rFonts w:ascii="仿宋" w:eastAsia="仿宋" w:hint="eastAsia"/>
          <w:color w:val="000000"/>
          <w:sz w:val="32"/>
          <w:szCs w:val="32"/>
          <w:lang w:eastAsia="zh-CN"/>
        </w:rPr>
        <w:t>。</w:t>
      </w:r>
    </w:p>
    <w:p>
      <w:pPr>
        <w:spacing w:line="600" w:lineRule="exact"/>
        <w:outlineLvl w:val="2"/>
        <w:rPr>
          <w:rFonts w:ascii="仿宋" w:eastAsia="仿宋" w:hint="eastAsia"/>
          <w:b/>
          <w:color w:val="000000"/>
          <w:sz w:val="32"/>
          <w:szCs w:val="32"/>
          <w:lang w:val="en-US" w:eastAsia="zh-CN"/>
        </w:rPr>
      </w:pPr>
      <w:r>
        <w:drawing>
          <wp:anchor distT="0" distB="0" distL="114300" distR="114300" simplePos="0" relativeHeight="30" behindDoc="0" locked="0" layoutInCell="1" hidden="0" allowOverlap="1">
            <wp:simplePos x="0" y="0"/>
            <wp:positionH relativeFrom="column">
              <wp:posOffset>757555</wp:posOffset>
            </wp:positionH>
            <wp:positionV relativeFrom="paragraph">
              <wp:posOffset>118745</wp:posOffset>
            </wp:positionV>
            <wp:extent cx="3867150" cy="2286000"/>
            <wp:effectExtent l="0" t="0" r="36" b="35"/>
            <wp:wrapSquare wrapText="bothSides"/>
            <wp:docPr id="6" name="图表 10"/>
            <wp:cNvGraphicFramePr>
              <a:graphicFrameLocks noChangeAspect="0"/>
            </wp:cNvGraphicFramePr>
            <a:graphic>
              <a:graphicData uri="http://schemas.openxmlformats.org/drawingml/2006/chart">
                <c:chart xmlns:c="http://schemas.openxmlformats.org/drawingml/2006/chart" r:id="rId9"/>
              </a:graphicData>
            </a:graphic>
          </wp:anchor>
        </w:drawing>
      </w:r>
    </w:p>
    <w:p>
      <w:pPr>
        <w:pageBreakBefore w:val="0"/>
        <w:widowControl w:val="0"/>
        <w:kinsoku/>
        <w:wordWrap/>
        <w:overflowPunct/>
        <w:topLinePunct w:val="0"/>
        <w:bidi w:val="0"/>
        <w:spacing w:line="576" w:lineRule="exact"/>
        <w:ind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ascii="Times New Roman" w:eastAsia="仿宋" w:cs="Times New Roman" w:hAnsi="Times New Roman"/>
          <w:color w:val="auto"/>
          <w:sz w:val="32"/>
          <w:szCs w:val="32"/>
        </w:rPr>
        <w:t>（图6：一般公共预算财政拨款支出决算结构）（饼状图）</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50" w:name="_Toc15377212"/>
      <w:r>
        <w:rPr>
          <w:rFonts w:ascii="Times New Roman" w:eastAsia="仿宋" w:cs="Times New Roman" w:hAnsi="Times New Roman"/>
          <w:b/>
          <w:sz w:val="32"/>
          <w:szCs w:val="32"/>
        </w:rPr>
        <w:t>（三）一般公共预算财政拨款支出决算具体情况</w:t>
      </w:r>
      <w:bookmarkEnd w:id="50"/>
    </w:p>
    <w:p>
      <w:pPr>
        <w:spacing w:line="600" w:lineRule="exact"/>
        <w:outlineLvl w:val="2"/>
        <w:rPr>
          <w:rFonts w:ascii="仿宋" w:eastAsia="仿宋"/>
          <w:b w:val="0"/>
          <w:bCs/>
          <w:color w:val="FF0000"/>
          <w:sz w:val="32"/>
          <w:szCs w:val="32"/>
          <w:highlight w:val="auto"/>
        </w:rPr>
      </w:pPr>
      <w:bookmarkStart w:id="51" w:name="_Toc15377214"/>
      <w:bookmarkStart w:id="52" w:name="_Toc15396608"/>
      <w:bookmarkStart w:id="53" w:name="_Toc26843617"/>
      <w:r>
        <w:rPr>
          <w:rFonts w:ascii="仿宋" w:eastAsia="仿宋" w:hint="eastAsia"/>
          <w:b w:val="0"/>
          <w:bCs/>
          <w:color w:val="000000"/>
          <w:sz w:val="32"/>
          <w:szCs w:val="32"/>
          <w:lang w:val="en-US" w:eastAsia="zh-CN"/>
          <w:highlight w:val="auto"/>
        </w:rPr>
        <w:t xml:space="preserve">  </w:t>
      </w:r>
      <w:r>
        <w:rPr>
          <w:rFonts w:ascii="仿宋" w:eastAsia="仿宋" w:hint="eastAsia"/>
          <w:b w:val="0"/>
          <w:bCs/>
          <w:color w:val="000000"/>
          <w:sz w:val="32"/>
          <w:szCs w:val="32"/>
          <w:highlight w:val="auto"/>
        </w:rPr>
        <w:t>20</w:t>
      </w:r>
      <w:r>
        <w:rPr>
          <w:rFonts w:ascii="仿宋" w:eastAsia="仿宋" w:hint="eastAsia"/>
          <w:b w:val="0"/>
          <w:bCs/>
          <w:color w:val="000000"/>
          <w:sz w:val="32"/>
          <w:szCs w:val="32"/>
          <w:lang w:val="en-US" w:eastAsia="zh-CN"/>
          <w:highlight w:val="auto"/>
        </w:rPr>
        <w:t>22</w:t>
      </w:r>
      <w:r>
        <w:rPr>
          <w:rFonts w:ascii="仿宋" w:eastAsia="仿宋" w:hint="eastAsia"/>
          <w:b w:val="0"/>
          <w:bCs/>
          <w:color w:val="000000"/>
          <w:sz w:val="32"/>
          <w:szCs w:val="32"/>
          <w:highlight w:val="auto"/>
        </w:rPr>
        <w:t>年</w:t>
      </w:r>
      <w:r>
        <w:rPr>
          <w:rFonts w:ascii="仿宋" w:eastAsia="仿宋" w:hint="eastAsia"/>
          <w:b w:val="0"/>
          <w:bCs/>
          <w:color w:val="000000"/>
          <w:sz w:val="32"/>
          <w:szCs w:val="32"/>
          <w:lang w:eastAsia="zh-CN"/>
          <w:highlight w:val="auto"/>
        </w:rPr>
        <w:t>一</w:t>
      </w:r>
      <w:r>
        <w:rPr>
          <w:rFonts w:ascii="仿宋" w:eastAsia="仿宋" w:hint="eastAsia"/>
          <w:b w:val="0"/>
          <w:bCs/>
          <w:color w:val="000000"/>
          <w:sz w:val="32"/>
          <w:szCs w:val="32"/>
          <w:highlight w:val="auto"/>
        </w:rPr>
        <w:t>般公共预算</w:t>
      </w:r>
      <w:r>
        <w:rPr>
          <w:rFonts w:ascii="仿宋" w:eastAsia="仿宋" w:hint="eastAsia"/>
          <w:b w:val="0"/>
          <w:bCs/>
          <w:color w:val="000000"/>
          <w:sz w:val="32"/>
          <w:szCs w:val="32"/>
          <w:lang w:val="en-US" w:eastAsia="zh-CN"/>
          <w:highlight w:val="auto"/>
        </w:rPr>
        <w:t>数为</w:t>
      </w:r>
      <w:r>
        <w:rPr>
          <w:rFonts w:ascii="仿宋" w:eastAsia="仿宋" w:hint="eastAsia"/>
          <w:b w:val="0"/>
          <w:bCs/>
          <w:color w:val="000000"/>
          <w:sz w:val="32"/>
          <w:szCs w:val="32"/>
          <w:lang w:eastAsia="zh-CN"/>
          <w:highlight w:val="auto"/>
        </w:rPr>
        <w:t>1206.62</w:t>
      </w:r>
      <w:r>
        <w:rPr>
          <w:rFonts w:ascii="仿宋" w:eastAsia="仿宋" w:hint="eastAsia"/>
          <w:b w:val="0"/>
          <w:bCs/>
          <w:color w:val="000000"/>
          <w:sz w:val="32"/>
          <w:szCs w:val="32"/>
          <w:lang w:val="en-US" w:eastAsia="zh-CN"/>
          <w:highlight w:val="auto"/>
        </w:rPr>
        <w:t>万元，</w:t>
      </w:r>
      <w:r>
        <w:rPr>
          <w:rFonts w:ascii="仿宋" w:eastAsia="仿宋" w:hint="eastAsia"/>
          <w:b w:val="0"/>
          <w:bCs/>
          <w:color w:val="000000"/>
          <w:sz w:val="32"/>
          <w:szCs w:val="32"/>
          <w:highlight w:val="auto"/>
        </w:rPr>
        <w:t>支出决算数为</w:t>
      </w:r>
      <w:r>
        <w:rPr>
          <w:rFonts w:ascii="仿宋" w:eastAsia="仿宋" w:hint="eastAsia"/>
          <w:b w:val="0"/>
          <w:bCs/>
          <w:color w:val="000000"/>
          <w:sz w:val="32"/>
          <w:szCs w:val="32"/>
          <w:lang w:eastAsia="zh-CN"/>
          <w:highlight w:val="auto"/>
        </w:rPr>
        <w:t>1206.62</w:t>
      </w:r>
      <w:r>
        <w:rPr>
          <w:rFonts w:ascii="仿宋" w:eastAsia="仿宋" w:hint="eastAsia"/>
          <w:b w:val="0"/>
          <w:bCs/>
          <w:color w:val="000000"/>
          <w:sz w:val="32"/>
          <w:szCs w:val="32"/>
          <w:lang w:val="en-US" w:eastAsia="zh-CN"/>
          <w:highlight w:val="auto"/>
        </w:rPr>
        <w:t>万元</w:t>
      </w:r>
      <w:r>
        <w:rPr>
          <w:rFonts w:ascii="仿宋" w:eastAsia="仿宋" w:hint="eastAsia"/>
          <w:b w:val="0"/>
          <w:bCs/>
          <w:color w:val="000000"/>
          <w:sz w:val="32"/>
          <w:szCs w:val="32"/>
          <w:highlight w:val="auto"/>
        </w:rPr>
        <w:t>，完</w:t>
      </w:r>
      <w:r>
        <w:rPr>
          <w:rStyle w:val="24"/>
          <w:rFonts w:ascii="仿宋" w:eastAsia="仿宋" w:hint="eastAsia"/>
          <w:b w:val="0"/>
          <w:bCs/>
          <w:color w:val="000000"/>
          <w:sz w:val="32"/>
          <w:szCs w:val="32"/>
          <w:highlight w:val="auto"/>
        </w:rPr>
        <w:t>成预算</w:t>
      </w:r>
      <w:r>
        <w:rPr>
          <w:rStyle w:val="24"/>
          <w:rFonts w:ascii="仿宋" w:eastAsia="仿宋" w:hint="eastAsia"/>
          <w:b w:val="0"/>
          <w:bCs/>
          <w:color w:val="000000"/>
          <w:sz w:val="32"/>
          <w:szCs w:val="32"/>
          <w:lang w:val="en-US" w:eastAsia="zh-CN"/>
          <w:highlight w:val="auto"/>
        </w:rPr>
        <w:t>100</w:t>
      </w:r>
      <w:r>
        <w:rPr>
          <w:rStyle w:val="24"/>
          <w:rFonts w:ascii="仿宋" w:eastAsia="仿宋"/>
          <w:b w:val="0"/>
          <w:bCs/>
          <w:color w:val="000000"/>
          <w:sz w:val="32"/>
          <w:szCs w:val="32"/>
          <w:highlight w:val="auto"/>
        </w:rPr>
        <w:t>%</w:t>
      </w:r>
      <w:r>
        <w:rPr>
          <w:rStyle w:val="24"/>
          <w:rFonts w:ascii="仿宋" w:eastAsia="仿宋" w:hint="eastAsia"/>
          <w:b w:val="0"/>
          <w:bCs/>
          <w:color w:val="000000"/>
          <w:sz w:val="32"/>
          <w:szCs w:val="32"/>
          <w:highlight w:val="auto"/>
        </w:rPr>
        <w:t>。</w:t>
      </w:r>
      <w:r>
        <w:rPr>
          <w:rStyle w:val="24"/>
          <w:rFonts w:ascii="仿宋" w:eastAsia="仿宋" w:hint="eastAsia"/>
          <w:b w:val="0"/>
          <w:bCs/>
          <w:color w:val="000000"/>
          <w:sz w:val="32"/>
          <w:szCs w:val="32"/>
          <w:lang w:val="en-US" w:eastAsia="zh-CN"/>
          <w:highlight w:val="auto"/>
        </w:rPr>
        <w:t>结转下年0万元。</w:t>
      </w:r>
      <w:r>
        <w:rPr>
          <w:rStyle w:val="24"/>
          <w:rFonts w:ascii="仿宋" w:eastAsia="仿宋" w:hint="eastAsia"/>
          <w:b w:val="0"/>
          <w:bCs/>
          <w:color w:val="000000"/>
          <w:sz w:val="32"/>
          <w:szCs w:val="32"/>
          <w:highlight w:val="auto"/>
        </w:rPr>
        <w:t>其中：</w:t>
      </w:r>
    </w:p>
    <w:p>
      <w:pPr>
        <w:spacing w:line="600" w:lineRule="exact"/>
        <w:ind w:left="0" w:firstLineChars="200" w:firstLine="640"/>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1.</w:t>
      </w:r>
      <w:r>
        <w:rPr>
          <w:rStyle w:val="24"/>
          <w:rFonts w:ascii="仿宋" w:eastAsia="仿宋" w:hint="eastAsia"/>
          <w:bCs/>
          <w:color w:val="000000"/>
          <w:sz w:val="32"/>
          <w:szCs w:val="32"/>
        </w:rPr>
        <w:t>一般公共服务（类）</w:t>
      </w:r>
      <w:r>
        <w:rPr>
          <w:rStyle w:val="24"/>
          <w:rFonts w:ascii="仿宋" w:eastAsia="仿宋" w:hint="eastAsia"/>
          <w:bCs/>
          <w:color w:val="000000"/>
          <w:sz w:val="32"/>
          <w:szCs w:val="32"/>
          <w:lang w:val="en-US" w:eastAsia="zh-CN"/>
        </w:rPr>
        <w:t>党委办公厅（室）及相关机构事务</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一般行政管理事务</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377.17</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spacing w:line="600" w:lineRule="exact"/>
        <w:ind w:firstLineChars="200" w:firstLine="640"/>
        <w:rPr>
          <w:rFonts w:ascii="仿宋" w:eastAsia="仿宋"/>
          <w:b/>
          <w:color w:val="000000"/>
          <w:sz w:val="32"/>
          <w:szCs w:val="32"/>
        </w:rPr>
      </w:pPr>
      <w:r>
        <w:rPr>
          <w:rStyle w:val="24"/>
          <w:rFonts w:ascii="仿宋" w:eastAsia="仿宋" w:hint="eastAsia"/>
          <w:bCs/>
          <w:color w:val="000000"/>
          <w:sz w:val="32"/>
          <w:szCs w:val="32"/>
          <w:lang w:val="en-US" w:eastAsia="zh-CN"/>
        </w:rPr>
        <w:t>2.</w:t>
      </w:r>
      <w:r>
        <w:rPr>
          <w:rStyle w:val="24"/>
          <w:rFonts w:ascii="仿宋" w:eastAsia="仿宋" w:hint="eastAsia"/>
          <w:bCs/>
          <w:color w:val="000000"/>
          <w:sz w:val="32"/>
          <w:szCs w:val="32"/>
        </w:rPr>
        <w:t>一般公共服务（类）</w:t>
      </w:r>
      <w:r>
        <w:rPr>
          <w:rStyle w:val="24"/>
          <w:rFonts w:ascii="仿宋" w:eastAsia="仿宋" w:hint="eastAsia"/>
          <w:bCs/>
          <w:color w:val="000000"/>
          <w:sz w:val="32"/>
          <w:szCs w:val="32"/>
          <w:lang w:val="en-US" w:eastAsia="zh-CN"/>
        </w:rPr>
        <w:t>党委办公厅（室）及相关机构事务</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一般行政管理事务</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Fonts w:ascii="仿宋" w:eastAsia="仿宋" w:hint="eastAsia"/>
          <w:color w:val="000000"/>
          <w:sz w:val="32"/>
          <w:szCs w:val="32"/>
          <w:lang w:val="en-US" w:eastAsia="zh-CN"/>
        </w:rPr>
        <w:t>19.16</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spacing w:line="600" w:lineRule="exact"/>
        <w:ind w:firstLineChars="200" w:firstLine="640"/>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3.</w:t>
      </w:r>
      <w:r>
        <w:rPr>
          <w:rStyle w:val="24"/>
          <w:rFonts w:ascii="仿宋" w:eastAsia="仿宋" w:hint="eastAsia"/>
          <w:bCs/>
          <w:color w:val="000000"/>
          <w:sz w:val="32"/>
          <w:szCs w:val="32"/>
        </w:rPr>
        <w:t>一般公共服务（类）</w:t>
      </w:r>
      <w:r>
        <w:rPr>
          <w:rStyle w:val="24"/>
          <w:rFonts w:ascii="仿宋" w:eastAsia="仿宋" w:hint="eastAsia"/>
          <w:bCs/>
          <w:color w:val="000000"/>
          <w:sz w:val="32"/>
          <w:szCs w:val="32"/>
          <w:lang w:val="en-US" w:eastAsia="zh-CN"/>
        </w:rPr>
        <w:t>党委办公厅（室）及相关机构事务</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一般行政管理事务</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18.6</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spacing w:line="600" w:lineRule="exact"/>
        <w:ind w:left="0" w:firstLineChars="200" w:firstLine="640"/>
        <w:rPr>
          <w:rFonts w:ascii="仿宋" w:eastAsia="仿宋"/>
          <w:b/>
          <w:color w:val="000000"/>
          <w:sz w:val="32"/>
          <w:szCs w:val="32"/>
        </w:rPr>
      </w:pPr>
      <w:r>
        <w:rPr>
          <w:rStyle w:val="24"/>
          <w:rFonts w:ascii="仿宋" w:eastAsia="仿宋" w:hint="eastAsia"/>
          <w:bCs/>
          <w:color w:val="000000"/>
          <w:sz w:val="32"/>
          <w:szCs w:val="32"/>
          <w:lang w:val="en-US" w:eastAsia="zh-CN"/>
        </w:rPr>
        <w:t>4</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Cs/>
          <w:color w:val="000000"/>
          <w:sz w:val="32"/>
          <w:szCs w:val="32"/>
        </w:rPr>
        <w:t>社会保障和就业（类）</w:t>
      </w:r>
      <w:r>
        <w:rPr>
          <w:rStyle w:val="24"/>
          <w:rFonts w:ascii="仿宋" w:eastAsia="仿宋" w:hint="eastAsia"/>
          <w:bCs/>
          <w:color w:val="000000"/>
          <w:sz w:val="32"/>
          <w:szCs w:val="32"/>
          <w:lang w:val="en-US" w:eastAsia="zh-CN"/>
        </w:rPr>
        <w:t>行政事业单位离退休</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机关事业单位基本养老保险缴费支出</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63.59</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5</w:t>
      </w:r>
      <w:r>
        <w:rPr>
          <w:rStyle w:val="24"/>
          <w:rFonts w:ascii="仿宋" w:eastAsia="仿宋"/>
          <w:bCs/>
          <w:color w:val="000000"/>
          <w:sz w:val="32"/>
          <w:szCs w:val="32"/>
        </w:rPr>
        <w:t>.</w:t>
      </w:r>
      <w:r>
        <w:rPr>
          <w:rStyle w:val="24"/>
          <w:rFonts w:ascii="仿宋" w:eastAsia="仿宋" w:hint="eastAsia"/>
          <w:bCs/>
          <w:color w:val="000000"/>
          <w:sz w:val="32"/>
          <w:szCs w:val="32"/>
        </w:rPr>
        <w:t>社会保障和就业（类）</w:t>
      </w:r>
      <w:r>
        <w:rPr>
          <w:rStyle w:val="24"/>
          <w:rFonts w:ascii="仿宋" w:eastAsia="仿宋" w:hint="eastAsia"/>
          <w:bCs/>
          <w:color w:val="000000"/>
          <w:sz w:val="32"/>
          <w:szCs w:val="32"/>
          <w:lang w:val="en-US" w:eastAsia="zh-CN"/>
        </w:rPr>
        <w:t>行政事业单位离退休</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机关事业单位基本职业年金缴费支出</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31.76</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6.卫生健康支出（类）公共卫生</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突发公共卫生事件应急处理（</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5</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7.卫生健康支出（类）行政事业单位医疗</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行政单位医疗</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21.18</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hint="eastAsia"/>
          <w:lang w:eastAsia="zh-CN"/>
        </w:rPr>
      </w:pPr>
      <w:r>
        <w:rPr>
          <w:rStyle w:val="24"/>
          <w:rFonts w:ascii="仿宋" w:eastAsia="仿宋" w:hint="eastAsia"/>
          <w:bCs/>
          <w:color w:val="000000"/>
          <w:sz w:val="32"/>
          <w:szCs w:val="32"/>
          <w:lang w:val="en-US" w:eastAsia="zh-CN"/>
        </w:rPr>
        <w:t>8.卫生健康支出（类）事业单位医疗</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行政单位医疗</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9.23</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spacing w:line="600" w:lineRule="exact"/>
        <w:ind w:firstLineChars="200" w:firstLine="640"/>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9.</w:t>
      </w:r>
      <w:r>
        <w:rPr>
          <w:rStyle w:val="24"/>
          <w:rFonts w:ascii="仿宋" w:eastAsia="仿宋" w:hint="eastAsia"/>
          <w:bCs/>
          <w:color w:val="000000"/>
          <w:sz w:val="32"/>
          <w:szCs w:val="32"/>
          <w:lang w:eastAsia="zh-CN"/>
        </w:rPr>
        <w:t>卫生健康支出</w:t>
      </w:r>
      <w:r>
        <w:rPr>
          <w:rStyle w:val="24"/>
          <w:rFonts w:ascii="仿宋" w:eastAsia="仿宋" w:hint="eastAsia"/>
          <w:bCs/>
          <w:color w:val="000000"/>
          <w:sz w:val="32"/>
          <w:szCs w:val="32"/>
        </w:rPr>
        <w:t>（类）</w:t>
      </w:r>
      <w:r>
        <w:rPr>
          <w:rStyle w:val="24"/>
          <w:rFonts w:ascii="仿宋" w:eastAsia="仿宋" w:hint="eastAsia"/>
          <w:bCs/>
          <w:color w:val="000000"/>
          <w:sz w:val="32"/>
          <w:szCs w:val="32"/>
          <w:lang w:val="en-US" w:eastAsia="zh-CN"/>
        </w:rPr>
        <w:t>行政事业单位医疗</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公务员医疗补助</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5.38</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spacing w:line="600" w:lineRule="exact"/>
        <w:ind w:firstLineChars="200" w:firstLine="640"/>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10.</w:t>
      </w:r>
      <w:r>
        <w:rPr>
          <w:rStyle w:val="24"/>
          <w:rFonts w:ascii="仿宋" w:eastAsia="仿宋" w:hint="eastAsia"/>
          <w:bCs/>
          <w:color w:val="000000"/>
          <w:sz w:val="32"/>
          <w:szCs w:val="32"/>
          <w:lang w:eastAsia="zh-CN"/>
        </w:rPr>
        <w:t>卫生健康支出</w:t>
      </w:r>
      <w:r>
        <w:rPr>
          <w:rStyle w:val="24"/>
          <w:rFonts w:ascii="仿宋" w:eastAsia="仿宋" w:hint="eastAsia"/>
          <w:bCs/>
          <w:color w:val="000000"/>
          <w:sz w:val="32"/>
          <w:szCs w:val="32"/>
        </w:rPr>
        <w:t>（类）</w:t>
      </w:r>
      <w:r>
        <w:rPr>
          <w:rStyle w:val="24"/>
          <w:rFonts w:ascii="仿宋" w:eastAsia="仿宋" w:hint="eastAsia"/>
          <w:bCs/>
          <w:color w:val="000000"/>
          <w:sz w:val="32"/>
          <w:szCs w:val="32"/>
          <w:lang w:val="en-US" w:eastAsia="zh-CN"/>
        </w:rPr>
        <w:t>其他事业单位医疗</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其他社会保障缴费</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2.97</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spacing w:line="600" w:lineRule="exact"/>
        <w:ind w:firstLineChars="200" w:firstLine="640"/>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11.农林水支出（类）农业农村</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农村道路建设</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33.12</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12.农林水支出（类）农村综合改革</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对村民委员会和党支部补助</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172.21</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hint="eastAsia"/>
          <w:lang w:eastAsia="zh-CN"/>
        </w:rPr>
      </w:pPr>
      <w:r>
        <w:rPr>
          <w:rStyle w:val="24"/>
          <w:rFonts w:ascii="仿宋" w:eastAsia="仿宋" w:hint="eastAsia"/>
          <w:bCs/>
          <w:color w:val="000000"/>
          <w:sz w:val="32"/>
          <w:szCs w:val="32"/>
          <w:lang w:val="en-US" w:eastAsia="zh-CN"/>
        </w:rPr>
        <w:t>13.农林水支出（类）综合服务中心（室）及相关机构事务</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一般行政管理事务</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 xml:space="preserve">                                                                                                                                                                                                                                                                                                                                                                                                                                                                                                                                                                                                                                                                                                                                                                                                                                                                                                                                                                                                                                                                                                                                                                                                                                                                                                                                                   266.41</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4"/>
          <w:rFonts w:ascii="仿宋" w:eastAsia="仿宋" w:hint="eastAsia"/>
          <w:b w:val="0"/>
          <w:bCs/>
          <w:color w:val="000000"/>
          <w:sz w:val="32"/>
          <w:szCs w:val="32"/>
          <w:lang w:eastAsia="zh-CN"/>
          <w:highlight w:val="auto"/>
        </w:rPr>
      </w:pPr>
      <w:r>
        <w:rPr>
          <w:rStyle w:val="24"/>
          <w:rFonts w:ascii="仿宋" w:eastAsia="仿宋" w:hint="eastAsia"/>
          <w:bCs/>
          <w:color w:val="000000"/>
          <w:sz w:val="32"/>
          <w:szCs w:val="32"/>
          <w:lang w:val="en-US" w:eastAsia="zh-CN"/>
          <w:highlight w:val="auto"/>
        </w:rPr>
        <w:t>14.住房保障（类）住房改革支出（款）住房公积金（项）：</w:t>
      </w:r>
      <w:r>
        <w:rPr>
          <w:rStyle w:val="24"/>
          <w:rFonts w:ascii="仿宋" w:eastAsia="仿宋" w:hint="eastAsia"/>
          <w:b w:val="0"/>
          <w:bCs/>
          <w:color w:val="000000"/>
          <w:sz w:val="32"/>
          <w:szCs w:val="32"/>
          <w:highlight w:val="auto"/>
        </w:rPr>
        <w:t>支出决算为</w:t>
      </w:r>
      <w:r>
        <w:rPr>
          <w:rStyle w:val="24"/>
          <w:rFonts w:ascii="仿宋" w:eastAsia="仿宋" w:hint="eastAsia"/>
          <w:b w:val="0"/>
          <w:bCs/>
          <w:color w:val="000000"/>
          <w:sz w:val="32"/>
          <w:szCs w:val="32"/>
          <w:lang w:val="en-US" w:eastAsia="zh-CN"/>
          <w:highlight w:val="auto"/>
        </w:rPr>
        <w:t>59.70</w:t>
      </w:r>
      <w:r>
        <w:rPr>
          <w:rStyle w:val="24"/>
          <w:rFonts w:ascii="仿宋" w:eastAsia="仿宋" w:hint="eastAsia"/>
          <w:b w:val="0"/>
          <w:bCs/>
          <w:color w:val="000000"/>
          <w:sz w:val="32"/>
          <w:szCs w:val="32"/>
          <w:highlight w:val="auto"/>
        </w:rPr>
        <w:t>万元</w:t>
      </w:r>
      <w:r>
        <w:rPr>
          <w:rStyle w:val="24"/>
          <w:rFonts w:ascii="仿宋" w:eastAsia="仿宋" w:hint="eastAsia"/>
          <w:b w:val="0"/>
          <w:bCs/>
          <w:color w:val="000000"/>
          <w:sz w:val="32"/>
          <w:szCs w:val="32"/>
          <w:lang w:eastAsia="zh-CN"/>
          <w:highlight w:val="auto"/>
        </w:rPr>
        <w:t>，</w:t>
      </w:r>
      <w:r>
        <w:rPr>
          <w:rStyle w:val="24"/>
          <w:rFonts w:ascii="仿宋" w:eastAsia="仿宋" w:hint="eastAsia"/>
          <w:b w:val="0"/>
          <w:bCs/>
          <w:color w:val="000000"/>
          <w:sz w:val="32"/>
          <w:szCs w:val="32"/>
        </w:rPr>
        <w:t>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highlight w:val="auto"/>
        </w:rPr>
        <w:t>15.其他支出（类）其他支出（款）其他支出（项）：</w:t>
      </w:r>
      <w:r>
        <w:rPr>
          <w:rStyle w:val="24"/>
          <w:rFonts w:ascii="仿宋" w:eastAsia="仿宋" w:hint="eastAsia"/>
          <w:b w:val="0"/>
          <w:bCs/>
          <w:color w:val="000000"/>
          <w:sz w:val="32"/>
          <w:szCs w:val="32"/>
          <w:highlight w:val="auto"/>
        </w:rPr>
        <w:t>支出决算为</w:t>
      </w:r>
      <w:r>
        <w:rPr>
          <w:rStyle w:val="24"/>
          <w:rFonts w:ascii="仿宋" w:eastAsia="仿宋" w:hint="eastAsia"/>
          <w:b w:val="0"/>
          <w:bCs/>
          <w:color w:val="000000"/>
          <w:sz w:val="32"/>
          <w:szCs w:val="32"/>
          <w:lang w:val="en-US" w:eastAsia="zh-CN"/>
          <w:highlight w:val="auto"/>
        </w:rPr>
        <w:t>59.32</w:t>
      </w:r>
      <w:r>
        <w:rPr>
          <w:rStyle w:val="24"/>
          <w:rFonts w:ascii="仿宋" w:eastAsia="仿宋" w:hint="eastAsia"/>
          <w:b w:val="0"/>
          <w:bCs/>
          <w:color w:val="000000"/>
          <w:sz w:val="32"/>
          <w:szCs w:val="32"/>
          <w:highlight w:val="auto"/>
        </w:rPr>
        <w:t>万元</w:t>
      </w:r>
      <w:r>
        <w:rPr>
          <w:rStyle w:val="24"/>
          <w:rFonts w:ascii="仿宋" w:eastAsia="仿宋" w:hint="eastAsia"/>
          <w:b w:val="0"/>
          <w:bCs/>
          <w:color w:val="000000"/>
          <w:sz w:val="32"/>
          <w:szCs w:val="32"/>
          <w:lang w:eastAsia="zh-CN"/>
          <w:highlight w:val="auto"/>
        </w:rPr>
        <w:t>，</w:t>
      </w:r>
      <w:r>
        <w:rPr>
          <w:rStyle w:val="24"/>
          <w:rFonts w:ascii="仿宋" w:eastAsia="仿宋" w:hint="eastAsia"/>
          <w:b w:val="0"/>
          <w:bCs/>
          <w:color w:val="000000"/>
          <w:sz w:val="32"/>
          <w:szCs w:val="32"/>
        </w:rPr>
        <w:t>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16.农林水支出（类）农业农村</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基础设施建设</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61.82</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pageBreakBefore w:val="0"/>
        <w:widowControl w:val="0"/>
        <w:tabs>
          <w:tab w:val="right" w:pos="8306"/>
        </w:tabs>
        <w:kinsoku/>
        <w:wordWrap/>
        <w:overflowPunct/>
        <w:topLinePunct w:val="0"/>
        <w:bidi w:val="0"/>
        <w:spacing w:line="576" w:lineRule="exact"/>
        <w:ind w:firstLine="640"/>
        <w:outlineLvl w:val="1"/>
        <w:rPr>
          <w:rStyle w:val="2Char"/>
          <w:rFonts w:ascii="Times New Roman" w:cs="Times New Roman" w:hAnsi="Times New Roman"/>
        </w:rPr>
      </w:pPr>
      <w:r>
        <w:rPr>
          <w:rFonts w:ascii="Times New Roman" w:eastAsia="黑体" w:cs="Times New Roman" w:hAnsi="Times New Roman"/>
          <w:sz w:val="32"/>
          <w:szCs w:val="32"/>
        </w:rPr>
        <w:t>六</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般公共预算财政拨款基本支出决算情况说明</w:t>
      </w:r>
      <w:bookmarkEnd w:id="51"/>
      <w:bookmarkEnd w:id="52"/>
      <w:r>
        <w:rPr>
          <w:rStyle w:val="2Char"/>
          <w:rFonts w:ascii="Times New Roman" w:eastAsia="黑体" w:cs="Times New Roman" w:hAnsi="Times New Roman"/>
          <w:b w:val="0"/>
        </w:rPr>
        <w:tab/>
      </w:r>
      <w:bookmarkEnd w:id="53"/>
    </w:p>
    <w:p>
      <w:pPr>
        <w:spacing w:line="600" w:lineRule="exact"/>
        <w:ind w:firstLine="645"/>
        <w:rPr>
          <w:rFonts w:ascii="仿宋" w:eastAsia="仿宋"/>
          <w:color w:val="000000"/>
          <w:sz w:val="32"/>
          <w:szCs w:val="32"/>
        </w:rPr>
      </w:pPr>
      <w:bookmarkStart w:id="54" w:name="_Toc15377215"/>
      <w:bookmarkStart w:id="55" w:name="_Toc15396609"/>
      <w:bookmarkStart w:id="56" w:name="_Toc26843618"/>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年一般公共预算财政拨款基本支</w:t>
      </w:r>
      <w:r>
        <w:rPr>
          <w:rFonts w:ascii="仿宋" w:eastAsia="仿宋" w:hint="eastAsia"/>
          <w:color w:val="000000"/>
          <w:sz w:val="32"/>
          <w:szCs w:val="32"/>
          <w:lang w:val="en-US" w:eastAsia="zh-CN"/>
        </w:rPr>
        <w:t>875.1</w:t>
      </w:r>
      <w:r>
        <w:rPr>
          <w:rFonts w:ascii="仿宋" w:eastAsia="仿宋" w:hint="eastAsia"/>
          <w:color w:val="000000"/>
          <w:sz w:val="32"/>
          <w:szCs w:val="32"/>
        </w:rPr>
        <w:t>万元，其中：</w:t>
      </w:r>
    </w:p>
    <w:p>
      <w:pPr>
        <w:spacing w:line="600" w:lineRule="exact"/>
        <w:ind w:firstLine="645"/>
        <w:rPr>
          <w:rFonts w:ascii="仿宋" w:eastAsia="仿宋" w:hint="eastAsia"/>
          <w:color w:val="000000"/>
          <w:sz w:val="32"/>
          <w:szCs w:val="32"/>
          <w:lang w:eastAsia="zh-CN"/>
        </w:rPr>
      </w:pPr>
      <w:r>
        <w:rPr>
          <w:rFonts w:ascii="仿宋" w:eastAsia="仿宋" w:hint="eastAsia"/>
          <w:color w:val="000000"/>
          <w:sz w:val="32"/>
          <w:szCs w:val="32"/>
        </w:rPr>
        <w:t>人员经费</w:t>
      </w:r>
      <w:r>
        <w:rPr>
          <w:rFonts w:ascii="仿宋" w:eastAsia="仿宋" w:hint="eastAsia"/>
          <w:color w:val="000000"/>
          <w:sz w:val="32"/>
          <w:szCs w:val="32"/>
          <w:lang w:val="en-US" w:eastAsia="zh-CN"/>
        </w:rPr>
        <w:t>836.34</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159.63万元</w:t>
      </w:r>
      <w:r>
        <w:rPr>
          <w:rFonts w:ascii="仿宋" w:eastAsia="仿宋" w:hint="eastAsia"/>
          <w:color w:val="000000"/>
          <w:sz w:val="32"/>
          <w:szCs w:val="32"/>
        </w:rPr>
        <w:t>、津贴补贴</w:t>
      </w:r>
      <w:r>
        <w:rPr>
          <w:rFonts w:ascii="仿宋" w:eastAsia="仿宋" w:hint="eastAsia"/>
          <w:color w:val="000000"/>
          <w:sz w:val="32"/>
          <w:szCs w:val="32"/>
          <w:lang w:val="en-US" w:eastAsia="zh-CN"/>
        </w:rPr>
        <w:t>180.32万元</w:t>
      </w:r>
      <w:r>
        <w:rPr>
          <w:rFonts w:ascii="仿宋" w:eastAsia="仿宋" w:hint="eastAsia"/>
          <w:color w:val="000000"/>
          <w:sz w:val="32"/>
          <w:szCs w:val="32"/>
        </w:rPr>
        <w:t>、奖金</w:t>
      </w:r>
      <w:r>
        <w:rPr>
          <w:rFonts w:ascii="仿宋" w:eastAsia="仿宋" w:hint="eastAsia"/>
          <w:color w:val="000000"/>
          <w:sz w:val="32"/>
          <w:szCs w:val="32"/>
          <w:lang w:val="en-US" w:eastAsia="zh-CN"/>
        </w:rPr>
        <w:t>153.22万元，绩效工资50.27万元、其他社会保险缴费9.65万元，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63.59万元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31.76万元</w:t>
      </w:r>
      <w:r>
        <w:rPr>
          <w:rFonts w:ascii="仿宋" w:eastAsia="仿宋" w:hint="eastAsia"/>
          <w:color w:val="000000"/>
          <w:sz w:val="32"/>
          <w:szCs w:val="32"/>
        </w:rPr>
        <w:t>、</w:t>
      </w:r>
      <w:r>
        <w:rPr>
          <w:rFonts w:ascii="仿宋" w:eastAsia="仿宋" w:hint="eastAsia"/>
          <w:color w:val="000000"/>
          <w:sz w:val="32"/>
          <w:szCs w:val="32"/>
          <w:lang w:val="en-US" w:eastAsia="zh-CN"/>
        </w:rPr>
        <w:t>职工基本医疗保险缴费30.41万元、公务员医疗补助缴费5.38万元、</w:t>
      </w:r>
      <w:r>
        <w:rPr>
          <w:rFonts w:ascii="仿宋" w:eastAsia="仿宋" w:hint="eastAsia"/>
          <w:color w:val="000000"/>
          <w:sz w:val="32"/>
          <w:szCs w:val="32"/>
        </w:rPr>
        <w:t>住房公积金</w:t>
      </w:r>
      <w:r>
        <w:rPr>
          <w:rFonts w:ascii="仿宋" w:eastAsia="仿宋" w:hint="eastAsia"/>
          <w:color w:val="000000"/>
          <w:sz w:val="32"/>
          <w:szCs w:val="32"/>
          <w:lang w:val="en-US" w:eastAsia="zh-CN"/>
        </w:rPr>
        <w:t>59.71万元，</w:t>
      </w:r>
      <w:r>
        <w:rPr>
          <w:rFonts w:ascii="仿宋" w:eastAsia="仿宋" w:hint="eastAsia"/>
          <w:color w:val="000000"/>
          <w:sz w:val="32"/>
          <w:szCs w:val="32"/>
        </w:rPr>
        <w:t>其他对个人和家庭的补助支出</w:t>
      </w:r>
      <w:r>
        <w:rPr>
          <w:rFonts w:ascii="仿宋" w:eastAsia="仿宋" w:hint="eastAsia"/>
          <w:color w:val="000000"/>
          <w:sz w:val="32"/>
          <w:szCs w:val="32"/>
          <w:lang w:val="en-US" w:eastAsia="zh-CN"/>
        </w:rPr>
        <w:t>11.83万元、奖励金80.57万元</w:t>
      </w:r>
      <w:r>
        <w:rPr>
          <w:rFonts w:ascii="仿宋" w:eastAsia="仿宋" w:hint="eastAsia"/>
          <w:color w:val="000000"/>
          <w:sz w:val="32"/>
          <w:szCs w:val="32"/>
        </w:rPr>
        <w:t>等。</w:t>
      </w:r>
    </w:p>
    <w:p>
      <w:pPr>
        <w:spacing w:line="600" w:lineRule="exact"/>
        <w:ind w:firstLineChars="200" w:firstLine="640"/>
        <w:rPr>
          <w:rFonts w:ascii="仿宋" w:eastAsia="仿宋"/>
          <w:color w:val="000000"/>
          <w:sz w:val="32"/>
          <w:szCs w:val="32"/>
          <w:lang w:val="en-US" w:eastAsia="zh-CN"/>
        </w:rPr>
      </w:pPr>
      <w:r>
        <w:rPr>
          <w:rFonts w:ascii="仿宋" w:eastAsia="仿宋" w:hint="eastAsia"/>
          <w:color w:val="000000"/>
          <w:sz w:val="32"/>
          <w:szCs w:val="32"/>
        </w:rPr>
        <w:t>公用经费</w:t>
      </w:r>
      <w:r>
        <w:rPr>
          <w:rFonts w:ascii="仿宋" w:eastAsia="仿宋" w:hint="eastAsia"/>
          <w:color w:val="000000"/>
          <w:sz w:val="32"/>
          <w:szCs w:val="32"/>
          <w:lang w:val="en-US" w:eastAsia="zh-CN"/>
        </w:rPr>
        <w:t>38.76</w:t>
      </w:r>
      <w:r>
        <w:rPr>
          <w:rFonts w:ascii="仿宋" w:eastAsia="仿宋" w:hint="eastAsia"/>
          <w:color w:val="000000"/>
          <w:sz w:val="32"/>
          <w:szCs w:val="32"/>
        </w:rPr>
        <w:t>万元，主要包括：</w:t>
      </w:r>
      <w:r>
        <w:rPr>
          <w:rFonts w:ascii="仿宋" w:eastAsia="仿宋" w:hint="eastAsia"/>
          <w:color w:val="000000"/>
          <w:sz w:val="32"/>
          <w:szCs w:val="32"/>
          <w:lang w:eastAsia="zh-CN"/>
        </w:rPr>
        <w:t>办公费</w:t>
      </w:r>
      <w:r>
        <w:rPr>
          <w:rFonts w:ascii="仿宋" w:eastAsia="仿宋" w:hint="eastAsia"/>
          <w:color w:val="000000"/>
          <w:sz w:val="32"/>
          <w:szCs w:val="32"/>
          <w:lang w:val="en-US" w:eastAsia="zh-CN"/>
        </w:rPr>
        <w:t>8.33万元，印刷费4万元，劳务费4.93万元，电费3.5万元，邮电费3万元，委托业务费1万元，差旅费7万元，公务用车运行维护费6万元，其他交通费1万元。</w:t>
      </w:r>
    </w:p>
    <w:p>
      <w:pPr>
        <w:snapToGrid w:val="0"/>
        <w:spacing w:line="520" w:lineRule="exact"/>
        <w:ind w:firstLineChars="200" w:firstLine="640"/>
        <w:rPr>
          <w:rFonts w:ascii="仿宋_GB2312" w:eastAsia="仿宋_GB2312" w:cs="仿宋_GB2312" w:hint="eastAsia"/>
          <w:color w:val="000000"/>
          <w:sz w:val="32"/>
          <w:szCs w:val="32"/>
          <w:lang w:val="en-US" w:eastAsia="zh-CN"/>
          <w:highlight w:val="auto"/>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w:t>
      </w:r>
      <w:r>
        <w:rPr>
          <w:rFonts w:ascii="仿宋" w:eastAsia="仿宋" w:hint="eastAsia"/>
          <w:color w:val="000000"/>
          <w:sz w:val="32"/>
          <w:szCs w:val="32"/>
          <w:lang w:eastAsia="zh-CN"/>
        </w:rPr>
        <w:t>项目</w:t>
      </w:r>
      <w:r>
        <w:rPr>
          <w:rFonts w:ascii="仿宋" w:eastAsia="仿宋" w:hint="eastAsia"/>
          <w:color w:val="000000"/>
          <w:sz w:val="32"/>
          <w:szCs w:val="32"/>
        </w:rPr>
        <w:t>支出</w:t>
      </w:r>
      <w:r>
        <w:rPr>
          <w:rFonts w:ascii="仿宋_GB2312" w:eastAsia="仿宋_GB2312" w:hint="eastAsia"/>
          <w:sz w:val="32"/>
          <w:szCs w:val="32"/>
          <w:lang w:val="en-US" w:eastAsia="zh-CN"/>
        </w:rPr>
        <w:t>331.52</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_GB2312" w:eastAsia="仿宋_GB2312" w:hint="eastAsia"/>
          <w:color w:val="000000"/>
          <w:sz w:val="32"/>
          <w:szCs w:val="32"/>
          <w:highlight w:val="auto"/>
        </w:rPr>
        <w:t>主要包括</w:t>
      </w:r>
      <w:r>
        <w:rPr>
          <w:rFonts w:ascii="仿宋" w:eastAsia="仿宋" w:hint="eastAsia"/>
          <w:color w:val="000000"/>
          <w:sz w:val="32"/>
          <w:szCs w:val="32"/>
          <w:lang w:val="en-US" w:eastAsia="zh-CN"/>
        </w:rPr>
        <w:t>：</w:t>
      </w:r>
      <w:r>
        <w:rPr>
          <w:rFonts w:ascii="仿宋_GB2312" w:eastAsia="仿宋_GB2312" w:hint="eastAsia"/>
          <w:color w:val="000000"/>
          <w:sz w:val="32"/>
          <w:szCs w:val="32"/>
          <w:highlight w:val="auto"/>
        </w:rPr>
        <w:t>对村干部生活补助支出</w:t>
      </w:r>
      <w:r>
        <w:rPr>
          <w:rFonts w:ascii="仿宋_GB2312" w:eastAsia="仿宋_GB2312" w:hint="eastAsia"/>
          <w:color w:val="000000"/>
          <w:sz w:val="32"/>
          <w:szCs w:val="32"/>
          <w:lang w:val="en-US" w:eastAsia="zh-CN"/>
          <w:highlight w:val="auto"/>
        </w:rPr>
        <w:t>106.2</w:t>
      </w:r>
      <w:r>
        <w:rPr>
          <w:rFonts w:ascii="仿宋_GB2312" w:eastAsia="仿宋_GB2312" w:hint="eastAsia"/>
          <w:color w:val="000000"/>
          <w:sz w:val="32"/>
          <w:szCs w:val="32"/>
          <w:highlight w:val="auto"/>
        </w:rPr>
        <w:t>万元，村级维护费办公费</w:t>
      </w:r>
      <w:r>
        <w:rPr>
          <w:rFonts w:ascii="仿宋_GB2312" w:eastAsia="仿宋_GB2312" w:hint="eastAsia"/>
          <w:color w:val="000000"/>
          <w:sz w:val="32"/>
          <w:szCs w:val="32"/>
          <w:lang w:val="en-US" w:eastAsia="zh-CN"/>
          <w:highlight w:val="auto"/>
        </w:rPr>
        <w:t>66</w:t>
      </w:r>
      <w:r>
        <w:rPr>
          <w:rFonts w:ascii="仿宋_GB2312" w:eastAsia="仿宋_GB2312" w:hint="eastAsia"/>
          <w:color w:val="000000"/>
          <w:sz w:val="32"/>
          <w:szCs w:val="32"/>
          <w:highlight w:val="auto"/>
        </w:rPr>
        <w:t>万元</w:t>
      </w:r>
      <w:r>
        <w:rPr>
          <w:rFonts w:ascii="仿宋_GB2312" w:eastAsia="仿宋_GB2312" w:cs="仿宋_GB2312" w:hint="eastAsia"/>
          <w:color w:val="000000"/>
          <w:sz w:val="32"/>
          <w:szCs w:val="32"/>
          <w:highlight w:val="auto"/>
        </w:rPr>
        <w:t>（其中公共运行维护费</w:t>
      </w:r>
      <w:r>
        <w:rPr>
          <w:rFonts w:ascii="仿宋_GB2312" w:eastAsia="仿宋_GB2312" w:cs="仿宋_GB2312" w:hint="eastAsia"/>
          <w:color w:val="000000"/>
          <w:sz w:val="32"/>
          <w:szCs w:val="32"/>
          <w:lang w:val="en-US" w:eastAsia="zh-CN"/>
          <w:highlight w:val="auto"/>
        </w:rPr>
        <w:t>42</w:t>
      </w:r>
      <w:r>
        <w:rPr>
          <w:rFonts w:ascii="仿宋_GB2312" w:eastAsia="仿宋_GB2312" w:cs="仿宋_GB2312" w:hint="eastAsia"/>
          <w:color w:val="000000"/>
          <w:sz w:val="32"/>
          <w:szCs w:val="32"/>
          <w:highlight w:val="auto"/>
        </w:rPr>
        <w:t>万元、基层党组织活动经费1</w:t>
      </w:r>
      <w:r>
        <w:rPr>
          <w:rFonts w:ascii="仿宋_GB2312" w:eastAsia="仿宋_GB2312" w:cs="仿宋_GB2312" w:hint="eastAsia"/>
          <w:color w:val="000000"/>
          <w:sz w:val="32"/>
          <w:szCs w:val="32"/>
          <w:lang w:val="en-US" w:eastAsia="zh-CN"/>
          <w:highlight w:val="auto"/>
        </w:rPr>
        <w:t>2</w:t>
      </w:r>
      <w:r>
        <w:rPr>
          <w:rFonts w:ascii="仿宋_GB2312" w:eastAsia="仿宋_GB2312" w:cs="仿宋_GB2312" w:hint="eastAsia"/>
          <w:color w:val="000000"/>
          <w:sz w:val="32"/>
          <w:szCs w:val="32"/>
          <w:highlight w:val="auto"/>
        </w:rPr>
        <w:t>万元、办公费1</w:t>
      </w:r>
      <w:r>
        <w:rPr>
          <w:rFonts w:ascii="仿宋_GB2312" w:eastAsia="仿宋_GB2312" w:cs="仿宋_GB2312" w:hint="eastAsia"/>
          <w:color w:val="000000"/>
          <w:sz w:val="32"/>
          <w:szCs w:val="32"/>
          <w:lang w:val="en-US" w:eastAsia="zh-CN"/>
          <w:highlight w:val="auto"/>
        </w:rPr>
        <w:t>2</w:t>
      </w:r>
      <w:r>
        <w:rPr>
          <w:rFonts w:ascii="仿宋_GB2312" w:eastAsia="仿宋_GB2312" w:cs="仿宋_GB2312" w:hint="eastAsia"/>
          <w:color w:val="000000"/>
          <w:sz w:val="32"/>
          <w:szCs w:val="32"/>
          <w:highlight w:val="auto"/>
        </w:rPr>
        <w:t>万元）</w:t>
      </w:r>
      <w:r>
        <w:rPr>
          <w:rFonts w:ascii="仿宋_GB2312" w:eastAsia="仿宋_GB2312" w:hint="eastAsia"/>
          <w:color w:val="000000"/>
          <w:sz w:val="32"/>
          <w:szCs w:val="32"/>
          <w:highlight w:val="auto"/>
        </w:rPr>
        <w:t>，</w:t>
      </w:r>
      <w:r>
        <w:rPr>
          <w:rFonts w:ascii="仿宋_GB2312" w:eastAsia="仿宋_GB2312" w:cs="Times New Roman" w:hint="eastAsia"/>
          <w:color w:val="000000"/>
          <w:sz w:val="32"/>
          <w:szCs w:val="32"/>
          <w:lang w:val="en-US" w:eastAsia="zh-CN"/>
          <w:highlight w:val="auto"/>
        </w:rPr>
        <w:t>突发公共卫生事件应急处理5</w:t>
      </w:r>
      <w:r>
        <w:rPr>
          <w:rFonts w:ascii="仿宋_GB2312" w:eastAsia="仿宋_GB2312" w:hint="eastAsia"/>
          <w:color w:val="000000"/>
          <w:sz w:val="32"/>
          <w:szCs w:val="32"/>
          <w:lang w:val="en-US" w:eastAsia="zh-CN"/>
          <w:highlight w:val="auto"/>
        </w:rPr>
        <w:t>万元，</w:t>
      </w:r>
      <w:r>
        <w:rPr>
          <w:rFonts w:ascii="仿宋_GB2312" w:eastAsia="仿宋_GB2312" w:cs="仿宋_GB2312" w:hint="eastAsia"/>
          <w:color w:val="000000"/>
          <w:sz w:val="32"/>
          <w:szCs w:val="32"/>
          <w:lang w:val="en-US" w:eastAsia="zh-CN"/>
          <w:highlight w:val="auto"/>
        </w:rPr>
        <w:t>金川县沙耳乡2022年克尔玛村红色旅游文化道路提档升级建设项目33.12万元，</w:t>
      </w:r>
      <w:r>
        <w:rPr>
          <w:rFonts w:ascii="仿宋_GB2312" w:eastAsia="仿宋_GB2312" w:cs="仿宋_GB2312" w:hint="eastAsia"/>
          <w:color w:val="000000"/>
          <w:sz w:val="32"/>
          <w:szCs w:val="32"/>
          <w:highlight w:val="auto"/>
        </w:rPr>
        <w:t>金川县沙耳乡沙耳尼村乡村综合提升项目</w:t>
      </w:r>
      <w:r>
        <w:rPr>
          <w:rFonts w:ascii="仿宋_GB2312" w:eastAsia="仿宋_GB2312" w:cs="仿宋_GB2312" w:hint="eastAsia"/>
          <w:color w:val="000000"/>
          <w:sz w:val="32"/>
          <w:szCs w:val="32"/>
          <w:lang w:val="en-US" w:eastAsia="zh-CN"/>
          <w:highlight w:val="auto"/>
        </w:rPr>
        <w:t>61.82万元，</w:t>
      </w:r>
      <w:r>
        <w:rPr>
          <w:rFonts w:ascii="仿宋_GB2312" w:eastAsia="仿宋_GB2312" w:cs="仿宋_GB2312" w:hint="eastAsia"/>
          <w:color w:val="000000"/>
          <w:sz w:val="32"/>
          <w:szCs w:val="32"/>
          <w:highlight w:val="auto"/>
        </w:rPr>
        <w:t xml:space="preserve">金川县沙耳乡沙耳尼村集体经济建设项目 </w:t>
      </w:r>
      <w:r>
        <w:rPr>
          <w:rFonts w:ascii="仿宋_GB2312" w:eastAsia="仿宋_GB2312" w:cs="仿宋_GB2312" w:hint="eastAsia"/>
          <w:color w:val="000000"/>
          <w:sz w:val="32"/>
          <w:szCs w:val="32"/>
          <w:lang w:val="en-US" w:eastAsia="zh-CN"/>
          <w:highlight w:val="auto"/>
        </w:rPr>
        <w:t>55万元，三老干部生活补助4.32万元、会议费0.06万元。</w:t>
      </w:r>
    </w:p>
    <w:p>
      <w:pPr>
        <w:pageBreakBefore w:val="0"/>
        <w:widowControl w:val="0"/>
        <w:kinsoku/>
        <w:wordWrap/>
        <w:overflowPunct/>
        <w:topLinePunct w:val="0"/>
        <w:bidi w:val="0"/>
        <w:spacing w:line="576" w:lineRule="exact"/>
        <w:ind w:firstLine="640"/>
        <w:outlineLvl w:val="1"/>
        <w:rPr>
          <w:rStyle w:val="2Char"/>
          <w:rFonts w:ascii="Times New Roman" w:eastAsia="黑体" w:cs="Times New Roman" w:hAnsi="Times New Roman"/>
          <w:b w:val="0"/>
        </w:rPr>
      </w:pPr>
      <w:r>
        <w:rPr>
          <w:rFonts w:ascii="Times New Roman" w:eastAsia="黑体" w:cs="Times New Roman" w:hAnsi="Times New Roman"/>
          <w:sz w:val="32"/>
          <w:szCs w:val="32"/>
        </w:rPr>
        <w:t>七、</w:t>
      </w:r>
      <w:r>
        <w:rPr>
          <w:rStyle w:val="2Char"/>
          <w:rFonts w:ascii="Times New Roman" w:eastAsia="黑体" w:cs="Times New Roman" w:hAnsi="Times New Roman"/>
        </w:rPr>
        <w:t>“</w:t>
      </w:r>
      <w:r>
        <w:rPr>
          <w:rStyle w:val="2Char"/>
          <w:rFonts w:ascii="Times New Roman" w:eastAsia="黑体" w:cs="Times New Roman" w:hAnsi="Times New Roman"/>
          <w:b w:val="0"/>
        </w:rPr>
        <w:t>三公”经费财政拨款支出决算情况说明</w:t>
      </w:r>
      <w:bookmarkEnd w:id="54"/>
      <w:bookmarkEnd w:id="55"/>
      <w:bookmarkEnd w:id="56"/>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57" w:name="_Toc15377216"/>
      <w:r>
        <w:rPr>
          <w:rFonts w:ascii="Times New Roman" w:eastAsia="仿宋" w:cs="Times New Roman" w:hAnsi="Times New Roman"/>
          <w:b/>
          <w:sz w:val="32"/>
          <w:szCs w:val="32"/>
        </w:rPr>
        <w:t>（一）“三公”经费财政拨款支出决算总体情况说明</w:t>
      </w:r>
      <w:bookmarkEnd w:id="57"/>
    </w:p>
    <w:p>
      <w:pPr>
        <w:spacing w:line="600" w:lineRule="exact"/>
        <w:ind w:firstLine="640"/>
        <w:rPr>
          <w:rFonts w:ascii="Times New Roman" w:eastAsia="仿宋_GB2312" w:cs="Times New Roman" w:hAnsi="Times New Roman"/>
          <w:sz w:val="32"/>
          <w:szCs w:val="32"/>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6</w:t>
      </w:r>
      <w:r>
        <w:rPr>
          <w:rFonts w:ascii="仿宋" w:eastAsia="仿宋" w:hint="eastAsia"/>
          <w:color w:val="000000"/>
          <w:sz w:val="32"/>
          <w:szCs w:val="32"/>
        </w:rPr>
        <w:t>万元，完成预算</w:t>
      </w:r>
      <w:r>
        <w:rPr>
          <w:rFonts w:ascii="仿宋" w:eastAsia="仿宋" w:hint="eastAsia"/>
          <w:color w:val="000000"/>
          <w:sz w:val="32"/>
          <w:szCs w:val="32"/>
          <w:lang w:val="en-US" w:eastAsia="zh-CN"/>
        </w:rPr>
        <w:t>100</w:t>
      </w:r>
      <w:r>
        <w:rPr>
          <w:rFonts w:ascii="仿宋" w:eastAsia="仿宋"/>
          <w:color w:val="000000"/>
          <w:sz w:val="32"/>
          <w:szCs w:val="32"/>
        </w:rPr>
        <w:t>%</w:t>
      </w:r>
      <w:r>
        <w:rPr>
          <w:rFonts w:ascii="Times New Roman" w:eastAsia="仿宋_GB2312" w:cs="Times New Roman" w:hAnsi="Times New Roman"/>
          <w:sz w:val="32"/>
          <w:szCs w:val="32"/>
        </w:rPr>
        <w:t>。</w:t>
      </w:r>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58" w:name="_Toc15377217"/>
      <w:r>
        <w:rPr>
          <w:rFonts w:ascii="Times New Roman" w:eastAsia="仿宋" w:cs="Times New Roman" w:hAnsi="Times New Roman"/>
          <w:b/>
          <w:sz w:val="32"/>
          <w:szCs w:val="32"/>
        </w:rPr>
        <w:t>（二）</w:t>
      </w:r>
      <w:bookmarkStart w:id="59" w:name="OLE_LINK2"/>
      <w:r>
        <w:rPr>
          <w:rFonts w:ascii="Times New Roman" w:eastAsia="仿宋" w:cs="Times New Roman" w:hAnsi="Times New Roman"/>
          <w:b/>
          <w:sz w:val="32"/>
          <w:szCs w:val="32"/>
        </w:rPr>
        <w:t>“三公”经费财政拨款支出</w:t>
      </w:r>
      <w:bookmarkEnd w:id="59"/>
      <w:r>
        <w:rPr>
          <w:rFonts w:ascii="Times New Roman" w:eastAsia="仿宋" w:cs="Times New Roman" w:hAnsi="Times New Roman"/>
          <w:b/>
          <w:sz w:val="32"/>
          <w:szCs w:val="32"/>
        </w:rPr>
        <w:t>决算具体情况说明</w:t>
      </w:r>
      <w:bookmarkEnd w:id="58"/>
    </w:p>
    <w:p>
      <w:pPr>
        <w:spacing w:line="600" w:lineRule="exact"/>
        <w:ind w:firstLine="640"/>
        <w:rPr>
          <w:rFonts w:ascii="仿宋" w:eastAsia="仿宋" w:hint="eastAsia"/>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年“三公”经费财政拨款支出</w:t>
      </w:r>
      <w:r>
        <w:rPr>
          <w:rFonts w:ascii="仿宋" w:eastAsia="仿宋" w:hint="eastAsia"/>
          <w:color w:val="auto"/>
          <w:sz w:val="32"/>
          <w:szCs w:val="32"/>
        </w:rPr>
        <w:t>决算</w:t>
      </w:r>
      <w:r>
        <w:rPr>
          <w:rFonts w:ascii="仿宋" w:eastAsia="仿宋" w:hint="eastAsia"/>
          <w:color w:val="auto"/>
          <w:sz w:val="32"/>
          <w:szCs w:val="32"/>
          <w:lang w:val="en-US" w:eastAsia="zh-CN"/>
        </w:rPr>
        <w:t>6万元</w:t>
      </w:r>
      <w:r>
        <w:rPr>
          <w:rFonts w:ascii="仿宋" w:eastAsia="仿宋" w:hint="eastAsia"/>
          <w:color w:val="000000"/>
          <w:sz w:val="32"/>
          <w:szCs w:val="32"/>
        </w:rPr>
        <w:t>，</w:t>
      </w:r>
      <w:r>
        <w:rPr>
          <w:rFonts w:ascii="仿宋" w:eastAsia="仿宋" w:hint="eastAsia"/>
          <w:color w:val="000000"/>
          <w:sz w:val="32"/>
          <w:szCs w:val="32"/>
          <w:lang w:val="en-US" w:eastAsia="zh-CN"/>
        </w:rPr>
        <w:t>其中：</w:t>
      </w:r>
      <w:r>
        <w:rPr>
          <w:rFonts w:ascii="仿宋" w:eastAsia="仿宋" w:hint="eastAsia"/>
          <w:color w:val="000000"/>
          <w:sz w:val="32"/>
          <w:szCs w:val="32"/>
        </w:rPr>
        <w:t>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6</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。具体情况如下：</w:t>
      </w:r>
    </w:p>
    <w:p>
      <w:pPr>
        <w:pStyle w:val="16"/>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r>
        <w:rPr>
          <w:rFonts w:ascii="仿宋" w:eastAsia="仿宋" w:hint="eastAsia"/>
          <w:color w:val="000000"/>
          <w:sz w:val="32"/>
          <w:szCs w:val="32"/>
          <w:lang w:eastAsia="zh-CN"/>
        </w:rPr>
        <w:drawing>
          <wp:anchor distT="0" distB="0" distL="114300" distR="114300" simplePos="0" relativeHeight="22" behindDoc="0" locked="0" layoutInCell="1" hidden="0" allowOverlap="1">
            <wp:simplePos x="0" y="0"/>
            <wp:positionH relativeFrom="column">
              <wp:posOffset>-207010</wp:posOffset>
            </wp:positionH>
            <wp:positionV relativeFrom="paragraph">
              <wp:posOffset>208279</wp:posOffset>
            </wp:positionV>
            <wp:extent cx="5071109" cy="2591435"/>
            <wp:effectExtent l="0" t="0" r="0" b="0"/>
            <wp:wrapTopAndBottom/>
            <wp:docPr id="7" name="图表 2"/>
            <wp:cNvGraphicFramePr>
              <a:graphicFrameLocks noChangeAspect="0"/>
            </wp:cNvGraphicFramePr>
            <a:graphic>
              <a:graphicData uri="http://schemas.openxmlformats.org/drawingml/2006/chart">
                <c:chart xmlns:c="http://schemas.openxmlformats.org/drawingml/2006/chart" r:id="rId10"/>
              </a:graphicData>
            </a:graphic>
          </wp:anchor>
        </w:drawing>
      </w:r>
    </w:p>
    <w:p>
      <w:pPr>
        <w:pageBreakBefore w:val="0"/>
        <w:widowControl w:val="0"/>
        <w:kinsoku/>
        <w:wordWrap/>
        <w:overflowPunct/>
        <w:topLinePunct w:val="0"/>
        <w:bidi w:val="0"/>
        <w:spacing w:line="576" w:lineRule="exact"/>
        <w:ind w:firstLine="640"/>
        <w:rPr>
          <w:rFonts w:ascii="Times New Roman" w:cs="Times New Roman" w:hAnsi="Times New Roman"/>
        </w:rPr>
      </w:pPr>
      <w:r>
        <w:rPr>
          <w:rFonts w:ascii="Times New Roman" w:eastAsia="仿宋" w:cs="Times New Roman" w:hAnsi="Times New Roman"/>
          <w:color w:val="auto"/>
          <w:sz w:val="32"/>
          <w:szCs w:val="32"/>
        </w:rPr>
        <w:t>（图7：“三公”经费财政拨款支出结构）（饼状图）</w:t>
      </w:r>
    </w:p>
    <w:p>
      <w:pPr>
        <w:pageBreakBefore w:val="0"/>
        <w:widowControl w:val="0"/>
        <w:kinsoku/>
        <w:wordWrap/>
        <w:overflowPunct/>
        <w:topLinePunct w:val="0"/>
        <w:bidi w:val="0"/>
        <w:spacing w:line="576" w:lineRule="exact"/>
        <w:ind w:firstLine="640"/>
        <w:rPr>
          <w:rFonts w:ascii="Times New Roman" w:eastAsia="仿宋_GB2312" w:cs="Times New Roman" w:hAnsi="Times New Roman"/>
          <w:b/>
          <w:sz w:val="32"/>
          <w:szCs w:val="32"/>
        </w:rPr>
      </w:pPr>
      <w:r>
        <w:rPr>
          <w:rFonts w:ascii="Times New Roman" w:eastAsia="仿宋_GB2312" w:cs="Times New Roman" w:hAnsi="Times New Roman"/>
          <w:b/>
          <w:sz w:val="32"/>
          <w:szCs w:val="32"/>
        </w:rPr>
        <w:t>1.</w:t>
      </w:r>
      <w:r>
        <w:rPr>
          <w:rFonts w:ascii="Times New Roman" w:eastAsia="仿宋_GB2312" w:cs="Times New Roman" w:hAnsi="Times New Roman"/>
          <w:b/>
          <w:bCs/>
          <w:sz w:val="32"/>
          <w:szCs w:val="32"/>
        </w:rPr>
        <w:t>因公出国（境）经费支出</w:t>
      </w:r>
      <w:r>
        <w:rPr>
          <w:rFonts w:ascii="Times New Roman" w:eastAsia="仿宋_GB2312" w:cs="Times New Roman" w:hAnsi="Times New Roman"/>
          <w:sz w:val="32"/>
          <w:szCs w:val="32"/>
        </w:rPr>
        <w:t>0万元，</w:t>
      </w:r>
      <w:r>
        <w:rPr>
          <w:rFonts w:ascii="Times New Roman" w:eastAsia="仿宋_GB2312" w:cs="Times New Roman" w:hAnsi="Times New Roman"/>
          <w:bCs/>
          <w:sz w:val="32"/>
          <w:szCs w:val="32"/>
        </w:rPr>
        <w:t>完成预算100%。</w:t>
      </w:r>
      <w:r>
        <w:rPr>
          <w:rFonts w:ascii="Times New Roman" w:eastAsia="仿宋_GB2312" w:cs="Times New Roman" w:hAnsi="Times New Roman"/>
          <w:sz w:val="32"/>
          <w:szCs w:val="32"/>
        </w:rPr>
        <w:t>全年安排因公出国（境）团组0次，出国（境）0人。因公出国（境）支出决算比202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年持平。</w:t>
      </w:r>
    </w:p>
    <w:p>
      <w:pPr>
        <w:autoSpaceDE w:val="0"/>
        <w:autoSpaceDN w:val="0"/>
        <w:adjustRightInd w:val="0"/>
        <w:spacing w:line="600" w:lineRule="exact"/>
        <w:ind w:firstLineChars="200" w:firstLine="640"/>
        <w:jc w:val="left"/>
        <w:rPr>
          <w:rFonts w:ascii="仿宋_GB2312" w:eastAsia="仿宋_GB2312" w:hint="eastAsia"/>
          <w:color w:val="auto"/>
          <w:sz w:val="32"/>
          <w:szCs w:val="32"/>
        </w:rPr>
      </w:pPr>
      <w:r>
        <w:rPr>
          <w:rFonts w:ascii="Times New Roman" w:eastAsia="仿宋_GB2312" w:cs="Times New Roman" w:hAnsi="Times New Roman"/>
          <w:b/>
          <w:sz w:val="32"/>
          <w:szCs w:val="32"/>
        </w:rPr>
        <w:t>2.公务用车购置及运行维护费支出</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w:t>
      </w:r>
      <w:r>
        <w:rPr>
          <w:rStyle w:val="24"/>
          <w:rFonts w:ascii="仿宋" w:eastAsia="仿宋" w:hint="eastAsia"/>
          <w:b w:val="0"/>
          <w:bCs/>
          <w:color w:val="000000"/>
          <w:sz w:val="32"/>
          <w:szCs w:val="32"/>
          <w:lang w:val="en-US" w:eastAsia="zh-CN"/>
        </w:rPr>
        <w:t>6</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w:t>
      </w:r>
      <w:r>
        <w:rPr>
          <w:rFonts w:ascii="仿宋_GB2312" w:eastAsia="仿宋_GB2312" w:hint="eastAsia"/>
          <w:color w:val="000000"/>
          <w:sz w:val="32"/>
          <w:szCs w:val="32"/>
          <w:lang w:eastAsia="zh-CN"/>
        </w:rPr>
        <w:t>与</w:t>
      </w:r>
      <w:r>
        <w:rPr>
          <w:rFonts w:ascii="仿宋_GB2312" w:eastAsia="仿宋_GB2312"/>
          <w:color w:val="000000"/>
          <w:sz w:val="32"/>
          <w:szCs w:val="32"/>
        </w:rPr>
        <w:t>2</w:t>
      </w:r>
      <w:r>
        <w:rPr>
          <w:rFonts w:ascii="仿宋_GB2312" w:eastAsia="仿宋_GB2312" w:hint="eastAsia"/>
          <w:color w:val="000000"/>
          <w:sz w:val="32"/>
          <w:szCs w:val="32"/>
          <w:lang w:val="en-US" w:eastAsia="zh-CN"/>
        </w:rPr>
        <w:t>021</w:t>
      </w:r>
      <w:r>
        <w:rPr>
          <w:rFonts w:ascii="仿宋_GB2312" w:eastAsia="仿宋_GB2312" w:hint="eastAsia"/>
          <w:color w:val="000000"/>
          <w:sz w:val="32"/>
          <w:szCs w:val="32"/>
        </w:rPr>
        <w:t>年</w:t>
      </w:r>
      <w:r>
        <w:rPr>
          <w:rFonts w:ascii="Times New Roman" w:eastAsia="仿宋_GB2312" w:cs="Times New Roman" w:hAnsi="Times New Roman"/>
          <w:sz w:val="32"/>
          <w:szCs w:val="32"/>
        </w:rPr>
        <w:t>持平</w:t>
      </w:r>
      <w:r>
        <w:rPr>
          <w:rFonts w:ascii="仿宋_GB2312" w:eastAsia="仿宋_GB2312" w:hint="eastAsia"/>
          <w:color w:val="auto"/>
          <w:sz w:val="32"/>
          <w:szCs w:val="32"/>
        </w:rPr>
        <w:t>。</w:t>
      </w:r>
    </w:p>
    <w:p>
      <w:pPr>
        <w:autoSpaceDE w:val="0"/>
        <w:autoSpaceDN w:val="0"/>
        <w:adjustRightInd w:val="0"/>
        <w:spacing w:line="600" w:lineRule="exact"/>
        <w:ind w:firstLineChars="200" w:firstLine="640"/>
        <w:jc w:val="left"/>
        <w:rPr>
          <w:rFonts w:ascii="Times New Roman" w:eastAsia="仿宋_GB2312" w:cs="Times New Roman" w:hAnsi="Times New Roman"/>
          <w:b/>
          <w:sz w:val="32"/>
          <w:szCs w:val="32"/>
        </w:rPr>
      </w:pPr>
      <w:r>
        <w:rPr>
          <w:rFonts w:ascii="仿宋_GB2312" w:eastAsia="仿宋_GB2312" w:hint="eastAsia"/>
          <w:b/>
          <w:color w:val="000000"/>
          <w:sz w:val="32"/>
          <w:szCs w:val="32"/>
        </w:rPr>
        <w:t>用车购置支出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辆。截至</w:t>
      </w:r>
      <w:r>
        <w:rPr>
          <w:rFonts w:ascii="仿宋_GB2312" w:eastAsia="仿宋_GB2312" w:hint="eastAsia"/>
          <w:color w:val="000000"/>
          <w:sz w:val="32"/>
          <w:szCs w:val="32"/>
          <w:lang w:val="en-US" w:eastAsia="zh-CN"/>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辆，其中：部级领导干部用车0辆、主要领导干部用车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辆、执法执勤用车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辆、离退休干部用车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p>
    <w:p>
      <w:pPr>
        <w:spacing w:line="600" w:lineRule="exact"/>
        <w:ind w:firstLine="640"/>
        <w:rPr>
          <w:rFonts w:ascii="仿宋_GB2312" w:eastAsia="仿宋_GB2312"/>
          <w:color w:val="000000"/>
          <w:sz w:val="32"/>
          <w:szCs w:val="32"/>
        </w:rPr>
      </w:pPr>
      <w:r>
        <w:rPr>
          <w:rFonts w:ascii="Times New Roman" w:eastAsia="仿宋_GB2312" w:cs="Times New Roman" w:hAnsi="Times New Roman"/>
          <w:b/>
          <w:bCs/>
          <w:sz w:val="32"/>
          <w:szCs w:val="32"/>
        </w:rPr>
        <w:t>公务用车运行维护费支出</w:t>
      </w:r>
      <w:r>
        <w:rPr>
          <w:rFonts w:eastAsia="仿宋_GB2312" w:cs="Times New Roman" w:hint="eastAsia"/>
          <w:sz w:val="32"/>
          <w:szCs w:val="32"/>
          <w:lang w:val="en-US" w:eastAsia="zh-CN"/>
        </w:rPr>
        <w:t>6</w:t>
      </w:r>
      <w:r>
        <w:rPr>
          <w:rFonts w:ascii="Times New Roman" w:eastAsia="仿宋_GB2312" w:cs="Times New Roman" w:hAnsi="Times New Roman"/>
          <w:sz w:val="32"/>
          <w:szCs w:val="32"/>
        </w:rPr>
        <w:t>万元。</w:t>
      </w:r>
      <w:r>
        <w:rPr>
          <w:rFonts w:ascii="仿宋_GB2312" w:eastAsia="仿宋_GB2312" w:hint="eastAsia"/>
          <w:color w:val="000000"/>
          <w:sz w:val="32"/>
          <w:szCs w:val="32"/>
        </w:rPr>
        <w:t>主要用</w:t>
      </w:r>
      <w:r>
        <w:rPr>
          <w:rFonts w:ascii="仿宋_GB2312" w:eastAsia="仿宋_GB2312" w:hint="eastAsia"/>
          <w:color w:val="000000"/>
          <w:sz w:val="32"/>
          <w:szCs w:val="32"/>
          <w:lang w:val="en-US" w:eastAsia="zh-CN"/>
        </w:rPr>
        <w:t>我乡</w:t>
      </w:r>
      <w:r>
        <w:rPr>
          <w:rFonts w:ascii="仿宋_GB2312" w:eastAsia="仿宋_GB2312" w:hint="eastAsia"/>
          <w:color w:val="000000"/>
          <w:sz w:val="32"/>
          <w:szCs w:val="32"/>
        </w:rPr>
        <w:t>所需的公务用车燃料费、维修费、过路过桥费、保险费等支出。</w:t>
      </w:r>
    </w:p>
    <w:p>
      <w:pPr>
        <w:spacing w:line="600" w:lineRule="exact"/>
        <w:ind w:left="640"/>
        <w:rPr>
          <w:rFonts w:ascii="仿宋_GB2312" w:eastAsia="仿宋_GB2312" w:cs="仿宋" w:hint="eastAsia"/>
          <w:color w:val="000000"/>
          <w:sz w:val="32"/>
          <w:szCs w:val="32"/>
          <w:lang w:val="en-US" w:eastAsia="zh-CN"/>
        </w:rPr>
      </w:pPr>
      <w:r>
        <w:rPr>
          <w:rFonts w:ascii="Times New Roman" w:eastAsia="仿宋_GB2312" w:cs="Times New Roman" w:hAnsi="Times New Roman"/>
          <w:b/>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cs="仿宋" w:hint="eastAsia"/>
          <w:color w:val="000000"/>
          <w:sz w:val="32"/>
          <w:szCs w:val="32"/>
          <w:lang w:val="en-US" w:eastAsia="zh-CN"/>
        </w:rPr>
        <w:t>公务接待费0万元，与上年持平。</w:t>
      </w:r>
    </w:p>
    <w:p>
      <w:pPr>
        <w:pageBreakBefore w:val="0"/>
        <w:widowControl w:val="0"/>
        <w:kinsoku/>
        <w:wordWrap/>
        <w:overflowPunct/>
        <w:topLinePunct w:val="0"/>
        <w:bidi w:val="0"/>
        <w:spacing w:line="576" w:lineRule="exact"/>
        <w:ind w:firstLineChars="300" w:firstLine="960"/>
        <w:rPr>
          <w:rFonts w:ascii="Times New Roman" w:eastAsia="黑体" w:cs="Times New Roman" w:hAnsi="Times New Roman"/>
          <w:sz w:val="32"/>
          <w:szCs w:val="32"/>
        </w:rPr>
      </w:pPr>
      <w:r>
        <w:rPr>
          <w:rFonts w:ascii="Times New Roman" w:eastAsia="仿宋" w:cs="Times New Roman" w:hAnsi="Times New Roman"/>
          <w:b/>
          <w:sz w:val="32"/>
          <w:szCs w:val="32"/>
        </w:rPr>
        <w:t>外事接待支出</w:t>
      </w:r>
      <w:r>
        <w:rPr>
          <w:rFonts w:ascii="Times New Roman" w:eastAsia="仿宋" w:cs="Times New Roman" w:hAnsi="Times New Roman"/>
          <w:sz w:val="32"/>
          <w:szCs w:val="32"/>
        </w:rPr>
        <w:t>0</w:t>
      </w:r>
      <w:r>
        <w:rPr>
          <w:rFonts w:ascii="Times New Roman" w:eastAsia="仿宋_GB2312" w:cs="Times New Roman" w:hAnsi="Times New Roman"/>
          <w:sz w:val="32"/>
          <w:szCs w:val="32"/>
        </w:rPr>
        <w:t>万元，外事接待0批次，0人，共计支出0万元</w:t>
      </w:r>
      <w:bookmarkStart w:id="60" w:name="_Toc15377218"/>
      <w:bookmarkStart w:id="61" w:name="_Toc15396610"/>
    </w:p>
    <w:p>
      <w:pPr>
        <w:pageBreakBefore w:val="0"/>
        <w:widowControl w:val="0"/>
        <w:kinsoku/>
        <w:wordWrap/>
        <w:overflowPunct/>
        <w:topLinePunct w:val="0"/>
        <w:bidi w:val="0"/>
        <w:spacing w:line="576" w:lineRule="exact"/>
        <w:ind w:firstLine="640"/>
        <w:outlineLvl w:val="1"/>
        <w:rPr>
          <w:rStyle w:val="2Char"/>
          <w:rFonts w:ascii="Times New Roman" w:eastAsia="黑体" w:cs="Times New Roman" w:hAnsi="Times New Roman"/>
        </w:rPr>
      </w:pPr>
      <w:bookmarkStart w:id="62" w:name="_Toc26843619"/>
      <w:r>
        <w:rPr>
          <w:rFonts w:ascii="Times New Roman" w:eastAsia="黑体" w:cs="Times New Roman" w:hAnsi="Times New Roman"/>
          <w:sz w:val="32"/>
          <w:szCs w:val="32"/>
        </w:rPr>
        <w:t>八、</w:t>
      </w:r>
      <w:r>
        <w:rPr>
          <w:rStyle w:val="2Char"/>
          <w:rFonts w:ascii="Times New Roman" w:eastAsia="黑体" w:cs="Times New Roman" w:hAnsi="Times New Roman"/>
          <w:b w:val="0"/>
        </w:rPr>
        <w:t>政府性基金预算支出决算情况说明</w:t>
      </w:r>
      <w:bookmarkEnd w:id="60"/>
      <w:bookmarkEnd w:id="61"/>
      <w:bookmarkEnd w:id="62"/>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年政府性基金预算财政拨款支出0万元。</w:t>
      </w:r>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p>
    <w:p>
      <w:pPr>
        <w:pageBreakBefore w:val="0"/>
        <w:widowControl w:val="0"/>
        <w:numPr>
          <w:ilvl w:val="0"/>
          <w:numId w:val="2"/>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63" w:name="_Toc15377219"/>
      <w:bookmarkStart w:id="64" w:name="_Toc15396611"/>
      <w:bookmarkStart w:id="65" w:name="_Toc26843620"/>
      <w:r>
        <w:rPr>
          <w:rStyle w:val="2Char"/>
          <w:rFonts w:ascii="Times New Roman" w:eastAsia="黑体" w:cs="Times New Roman" w:hAnsi="Times New Roman"/>
          <w:b w:val="0"/>
        </w:rPr>
        <w:t>国有资本经营预算支出决算情况说明</w:t>
      </w:r>
      <w:bookmarkEnd w:id="63"/>
      <w:bookmarkEnd w:id="64"/>
      <w:bookmarkEnd w:id="65"/>
    </w:p>
    <w:p>
      <w:pPr>
        <w:pageBreakBefore w:val="0"/>
        <w:widowControl w:val="0"/>
        <w:kinsoku/>
        <w:wordWrap/>
        <w:overflowPunct/>
        <w:topLinePunct w:val="0"/>
        <w:bidi w:val="0"/>
        <w:spacing w:line="576" w:lineRule="exact"/>
        <w:ind w:firstLine="640"/>
        <w:rPr>
          <w:rFonts w:ascii="Times New Roman" w:eastAsia="方正小标宋简体" w:cs="Times New Roman" w:hAnsi="Times New Roman"/>
          <w:sz w:val="44"/>
          <w:szCs w:val="44"/>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年国有资本经营预算财政拨款支出0万元。</w:t>
      </w:r>
    </w:p>
    <w:p>
      <w:pPr>
        <w:pageBreakBefore w:val="0"/>
        <w:widowControl w:val="0"/>
        <w:numPr>
          <w:ilvl w:val="0"/>
          <w:numId w:val="2"/>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66" w:name="_Toc15377221"/>
      <w:bookmarkStart w:id="67" w:name="_Toc26843621"/>
      <w:bookmarkStart w:id="68" w:name="_Toc15396612"/>
      <w:r>
        <w:rPr>
          <w:rStyle w:val="2Char"/>
          <w:rFonts w:ascii="Times New Roman" w:eastAsia="黑体" w:cs="Times New Roman" w:hAnsi="Times New Roman"/>
          <w:b w:val="0"/>
        </w:rPr>
        <w:t>其他重要事项的情况说明</w:t>
      </w:r>
      <w:bookmarkEnd w:id="66"/>
      <w:bookmarkEnd w:id="67"/>
      <w:bookmarkEnd w:id="68"/>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sz w:val="32"/>
          <w:szCs w:val="32"/>
        </w:rPr>
      </w:pPr>
      <w:bookmarkStart w:id="69" w:name="_Toc15377222"/>
      <w:r>
        <w:rPr>
          <w:rFonts w:ascii="Times New Roman" w:eastAsia="仿宋" w:cs="Times New Roman" w:hAnsi="Times New Roman"/>
          <w:b/>
          <w:sz w:val="32"/>
          <w:szCs w:val="32"/>
        </w:rPr>
        <w:t>（一）机关运行经费支出情况</w:t>
      </w:r>
      <w:bookmarkEnd w:id="69"/>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w:t>
      </w:r>
      <w:r>
        <w:rPr>
          <w:rFonts w:eastAsia="仿宋_GB2312" w:cs="Times New Roman" w:hint="eastAsia"/>
          <w:sz w:val="32"/>
          <w:szCs w:val="32"/>
          <w:lang w:eastAsia="zh-CN"/>
        </w:rPr>
        <w:t>沙耳乡</w:t>
      </w:r>
      <w:r>
        <w:rPr>
          <w:rFonts w:ascii="Times New Roman" w:eastAsia="仿宋_GB2312" w:cs="Times New Roman" w:hAnsi="Times New Roman"/>
          <w:sz w:val="32"/>
          <w:szCs w:val="32"/>
        </w:rPr>
        <w:t>机关运行经费支出</w:t>
      </w:r>
      <w:r>
        <w:rPr>
          <w:rFonts w:eastAsia="仿宋_GB2312" w:cs="Times New Roman" w:hint="eastAsia"/>
          <w:sz w:val="32"/>
          <w:szCs w:val="32"/>
          <w:lang w:val="en-US" w:eastAsia="zh-CN"/>
        </w:rPr>
        <w:t>24.74</w:t>
      </w:r>
      <w:r>
        <w:rPr>
          <w:rFonts w:ascii="Times New Roman" w:eastAsia="仿宋_GB2312" w:cs="Times New Roman" w:hAnsi="Times New Roman"/>
          <w:sz w:val="32"/>
          <w:szCs w:val="32"/>
        </w:rPr>
        <w:t>万元，比202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年增加</w:t>
      </w:r>
      <w:r>
        <w:rPr>
          <w:rFonts w:eastAsia="仿宋_GB2312" w:cs="Times New Roman" w:hint="eastAsia"/>
          <w:sz w:val="32"/>
          <w:szCs w:val="32"/>
          <w:lang w:val="en-US" w:eastAsia="zh-CN"/>
        </w:rPr>
        <w:t>24.74</w:t>
      </w:r>
      <w:r>
        <w:rPr>
          <w:rFonts w:ascii="Times New Roman" w:eastAsia="仿宋_GB2312" w:cs="Times New Roman" w:hAnsi="Times New Roman"/>
          <w:sz w:val="32"/>
          <w:szCs w:val="32"/>
        </w:rPr>
        <w:t>万元，增长</w:t>
      </w:r>
      <w:r>
        <w:rPr>
          <w:rFonts w:eastAsia="仿宋_GB2312" w:cs="Times New Roman" w:hint="eastAsia"/>
          <w:sz w:val="32"/>
          <w:szCs w:val="32"/>
          <w:lang w:val="en-US" w:eastAsia="zh-CN"/>
        </w:rPr>
        <w:t>100</w:t>
      </w:r>
      <w:r>
        <w:rPr>
          <w:rFonts w:ascii="Times New Roman" w:eastAsia="仿宋_GB2312" w:cs="Times New Roman" w:hAnsi="Times New Roman"/>
          <w:sz w:val="32"/>
          <w:szCs w:val="32"/>
        </w:rPr>
        <w:t>%。主要原因是</w:t>
      </w:r>
      <w:r>
        <w:rPr>
          <w:rFonts w:eastAsia="仿宋_GB2312" w:cs="Times New Roman" w:hint="eastAsia"/>
          <w:sz w:val="32"/>
          <w:szCs w:val="32"/>
          <w:lang w:eastAsia="zh-CN"/>
        </w:rPr>
        <w:t>：</w:t>
      </w:r>
      <w:r>
        <w:rPr>
          <w:rFonts w:eastAsia="仿宋_GB2312" w:cs="Times New Roman" w:hint="eastAsia"/>
          <w:sz w:val="32"/>
          <w:szCs w:val="32"/>
          <w:lang w:val="en-US" w:eastAsia="zh-CN"/>
        </w:rPr>
        <w:t>2022年全年办公经费</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bookmarkStart w:id="70" w:name="_Toc15377223"/>
      <w:r>
        <w:rPr>
          <w:rFonts w:ascii="Times New Roman" w:eastAsia="仿宋" w:cs="Times New Roman" w:hAnsi="Times New Roman"/>
          <w:b/>
          <w:sz w:val="32"/>
          <w:szCs w:val="32"/>
        </w:rPr>
        <w:t>（二）政府采购支出情况</w:t>
      </w:r>
      <w:bookmarkEnd w:id="70"/>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hint="eastAsia"/>
          <w:sz w:val="32"/>
          <w:szCs w:val="32"/>
          <w:lang w:eastAsia="zh-CN"/>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w:t>
      </w:r>
      <w:r>
        <w:rPr>
          <w:rFonts w:eastAsia="仿宋_GB2312" w:cs="Times New Roman" w:hint="eastAsia"/>
          <w:sz w:val="32"/>
          <w:szCs w:val="32"/>
          <w:lang w:eastAsia="zh-CN"/>
        </w:rPr>
        <w:t>沙耳乡</w:t>
      </w:r>
      <w:r>
        <w:rPr>
          <w:rFonts w:ascii="Times New Roman" w:eastAsia="仿宋_GB2312" w:cs="Times New Roman" w:hAnsi="Times New Roman"/>
          <w:sz w:val="32"/>
          <w:szCs w:val="32"/>
        </w:rPr>
        <w:t>政府采购支出总额</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w:t>
      </w:r>
      <w:r>
        <w:rPr>
          <w:rFonts w:eastAsia="仿宋_GB2312" w:cs="Times New Roman" w:hint="eastAsia"/>
          <w:sz w:val="32"/>
          <w:szCs w:val="32"/>
          <w:lang w:eastAsia="zh-CN"/>
        </w:rPr>
        <w:t>元。</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bookmarkStart w:id="71" w:name="_Toc15377224"/>
      <w:r>
        <w:rPr>
          <w:rFonts w:ascii="Times New Roman" w:eastAsia="仿宋" w:cs="Times New Roman" w:hAnsi="Times New Roman"/>
          <w:b/>
          <w:sz w:val="32"/>
          <w:szCs w:val="32"/>
        </w:rPr>
        <w:t>（三）国有资产占有使用情况</w:t>
      </w:r>
      <w:bookmarkEnd w:id="71"/>
    </w:p>
    <w:p>
      <w:pPr>
        <w:pageBreakBefore w:val="0"/>
        <w:widowControl w:val="0"/>
        <w:kinsoku/>
        <w:wordWrap/>
        <w:overflowPunct/>
        <w:topLinePunct w:val="0"/>
        <w:autoSpaceDE w:val="0"/>
        <w:autoSpaceDN w:val="0"/>
        <w:bidi w:val="0"/>
        <w:adjustRightInd w:val="0"/>
        <w:spacing w:line="576" w:lineRule="exact"/>
        <w:ind w:firstLineChars="200" w:firstLine="640"/>
        <w:jc w:val="left"/>
        <w:rPr>
          <w:rFonts w:ascii="Times New Roman" w:eastAsia="仿宋_GB2312" w:cs="Times New Roman" w:hAnsi="Times New Roman"/>
          <w:sz w:val="32"/>
          <w:szCs w:val="32"/>
        </w:rPr>
      </w:pPr>
      <w:r>
        <w:rPr>
          <w:rFonts w:ascii="Times New Roman" w:eastAsia="仿宋_GB2312" w:cs="Times New Roman" w:hAnsi="Times New Roman"/>
          <w:sz w:val="32"/>
          <w:szCs w:val="32"/>
        </w:rPr>
        <w:t>截至202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年12月31日，</w:t>
      </w:r>
      <w:r>
        <w:rPr>
          <w:rFonts w:eastAsia="仿宋_GB2312" w:cs="Times New Roman" w:hint="eastAsia"/>
          <w:sz w:val="32"/>
          <w:szCs w:val="32"/>
          <w:lang w:eastAsia="zh-CN"/>
        </w:rPr>
        <w:t>沙耳乡</w:t>
      </w:r>
      <w:r>
        <w:rPr>
          <w:rFonts w:ascii="Times New Roman" w:eastAsia="仿宋_GB2312" w:cs="Times New Roman" w:hAnsi="Times New Roman"/>
          <w:sz w:val="32"/>
          <w:szCs w:val="32"/>
        </w:rPr>
        <w:t>共有车辆</w:t>
      </w:r>
      <w:r>
        <w:rPr>
          <w:rFonts w:eastAsia="仿宋_GB2312" w:cs="Times New Roman" w:hint="eastAsia"/>
          <w:sz w:val="32"/>
          <w:szCs w:val="32"/>
          <w:lang w:val="en-US" w:eastAsia="zh-CN"/>
        </w:rPr>
        <w:t>2</w:t>
      </w:r>
      <w:r>
        <w:rPr>
          <w:rFonts w:ascii="Times New Roman" w:eastAsia="仿宋_GB2312" w:cs="Times New Roman" w:hAnsi="Times New Roman"/>
          <w:sz w:val="32"/>
          <w:szCs w:val="32"/>
        </w:rPr>
        <w:t>辆，其中：主要领导干部用车0辆、机要通信用车0辆、应急保障用车辆、其他用车</w:t>
      </w:r>
      <w:r>
        <w:rPr>
          <w:rFonts w:eastAsia="仿宋_GB2312" w:cs="Times New Roman" w:hint="eastAsia"/>
          <w:sz w:val="32"/>
          <w:szCs w:val="32"/>
          <w:lang w:val="en-US" w:eastAsia="zh-CN"/>
        </w:rPr>
        <w:t>2</w:t>
      </w:r>
      <w:r>
        <w:rPr>
          <w:rFonts w:ascii="Times New Roman" w:eastAsia="仿宋_GB2312" w:cs="Times New Roman" w:hAnsi="Times New Roman"/>
          <w:sz w:val="32"/>
          <w:szCs w:val="32"/>
        </w:rPr>
        <w:t>辆，其他用车主要是用于通信应急保障车辆。</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r>
        <w:rPr>
          <w:rFonts w:ascii="Times New Roman" w:eastAsia="仿宋" w:cs="Times New Roman" w:hAnsi="Times New Roman"/>
          <w:b/>
          <w:sz w:val="32"/>
          <w:szCs w:val="32"/>
        </w:rPr>
        <w:t>（四）预算绩效管理情况</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根据预算绩效管理要求，本部门在202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年度预算编制阶段，本部门对202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年部门整体开展绩效自评，《202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年州委办部门整体绩效评价报告》见附件（第四部分）。</w:t>
      </w:r>
    </w:p>
    <w:p>
      <w:pPr>
        <w:pageBreakBefore w:val="0"/>
        <w:widowControl/>
        <w:kinsoku/>
        <w:wordWrap/>
        <w:overflowPunct/>
        <w:topLinePunct w:val="0"/>
        <w:bidi w:val="0"/>
        <w:spacing w:line="576" w:lineRule="exact"/>
        <w:jc w:val="left"/>
        <w:rPr>
          <w:rFonts w:ascii="Times New Roman" w:eastAsia="仿宋_GB2312" w:cs="Times New Roman" w:hAnsi="Times New Roman"/>
          <w:b/>
          <w:sz w:val="32"/>
          <w:szCs w:val="32"/>
        </w:rPr>
      </w:pPr>
      <w:r>
        <w:rPr>
          <w:rFonts w:ascii="Times New Roman" w:eastAsia="仿宋_GB2312" w:cs="Times New Roman" w:hAnsi="Times New Roman"/>
          <w:b/>
          <w:sz w:val="32"/>
          <w:szCs w:val="32"/>
        </w:rPr>
        <w:br w:type="page"/>
      </w:r>
    </w:p>
    <w:p>
      <w:pPr>
        <w:pageBreakBefore w:val="0"/>
        <w:widowControl w:val="0"/>
        <w:numPr>
          <w:ilvl w:val="0"/>
          <w:numId w:val="3"/>
        </w:numPr>
        <w:kinsoku/>
        <w:wordWrap/>
        <w:overflowPunct/>
        <w:topLinePunct w:val="0"/>
        <w:bidi w:val="0"/>
        <w:spacing w:line="576" w:lineRule="exact"/>
        <w:ind w:left="0" w:firstLineChars="150" w:firstLine="660"/>
        <w:jc w:val="center"/>
        <w:outlineLvl w:val="0"/>
        <w:rPr>
          <w:rStyle w:val="1Char"/>
          <w:rFonts w:ascii="Times New Roman" w:eastAsia="黑体" w:cs="Times New Roman" w:hAnsi="Times New Roman"/>
          <w:b w:val="0"/>
        </w:rPr>
      </w:pPr>
      <w:bookmarkStart w:id="72" w:name="_Toc15396613"/>
      <w:bookmarkStart w:id="73" w:name="_Toc15377225"/>
      <w:bookmarkStart w:id="74" w:name="_Toc26843622"/>
      <w:r>
        <w:rPr>
          <w:rFonts w:ascii="Times New Roman" w:eastAsia="黑体" w:cs="Times New Roman" w:hAnsi="Times New Roman"/>
          <w:sz w:val="44"/>
          <w:szCs w:val="44"/>
        </w:rPr>
        <w:t>名</w:t>
      </w:r>
      <w:r>
        <w:rPr>
          <w:rStyle w:val="1Char"/>
          <w:rFonts w:ascii="Times New Roman" w:eastAsia="黑体" w:cs="Times New Roman" w:hAnsi="Times New Roman"/>
          <w:b w:val="0"/>
        </w:rPr>
        <w:t>词解释</w:t>
      </w:r>
      <w:bookmarkEnd w:id="72"/>
      <w:bookmarkEnd w:id="73"/>
      <w:bookmarkEnd w:id="74"/>
    </w:p>
    <w:p>
      <w:pPr>
        <w:pageBreakBefore w:val="0"/>
        <w:widowControl w:val="0"/>
        <w:kinsoku/>
        <w:wordWrap/>
        <w:overflowPunct/>
        <w:topLinePunct w:val="0"/>
        <w:bidi w:val="0"/>
        <w:spacing w:line="576" w:lineRule="exact"/>
        <w:jc w:val="left"/>
        <w:rPr>
          <w:rFonts w:ascii="Times New Roman" w:cs="Times New Roman" w:hAnsi="Times New Roman"/>
          <w:b/>
          <w:sz w:val="44"/>
          <w:szCs w:val="44"/>
        </w:rPr>
      </w:pPr>
    </w:p>
    <w:p>
      <w:pPr>
        <w:pStyle w:val="29"/>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1.财政拨款收入：指单位从同级财政部门取得的财政预算资金。</w:t>
      </w:r>
    </w:p>
    <w:p>
      <w:pPr>
        <w:pStyle w:val="29"/>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2.事业收入：指事业单位开展专业业务活动及辅助活动取得的收入。</w:t>
      </w:r>
    </w:p>
    <w:p>
      <w:pPr>
        <w:pStyle w:val="29"/>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3.经营收入：指事业单位在专业业务活动及其辅助活动之外开展非独立核算经营活动取得的收入</w:t>
      </w:r>
    </w:p>
    <w:p>
      <w:pPr>
        <w:pStyle w:val="29"/>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4.其他收入：指单位取得的除上述收入以外的各项收入。主要是利息收入等。 </w:t>
      </w:r>
    </w:p>
    <w:p>
      <w:pPr>
        <w:pStyle w:val="29"/>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5.使用非财政拨款结余：指事业单位使用以前年度积累的非财政拨款结余弥补当年收支差额的金额。 </w:t>
      </w:r>
    </w:p>
    <w:p>
      <w:pPr>
        <w:pStyle w:val="29"/>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6.年初结转和结余：指以前年度尚未完成、结转到本年按有关规定继续使用的资金。 </w:t>
      </w:r>
    </w:p>
    <w:p>
      <w:pPr>
        <w:pStyle w:val="29"/>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7.结余分配：指事业单位按照会计制度规定缴纳的所得税、提取的专用结余以及转入非财政拨款结余的金额等。</w:t>
      </w:r>
    </w:p>
    <w:p>
      <w:pPr>
        <w:pStyle w:val="29"/>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8、年末结转和结余：指单位按有关规定结转到下年或以后年度继续使用的资金。</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9.</w:t>
      </w:r>
      <w:r>
        <w:rPr>
          <w:rFonts w:ascii="Times New Roman" w:eastAsia="仿宋_GB2312" w:cs="Times New Roman" w:hAnsi="Times New Roman"/>
          <w:bCs/>
          <w:kern w:val="0"/>
          <w:sz w:val="32"/>
          <w:szCs w:val="32"/>
        </w:rPr>
        <w:t>一般公共服务：行政运行</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反映党委办公厅（室）及相关机构的支出；一般行政管理事务</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反映行政单位（包括实行公务员管理的事业单位）未单独设置项级科目的其他项目支出。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10.</w:t>
      </w:r>
      <w:r>
        <w:rPr>
          <w:rFonts w:ascii="Times New Roman" w:eastAsia="仿宋_GB2312" w:cs="Times New Roman" w:hAnsi="Times New Roman"/>
          <w:bCs/>
          <w:kern w:val="0"/>
          <w:sz w:val="32"/>
          <w:szCs w:val="32"/>
        </w:rPr>
        <w:t>社会保障和就业：反映政府在社会保障与就业方面的支出</w:t>
      </w:r>
      <w:r>
        <w:rPr>
          <w:rFonts w:ascii="Times New Roman" w:eastAsia="仿宋_GB2312" w:cs="Times New Roman" w:hAnsi="Times New Roman"/>
          <w:bCs/>
          <w:kern w:val="0"/>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11.</w:t>
      </w:r>
      <w:r>
        <w:rPr>
          <w:rFonts w:ascii="Times New Roman" w:eastAsia="仿宋_GB2312" w:cs="Times New Roman" w:hAnsi="Times New Roman"/>
          <w:bCs/>
          <w:sz w:val="32"/>
          <w:szCs w:val="32"/>
        </w:rPr>
        <w:t>医疗卫生与计划生育：反映政府医疗卫生计划生育管理方面的支出</w:t>
      </w:r>
      <w:r>
        <w:rPr>
          <w:rFonts w:ascii="Times New Roman" w:eastAsia="仿宋_GB2312" w:cs="Times New Roman" w:hAnsi="Times New Roman"/>
          <w:bCs/>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12.住房保障支出：集中反映政府用于住房方面的支出。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13.基本支出：指为保障机构正常运转、完成日常工作任务而发生的人员支出和公用支出。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 xml:space="preserve">14.项目支出：指在基本支出之外为完成特定行政任务和事业发展目标所发生的支出。 </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15.经营支出：指事业单位在专业业务活动及其辅助活动之外开展非独立核算经营活动发生的支出。</w:t>
      </w:r>
    </w:p>
    <w:p>
      <w:pPr>
        <w:pStyle w:val="29"/>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overflowPunct/>
        <w:topLinePunct w:val="0"/>
        <w:bidi w:val="0"/>
        <w:spacing w:line="576" w:lineRule="exact"/>
        <w:jc w:val="center"/>
        <w:outlineLvl w:val="0"/>
        <w:rPr>
          <w:rStyle w:val="1Char"/>
          <w:rFonts w:ascii="Times New Roman" w:eastAsia="黑体" w:cs="Times New Roman" w:hAnsi="Times New Roman"/>
          <w:b w:val="0"/>
        </w:rPr>
      </w:pPr>
      <w:bookmarkStart w:id="75" w:name="_Toc15377226"/>
      <w:r>
        <w:rPr>
          <w:rFonts w:ascii="Times New Roman" w:cs="Times New Roman" w:hAnsi="Times New Roman"/>
          <w:b/>
          <w:sz w:val="44"/>
          <w:szCs w:val="44"/>
        </w:rPr>
        <w:br w:type="page"/>
      </w:r>
      <w:bookmarkStart w:id="76" w:name="_Toc15396614"/>
      <w:bookmarkStart w:id="77" w:name="_Toc26843623"/>
      <w:r>
        <w:rPr>
          <w:rFonts w:ascii="Times New Roman" w:eastAsia="黑体" w:cs="Times New Roman" w:hAnsi="Times New Roman"/>
          <w:sz w:val="44"/>
          <w:szCs w:val="44"/>
        </w:rPr>
        <w:t>第</w:t>
      </w:r>
      <w:r>
        <w:rPr>
          <w:rStyle w:val="1Char"/>
          <w:rFonts w:ascii="Times New Roman" w:eastAsia="黑体" w:cs="Times New Roman" w:hAnsi="Times New Roman"/>
          <w:b w:val="0"/>
        </w:rPr>
        <w:t>四部分 附件</w:t>
      </w:r>
      <w:bookmarkEnd w:id="76"/>
      <w:bookmarkEnd w:id="77"/>
    </w:p>
    <w:p>
      <w:pPr>
        <w:pageBreakBefore w:val="0"/>
        <w:widowControl w:val="0"/>
        <w:kinsoku/>
        <w:wordWrap/>
        <w:overflowPunct/>
        <w:topLinePunct w:val="0"/>
        <w:bidi w:val="0"/>
        <w:spacing w:line="576" w:lineRule="exact"/>
        <w:jc w:val="left"/>
        <w:outlineLvl w:val="0"/>
        <w:rPr>
          <w:rFonts w:ascii="Times New Roman" w:eastAsia="方正小标宋简体" w:cs="Times New Roman" w:hAnsi="Times New Roman"/>
          <w:sz w:val="44"/>
          <w:szCs w:val="44"/>
        </w:rPr>
      </w:pPr>
      <w:bookmarkStart w:id="78" w:name="_Toc26843624"/>
      <w:r>
        <w:rPr>
          <w:rFonts w:ascii="Times New Roman" w:eastAsia="黑体" w:cs="Times New Roman" w:hAnsi="Times New Roman"/>
          <w:sz w:val="32"/>
          <w:szCs w:val="32"/>
        </w:rPr>
        <w:t>附件</w:t>
      </w:r>
      <w:bookmarkEnd w:id="78"/>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方正小标宋_GBK" w:eastAsia="方正小标宋_GBK" w:cs="方正小标宋_GBK" w:hint="eastAsia"/>
          <w:sz w:val="44"/>
          <w:szCs w:val="44"/>
          <w:lang w:eastAsia="zh-CN"/>
        </w:rPr>
      </w:pPr>
      <w:r>
        <w:rPr>
          <w:rFonts w:ascii="方正小标宋_GBK" w:eastAsia="方正小标宋_GBK" w:cs="方正小标宋_GBK" w:hint="eastAsia"/>
          <w:sz w:val="44"/>
          <w:szCs w:val="44"/>
          <w:lang w:eastAsia="zh-CN"/>
        </w:rPr>
        <w:t>金川县沙耳乡人民政府</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方正小标宋_GBK" w:eastAsia="方正小标宋_GBK" w:cs="方正小标宋_GBK" w:hint="eastAsia"/>
          <w:sz w:val="44"/>
          <w:szCs w:val="44"/>
          <w:lang w:val="en-US"/>
        </w:rPr>
      </w:pPr>
      <w:r>
        <w:rPr>
          <w:rFonts w:ascii="方正小标宋_GBK" w:eastAsia="方正小标宋_GBK" w:cs="方正小标宋_GBK" w:hint="eastAsia"/>
          <w:sz w:val="44"/>
          <w:szCs w:val="44"/>
          <w:lang w:val="en-US" w:eastAsia="zh-CN"/>
        </w:rPr>
        <w:t>2022年</w:t>
      </w:r>
      <w:r>
        <w:rPr>
          <w:rFonts w:ascii="方正小标宋_GBK" w:eastAsia="方正小标宋_GBK" w:cs="方正小标宋_GBK" w:hint="eastAsia"/>
          <w:sz w:val="44"/>
          <w:szCs w:val="44"/>
        </w:rPr>
        <w:t>部门整体支出绩效评价报告</w:t>
      </w:r>
    </w:p>
    <w:p>
      <w:pPr>
        <w:widowControl/>
        <w:spacing w:line="560" w:lineRule="exact"/>
        <w:ind w:firstLineChars="250" w:firstLine="775"/>
        <w:jc w:val="left"/>
        <w:rPr>
          <w:rFonts w:ascii="仿宋_GB2312" w:eastAsia="仿宋_GB2312" w:cs="仿宋_GB2312"/>
          <w:color w:val="000000"/>
          <w:kern w:val="0"/>
          <w:sz w:val="31"/>
          <w:szCs w:val="31"/>
          <w:lang w:val="zh-CN" w:eastAsia="zh-CN"/>
        </w:rPr>
      </w:pPr>
      <w:r>
        <w:rPr>
          <w:rFonts w:ascii="仿宋_GB2312" w:eastAsia="仿宋_GB2312" w:cs="仿宋_GB2312"/>
          <w:color w:val="000000"/>
          <w:kern w:val="0"/>
          <w:sz w:val="31"/>
          <w:szCs w:val="31"/>
          <w:lang w:val="en-US" w:eastAsia="zh-CN"/>
        </w:rPr>
        <w:t>为深入贯彻落实为深入贯彻落实党中央、国务院和省委、省政府关于全面实施预算绩效管理决策部署，</w:t>
      </w:r>
      <w:r>
        <w:rPr>
          <w:rFonts w:ascii="仿宋_GB2312" w:eastAsia="仿宋_GB2312" w:cs="仿宋_GB2312" w:hint="eastAsia"/>
          <w:color w:val="000000"/>
          <w:kern w:val="0"/>
          <w:sz w:val="31"/>
          <w:szCs w:val="31"/>
          <w:lang w:val="zh-CN" w:eastAsia="zh-CN"/>
        </w:rPr>
        <w:t>按照</w:t>
      </w:r>
      <w:r>
        <w:rPr>
          <w:rFonts w:ascii="仿宋_GB2312" w:eastAsia="仿宋_GB2312" w:cs="仿宋_GB2312"/>
          <w:color w:val="000000"/>
          <w:kern w:val="0"/>
          <w:sz w:val="31"/>
          <w:szCs w:val="31"/>
          <w:lang w:val="zh-CN" w:eastAsia="zh-CN"/>
        </w:rPr>
        <w:t>《中共四川省委办公厅</w:t>
      </w:r>
      <w:r>
        <w:rPr>
          <w:rFonts w:ascii="仿宋_GB2312" w:eastAsia="仿宋_GB2312" w:cs="仿宋_GB2312" w:hint="eastAsia"/>
          <w:color w:val="000000"/>
          <w:kern w:val="0"/>
          <w:sz w:val="31"/>
          <w:szCs w:val="31"/>
          <w:lang w:val="en-US" w:eastAsia="zh-CN"/>
        </w:rPr>
        <w:t xml:space="preserve"> </w:t>
      </w:r>
      <w:r>
        <w:rPr>
          <w:rFonts w:ascii="仿宋_GB2312" w:eastAsia="仿宋_GB2312" w:cs="仿宋_GB2312"/>
          <w:color w:val="000000"/>
          <w:kern w:val="0"/>
          <w:sz w:val="31"/>
          <w:szCs w:val="31"/>
          <w:lang w:val="zh-CN" w:eastAsia="zh-CN"/>
        </w:rPr>
        <w:t>四川省人民政府办公厅关于深入实施预算绩效管理的通知</w:t>
      </w:r>
      <w:r>
        <w:rPr>
          <w:rFonts w:ascii="仿宋_GB2312" w:eastAsia="仿宋_GB2312" w:cs="仿宋_GB2312" w:hint="eastAsia"/>
          <w:color w:val="000000"/>
          <w:kern w:val="0"/>
          <w:sz w:val="31"/>
          <w:szCs w:val="31"/>
          <w:lang w:val="zh-CN" w:eastAsia="zh-CN"/>
        </w:rPr>
        <w:t>》</w:t>
      </w:r>
      <w:r>
        <w:rPr>
          <w:rFonts w:ascii="仿宋_GB2312" w:eastAsia="仿宋_GB2312" w:cs="仿宋_GB2312"/>
          <w:color w:val="000000"/>
          <w:kern w:val="0"/>
          <w:sz w:val="31"/>
          <w:szCs w:val="31"/>
          <w:lang w:val="zh-CN" w:eastAsia="zh-CN"/>
        </w:rPr>
        <w:t>（川委厅〔2022〕5号）</w:t>
      </w:r>
      <w:r>
        <w:rPr>
          <w:rFonts w:ascii="仿宋_GB2312" w:eastAsia="仿宋_GB2312" w:cs="仿宋_GB2312" w:hint="eastAsia"/>
          <w:color w:val="000000"/>
          <w:kern w:val="0"/>
          <w:sz w:val="31"/>
          <w:szCs w:val="31"/>
          <w:lang w:val="zh-CN" w:eastAsia="zh-CN"/>
        </w:rPr>
        <w:t>、《四川省省级财政预算管理办法》（省政府令第</w:t>
      </w:r>
      <w:r>
        <w:rPr>
          <w:rFonts w:ascii="仿宋_GB2312" w:eastAsia="仿宋_GB2312" w:cs="仿宋_GB2312" w:hint="eastAsia"/>
          <w:color w:val="000000"/>
          <w:kern w:val="0"/>
          <w:sz w:val="31"/>
          <w:szCs w:val="31"/>
          <w:lang w:val="en-US" w:eastAsia="zh-CN"/>
        </w:rPr>
        <w:t>356号</w:t>
      </w:r>
      <w:r>
        <w:rPr>
          <w:rFonts w:ascii="仿宋_GB2312" w:eastAsia="仿宋_GB2312" w:cs="仿宋_GB2312" w:hint="eastAsia"/>
          <w:color w:val="000000"/>
          <w:kern w:val="0"/>
          <w:sz w:val="31"/>
          <w:szCs w:val="31"/>
          <w:lang w:val="zh-CN" w:eastAsia="zh-CN"/>
        </w:rPr>
        <w:t>）</w:t>
      </w:r>
      <w:r>
        <w:rPr>
          <w:rFonts w:ascii="仿宋_GB2312" w:eastAsia="仿宋_GB2312" w:cs="仿宋_GB2312" w:hint="eastAsia"/>
          <w:color w:val="000000"/>
          <w:kern w:val="0"/>
          <w:sz w:val="31"/>
          <w:szCs w:val="31"/>
          <w:lang w:val="en-US" w:eastAsia="zh-CN"/>
        </w:rPr>
        <w:t>、《</w:t>
      </w:r>
      <w:r>
        <w:rPr>
          <w:rFonts w:ascii="仿宋_GB2312" w:eastAsia="仿宋_GB2312" w:cs="仿宋_GB2312"/>
          <w:color w:val="000000"/>
          <w:kern w:val="0"/>
          <w:sz w:val="31"/>
          <w:szCs w:val="31"/>
          <w:lang w:val="en-US" w:eastAsia="zh-CN"/>
        </w:rPr>
        <w:t>关于开展202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en-US" w:eastAsia="zh-CN"/>
        </w:rPr>
        <w:t>年</w:t>
      </w:r>
      <w:r>
        <w:rPr>
          <w:rFonts w:ascii="仿宋_GB2312" w:eastAsia="仿宋_GB2312" w:cs="仿宋_GB2312" w:hint="eastAsia"/>
          <w:color w:val="000000"/>
          <w:kern w:val="0"/>
          <w:sz w:val="31"/>
          <w:szCs w:val="31"/>
          <w:lang w:val="en-US" w:eastAsia="zh-CN"/>
        </w:rPr>
        <w:t>财政重点</w:t>
      </w:r>
      <w:r>
        <w:rPr>
          <w:rFonts w:ascii="仿宋_GB2312" w:eastAsia="仿宋_GB2312" w:cs="仿宋_GB2312"/>
          <w:color w:val="000000"/>
          <w:kern w:val="0"/>
          <w:sz w:val="31"/>
          <w:szCs w:val="31"/>
          <w:lang w:val="en-US" w:eastAsia="zh-CN"/>
        </w:rPr>
        <w:t>绩效</w:t>
      </w:r>
      <w:r>
        <w:rPr>
          <w:rFonts w:ascii="仿宋_GB2312" w:eastAsia="仿宋_GB2312" w:cs="仿宋_GB2312" w:hint="eastAsia"/>
          <w:color w:val="000000"/>
          <w:kern w:val="0"/>
          <w:sz w:val="31"/>
          <w:szCs w:val="31"/>
          <w:lang w:val="en-US" w:eastAsia="zh-CN"/>
        </w:rPr>
        <w:t>评价</w:t>
      </w:r>
      <w:r>
        <w:rPr>
          <w:rFonts w:ascii="仿宋_GB2312" w:eastAsia="仿宋_GB2312" w:cs="仿宋_GB2312"/>
          <w:color w:val="000000"/>
          <w:kern w:val="0"/>
          <w:sz w:val="31"/>
          <w:szCs w:val="31"/>
          <w:lang w:val="en-US" w:eastAsia="zh-CN"/>
        </w:rPr>
        <w:t>工作的通知》（</w:t>
      </w:r>
      <w:r>
        <w:rPr>
          <w:rFonts w:ascii="仿宋_GB2312" w:eastAsia="仿宋_GB2312" w:cs="仿宋_GB2312" w:hint="eastAsia"/>
          <w:color w:val="000000"/>
          <w:kern w:val="0"/>
          <w:sz w:val="31"/>
          <w:szCs w:val="31"/>
          <w:lang w:val="en-US" w:eastAsia="zh-CN"/>
        </w:rPr>
        <w:t>川财</w:t>
      </w:r>
      <w:r>
        <w:rPr>
          <w:rFonts w:ascii="仿宋_GB2312" w:eastAsia="仿宋_GB2312" w:cs="仿宋_GB2312"/>
          <w:color w:val="000000"/>
          <w:kern w:val="0"/>
          <w:sz w:val="31"/>
          <w:szCs w:val="31"/>
          <w:lang w:val="en-US" w:eastAsia="zh-CN"/>
        </w:rPr>
        <w:t>绩〔202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en-US" w:eastAsia="zh-CN"/>
        </w:rPr>
        <w:t>〕</w:t>
      </w:r>
      <w:r>
        <w:rPr>
          <w:rFonts w:ascii="仿宋_GB2312" w:eastAsia="仿宋_GB2312" w:cs="仿宋_GB2312" w:hint="eastAsia"/>
          <w:color w:val="000000"/>
          <w:kern w:val="0"/>
          <w:sz w:val="31"/>
          <w:szCs w:val="31"/>
          <w:lang w:val="en-US" w:eastAsia="zh-CN"/>
        </w:rPr>
        <w:t>9</w:t>
      </w:r>
      <w:r>
        <w:rPr>
          <w:rFonts w:ascii="仿宋_GB2312" w:eastAsia="仿宋_GB2312" w:cs="仿宋_GB2312"/>
          <w:color w:val="000000"/>
          <w:kern w:val="0"/>
          <w:sz w:val="31"/>
          <w:szCs w:val="31"/>
          <w:lang w:val="en-US" w:eastAsia="zh-CN"/>
        </w:rPr>
        <w:t>号）</w:t>
      </w:r>
      <w:r>
        <w:rPr>
          <w:rFonts w:ascii="仿宋_GB2312" w:eastAsia="仿宋_GB2312" w:cs="仿宋_GB2312" w:hint="eastAsia"/>
          <w:color w:val="000000"/>
          <w:kern w:val="0"/>
          <w:sz w:val="31"/>
          <w:szCs w:val="31"/>
          <w:lang w:val="en-US" w:eastAsia="zh-CN"/>
        </w:rPr>
        <w:t>等</w:t>
      </w:r>
      <w:r>
        <w:rPr>
          <w:rFonts w:ascii="仿宋_GB2312" w:eastAsia="仿宋_GB2312" w:cs="仿宋_GB2312"/>
          <w:color w:val="000000"/>
          <w:kern w:val="0"/>
          <w:sz w:val="31"/>
          <w:szCs w:val="31"/>
          <w:lang w:val="en-US" w:eastAsia="zh-CN"/>
        </w:rPr>
        <w:t>文件要求、以及</w:t>
      </w:r>
      <w:r>
        <w:rPr>
          <w:rFonts w:ascii="仿宋_GB2312" w:eastAsia="仿宋_GB2312" w:cs="仿宋_GB2312" w:hint="eastAsia"/>
          <w:color w:val="000000"/>
          <w:kern w:val="0"/>
          <w:sz w:val="31"/>
          <w:szCs w:val="31"/>
          <w:lang w:val="en-US" w:eastAsia="zh-CN"/>
        </w:rPr>
        <w:t>金川县财政局</w:t>
      </w:r>
      <w:r>
        <w:rPr>
          <w:rFonts w:ascii="仿宋_GB2312" w:eastAsia="仿宋_GB2312" w:cs="仿宋_GB2312"/>
          <w:color w:val="000000"/>
          <w:kern w:val="0"/>
          <w:sz w:val="31"/>
          <w:szCs w:val="31"/>
          <w:lang w:val="en-US" w:eastAsia="zh-CN"/>
        </w:rPr>
        <w:t>《关于开展202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en-US" w:eastAsia="zh-CN"/>
        </w:rPr>
        <w:t>年度</w:t>
      </w:r>
      <w:r>
        <w:rPr>
          <w:rFonts w:ascii="仿宋_GB2312" w:eastAsia="仿宋_GB2312" w:cs="仿宋_GB2312" w:hint="eastAsia"/>
          <w:color w:val="000000"/>
          <w:kern w:val="0"/>
          <w:sz w:val="31"/>
          <w:szCs w:val="31"/>
          <w:lang w:val="en-US" w:eastAsia="zh-CN"/>
        </w:rPr>
        <w:t>部门、政策和项目支出绩效评价的</w:t>
      </w:r>
      <w:r>
        <w:rPr>
          <w:rFonts w:ascii="仿宋_GB2312" w:eastAsia="仿宋_GB2312" w:cs="仿宋_GB2312"/>
          <w:color w:val="000000"/>
          <w:kern w:val="0"/>
          <w:sz w:val="31"/>
          <w:szCs w:val="31"/>
          <w:lang w:val="en-US" w:eastAsia="zh-CN"/>
        </w:rPr>
        <w:t>通知》（金财监绩〔202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en-US" w:eastAsia="zh-CN"/>
        </w:rPr>
        <w:t>〕</w:t>
      </w:r>
      <w:r>
        <w:rPr>
          <w:rFonts w:ascii="仿宋_GB2312" w:eastAsia="仿宋_GB2312" w:cs="仿宋_GB2312" w:hint="eastAsia"/>
          <w:color w:val="000000"/>
          <w:kern w:val="0"/>
          <w:sz w:val="31"/>
          <w:szCs w:val="31"/>
          <w:lang w:val="en-US" w:eastAsia="zh-CN"/>
        </w:rPr>
        <w:t>32</w:t>
      </w:r>
      <w:r>
        <w:rPr>
          <w:rFonts w:ascii="仿宋_GB2312" w:eastAsia="仿宋_GB2312" w:cs="仿宋_GB2312"/>
          <w:color w:val="000000"/>
          <w:kern w:val="0"/>
          <w:sz w:val="31"/>
          <w:szCs w:val="31"/>
          <w:lang w:val="en-US" w:eastAsia="zh-CN"/>
        </w:rPr>
        <w:t>号）文件安排部署，</w:t>
      </w:r>
      <w:r>
        <w:rPr>
          <w:rFonts w:ascii="仿宋_GB2312" w:eastAsia="仿宋_GB2312" w:cs="仿宋_GB2312"/>
          <w:color w:val="000000"/>
          <w:kern w:val="0"/>
          <w:sz w:val="31"/>
          <w:szCs w:val="31"/>
          <w:lang w:val="zh-CN" w:eastAsia="zh-CN"/>
        </w:rPr>
        <w:t>我</w:t>
      </w:r>
      <w:r>
        <w:rPr>
          <w:rFonts w:ascii="仿宋_GB2312" w:eastAsia="仿宋_GB2312" w:cs="仿宋_GB2312" w:hint="eastAsia"/>
          <w:color w:val="000000"/>
          <w:kern w:val="0"/>
          <w:sz w:val="31"/>
          <w:szCs w:val="31"/>
          <w:lang w:val="en-US" w:eastAsia="zh-CN"/>
        </w:rPr>
        <w:t>乡</w:t>
      </w:r>
      <w:r>
        <w:rPr>
          <w:rFonts w:ascii="仿宋_GB2312" w:eastAsia="仿宋_GB2312" w:cs="仿宋_GB2312"/>
          <w:color w:val="000000"/>
          <w:kern w:val="0"/>
          <w:sz w:val="31"/>
          <w:szCs w:val="31"/>
          <w:lang w:val="zh-CN" w:eastAsia="zh-CN"/>
        </w:rPr>
        <w:t>高度重视，</w:t>
      </w:r>
      <w:r>
        <w:rPr>
          <w:rFonts w:ascii="仿宋_GB2312" w:eastAsia="仿宋_GB2312" w:cs="仿宋_GB2312"/>
          <w:color w:val="000000"/>
          <w:kern w:val="0"/>
          <w:sz w:val="31"/>
          <w:szCs w:val="31"/>
          <w:lang w:val="zh-CN" w:eastAsia="zh-CN"/>
        </w:rPr>
        <w:t>赓</w:t>
      </w:r>
      <w:r>
        <w:rPr>
          <w:rFonts w:ascii="仿宋_GB2312" w:eastAsia="仿宋_GB2312" w:cs="仿宋_GB2312"/>
          <w:color w:val="000000"/>
          <w:kern w:val="0"/>
          <w:sz w:val="31"/>
          <w:szCs w:val="31"/>
          <w:lang w:val="zh-CN" w:eastAsia="zh-CN"/>
        </w:rPr>
        <w:t>即开展</w:t>
      </w:r>
      <w:r>
        <w:rPr>
          <w:rFonts w:ascii="仿宋_GB2312" w:eastAsia="仿宋_GB2312" w:cs="仿宋_GB2312"/>
          <w:color w:val="000000"/>
          <w:kern w:val="0"/>
          <w:sz w:val="31"/>
          <w:szCs w:val="31"/>
          <w:lang w:val="en-US" w:eastAsia="zh-CN"/>
        </w:rPr>
        <w:t>202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en-US" w:eastAsia="zh-CN"/>
        </w:rPr>
        <w:t>年度绩效</w:t>
      </w:r>
      <w:r>
        <w:rPr>
          <w:rFonts w:ascii="仿宋_GB2312" w:eastAsia="仿宋_GB2312" w:cs="仿宋_GB2312" w:hint="eastAsia"/>
          <w:color w:val="000000"/>
          <w:kern w:val="0"/>
          <w:sz w:val="31"/>
          <w:szCs w:val="31"/>
          <w:lang w:val="en-US" w:eastAsia="zh-CN"/>
        </w:rPr>
        <w:t>评价</w:t>
      </w:r>
      <w:r>
        <w:rPr>
          <w:rFonts w:ascii="仿宋_GB2312" w:eastAsia="仿宋_GB2312" w:cs="仿宋_GB2312"/>
          <w:color w:val="000000"/>
          <w:kern w:val="0"/>
          <w:sz w:val="31"/>
          <w:szCs w:val="31"/>
          <w:lang w:val="en-US" w:eastAsia="zh-CN"/>
        </w:rPr>
        <w:t>工作，</w:t>
      </w:r>
      <w:r>
        <w:rPr>
          <w:rFonts w:ascii="仿宋_GB2312" w:eastAsia="仿宋_GB2312" w:cs="仿宋_GB2312" w:hint="eastAsia"/>
          <w:color w:val="000000"/>
          <w:kern w:val="0"/>
          <w:sz w:val="31"/>
          <w:szCs w:val="31"/>
          <w:lang w:val="en-US" w:eastAsia="zh-CN"/>
        </w:rPr>
        <w:t>决定由</w:t>
      </w:r>
      <w:r>
        <w:rPr>
          <w:rFonts w:ascii="仿宋_GB2312" w:eastAsia="仿宋_GB2312" w:cs="仿宋_GB2312"/>
          <w:color w:val="000000"/>
          <w:kern w:val="0"/>
          <w:sz w:val="31"/>
          <w:szCs w:val="31"/>
          <w:lang w:val="zh-CN" w:eastAsia="zh-CN"/>
        </w:rPr>
        <w:t>财务室负责评价工作组织、开展、资料收集、评价报告的撰写及上报等日常工作。</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一、部门（单位）概况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（一）机构组成。</w:t>
      </w:r>
    </w:p>
    <w:p>
      <w:pPr>
        <w:keepNext w:val="0"/>
        <w:keepLines w:val="0"/>
        <w:pageBreakBefore w:val="0"/>
        <w:widowControl w:val="0"/>
        <w:kinsoku/>
        <w:wordWrap w:val="0"/>
        <w:overflowPunct/>
        <w:autoSpaceDE/>
        <w:autoSpaceDN/>
        <w:bidi w:val="0"/>
        <w:spacing w:line="576" w:lineRule="exact"/>
        <w:ind w:firstLineChars="200" w:firstLine="620"/>
        <w:jc w:val="left"/>
        <w:textAlignment w:val="auto"/>
        <w:rPr>
          <w:rFonts w:ascii="仿宋_GB2312" w:eastAsia="仿宋_GB2312" w:cs="仿宋_GB2312"/>
          <w:color w:val="000000"/>
          <w:kern w:val="0"/>
          <w:sz w:val="31"/>
          <w:szCs w:val="31"/>
          <w:lang w:val="zh-CN" w:eastAsia="zh-CN"/>
        </w:rPr>
      </w:pPr>
      <w:r>
        <w:rPr>
          <w:rFonts w:ascii="仿宋_GB2312" w:eastAsia="仿宋_GB2312" w:cs="仿宋_GB2312"/>
          <w:color w:val="000000"/>
          <w:kern w:val="0"/>
          <w:sz w:val="31"/>
          <w:szCs w:val="31"/>
          <w:lang w:val="zh-CN" w:eastAsia="zh-CN"/>
        </w:rPr>
        <w:t>本部门预算单位</w:t>
      </w:r>
      <w:r>
        <w:rPr>
          <w:rFonts w:ascii="仿宋_GB2312" w:eastAsia="仿宋_GB2312" w:cs="仿宋_GB2312" w:hint="eastAsia"/>
          <w:color w:val="000000"/>
          <w:kern w:val="0"/>
          <w:sz w:val="31"/>
          <w:szCs w:val="31"/>
          <w:lang w:val="en-US" w:eastAsia="zh-CN"/>
        </w:rPr>
        <w:t>1</w:t>
      </w:r>
      <w:r>
        <w:rPr>
          <w:rFonts w:ascii="仿宋_GB2312" w:eastAsia="仿宋_GB2312" w:cs="仿宋_GB2312"/>
          <w:color w:val="000000"/>
          <w:kern w:val="0"/>
          <w:sz w:val="31"/>
          <w:szCs w:val="31"/>
          <w:lang w:val="zh-CN" w:eastAsia="zh-CN"/>
        </w:rPr>
        <w:t>个，其中内设机构</w:t>
      </w:r>
      <w:r>
        <w:rPr>
          <w:rFonts w:ascii="仿宋_GB2312" w:eastAsia="仿宋_GB2312" w:cs="仿宋_GB2312" w:hint="eastAsia"/>
          <w:color w:val="000000"/>
          <w:kern w:val="0"/>
          <w:sz w:val="31"/>
          <w:szCs w:val="31"/>
          <w:lang w:val="en-US" w:eastAsia="zh-CN"/>
        </w:rPr>
        <w:t>4</w:t>
      </w:r>
      <w:r>
        <w:rPr>
          <w:rFonts w:ascii="仿宋_GB2312" w:eastAsia="仿宋_GB2312" w:cs="仿宋_GB2312"/>
          <w:color w:val="000000"/>
          <w:kern w:val="0"/>
          <w:sz w:val="31"/>
          <w:szCs w:val="31"/>
          <w:lang w:val="zh-CN" w:eastAsia="zh-CN"/>
        </w:rPr>
        <w:t>个。</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color w:val="000000"/>
          <w:kern w:val="0"/>
          <w:sz w:val="31"/>
          <w:szCs w:val="31"/>
          <w:lang w:val="zh-CN" w:eastAsia="zh-CN"/>
        </w:rPr>
      </w:pPr>
      <w:r>
        <w:rPr>
          <w:rFonts w:ascii="仿宋_GB2312" w:eastAsia="仿宋_GB2312" w:cs="仿宋_GB2312" w:hint="eastAsia"/>
          <w:color w:val="000000"/>
          <w:kern w:val="0"/>
          <w:sz w:val="31"/>
          <w:szCs w:val="31"/>
          <w:lang w:val="en-US" w:eastAsia="zh-CN"/>
        </w:rPr>
        <w:t>（二）机构职能。</w:t>
      </w:r>
    </w:p>
    <w:p>
      <w:pPr>
        <w:widowControl/>
        <w:spacing w:line="560" w:lineRule="exact"/>
        <w:ind w:firstLineChars="250" w:firstLine="775"/>
        <w:jc w:val="left"/>
        <w:rPr>
          <w:rFonts w:ascii="仿宋_GB2312" w:eastAsia="仿宋_GB2312" w:cs="仿宋_GB2312" w:hint="eastAsia"/>
          <w:color w:val="000000"/>
          <w:kern w:val="0"/>
          <w:sz w:val="31"/>
          <w:szCs w:val="31"/>
          <w:lang w:val="en-US" w:eastAsia="zh-CN"/>
        </w:rPr>
      </w:pPr>
      <w:r>
        <w:rPr>
          <w:rFonts w:ascii="仿宋_GB2312" w:eastAsia="仿宋_GB2312" w:cs="仿宋_GB2312"/>
          <w:color w:val="000000"/>
          <w:kern w:val="0"/>
          <w:sz w:val="31"/>
          <w:szCs w:val="31"/>
          <w:lang w:val="zh-CN" w:eastAsia="zh-CN"/>
        </w:rPr>
        <w:t>主要职能职责：</w:t>
      </w:r>
      <w:r>
        <w:rPr>
          <w:rFonts w:ascii="仿宋_GB2312" w:eastAsia="仿宋_GB2312" w:cs="仿宋_GB2312" w:hint="eastAsia"/>
          <w:color w:val="000000"/>
          <w:kern w:val="0"/>
          <w:sz w:val="31"/>
          <w:szCs w:val="31"/>
          <w:lang w:val="en-US" w:eastAsia="zh-CN"/>
        </w:rPr>
        <w:t>1．根据党章和《地方组织法》的规定，乡党委、政府承担辖区内促进经济发展、提供公共服务、加强社会管理、维护社会稳定，推动物质文明、政治文明、精神文明及和谐社会建设等任务。其主要职能是：</w:t>
      </w:r>
    </w:p>
    <w:p>
      <w:pPr>
        <w:snapToGrid w:val="0"/>
        <w:spacing w:line="560" w:lineRule="exact"/>
        <w:ind w:firstLineChars="200" w:firstLine="62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（1）、贯彻落实党和政府各项路线方针政策。深入贯彻党的二十大、十八届四中、五中全会精神，宣传和贯彻执行党的路线、方针、政策和国家的</w:t>
      </w:r>
    </w:p>
    <w:p>
      <w:pPr>
        <w:snapToGrid w:val="0"/>
        <w:spacing w:line="560" w:lineRule="exact"/>
        <w:ind w:firstLineChars="200" w:firstLine="62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法律、法令；宣传和贯彻上级机关的政策、法规、规章、决定等；执行本级党代会和人代会的决定、决议；研究决定辖区内政治、经济、文化等重大问题。</w:t>
      </w:r>
    </w:p>
    <w:p>
      <w:pPr>
        <w:snapToGrid w:val="0"/>
        <w:spacing w:line="560" w:lineRule="exact"/>
        <w:ind w:firstLineChars="150" w:firstLine="465"/>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snapToGrid w:val="0"/>
        <w:spacing w:line="560" w:lineRule="exact"/>
        <w:ind w:firstLineChars="150" w:firstLine="465"/>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snapToGrid w:val="0"/>
        <w:spacing w:line="560" w:lineRule="exact"/>
        <w:ind w:firstLineChars="200" w:firstLine="62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4）、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keepNext w:val="0"/>
        <w:keepLines w:val="0"/>
        <w:pageBreakBefore w:val="0"/>
        <w:widowControl/>
        <w:kinsoku/>
        <w:overflowPunct/>
        <w:autoSpaceDE/>
        <w:bidi w:val="0"/>
        <w:adjustRightInd w:val="0"/>
        <w:snapToGrid w:val="0"/>
        <w:spacing w:line="576" w:lineRule="exact"/>
        <w:ind w:firstLine="720"/>
        <w:jc w:val="left"/>
        <w:textAlignment w:val="auto"/>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（三）人员概况。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color w:val="000000"/>
          <w:kern w:val="0"/>
          <w:sz w:val="31"/>
          <w:szCs w:val="31"/>
          <w:lang w:val="en-US" w:eastAsia="zh-CN"/>
        </w:rPr>
      </w:pPr>
      <w:r>
        <w:rPr>
          <w:rFonts w:ascii="仿宋_GB2312" w:eastAsia="仿宋_GB2312" w:cs="仿宋_GB2312" w:hint="eastAsia"/>
          <w:color w:val="000000"/>
          <w:kern w:val="0"/>
          <w:sz w:val="31"/>
          <w:szCs w:val="31"/>
          <w:lang w:val="en-US" w:eastAsia="zh-CN"/>
        </w:rPr>
        <w:t>我乡</w:t>
      </w:r>
      <w:r>
        <w:rPr>
          <w:rFonts w:ascii="仿宋_GB2312" w:eastAsia="仿宋_GB2312" w:cs="仿宋_GB2312"/>
          <w:color w:val="000000"/>
          <w:kern w:val="0"/>
          <w:sz w:val="31"/>
          <w:szCs w:val="31"/>
          <w:lang w:val="zh-CN" w:eastAsia="zh-CN"/>
        </w:rPr>
        <w:t>单位编制数</w:t>
      </w:r>
      <w:r>
        <w:rPr>
          <w:rFonts w:ascii="仿宋_GB2312" w:eastAsia="仿宋_GB2312" w:cs="仿宋_GB2312" w:hint="eastAsia"/>
          <w:color w:val="000000"/>
          <w:kern w:val="0"/>
          <w:sz w:val="31"/>
          <w:szCs w:val="31"/>
          <w:lang w:val="en-US" w:eastAsia="zh-CN"/>
        </w:rPr>
        <w:t>41</w:t>
      </w:r>
      <w:r>
        <w:rPr>
          <w:rFonts w:ascii="仿宋_GB2312" w:eastAsia="仿宋_GB2312" w:cs="仿宋_GB2312"/>
          <w:color w:val="000000"/>
          <w:kern w:val="0"/>
          <w:sz w:val="31"/>
          <w:szCs w:val="31"/>
          <w:lang w:val="zh-CN" w:eastAsia="zh-CN"/>
        </w:rPr>
        <w:t>个，其中：公务员编制</w:t>
      </w:r>
      <w:r>
        <w:rPr>
          <w:rFonts w:ascii="仿宋_GB2312" w:eastAsia="仿宋_GB2312" w:cs="仿宋_GB2312" w:hint="eastAsia"/>
          <w:color w:val="000000"/>
          <w:kern w:val="0"/>
          <w:sz w:val="31"/>
          <w:szCs w:val="31"/>
          <w:lang w:val="en-US" w:eastAsia="zh-CN"/>
        </w:rPr>
        <w:t>21</w:t>
      </w:r>
      <w:r>
        <w:rPr>
          <w:rFonts w:ascii="仿宋_GB2312" w:eastAsia="仿宋_GB2312" w:cs="仿宋_GB2312"/>
          <w:color w:val="000000"/>
          <w:kern w:val="0"/>
          <w:sz w:val="31"/>
          <w:szCs w:val="31"/>
          <w:lang w:val="en-US" w:eastAsia="zh-CN"/>
        </w:rPr>
        <w:t>个</w:t>
      </w:r>
      <w:r>
        <w:rPr>
          <w:rFonts w:ascii="仿宋_GB2312" w:eastAsia="仿宋_GB2312" w:cs="仿宋_GB2312"/>
          <w:color w:val="000000"/>
          <w:kern w:val="0"/>
          <w:sz w:val="31"/>
          <w:szCs w:val="31"/>
          <w:lang w:val="zh-CN" w:eastAsia="zh-CN"/>
        </w:rPr>
        <w:t>、行政工勤编制</w:t>
      </w:r>
      <w:r>
        <w:rPr>
          <w:rFonts w:ascii="仿宋_GB2312" w:eastAsia="仿宋_GB2312" w:cs="仿宋_GB2312" w:hint="eastAsia"/>
          <w:color w:val="000000"/>
          <w:kern w:val="0"/>
          <w:sz w:val="31"/>
          <w:szCs w:val="31"/>
          <w:lang w:val="en-US" w:eastAsia="zh-CN"/>
        </w:rPr>
        <w:t>2</w:t>
      </w:r>
      <w:r>
        <w:rPr>
          <w:rFonts w:ascii="仿宋_GB2312" w:eastAsia="仿宋_GB2312" w:cs="仿宋_GB2312"/>
          <w:color w:val="000000"/>
          <w:kern w:val="0"/>
          <w:sz w:val="31"/>
          <w:szCs w:val="31"/>
          <w:lang w:val="zh-CN" w:eastAsia="zh-CN"/>
        </w:rPr>
        <w:t>个，</w:t>
      </w:r>
      <w:r>
        <w:rPr>
          <w:rFonts w:ascii="仿宋_GB2312" w:eastAsia="仿宋_GB2312" w:cs="仿宋_GB2312" w:hint="eastAsia"/>
          <w:color w:val="000000"/>
          <w:kern w:val="0"/>
          <w:sz w:val="31"/>
          <w:szCs w:val="31"/>
          <w:lang w:val="en-US" w:eastAsia="zh-CN"/>
        </w:rPr>
        <w:t>财政补助事业编制18名</w:t>
      </w:r>
      <w:r>
        <w:rPr>
          <w:rFonts w:ascii="仿宋_GB2312" w:eastAsia="仿宋_GB2312" w:cs="仿宋_GB2312"/>
          <w:color w:val="000000"/>
          <w:kern w:val="0"/>
          <w:sz w:val="31"/>
          <w:szCs w:val="31"/>
          <w:lang w:val="zh-CN" w:eastAsia="zh-CN"/>
        </w:rPr>
        <w:t>。截止20</w:t>
      </w:r>
      <w:r>
        <w:rPr>
          <w:rFonts w:ascii="仿宋_GB2312" w:eastAsia="仿宋_GB2312" w:cs="仿宋_GB2312"/>
          <w:color w:val="000000"/>
          <w:kern w:val="0"/>
          <w:sz w:val="31"/>
          <w:szCs w:val="31"/>
          <w:lang w:val="en-US" w:eastAsia="zh-CN"/>
        </w:rPr>
        <w:t>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zh-CN" w:eastAsia="zh-CN"/>
        </w:rPr>
        <w:t>年</w:t>
      </w:r>
      <w:r>
        <w:rPr>
          <w:rFonts w:ascii="仿宋_GB2312" w:eastAsia="仿宋_GB2312" w:cs="仿宋_GB2312" w:hint="eastAsia"/>
          <w:color w:val="000000"/>
          <w:kern w:val="0"/>
          <w:sz w:val="31"/>
          <w:szCs w:val="31"/>
          <w:lang w:val="en-US" w:eastAsia="zh-CN"/>
        </w:rPr>
        <w:t>6</w:t>
      </w:r>
      <w:r>
        <w:rPr>
          <w:rFonts w:ascii="仿宋_GB2312" w:eastAsia="仿宋_GB2312" w:cs="仿宋_GB2312"/>
          <w:color w:val="000000"/>
          <w:kern w:val="0"/>
          <w:sz w:val="31"/>
          <w:szCs w:val="31"/>
          <w:lang w:val="en-US" w:eastAsia="zh-CN"/>
        </w:rPr>
        <w:t>月</w:t>
      </w:r>
      <w:r>
        <w:rPr>
          <w:rFonts w:ascii="仿宋_GB2312" w:eastAsia="仿宋_GB2312" w:cs="仿宋_GB2312"/>
          <w:color w:val="000000"/>
          <w:kern w:val="0"/>
          <w:sz w:val="31"/>
          <w:szCs w:val="31"/>
          <w:lang w:val="zh-CN" w:eastAsia="zh-CN"/>
        </w:rPr>
        <w:t>，单位实有人数</w:t>
      </w:r>
      <w:r>
        <w:rPr>
          <w:rFonts w:ascii="仿宋_GB2312" w:eastAsia="仿宋_GB2312" w:cs="仿宋_GB2312" w:hint="eastAsia"/>
          <w:color w:val="000000"/>
          <w:kern w:val="0"/>
          <w:sz w:val="31"/>
          <w:szCs w:val="31"/>
          <w:lang w:val="en-US" w:eastAsia="zh-CN"/>
        </w:rPr>
        <w:t>39</w:t>
      </w:r>
      <w:r>
        <w:rPr>
          <w:rFonts w:ascii="仿宋_GB2312" w:eastAsia="仿宋_GB2312" w:cs="仿宋_GB2312"/>
          <w:color w:val="000000"/>
          <w:kern w:val="0"/>
          <w:sz w:val="31"/>
          <w:szCs w:val="31"/>
          <w:lang w:val="zh-CN" w:eastAsia="zh-CN"/>
        </w:rPr>
        <w:t>人，其中：在职</w:t>
      </w:r>
      <w:r>
        <w:rPr>
          <w:rFonts w:ascii="仿宋_GB2312" w:eastAsia="仿宋_GB2312" w:cs="仿宋_GB2312" w:hint="eastAsia"/>
          <w:color w:val="000000"/>
          <w:kern w:val="0"/>
          <w:sz w:val="31"/>
          <w:szCs w:val="31"/>
          <w:lang w:val="en-US" w:eastAsia="zh-CN"/>
        </w:rPr>
        <w:t>39</w:t>
      </w:r>
      <w:r>
        <w:rPr>
          <w:rFonts w:ascii="仿宋_GB2312" w:eastAsia="仿宋_GB2312" w:cs="仿宋_GB2312"/>
          <w:color w:val="000000"/>
          <w:kern w:val="0"/>
          <w:sz w:val="31"/>
          <w:szCs w:val="31"/>
          <w:lang w:val="zh-CN" w:eastAsia="zh-CN"/>
        </w:rPr>
        <w:t>人（公务员</w:t>
      </w:r>
      <w:r>
        <w:rPr>
          <w:rFonts w:ascii="仿宋_GB2312" w:eastAsia="仿宋_GB2312" w:cs="仿宋_GB2312" w:hint="eastAsia"/>
          <w:color w:val="000000"/>
          <w:kern w:val="0"/>
          <w:sz w:val="31"/>
          <w:szCs w:val="31"/>
          <w:lang w:val="en-US" w:eastAsia="zh-CN"/>
        </w:rPr>
        <w:t>20</w:t>
      </w:r>
      <w:r>
        <w:rPr>
          <w:rFonts w:ascii="仿宋_GB2312" w:eastAsia="仿宋_GB2312" w:cs="仿宋_GB2312"/>
          <w:color w:val="000000"/>
          <w:kern w:val="0"/>
          <w:sz w:val="31"/>
          <w:szCs w:val="31"/>
          <w:lang w:val="en-US" w:eastAsia="zh-CN"/>
        </w:rPr>
        <w:t>个</w:t>
      </w:r>
      <w:r>
        <w:rPr>
          <w:rFonts w:ascii="仿宋_GB2312" w:eastAsia="仿宋_GB2312" w:cs="仿宋_GB2312"/>
          <w:color w:val="000000"/>
          <w:kern w:val="0"/>
          <w:sz w:val="31"/>
          <w:szCs w:val="31"/>
          <w:lang w:val="zh-CN" w:eastAsia="zh-CN"/>
        </w:rPr>
        <w:t>、行政工勤</w:t>
      </w:r>
      <w:r>
        <w:rPr>
          <w:rFonts w:ascii="仿宋_GB2312" w:eastAsia="仿宋_GB2312" w:cs="仿宋_GB2312" w:hint="eastAsia"/>
          <w:color w:val="000000"/>
          <w:kern w:val="0"/>
          <w:sz w:val="31"/>
          <w:szCs w:val="31"/>
          <w:lang w:val="en-US" w:eastAsia="zh-CN"/>
        </w:rPr>
        <w:t>2</w:t>
      </w:r>
      <w:r>
        <w:rPr>
          <w:rFonts w:ascii="仿宋_GB2312" w:eastAsia="仿宋_GB2312" w:cs="仿宋_GB2312"/>
          <w:color w:val="000000"/>
          <w:kern w:val="0"/>
          <w:sz w:val="31"/>
          <w:szCs w:val="31"/>
          <w:lang w:val="zh-CN" w:eastAsia="zh-CN"/>
        </w:rPr>
        <w:t>个，</w:t>
      </w:r>
      <w:r>
        <w:rPr>
          <w:rFonts w:ascii="仿宋_GB2312" w:eastAsia="仿宋_GB2312" w:cs="仿宋_GB2312" w:hint="eastAsia"/>
          <w:color w:val="000000"/>
          <w:kern w:val="0"/>
          <w:sz w:val="31"/>
          <w:szCs w:val="31"/>
          <w:lang w:val="zh-CN" w:eastAsia="zh-CN"/>
        </w:rPr>
        <w:t>事业</w:t>
      </w:r>
      <w:r>
        <w:rPr>
          <w:rFonts w:ascii="仿宋_GB2312" w:eastAsia="仿宋_GB2312" w:cs="仿宋_GB2312" w:hint="eastAsia"/>
          <w:color w:val="000000"/>
          <w:kern w:val="0"/>
          <w:sz w:val="31"/>
          <w:szCs w:val="31"/>
          <w:lang w:val="en-US" w:eastAsia="zh-CN"/>
        </w:rPr>
        <w:t>17</w:t>
      </w:r>
      <w:r>
        <w:rPr>
          <w:rFonts w:ascii="仿宋_GB2312" w:eastAsia="仿宋_GB2312" w:cs="仿宋_GB2312" w:hint="eastAsia"/>
          <w:color w:val="000000"/>
          <w:kern w:val="0"/>
          <w:sz w:val="31"/>
          <w:szCs w:val="31"/>
          <w:lang w:val="zh-CN" w:eastAsia="zh-CN"/>
        </w:rPr>
        <w:t>名</w:t>
      </w:r>
      <w:r>
        <w:rPr>
          <w:rFonts w:ascii="仿宋_GB2312" w:eastAsia="仿宋_GB2312" w:cs="仿宋_GB2312"/>
          <w:color w:val="000000"/>
          <w:kern w:val="0"/>
          <w:sz w:val="31"/>
          <w:szCs w:val="31"/>
          <w:lang w:val="zh-CN" w:eastAsia="zh-CN"/>
        </w:rPr>
        <w:t>），退休</w:t>
      </w:r>
      <w:r>
        <w:rPr>
          <w:rFonts w:ascii="仿宋_GB2312" w:eastAsia="仿宋_GB2312" w:cs="仿宋_GB2312" w:hint="eastAsia"/>
          <w:color w:val="000000"/>
          <w:kern w:val="0"/>
          <w:sz w:val="31"/>
          <w:szCs w:val="31"/>
          <w:lang w:val="en-US" w:eastAsia="zh-CN"/>
        </w:rPr>
        <w:t>13</w:t>
      </w:r>
      <w:r>
        <w:rPr>
          <w:rFonts w:ascii="仿宋_GB2312" w:eastAsia="仿宋_GB2312" w:cs="仿宋_GB2312"/>
          <w:color w:val="000000"/>
          <w:kern w:val="0"/>
          <w:sz w:val="31"/>
          <w:szCs w:val="31"/>
          <w:lang w:val="zh-CN" w:eastAsia="zh-CN"/>
        </w:rPr>
        <w:t>人，（退休人员工资转由社保部门发放）</w:t>
      </w:r>
      <w:r>
        <w:rPr>
          <w:rFonts w:ascii="仿宋_GB2312" w:eastAsia="仿宋_GB2312" w:cs="仿宋_GB2312" w:hint="eastAsia"/>
          <w:color w:val="000000"/>
          <w:kern w:val="0"/>
          <w:sz w:val="31"/>
          <w:szCs w:val="31"/>
          <w:lang w:val="zh-CN" w:eastAsia="zh-CN"/>
        </w:rPr>
        <w:t>。</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黑体" w:eastAsia="黑体" w:cs="黑体" w:hint="eastAsia"/>
          <w:color w:val="000000"/>
          <w:sz w:val="31"/>
          <w:szCs w:val="31"/>
          <w:lang w:val="en-US" w:eastAsia="zh-CN"/>
        </w:rPr>
      </w:pPr>
      <w:r>
        <w:rPr>
          <w:rFonts w:ascii="黑体" w:eastAsia="黑体" w:cs="黑体" w:hint="eastAsia"/>
          <w:color w:val="000000"/>
          <w:sz w:val="31"/>
          <w:szCs w:val="31"/>
          <w:lang w:val="en-US" w:eastAsia="zh-CN"/>
        </w:rPr>
        <w:t>二、部门财政资金收支情况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（一）部门财政资金收入情况。</w:t>
      </w:r>
    </w:p>
    <w:p>
      <w:pPr>
        <w:spacing w:line="600" w:lineRule="exact"/>
        <w:ind w:firstLine="645"/>
        <w:rPr>
          <w:rFonts w:ascii="仿宋" w:eastAsia="仿宋" w:hint="eastAsia"/>
          <w:color w:val="000000"/>
          <w:sz w:val="32"/>
          <w:szCs w:val="32"/>
          <w:lang w:eastAsia="zh-CN"/>
        </w:rPr>
      </w:pPr>
      <w:r>
        <w:rPr>
          <w:rFonts w:ascii="??_GB2312" w:eastAsia="Times New Roman" w:cs="宋体" w:hAnsi="??_GB2312"/>
          <w:color w:val="000000"/>
          <w:kern w:val="0"/>
          <w:sz w:val="32"/>
          <w:lang w:val="zh-CN"/>
        </w:rPr>
        <w:t>部门财政资金</w:t>
      </w:r>
      <w:r>
        <w:rPr>
          <w:rFonts w:ascii="仿宋" w:eastAsia="仿宋" w:hint="eastAsia"/>
          <w:color w:val="000000"/>
          <w:sz w:val="32"/>
          <w:szCs w:val="32"/>
          <w:lang w:eastAsia="zh-CN"/>
        </w:rPr>
        <w:t>1206.62万元</w:t>
      </w:r>
      <w:r>
        <w:rPr>
          <w:rFonts w:ascii="??_GB2312" w:eastAsia="Times New Roman" w:cs="宋体" w:hAnsi="??_GB2312"/>
          <w:color w:val="000000"/>
          <w:kern w:val="0"/>
          <w:sz w:val="32"/>
        </w:rPr>
        <w:t>，</w:t>
      </w:r>
      <w:r>
        <w:rPr>
          <w:rFonts w:ascii="??_GB2312" w:eastAsia="Times New Roman" w:hAnsi="??_GB2312"/>
          <w:color w:val="000000"/>
          <w:sz w:val="32"/>
          <w:szCs w:val="32"/>
        </w:rPr>
        <w:t>其中：</w:t>
      </w: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年一般公共预算财政拨款基本支</w:t>
      </w:r>
      <w:r>
        <w:rPr>
          <w:rFonts w:ascii="仿宋" w:eastAsia="仿宋" w:hint="eastAsia"/>
          <w:color w:val="000000"/>
          <w:sz w:val="32"/>
          <w:szCs w:val="32"/>
          <w:lang w:val="en-US" w:eastAsia="zh-CN"/>
        </w:rPr>
        <w:t>875.1</w:t>
      </w:r>
      <w:r>
        <w:rPr>
          <w:rFonts w:ascii="仿宋" w:eastAsia="仿宋" w:hint="eastAsia"/>
          <w:color w:val="000000"/>
          <w:sz w:val="32"/>
          <w:szCs w:val="32"/>
        </w:rPr>
        <w:t>万元：人员经费</w:t>
      </w:r>
      <w:r>
        <w:rPr>
          <w:rFonts w:ascii="仿宋" w:eastAsia="仿宋" w:hint="eastAsia"/>
          <w:color w:val="000000"/>
          <w:sz w:val="32"/>
          <w:szCs w:val="32"/>
          <w:lang w:val="en-US" w:eastAsia="zh-CN"/>
        </w:rPr>
        <w:t>836.34</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159.63万元</w:t>
      </w:r>
      <w:r>
        <w:rPr>
          <w:rFonts w:ascii="仿宋" w:eastAsia="仿宋" w:hint="eastAsia"/>
          <w:color w:val="000000"/>
          <w:sz w:val="32"/>
          <w:szCs w:val="32"/>
        </w:rPr>
        <w:t>、津贴补贴</w:t>
      </w:r>
      <w:r>
        <w:rPr>
          <w:rFonts w:ascii="仿宋" w:eastAsia="仿宋" w:hint="eastAsia"/>
          <w:color w:val="000000"/>
          <w:sz w:val="32"/>
          <w:szCs w:val="32"/>
          <w:lang w:val="en-US" w:eastAsia="zh-CN"/>
        </w:rPr>
        <w:t>180.32万元</w:t>
      </w:r>
      <w:r>
        <w:rPr>
          <w:rFonts w:ascii="仿宋" w:eastAsia="仿宋" w:hint="eastAsia"/>
          <w:color w:val="000000"/>
          <w:sz w:val="32"/>
          <w:szCs w:val="32"/>
        </w:rPr>
        <w:t>、奖金</w:t>
      </w:r>
      <w:r>
        <w:rPr>
          <w:rFonts w:ascii="仿宋" w:eastAsia="仿宋" w:hint="eastAsia"/>
          <w:color w:val="000000"/>
          <w:sz w:val="32"/>
          <w:szCs w:val="32"/>
          <w:lang w:val="en-US" w:eastAsia="zh-CN"/>
        </w:rPr>
        <w:t>153.22万元，绩效工资50.27万元、其他社会保险缴费9.65万元，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63.59万元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31.76万元</w:t>
      </w:r>
      <w:r>
        <w:rPr>
          <w:rFonts w:ascii="仿宋" w:eastAsia="仿宋" w:hint="eastAsia"/>
          <w:color w:val="000000"/>
          <w:sz w:val="32"/>
          <w:szCs w:val="32"/>
        </w:rPr>
        <w:t>、</w:t>
      </w:r>
      <w:r>
        <w:rPr>
          <w:rFonts w:ascii="仿宋" w:eastAsia="仿宋" w:hint="eastAsia"/>
          <w:color w:val="000000"/>
          <w:sz w:val="32"/>
          <w:szCs w:val="32"/>
          <w:lang w:val="en-US" w:eastAsia="zh-CN"/>
        </w:rPr>
        <w:t>职工基本医疗保险缴费30.41万元、公务员医疗补助缴费5.38万元、</w:t>
      </w:r>
      <w:r>
        <w:rPr>
          <w:rFonts w:ascii="仿宋" w:eastAsia="仿宋" w:hint="eastAsia"/>
          <w:color w:val="000000"/>
          <w:sz w:val="32"/>
          <w:szCs w:val="32"/>
        </w:rPr>
        <w:t>住房公积金</w:t>
      </w:r>
      <w:r>
        <w:rPr>
          <w:rFonts w:ascii="仿宋" w:eastAsia="仿宋" w:hint="eastAsia"/>
          <w:color w:val="000000"/>
          <w:sz w:val="32"/>
          <w:szCs w:val="32"/>
          <w:lang w:val="en-US" w:eastAsia="zh-CN"/>
        </w:rPr>
        <w:t>59.71万元，</w:t>
      </w:r>
      <w:r>
        <w:rPr>
          <w:rFonts w:ascii="仿宋" w:eastAsia="仿宋" w:hint="eastAsia"/>
          <w:color w:val="000000"/>
          <w:sz w:val="32"/>
          <w:szCs w:val="32"/>
        </w:rPr>
        <w:t>其他对个人和家庭的补助支出</w:t>
      </w:r>
      <w:r>
        <w:rPr>
          <w:rFonts w:ascii="仿宋" w:eastAsia="仿宋" w:hint="eastAsia"/>
          <w:color w:val="000000"/>
          <w:sz w:val="32"/>
          <w:szCs w:val="32"/>
          <w:lang w:val="en-US" w:eastAsia="zh-CN"/>
        </w:rPr>
        <w:t>11.83万元、奖励金80.57万元</w:t>
      </w:r>
      <w:r>
        <w:rPr>
          <w:rFonts w:ascii="仿宋" w:eastAsia="仿宋" w:hint="eastAsia"/>
          <w:color w:val="000000"/>
          <w:sz w:val="32"/>
          <w:szCs w:val="32"/>
        </w:rPr>
        <w:t>等。</w:t>
      </w:r>
    </w:p>
    <w:p>
      <w:pPr>
        <w:spacing w:line="600" w:lineRule="exact"/>
        <w:ind w:firstLineChars="200" w:firstLine="640"/>
        <w:rPr>
          <w:rFonts w:ascii="仿宋" w:eastAsia="仿宋"/>
          <w:color w:val="000000"/>
          <w:sz w:val="32"/>
          <w:szCs w:val="32"/>
          <w:lang w:val="en-US" w:eastAsia="zh-CN"/>
        </w:rPr>
      </w:pPr>
      <w:r>
        <w:rPr>
          <w:rFonts w:ascii="仿宋" w:eastAsia="仿宋" w:hint="eastAsia"/>
          <w:color w:val="000000"/>
          <w:sz w:val="32"/>
          <w:szCs w:val="32"/>
        </w:rPr>
        <w:t>公用经费</w:t>
      </w:r>
      <w:r>
        <w:rPr>
          <w:rFonts w:ascii="仿宋" w:eastAsia="仿宋" w:hint="eastAsia"/>
          <w:color w:val="000000"/>
          <w:sz w:val="32"/>
          <w:szCs w:val="32"/>
          <w:lang w:val="en-US" w:eastAsia="zh-CN"/>
        </w:rPr>
        <w:t>38.76</w:t>
      </w:r>
      <w:r>
        <w:rPr>
          <w:rFonts w:ascii="仿宋" w:eastAsia="仿宋" w:hint="eastAsia"/>
          <w:color w:val="000000"/>
          <w:sz w:val="32"/>
          <w:szCs w:val="32"/>
        </w:rPr>
        <w:t>万元，主要包括：</w:t>
      </w:r>
      <w:r>
        <w:rPr>
          <w:rFonts w:ascii="仿宋" w:eastAsia="仿宋" w:hint="eastAsia"/>
          <w:color w:val="000000"/>
          <w:sz w:val="32"/>
          <w:szCs w:val="32"/>
          <w:lang w:eastAsia="zh-CN"/>
        </w:rPr>
        <w:t>办公费</w:t>
      </w:r>
      <w:r>
        <w:rPr>
          <w:rFonts w:ascii="仿宋" w:eastAsia="仿宋" w:hint="eastAsia"/>
          <w:color w:val="000000"/>
          <w:sz w:val="32"/>
          <w:szCs w:val="32"/>
          <w:lang w:val="en-US" w:eastAsia="zh-CN"/>
        </w:rPr>
        <w:t>8.33万元，印刷费4万元，劳务费4.93万元，电费3.5万元，邮电费3万元，委托业务费1万元，差旅费7万元，公务用车运行维护费6万元，其他交通费1万元。</w:t>
      </w:r>
    </w:p>
    <w:p>
      <w:pPr>
        <w:snapToGrid w:val="0"/>
        <w:spacing w:line="520" w:lineRule="exact"/>
        <w:ind w:firstLineChars="200" w:firstLine="640"/>
        <w:rPr>
          <w:rFonts w:ascii="仿宋_GB2312" w:eastAsia="仿宋_GB2312" w:cs="仿宋_GB2312" w:hint="eastAsia"/>
          <w:color w:val="000000"/>
          <w:sz w:val="31"/>
          <w:szCs w:val="31"/>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w:t>
      </w:r>
      <w:r>
        <w:rPr>
          <w:rFonts w:ascii="仿宋" w:eastAsia="仿宋" w:hint="eastAsia"/>
          <w:color w:val="000000"/>
          <w:sz w:val="32"/>
          <w:szCs w:val="32"/>
          <w:lang w:eastAsia="zh-CN"/>
        </w:rPr>
        <w:t>项目</w:t>
      </w:r>
      <w:r>
        <w:rPr>
          <w:rFonts w:ascii="仿宋" w:eastAsia="仿宋" w:hint="eastAsia"/>
          <w:color w:val="000000"/>
          <w:sz w:val="32"/>
          <w:szCs w:val="32"/>
        </w:rPr>
        <w:t>支出</w:t>
      </w:r>
      <w:r>
        <w:rPr>
          <w:rFonts w:ascii="仿宋_GB2312" w:eastAsia="仿宋_GB2312" w:hint="eastAsia"/>
          <w:sz w:val="32"/>
          <w:szCs w:val="32"/>
          <w:lang w:val="en-US" w:eastAsia="zh-CN"/>
        </w:rPr>
        <w:t>331.52</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_GB2312" w:eastAsia="仿宋_GB2312" w:hint="eastAsia"/>
          <w:color w:val="000000"/>
          <w:sz w:val="32"/>
          <w:szCs w:val="32"/>
          <w:highlight w:val="auto"/>
        </w:rPr>
        <w:t>主要包括</w:t>
      </w:r>
      <w:r>
        <w:rPr>
          <w:rFonts w:ascii="仿宋" w:eastAsia="仿宋" w:hint="eastAsia"/>
          <w:color w:val="000000"/>
          <w:sz w:val="32"/>
          <w:szCs w:val="32"/>
          <w:lang w:val="en-US" w:eastAsia="zh-CN"/>
        </w:rPr>
        <w:t>：</w:t>
      </w:r>
      <w:r>
        <w:rPr>
          <w:rFonts w:ascii="仿宋_GB2312" w:eastAsia="仿宋_GB2312" w:hint="eastAsia"/>
          <w:color w:val="000000"/>
          <w:sz w:val="32"/>
          <w:szCs w:val="32"/>
          <w:highlight w:val="auto"/>
        </w:rPr>
        <w:t>对村干部生活补助支出</w:t>
      </w:r>
      <w:r>
        <w:rPr>
          <w:rFonts w:ascii="仿宋_GB2312" w:eastAsia="仿宋_GB2312" w:hint="eastAsia"/>
          <w:color w:val="000000"/>
          <w:sz w:val="32"/>
          <w:szCs w:val="32"/>
          <w:lang w:val="en-US" w:eastAsia="zh-CN"/>
          <w:highlight w:val="auto"/>
        </w:rPr>
        <w:t>106.2</w:t>
      </w:r>
      <w:r>
        <w:rPr>
          <w:rFonts w:ascii="仿宋_GB2312" w:eastAsia="仿宋_GB2312" w:hint="eastAsia"/>
          <w:color w:val="000000"/>
          <w:sz w:val="32"/>
          <w:szCs w:val="32"/>
          <w:highlight w:val="auto"/>
        </w:rPr>
        <w:t>万元，村级维护费办公费</w:t>
      </w:r>
      <w:r>
        <w:rPr>
          <w:rFonts w:ascii="仿宋_GB2312" w:eastAsia="仿宋_GB2312" w:hint="eastAsia"/>
          <w:color w:val="000000"/>
          <w:sz w:val="32"/>
          <w:szCs w:val="32"/>
          <w:lang w:val="en-US" w:eastAsia="zh-CN"/>
          <w:highlight w:val="auto"/>
        </w:rPr>
        <w:t>66</w:t>
      </w:r>
      <w:r>
        <w:rPr>
          <w:rFonts w:ascii="仿宋_GB2312" w:eastAsia="仿宋_GB2312" w:hint="eastAsia"/>
          <w:color w:val="000000"/>
          <w:sz w:val="32"/>
          <w:szCs w:val="32"/>
          <w:highlight w:val="auto"/>
        </w:rPr>
        <w:t>万元</w:t>
      </w:r>
      <w:r>
        <w:rPr>
          <w:rFonts w:ascii="仿宋_GB2312" w:eastAsia="仿宋_GB2312" w:cs="仿宋_GB2312" w:hint="eastAsia"/>
          <w:color w:val="000000"/>
          <w:sz w:val="32"/>
          <w:szCs w:val="32"/>
          <w:highlight w:val="auto"/>
        </w:rPr>
        <w:t>（其中公共运行维护费</w:t>
      </w:r>
      <w:r>
        <w:rPr>
          <w:rFonts w:ascii="仿宋_GB2312" w:eastAsia="仿宋_GB2312" w:cs="仿宋_GB2312" w:hint="eastAsia"/>
          <w:color w:val="000000"/>
          <w:sz w:val="32"/>
          <w:szCs w:val="32"/>
          <w:lang w:val="en-US" w:eastAsia="zh-CN"/>
          <w:highlight w:val="auto"/>
        </w:rPr>
        <w:t>42</w:t>
      </w:r>
      <w:r>
        <w:rPr>
          <w:rFonts w:ascii="仿宋_GB2312" w:eastAsia="仿宋_GB2312" w:cs="仿宋_GB2312" w:hint="eastAsia"/>
          <w:color w:val="000000"/>
          <w:sz w:val="32"/>
          <w:szCs w:val="32"/>
          <w:highlight w:val="auto"/>
        </w:rPr>
        <w:t>万元、基层党组织活动经费1</w:t>
      </w:r>
      <w:r>
        <w:rPr>
          <w:rFonts w:ascii="仿宋_GB2312" w:eastAsia="仿宋_GB2312" w:cs="仿宋_GB2312" w:hint="eastAsia"/>
          <w:color w:val="000000"/>
          <w:sz w:val="32"/>
          <w:szCs w:val="32"/>
          <w:lang w:val="en-US" w:eastAsia="zh-CN"/>
          <w:highlight w:val="auto"/>
        </w:rPr>
        <w:t>2</w:t>
      </w:r>
      <w:r>
        <w:rPr>
          <w:rFonts w:ascii="仿宋_GB2312" w:eastAsia="仿宋_GB2312" w:cs="仿宋_GB2312" w:hint="eastAsia"/>
          <w:color w:val="000000"/>
          <w:sz w:val="32"/>
          <w:szCs w:val="32"/>
          <w:highlight w:val="auto"/>
        </w:rPr>
        <w:t>万元、办公费1</w:t>
      </w:r>
      <w:r>
        <w:rPr>
          <w:rFonts w:ascii="仿宋_GB2312" w:eastAsia="仿宋_GB2312" w:cs="仿宋_GB2312" w:hint="eastAsia"/>
          <w:color w:val="000000"/>
          <w:sz w:val="32"/>
          <w:szCs w:val="32"/>
          <w:lang w:val="en-US" w:eastAsia="zh-CN"/>
          <w:highlight w:val="auto"/>
        </w:rPr>
        <w:t>2</w:t>
      </w:r>
      <w:r>
        <w:rPr>
          <w:rFonts w:ascii="仿宋_GB2312" w:eastAsia="仿宋_GB2312" w:cs="仿宋_GB2312" w:hint="eastAsia"/>
          <w:color w:val="000000"/>
          <w:sz w:val="32"/>
          <w:szCs w:val="32"/>
          <w:highlight w:val="auto"/>
        </w:rPr>
        <w:t>万元）</w:t>
      </w:r>
      <w:r>
        <w:rPr>
          <w:rFonts w:ascii="仿宋_GB2312" w:eastAsia="仿宋_GB2312" w:hint="eastAsia"/>
          <w:color w:val="000000"/>
          <w:sz w:val="32"/>
          <w:szCs w:val="32"/>
          <w:highlight w:val="auto"/>
        </w:rPr>
        <w:t>，</w:t>
      </w:r>
      <w:r>
        <w:rPr>
          <w:rFonts w:ascii="仿宋_GB2312" w:eastAsia="仿宋_GB2312" w:cs="Times New Roman" w:hint="eastAsia"/>
          <w:color w:val="000000"/>
          <w:sz w:val="32"/>
          <w:szCs w:val="32"/>
          <w:lang w:val="en-US" w:eastAsia="zh-CN"/>
          <w:highlight w:val="auto"/>
        </w:rPr>
        <w:t>突发公共卫生事件应急处理5</w:t>
      </w:r>
      <w:r>
        <w:rPr>
          <w:rFonts w:ascii="仿宋_GB2312" w:eastAsia="仿宋_GB2312" w:hint="eastAsia"/>
          <w:color w:val="000000"/>
          <w:sz w:val="32"/>
          <w:szCs w:val="32"/>
          <w:lang w:val="en-US" w:eastAsia="zh-CN"/>
          <w:highlight w:val="auto"/>
        </w:rPr>
        <w:t>万元，</w:t>
      </w:r>
      <w:r>
        <w:rPr>
          <w:rFonts w:ascii="仿宋_GB2312" w:eastAsia="仿宋_GB2312" w:cs="仿宋_GB2312" w:hint="eastAsia"/>
          <w:color w:val="000000"/>
          <w:sz w:val="32"/>
          <w:szCs w:val="32"/>
          <w:lang w:val="en-US" w:eastAsia="zh-CN"/>
          <w:highlight w:val="auto"/>
        </w:rPr>
        <w:t>金川县沙耳乡2022年克尔玛村红色旅游文化道路提档升级建设项目33.12万元，</w:t>
      </w:r>
      <w:r>
        <w:rPr>
          <w:rFonts w:ascii="仿宋_GB2312" w:eastAsia="仿宋_GB2312" w:cs="仿宋_GB2312" w:hint="eastAsia"/>
          <w:color w:val="000000"/>
          <w:sz w:val="32"/>
          <w:szCs w:val="32"/>
          <w:highlight w:val="auto"/>
        </w:rPr>
        <w:t>金川县沙耳乡沙耳尼村乡村综合提升项目</w:t>
      </w:r>
      <w:r>
        <w:rPr>
          <w:rFonts w:ascii="仿宋_GB2312" w:eastAsia="仿宋_GB2312" w:cs="仿宋_GB2312" w:hint="eastAsia"/>
          <w:color w:val="000000"/>
          <w:sz w:val="32"/>
          <w:szCs w:val="32"/>
          <w:lang w:val="en-US" w:eastAsia="zh-CN"/>
          <w:highlight w:val="auto"/>
        </w:rPr>
        <w:t>61.82万元，</w:t>
      </w:r>
      <w:r>
        <w:rPr>
          <w:rFonts w:ascii="仿宋_GB2312" w:eastAsia="仿宋_GB2312" w:cs="仿宋_GB2312" w:hint="eastAsia"/>
          <w:color w:val="000000"/>
          <w:sz w:val="32"/>
          <w:szCs w:val="32"/>
          <w:highlight w:val="auto"/>
        </w:rPr>
        <w:t xml:space="preserve">金川县沙耳乡沙耳尼村集体经济建设项目 </w:t>
      </w:r>
      <w:r>
        <w:rPr>
          <w:rFonts w:ascii="仿宋_GB2312" w:eastAsia="仿宋_GB2312" w:cs="仿宋_GB2312" w:hint="eastAsia"/>
          <w:color w:val="000000"/>
          <w:sz w:val="32"/>
          <w:szCs w:val="32"/>
          <w:lang w:val="en-US" w:eastAsia="zh-CN"/>
          <w:highlight w:val="auto"/>
        </w:rPr>
        <w:t>55万元，三老干部生活补助4.32万元、会议费0.06万元。</w:t>
      </w:r>
    </w:p>
    <w:p>
      <w:pPr>
        <w:pStyle w:val="23"/>
        <w:keepNext w:val="0"/>
        <w:keepLines w:val="0"/>
        <w:widowControl/>
        <w:numPr>
          <w:ilvl w:val="0"/>
          <w:numId w:val="4"/>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部门财政资金支出情况。</w:t>
      </w:r>
    </w:p>
    <w:p>
      <w:pPr>
        <w:spacing w:line="600" w:lineRule="exact"/>
        <w:ind w:firstLine="645"/>
        <w:rPr>
          <w:rFonts w:ascii="仿宋" w:eastAsia="仿宋" w:hint="eastAsia"/>
          <w:color w:val="000000"/>
          <w:sz w:val="32"/>
          <w:szCs w:val="32"/>
          <w:lang w:eastAsia="zh-CN"/>
        </w:rPr>
      </w:pPr>
      <w:r>
        <w:rPr>
          <w:rFonts w:ascii="??_GB2312" w:eastAsia="Times New Roman" w:cs="宋体" w:hAnsi="??_GB2312"/>
          <w:color w:val="000000"/>
          <w:kern w:val="0"/>
          <w:sz w:val="32"/>
          <w:lang w:val="zh-CN"/>
        </w:rPr>
        <w:t>部门财政资金</w:t>
      </w:r>
      <w:r>
        <w:rPr>
          <w:rFonts w:ascii="仿宋" w:eastAsia="仿宋" w:hint="eastAsia"/>
          <w:color w:val="000000"/>
          <w:sz w:val="32"/>
          <w:szCs w:val="32"/>
          <w:lang w:eastAsia="zh-CN"/>
        </w:rPr>
        <w:t>1206.62万元</w:t>
      </w:r>
      <w:r>
        <w:rPr>
          <w:rFonts w:ascii="??_GB2312" w:eastAsia="Times New Roman" w:cs="宋体" w:hAnsi="??_GB2312"/>
          <w:color w:val="000000"/>
          <w:kern w:val="0"/>
          <w:sz w:val="32"/>
        </w:rPr>
        <w:t>，</w:t>
      </w:r>
      <w:r>
        <w:rPr>
          <w:rFonts w:ascii="??_GB2312" w:eastAsia="Times New Roman" w:hAnsi="??_GB2312"/>
          <w:color w:val="000000"/>
          <w:sz w:val="32"/>
          <w:szCs w:val="32"/>
        </w:rPr>
        <w:t>其中：</w:t>
      </w: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年一般公共预算财政拨款基本支</w:t>
      </w:r>
      <w:r>
        <w:rPr>
          <w:rFonts w:ascii="仿宋" w:eastAsia="仿宋" w:hint="eastAsia"/>
          <w:color w:val="000000"/>
          <w:sz w:val="32"/>
          <w:szCs w:val="32"/>
          <w:lang w:val="en-US" w:eastAsia="zh-CN"/>
        </w:rPr>
        <w:t>875.1</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rPr>
        <w:t>人员经费</w:t>
      </w:r>
      <w:r>
        <w:rPr>
          <w:rFonts w:ascii="仿宋" w:eastAsia="仿宋" w:hint="eastAsia"/>
          <w:color w:val="000000"/>
          <w:sz w:val="32"/>
          <w:szCs w:val="32"/>
          <w:lang w:val="en-US" w:eastAsia="zh-CN"/>
        </w:rPr>
        <w:t>836.34</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159.63万元</w:t>
      </w:r>
      <w:r>
        <w:rPr>
          <w:rFonts w:ascii="仿宋" w:eastAsia="仿宋" w:hint="eastAsia"/>
          <w:color w:val="000000"/>
          <w:sz w:val="32"/>
          <w:szCs w:val="32"/>
        </w:rPr>
        <w:t>、津贴补贴</w:t>
      </w:r>
      <w:r>
        <w:rPr>
          <w:rFonts w:ascii="仿宋" w:eastAsia="仿宋" w:hint="eastAsia"/>
          <w:color w:val="000000"/>
          <w:sz w:val="32"/>
          <w:szCs w:val="32"/>
          <w:lang w:val="en-US" w:eastAsia="zh-CN"/>
        </w:rPr>
        <w:t>180.32万元</w:t>
      </w:r>
      <w:r>
        <w:rPr>
          <w:rFonts w:ascii="仿宋" w:eastAsia="仿宋" w:hint="eastAsia"/>
          <w:color w:val="000000"/>
          <w:sz w:val="32"/>
          <w:szCs w:val="32"/>
        </w:rPr>
        <w:t>、奖金</w:t>
      </w:r>
      <w:r>
        <w:rPr>
          <w:rFonts w:ascii="仿宋" w:eastAsia="仿宋" w:hint="eastAsia"/>
          <w:color w:val="000000"/>
          <w:sz w:val="32"/>
          <w:szCs w:val="32"/>
          <w:lang w:val="en-US" w:eastAsia="zh-CN"/>
        </w:rPr>
        <w:t>153.22万元，绩效工资50.27万元、其他社会保险缴费9.65万元，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63.59万元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31.76万元</w:t>
      </w:r>
      <w:r>
        <w:rPr>
          <w:rFonts w:ascii="仿宋" w:eastAsia="仿宋" w:hint="eastAsia"/>
          <w:color w:val="000000"/>
          <w:sz w:val="32"/>
          <w:szCs w:val="32"/>
        </w:rPr>
        <w:t>、</w:t>
      </w:r>
      <w:r>
        <w:rPr>
          <w:rFonts w:ascii="仿宋" w:eastAsia="仿宋" w:hint="eastAsia"/>
          <w:color w:val="000000"/>
          <w:sz w:val="32"/>
          <w:szCs w:val="32"/>
          <w:lang w:val="en-US" w:eastAsia="zh-CN"/>
        </w:rPr>
        <w:t>职工基本医疗保险缴费30.41万元、公务员医疗补助缴费5.38万元、</w:t>
      </w:r>
      <w:r>
        <w:rPr>
          <w:rFonts w:ascii="仿宋" w:eastAsia="仿宋" w:hint="eastAsia"/>
          <w:color w:val="000000"/>
          <w:sz w:val="32"/>
          <w:szCs w:val="32"/>
        </w:rPr>
        <w:t>住房公积金</w:t>
      </w:r>
      <w:r>
        <w:rPr>
          <w:rFonts w:ascii="仿宋" w:eastAsia="仿宋" w:hint="eastAsia"/>
          <w:color w:val="000000"/>
          <w:sz w:val="32"/>
          <w:szCs w:val="32"/>
          <w:lang w:val="en-US" w:eastAsia="zh-CN"/>
        </w:rPr>
        <w:t>59.71万元，</w:t>
      </w:r>
      <w:r>
        <w:rPr>
          <w:rFonts w:ascii="仿宋" w:eastAsia="仿宋" w:hint="eastAsia"/>
          <w:color w:val="000000"/>
          <w:sz w:val="32"/>
          <w:szCs w:val="32"/>
        </w:rPr>
        <w:t>其他对个人和家庭的补助支出</w:t>
      </w:r>
      <w:r>
        <w:rPr>
          <w:rFonts w:ascii="仿宋" w:eastAsia="仿宋" w:hint="eastAsia"/>
          <w:color w:val="000000"/>
          <w:sz w:val="32"/>
          <w:szCs w:val="32"/>
          <w:lang w:val="en-US" w:eastAsia="zh-CN"/>
        </w:rPr>
        <w:t>11.83万元、奖励金80.57万元</w:t>
      </w:r>
      <w:r>
        <w:rPr>
          <w:rFonts w:ascii="仿宋" w:eastAsia="仿宋" w:hint="eastAsia"/>
          <w:color w:val="000000"/>
          <w:sz w:val="32"/>
          <w:szCs w:val="32"/>
        </w:rPr>
        <w:t>等。</w:t>
      </w:r>
    </w:p>
    <w:p>
      <w:pPr>
        <w:spacing w:line="600" w:lineRule="exact"/>
        <w:ind w:firstLineChars="200" w:firstLine="640"/>
        <w:rPr>
          <w:rFonts w:ascii="仿宋" w:eastAsia="仿宋"/>
          <w:color w:val="000000"/>
          <w:sz w:val="32"/>
          <w:szCs w:val="32"/>
          <w:lang w:val="en-US" w:eastAsia="zh-CN"/>
        </w:rPr>
      </w:pPr>
      <w:r>
        <w:rPr>
          <w:rFonts w:ascii="仿宋" w:eastAsia="仿宋" w:hint="eastAsia"/>
          <w:color w:val="000000"/>
          <w:sz w:val="32"/>
          <w:szCs w:val="32"/>
        </w:rPr>
        <w:t>公用经费</w:t>
      </w:r>
      <w:r>
        <w:rPr>
          <w:rFonts w:ascii="仿宋" w:eastAsia="仿宋" w:hint="eastAsia"/>
          <w:color w:val="000000"/>
          <w:sz w:val="32"/>
          <w:szCs w:val="32"/>
          <w:lang w:val="en-US" w:eastAsia="zh-CN"/>
        </w:rPr>
        <w:t>38.76</w:t>
      </w:r>
      <w:r>
        <w:rPr>
          <w:rFonts w:ascii="仿宋" w:eastAsia="仿宋" w:hint="eastAsia"/>
          <w:color w:val="000000"/>
          <w:sz w:val="32"/>
          <w:szCs w:val="32"/>
        </w:rPr>
        <w:t>万元，主要包括：</w:t>
      </w:r>
      <w:r>
        <w:rPr>
          <w:rFonts w:ascii="仿宋" w:eastAsia="仿宋" w:hint="eastAsia"/>
          <w:color w:val="000000"/>
          <w:sz w:val="32"/>
          <w:szCs w:val="32"/>
          <w:lang w:eastAsia="zh-CN"/>
        </w:rPr>
        <w:t>办公费</w:t>
      </w:r>
      <w:r>
        <w:rPr>
          <w:rFonts w:ascii="仿宋" w:eastAsia="仿宋" w:hint="eastAsia"/>
          <w:color w:val="000000"/>
          <w:sz w:val="32"/>
          <w:szCs w:val="32"/>
          <w:lang w:val="en-US" w:eastAsia="zh-CN"/>
        </w:rPr>
        <w:t>8.33万元，印刷费4万元，劳务费4.93万元，电费3.5万元，邮电费3万元，委托业务费1万元，差旅费7万元，公务用车运行维护费6万元，其他交通费1万元。</w:t>
      </w:r>
    </w:p>
    <w:p>
      <w:pPr>
        <w:snapToGrid w:val="0"/>
        <w:spacing w:line="520" w:lineRule="exact"/>
        <w:ind w:firstLineChars="200" w:firstLine="640"/>
        <w:rPr>
          <w:rFonts w:ascii="仿宋_GB2312" w:eastAsia="仿宋_GB2312" w:cs="仿宋_GB2312" w:hint="eastAsia"/>
          <w:color w:val="000000"/>
          <w:kern w:val="0"/>
          <w:sz w:val="31"/>
          <w:szCs w:val="31"/>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w:t>
      </w:r>
      <w:r>
        <w:rPr>
          <w:rFonts w:ascii="仿宋" w:eastAsia="仿宋" w:hint="eastAsia"/>
          <w:color w:val="000000"/>
          <w:sz w:val="32"/>
          <w:szCs w:val="32"/>
          <w:lang w:eastAsia="zh-CN"/>
        </w:rPr>
        <w:t>项目</w:t>
      </w:r>
      <w:r>
        <w:rPr>
          <w:rFonts w:ascii="仿宋" w:eastAsia="仿宋" w:hint="eastAsia"/>
          <w:color w:val="000000"/>
          <w:sz w:val="32"/>
          <w:szCs w:val="32"/>
        </w:rPr>
        <w:t>支出</w:t>
      </w:r>
      <w:r>
        <w:rPr>
          <w:rFonts w:ascii="仿宋_GB2312" w:eastAsia="仿宋_GB2312" w:hint="eastAsia"/>
          <w:sz w:val="32"/>
          <w:szCs w:val="32"/>
          <w:lang w:val="en-US" w:eastAsia="zh-CN"/>
        </w:rPr>
        <w:t>331.52</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_GB2312" w:eastAsia="仿宋_GB2312" w:hint="eastAsia"/>
          <w:color w:val="000000"/>
          <w:sz w:val="32"/>
          <w:szCs w:val="32"/>
          <w:highlight w:val="auto"/>
        </w:rPr>
        <w:t>主要包括</w:t>
      </w:r>
      <w:r>
        <w:rPr>
          <w:rFonts w:ascii="仿宋" w:eastAsia="仿宋" w:hint="eastAsia"/>
          <w:color w:val="000000"/>
          <w:sz w:val="32"/>
          <w:szCs w:val="32"/>
          <w:lang w:val="en-US" w:eastAsia="zh-CN"/>
        </w:rPr>
        <w:t>：</w:t>
      </w:r>
      <w:r>
        <w:rPr>
          <w:rFonts w:ascii="仿宋_GB2312" w:eastAsia="仿宋_GB2312" w:hint="eastAsia"/>
          <w:color w:val="000000"/>
          <w:sz w:val="32"/>
          <w:szCs w:val="32"/>
          <w:highlight w:val="auto"/>
        </w:rPr>
        <w:t>对村干部生活补助支出</w:t>
      </w:r>
      <w:r>
        <w:rPr>
          <w:rFonts w:ascii="仿宋_GB2312" w:eastAsia="仿宋_GB2312" w:hint="eastAsia"/>
          <w:color w:val="000000"/>
          <w:sz w:val="32"/>
          <w:szCs w:val="32"/>
          <w:lang w:val="en-US" w:eastAsia="zh-CN"/>
          <w:highlight w:val="auto"/>
        </w:rPr>
        <w:t>106.2</w:t>
      </w:r>
      <w:r>
        <w:rPr>
          <w:rFonts w:ascii="仿宋_GB2312" w:eastAsia="仿宋_GB2312" w:hint="eastAsia"/>
          <w:color w:val="000000"/>
          <w:sz w:val="32"/>
          <w:szCs w:val="32"/>
          <w:highlight w:val="auto"/>
        </w:rPr>
        <w:t>万元，村级维护费办公费</w:t>
      </w:r>
      <w:r>
        <w:rPr>
          <w:rFonts w:ascii="仿宋_GB2312" w:eastAsia="仿宋_GB2312" w:hint="eastAsia"/>
          <w:color w:val="000000"/>
          <w:sz w:val="32"/>
          <w:szCs w:val="32"/>
          <w:lang w:val="en-US" w:eastAsia="zh-CN"/>
          <w:highlight w:val="auto"/>
        </w:rPr>
        <w:t>66</w:t>
      </w:r>
      <w:r>
        <w:rPr>
          <w:rFonts w:ascii="仿宋_GB2312" w:eastAsia="仿宋_GB2312" w:hint="eastAsia"/>
          <w:color w:val="000000"/>
          <w:sz w:val="32"/>
          <w:szCs w:val="32"/>
          <w:highlight w:val="auto"/>
        </w:rPr>
        <w:t>万元</w:t>
      </w:r>
      <w:r>
        <w:rPr>
          <w:rFonts w:ascii="仿宋_GB2312" w:eastAsia="仿宋_GB2312" w:cs="仿宋_GB2312" w:hint="eastAsia"/>
          <w:color w:val="000000"/>
          <w:sz w:val="32"/>
          <w:szCs w:val="32"/>
          <w:highlight w:val="auto"/>
        </w:rPr>
        <w:t>（其中公共运行维护费</w:t>
      </w:r>
      <w:r>
        <w:rPr>
          <w:rFonts w:ascii="仿宋_GB2312" w:eastAsia="仿宋_GB2312" w:cs="仿宋_GB2312" w:hint="eastAsia"/>
          <w:color w:val="000000"/>
          <w:sz w:val="32"/>
          <w:szCs w:val="32"/>
          <w:lang w:val="en-US" w:eastAsia="zh-CN"/>
          <w:highlight w:val="auto"/>
        </w:rPr>
        <w:t>42</w:t>
      </w:r>
      <w:r>
        <w:rPr>
          <w:rFonts w:ascii="仿宋_GB2312" w:eastAsia="仿宋_GB2312" w:cs="仿宋_GB2312" w:hint="eastAsia"/>
          <w:color w:val="000000"/>
          <w:sz w:val="32"/>
          <w:szCs w:val="32"/>
          <w:highlight w:val="auto"/>
        </w:rPr>
        <w:t>万元、基层党组织活动经费1</w:t>
      </w:r>
      <w:r>
        <w:rPr>
          <w:rFonts w:ascii="仿宋_GB2312" w:eastAsia="仿宋_GB2312" w:cs="仿宋_GB2312" w:hint="eastAsia"/>
          <w:color w:val="000000"/>
          <w:sz w:val="32"/>
          <w:szCs w:val="32"/>
          <w:lang w:val="en-US" w:eastAsia="zh-CN"/>
          <w:highlight w:val="auto"/>
        </w:rPr>
        <w:t>2</w:t>
      </w:r>
      <w:r>
        <w:rPr>
          <w:rFonts w:ascii="仿宋_GB2312" w:eastAsia="仿宋_GB2312" w:cs="仿宋_GB2312" w:hint="eastAsia"/>
          <w:color w:val="000000"/>
          <w:sz w:val="32"/>
          <w:szCs w:val="32"/>
          <w:highlight w:val="auto"/>
        </w:rPr>
        <w:t>万元、办公费1</w:t>
      </w:r>
      <w:r>
        <w:rPr>
          <w:rFonts w:ascii="仿宋_GB2312" w:eastAsia="仿宋_GB2312" w:cs="仿宋_GB2312" w:hint="eastAsia"/>
          <w:color w:val="000000"/>
          <w:sz w:val="32"/>
          <w:szCs w:val="32"/>
          <w:lang w:val="en-US" w:eastAsia="zh-CN"/>
          <w:highlight w:val="auto"/>
        </w:rPr>
        <w:t>2</w:t>
      </w:r>
      <w:r>
        <w:rPr>
          <w:rFonts w:ascii="仿宋_GB2312" w:eastAsia="仿宋_GB2312" w:cs="仿宋_GB2312" w:hint="eastAsia"/>
          <w:color w:val="000000"/>
          <w:sz w:val="32"/>
          <w:szCs w:val="32"/>
          <w:highlight w:val="auto"/>
        </w:rPr>
        <w:t>万元）</w:t>
      </w:r>
      <w:r>
        <w:rPr>
          <w:rFonts w:ascii="仿宋_GB2312" w:eastAsia="仿宋_GB2312" w:hint="eastAsia"/>
          <w:color w:val="000000"/>
          <w:sz w:val="32"/>
          <w:szCs w:val="32"/>
          <w:highlight w:val="auto"/>
        </w:rPr>
        <w:t>，</w:t>
      </w:r>
      <w:r>
        <w:rPr>
          <w:rFonts w:ascii="仿宋_GB2312" w:eastAsia="仿宋_GB2312" w:cs="Times New Roman" w:hint="eastAsia"/>
          <w:color w:val="000000"/>
          <w:sz w:val="32"/>
          <w:szCs w:val="32"/>
          <w:lang w:val="en-US" w:eastAsia="zh-CN"/>
          <w:highlight w:val="auto"/>
        </w:rPr>
        <w:t>突发公共卫生事件应急处理5</w:t>
      </w:r>
      <w:r>
        <w:rPr>
          <w:rFonts w:ascii="仿宋_GB2312" w:eastAsia="仿宋_GB2312" w:hint="eastAsia"/>
          <w:color w:val="000000"/>
          <w:sz w:val="32"/>
          <w:szCs w:val="32"/>
          <w:lang w:val="en-US" w:eastAsia="zh-CN"/>
          <w:highlight w:val="auto"/>
        </w:rPr>
        <w:t>万元，</w:t>
      </w:r>
      <w:r>
        <w:rPr>
          <w:rFonts w:ascii="仿宋_GB2312" w:eastAsia="仿宋_GB2312" w:cs="仿宋_GB2312" w:hint="eastAsia"/>
          <w:color w:val="000000"/>
          <w:sz w:val="32"/>
          <w:szCs w:val="32"/>
          <w:lang w:val="en-US" w:eastAsia="zh-CN"/>
          <w:highlight w:val="auto"/>
        </w:rPr>
        <w:t>金川县沙耳乡2022年克尔玛村红色旅游文化道路提档升级建设项目33.12万元，</w:t>
      </w:r>
      <w:r>
        <w:rPr>
          <w:rFonts w:ascii="仿宋_GB2312" w:eastAsia="仿宋_GB2312" w:cs="仿宋_GB2312" w:hint="eastAsia"/>
          <w:color w:val="000000"/>
          <w:sz w:val="32"/>
          <w:szCs w:val="32"/>
          <w:highlight w:val="auto"/>
        </w:rPr>
        <w:t>金川县沙耳乡沙耳尼村乡村综合提升项目</w:t>
      </w:r>
      <w:r>
        <w:rPr>
          <w:rFonts w:ascii="仿宋_GB2312" w:eastAsia="仿宋_GB2312" w:cs="仿宋_GB2312" w:hint="eastAsia"/>
          <w:color w:val="000000"/>
          <w:sz w:val="32"/>
          <w:szCs w:val="32"/>
          <w:lang w:val="en-US" w:eastAsia="zh-CN"/>
          <w:highlight w:val="auto"/>
        </w:rPr>
        <w:t>61.82万元，</w:t>
      </w:r>
      <w:r>
        <w:rPr>
          <w:rFonts w:ascii="仿宋_GB2312" w:eastAsia="仿宋_GB2312" w:cs="仿宋_GB2312" w:hint="eastAsia"/>
          <w:color w:val="000000"/>
          <w:sz w:val="32"/>
          <w:szCs w:val="32"/>
          <w:highlight w:val="auto"/>
        </w:rPr>
        <w:t xml:space="preserve">金川县沙耳乡沙耳尼村集体经济建设项目 </w:t>
      </w:r>
      <w:r>
        <w:rPr>
          <w:rFonts w:ascii="仿宋_GB2312" w:eastAsia="仿宋_GB2312" w:cs="仿宋_GB2312" w:hint="eastAsia"/>
          <w:color w:val="000000"/>
          <w:sz w:val="32"/>
          <w:szCs w:val="32"/>
          <w:lang w:val="en-US" w:eastAsia="zh-CN"/>
          <w:highlight w:val="auto"/>
        </w:rPr>
        <w:t>55万元，三老干部生活补助4.32万元、会议费0.06万元。</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黑体" w:eastAsia="黑体" w:cs="黑体" w:hint="eastAsia"/>
          <w:color w:val="000000"/>
          <w:sz w:val="31"/>
          <w:szCs w:val="31"/>
          <w:lang w:val="en-US" w:eastAsia="zh-CN"/>
        </w:rPr>
      </w:pPr>
      <w:r>
        <w:rPr>
          <w:rFonts w:ascii="黑体" w:eastAsia="黑体" w:cs="黑体" w:hint="eastAsia"/>
          <w:color w:val="000000"/>
          <w:sz w:val="31"/>
          <w:szCs w:val="31"/>
          <w:lang w:val="en-US" w:eastAsia="zh-CN"/>
        </w:rPr>
        <w:t>三、部门整体预算绩效管理情况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（一）部门预算管理。</w:t>
      </w:r>
    </w:p>
    <w:p>
      <w:pPr>
        <w:keepNext w:val="0"/>
        <w:keepLines w:val="0"/>
        <w:widowControl/>
        <w:suppressLineNumbers w:val="0"/>
        <w:ind w:left="0" w:firstLineChars="200" w:firstLine="620"/>
        <w:jc w:val="left"/>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2023年我乡按照统筹兼顾、厉行节约、讲求绩效、收支平衡等原则编制了部门预算，制定的绩效目标制定、目标完成、预决算编制等均按照县财政局下达的相关文件指标进行了编制，均按相关要求严格执行预算范围内开支，并完成所有预定目标，全年无违规记录</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（二）结果应用情况。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zh-CN" w:eastAsia="zh-CN"/>
        </w:rPr>
        <w:t>评价得分</w:t>
      </w:r>
      <w:r>
        <w:rPr>
          <w:rFonts w:ascii="仿宋_GB2312" w:eastAsia="仿宋_GB2312" w:cs="仿宋_GB2312" w:hint="eastAsia"/>
          <w:color w:val="000000"/>
          <w:kern w:val="0"/>
          <w:sz w:val="31"/>
          <w:szCs w:val="31"/>
          <w:lang w:val="en-US" w:eastAsia="zh-CN"/>
        </w:rPr>
        <w:t>87分，整体评价良好，预算支出和决算支出情况相符。</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通过绩效自评结果，对指标完成号的工作要在下一年度继续更鼓加强，对未完成的指标深入分析，找出</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四、评价结论及建议</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（一）评价结论。</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评价得分</w:t>
      </w:r>
      <w:r>
        <w:rPr>
          <w:rFonts w:ascii="仿宋_GB2312" w:eastAsia="仿宋_GB2312" w:hint="eastAsia"/>
          <w:color w:val="000000"/>
          <w:sz w:val="32"/>
          <w:szCs w:val="32"/>
          <w:lang w:val="en-US" w:eastAsia="zh-CN"/>
        </w:rPr>
        <w:t>85分，整体评价良好，预算支出和决算支出情况相符。</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仿宋_GB2312" w:eastAsia="仿宋_GB2312" w:cs="仿宋_GB2312" w:hint="eastAsia"/>
          <w:color w:val="000000"/>
          <w:sz w:val="31"/>
          <w:szCs w:val="31"/>
        </w:rPr>
        <w:t>（二）存在问题。</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我乡财政预算资金支付大部分集中在下半年，上半年资金支付力度较小。</w:t>
      </w:r>
    </w:p>
    <w:p>
      <w:pPr>
        <w:ind w:firstLineChars="100" w:firstLine="31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（三）改进建议</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加大上半年资金支付力度，加强会计核算的规范化。</w:t>
      </w: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rPr>
          <w:rFonts w:ascii="Times New Roman" w:eastAsia="仿宋_GB2312" w:cs="Times New Roman" w:hAnsi="Times New Roman"/>
          <w:i w:val="0"/>
          <w:iCs w:val="0"/>
          <w:caps w:val="0"/>
          <w:smallCaps w:val="0"/>
          <w:color w:val="333333"/>
          <w:spacing w:val="0"/>
          <w:sz w:val="32"/>
          <w:szCs w:val="32"/>
          <w:shd w:val="clear" w:color="auto" w:fill="FFFFFF"/>
        </w:rPr>
      </w:pPr>
    </w:p>
    <w:p>
      <w:pPr>
        <w:pageBreakBefore w:val="0"/>
        <w:widowControl w:val="0"/>
        <w:kinsoku/>
        <w:wordWrap/>
        <w:overflowPunct/>
        <w:topLinePunct w:val="0"/>
        <w:bidi w:val="0"/>
        <w:spacing w:line="576" w:lineRule="exact"/>
        <w:jc w:val="center"/>
        <w:outlineLvl w:val="0"/>
        <w:rPr>
          <w:rFonts w:ascii="Times New Roman" w:eastAsia="仿宋" w:cs="Times New Roman" w:hAnsi="Times New Roman"/>
        </w:rPr>
      </w:pPr>
      <w:bookmarkStart w:id="79" w:name="_Toc26843625"/>
      <w:bookmarkStart w:id="80" w:name="_Toc15396618"/>
      <w:r>
        <w:rPr>
          <w:rFonts w:ascii="Times New Roman" w:eastAsia="黑体" w:cs="Times New Roman" w:hAnsi="Times New Roman"/>
          <w:sz w:val="44"/>
          <w:szCs w:val="44"/>
        </w:rPr>
        <w:t>第</w:t>
      </w:r>
      <w:r>
        <w:rPr>
          <w:rStyle w:val="1Char"/>
          <w:rFonts w:ascii="Times New Roman" w:eastAsia="黑体" w:cs="Times New Roman" w:hAnsi="Times New Roman"/>
          <w:b w:val="0"/>
        </w:rPr>
        <w:t>五部分 附表</w:t>
      </w:r>
      <w:bookmarkStart w:id="81" w:name="_Toc15396619"/>
      <w:bookmarkEnd w:id="75"/>
      <w:bookmarkEnd w:id="79"/>
      <w:bookmarkEnd w:id="8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2" w:name="_Toc26843626"/>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81"/>
      <w:bookmarkEnd w:id="82"/>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3" w:name="_Toc26843627"/>
      <w:bookmarkStart w:id="84" w:name="_Toc15396620"/>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83"/>
      <w:bookmarkEnd w:id="8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5" w:name="_Toc26843628"/>
      <w:bookmarkStart w:id="86" w:name="_Toc15396621"/>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85"/>
      <w:bookmarkEnd w:id="86"/>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87" w:name="_Toc26843629"/>
      <w:bookmarkStart w:id="88" w:name="_Toc15396622"/>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87"/>
      <w:bookmarkEnd w:id="88"/>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89" w:name="_Toc15396623"/>
      <w:bookmarkStart w:id="90" w:name="_Toc26843630"/>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91" w:name="_Toc15396624"/>
      <w:bookmarkEnd w:id="89"/>
      <w:bookmarkEnd w:id="9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2" w:name="_Toc26843631"/>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91"/>
      <w:bookmarkEnd w:id="92"/>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3" w:name="_Toc15396625"/>
      <w:bookmarkStart w:id="94" w:name="_Toc26843632"/>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93"/>
      <w:bookmarkEnd w:id="9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5" w:name="_Toc26843633"/>
      <w:bookmarkStart w:id="96" w:name="_Toc15396626"/>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般公共预算财政拨款基本支出决算表</w:t>
      </w:r>
      <w:bookmarkEnd w:id="95"/>
      <w:bookmarkEnd w:id="96"/>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7" w:name="_Toc15396627"/>
      <w:bookmarkStart w:id="98" w:name="_Toc26843634"/>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97"/>
      <w:bookmarkEnd w:id="98"/>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9" w:name="_Toc15396628"/>
      <w:bookmarkStart w:id="100" w:name="_Toc26843635"/>
      <w:r>
        <w:rPr>
          <w:rStyle w:val="2Char"/>
          <w:rFonts w:ascii="Times New Roman" w:eastAsia="仿宋" w:cs="Times New Roman" w:hAnsi="Times New Roman"/>
          <w:b w:val="0"/>
          <w:bCs w:val="0"/>
        </w:rPr>
        <w:t>十、</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般公共预算财政拨款“三公”经费支出决算表</w:t>
      </w:r>
      <w:bookmarkEnd w:id="99"/>
      <w:bookmarkEnd w:id="10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1" w:name="_Toc26843636"/>
      <w:bookmarkStart w:id="102" w:name="_Toc15396629"/>
      <w:r>
        <w:rPr>
          <w:rStyle w:val="2Char"/>
          <w:rFonts w:ascii="Times New Roman" w:eastAsia="仿宋" w:cs="Times New Roman" w:hAnsi="Times New Roman"/>
          <w:b w:val="0"/>
          <w:bCs w:val="0"/>
        </w:rPr>
        <w:t>十一、</w:t>
      </w:r>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府性基金预算财政拨款收入支出决算表</w:t>
      </w:r>
      <w:bookmarkEnd w:id="101"/>
      <w:bookmarkEnd w:id="102"/>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3" w:name="_Toc15396630"/>
      <w:bookmarkStart w:id="104" w:name="_Toc26843637"/>
      <w:r>
        <w:rPr>
          <w:rStyle w:val="2Char"/>
          <w:rFonts w:ascii="Times New Roman" w:eastAsia="仿宋" w:cs="Times New Roman" w:hAnsi="Times New Roman"/>
          <w:b w:val="0"/>
          <w:bCs w:val="0"/>
        </w:rPr>
        <w:t>十二、</w:t>
      </w:r>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府性基金预算财政拨款“三公”经费支出决算表</w:t>
      </w:r>
      <w:bookmarkEnd w:id="103"/>
      <w:bookmarkEnd w:id="104"/>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105" w:name="_Toc26843638"/>
      <w:bookmarkStart w:id="106" w:name="_Toc15396631"/>
      <w:r>
        <w:rPr>
          <w:rStyle w:val="2Char"/>
          <w:rFonts w:ascii="Times New Roman" w:eastAsia="仿宋" w:cs="Times New Roman" w:hAnsi="Times New Roman"/>
          <w:b w:val="0"/>
          <w:bCs w:val="0"/>
        </w:rPr>
        <w:t>十三、</w:t>
      </w:r>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bookmarkEnd w:id="105"/>
      <w:bookmarkEnd w:id="106"/>
    </w:p>
    <w:p>
      <w:pPr>
        <w:pageBreakBefore w:val="0"/>
        <w:widowControl w:val="0"/>
        <w:kinsoku/>
        <w:wordWrap/>
        <w:overflowPunct/>
        <w:topLinePunct w:val="0"/>
        <w:bidi w:val="0"/>
        <w:spacing w:line="576" w:lineRule="exact"/>
        <w:rPr>
          <w:rFonts w:ascii="Times New Roman" w:eastAsia="仿宋" w:cs="Times New Roman" w:hAnsi="Times New Roman"/>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1"/>
    <w:family w:val="auto"/>
    <w:pitch w:val="variable"/>
    <w:sig w:usb0="E0002AFF" w:usb1="C0007841" w:usb2="00000009" w:usb3="00000000" w:csb0="400001FF" w:csb1="FFFF0000"/>
  </w:font>
  <w:font w:name="方正小标宋简体">
    <w:panose1 w:val="03000509000000000000"/>
    <w:charset w:val="86"/>
    <w:family w:val="script"/>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auto"/>
    <w:pitch w:val="variable"/>
    <w:sig w:usb0="800002BF" w:usb1="38CF7CFA" w:usb2="00000016" w:usb3="00000000" w:csb0="00040001" w:csb1="00000000"/>
  </w:font>
  <w:font w:name="宋体">
    <w:panose1 w:val="02010600030101010101"/>
    <w:charset w:val="7A"/>
    <w:family w:val="auto"/>
    <w:pitch w:val="variable"/>
    <w:sig w:usb0="00000003" w:usb1="288F0000" w:usb2="00000006" w:usb3="00000000" w:csb0="00040001" w:csb1="00000000"/>
  </w:font>
  <w:font w:name="楷体">
    <w:panose1 w:val="02010609060101010101"/>
    <w:charset w:val="86"/>
    <w:family w:val="auto"/>
    <w:pitch w:val="variable"/>
    <w:sig w:usb0="800002BF" w:usb1="38CF7CFA" w:usb2="00000016" w:usb3="00000000" w:csb0="00040001" w:csb1="00000000"/>
  </w:font>
  <w:font w:name="方正楷体_GBK">
    <w:panose1 w:val="03000509000000000000"/>
    <w:charset w:val="86"/>
    <w:family w:val="auto"/>
    <w:pitch w:val="variable"/>
    <w:sig w:usb0="00000001" w:usb1="080E0000" w:usb2="00000000" w:usb3="00000000" w:csb0="00040000" w:csb1="00000000"/>
  </w:font>
  <w:font w:name="方正黑体_GBK">
    <w:altName w:val="微软雅黑"/>
    <w:panose1 w:val="03000509000000000000"/>
    <w:charset w:val="86"/>
    <w:family w:val="auto"/>
    <w:pitch w:val="variable"/>
    <w:sig w:usb0="00000000" w:usb1="00000000" w:usb2="00000000" w:usb3="00000000" w:csb0="00040000" w:csb1="00000000"/>
  </w:font>
  <w:font w:name="楷体_GB2312">
    <w:panose1 w:val="02010609030101010101"/>
    <w:charset w:val="86"/>
    <w:family w:val="modern"/>
    <w:pitch w:val="variable"/>
    <w:sig w:usb0="00000001" w:usb1="080E0000" w:usb2="00000000" w:usb3="00000000" w:csb0="00040000" w:csb1="00000000"/>
  </w:font>
  <w:font w:name="方正小标宋_GBK">
    <w:panose1 w:val="02000000000000000000"/>
    <w:charset w:val="86"/>
    <w:family w:val="auto"/>
    <w:pitch w:val="variable"/>
    <w:sig w:usb0="00000001" w:usb1="080E0000" w:usb2="00000000" w:usb3="00000000" w:csb0="00040000" w:csb1="00000000"/>
  </w:font>
  <w:font w:name="??_GB2312">
    <w:altName w:val="Times New Roman"/>
    <w:panose1 w:val="00000000000000000000"/>
    <w:charset w:val="00"/>
    <w:family w:val="auto"/>
    <w:pitch w:val="variable"/>
    <w:sig w:usb0="00000000" w:usb1="00000000" w:usb2="00000000" w:usb3="00000000" w:csb0="00000001" w:csb1="00000000"/>
  </w:font>
  <w:font w:name="Cambria">
    <w:panose1 w:val="02040503050406030204"/>
    <w:charset w:val="00"/>
    <w:family w:val="roman"/>
    <w:pitch w:val="variable"/>
    <w:sig w:usb0="A00002EF" w:usb1="4000004B" w:usb2="00000000" w:usb3="00000000" w:csb0="2000009F" w:csb1="00000000"/>
  </w:font>
  <w:font w:name="Calibri">
    <w:panose1 w:val="020F0502020204030204"/>
    <w:charset w:val="00"/>
    <w:family w:val="swiss"/>
    <w:pitch w:val="variable"/>
    <w:sig w:usb0="E00002FF" w:usb1="4000ACFF" w:usb2="00000001" w:usb3="00000000" w:csb0="2000019F" w:csb1="00000000"/>
  </w:font>
  <w:font w:name="Arial">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89322"/>
    </w:sdtPr>
    <w:sdtContent>
      <w:p>
        <w:pPr>
          <w:pStyle w:val="19"/>
          <w:tabs>
            <w:tab w:val="center" w:pos="4153"/>
            <w:tab w:val="right" w:pos="8306"/>
          </w:tabs>
          <w:jc w:val="center"/>
        </w:pPr>
        <w:r>
          <w:fldChar w:fldCharType="begin"/>
        </w:r>
        <w:r>
          <w:instrText>PAGE   \* MERGEFORMAT</w:instrText>
        </w:r>
        <w:r>
          <w:fldChar w:fldCharType="separate"/>
        </w:r>
        <w:r>
          <w:rPr>
            <w:lang w:val="zh-CN"/>
          </w:rPr>
          <w:t>8</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2">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abstractNum w:abstractNumId="3">
    <w:nsid w:val="10335F0B"/>
    <w:multiLevelType w:val="singleLevel"/>
    <w:tmpl w:val="10335F0B"/>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jQ1Yjc1ODJmOGFhZGI4MmY0OWUzYTk0Yzg1OWFlNz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table of figures1"/>
    <w:basedOn w:val="0"/>
    <w:next w:val="0"/>
    <w:pPr>
      <w:spacing w:before="100" w:beforeAutospacing="1" w:after="100" w:afterAutospacing="1"/>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character" w:styleId="24">
    <w:name w:val="Strong"/>
    <w:basedOn w:val="10"/>
    <w:rPr>
      <w:b/>
    </w:rPr>
  </w:style>
  <w:style w:type="character" w:styleId="25">
    <w:name w:val="Hyperlink"/>
    <w:basedOn w:val="10"/>
    <w:rPr>
      <w:color w:val="0000FF"/>
      <w:u w:val="single"/>
    </w:rPr>
  </w:style>
  <w:style w:type="character" w:customStyle="1" w:styleId="26">
    <w:name w:val="Header Char"/>
    <w:basedOn w:val="10"/>
    <w:rPr>
      <w:rFonts w:ascii="Times New Roman" w:hAnsi="Times New Roman"/>
      <w:sz w:val="18"/>
      <w:szCs w:val="18"/>
    </w:rPr>
  </w:style>
  <w:style w:type="character" w:customStyle="1" w:styleId="27">
    <w:name w:val="Footer Char"/>
    <w:basedOn w:val="10"/>
    <w:rPr>
      <w:rFonts w:ascii="Times New Roman" w:hAnsi="Times New Roman"/>
      <w:sz w:val="18"/>
      <w:szCs w:val="18"/>
    </w:rPr>
  </w:style>
  <w:style w:type="character" w:customStyle="1" w:styleId="28">
    <w:name w:val="Body Text Char"/>
    <w:basedOn w:val="10"/>
    <w:rPr>
      <w:rFonts w:ascii="Times New Roman" w:hAnsi="Times New Roman"/>
      <w:szCs w:val="24"/>
    </w:rPr>
  </w:style>
  <w:style w:type="paragraph" w:customStyle="1" w:styleId="29">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0">
    <w:name w:val="List Paragraph"/>
    <w:basedOn w:val="0"/>
    <w:pPr>
      <w:ind w:firstLineChars="200" w:firstLine="200"/>
    </w:pPr>
  </w:style>
  <w:style w:type="paragraph" w:customStyle="1" w:styleId="31">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2">
    <w:name w:val="TOC 标题2"/>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3">
    <w:name w:val="文档正文"/>
    <w:pPr>
      <w:adjustRightInd w:val="0"/>
      <w:spacing w:line="480" w:lineRule="atLeast"/>
      <w:textAlignment w:val="baseline"/>
    </w:pPr>
    <w:rPr>
      <w:rFonts w:ascii="Arial" w:eastAsia="宋体" w:cs="Times New Roman" w:hAnsi="Arial"/>
      <w:kern w:val="0"/>
      <w:sz w:val="20"/>
      <w:szCs w:val="20"/>
      <w:lang w:val="en-US" w:eastAsia="zh-CN" w:bidi="ar-SA"/>
    </w:rPr>
  </w:style>
  <w:style w:type="paragraph" w:customStyle="1" w:styleId="34">
    <w:name w:val="table of figures"/>
    <w:basedOn w:val="0"/>
    <w:next w:val="0"/>
    <w:pPr>
      <w:spacing w:before="100" w:beforeAutospacing="1" w:after="100" w:afterAutospacing="1"/>
      <w:ind w:leftChars="200" w:left="400" w:hangingChars="200" w:hanging="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宋体"/>
                <a:ea typeface="宋体"/>
                <a:cs typeface="Arial"/>
              </a:defRPr>
            </a:pPr>
            <a:r>
              <a:rPr lang="zh-CN"/>
              <a:t>收入支出对比表</a:t>
            </a:r>
          </a:p>
        </c:rich>
      </c:tx>
      <c:layout/>
      <c:overlay val="0"/>
      <c:spPr>
        <a:ln>
          <a:noFill/>
        </a:ln>
      </c:spPr>
    </c:title>
    <c:autoTitleDeleted val="1"/>
    <c:plotArea>
      <c:layout>
        <c:manualLayout>
          <c:layoutTarget val="inner"/>
          <c:xMode val="edge"/>
          <c:yMode val="edge"/>
          <c:x val="0.10551619"/>
          <c:y val="0.16899315"/>
          <c:w val="0.749888"/>
          <c:h val="0.6789392"/>
        </c:manualLayout>
      </c:layout>
      <c:barChart>
        <c:barDir val="col"/>
        <c:grouping val="clustered"/>
        <c:varyColors val="0"/>
        <c:ser>
          <c:idx val="0"/>
          <c:order val="0"/>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宋体"/>
                    <a:ea typeface="宋体"/>
                    <a:cs typeface="Arial"/>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1022.49</c:v>
                </c:pt>
                <c:pt idx="1">
                  <c:v>1206.62</c:v>
                </c:pt>
              </c:numCache>
            </c:numRef>
          </c:val>
        </c:ser>
        <c:ser>
          <c:idx val="1"/>
          <c:order val="1"/>
          <c:spPr>
            <a:solidFill>
              <a:srgbClr val="C0504D"/>
            </a:solidFill>
            <a:ln>
              <a:noFill/>
            </a:ln>
          </c:spPr>
          <c:invertIfNegative val="0"/>
          <c:dLbls>
            <c:spPr>
              <a:noFill/>
              <a:ln>
                <a:noFill/>
              </a:ln>
            </c:spPr>
            <c:txPr>
              <a:bodyPr vert="horz"/>
              <a:lstStyle/>
              <a:p>
                <a:pPr>
                  <a:defRPr sz="1000" b="0" i="0" u="none" strike="noStrike" baseline="0">
                    <a:solidFill>
                      <a:srgbClr val="000000"/>
                    </a:solidFill>
                    <a:latin typeface="宋体"/>
                    <a:ea typeface="宋体"/>
                    <a:cs typeface="Arial"/>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1004.49</c:v>
                </c:pt>
                <c:pt idx="1">
                  <c:v>1206.62</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rot="0" vert="horz" anchor="t" anchorCtr="0"/>
          <a:lstStyle/>
          <a:p>
            <a:pPr>
              <a:defRPr sz="1000" b="0" i="0" u="none" strike="noStrike" baseline="0">
                <a:solidFill>
                  <a:srgbClr val="000000"/>
                </a:solidFill>
                <a:latin typeface="宋体"/>
                <a:ea typeface="宋体"/>
                <a:cs typeface="Arial"/>
              </a:defRPr>
            </a:pPr>
            <a:endParaRPr lang="zh-CN"/>
          </a:p>
        </c:txPr>
        <c:crosses val="autoZero"/>
        <c:auto val="1"/>
        <c:lblOffset val="100"/>
        <c:lblAlgn val="ctr"/>
        <c:noMultiLvlLbl val="0"/>
        <c:crossAx val="1"/>
      </c:catAx>
      <c:valAx>
        <c:axId val="1"/>
        <c:scaling>
          <c:orientation val="minMax"/>
        </c:scaling>
        <c:delete val="0"/>
        <c:axPos val="l"/>
        <c:numFmt formatCode="General" sourceLinked="1"/>
        <c:majorTickMark val="out"/>
        <c:minorTickMark val="none"/>
        <c:tickLblPos val="nextTo"/>
        <c:txPr>
          <a:bodyPr rot="0" vert="horz" anchor="t" anchorCtr="0"/>
          <a:lstStyle/>
          <a:p>
            <a:pPr>
              <a:defRPr sz="1000" b="0" i="0" u="none" strike="noStrike" baseline="0">
                <a:solidFill>
                  <a:srgbClr val="000000"/>
                </a:solidFill>
                <a:latin typeface="宋体"/>
                <a:ea typeface="宋体"/>
                <a:cs typeface="Arial"/>
              </a:defRPr>
            </a:pPr>
            <a:endParaRPr lang="zh-CN"/>
          </a:p>
        </c:txPr>
        <c:crossesAt val="1.0"/>
        <c:crossBetween val="between"/>
        <c:crossAx val="0"/>
      </c:valAx>
      <c:spPr>
        <a:noFill/>
        <a:ln>
          <a:noFill/>
        </a:ln>
      </c:spPr>
    </c:plotArea>
    <c:plotVisOnly val="1"/>
    <c:dispBlanksAs val="gap"/>
    <c:showDLblsOverMax val="0"/>
  </c:chart>
  <c:spPr/>
  <c:txPr>
    <a:bodyPr/>
    <a:lstStyle/>
    <a:p>
      <a:pPr>
        <a:defRPr sz="1000" b="0" i="0" u="none" strike="noStrike" baseline="0">
          <a:solidFill>
            <a:srgbClr val="000000"/>
          </a:solidFill>
          <a:latin typeface="宋体"/>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Times New Roman"/>
                <a:ea typeface="宋体"/>
                <a:cs typeface="Arial"/>
              </a:defRPr>
            </a:pPr>
            <a:r>
              <a:rPr lang="zh-CN" sz="1400" b="0" i="0" u="none" strike="noStrike" baseline="0">
                <a:solidFill>
                  <a:srgbClr val="595959"/>
                </a:solidFill>
                <a:latin typeface="Times New Roman"/>
                <a:ea typeface="宋体"/>
                <a:cs typeface="Arial"/>
              </a:rPr>
              <a:t>202</a:t>
            </a:r>
            <a:r>
              <a:rPr lang="zh-CN" sz="1400" b="0" i="0" u="none" strike="noStrike" baseline="0">
                <a:solidFill>
                  <a:srgbClr val="595959"/>
                </a:solidFill>
                <a:latin typeface="Times New Roman"/>
                <a:ea typeface="宋体"/>
                <a:cs typeface="Arial"/>
              </a:rPr>
              <a:t>2</a:t>
            </a:r>
            <a:r>
              <a:rPr lang="zh-CN" sz="1400" b="0" i="0" u="none" strike="noStrike" baseline="0">
                <a:solidFill>
                  <a:srgbClr val="595959"/>
                </a:solidFill>
                <a:latin typeface="Times New Roman"/>
                <a:ea typeface="宋体"/>
                <a:cs typeface="Arial"/>
              </a:rPr>
              <a:t>年收入</a:t>
            </a:r>
          </a:p>
        </c:rich>
      </c:tx>
      <c:layout/>
      <c:overlay val="0"/>
      <c:spPr>
        <a:noFill/>
        <a:ln>
          <a:noFill/>
        </a:ln>
      </c:spPr>
    </c:title>
    <c:autoTitleDeleted val="1"/>
    <c:plotArea>
      <c:layout/>
      <c:pieChart>
        <c:varyColors val="1"/>
        <c:ser>
          <c:idx val="0"/>
          <c:order val="0"/>
          <c:tx>
            <c:strRef>
              <c:f>'Sheet1'!$B$1</c:f>
              <c:strCache>
                <c:ptCount val="1"/>
                <c:pt idx="0">
                  <c:v>2022年收入</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delete val="1"/>
            </c:dLbl>
            <c:dLbl>
              <c:idx val="1"/>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delete val="1"/>
            </c:dLbl>
            <c:showLegendKey val="0"/>
            <c:showVal val="0"/>
            <c:showCatName val="0"/>
            <c:showSerName val="0"/>
            <c:showPercent val="0"/>
            <c:showBubbleSize val="0"/>
            <c:showLeaderLines val="0"/>
          </c:dLbls>
          <c:cat>
            <c:strRef>
              <c:f>'Sheet1'!$A$2:$A$3</c:f>
              <c:strCache>
                <c:ptCount val="2"/>
                <c:pt idx="0">
                  <c:v>一般公共预算财政拨款收入</c:v>
                </c:pt>
                <c:pt idx="1">
                  <c:v>其他收入</c:v>
                </c:pt>
              </c:strCache>
            </c:strRef>
          </c:cat>
          <c:val>
            <c:numRef>
              <c:f>'Sheet1'!$B$2:$B$3</c:f>
              <c:numCache>
                <c:formatCode>General</c:formatCode>
                <c:ptCount val="2"/>
                <c:pt idx="0">
                  <c:v>851.43</c:v>
                </c:pt>
                <c:pt idx="1">
                  <c:v>0.0</c:v>
                </c:pt>
              </c:numCache>
            </c:numRef>
          </c:val>
        </c:ser>
        <c:firstSliceAng val="0"/>
      </c:pieChart>
      <c:spPr>
        <a:noFill/>
        <a:ln>
          <a:noFill/>
        </a:ln>
      </c:spPr>
    </c:plotArea>
    <c:legend>
      <c:legendPos val="b"/>
      <c:layout>
        <c:manualLayout>
          <c:xMode val="edge"/>
          <c:yMode val="edge"/>
          <c:x val="0.1159768"/>
          <c:y val="0.87356013"/>
        </c:manualLayout>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c:dPt>
            <c:idx val="0"/>
            <c:bubble3D val="0"/>
            <c:spPr>
              <a:solidFill>
                <a:srgbClr val="4F81BD"/>
              </a:solidFill>
            </c:spPr>
          </c:dPt>
          <c:dPt>
            <c:idx val="1"/>
            <c:bubble3D val="0"/>
            <c:spPr>
              <a:solidFill>
                <a:srgbClr val="C0504D"/>
              </a:solidFill>
            </c:spPr>
          </c:dPt>
          <c:dLbls>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numFmt formatCode="General" sourceLinked="1"/>
            <c:dLbl>
              <c:idx val="0"/>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tx>
                <c:rich>
                  <a:bodyPr vert="horz"/>
                  <a:lstStyle/>
                  <a:p>
                    <a:pPr>
                      <a:defRPr sz="1000" b="0" i="0" u="none" strike="noStrike" baseline="0">
                        <a:solidFill>
                          <a:srgbClr val="000000"/>
                        </a:solidFill>
                        <a:latin typeface="AR PL UKai CN"/>
                        <a:ea typeface="AR PL UKai CN"/>
                        <a:cs typeface="Arial"/>
                      </a:defRPr>
                    </a:pPr>
                    <a:r>
                      <a:rPr lang="zh-CN"/>
                      <a:t>875.1</a:t>
                    </a:r>
                  </a:p>
                </c:rich>
              </c:tx>
              <c:showLegendKey val="0"/>
              <c:showVal val="1"/>
              <c:showCatName val="0"/>
              <c:showSerName val="0"/>
              <c:showPercent val="0"/>
              <c:showBubbleSize val="0"/>
            </c:dLbl>
            <c:dLbl>
              <c:idx val="1"/>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tx>
                <c:rich>
                  <a:bodyPr vert="horz"/>
                  <a:lstStyle/>
                  <a:p>
                    <a:pPr>
                      <a:defRPr sz="1000" b="0" i="0" u="none" strike="noStrike" baseline="0">
                        <a:solidFill>
                          <a:srgbClr val="000000"/>
                        </a:solidFill>
                        <a:latin typeface="AR PL UKai CN"/>
                        <a:ea typeface="AR PL UKai CN"/>
                        <a:cs typeface="Arial"/>
                      </a:defRPr>
                    </a:pPr>
                    <a:r>
                      <a:rPr lang="zh-CN"/>
                      <a:t>331.52</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578.63</c:v>
                </c:pt>
                <c:pt idx="1">
                  <c:v>272.8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000000"/>
                </a:solidFill>
                <a:latin typeface="宋体"/>
                <a:ea typeface="宋体"/>
                <a:cs typeface="Arial"/>
              </a:defRPr>
            </a:pPr>
            <a:r>
              <a:rPr lang="zh-CN"/>
              <a:t>财政拨款收、支决算总计变动情况</a:t>
            </a:r>
          </a:p>
        </c:rich>
      </c:tx>
      <c:layout>
        <c:manualLayout>
          <c:xMode val="edge"/>
          <c:yMode val="edge"/>
          <c:x val="0.12086956"/>
          <c:y val="0.027027028"/>
        </c:manualLayout>
      </c:layout>
      <c:overlay val="0"/>
      <c:spPr>
        <a:ln>
          <a:noFill/>
        </a:ln>
      </c:spPr>
    </c:title>
    <c:autoTitleDeleted val="1"/>
    <c:plotArea>
      <c:layout>
        <c:manualLayout>
          <c:layoutTarget val="inner"/>
          <c:xMode val="edge"/>
          <c:yMode val="edge"/>
          <c:x val="0.12284058"/>
          <c:y val="0.18061036"/>
          <c:w val="0.749888"/>
          <c:h val="0.6789392"/>
        </c:manualLayout>
      </c:layout>
      <c:barChart>
        <c:barDir val="col"/>
        <c:grouping val="clustered"/>
        <c:varyColors val="0"/>
        <c:ser>
          <c:idx val="0"/>
          <c:order val="0"/>
          <c:spPr>
            <a:solidFill>
              <a:srgbClr val="4F81BD"/>
            </a:solidFill>
            <a:ln>
              <a:noFill/>
            </a:ln>
          </c:spPr>
          <c:invertIfNegative val="0"/>
          <c:dLbls>
            <c:spPr>
              <a:noFill/>
              <a:ln>
                <a:noFill/>
              </a:ln>
            </c:spPr>
            <c:txPr>
              <a:bodyPr vert="horz"/>
              <a:lstStyle/>
              <a:p>
                <a:pPr>
                  <a:defRPr sz="900" b="0" i="0" u="none" strike="noStrike" baseline="0">
                    <a:solidFill>
                      <a:srgbClr val="000000"/>
                    </a:solidFill>
                    <a:latin typeface="宋体"/>
                    <a:ea typeface="宋体"/>
                    <a:cs typeface="Arial"/>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1022.49</c:v>
                </c:pt>
                <c:pt idx="1">
                  <c:v>1206.62</c:v>
                </c:pt>
              </c:numCache>
            </c:numRef>
          </c:val>
        </c:ser>
        <c:ser>
          <c:idx val="1"/>
          <c:order val="1"/>
          <c:spPr>
            <a:solidFill>
              <a:srgbClr val="C0504D"/>
            </a:solidFill>
            <a:ln>
              <a:noFill/>
            </a:ln>
          </c:spPr>
          <c:invertIfNegative val="0"/>
          <c:dLbls>
            <c:spPr>
              <a:noFill/>
              <a:ln>
                <a:noFill/>
              </a:ln>
            </c:spPr>
            <c:txPr>
              <a:bodyPr vert="horz"/>
              <a:lstStyle/>
              <a:p>
                <a:pPr>
                  <a:defRPr sz="1050" b="0" i="0" u="none" strike="noStrike" baseline="0">
                    <a:solidFill>
                      <a:srgbClr val="000000"/>
                    </a:solidFill>
                    <a:latin typeface="宋体"/>
                    <a:ea typeface="宋体"/>
                    <a:cs typeface="Arial"/>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1004.49</c:v>
                </c:pt>
                <c:pt idx="1">
                  <c:v>1206.62</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rot="0" vert="horz" anchor="t" anchorCtr="0"/>
          <a:lstStyle/>
          <a:p>
            <a:pPr>
              <a:defRPr sz="1400" b="0" i="0" u="none" strike="noStrike" baseline="0">
                <a:solidFill>
                  <a:srgbClr val="000000"/>
                </a:solidFill>
                <a:latin typeface="宋体"/>
                <a:ea typeface="宋体"/>
                <a:cs typeface="Arial"/>
              </a:defRPr>
            </a:pPr>
            <a:endParaRPr lang="zh-CN"/>
          </a:p>
        </c:txPr>
        <c:crosses val="autoZero"/>
        <c:auto val="1"/>
        <c:lblOffset val="100"/>
        <c:lblAlgn val="ctr"/>
        <c:noMultiLvlLbl val="0"/>
        <c:crossAx val="1"/>
      </c:catAx>
      <c:valAx>
        <c:axId val="1"/>
        <c:scaling>
          <c:orientation val="minMax"/>
        </c:scaling>
        <c:delete val="0"/>
        <c:axPos val="l"/>
        <c:numFmt formatCode="General" sourceLinked="1"/>
        <c:majorTickMark val="out"/>
        <c:minorTickMark val="none"/>
        <c:tickLblPos val="nextTo"/>
        <c:txPr>
          <a:bodyPr rot="0" vert="horz" anchor="t" anchorCtr="0"/>
          <a:lstStyle/>
          <a:p>
            <a:pPr>
              <a:defRPr sz="1400" b="0" i="0" u="none" strike="noStrike" baseline="0">
                <a:solidFill>
                  <a:srgbClr val="000000"/>
                </a:solidFill>
                <a:latin typeface="宋体"/>
                <a:ea typeface="宋体"/>
                <a:cs typeface="Arial"/>
              </a:defRPr>
            </a:pPr>
            <a:endParaRPr lang="zh-CN"/>
          </a:p>
        </c:txPr>
        <c:crossesAt val="1.0"/>
        <c:crossBetween val="between"/>
        <c:crossAx val="0"/>
      </c:valAx>
      <c:spPr>
        <a:noFill/>
        <a:ln>
          <a:noFill/>
        </a:ln>
      </c:spPr>
    </c:plotArea>
    <c:plotVisOnly val="1"/>
    <c:dispBlanksAs val="gap"/>
    <c:showDLblsOverMax val="0"/>
  </c:chart>
  <c:spPr/>
  <c:txPr>
    <a:bodyPr/>
    <a:lstStyle/>
    <a:p>
      <a:pPr>
        <a:defRPr sz="1400" b="0" i="0" u="none" strike="noStrike" baseline="0">
          <a:solidFill>
            <a:srgbClr val="000000"/>
          </a:solidFill>
          <a:latin typeface="宋体"/>
          <a:ea typeface="宋体"/>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一般公共预算财政拨款支出决算变动情况</a:t>
            </a:r>
          </a:p>
        </c:rich>
      </c:tx>
      <c:layout/>
      <c:overlay val="0"/>
      <c:spPr>
        <a:noFill/>
        <a:ln>
          <a:noFill/>
        </a:ln>
      </c:spPr>
    </c:title>
    <c:autoTitleDeleted val="1"/>
    <c:plotArea>
      <c:layout>
        <c:manualLayout>
          <c:layoutTarget val="inner"/>
          <c:xMode val="edge"/>
          <c:yMode val="edge"/>
          <c:x val="0.104779415"/>
          <c:y val="0.17502843"/>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(5)'!$A$2:$A$3</c:f>
              <c:strCache>
                <c:ptCount val="2"/>
                <c:pt idx="0">
                  <c:v>2021年</c:v>
                </c:pt>
                <c:pt idx="1">
                  <c:v>2022年</c:v>
                </c:pt>
              </c:strCache>
            </c:strRef>
          </c:cat>
          <c:val>
            <c:numRef>
              <c:f>'Sheet1 (5)'!$B$2:$B$3</c:f>
              <c:numCache>
                <c:formatCode>General</c:formatCode>
                <c:ptCount val="2"/>
                <c:pt idx="0">
                  <c:v>1022.49</c:v>
                </c:pt>
                <c:pt idx="1">
                  <c:v>1206.62</c:v>
                </c:pt>
              </c:numCache>
            </c:numRef>
          </c:val>
        </c:ser>
        <c:overlap val="-27"/>
        <c:gapWidth val="219"/>
        <c:axId val="0"/>
        <c:axId val="1"/>
      </c:barChart>
      <c:catAx>
        <c:axId val="0"/>
        <c:scaling>
          <c:orientation val="minMax"/>
        </c:scaling>
        <c:delete val="0"/>
        <c:axPos val="b"/>
        <c:numFmt formatCode="General" sourceLinked="1"/>
        <c:majorTickMark val="out"/>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Arial"/>
              </a:defRPr>
            </a:pPr>
            <a:endParaRPr lang="zh-CN"/>
          </a:p>
        </c:txPr>
        <c:crosses val="autoZero"/>
        <c:auto val="1"/>
        <c:lblOffset val="100"/>
        <c:lblAlgn val="ctr"/>
        <c:noMultiLvlLbl val="0"/>
        <c:crossAx val="1"/>
      </c:catAx>
      <c:valAx>
        <c:axId val="1"/>
        <c:scaling>
          <c:orientation val="minMax"/>
          <c:min val="0.0"/>
          <c:max val="1400.0"/>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AR PL UKai CN"/>
                <a:ea typeface="AR PL UKai CN"/>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65498"/>
          <c:y val="0.047523137"/>
          <c:w val="0.2421175"/>
          <c:h val="0.42848426"/>
        </c:manualLayout>
      </c:layout>
      <c:pieChart>
        <c:varyColors val="1"/>
        <c:ser>
          <c:idx val="0"/>
          <c:order val="0"/>
          <c:tx>
            <c:v>2017年收入决算数与年初预算数对比表 收入决算数</c:v>
          </c:tx>
          <c:spPr>
            <a:ln>
              <a:noFill/>
            </a:ln>
          </c:spPr>
          <c:explosion val="8"/>
          <c:dPt>
            <c:idx val="0"/>
            <c:bubble3D val="0"/>
            <c:explosion val="8"/>
            <c:spPr>
              <a:solidFill>
                <a:srgbClr val="4572A7"/>
              </a:solidFill>
            </c:spPr>
          </c:dPt>
          <c:dPt>
            <c:idx val="1"/>
            <c:bubble3D val="0"/>
            <c:explosion val="8"/>
            <c:spPr>
              <a:solidFill>
                <a:srgbClr val="AA4643"/>
              </a:solidFill>
            </c:spPr>
          </c:dPt>
          <c:dPt>
            <c:idx val="2"/>
            <c:bubble3D val="0"/>
            <c:explosion val="8"/>
            <c:spPr>
              <a:solidFill>
                <a:srgbClr val="89A54E"/>
              </a:solidFill>
            </c:spPr>
          </c:dPt>
          <c:dPt>
            <c:idx val="3"/>
            <c:bubble3D val="0"/>
            <c:explosion val="8"/>
            <c:spPr>
              <a:solidFill>
                <a:srgbClr val="71588F"/>
              </a:solidFill>
            </c:spPr>
          </c:dPt>
          <c:dPt>
            <c:idx val="4"/>
            <c:bubble3D val="0"/>
            <c:explosion val="8"/>
            <c:spPr>
              <a:solidFill>
                <a:srgbClr val="4198AF"/>
              </a:solidFill>
            </c:spPr>
          </c:dPt>
          <c:dPt>
            <c:idx val="5"/>
            <c:bubble3D val="0"/>
            <c:explosion val="8"/>
            <c:spPr>
              <a:solidFill>
                <a:srgbClr val="DB843D"/>
              </a:solidFill>
            </c:spPr>
          </c:dPt>
          <c:dLbls>
            <c:spPr>
              <a:noFill/>
              <a:ln>
                <a:noFill/>
              </a:ln>
            </c:spPr>
            <c:txPr>
              <a:bodyPr vert="horz"/>
              <a:lstStyle/>
              <a:p>
                <a:pPr>
                  <a:defRPr sz="1000" b="0" i="0" u="none" strike="noStrike" baseline="0">
                    <a:solidFill>
                      <a:srgbClr val="000000"/>
                    </a:solidFill>
                    <a:latin typeface="宋体"/>
                    <a:ea typeface="宋体"/>
                    <a:cs typeface="Arial"/>
                  </a:defRPr>
                </a:pPr>
                <a:endParaRPr lang="zh-CN"/>
              </a:p>
            </c:txPr>
            <c:numFmt formatCode="General" sourceLinked="0"/>
            <c:dLblPos val="outEnd"/>
            <c:showLegendKey val="0"/>
            <c:showVal val="1"/>
            <c:showCatName val="0"/>
            <c:showSerName val="0"/>
            <c:showPercent val="0"/>
            <c:showBubbleSize val="0"/>
            <c:showLeaderLines val="1"/>
          </c:dLbls>
          <c:cat>
            <c:strLit>
              <c:ptCount val="14"/>
              <c:pt idx="0">
                <c:v>  行政运行</c:v>
              </c:pt>
              <c:pt idx="1">
                <c:v>社会保障和就业支出</c:v>
              </c:pt>
              <c:pt idx="2">
                <c:v>卫生健康支出</c:v>
              </c:pt>
              <c:pt idx="3">
                <c:v>农林水支出</c:v>
              </c:pt>
              <c:pt idx="4">
                <c:v>  住房公积金</c:v>
              </c:pt>
              <c:pt idx="5">
                <c:v>  其他支出</c:v>
              </c:pt>
              <c:pt idx="6">
                <c:v>&amp;sxmk&amp;</c:v>
              </c:pt>
              <c:pt idx="13">
                <c:v>&amp;sxmk&amp;</c:v>
              </c:pt>
            </c:strLit>
          </c:cat>
          <c:val>
            <c:numRef>
              <c:f/>
              <c:numCache>
                <c:formatCode>General</c:formatCode>
                <c:ptCount val="6"/>
                <c:pt idx="0">
                  <c:v>279.24</c:v>
                </c:pt>
                <c:pt idx="1">
                  <c:v>95.36</c:v>
                </c:pt>
                <c:pt idx="2">
                  <c:v>43.76</c:v>
                </c:pt>
                <c:pt idx="3">
                  <c:v>533.56</c:v>
                </c:pt>
                <c:pt idx="4">
                  <c:v>59.7</c:v>
                </c:pt>
                <c:pt idx="5">
                  <c:v>59.32</c:v>
                </c:pt>
              </c:numCache>
            </c:numRef>
          </c:val>
        </c:ser>
        <c:ser>
          <c:idx val="1"/>
          <c:order val="1"/>
          <c:tx>
            <c:v>2017年收入决算数与年初预算数对比表 预算数</c:v>
          </c:tx>
          <c:spPr>
            <a:ln>
              <a:noFill/>
            </a:ln>
          </c:spPr>
          <c:explosion val="8"/>
          <c:dPt>
            <c:idx val="0"/>
            <c:invertIfNegative val="0"/>
            <c:bubble3D val="0"/>
          </c:dPt>
          <c:dPt>
            <c:idx val="1"/>
            <c:invertIfNegative val="0"/>
            <c:bubble3D val="0"/>
          </c:dPt>
          <c:dPt>
            <c:idx val="2"/>
            <c:invertIfNegative val="0"/>
            <c:bubble3D val="0"/>
          </c:dPt>
          <c:dPt>
            <c:idx val="3"/>
            <c:invertIfNegative val="0"/>
            <c:bubble3D val="0"/>
          </c:dPt>
          <c:dPt>
            <c:idx val="4"/>
            <c:invertIfNegative val="0"/>
            <c:bubble3D val="0"/>
          </c:dPt>
          <c:dPt>
            <c:idx val="5"/>
            <c:invertIfNegative val="0"/>
            <c:bubble3D val="0"/>
          </c:dPt>
          <c:dLbls>
            <c:txPr>
              <a:bodyPr/>
              <a:lstStyle/>
              <a:p>
                <a:pPr>
                  <a:defRPr sz="1000" b="0" i="0" u="none" strike="noStrike" baseline="0">
                    <a:solidFill>
                      <a:srgbClr val="000000"/>
                    </a:solidFill>
                    <a:latin typeface="宋体"/>
                    <a:ea typeface="宋体"/>
                    <a:cs typeface="Arial"/>
                  </a:defRPr>
                </a:pPr>
                <a:endParaRPr lang="zh-CN"/>
              </a:p>
            </c:txPr>
            <c:numFmt formatCode="General" sourceLinked="0"/>
            <c:showLegendKey val="0"/>
            <c:showVal val="0"/>
            <c:showCatName val="0"/>
            <c:showSerName val="0"/>
            <c:showPercent val="0"/>
            <c:showBubbleSize val="0"/>
            <c:showLeaderLines val="1"/>
          </c:dLbls>
          <c:cat>
            <c:strLit>
              <c:ptCount val="14"/>
              <c:pt idx="0">
                <c:v>  行政运行</c:v>
              </c:pt>
              <c:pt idx="1">
                <c:v>社会保障和就业支出</c:v>
              </c:pt>
              <c:pt idx="2">
                <c:v>卫生健康支出</c:v>
              </c:pt>
              <c:pt idx="3">
                <c:v>农林水支出</c:v>
              </c:pt>
              <c:pt idx="4">
                <c:v>  住房公积金</c:v>
              </c:pt>
              <c:pt idx="5">
                <c:v>  其他支出</c:v>
              </c:pt>
              <c:pt idx="6">
                <c:v>&amp;sxmk&amp;</c:v>
              </c:pt>
              <c:pt idx="13">
                <c:v>&amp;sxmk&amp;</c:v>
              </c:pt>
            </c:strLit>
          </c:cat>
          <c:val>
            <c:numRef>
              <c:f/>
              <c:numCache>
                <c:formatCode>General</c:formatCode>
                <c:ptCount val="6"/>
                <c:pt idx="0">
                  <c:v>414.92</c:v>
                </c:pt>
                <c:pt idx="1">
                  <c:v>94.28</c:v>
                </c:pt>
                <c:pt idx="2">
                  <c:v>36.68</c:v>
                </c:pt>
                <c:pt idx="3">
                  <c:v>297.17</c:v>
                </c:pt>
                <c:pt idx="4">
                  <c:v>47.14</c:v>
                </c:pt>
                <c:pt idx="5">
                  <c:v>4.32</c:v>
                </c:pt>
              </c:numCache>
            </c:numRef>
          </c:val>
        </c:ser>
        <c:firstSliceAng val="0"/>
      </c:pieChart>
      <c:spPr>
        <a:noFill/>
        <a:ln>
          <a:noFill/>
        </a:ln>
      </c:spPr>
    </c:plotArea>
    <c:legend>
      <c:legendPos val="r"/>
      <c:layout>
        <c:manualLayout>
          <c:xMode val="edge"/>
          <c:yMode val="edge"/>
          <c:x val="0.02375"/>
          <c:y val="0.54925"/>
          <c:w val="0.93798447"/>
          <c:h val="0.39070132"/>
        </c:manualLayout>
      </c:layout>
      <c:overlay val="0"/>
      <c:spPr>
        <a:noFill/>
        <a:ln>
          <a:noFill/>
        </a:ln>
      </c:spPr>
      <c:txPr>
        <a:bodyPr/>
        <a:lstStyle/>
        <a:p>
          <a:pPr>
            <a:defRPr sz="650" b="0" i="0" u="none" strike="noStrike" baseline="0">
              <a:solidFill>
                <a:srgbClr val="000000"/>
              </a:solidFill>
              <a:latin typeface="宋体"/>
              <a:ea typeface="宋体"/>
              <a:cs typeface="Arial"/>
            </a:defRPr>
          </a:pPr>
          <a:endParaRPr lang="zh-CN"/>
        </a:p>
      </c:txPr>
    </c:legend>
    <c:plotVisOnly val="1"/>
    <c:dispBlanksAs val="zero"/>
    <c:showDLblsOverMax val="0"/>
  </c:chart>
  <c:spPr/>
  <c:txPr>
    <a:bodyPr/>
    <a:lstStyle/>
    <a:p>
      <a:pPr>
        <a:defRPr sz="1000" b="0" i="0" u="none" strike="noStrike" baseline="0">
          <a:solidFill>
            <a:srgbClr val="000000"/>
          </a:solidFill>
          <a:latin typeface="宋体"/>
          <a:ea typeface="宋体"/>
          <a:cs typeface="Arial"/>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“三公”经费财政拨款支出结构</a:t>
            </a:r>
          </a:p>
        </c:rich>
      </c:tx>
      <c:layout/>
      <c:overlay val="0"/>
      <c:spPr>
        <a:noFill/>
        <a:ln>
          <a:noFill/>
        </a:ln>
      </c:spPr>
    </c:title>
    <c:autoTitleDeleted val="1"/>
    <c:plotArea>
      <c:layout/>
      <c:pieChart>
        <c:varyColors val="1"/>
        <c:ser>
          <c:idx val="0"/>
          <c:order val="0"/>
          <c:tx>
            <c:strRef>
              <c:f>'Sheet1 (7)'!$B$1</c:f>
              <c:strCache>
                <c:ptCount val="1"/>
                <c:pt idx="0">
                  <c:v>“三公”经费财政拨款支出结构</c:v>
                </c:pt>
              </c:strCache>
            </c:strRef>
          </c:tx>
          <c:spPr>
            <a:solidFill>
              <a:srgbClr val="4F81BD"/>
            </a:solidFill>
            <a:ln>
              <a:noFill/>
            </a:ln>
          </c:spPr>
          <c:dPt>
            <c:idx val="0"/>
            <c:bubble3D val="0"/>
            <c:explosion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explosion val="0"/>
            <c:spPr>
              <a:solidFill>
                <a:srgbClr val="4F81BD"/>
              </a:solidFill>
              <a:ln w="19050">
                <a:solidFill>
                  <a:srgbClr val="FFFFFF"/>
                </a:solidFill>
                <a:prstDash val="solid"/>
              </a:ln>
            </c:spPr>
          </c:dPt>
          <c:dPt>
            <c:idx val="2"/>
            <c:bubble3D val="0"/>
            <c:explosion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tx>
                <c:rich>
                  <a:bodyPr vert="horz"/>
                  <a:lstStyle/>
                  <a:p>
                    <a:pPr>
                      <a:defRPr sz="1000" b="0" i="0" u="none" strike="noStrike" baseline="0">
                        <a:solidFill>
                          <a:srgbClr val="000000"/>
                        </a:solidFill>
                        <a:latin typeface="AR PL UKai CN"/>
                        <a:ea typeface="AR PL UKai CN"/>
                        <a:cs typeface="Arial"/>
                      </a:defRPr>
                    </a:pPr>
                    <a:r>
                      <a:rPr lang="zh-CN"/>
                      <a:t>6</a:t>
                    </a:r>
                  </a:p>
                </c:rich>
              </c:tx>
              <c:showLegendKey val="0"/>
              <c:showVal val="1"/>
              <c:showCatName val="0"/>
              <c:showSerName val="0"/>
              <c:showPercent val="0"/>
              <c:showBubbleSize val="0"/>
            </c:dLbl>
            <c:dLbl>
              <c:idx val="2"/>
              <c:layout>
                <c:manualLayout>
                  <c:x val="-0.07035216"/>
                  <c:y val="0.0052022664"/>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0.0</c:v>
                </c:pt>
                <c:pt idx="1">
                  <c:v>8.99</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10</TotalTime>
  <Application>Yozo_Office27021597764231179</Application>
  <Pages>26</Pages>
  <Words>9017</Words>
  <Characters>10003</Characters>
  <Lines>504</Lines>
  <Paragraphs>194</Paragraphs>
  <CharactersWithSpaces>11378</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Administrator</cp:lastModifiedBy>
  <cp:revision>33</cp:revision>
  <cp:lastPrinted>2023-08-29T02:13:34Z</cp:lastPrinted>
  <dcterms:created xsi:type="dcterms:W3CDTF">2020-08-05T01:49:00Z</dcterms:created>
  <dcterms:modified xsi:type="dcterms:W3CDTF">2023-08-30T02:20:54Z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7E58489B938C4B128FAC6D0734FFA893_13</vt:lpwstr>
  </property>
</Properties>
</file>