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hint="eastAsia"/>
          <w:color w:val="000000"/>
          <w:sz w:val="72"/>
          <w:szCs w:val="72"/>
        </w:rPr>
      </w:pPr>
    </w:p>
    <w:p>
      <w:pPr>
        <w:spacing w:line="600" w:lineRule="exact"/>
        <w:jc w:val="center"/>
        <w:outlineLvl w:val="0"/>
        <w:rPr>
          <w:rFonts w:ascii="方正小标宋简体" w:eastAsia="方正小标宋简体" w:hint="eastAsia"/>
          <w:color w:val="000000"/>
          <w:sz w:val="72"/>
          <w:szCs w:val="72"/>
        </w:rPr>
      </w:pPr>
    </w:p>
    <w:p>
      <w:pPr>
        <w:pStyle w:val="15"/>
        <w:rPr>
          <w:rFonts w:ascii="方正小标宋简体" w:eastAsia="方正小标宋简体" w:hint="eastAsia"/>
          <w:color w:val="000000"/>
          <w:sz w:val="72"/>
          <w:szCs w:val="72"/>
        </w:rPr>
      </w:pPr>
    </w:p>
    <w:p>
      <w:pPr>
        <w:rPr>
          <w:rFonts w:hint="eastAsia"/>
        </w:rPr>
      </w:pPr>
    </w:p>
    <w:p>
      <w:pPr>
        <w:spacing w:line="800" w:lineRule="exact"/>
        <w:jc w:val="center"/>
        <w:rPr>
          <w:rFonts w:ascii="方正小标宋简体" w:eastAsia="方正小标宋简体"/>
          <w:sz w:val="72"/>
          <w:szCs w:val="72"/>
          <w:lang w:eastAsia="zh-CN"/>
        </w:rPr>
      </w:pPr>
      <w:bookmarkStart w:id="1" w:name="_Toc15377193"/>
      <w:bookmarkStart w:id="2" w:name="_Toc15396475"/>
      <w:bookmarkStart w:id="3" w:name="_Toc15377425"/>
      <w:bookmarkStart w:id="4" w:name="_Toc15378441"/>
      <w:bookmarkStart w:id="5" w:name="_Toc15396597"/>
      <w:r>
        <w:rPr>
          <w:rFonts w:ascii="方正小标宋简体" w:eastAsia="方正小标宋简体" w:hint="eastAsia"/>
          <w:sz w:val="72"/>
          <w:szCs w:val="72"/>
          <w:lang w:eastAsia="zh-CN"/>
        </w:rPr>
        <w:t>2021年</w:t>
      </w:r>
      <w:bookmarkStart w:id="6" w:name="_Toc15378442"/>
      <w:bookmarkStart w:id="7" w:name="_Toc15377426"/>
      <w:bookmarkStart w:id="8" w:name="_Toc15396476"/>
      <w:bookmarkStart w:id="9" w:name="_Toc15396598"/>
      <w:bookmarkStart w:id="10" w:name="_Toc15377194"/>
      <w:bookmarkStart w:id="11" w:name="_Toc15306268"/>
      <w:bookmarkEnd w:id="0"/>
      <w:bookmarkEnd w:id="1"/>
      <w:bookmarkEnd w:id="2"/>
      <w:bookmarkEnd w:id="3"/>
      <w:bookmarkEnd w:id="4"/>
      <w:bookmarkEnd w:id="5"/>
      <w:r>
        <w:rPr>
          <w:rFonts w:ascii="方正小标宋简体" w:eastAsia="方正小标宋简体" w:hint="eastAsia"/>
          <w:sz w:val="72"/>
          <w:szCs w:val="72"/>
          <w:lang w:eastAsia="zh-CN"/>
        </w:rPr>
        <w:t>金川县</w:t>
      </w:r>
    </w:p>
    <w:p>
      <w:pPr>
        <w:spacing w:line="800" w:lineRule="exact"/>
        <w:jc w:val="center"/>
        <w:rPr>
          <w:rFonts w:ascii="方正小标宋简体" w:eastAsia="方正小标宋简体" w:hint="eastAsia"/>
          <w:sz w:val="72"/>
          <w:szCs w:val="72"/>
        </w:rPr>
      </w:pPr>
      <w:r>
        <w:rPr>
          <w:rFonts w:ascii="方正小标宋简体" w:eastAsia="方正小标宋简体" w:hint="eastAsia"/>
          <w:sz w:val="72"/>
          <w:szCs w:val="72"/>
          <w:lang w:eastAsia="zh-CN"/>
        </w:rPr>
        <w:t>沙耳乡人民政府</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hint="eastAsia"/>
          <w:color w:val="000000"/>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widowControl/>
        <w:jc w:val="center"/>
        <w:rPr>
          <w:rFonts w:ascii="黑体" w:eastAsia="黑体" w:hint="eastAsia"/>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t>目录</w:t>
      </w:r>
    </w:p>
    <w:p>
      <w:pPr>
        <w:pStyle w:val="17"/>
        <w:jc w:val="center"/>
        <w:rPr>
          <w:b w:val="0"/>
          <w:bCs w:val="0"/>
          <w:sz w:val="24"/>
          <w:szCs w:val="24"/>
        </w:rPr>
      </w:pPr>
      <w:r>
        <w:rPr>
          <w:rFonts w:hint="eastAsia"/>
          <w:b w:val="0"/>
          <w:bCs w:val="0"/>
          <w:sz w:val="24"/>
          <w:szCs w:val="24"/>
        </w:rPr>
        <w:t>公开时间：202</w:t>
      </w:r>
      <w:r>
        <w:rPr>
          <w:rFonts w:eastAsia="宋体" w:hint="eastAsia"/>
          <w:b w:val="0"/>
          <w:bCs w:val="0"/>
          <w:sz w:val="24"/>
          <w:szCs w:val="24"/>
          <w:lang w:val="en-US" w:eastAsia="zh-CN"/>
        </w:rPr>
        <w:t>2</w:t>
      </w:r>
      <w:r>
        <w:rPr>
          <w:rFonts w:hint="eastAsia"/>
          <w:b w:val="0"/>
          <w:bCs w:val="0"/>
          <w:sz w:val="24"/>
          <w:szCs w:val="24"/>
        </w:rPr>
        <w:t xml:space="preserve">年 </w:t>
      </w:r>
      <w:r>
        <w:rPr>
          <w:rFonts w:eastAsia="宋体" w:hint="eastAsia"/>
          <w:b w:val="0"/>
          <w:bCs w:val="0"/>
          <w:sz w:val="24"/>
          <w:szCs w:val="24"/>
          <w:lang w:val="en-US" w:eastAsia="zh-CN"/>
        </w:rPr>
        <w:t>8</w:t>
      </w:r>
      <w:r>
        <w:rPr>
          <w:rFonts w:hint="eastAsia"/>
          <w:b w:val="0"/>
          <w:bCs w:val="0"/>
          <w:sz w:val="24"/>
          <w:szCs w:val="24"/>
        </w:rPr>
        <w:t>月</w:t>
      </w:r>
      <w:r>
        <w:rPr>
          <w:rFonts w:eastAsia="宋体" w:hint="eastAsia"/>
          <w:b w:val="0"/>
          <w:bCs w:val="0"/>
          <w:sz w:val="24"/>
          <w:szCs w:val="24"/>
          <w:lang w:val="en-US" w:eastAsia="zh-CN"/>
        </w:rPr>
        <w:t>29</w:t>
      </w:r>
      <w:r>
        <w:rPr>
          <w:rFonts w:hint="eastAsia"/>
          <w:b w:val="0"/>
          <w:bCs w:val="0"/>
          <w:sz w:val="24"/>
          <w:szCs w:val="24"/>
        </w:rPr>
        <w:t>日</w:t>
      </w:r>
    </w:p>
    <w:p>
      <w:pPr>
        <w:pStyle w:val="17"/>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ascii="黑体" w:eastAsia="黑体" w:hint="eastAsia"/>
          <w:b w:val="0"/>
        </w:rPr>
        <w:t xml:space="preserve">第一部分 </w:t>
      </w:r>
      <w:r>
        <w:rPr>
          <w:rFonts w:ascii="黑体" w:eastAsia="黑体" w:hint="eastAsia"/>
          <w:b w:val="0"/>
          <w:bCs w:val="0"/>
        </w:rPr>
        <w:t>部门概况</w:t>
      </w:r>
      <w:r>
        <w:tab/>
      </w:r>
      <w:r>
        <w:fldChar w:fldCharType="begin"/>
      </w:r>
      <w:r>
        <w:instrText xml:space="preserve"> PAGEREF _Toc79163851 \h </w:instrText>
      </w:r>
      <w:r>
        <w:fldChar w:fldCharType="separate"/>
      </w:r>
      <w:r>
        <w:t>- 4 -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一、基</w:t>
      </w:r>
      <w:r>
        <w:rPr>
          <w:rFonts w:ascii="黑体" w:eastAsia="黑体" w:hint="eastAsia"/>
        </w:rPr>
        <w:t>本职能及主要工作</w:t>
      </w:r>
      <w:r>
        <w:tab/>
      </w:r>
      <w:r>
        <w:fldChar w:fldCharType="begin"/>
      </w:r>
      <w:r>
        <w:instrText xml:space="preserve"> PAGEREF _Toc79163852 \h </w:instrText>
      </w:r>
      <w:r>
        <w:fldChar w:fldCharType="separate"/>
      </w:r>
      <w:r>
        <w:t>- 4 -</w:t>
      </w:r>
      <w:r>
        <w:fldChar w:fldCharType="end"/>
      </w:r>
    </w:p>
    <w:p>
      <w:pPr>
        <w:pStyle w:val="19"/>
        <w:tabs>
          <w:tab w:val="right" w:leader="dot" w:pos="8296"/>
        </w:tabs>
      </w:pPr>
      <w:r>
        <w:rPr>
          <w:rFonts w:ascii="仿宋" w:eastAsia="仿宋" w:hint="eastAsia"/>
          <w:bCs/>
          <w:i w:val="0"/>
          <w:iCs w:val="0"/>
          <w:color w:val="000000"/>
        </w:rPr>
        <w:t>（一）主要职能。</w:t>
      </w:r>
      <w:r>
        <w:rPr>
          <w:i w:val="0"/>
          <w:iCs w:val="0"/>
        </w:rPr>
        <w:tab/>
      </w:r>
      <w:r>
        <w:rPr>
          <w:rFonts w:eastAsia="宋体" w:hint="eastAsia"/>
          <w:i w:val="0"/>
          <w:iCs w:val="0"/>
          <w:lang w:val="en-US" w:eastAsia="zh-CN"/>
        </w:rPr>
        <w:t xml:space="preserve"> </w:t>
      </w:r>
      <w:r>
        <w:fldChar w:fldCharType="begin"/>
      </w:r>
      <w:r>
        <w:instrText xml:space="preserve"> PAGEREF _Toc79163852 \h </w:instrText>
      </w:r>
      <w:r>
        <w:fldChar w:fldCharType="separate"/>
      </w:r>
      <w:r>
        <w:t>- 4 -</w:t>
      </w:r>
      <w:r>
        <w:fldChar w:fldCharType="end"/>
      </w:r>
    </w:p>
    <w:p>
      <w:pPr>
        <w:pStyle w:val="19"/>
        <w:tabs>
          <w:tab w:val="right" w:leader="dot" w:pos="8296"/>
        </w:tabs>
        <w:rPr>
          <w:rFonts w:eastAsia="宋体" w:cs="Arial"/>
          <w:i w:val="0"/>
          <w:iCs w:val="0"/>
          <w:sz w:val="21"/>
          <w:szCs w:val="22"/>
          <w:lang w:bidi="ar-SA"/>
        </w:rPr>
      </w:pPr>
      <w:r>
        <w:rPr>
          <w:rFonts w:ascii="仿宋" w:eastAsia="仿宋" w:hint="eastAsia"/>
          <w:bCs/>
          <w:i w:val="0"/>
          <w:iCs w:val="0"/>
          <w:color w:val="000000"/>
        </w:rPr>
        <w:t>（二）</w:t>
      </w:r>
      <w:r>
        <w:rPr>
          <w:rFonts w:ascii="仿宋" w:eastAsia="仿宋" w:hint="eastAsia"/>
          <w:bCs/>
          <w:i w:val="0"/>
          <w:iCs w:val="0"/>
          <w:color w:val="000000"/>
          <w:lang w:eastAsia="zh-CN"/>
        </w:rPr>
        <w:t>2021年</w:t>
      </w:r>
      <w:r>
        <w:rPr>
          <w:rFonts w:ascii="仿宋" w:eastAsia="仿宋" w:hint="eastAsia"/>
          <w:bCs/>
          <w:i w:val="0"/>
          <w:iCs w:val="0"/>
          <w:color w:val="000000"/>
        </w:rPr>
        <w:t>重点工作完成情况。</w:t>
      </w:r>
      <w:r>
        <w:rPr>
          <w:i w:val="0"/>
          <w:iCs w:val="0"/>
        </w:rPr>
        <w:tab/>
      </w:r>
      <w:r>
        <w:fldChar w:fldCharType="begin"/>
      </w:r>
      <w:r>
        <w:instrText xml:space="preserve"> PAGEREF _Toc79163852 \h </w:instrText>
      </w:r>
      <w:r>
        <w:fldChar w:fldCharType="separate"/>
      </w:r>
      <w:r>
        <w:t>- 4 -</w:t>
      </w:r>
      <w:r>
        <w:fldChar w:fldCharType="end"/>
      </w:r>
    </w:p>
    <w:p>
      <w:pPr>
        <w:pStyle w:val="17"/>
        <w:tabs>
          <w:tab w:val="right" w:leader="dot" w:pos="8296"/>
        </w:tabs>
        <w:rPr>
          <w:rFonts w:eastAsia="宋体" w:cs="Arial"/>
          <w:sz w:val="21"/>
          <w:szCs w:val="22"/>
          <w:lang w:bidi="ar-SA"/>
        </w:rPr>
      </w:pPr>
      <w:r>
        <w:rPr>
          <w:rFonts w:ascii="黑体" w:eastAsia="黑体" w:hint="eastAsia"/>
          <w:color w:val="000000"/>
        </w:rPr>
        <w:t>二、机</w:t>
      </w:r>
      <w:r>
        <w:rPr>
          <w:rFonts w:ascii="黑体" w:eastAsia="黑体" w:hint="eastAsia"/>
        </w:rPr>
        <w:t>构设置</w:t>
      </w:r>
      <w:r>
        <w:tab/>
      </w:r>
      <w:r>
        <w:fldChar w:fldCharType="begin"/>
      </w:r>
      <w:r>
        <w:instrText xml:space="preserve"> PAGEREF _Toc79163859 \h </w:instrText>
      </w:r>
      <w:r>
        <w:fldChar w:fldCharType="separate"/>
      </w:r>
      <w:r>
        <w:t>- 6 -</w:t>
      </w:r>
      <w:r>
        <w:fldChar w:fldCharType="end"/>
      </w:r>
    </w:p>
    <w:p>
      <w:pPr>
        <w:pStyle w:val="17"/>
        <w:tabs>
          <w:tab w:val="right" w:leader="dot" w:pos="8296"/>
        </w:tabs>
        <w:rPr>
          <w:rFonts w:eastAsia="宋体" w:cs="Arial"/>
          <w:b w:val="0"/>
          <w:bCs w:val="0"/>
          <w:sz w:val="21"/>
          <w:szCs w:val="22"/>
          <w:lang w:bidi="ar-SA"/>
        </w:rPr>
      </w:pPr>
      <w:r>
        <w:rPr>
          <w:rFonts w:ascii="黑体" w:eastAsia="黑体" w:hint="eastAsia"/>
          <w:b w:val="0"/>
          <w:color w:val="000000"/>
        </w:rPr>
        <w:t>第二部分</w:t>
      </w:r>
      <w:r>
        <w:rPr>
          <w:rFonts w:ascii="黑体" w:eastAsia="黑体" w:hint="eastAsia"/>
          <w:color w:val="000000"/>
        </w:rPr>
        <w:t xml:space="preserve"> </w:t>
      </w:r>
      <w:r>
        <w:rPr>
          <w:rFonts w:ascii="黑体" w:eastAsia="黑体" w:hint="eastAsia"/>
          <w:b w:val="0"/>
          <w:bCs w:val="0"/>
          <w:lang w:eastAsia="zh-CN"/>
        </w:rPr>
        <w:t>2021年</w:t>
      </w:r>
      <w:r>
        <w:rPr>
          <w:rFonts w:ascii="黑体" w:eastAsia="黑体" w:hint="eastAsia"/>
          <w:b w:val="0"/>
          <w:bCs w:val="0"/>
        </w:rPr>
        <w:t>度部门决算情况说明</w:t>
      </w:r>
      <w:r>
        <w:rPr>
          <w:b w:val="0"/>
          <w:bCs w:val="0"/>
        </w:rPr>
        <w:tab/>
      </w:r>
      <w:r>
        <w:fldChar w:fldCharType="begin"/>
      </w:r>
      <w:r>
        <w:instrText xml:space="preserve"> PAGEREF _Toc79163859 \h </w:instrText>
      </w:r>
      <w:r>
        <w:fldChar w:fldCharType="separate"/>
      </w:r>
      <w:r>
        <w:t>- 6 -</w:t>
      </w:r>
      <w:r>
        <w:fldChar w:fldCharType="end"/>
      </w:r>
    </w:p>
    <w:p>
      <w:pPr>
        <w:pStyle w:val="23"/>
        <w:tabs>
          <w:tab w:val="left" w:pos="840"/>
          <w:tab w:val="right" w:leader="dot" w:pos="8296"/>
        </w:tabs>
        <w:rPr>
          <w:rFonts w:eastAsia="宋体" w:cs="Arial"/>
          <w:sz w:val="21"/>
          <w:szCs w:val="22"/>
          <w:lang w:bidi="ar-SA"/>
        </w:rPr>
      </w:pPr>
      <w:r>
        <w:rPr>
          <w:rFonts w:ascii="黑体" w:eastAsia="黑体" w:hint="eastAsia"/>
          <w:bCs/>
        </w:rPr>
        <w:t>一、</w:t>
      </w:r>
      <w:r>
        <w:rPr>
          <w:rFonts w:eastAsia="宋体" w:cs="Arial"/>
          <w:sz w:val="21"/>
          <w:szCs w:val="22"/>
          <w:lang w:bidi="ar-SA"/>
        </w:rPr>
        <w:tab/>
      </w:r>
      <w:r>
        <w:rPr>
          <w:rFonts w:ascii="黑体" w:eastAsia="黑体" w:hint="eastAsia"/>
          <w:color w:val="000000"/>
        </w:rPr>
        <w:t>收</w:t>
      </w:r>
      <w:r>
        <w:rPr>
          <w:rFonts w:ascii="黑体" w:eastAsia="黑体" w:hint="eastAsia"/>
          <w:bCs/>
        </w:rPr>
        <w:t>入支出决算总体情况说明</w:t>
      </w:r>
      <w:r>
        <w:tab/>
      </w:r>
      <w:r>
        <w:fldChar w:fldCharType="begin"/>
      </w:r>
      <w:r>
        <w:instrText xml:space="preserve"> PAGEREF _Toc79163860 \h </w:instrText>
      </w:r>
      <w:r>
        <w:fldChar w:fldCharType="separate"/>
      </w:r>
      <w:r>
        <w:t>- 6 -</w:t>
      </w:r>
      <w:r>
        <w:fldChar w:fldCharType="end"/>
      </w:r>
    </w:p>
    <w:p>
      <w:pPr>
        <w:pStyle w:val="23"/>
        <w:tabs>
          <w:tab w:val="left" w:pos="840"/>
          <w:tab w:val="right" w:leader="dot" w:pos="8296"/>
        </w:tabs>
        <w:rPr>
          <w:rFonts w:eastAsia="宋体" w:cs="Arial"/>
          <w:sz w:val="21"/>
          <w:szCs w:val="22"/>
          <w:lang w:bidi="ar-SA"/>
        </w:rPr>
      </w:pPr>
      <w:r>
        <w:rPr>
          <w:rFonts w:ascii="黑体" w:eastAsia="黑体" w:hint="eastAsia"/>
          <w:bCs/>
        </w:rPr>
        <w:t>二、</w:t>
      </w:r>
      <w:r>
        <w:rPr>
          <w:rFonts w:eastAsia="宋体" w:cs="Arial"/>
          <w:sz w:val="21"/>
          <w:szCs w:val="22"/>
          <w:lang w:bidi="ar-SA"/>
        </w:rPr>
        <w:tab/>
      </w:r>
      <w:r>
        <w:rPr>
          <w:rFonts w:ascii="黑体" w:eastAsia="黑体" w:hint="eastAsia"/>
          <w:color w:val="000000"/>
        </w:rPr>
        <w:t>收</w:t>
      </w:r>
      <w:r>
        <w:rPr>
          <w:rFonts w:ascii="黑体" w:eastAsia="黑体" w:hint="eastAsia"/>
          <w:bCs/>
        </w:rPr>
        <w:t>入决算情况说明</w:t>
      </w:r>
      <w:r>
        <w:tab/>
      </w:r>
      <w:r>
        <w:fldChar w:fldCharType="begin"/>
      </w:r>
      <w:r>
        <w:instrText xml:space="preserve"> PAGEREF _Toc79163860 \h </w:instrText>
      </w:r>
      <w:r>
        <w:fldChar w:fldCharType="separate"/>
      </w:r>
      <w:r>
        <w:t>- 6 -</w:t>
      </w:r>
      <w:r>
        <w:fldChar w:fldCharType="end"/>
      </w:r>
    </w:p>
    <w:p>
      <w:pPr>
        <w:pStyle w:val="23"/>
        <w:tabs>
          <w:tab w:val="left" w:pos="840"/>
          <w:tab w:val="right" w:leader="dot" w:pos="8296"/>
        </w:tabs>
        <w:rPr>
          <w:rFonts w:eastAsia="宋体" w:cs="Arial"/>
          <w:sz w:val="21"/>
          <w:szCs w:val="22"/>
          <w:lang w:bidi="ar-SA"/>
        </w:rPr>
      </w:pPr>
      <w:r>
        <w:rPr>
          <w:rFonts w:ascii="黑体" w:eastAsia="黑体" w:hint="eastAsia"/>
          <w:bCs/>
        </w:rPr>
        <w:t>三、</w:t>
      </w:r>
      <w:r>
        <w:rPr>
          <w:rFonts w:eastAsia="宋体" w:cs="Arial"/>
          <w:sz w:val="21"/>
          <w:szCs w:val="22"/>
          <w:lang w:bidi="ar-SA"/>
        </w:rPr>
        <w:tab/>
      </w:r>
      <w:r>
        <w:rPr>
          <w:rFonts w:ascii="黑体" w:eastAsia="黑体" w:hint="eastAsia"/>
          <w:color w:val="000000"/>
        </w:rPr>
        <w:t>支</w:t>
      </w:r>
      <w:r>
        <w:rPr>
          <w:rFonts w:ascii="黑体" w:eastAsia="黑体" w:hint="eastAsia"/>
          <w:bCs/>
        </w:rPr>
        <w:t>出决算情况说明</w:t>
      </w:r>
      <w:r>
        <w:tab/>
      </w:r>
      <w:r>
        <w:fldChar w:fldCharType="begin"/>
      </w:r>
      <w:r>
        <w:instrText xml:space="preserve"> PAGEREF _Toc79163860 \h </w:instrText>
      </w:r>
      <w:r>
        <w:fldChar w:fldCharType="separate"/>
      </w:r>
      <w:r>
        <w:t>- 6 -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四、财</w:t>
      </w:r>
      <w:r>
        <w:rPr>
          <w:rFonts w:ascii="黑体" w:eastAsia="黑体" w:hint="eastAsia"/>
          <w:bCs/>
        </w:rPr>
        <w:t>政拨款收入支出决算总体情况说明</w:t>
      </w:r>
      <w:r>
        <w:tab/>
      </w:r>
      <w:r>
        <w:fldChar w:fldCharType="begin"/>
      </w:r>
      <w:r>
        <w:instrText xml:space="preserve"> PAGEREF _Toc79163860 \h </w:instrText>
      </w:r>
      <w:r>
        <w:fldChar w:fldCharType="separate"/>
      </w:r>
      <w:r>
        <w:t>- 6 -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fldChar w:fldCharType="begin"/>
      </w:r>
      <w:r>
        <w:instrText xml:space="preserve"> PAGEREF _Toc79163860 \h </w:instrText>
      </w:r>
      <w:r>
        <w:fldChar w:fldCharType="separate"/>
      </w:r>
      <w:r>
        <w:t>- 6 -</w:t>
      </w:r>
      <w:r>
        <w:fldChar w:fldCharType="end"/>
      </w:r>
    </w:p>
    <w:p>
      <w:pPr>
        <w:pStyle w:val="23"/>
        <w:tabs>
          <w:tab w:val="right" w:leader="dot" w:pos="8296"/>
        </w:tabs>
        <w:rPr>
          <w:rFonts w:eastAsia="宋体" w:cs="Arial"/>
          <w:sz w:val="21"/>
          <w:szCs w:val="22"/>
          <w:lang w:bidi="ar-SA"/>
        </w:rPr>
      </w:pPr>
      <w:r>
        <w:rPr>
          <w:rFonts w:ascii="仿宋" w:eastAsia="仿宋" w:hint="eastAsia"/>
          <w:b/>
          <w:i w:val="0"/>
          <w:iCs w:val="0"/>
          <w:color w:val="000000"/>
        </w:rPr>
        <w:t>（一）一般公共预算财政拨款支出决算总体情况</w:t>
      </w:r>
      <w:r>
        <w:rPr>
          <w:i w:val="0"/>
          <w:iCs w:val="0"/>
        </w:rPr>
        <w:tab/>
      </w:r>
      <w:r>
        <w:fldChar w:fldCharType="begin"/>
      </w:r>
      <w:r>
        <w:instrText xml:space="preserve"> PAGEREF _Toc79163860 \h </w:instrText>
      </w:r>
      <w:r>
        <w:fldChar w:fldCharType="separate"/>
      </w:r>
      <w:r>
        <w:t>- 6 -</w:t>
      </w:r>
      <w:r>
        <w:fldChar w:fldCharType="end"/>
      </w:r>
    </w:p>
    <w:p>
      <w:pPr>
        <w:pStyle w:val="23"/>
        <w:tabs>
          <w:tab w:val="right" w:leader="dot" w:pos="8296"/>
        </w:tabs>
        <w:rPr>
          <w:rFonts w:eastAsia="宋体" w:cs="Arial"/>
          <w:i w:val="0"/>
          <w:iCs w:val="0"/>
          <w:sz w:val="21"/>
          <w:szCs w:val="22"/>
          <w:lang w:bidi="ar-SA"/>
        </w:rPr>
      </w:pPr>
      <w:r>
        <w:rPr>
          <w:rFonts w:ascii="仿宋" w:eastAsia="仿宋" w:hint="eastAsia"/>
          <w:b/>
          <w:i w:val="0"/>
          <w:iCs w:val="0"/>
          <w:color w:val="000000"/>
        </w:rPr>
        <w:t>（二）一般公共预算财政拨款支出决算结构情况</w:t>
      </w:r>
      <w:r>
        <w:rPr>
          <w:i w:val="0"/>
          <w:iCs w:val="0"/>
        </w:rPr>
        <w:tab/>
      </w:r>
      <w:r>
        <w:fldChar w:fldCharType="begin"/>
      </w:r>
      <w:r>
        <w:instrText xml:space="preserve"> PAGEREF _Toc79163860 \h </w:instrText>
      </w:r>
      <w:r>
        <w:fldChar w:fldCharType="separate"/>
      </w:r>
      <w:r>
        <w:t>- 6 -</w:t>
      </w:r>
      <w:r>
        <w:fldChar w:fldCharType="end"/>
      </w:r>
    </w:p>
    <w:p>
      <w:pPr>
        <w:pStyle w:val="23"/>
        <w:tabs>
          <w:tab w:val="right" w:leader="dot" w:pos="8296"/>
        </w:tabs>
        <w:rPr>
          <w:rFonts w:eastAsia="宋体" w:cs="Arial"/>
          <w:i w:val="0"/>
          <w:iCs w:val="0"/>
          <w:sz w:val="21"/>
          <w:szCs w:val="22"/>
          <w:lang w:bidi="ar-SA"/>
        </w:rPr>
      </w:pPr>
      <w:r>
        <w:rPr>
          <w:rFonts w:ascii="仿宋" w:eastAsia="仿宋" w:hint="eastAsia"/>
          <w:b/>
          <w:i w:val="0"/>
          <w:iCs w:val="0"/>
          <w:color w:val="000000"/>
        </w:rPr>
        <w:t>（三）一般公共预算财政拨款支出决算具体情况</w:t>
      </w:r>
      <w:r>
        <w:rPr>
          <w:i w:val="0"/>
          <w:iCs w:val="0"/>
        </w:rPr>
        <w:tab/>
      </w:r>
      <w:r>
        <w:fldChar w:fldCharType="begin"/>
      </w:r>
      <w:r>
        <w:instrText xml:space="preserve"> PAGEREF _Toc79163868 \h </w:instrText>
      </w:r>
      <w:r>
        <w:fldChar w:fldCharType="separate"/>
      </w:r>
      <w:r>
        <w:t>- 10 -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fldChar w:fldCharType="begin"/>
      </w:r>
      <w:r>
        <w:instrText xml:space="preserve"> PAGEREF _Toc79163868 \h </w:instrText>
      </w:r>
      <w:r>
        <w:fldChar w:fldCharType="separate"/>
      </w:r>
      <w:r>
        <w:t>- 10 -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fldChar w:fldCharType="begin"/>
      </w:r>
      <w:r>
        <w:instrText xml:space="preserve"> PAGEREF _Toc79163869 \h </w:instrText>
      </w:r>
      <w:r>
        <w:fldChar w:fldCharType="separate"/>
      </w:r>
      <w:r>
        <w:t>- 12 -</w:t>
      </w:r>
      <w: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（一）“三公”经费财政拨款支出决算总体情况说明</w:t>
      </w:r>
      <w:r>
        <w:rPr>
          <w:i w:val="0"/>
          <w:iCs w:val="0"/>
        </w:rPr>
        <w:tab/>
      </w:r>
      <w:r>
        <w:fldChar w:fldCharType="begin"/>
      </w:r>
      <w:r>
        <w:instrText xml:space="preserve"> PAGEREF _Toc79163869 \h </w:instrText>
      </w:r>
      <w:r>
        <w:fldChar w:fldCharType="separate"/>
      </w:r>
      <w:r>
        <w:t>- 12 -</w:t>
      </w:r>
      <w: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（二）“三公”经费财政拨款支出决算具体情况说明</w:t>
      </w:r>
      <w:r>
        <w:rPr>
          <w:i w:val="0"/>
          <w:iCs w:val="0"/>
        </w:rPr>
        <w:tab/>
      </w:r>
      <w:r>
        <w:fldChar w:fldCharType="begin"/>
      </w:r>
      <w:r>
        <w:instrText xml:space="preserve"> PAGEREF _Toc79163869 \h </w:instrText>
      </w:r>
      <w:r>
        <w:fldChar w:fldCharType="separate"/>
      </w:r>
      <w:r>
        <w:t>- 12 -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八、</w:t>
      </w:r>
      <w:r>
        <w:rPr>
          <w:rFonts w:ascii="黑体" w:eastAsia="黑体" w:hint="eastAsia"/>
          <w:bCs/>
        </w:rPr>
        <w:t>政府性基金预算支出决算情况说明</w:t>
      </w:r>
      <w:r>
        <w:tab/>
      </w:r>
      <w:r>
        <w:fldChar w:fldCharType="begin"/>
      </w:r>
      <w:r>
        <w:instrText xml:space="preserve"> PAGEREF _Toc79163872 \h </w:instrText>
      </w:r>
      <w:r>
        <w:fldChar w:fldCharType="separate"/>
      </w:r>
      <w:r>
        <w:t>- 14 -</w:t>
      </w:r>
      <w:r>
        <w:fldChar w:fldCharType="end"/>
      </w:r>
    </w:p>
    <w:p>
      <w:pPr>
        <w:pStyle w:val="23"/>
        <w:tabs>
          <w:tab w:val="right" w:leader="dot" w:pos="8296"/>
        </w:tabs>
        <w:rPr>
          <w:rFonts w:eastAsia="宋体" w:cs="Arial"/>
          <w:sz w:val="21"/>
          <w:szCs w:val="22"/>
          <w:lang w:bidi="ar-SA"/>
        </w:rPr>
      </w:pPr>
      <w:r>
        <w:rPr>
          <w:rFonts w:ascii="黑体" w:eastAsia="黑体" w:hint="eastAsia"/>
          <w:bCs/>
        </w:rPr>
        <w:t>九、 国有资本经营预算支出决算情况说明</w:t>
      </w:r>
      <w:r>
        <w:tab/>
      </w:r>
      <w:r>
        <w:fldChar w:fldCharType="begin"/>
      </w:r>
      <w:r>
        <w:instrText xml:space="preserve"> PAGEREF _Toc79163873 \h </w:instrText>
      </w:r>
      <w:r>
        <w:fldChar w:fldCharType="separate"/>
      </w:r>
      <w:r>
        <w:t>- 14 -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fldChar w:fldCharType="begin"/>
      </w:r>
      <w:r>
        <w:instrText xml:space="preserve"> PAGEREF _Toc79163874 \h </w:instrText>
      </w:r>
      <w:r>
        <w:fldChar w:fldCharType="separate"/>
      </w:r>
      <w:r>
        <w:t>- 14 -</w:t>
      </w:r>
      <w:r>
        <w:fldChar w:fldCharType="end"/>
      </w:r>
    </w:p>
    <w:p>
      <w:pPr>
        <w:pStyle w:val="23"/>
        <w:tabs>
          <w:tab w:val="right" w:leader="dot" w:pos="8296"/>
        </w:tabs>
        <w:ind w:firstLineChars="100" w:firstLine="200"/>
        <w:rPr>
          <w:rFonts w:ascii="仿宋" w:eastAsia="仿宋" w:cs="Times New Roman" w:hint="eastAsia"/>
          <w:bCs/>
          <w:i w:val="0"/>
          <w:iCs w:val="0"/>
          <w:color w:val="000000"/>
          <w:lang w:bidi="ar-SA"/>
        </w:rPr>
      </w:pPr>
      <w:r>
        <w:rPr>
          <w:rFonts w:ascii="仿宋" w:eastAsia="仿宋" w:cs="Times New Roman" w:hint="eastAsia"/>
          <w:b/>
          <w:i w:val="0"/>
          <w:iCs w:val="0"/>
          <w:color w:val="000000"/>
          <w:lang w:bidi="ar-SA"/>
        </w:rPr>
        <w:t>（一）机关运行经费支出情况</w:t>
      </w:r>
      <w:r>
        <w:rPr>
          <w:rFonts w:ascii="仿宋" w:eastAsia="仿宋" w:cs="Times New Roman" w:hint="eastAsia"/>
          <w:bCs/>
          <w:i w:val="0"/>
          <w:iCs w:val="0"/>
          <w:color w:val="000000"/>
          <w:lang w:bidi="ar-SA"/>
        </w:rPr>
        <w:tab/>
      </w:r>
      <w:r>
        <w:fldChar w:fldCharType="begin"/>
      </w:r>
      <w:r>
        <w:instrText xml:space="preserve"> PAGEREF _Toc79163874 \h </w:instrText>
      </w:r>
      <w:r>
        <w:fldChar w:fldCharType="separate"/>
      </w:r>
      <w:r>
        <w:t>- 14 -</w:t>
      </w:r>
      <w:r>
        <w:fldChar w:fldCharType="end"/>
      </w:r>
    </w:p>
    <w:p>
      <w:pPr>
        <w:pStyle w:val="19"/>
        <w:tabs>
          <w:tab w:val="right" w:leader="dot" w:pos="8296"/>
        </w:tabs>
        <w:rPr>
          <w:rFonts w:ascii="仿宋" w:eastAsia="仿宋" w:cs="Times New Roman"/>
          <w:b/>
          <w:i w:val="0"/>
          <w:iCs w:val="0"/>
          <w:color w:val="000000"/>
          <w:lang w:val="en-US" w:eastAsia="zh-CN" w:bidi="ar-SA"/>
        </w:rPr>
      </w:pPr>
      <w:r>
        <w:rPr>
          <w:rFonts w:ascii="仿宋" w:eastAsia="仿宋" w:cs="Times New Roman" w:hint="eastAsia"/>
          <w:b/>
          <w:i w:val="0"/>
          <w:iCs w:val="0"/>
          <w:color w:val="000000"/>
          <w:lang w:val="en-US" w:eastAsia="zh-CN" w:bidi="ar-SA"/>
        </w:rPr>
        <w:t xml:space="preserve">（二）政府采购支出情况  </w:t>
      </w:r>
      <w:r>
        <w:rPr>
          <w:rFonts w:ascii="Calibri" w:eastAsia="Calibri" w:cs="Times New Roman" w:hAnsi="Calibri" w:hint="eastAsia"/>
          <w:b/>
          <w:bCs/>
          <w:caps/>
          <w:smallCaps w:val="0"/>
          <w:kern w:val="2"/>
          <w:sz w:val="20"/>
          <w:szCs w:val="20"/>
          <w:lang w:val="en-US" w:eastAsia="zh-CN" w:bidi="ar-SA"/>
        </w:rPr>
        <w:t>..............................................................................................</w:t>
      </w:r>
      <w:r>
        <w:rPr>
          <w:rFonts w:ascii="仿宋" w:eastAsia="仿宋" w:cs="Times New Roman" w:hint="eastAsia"/>
          <w:bCs/>
          <w:i w:val="0"/>
          <w:iCs w:val="0"/>
          <w:color w:val="000000"/>
          <w:lang w:val="en-US" w:eastAsia="zh-CN" w:bidi="ar-SA"/>
        </w:rPr>
        <w:t>-14-</w:t>
      </w:r>
    </w:p>
    <w:p>
      <w:pPr>
        <w:pStyle w:val="23"/>
        <w:tabs>
          <w:tab w:val="right" w:leader="dot" w:pos="8296"/>
        </w:tabs>
        <w:ind w:firstLineChars="100" w:firstLine="200"/>
        <w:rPr>
          <w:rFonts w:eastAsia="宋体" w:cs="Arial"/>
          <w:sz w:val="21"/>
          <w:szCs w:val="22"/>
          <w:lang w:bidi="ar-SA"/>
        </w:rPr>
      </w:pPr>
      <w:r>
        <w:rPr>
          <w:rFonts w:ascii="仿宋" w:eastAsia="仿宋" w:cs="Times New Roman" w:hint="eastAsia"/>
          <w:b/>
          <w:i w:val="0"/>
          <w:iCs w:val="0"/>
          <w:color w:val="000000"/>
          <w:lang w:bidi="ar-SA"/>
        </w:rPr>
        <w:t>（三）国有资产占有使用情况</w:t>
      </w:r>
      <w:r>
        <w:rPr>
          <w:rFonts w:ascii="仿宋" w:eastAsia="仿宋" w:cs="Times New Roman" w:hint="eastAsia"/>
          <w:bCs/>
          <w:i w:val="0"/>
          <w:iCs w:val="0"/>
          <w:color w:val="000000"/>
          <w:lang w:bidi="ar-SA"/>
        </w:rPr>
        <w:tab/>
      </w:r>
      <w:r>
        <w:fldChar w:fldCharType="begin"/>
      </w:r>
      <w:r>
        <w:instrText xml:space="preserve"> PAGEREF _Toc79163874 \h </w:instrText>
      </w:r>
      <w:r>
        <w:fldChar w:fldCharType="separate"/>
      </w:r>
      <w:r>
        <w:t>- 14 -</w:t>
      </w:r>
      <w:r>
        <w:fldChar w:fldCharType="end"/>
      </w:r>
    </w:p>
    <w:p>
      <w:pPr>
        <w:pStyle w:val="19"/>
        <w:tabs>
          <w:tab w:val="right" w:leader="dot" w:pos="8296"/>
        </w:tabs>
        <w:rPr>
          <w:rFonts w:eastAsia="宋体" w:cs="Arial"/>
          <w:i w:val="0"/>
          <w:iCs w:val="0"/>
          <w:sz w:val="21"/>
          <w:szCs w:val="22"/>
          <w:lang w:bidi="ar-SA"/>
        </w:rPr>
      </w:pPr>
      <w:r>
        <w:rPr>
          <w:rFonts w:ascii="仿宋" w:eastAsia="仿宋" w:cs="Times New Roman" w:hint="eastAsia"/>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- 14 -</w:t>
      </w:r>
      <w:r>
        <w:rPr>
          <w:i w:val="0"/>
          <w:iCs w:val="0"/>
        </w:rPr>
        <w:fldChar w:fldCharType="end"/>
      </w:r>
    </w:p>
    <w:p>
      <w:pPr>
        <w:pStyle w:val="17"/>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- 18 -</w:t>
      </w:r>
      <w:r>
        <w:rPr>
          <w:b w:val="0"/>
          <w:bCs w:val="0"/>
        </w:rPr>
        <w:fldChar w:fldCharType="end"/>
      </w:r>
    </w:p>
    <w:p>
      <w:pPr>
        <w:pStyle w:val="17"/>
        <w:tabs>
          <w:tab w:val="right" w:leader="dot" w:pos="8296"/>
        </w:tabs>
        <w:rPr>
          <w:rFonts w:ascii="黑体" w:eastAsia="黑体" w:hint="eastAsia"/>
          <w:b w:val="0"/>
          <w:bCs w:val="0"/>
          <w:color w:val="000000"/>
        </w:rPr>
      </w:pPr>
      <w:r>
        <w:rPr>
          <w:rFonts w:ascii="黑体" w:eastAsia="黑体" w:hint="eastAsia"/>
          <w:b w:val="0"/>
          <w:bCs w:val="0"/>
          <w:color w:val="000000"/>
        </w:rPr>
        <w:t>第四部分 附件</w:t>
        <w:tab/>
      </w:r>
      <w:r>
        <w:rPr>
          <w:b w:val="0"/>
          <w:bCs w:val="0"/>
        </w:rPr>
        <w:fldChar w:fldCharType="begin"/>
      </w:r>
      <w:r>
        <w:rPr>
          <w:b w:val="0"/>
          <w:bCs w:val="0"/>
        </w:rPr>
        <w:instrText xml:space="preserve"> PAGEREF _Toc79163879 \h </w:instrText>
      </w:r>
      <w:r>
        <w:rPr>
          <w:b w:val="0"/>
          <w:bCs w:val="0"/>
        </w:rPr>
        <w:fldChar w:fldCharType="separate"/>
      </w:r>
      <w:r>
        <w:rPr>
          <w:b w:val="0"/>
          <w:bCs w:val="0"/>
        </w:rPr>
        <w:t>- 18 -</w:t>
      </w:r>
      <w:r>
        <w:rPr>
          <w:b w:val="0"/>
          <w:bCs w:val="0"/>
        </w:rPr>
        <w:fldChar w:fldCharType="end"/>
      </w:r>
    </w:p>
    <w:p>
      <w:pPr>
        <w:pStyle w:val="17"/>
        <w:tabs>
          <w:tab w:val="right" w:leader="dot" w:pos="8296"/>
        </w:tabs>
        <w:rPr>
          <w:color w:val="auto"/>
        </w:rPr>
      </w:pPr>
      <w:r>
        <w:rPr>
          <w:rFonts w:ascii="仿宋_GB2312" w:eastAsia="仿宋_GB2312" w:cs="仿宋_GB2312" w:hint="eastAsia"/>
          <w:b w:val="0"/>
          <w:bCs w:val="0"/>
          <w:color w:val="auto"/>
          <w:lang w:eastAsia="zh-CN" w:bidi="ar-SA"/>
        </w:rPr>
        <w:t>金川县沙耳乡人民政府2021年</w:t>
      </w:r>
      <w:r>
        <w:rPr>
          <w:rFonts w:ascii="仿宋_GB2312" w:eastAsia="仿宋_GB2312" w:cs="仿宋_GB2312" w:hint="eastAsia"/>
          <w:b w:val="0"/>
          <w:bCs w:val="0"/>
          <w:color w:val="auto"/>
          <w:lang w:bidi="ar-SA"/>
        </w:rPr>
        <w:t>部门整体支出绩效评价报告</w:t>
      </w:r>
      <w:r>
        <w:rPr>
          <w:rFonts w:ascii="Arial" w:eastAsia="黑体" w:cs="Arial" w:hAnsi="Arial"/>
          <w:b w:val="0"/>
          <w:bCs w:val="0"/>
          <w:color w:val="auto"/>
          <w:lang w:bidi="ar-SA"/>
        </w:rPr>
        <w:t>………………………………</w:t>
      </w:r>
      <w:r>
        <w:rPr>
          <w:b w:val="0"/>
          <w:bCs w:val="0"/>
        </w:rPr>
        <w:fldChar w:fldCharType="begin"/>
      </w:r>
      <w:r>
        <w:rPr>
          <w:b w:val="0"/>
          <w:bCs w:val="0"/>
        </w:rPr>
        <w:instrText xml:space="preserve"> PAGEREF _Toc79163879 \h </w:instrText>
      </w:r>
      <w:r>
        <w:rPr>
          <w:b w:val="0"/>
          <w:bCs w:val="0"/>
        </w:rPr>
        <w:fldChar w:fldCharType="separate"/>
      </w:r>
      <w:r>
        <w:rPr>
          <w:b w:val="0"/>
          <w:bCs w:val="0"/>
        </w:rPr>
        <w:t>- 18 -</w:t>
      </w:r>
      <w:r>
        <w:rPr>
          <w:b w:val="0"/>
          <w:bCs w:val="0"/>
        </w:rPr>
        <w:fldChar w:fldCharType="end"/>
      </w:r>
    </w:p>
    <w:p>
      <w:pPr>
        <w:pStyle w:val="17"/>
        <w:tabs>
          <w:tab w:val="right" w:leader="dot" w:pos="8296"/>
        </w:tabs>
        <w:rPr>
          <w:rFonts w:eastAsia="宋体" w:cs="Arial"/>
          <w:b w:val="0"/>
          <w:bCs w:val="0"/>
          <w:sz w:val="21"/>
          <w:szCs w:val="22"/>
          <w:lang w:bidi="ar-SA"/>
        </w:rPr>
      </w:pPr>
      <w:r>
        <w:rPr>
          <w:rFonts w:ascii="黑体" w:eastAsia="黑体" w:hint="eastAsia"/>
          <w:b w:val="0"/>
          <w:bCs w:val="0"/>
          <w:color w:val="000000"/>
        </w:rPr>
        <w:t>第</w:t>
      </w:r>
      <w:r>
        <w:rPr>
          <w:rFonts w:ascii="黑体" w:eastAsia="黑体" w:hint="eastAsia"/>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- 21 -</w:t>
      </w:r>
      <w:r>
        <w:rPr>
          <w:b w:val="0"/>
          <w:bCs w:val="0"/>
        </w:rPr>
        <w:fldChar w:fldCharType="end"/>
      </w:r>
    </w:p>
    <w:p>
      <w:pPr>
        <w:pStyle w:val="23"/>
        <w:tabs>
          <w:tab w:val="right" w:leader="dot" w:pos="8296"/>
        </w:tabs>
        <w:rPr>
          <w:rFonts w:eastAsia="宋体" w:cs="Arial"/>
          <w:sz w:val="21"/>
          <w:szCs w:val="22"/>
          <w:lang w:bidi="ar-SA"/>
        </w:rPr>
      </w:pPr>
      <w:r>
        <w:rPr>
          <w:rFonts w:ascii="仿宋" w:eastAsia="仿宋" w:hint="eastAsia"/>
          <w:color w:val="000000"/>
        </w:rPr>
        <w:t>一、收</w:t>
      </w:r>
      <w:r>
        <w:rPr>
          <w:rFonts w:ascii="仿宋" w:eastAsia="仿宋" w:hint="eastAsia"/>
        </w:rPr>
        <w:t>入支出决算总表</w:t>
      </w:r>
      <w:r>
        <w:tab/>
      </w:r>
      <w:r>
        <w:fldChar w:fldCharType="begin"/>
      </w:r>
      <w:r>
        <w:instrText xml:space="preserve"> PAGEREF _Toc79163886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color w:val="000000"/>
        </w:rPr>
        <w:t>二、收</w:t>
      </w:r>
      <w:r>
        <w:rPr>
          <w:rFonts w:ascii="仿宋" w:eastAsia="仿宋" w:hint="eastAsia"/>
        </w:rPr>
        <w:t>入决算表</w:t>
      </w:r>
      <w:r>
        <w:tab/>
      </w:r>
      <w:r>
        <w:fldChar w:fldCharType="begin"/>
      </w:r>
      <w:r>
        <w:instrText xml:space="preserve"> PAGEREF _Toc79163887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三、</w:t>
      </w:r>
      <w:r>
        <w:rPr>
          <w:rFonts w:ascii="仿宋" w:eastAsia="仿宋" w:hint="eastAsia"/>
          <w:color w:val="000000"/>
        </w:rPr>
        <w:t>支</w:t>
      </w:r>
      <w:r>
        <w:rPr>
          <w:rFonts w:ascii="仿宋" w:eastAsia="仿宋" w:hint="eastAsia"/>
        </w:rPr>
        <w:t>出决算表</w:t>
      </w:r>
      <w:r>
        <w:tab/>
      </w:r>
      <w:r>
        <w:fldChar w:fldCharType="begin"/>
      </w:r>
      <w:r>
        <w:instrText xml:space="preserve"> PAGEREF _Toc79163888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四、</w:t>
      </w:r>
      <w:r>
        <w:rPr>
          <w:rFonts w:ascii="仿宋" w:eastAsia="仿宋" w:hint="eastAsia"/>
          <w:color w:val="000000"/>
        </w:rPr>
        <w:t>财</w:t>
      </w:r>
      <w:r>
        <w:rPr>
          <w:rFonts w:ascii="仿宋" w:eastAsia="仿宋" w:hint="eastAsia"/>
        </w:rPr>
        <w:t>政拨款收入支出决算总表</w:t>
      </w:r>
      <w:r>
        <w:tab/>
      </w:r>
      <w:r>
        <w:fldChar w:fldCharType="begin"/>
      </w:r>
      <w:r>
        <w:instrText xml:space="preserve"> PAGEREF _Toc79163889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五、</w:t>
      </w:r>
      <w:r>
        <w:rPr>
          <w:rFonts w:ascii="仿宋" w:eastAsia="仿宋" w:hint="eastAsia"/>
          <w:color w:val="000000"/>
        </w:rPr>
        <w:t>财</w:t>
      </w:r>
      <w:r>
        <w:rPr>
          <w:rFonts w:ascii="仿宋" w:eastAsia="仿宋" w:hint="eastAsia"/>
        </w:rPr>
        <w:t>政拨款支出决算明细表</w:t>
      </w:r>
      <w:r>
        <w:tab/>
      </w:r>
      <w:r>
        <w:fldChar w:fldCharType="begin"/>
      </w:r>
      <w:r>
        <w:instrText xml:space="preserve"> PAGEREF _Toc79163890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六、</w:t>
      </w:r>
      <w:r>
        <w:rPr>
          <w:rFonts w:ascii="仿宋" w:eastAsia="仿宋" w:hint="eastAsia"/>
          <w:color w:val="000000"/>
        </w:rPr>
        <w:t>一</w:t>
      </w:r>
      <w:r>
        <w:rPr>
          <w:rFonts w:ascii="仿宋" w:eastAsia="仿宋" w:hint="eastAsia"/>
        </w:rPr>
        <w:t>般公共预算财政拨款支出决算表</w:t>
      </w:r>
      <w:r>
        <w:tab/>
      </w:r>
      <w:r>
        <w:fldChar w:fldCharType="begin"/>
      </w:r>
      <w:r>
        <w:instrText xml:space="preserve"> PAGEREF _Toc79163891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七、</w:t>
      </w:r>
      <w:r>
        <w:rPr>
          <w:rFonts w:ascii="仿宋" w:eastAsia="仿宋" w:hint="eastAsia"/>
          <w:color w:val="000000"/>
        </w:rPr>
        <w:t>一</w:t>
      </w:r>
      <w:r>
        <w:rPr>
          <w:rFonts w:ascii="仿宋" w:eastAsia="仿宋" w:hint="eastAsia"/>
        </w:rPr>
        <w:t>般公共预算财政拨款支出决算明细表</w:t>
      </w:r>
      <w:r>
        <w:tab/>
      </w:r>
      <w:r>
        <w:fldChar w:fldCharType="begin"/>
      </w:r>
      <w:r>
        <w:instrText xml:space="preserve"> PAGEREF _Toc79163892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八、</w:t>
      </w:r>
      <w:r>
        <w:rPr>
          <w:rFonts w:ascii="仿宋" w:eastAsia="仿宋" w:hint="eastAsia"/>
          <w:color w:val="000000"/>
        </w:rPr>
        <w:t>一</w:t>
      </w:r>
      <w:r>
        <w:rPr>
          <w:rFonts w:ascii="仿宋" w:eastAsia="仿宋" w:hint="eastAsia"/>
        </w:rPr>
        <w:t>般公共预算财政拨款基本支出决算表</w:t>
      </w:r>
      <w:r>
        <w:tab/>
      </w:r>
      <w:r>
        <w:fldChar w:fldCharType="begin"/>
      </w:r>
      <w:r>
        <w:instrText xml:space="preserve"> PAGEREF _Toc79163893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九、</w:t>
      </w:r>
      <w:r>
        <w:rPr>
          <w:rFonts w:ascii="仿宋" w:eastAsia="仿宋" w:hint="eastAsia"/>
          <w:color w:val="000000"/>
        </w:rPr>
        <w:t>一</w:t>
      </w:r>
      <w:r>
        <w:rPr>
          <w:rFonts w:ascii="仿宋" w:eastAsia="仿宋" w:hint="eastAsia"/>
        </w:rPr>
        <w:t>般公共预算财政拨款项目支出决算表</w:t>
      </w:r>
      <w:r>
        <w:tab/>
      </w:r>
      <w:r>
        <w:fldChar w:fldCharType="begin"/>
      </w:r>
      <w:r>
        <w:instrText xml:space="preserve"> PAGEREF _Toc79163894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十、</w:t>
      </w:r>
      <w:r>
        <w:rPr>
          <w:rFonts w:ascii="仿宋" w:eastAsia="仿宋" w:hint="eastAsia"/>
          <w:color w:val="000000"/>
        </w:rPr>
        <w:t>一</w:t>
      </w:r>
      <w:r>
        <w:rPr>
          <w:rFonts w:ascii="仿宋" w:eastAsia="仿宋" w:hint="eastAsia"/>
        </w:rPr>
        <w:t>般公共预算财政拨款“三公”经费支出决算表</w:t>
      </w:r>
      <w:r>
        <w:tab/>
      </w:r>
      <w:r>
        <w:fldChar w:fldCharType="begin"/>
      </w:r>
      <w:r>
        <w:instrText xml:space="preserve"> PAGEREF _Toc79163895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十一、</w:t>
      </w:r>
      <w:r>
        <w:rPr>
          <w:rFonts w:ascii="仿宋" w:eastAsia="仿宋" w:hint="eastAsia"/>
          <w:color w:val="000000"/>
        </w:rPr>
        <w:t>政</w:t>
      </w:r>
      <w:r>
        <w:rPr>
          <w:rFonts w:ascii="仿宋" w:eastAsia="仿宋" w:hint="eastAsia"/>
        </w:rPr>
        <w:t>府性基金预算财政拨款收入支出决算表</w:t>
      </w:r>
      <w:r>
        <w:tab/>
      </w:r>
      <w:r>
        <w:fldChar w:fldCharType="begin"/>
      </w:r>
      <w:r>
        <w:instrText xml:space="preserve"> PAGEREF _Toc79163896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十二、</w:t>
      </w:r>
      <w:r>
        <w:rPr>
          <w:rFonts w:ascii="仿宋" w:eastAsia="仿宋" w:hint="eastAsia"/>
          <w:color w:val="000000"/>
        </w:rPr>
        <w:t>政</w:t>
      </w:r>
      <w:r>
        <w:rPr>
          <w:rFonts w:ascii="仿宋" w:eastAsia="仿宋" w:hint="eastAsia"/>
        </w:rPr>
        <w:t>府性基金预算财政拨款“三公”经费支出决算表</w:t>
      </w:r>
      <w:r>
        <w:tab/>
      </w:r>
      <w:r>
        <w:fldChar w:fldCharType="begin"/>
      </w:r>
      <w:r>
        <w:instrText xml:space="preserve"> PAGEREF _Toc79163897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十三、</w:t>
      </w:r>
      <w:r>
        <w:rPr>
          <w:rFonts w:ascii="仿宋" w:eastAsia="仿宋" w:hint="eastAsia"/>
          <w:color w:val="000000"/>
        </w:rPr>
        <w:t>国</w:t>
      </w:r>
      <w:r>
        <w:rPr>
          <w:rFonts w:ascii="仿宋" w:eastAsia="仿宋" w:hint="eastAsia"/>
        </w:rPr>
        <w:t>有资本经营预算财政拨款支出决算表</w:t>
      </w:r>
      <w:r>
        <w:tab/>
      </w:r>
      <w:r>
        <w:fldChar w:fldCharType="begin"/>
      </w:r>
      <w:r>
        <w:instrText xml:space="preserve"> PAGEREF _Toc79163898 \h </w:instrText>
      </w:r>
      <w:r>
        <w:fldChar w:fldCharType="separate"/>
      </w:r>
      <w:r>
        <w:t>- 26 -</w:t>
      </w:r>
      <w:r>
        <w:fldChar w:fldCharType="end"/>
      </w:r>
    </w:p>
    <w:p>
      <w:pPr>
        <w:pStyle w:val="23"/>
        <w:tabs>
          <w:tab w:val="right" w:leader="dot" w:pos="8296"/>
        </w:tabs>
        <w:rPr>
          <w:rFonts w:eastAsia="宋体" w:cs="Arial"/>
          <w:sz w:val="21"/>
          <w:szCs w:val="22"/>
          <w:lang w:bidi="ar-SA"/>
        </w:rPr>
      </w:pPr>
      <w:r>
        <w:rPr>
          <w:rFonts w:ascii="仿宋" w:eastAsia="仿宋" w:hint="eastAsia"/>
        </w:rPr>
        <w:t>十四、国有资本经营预算财政拨款支出决算表</w:t>
      </w:r>
      <w:r>
        <w:tab/>
      </w:r>
      <w:r>
        <w:fldChar w:fldCharType="begin"/>
      </w:r>
      <w:r>
        <w:instrText xml:space="preserve"> PAGEREF _Toc79163899 \h </w:instrText>
      </w:r>
      <w:r>
        <w:fldChar w:fldCharType="separate"/>
      </w:r>
      <w:r>
        <w:t>- 26 -</w:t>
      </w:r>
      <w:r>
        <w:fldChar w:fldCharType="end"/>
      </w:r>
    </w:p>
    <w:p>
      <w:pPr>
        <w:widowControl/>
        <w:adjustRightInd w:val="0"/>
        <w:snapToGrid w:val="0"/>
        <w:spacing w:line="440" w:lineRule="exact"/>
        <w:ind w:firstLineChars="550" w:firstLine="1100"/>
        <w:jc w:val="left"/>
        <w:rPr>
          <w:rFonts w:ascii="仿宋" w:eastAsia="仿宋" w:hint="eastAsia"/>
          <w:color w:val="FF0000"/>
          <w:sz w:val="24"/>
        </w:rPr>
      </w:pPr>
      <w:r>
        <w:rPr>
          <w:rFonts w:ascii="Calibri" w:eastAsia="Calibri" w:hAnsi="Calibri"/>
          <w:b/>
          <w:bCs/>
          <w:caps/>
          <w:smallCaps w:val="0"/>
          <w:sz w:val="20"/>
          <w:szCs w:val="20"/>
        </w:rPr>
        <w:fldChar w:fldCharType="end"/>
      </w:r>
    </w:p>
    <w:p>
      <w:pPr>
        <w:widowControl/>
        <w:spacing w:line="440" w:lineRule="exact"/>
        <w:jc w:val="left"/>
        <w:rPr>
          <w:rFonts w:ascii="仿宋" w:eastAsia="仿宋" w:hint="eastAsia"/>
          <w:bCs/>
          <w:kern w:val="44"/>
          <w:sz w:val="24"/>
        </w:rPr>
      </w:pPr>
      <w:bookmarkStart w:id="12" w:name="_Toc15396599"/>
      <w:bookmarkStart w:id="13" w:name="_Toc15377196"/>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hint="eastAsia"/>
          <w:b/>
          <w:bCs/>
        </w:rPr>
      </w:pPr>
      <w:bookmarkStart w:id="14" w:name="_Toc79163851"/>
      <w:bookmarkStart w:id="15" w:name="_Toc79163601"/>
      <w:r>
        <w:rPr>
          <w:rFonts w:ascii="方正小标宋简体" w:eastAsia="方正小标宋简体" w:hint="eastAsia"/>
          <w:b w:val="0"/>
        </w:rPr>
        <w:t xml:space="preserve">第一部分 </w:t>
      </w:r>
      <w:r>
        <w:rPr>
          <w:rStyle w:val="1Char"/>
          <w:rFonts w:ascii="方正小标宋简体" w:eastAsia="方正小标宋简体" w:hint="eastAsia"/>
          <w:b/>
          <w:bCs/>
        </w:rPr>
        <w:t>部门概况</w:t>
      </w:r>
      <w:bookmarkEnd w:id="12"/>
      <w:bookmarkEnd w:id="13"/>
      <w:bookmarkEnd w:id="14"/>
      <w:bookmarkEnd w:id="15"/>
    </w:p>
    <w:p>
      <w:pPr>
        <w:widowControl/>
        <w:adjustRightInd w:val="0"/>
        <w:snapToGrid w:val="0"/>
        <w:spacing w:line="560" w:lineRule="exact"/>
        <w:jc w:val="left"/>
        <w:rPr>
          <w:rFonts w:ascii="黑体" w:eastAsia="黑体" w:hint="eastAsia"/>
          <w:color w:val="000000"/>
          <w:sz w:val="32"/>
          <w:szCs w:val="32"/>
        </w:rPr>
      </w:pPr>
    </w:p>
    <w:p>
      <w:pPr>
        <w:pStyle w:val="2"/>
        <w:adjustRightInd w:val="0"/>
        <w:snapToGrid w:val="0"/>
        <w:spacing w:before="0" w:after="0" w:line="560" w:lineRule="exact"/>
        <w:ind w:firstLineChars="200" w:firstLine="640"/>
        <w:rPr>
          <w:rStyle w:val="2Char"/>
          <w:rFonts w:ascii="仿宋" w:eastAsia="仿宋" w:hint="eastAsia"/>
          <w:b/>
          <w:bCs/>
        </w:rPr>
      </w:pPr>
      <w:bookmarkStart w:id="16" w:name="_Toc79163602"/>
      <w:bookmarkStart w:id="17" w:name="_Toc15396600"/>
      <w:bookmarkStart w:id="18" w:name="_Toc79163852"/>
      <w:bookmarkStart w:id="19" w:name="_Toc15377197"/>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8446"/>
      <w:bookmarkStart w:id="22" w:name="_Toc1537719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val="en-US" w:eastAsia="zh-CN"/>
        </w:rPr>
        <w:t>沙耳</w:t>
      </w:r>
      <w:r>
        <w:rPr>
          <w:rFonts w:ascii="仿宋_GB2312" w:eastAsia="仿宋_GB2312" w:cs="仿宋_GB2312" w:hint="eastAsia"/>
          <w:sz w:val="32"/>
          <w:szCs w:val="32"/>
        </w:rPr>
        <w:t>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color w:val="000000"/>
        </w:rPr>
        <w:t>202</w:t>
      </w:r>
      <w:r>
        <w:rPr>
          <w:rFonts w:ascii="楷体" w:eastAsia="楷体" w:cs="楷体" w:hint="eastAsia"/>
          <w:color w:val="000000"/>
          <w:lang w:val="en-US" w:eastAsia="zh-CN"/>
        </w:rPr>
        <w:t>1</w:t>
      </w:r>
      <w:r>
        <w:rPr>
          <w:rFonts w:ascii="楷体" w:eastAsia="楷体" w:cs="楷体" w:hint="eastAsia"/>
          <w:color w:val="000000"/>
        </w:rPr>
        <w:t>年重点工作完成情况</w:t>
      </w:r>
      <w:bookmarkEnd w:id="21"/>
      <w:bookmarkEnd w:id="22"/>
      <w:bookmarkEnd w:id="24"/>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Chars="200" w:firstLine="640"/>
        <w:textAlignment w:val="auto"/>
        <w:outlineLvl w:val="9"/>
        <w:rPr>
          <w:rFonts w:ascii="仿宋_GB2312" w:eastAsia="仿宋_GB2312" w:cs="??_GB2312" w:hint="eastAsia"/>
          <w:color w:val="auto"/>
          <w:sz w:val="32"/>
          <w:szCs w:val="32"/>
          <w:shd w:val="clear" w:color="auto" w:fill="FFFFFF"/>
          <w:lang w:val="en-US" w:eastAsia="zh-CN"/>
        </w:rPr>
      </w:pPr>
      <w:bookmarkStart w:id="25" w:name="_Toc15377200"/>
      <w:r>
        <w:rPr>
          <w:rFonts w:ascii="仿宋_GB2312" w:eastAsia="仿宋_GB2312" w:cs="??_GB2312" w:hint="eastAsia"/>
          <w:color w:val="auto"/>
          <w:sz w:val="32"/>
          <w:szCs w:val="32"/>
          <w:shd w:val="clear" w:color="auto" w:fill="FFFFFF"/>
          <w:lang w:val="en-US" w:eastAsia="zh-CN"/>
        </w:rPr>
        <w:t>在县委、县政府和乡党委的坚强领导下，乡人民政府</w:t>
      </w:r>
      <w:r>
        <w:rPr>
          <w:rFonts w:eastAsia="仿宋_GB2312" w:hint="eastAsia"/>
          <w:color w:val="auto"/>
          <w:sz w:val="32"/>
          <w:szCs w:val="32"/>
          <w:shd w:val="clear" w:color="auto" w:fill="FFFFFF"/>
          <w:lang w:val="en-US" w:eastAsia="zh-CN"/>
        </w:rPr>
        <w:t>坚持以习近平新时代中国特色社会主义思想为指导</w:t>
      </w:r>
      <w:r>
        <w:rPr>
          <w:rFonts w:ascii="仿宋" w:eastAsia="仿宋" w:cs="??_GB2312" w:hint="eastAsia"/>
          <w:color w:val="auto"/>
          <w:sz w:val="32"/>
          <w:szCs w:val="32"/>
          <w:shd w:val="clear" w:color="auto" w:fill="FFFFFF"/>
          <w:lang w:val="en-US" w:eastAsia="zh-CN"/>
        </w:rPr>
        <w:t>，</w:t>
      </w:r>
      <w:r>
        <w:rPr>
          <w:rFonts w:ascii="仿宋_GB2312" w:eastAsia="仿宋_GB2312" w:cs="??_GB2312" w:hint="eastAsia"/>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pPr>
        <w:pStyle w:val="1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二是</w:t>
      </w:r>
      <w:r>
        <w:rPr>
          <w:rFonts w:eastAsia="仿宋_GB2312" w:hint="eastAsia"/>
          <w:color w:val="auto"/>
          <w:sz w:val="32"/>
          <w:szCs w:val="32"/>
          <w:shd w:val="clear" w:color="auto" w:fill="FFFFFF"/>
          <w:lang w:val="en-US" w:eastAsia="zh-CN"/>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仿宋_GB2312" w:eastAsia="仿宋_GB2312" w:cs="??_GB2312" w:hint="eastAsia"/>
          <w:color w:val="auto"/>
          <w:sz w:val="32"/>
          <w:szCs w:val="32"/>
          <w:shd w:val="clear" w:color="auto" w:fill="FFFFFF"/>
          <w:lang w:val="en-US" w:eastAsia="zh-CN"/>
        </w:rPr>
      </w:pPr>
      <w:r>
        <w:rPr>
          <w:rFonts w:eastAsia="仿宋_GB2312" w:hint="eastAsia"/>
          <w:color w:val="auto"/>
          <w:sz w:val="32"/>
          <w:szCs w:val="32"/>
          <w:shd w:val="clear" w:color="auto" w:fill="FFFFFF"/>
          <w:lang w:val="en-US" w:eastAsia="zh-CN"/>
        </w:rPr>
        <w:t>三是</w:t>
      </w:r>
      <w:r>
        <w:rPr>
          <w:rFonts w:ascii="仿宋_GB2312" w:eastAsia="仿宋_GB2312" w:cs="??_GB2312" w:hint="eastAsia"/>
          <w:color w:val="auto"/>
          <w:sz w:val="32"/>
          <w:szCs w:val="32"/>
          <w:shd w:val="clear" w:color="auto" w:fill="FFFFFF"/>
          <w:lang w:val="en-US" w:eastAsia="zh-CN"/>
        </w:rPr>
        <w:t>围绕项目建设主线，着力优化发展环境，下好项目建设“先手棋”，五年来，我乡争取基础设施建设项目总投资2.631亿元，有力助推经济社会跨越发展。</w:t>
      </w:r>
    </w:p>
    <w:p>
      <w:pPr>
        <w:pStyle w:val="1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rFonts w:ascii="仿宋_GB2312" w:eastAsia="仿宋_GB2312" w:cs="仿宋_GB2312" w:hint="eastAsia"/>
          <w:b w:val="0"/>
          <w:bCs w:val="0"/>
          <w:color w:val="000000"/>
          <w:sz w:val="32"/>
          <w:szCs w:val="32"/>
          <w:shd w:val="clear" w:color="auto" w:fill="FFFFFF"/>
          <w:lang w:val="en-US" w:eastAsia="zh-CN"/>
        </w:rPr>
      </w:pPr>
      <w:r>
        <w:rPr>
          <w:rFonts w:ascii="仿宋_GB2312" w:eastAsia="仿宋_GB2312" w:cs="??_GB2312" w:hint="eastAsia"/>
          <w:color w:val="auto"/>
          <w:sz w:val="32"/>
          <w:szCs w:val="32"/>
          <w:shd w:val="clear" w:color="auto" w:fill="FFFFFF"/>
          <w:lang w:val="en-US" w:eastAsia="zh-CN"/>
        </w:rPr>
        <w:t>四是</w:t>
      </w:r>
      <w:r>
        <w:rPr>
          <w:rFonts w:ascii="仿宋_GB2312" w:eastAsia="仿宋_GB2312" w:cs="仿宋_GB2312" w:hint="eastAsia"/>
          <w:kern w:val="0"/>
          <w:sz w:val="32"/>
          <w:szCs w:val="32"/>
          <w:lang w:val="en-US" w:eastAsia="zh-CN"/>
        </w:rPr>
        <w:t>始终坚持以习近平生态文明思想为指引，认真践行“绿水青山就是金山银山</w:t>
      </w:r>
      <w:r>
        <w:rPr>
          <w:rFonts w:ascii="仿宋_GB2312" w:eastAsia="仿宋_GB2312" w:cs="仿宋_GB2312" w:hint="eastAsia"/>
          <w:b w:val="0"/>
          <w:bCs w:val="0"/>
          <w:color w:val="000000"/>
          <w:sz w:val="32"/>
          <w:szCs w:val="32"/>
          <w:shd w:val="clear" w:color="auto" w:fill="FFFFFF"/>
          <w:lang w:val="en-US" w:eastAsia="zh-CN"/>
        </w:rPr>
        <w:t>”</w:t>
      </w:r>
      <w:r>
        <w:rPr>
          <w:rFonts w:ascii="仿宋_GB2312" w:eastAsia="仿宋_GB2312" w:cs="仿宋_GB2312" w:hint="eastAsia"/>
          <w:b w:val="0"/>
          <w:bCs w:val="0"/>
          <w:color w:val="000000"/>
          <w:sz w:val="32"/>
          <w:szCs w:val="32"/>
          <w:shd w:val="clear" w:color="auto" w:fill="FFFFFF"/>
        </w:rPr>
        <w:t>“重在保护、要在治理、高质量发展”</w:t>
      </w:r>
      <w:r>
        <w:rPr>
          <w:rFonts w:ascii="仿宋_GB2312" w:eastAsia="仿宋_GB2312" w:cs="仿宋_GB2312" w:hint="eastAsia"/>
          <w:b w:val="0"/>
          <w:bCs w:val="0"/>
          <w:color w:val="000000"/>
          <w:sz w:val="32"/>
          <w:szCs w:val="32"/>
          <w:shd w:val="clear" w:color="auto" w:fill="FFFFFF"/>
          <w:lang w:val="en-US" w:eastAsia="zh-CN"/>
        </w:rPr>
        <w:t>理念，切实把生态环境保护摆在压倒性</w:t>
      </w:r>
      <w:r>
        <w:rPr>
          <w:rFonts w:ascii="仿宋_GB2312" w:eastAsia="仿宋_GB2312" w:cs="??_GB2312" w:hint="eastAsia"/>
          <w:color w:val="auto"/>
          <w:sz w:val="32"/>
          <w:szCs w:val="32"/>
          <w:shd w:val="clear" w:color="auto" w:fill="FFFFFF"/>
          <w:lang w:val="en-US" w:eastAsia="zh-CN"/>
        </w:rPr>
        <w:t>位置</w:t>
      </w:r>
      <w:r>
        <w:rPr>
          <w:rFonts w:ascii="仿宋_GB2312" w:eastAsia="仿宋_GB2312" w:cs="仿宋_GB2312" w:hint="eastAsia"/>
          <w:b w:val="0"/>
          <w:bCs w:val="0"/>
          <w:color w:val="000000"/>
          <w:sz w:val="32"/>
          <w:szCs w:val="32"/>
          <w:shd w:val="clear" w:color="auto" w:fill="FFFFFF"/>
          <w:lang w:val="en-US" w:eastAsia="zh-CN"/>
        </w:rPr>
        <w:t>，共抓大保护、不搞大开发。</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eastAsia="仿宋_GB2312" w:hint="eastAsia"/>
          <w:color w:val="auto"/>
          <w:sz w:val="32"/>
          <w:szCs w:val="32"/>
          <w:shd w:val="clear" w:color="auto" w:fill="FFFFFF"/>
          <w:lang w:val="en-US" w:eastAsia="zh-CN"/>
        </w:rPr>
      </w:pPr>
      <w:r>
        <w:rPr>
          <w:rFonts w:ascii="仿宋_GB2312" w:eastAsia="仿宋_GB2312" w:cs="仿宋_GB2312" w:hint="eastAsia"/>
          <w:b w:val="0"/>
          <w:bCs w:val="0"/>
          <w:color w:val="000000"/>
          <w:sz w:val="32"/>
          <w:szCs w:val="32"/>
          <w:shd w:val="clear" w:color="auto" w:fill="FFFFFF"/>
          <w:lang w:val="en-US" w:eastAsia="zh-CN"/>
        </w:rPr>
        <w:t>五是</w:t>
      </w:r>
      <w:r>
        <w:rPr>
          <w:rFonts w:eastAsia="仿宋_GB2312" w:hint="eastAsia"/>
          <w:color w:val="auto"/>
          <w:sz w:val="32"/>
          <w:szCs w:val="32"/>
          <w:shd w:val="clear" w:color="auto" w:fill="FFFFFF"/>
          <w:lang w:val="en-US" w:eastAsia="zh-CN"/>
        </w:rPr>
        <w:t>坚定贯彻总体国家安全观，旗帜鲜明开展反分维稳斗争，“扫黑除恶”专项斗争强力推进，“天</w:t>
      </w:r>
      <w:r>
        <w:rPr>
          <w:rFonts w:eastAsia="仿宋_GB2312"/>
          <w:color w:val="auto"/>
          <w:sz w:val="32"/>
          <w:szCs w:val="32"/>
          <w:shd w:val="clear" w:color="auto" w:fill="FFFFFF"/>
          <w:lang w:val="en-US" w:eastAsia="zh-CN"/>
        </w:rPr>
        <w:t>网</w:t>
      </w:r>
      <w:r>
        <w:rPr>
          <w:rFonts w:eastAsia="仿宋_GB2312" w:hint="eastAsia"/>
          <w:color w:val="auto"/>
          <w:sz w:val="32"/>
          <w:szCs w:val="32"/>
          <w:shd w:val="clear" w:color="auto" w:fill="FFFFFF"/>
          <w:lang w:val="en-US" w:eastAsia="zh-CN"/>
        </w:rPr>
        <w:t>”“雪亮”工程拓展延伸，平安防线牢不可破，“两</w:t>
      </w:r>
      <w:r>
        <w:rPr>
          <w:rFonts w:eastAsia="仿宋_GB2312"/>
          <w:color w:val="auto"/>
          <w:sz w:val="32"/>
          <w:szCs w:val="32"/>
          <w:shd w:val="clear" w:color="auto" w:fill="FFFFFF"/>
          <w:lang w:val="en-US" w:eastAsia="zh-CN"/>
        </w:rPr>
        <w:t>项</w:t>
      </w:r>
      <w:r>
        <w:rPr>
          <w:rFonts w:eastAsia="仿宋_GB2312" w:hint="eastAsia"/>
          <w:color w:val="auto"/>
          <w:sz w:val="32"/>
          <w:szCs w:val="32"/>
          <w:shd w:val="clear" w:color="auto" w:fill="FFFFFF"/>
          <w:lang w:val="en-US" w:eastAsia="zh-CN"/>
        </w:rPr>
        <w:t>”改革调整优化2个村。</w:t>
      </w:r>
    </w:p>
    <w:p>
      <w:pPr>
        <w:pStyle w:val="15"/>
        <w:keepNext w:val="0"/>
        <w:keepLines w:val="0"/>
        <w:pageBreakBefore w:val="0"/>
        <w:widowControl w:val="0"/>
        <w:kinsoku/>
        <w:wordWrap/>
        <w:overflowPunct/>
        <w:topLinePunct w:val="0"/>
        <w:autoSpaceDE/>
        <w:autoSpaceDN/>
        <w:bidi w:val="0"/>
        <w:adjustRightInd/>
        <w:snapToGrid/>
        <w:spacing w:line="560" w:lineRule="exact"/>
        <w:ind w:leftChars="0" w:left="0" w:firstLineChars="200" w:firstLine="640"/>
        <w:textAlignment w:val="auto"/>
        <w:outlineLvl w:val="9"/>
        <w:rPr>
          <w:lang w:val="en-US"/>
        </w:rPr>
      </w:pPr>
      <w:r>
        <w:rPr>
          <w:rFonts w:eastAsia="仿宋_GB2312" w:hint="eastAsia"/>
          <w:color w:val="auto"/>
          <w:sz w:val="32"/>
          <w:szCs w:val="32"/>
          <w:shd w:val="clear" w:color="auto" w:fill="FFFFFF"/>
          <w:lang w:val="en-US" w:eastAsia="zh-CN"/>
        </w:rPr>
        <w:t>六是</w:t>
      </w:r>
      <w:r>
        <w:rPr>
          <w:rFonts w:ascii="仿宋_GB2312" w:eastAsia="仿宋_GB2312" w:cs="仿宋_GB2312" w:hint="eastAsia"/>
          <w:sz w:val="32"/>
          <w:szCs w:val="32"/>
          <w:lang w:val="en-US" w:eastAsia="zh-CN"/>
        </w:rPr>
        <w:t>近两年来，持续强降雨致使全乡境内基础设施、农作物、房屋等财产遭受严重损毁，全乡百姓生命财产安全遭受严重威胁，防汛工作经受严重考验。全乡累计受灾438户1432人，</w:t>
      </w:r>
      <w:r>
        <w:rPr>
          <w:rStyle w:val="29"/>
          <w:rFonts w:ascii="仿宋_GB2312" w:eastAsia="仿宋_GB2312" w:cs="仿宋_GB2312" w:hint="eastAsia"/>
          <w:b w:val="0"/>
          <w:bCs w:val="0"/>
          <w:kern w:val="2"/>
          <w:sz w:val="32"/>
          <w:szCs w:val="32"/>
          <w:lang w:val="en-US" w:eastAsia="zh-CN" w:bidi="ar-SA"/>
        </w:rPr>
        <w:t>造成经济损失4274.25万元。我们始终坚持把守护人民群众的生命财产安全作为践行初心使命、体现责任担当的试金石。</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End w:id="26"/>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lang w:val="en-US" w:eastAsia="zh-CN"/>
        </w:rPr>
        <w:t>1</w:t>
      </w:r>
      <w:r>
        <w:rPr>
          <w:rFonts w:ascii="仿宋_GB2312" w:eastAsia="仿宋_GB2312" w:cs="仿宋_GB2312" w:hint="eastAsia"/>
          <w:bCs/>
          <w:sz w:val="32"/>
        </w:rPr>
        <w:t>年有</w:t>
      </w:r>
      <w:r>
        <w:rPr>
          <w:rFonts w:ascii="仿宋_GB2312" w:eastAsia="仿宋_GB2312" w:cs="仿宋_GB2312" w:hint="eastAsia"/>
          <w:bCs/>
          <w:sz w:val="32"/>
          <w:lang w:val="en-US" w:eastAsia="zh-CN"/>
        </w:rPr>
        <w:t>2</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41</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行政人员增加2</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事业人员增加7人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8</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23</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16</w:t>
      </w:r>
      <w:r>
        <w:rPr>
          <w:rFonts w:ascii="仿宋_GB2312" w:eastAsia="仿宋_GB2312" w:cs="仿宋_GB2312" w:hint="eastAsia"/>
          <w:bCs/>
          <w:sz w:val="32"/>
        </w:rPr>
        <w:t>人）。</w:t>
      </w:r>
    </w:p>
    <w:p>
      <w:pPr>
        <w:spacing w:line="560" w:lineRule="exact"/>
        <w:ind w:left="0"/>
      </w:pPr>
    </w:p>
    <w:p>
      <w:pPr>
        <w:pStyle w:val="1"/>
        <w:spacing w:before="0" w:after="0" w:line="560" w:lineRule="exact"/>
        <w:ind w:left="0"/>
        <w:jc w:val="center"/>
        <w:rPr>
          <w:rFonts w:ascii="黑体" w:eastAsia="黑体" w:hint="eastAsia"/>
          <w:color w:val="000000"/>
          <w:sz w:val="32"/>
          <w:szCs w:val="32"/>
        </w:rPr>
      </w:pPr>
      <w:bookmarkStart w:id="27" w:name="_Toc79163859"/>
      <w:bookmarkStart w:id="28" w:name="_Toc15396602"/>
      <w:bookmarkStart w:id="29" w:name="_Toc79163609"/>
      <w:bookmarkStart w:id="30" w:name="_Toc15377204"/>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bCs/>
        </w:rPr>
        <w:t>2021年度部门决算情况说明</w:t>
      </w:r>
      <w:bookmarkStart w:id="31" w:name="_Toc79163860"/>
      <w:bookmarkStart w:id="32" w:name="_Toc15377205"/>
      <w:bookmarkStart w:id="33" w:name="_Toc15396603"/>
      <w:bookmarkStart w:id="34" w:name="_Toc79163610"/>
      <w:bookmarkEnd w:id="27"/>
      <w:bookmarkEnd w:id="28"/>
      <w:bookmarkEnd w:id="29"/>
      <w:bookmarkEnd w:id="30"/>
    </w:p>
    <w:p>
      <w:pPr>
        <w:pStyle w:val="30"/>
        <w:ind w:left="0" w:firstLineChars="200" w:firstLine="640"/>
        <w:outlineLvl w:val="1"/>
        <w:rPr>
          <w:rStyle w:val="2Char"/>
          <w:rFonts w:ascii="黑体" w:eastAsia="黑体"/>
          <w:b w:val="0"/>
        </w:rPr>
      </w:pPr>
      <w:bookmarkStart w:id="35" w:name="_Toc14461"/>
      <w:bookmarkStart w:id="36" w:name="_Toc79163867"/>
      <w:bookmarkStart w:id="37" w:name="_Toc79163617"/>
      <w:bookmarkStart w:id="38" w:name="_Toc15377212"/>
      <w:bookmarkEnd w:id="31"/>
      <w:bookmarkEnd w:id="32"/>
      <w:bookmarkEnd w:id="33"/>
      <w:bookmarkEnd w:id="34"/>
      <w:r>
        <w:rPr>
          <w:rFonts w:ascii="黑体" w:eastAsia="黑体" w:hint="eastAsia"/>
          <w:color w:val="000000"/>
          <w:sz w:val="32"/>
          <w:szCs w:val="32"/>
          <w:lang w:eastAsia="zh-CN"/>
        </w:rPr>
        <w:t>一、</w:t>
      </w:r>
      <w:r>
        <w:rPr>
          <w:rFonts w:ascii="黑体" w:eastAsia="黑体" w:hint="eastAsia"/>
          <w:color w:val="000000"/>
          <w:sz w:val="32"/>
          <w:szCs w:val="32"/>
        </w:rPr>
        <w:t>收</w:t>
      </w:r>
      <w:r>
        <w:rPr>
          <w:rStyle w:val="2Char"/>
          <w:rFonts w:ascii="黑体" w:eastAsia="黑体" w:hint="eastAsia"/>
          <w:b w:val="0"/>
        </w:rPr>
        <w:t>入支出决算总体情况说明</w:t>
      </w:r>
      <w:bookmarkEnd w:id="35"/>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1004.49</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293.05</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41.19</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napToGrid w:val="0"/>
        <w:spacing w:line="520" w:lineRule="exact"/>
        <w:ind w:firstLineChars="200" w:firstLine="632"/>
        <w:rPr>
          <w:rFonts w:ascii="仿宋" w:eastAsia="仿宋"/>
          <w:sz w:val="32"/>
          <w:szCs w:val="32"/>
        </w:rPr>
      </w:pP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1022.49</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增加329.06</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增加47.45</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308610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6"/>
              </a:graphicData>
            </a:graphic>
          </wp:anchor>
        </w:drawing>
      </w:r>
      <w:bookmarkStart w:id="39" w:name="_Toc15377206"/>
      <w:r>
        <w:rPr>
          <w:rFonts w:ascii="黑体" w:eastAsia="黑体" w:hint="eastAsia"/>
          <w:color w:val="000000"/>
          <w:sz w:val="32"/>
          <w:szCs w:val="32"/>
        </w:rPr>
        <w:t>二、收入决</w:t>
      </w:r>
      <w:r>
        <w:rPr>
          <w:rStyle w:val="2Char"/>
          <w:rFonts w:ascii="黑体" w:eastAsia="黑体" w:hint="eastAsia"/>
          <w:b w:val="0"/>
        </w:rPr>
        <w:t>算情况说明</w:t>
      </w:r>
      <w:bookmarkEnd w:id="39"/>
    </w:p>
    <w:p>
      <w:pPr>
        <w:spacing w:line="600" w:lineRule="exact"/>
        <w:ind w:firstLineChars="200" w:firstLine="640"/>
        <w:outlineLvl w:val="1"/>
        <w:rPr>
          <w:rFonts w:ascii="仿宋" w:eastAsia="仿宋"/>
          <w:color w:val="000000"/>
          <w:sz w:val="32"/>
          <w:szCs w:val="32"/>
        </w:rPr>
      </w:pPr>
      <w:bookmarkStart w:id="40" w:name="_Toc22912"/>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1004.49万</w:t>
      </w:r>
      <w:r>
        <w:rPr>
          <w:rFonts w:ascii="仿宋" w:eastAsia="仿宋" w:hint="eastAsia"/>
          <w:color w:val="000000"/>
          <w:sz w:val="32"/>
          <w:szCs w:val="32"/>
        </w:rPr>
        <w:t>元，其中：一般公共预算财政拨款收入</w:t>
      </w:r>
      <w:r>
        <w:rPr>
          <w:rFonts w:ascii="仿宋_GB2312" w:eastAsia="仿宋" w:hAnsi="仿宋_GB2312" w:hint="eastAsia"/>
          <w:color w:val="000000"/>
          <w:sz w:val="32"/>
          <w:szCs w:val="32"/>
          <w:shd w:val="clear" w:color="auto" w:fill="FFFFFF"/>
          <w14:textFill>
            <w14:solidFill>
              <w14:srgbClr w14:val="000000"/>
            </w14:solidFill>
          </w14:textFill>
          <w:lang w:val="en-US" w:eastAsia="zh-CN"/>
        </w:rPr>
        <w:t>1004.49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40"/>
    </w:p>
    <w:p>
      <w:pPr>
        <w:spacing w:line="600" w:lineRule="exact"/>
        <w:ind w:firstLineChars="200" w:firstLine="640"/>
        <w:outlineLvl w:val="1"/>
        <w:rPr>
          <w:rStyle w:val="2Char"/>
          <w:rFonts w:ascii="黑体" w:eastAsia="黑体"/>
          <w:b w:val="0"/>
        </w:rPr>
      </w:pPr>
      <w:bookmarkStart w:id="41" w:name="_Toc4194"/>
      <w:r>
        <w:rPr>
          <w:rFonts w:ascii="黑体" w:eastAsia="黑体" w:hint="eastAsia"/>
          <w:color w:val="000000"/>
          <w:sz w:val="32"/>
          <w:szCs w:val="32"/>
        </w:rPr>
        <w:drawing>
          <wp:anchor distT="0" distB="0" distL="114300" distR="114300" simplePos="0" relativeHeight="22" behindDoc="0" locked="0" layoutInCell="1" hidden="0" allowOverlap="1">
            <wp:simplePos x="0" y="0"/>
            <wp:positionH relativeFrom="column">
              <wp:posOffset>177165</wp:posOffset>
            </wp:positionH>
            <wp:positionV relativeFrom="paragraph">
              <wp:posOffset>147955</wp:posOffset>
            </wp:positionV>
            <wp:extent cx="4625340" cy="2552700"/>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7"/>
              </a:graphicData>
            </a:graphic>
          </wp:anchor>
        </w:drawing>
      </w:r>
      <w:bookmarkStart w:id="42" w:name="_Toc15377207"/>
      <w:r>
        <w:rPr>
          <w:rFonts w:ascii="黑体" w:eastAsia="黑体" w:hint="eastAsia"/>
          <w:color w:val="000000"/>
          <w:sz w:val="32"/>
          <w:szCs w:val="32"/>
        </w:rPr>
        <w:t>三、支出决</w:t>
      </w:r>
      <w:r>
        <w:rPr>
          <w:rStyle w:val="2Char"/>
          <w:rFonts w:ascii="黑体" w:eastAsia="黑体" w:hint="eastAsia"/>
          <w:b w:val="0"/>
        </w:rPr>
        <w:t>算情况说明</w:t>
      </w:r>
      <w:bookmarkEnd w:id="41"/>
      <w:bookmarkEnd w:id="42"/>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年本年总支出</w:t>
      </w:r>
      <w:r>
        <w:rPr>
          <w:rFonts w:ascii="仿宋_GB2312" w:eastAsia="仿宋_GB2312" w:hint="eastAsia"/>
          <w:spacing w:val="-2"/>
          <w:sz w:val="32"/>
          <w:szCs w:val="32"/>
          <w:lang w:val="en-US" w:eastAsia="zh-CN"/>
        </w:rPr>
        <w:t>1022.49</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731.4</w:t>
      </w:r>
      <w:r>
        <w:rPr>
          <w:rFonts w:ascii="仿宋" w:eastAsia="仿宋" w:hint="eastAsia"/>
          <w:color w:val="000000"/>
          <w:sz w:val="32"/>
          <w:szCs w:val="32"/>
        </w:rPr>
        <w:t>万元，占</w:t>
      </w:r>
      <w:r>
        <w:rPr>
          <w:rFonts w:ascii="仿宋" w:eastAsia="仿宋" w:hint="eastAsia"/>
          <w:color w:val="000000"/>
          <w:sz w:val="32"/>
          <w:szCs w:val="32"/>
          <w:lang w:val="en-US" w:eastAsia="zh-CN"/>
        </w:rPr>
        <w:t>71.53</w:t>
      </w:r>
      <w:r>
        <w:rPr>
          <w:rFonts w:ascii="仿宋" w:eastAsia="仿宋" w:hint="eastAsia"/>
          <w:color w:val="000000"/>
          <w:sz w:val="32"/>
          <w:szCs w:val="32"/>
        </w:rPr>
        <w:t>%；项目支出</w:t>
      </w:r>
      <w:r>
        <w:rPr>
          <w:rFonts w:ascii="仿宋" w:eastAsia="仿宋" w:hint="eastAsia"/>
          <w:color w:val="000000"/>
          <w:sz w:val="32"/>
          <w:szCs w:val="32"/>
          <w:lang w:val="en-US" w:eastAsia="zh-CN"/>
        </w:rPr>
        <w:t>291.09</w:t>
      </w:r>
      <w:r>
        <w:rPr>
          <w:rFonts w:ascii="仿宋" w:eastAsia="仿宋" w:hint="eastAsia"/>
          <w:color w:val="000000"/>
          <w:sz w:val="32"/>
          <w:szCs w:val="32"/>
        </w:rPr>
        <w:t>万元，占</w:t>
      </w:r>
      <w:r>
        <w:rPr>
          <w:rFonts w:ascii="仿宋" w:eastAsia="仿宋" w:hint="eastAsia"/>
          <w:color w:val="000000"/>
          <w:sz w:val="32"/>
          <w:szCs w:val="32"/>
          <w:lang w:val="en-US" w:eastAsia="zh-CN"/>
        </w:rPr>
        <w:t>28.47</w:t>
      </w:r>
      <w:r>
        <w:rPr>
          <w:rFonts w:ascii="仿宋" w:eastAsia="仿宋" w:hint="eastAsia"/>
          <w:color w:val="000000"/>
          <w:sz w:val="32"/>
          <w:szCs w:val="32"/>
        </w:rPr>
        <w:t>%</w:t>
      </w:r>
      <w:r>
        <w:rPr>
          <w:rFonts w:ascii="仿宋" w:eastAsia="仿宋" w:hint="eastAsia"/>
          <w:color w:val="000000"/>
          <w:sz w:val="32"/>
          <w:szCs w:val="32"/>
          <w:lang w:val="en-US" w:eastAsia="zh-CN"/>
        </w:rPr>
        <w:t>。</w:t>
      </w:r>
    </w:p>
    <w:p>
      <w:pPr>
        <w:pStyle w:val="15"/>
        <w:rPr>
          <w:lang w:val="en-US"/>
        </w:rPr>
      </w:pPr>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-160020</wp:posOffset>
            </wp:positionH>
            <wp:positionV relativeFrom="paragraph">
              <wp:posOffset>469900</wp:posOffset>
            </wp:positionV>
            <wp:extent cx="5373369"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00" w:firstLine="640"/>
        <w:outlineLvl w:val="1"/>
        <w:rPr>
          <w:rStyle w:val="2Char"/>
          <w:rFonts w:ascii="黑体" w:eastAsia="黑体"/>
          <w:b w:val="0"/>
        </w:rPr>
      </w:pPr>
      <w:bookmarkStart w:id="43" w:name="_Toc27948"/>
      <w:bookmarkStart w:id="44"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3"/>
      <w:bookmarkEnd w:id="44"/>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1004.49</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293.05</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41.19</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lang w:val="en-US" w:eastAsia="zh-CN"/>
        </w:rPr>
        <w:t>1</w:t>
      </w:r>
      <w:r>
        <w:rPr>
          <w:rFonts w:ascii="仿宋_GB2312" w:eastAsia="仿宋_GB2312" w:hint="eastAsia"/>
          <w:color w:val="000000"/>
          <w:spacing w:val="-2"/>
          <w:sz w:val="32"/>
          <w:szCs w:val="32"/>
        </w:rPr>
        <w:t>年人员增加，工资变动。</w:t>
      </w:r>
    </w:p>
    <w:p>
      <w:pPr>
        <w:spacing w:line="600" w:lineRule="exact"/>
        <w:ind w:firstLineChars="200" w:firstLine="632"/>
        <w:rPr>
          <w:rFonts w:ascii="仿宋_GB2312" w:eastAsia="仿宋_GB2312" w:hint="eastAsia"/>
          <w:spacing w:val="-2"/>
          <w:sz w:val="32"/>
          <w:szCs w:val="32"/>
        </w:rPr>
      </w:pP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年总支出</w:t>
      </w:r>
      <w:r>
        <w:rPr>
          <w:rFonts w:ascii="仿宋_GB2312" w:eastAsia="仿宋_GB2312" w:hint="eastAsia"/>
          <w:spacing w:val="-2"/>
          <w:sz w:val="32"/>
          <w:szCs w:val="32"/>
          <w:lang w:val="en-US" w:eastAsia="zh-CN"/>
        </w:rPr>
        <w:t>1022.49</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增加329.06</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增加47.45</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16"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9"/>
              </a:graphicData>
            </a:graphic>
          </wp:anchor>
        </w:drawing>
      </w: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p>
    <w:p>
      <w:pPr>
        <w:spacing w:line="600" w:lineRule="exact"/>
        <w:ind w:firstLineChars="200" w:firstLine="640"/>
        <w:outlineLvl w:val="2"/>
        <w:rPr>
          <w:rFonts w:ascii="仿宋" w:eastAsia="仿宋"/>
          <w:b/>
          <w:color w:val="000000"/>
          <w:sz w:val="32"/>
          <w:szCs w:val="32"/>
        </w:rPr>
      </w:pPr>
      <w:bookmarkStart w:id="45" w:name="_Toc15377210"/>
      <w:r>
        <w:rPr>
          <w:rFonts w:ascii="仿宋" w:eastAsia="仿宋" w:hint="eastAsia"/>
          <w:b/>
          <w:color w:val="000000"/>
          <w:sz w:val="32"/>
          <w:szCs w:val="32"/>
        </w:rPr>
        <w:t>（一）一般公共预算财政拨款支出决算总体情况</w:t>
      </w:r>
      <w:bookmarkEnd w:id="45"/>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1022.49</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支出较上年支出</w:t>
      </w:r>
      <w:r>
        <w:rPr>
          <w:rFonts w:ascii="仿宋_GB2312" w:eastAsia="仿宋_GB2312" w:hint="eastAsia"/>
          <w:spacing w:val="-2"/>
          <w:sz w:val="32"/>
          <w:szCs w:val="32"/>
          <w:lang w:val="en-US" w:eastAsia="zh-CN"/>
        </w:rPr>
        <w:t>增加329.06</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增加47.45</w:t>
      </w:r>
      <w:r>
        <w:rPr>
          <w:rFonts w:ascii="仿宋_GB2312" w:eastAsia="仿宋_GB2312" w:hint="eastAsia"/>
          <w:spacing w:val="-2"/>
          <w:sz w:val="32"/>
          <w:szCs w:val="32"/>
        </w:rPr>
        <w:t>%。主要原因一是当年部门预算安排项目经费较上年有所</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；二是</w:t>
      </w:r>
      <w:r>
        <w:rPr>
          <w:rFonts w:ascii="仿宋_GB2312" w:eastAsia="仿宋_GB2312"/>
          <w:spacing w:val="-2"/>
          <w:sz w:val="32"/>
          <w:szCs w:val="32"/>
        </w:rPr>
        <w:t>202</w:t>
      </w:r>
      <w:r>
        <w:rPr>
          <w:rFonts w:ascii="仿宋_GB2312" w:eastAsia="仿宋_GB2312" w:hint="eastAsia"/>
          <w:spacing w:val="-2"/>
          <w:sz w:val="32"/>
          <w:szCs w:val="32"/>
          <w:lang w:val="en-US" w:eastAsia="zh-CN"/>
        </w:rPr>
        <w:t>1</w:t>
      </w:r>
      <w:r>
        <w:rPr>
          <w:rFonts w:ascii="仿宋_GB2312" w:eastAsia="仿宋_GB2312" w:hint="eastAsia"/>
          <w:spacing w:val="-2"/>
          <w:sz w:val="32"/>
          <w:szCs w:val="32"/>
        </w:rPr>
        <w:t>年人员增加经费支出</w:t>
      </w:r>
      <w:r>
        <w:rPr>
          <w:rFonts w:ascii="仿宋_GB2312" w:eastAsia="仿宋_GB2312" w:hint="eastAsia"/>
          <w:spacing w:val="-2"/>
          <w:sz w:val="32"/>
          <w:szCs w:val="32"/>
          <w:lang w:val="en-US" w:eastAsia="zh-CN"/>
        </w:rPr>
        <w:t>增加</w:t>
      </w:r>
      <w:r>
        <w:rPr>
          <w:rFonts w:ascii="仿宋_GB2312" w:eastAsia="仿宋_GB2312" w:hint="eastAsia"/>
          <w:spacing w:val="-2"/>
          <w:sz w:val="32"/>
          <w:szCs w:val="32"/>
        </w:rPr>
        <w:t>。</w:t>
      </w:r>
    </w:p>
    <w:p>
      <w:pPr>
        <w:spacing w:line="600" w:lineRule="exact"/>
        <w:outlineLvl w:val="2"/>
        <w:rPr>
          <w:rFonts w:ascii="仿宋" w:eastAsia="仿宋"/>
          <w:b/>
          <w:color w:val="000000"/>
          <w:sz w:val="32"/>
          <w:szCs w:val="32"/>
        </w:rPr>
      </w:pPr>
      <w:bookmarkStart w:id="46" w:name="_Toc15377211"/>
      <w:r>
        <w:rPr>
          <w:rFonts w:ascii="仿宋" w:eastAsia="仿宋" w:hint="eastAsia"/>
          <w:b/>
          <w:color w:val="000000"/>
          <w:sz w:val="32"/>
          <w:szCs w:val="32"/>
          <w:lang w:val="en-US" w:eastAsia="zh-CN"/>
        </w:rPr>
        <w:t xml:space="preserve">    （二）</w:t>
      </w:r>
      <w:r>
        <w:rPr>
          <w:rFonts w:ascii="仿宋" w:eastAsia="仿宋" w:hint="eastAsia"/>
          <w:b/>
          <w:color w:val="000000"/>
          <w:sz w:val="32"/>
          <w:szCs w:val="32"/>
        </w:rPr>
        <w:t>一般公共预算财政拨款支出决算结构情况</w:t>
      </w:r>
      <w:bookmarkEnd w:id="46"/>
    </w:p>
    <w:p>
      <w:pPr>
        <w:spacing w:line="600" w:lineRule="exact"/>
        <w:ind w:firstLineChars="200" w:firstLine="640"/>
        <w:outlineLvl w:val="2"/>
        <w:rPr>
          <w:rFonts w:ascii="仿宋" w:eastAsia="仿宋" w:hint="eastAsia"/>
          <w:bCs/>
          <w:color w:val="000000"/>
          <w:sz w:val="32"/>
          <w:szCs w:val="32"/>
          <w:lang w:eastAsia="zh-CN"/>
        </w:rPr>
      </w:pPr>
      <w:r>
        <w:rPr>
          <w:rFonts w:ascii="仿宋" w:eastAsia="仿宋"/>
          <w:bCs/>
          <w:color w:val="000000"/>
          <w:sz w:val="32"/>
          <w:szCs w:val="32"/>
          <w:highlight w:val="auto"/>
        </w:rPr>
        <w:t>202</w:t>
      </w:r>
      <w:r>
        <w:rPr>
          <w:rFonts w:ascii="仿宋" w:eastAsia="仿宋" w:hint="eastAsia"/>
          <w:bCs/>
          <w:color w:val="000000"/>
          <w:sz w:val="32"/>
          <w:szCs w:val="32"/>
          <w:lang w:val="en-US" w:eastAsia="zh-CN"/>
          <w:highlight w:val="auto"/>
        </w:rPr>
        <w:t>1</w:t>
      </w:r>
      <w:r>
        <w:rPr>
          <w:rFonts w:ascii="仿宋" w:eastAsia="仿宋" w:hint="eastAsia"/>
          <w:bCs/>
          <w:color w:val="000000"/>
          <w:sz w:val="32"/>
          <w:szCs w:val="32"/>
          <w:highlight w:val="auto"/>
        </w:rPr>
        <w:t>年一般公共预算财政拨款支出为</w:t>
      </w:r>
      <w:r>
        <w:rPr>
          <w:rFonts w:ascii="仿宋" w:eastAsia="仿宋" w:hint="eastAsia"/>
          <w:bCs/>
          <w:color w:val="000000"/>
          <w:sz w:val="32"/>
          <w:szCs w:val="32"/>
          <w:lang w:val="en-US" w:eastAsia="zh-CN"/>
          <w:highlight w:val="auto"/>
        </w:rPr>
        <w:t>1022.49</w:t>
      </w:r>
      <w:r>
        <w:rPr>
          <w:rFonts w:ascii="仿宋" w:eastAsia="仿宋" w:hint="eastAsia"/>
          <w:bCs/>
          <w:color w:val="000000"/>
          <w:sz w:val="32"/>
          <w:szCs w:val="32"/>
          <w:highlight w:val="auto"/>
        </w:rPr>
        <w:t>万元。其中：一般公共服务支出为</w:t>
      </w:r>
      <w:r>
        <w:rPr>
          <w:rFonts w:ascii="仿宋" w:eastAsia="仿宋" w:hint="eastAsia"/>
          <w:bCs/>
          <w:color w:val="000000"/>
          <w:sz w:val="32"/>
          <w:szCs w:val="32"/>
          <w:lang w:val="en-US" w:eastAsia="zh-CN"/>
          <w:highlight w:val="auto"/>
        </w:rPr>
        <w:t>448.05</w:t>
      </w:r>
      <w:r>
        <w:rPr>
          <w:rFonts w:ascii="仿宋" w:eastAsia="仿宋" w:hint="eastAsia"/>
          <w:bCs/>
          <w:color w:val="000000"/>
          <w:sz w:val="32"/>
          <w:szCs w:val="32"/>
          <w:highlight w:val="auto"/>
        </w:rPr>
        <w:t>万元，占比</w:t>
      </w:r>
      <w:r>
        <w:rPr>
          <w:rFonts w:ascii="仿宋" w:eastAsia="仿宋" w:hint="eastAsia"/>
          <w:bCs/>
          <w:color w:val="000000"/>
          <w:sz w:val="32"/>
          <w:szCs w:val="32"/>
          <w:lang w:val="en-US" w:eastAsia="zh-CN"/>
          <w:highlight w:val="auto"/>
        </w:rPr>
        <w:t>43.82</w:t>
      </w:r>
      <w:r>
        <w:rPr>
          <w:rFonts w:ascii="仿宋" w:eastAsia="仿宋" w:hint="eastAsia"/>
          <w:bCs/>
          <w:color w:val="000000"/>
          <w:sz w:val="32"/>
          <w:szCs w:val="32"/>
          <w:highlight w:val="auto"/>
        </w:rPr>
        <w:t>%；社会保障和就业支出为</w:t>
      </w:r>
      <w:r>
        <w:rPr>
          <w:rFonts w:ascii="仿宋" w:eastAsia="仿宋" w:hint="eastAsia"/>
          <w:bCs/>
          <w:color w:val="000000"/>
          <w:sz w:val="32"/>
          <w:szCs w:val="32"/>
          <w:lang w:val="en-US" w:eastAsia="zh-CN"/>
          <w:highlight w:val="auto"/>
        </w:rPr>
        <w:t>91.03</w:t>
      </w:r>
      <w:r>
        <w:rPr>
          <w:rFonts w:ascii="仿宋" w:eastAsia="仿宋" w:hint="eastAsia"/>
          <w:bCs/>
          <w:color w:val="000000"/>
          <w:sz w:val="32"/>
          <w:szCs w:val="32"/>
          <w:highlight w:val="auto"/>
        </w:rPr>
        <w:t>万元，占比</w:t>
      </w:r>
      <w:r>
        <w:rPr>
          <w:rFonts w:ascii="仿宋" w:eastAsia="仿宋" w:hint="eastAsia"/>
          <w:bCs/>
          <w:color w:val="000000"/>
          <w:sz w:val="32"/>
          <w:szCs w:val="32"/>
          <w:lang w:val="en-US" w:eastAsia="zh-CN"/>
          <w:highlight w:val="auto"/>
        </w:rPr>
        <w:t>8.9</w:t>
      </w:r>
      <w:r>
        <w:rPr>
          <w:rFonts w:ascii="仿宋" w:eastAsia="仿宋" w:hint="eastAsia"/>
          <w:bCs/>
          <w:color w:val="000000"/>
          <w:sz w:val="32"/>
          <w:szCs w:val="32"/>
          <w:highlight w:val="auto"/>
        </w:rPr>
        <w:t>%；卫生健康支出为</w:t>
      </w:r>
      <w:r>
        <w:rPr>
          <w:rFonts w:ascii="仿宋" w:eastAsia="仿宋" w:hint="eastAsia"/>
          <w:bCs/>
          <w:color w:val="000000"/>
          <w:sz w:val="32"/>
          <w:szCs w:val="32"/>
          <w:lang w:val="en-US" w:eastAsia="zh-CN"/>
          <w:highlight w:val="auto"/>
        </w:rPr>
        <w:t>34.94</w:t>
      </w:r>
      <w:r>
        <w:rPr>
          <w:rFonts w:ascii="仿宋" w:eastAsia="仿宋" w:hint="eastAsia"/>
          <w:bCs/>
          <w:color w:val="000000"/>
          <w:sz w:val="32"/>
          <w:szCs w:val="32"/>
          <w:highlight w:val="auto"/>
        </w:rPr>
        <w:t>万元，占比</w:t>
      </w:r>
      <w:r>
        <w:rPr>
          <w:rFonts w:ascii="仿宋" w:eastAsia="仿宋" w:hint="eastAsia"/>
          <w:bCs/>
          <w:color w:val="000000"/>
          <w:sz w:val="32"/>
          <w:szCs w:val="32"/>
          <w:lang w:val="en-US" w:eastAsia="zh-CN"/>
          <w:highlight w:val="auto"/>
        </w:rPr>
        <w:t>3.42</w:t>
      </w:r>
      <w:r>
        <w:rPr>
          <w:rFonts w:ascii="仿宋" w:eastAsia="仿宋" w:hint="eastAsia"/>
          <w:bCs/>
          <w:color w:val="000000"/>
          <w:sz w:val="32"/>
          <w:szCs w:val="32"/>
          <w:highlight w:val="auto"/>
        </w:rPr>
        <w:t>%；农林水支出为</w:t>
      </w:r>
      <w:r>
        <w:rPr>
          <w:rFonts w:ascii="仿宋" w:eastAsia="仿宋" w:hint="eastAsia"/>
          <w:bCs/>
          <w:color w:val="000000"/>
          <w:sz w:val="32"/>
          <w:szCs w:val="32"/>
          <w:lang w:val="en-US" w:eastAsia="zh-CN"/>
          <w:highlight w:val="auto"/>
        </w:rPr>
        <w:t>329.5</w:t>
      </w:r>
      <w:r>
        <w:rPr>
          <w:rFonts w:ascii="仿宋" w:eastAsia="仿宋" w:hint="eastAsia"/>
          <w:bCs/>
          <w:color w:val="000000"/>
          <w:sz w:val="32"/>
          <w:szCs w:val="32"/>
          <w:highlight w:val="auto"/>
        </w:rPr>
        <w:t>万元，占比</w:t>
      </w:r>
      <w:r>
        <w:rPr>
          <w:rFonts w:ascii="仿宋" w:eastAsia="仿宋" w:hint="eastAsia"/>
          <w:bCs/>
          <w:color w:val="000000"/>
          <w:sz w:val="32"/>
          <w:szCs w:val="32"/>
          <w:lang w:val="en-US" w:eastAsia="zh-CN"/>
          <w:highlight w:val="auto"/>
        </w:rPr>
        <w:t>32.23</w:t>
      </w:r>
      <w:r>
        <w:rPr>
          <w:rFonts w:ascii="仿宋" w:eastAsia="仿宋" w:hint="eastAsia"/>
          <w:bCs/>
          <w:color w:val="000000"/>
          <w:sz w:val="32"/>
          <w:szCs w:val="32"/>
          <w:highlight w:val="auto"/>
        </w:rPr>
        <w:t>%；住房保障支出为</w:t>
      </w:r>
      <w:r>
        <w:rPr>
          <w:rFonts w:ascii="仿宋" w:eastAsia="仿宋" w:hint="eastAsia"/>
          <w:bCs/>
          <w:color w:val="000000"/>
          <w:sz w:val="32"/>
          <w:szCs w:val="32"/>
          <w:lang w:val="en-US" w:eastAsia="zh-CN"/>
          <w:highlight w:val="auto"/>
        </w:rPr>
        <w:t>55.66</w:t>
      </w:r>
      <w:r>
        <w:rPr>
          <w:rFonts w:ascii="仿宋" w:eastAsia="仿宋" w:hint="eastAsia"/>
          <w:bCs/>
          <w:color w:val="000000"/>
          <w:sz w:val="32"/>
          <w:szCs w:val="32"/>
          <w:highlight w:val="auto"/>
        </w:rPr>
        <w:t>万元，占比</w:t>
      </w:r>
      <w:r>
        <w:rPr>
          <w:rFonts w:ascii="仿宋" w:eastAsia="仿宋" w:hint="eastAsia"/>
          <w:bCs/>
          <w:color w:val="000000"/>
          <w:sz w:val="32"/>
          <w:szCs w:val="32"/>
          <w:lang w:val="en-US" w:eastAsia="zh-CN"/>
          <w:highlight w:val="auto"/>
        </w:rPr>
        <w:t>5.44</w:t>
      </w:r>
      <w:r>
        <w:rPr>
          <w:rFonts w:ascii="仿宋" w:eastAsia="仿宋" w:hint="eastAsia"/>
          <w:bCs/>
          <w:color w:val="000000"/>
          <w:sz w:val="32"/>
          <w:szCs w:val="32"/>
          <w:highlight w:val="auto"/>
        </w:rPr>
        <w:t>%；其他支出为</w:t>
      </w:r>
      <w:r>
        <w:rPr>
          <w:rFonts w:ascii="仿宋" w:eastAsia="仿宋" w:hint="eastAsia"/>
          <w:bCs/>
          <w:color w:val="000000"/>
          <w:sz w:val="32"/>
          <w:szCs w:val="32"/>
          <w:lang w:val="en-US" w:eastAsia="zh-CN"/>
          <w:highlight w:val="auto"/>
        </w:rPr>
        <w:t>63.31</w:t>
      </w:r>
      <w:r>
        <w:rPr>
          <w:rFonts w:ascii="仿宋" w:eastAsia="仿宋" w:hint="eastAsia"/>
          <w:bCs/>
          <w:color w:val="000000"/>
          <w:sz w:val="32"/>
          <w:szCs w:val="32"/>
          <w:highlight w:val="auto"/>
        </w:rPr>
        <w:t>万元，占比</w:t>
      </w:r>
      <w:r>
        <w:rPr>
          <w:rFonts w:ascii="仿宋" w:eastAsia="仿宋" w:hint="eastAsia"/>
          <w:bCs/>
          <w:color w:val="000000"/>
          <w:sz w:val="32"/>
          <w:szCs w:val="32"/>
          <w:lang w:val="en-US" w:eastAsia="zh-CN"/>
          <w:highlight w:val="auto"/>
        </w:rPr>
        <w:t>6.19</w:t>
      </w:r>
      <w:r>
        <w:rPr>
          <w:rFonts w:ascii="仿宋" w:eastAsia="仿宋" w:hint="eastAsia"/>
          <w:bCs/>
          <w:color w:val="000000"/>
          <w:sz w:val="32"/>
          <w:szCs w:val="32"/>
          <w:highlight w:val="auto"/>
        </w:rPr>
        <w:t>%。</w:t>
      </w:r>
    </w:p>
    <w:p>
      <w:pPr>
        <w:spacing w:line="560" w:lineRule="exact"/>
        <w:ind w:firstLineChars="200" w:firstLine="640"/>
        <w:outlineLvl w:val="2"/>
        <w:rPr>
          <w:rFonts w:ascii="仿宋" w:eastAsia="仿宋" w:hint="eastAsia"/>
          <w:bCs/>
          <w:color w:val="000000"/>
          <w:sz w:val="32"/>
          <w:szCs w:val="32"/>
          <w:lang w:eastAsia="zh-CN"/>
        </w:rPr>
      </w:pPr>
      <w:r>
        <w:rPr>
          <w:rFonts w:ascii="仿宋" w:eastAsia="仿宋" w:hint="eastAsia"/>
          <w:bCs/>
          <w:color w:val="000000"/>
          <w:sz w:val="32"/>
          <w:szCs w:val="32"/>
          <w:lang w:eastAsia="zh-CN"/>
        </w:rPr>
        <w:drawing>
          <wp:anchor distT="0" distB="0" distL="114300" distR="114300" simplePos="0" relativeHeight="18" behindDoc="0" locked="0" layoutInCell="1" hidden="0" allowOverlap="1">
            <wp:simplePos x="0" y="0"/>
            <wp:positionH relativeFrom="column">
              <wp:posOffset>247650</wp:posOffset>
            </wp:positionH>
            <wp:positionV relativeFrom="paragraph">
              <wp:posOffset>166370</wp:posOffset>
            </wp:positionV>
            <wp:extent cx="4250690" cy="2979420"/>
            <wp:effectExtent l="0" t="0" r="0" b="0"/>
            <wp:wrapTopAndBottom/>
            <wp:docPr id="5" name="图表 10"/>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Chars="200" w:firstLine="640"/>
        <w:outlineLvl w:val="2"/>
        <w:rPr>
          <w:rFonts w:ascii="仿宋" w:eastAsia="仿宋"/>
          <w:b/>
          <w:color w:val="000000"/>
          <w:sz w:val="32"/>
          <w:szCs w:val="32"/>
        </w:rPr>
      </w:pPr>
      <w:bookmarkStart w:id="47" w:name="_Toc79163618"/>
      <w:bookmarkStart w:id="48" w:name="_Toc79163868"/>
      <w:bookmarkStart w:id="49" w:name="_Toc15377214"/>
      <w:bookmarkStart w:id="50" w:name="_Toc15396608"/>
      <w:bookmarkEnd w:id="36"/>
      <w:bookmarkEnd w:id="37"/>
      <w:bookmarkEnd w:id="38"/>
      <w:r>
        <w:rPr>
          <w:rFonts w:ascii="仿宋" w:eastAsia="仿宋" w:hint="eastAsia"/>
          <w:b/>
          <w:color w:val="000000"/>
          <w:sz w:val="32"/>
          <w:szCs w:val="32"/>
          <w:lang w:eastAsia="zh-CN"/>
        </w:rPr>
        <w:t>（</w:t>
      </w:r>
      <w:r>
        <w:rPr>
          <w:rFonts w:ascii="仿宋" w:eastAsia="仿宋" w:hint="eastAsia"/>
          <w:b/>
          <w:color w:val="000000"/>
          <w:sz w:val="32"/>
          <w:szCs w:val="32"/>
        </w:rPr>
        <w:t>三）一般公共预算财政拨款支出决算具体情况</w:t>
      </w:r>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bCs/>
          <w:color w:val="000000"/>
          <w:sz w:val="32"/>
          <w:szCs w:val="32"/>
        </w:rPr>
        <w:t>202</w:t>
      </w:r>
      <w:r>
        <w:rPr>
          <w:rFonts w:ascii="仿宋" w:eastAsia="仿宋" w:hint="eastAsia"/>
          <w:bCs/>
          <w:color w:val="000000"/>
          <w:sz w:val="32"/>
          <w:szCs w:val="32"/>
          <w:lang w:val="en-US" w:eastAsia="zh-CN"/>
        </w:rPr>
        <w:t>1</w:t>
      </w:r>
      <w:r>
        <w:rPr>
          <w:rFonts w:ascii="仿宋" w:eastAsia="仿宋" w:hint="eastAsia"/>
          <w:bCs/>
          <w:color w:val="000000"/>
          <w:sz w:val="32"/>
          <w:szCs w:val="32"/>
        </w:rPr>
        <w:t>年一般公共预算数为</w:t>
      </w:r>
      <w:r>
        <w:rPr>
          <w:rFonts w:ascii="仿宋" w:eastAsia="仿宋" w:hint="eastAsia"/>
          <w:bCs/>
          <w:color w:val="000000"/>
          <w:sz w:val="32"/>
          <w:szCs w:val="32"/>
          <w:lang w:val="en-US" w:eastAsia="zh-CN"/>
        </w:rPr>
        <w:t>679.1</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1022.49</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150.57</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p>
    <w:p>
      <w:pPr>
        <w:spacing w:line="600" w:lineRule="exact"/>
        <w:ind w:firstLineChars="200" w:firstLine="640"/>
        <w:rPr>
          <w:rStyle w:val="24"/>
          <w:rFonts w:ascii="仿宋" w:eastAsia="仿宋"/>
          <w:b w:val="0"/>
          <w:bCs/>
          <w:color w:val="000000"/>
          <w:sz w:val="32"/>
          <w:szCs w:val="32"/>
        </w:rPr>
      </w:pPr>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418.11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w:t>
      </w:r>
      <w:r>
        <w:rPr>
          <w:rStyle w:val="24"/>
          <w:rFonts w:ascii="仿宋" w:eastAsia="仿宋" w:hint="eastAsia"/>
          <w:bCs/>
          <w:color w:val="000000"/>
          <w:sz w:val="32"/>
          <w:szCs w:val="32"/>
        </w:rPr>
        <w:t>办公室（室）及相关机构事务（款）一般行政管理事务（项）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29.84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cs="Times New Roman" w:hint="eastAsia"/>
          <w:bCs/>
          <w:color w:val="000000"/>
          <w:kern w:val="2"/>
          <w:sz w:val="32"/>
          <w:szCs w:val="32"/>
          <w:lang w:val="en-US" w:eastAsia="zh-CN" w:bidi="ar-SA"/>
        </w:rPr>
        <w:t>3.一般公共服务（类）人大事务（款）人大会议（项）: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0.1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pStyle w:val="15"/>
        <w:ind w:leftChars="0" w:left="0" w:firstLineChars="200" w:firstLine="640"/>
        <w:rPr>
          <w:rFonts w:hint="eastAsia"/>
          <w:lang w:val="en-US" w:eastAsia="zh-CN"/>
        </w:rPr>
      </w:pPr>
      <w:r>
        <w:rPr>
          <w:rStyle w:val="24"/>
          <w:rFonts w:ascii="仿宋" w:eastAsia="仿宋" w:cs="Times New Roman" w:hint="eastAsia"/>
          <w:bCs/>
          <w:color w:val="000000"/>
          <w:kern w:val="2"/>
          <w:sz w:val="32"/>
          <w:szCs w:val="32"/>
          <w:lang w:val="en-US" w:eastAsia="zh-CN" w:bidi="ar-SA"/>
        </w:rPr>
        <w:t>4.社会保障和就业支出（类）民政管理事务（款）基层政权建设和治理（项）：</w:t>
      </w:r>
      <w:r>
        <w:rPr>
          <w:rStyle w:val="24"/>
          <w:rFonts w:ascii="仿宋" w:eastAsia="仿宋" w:hint="eastAsia"/>
          <w:b w:val="0"/>
          <w:bCs/>
          <w:color w:val="000000"/>
          <w:sz w:val="32"/>
          <w:szCs w:val="32"/>
          <w:lang w:val="en-US" w:eastAsia="zh-CN"/>
        </w:rPr>
        <w:t>支出决算为15万元，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51.31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6</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24.69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7</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27.78</w:t>
      </w:r>
      <w:r>
        <w:rPr>
          <w:rStyle w:val="24"/>
          <w:rFonts w:ascii="仿宋" w:eastAsia="仿宋" w:hint="eastAsia"/>
          <w:b w:val="0"/>
          <w:bCs/>
          <w:color w:val="000000"/>
          <w:sz w:val="32"/>
          <w:szCs w:val="32"/>
        </w:rPr>
        <w:t>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.卫生健康支出（类）行政事业单位医疗（款）公务员医疗补助（项）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7.16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55.66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10.农林水支出（类）农业农村（款）事业运行（项）：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130.14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农林水支出（类）农业农村（款）农村道路建设（项）：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14.74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166.63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12.农林水支出（类）其他农林水支出（款）其他农林水支出（项）：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eastAsia="仿宋"/>
          <w:lang w:val="en-US" w:eastAsia="zh-CN"/>
        </w:rPr>
      </w:pPr>
      <w:r>
        <w:rPr>
          <w:rStyle w:val="24"/>
          <w:rFonts w:ascii="仿宋" w:eastAsia="仿宋" w:hint="eastAsia"/>
          <w:bCs/>
          <w:color w:val="000000"/>
          <w:sz w:val="32"/>
          <w:szCs w:val="32"/>
          <w:lang w:val="en-US" w:eastAsia="zh-CN"/>
        </w:rPr>
        <w:t>13.社会</w:t>
      </w:r>
      <w:r>
        <w:rPr>
          <w:rStyle w:val="24"/>
          <w:rFonts w:ascii="仿宋" w:eastAsia="仿宋" w:hint="eastAsia"/>
          <w:bCs/>
          <w:color w:val="000000"/>
          <w:sz w:val="32"/>
          <w:szCs w:val="32"/>
        </w:rPr>
        <w:t>保障和就业（类）</w:t>
      </w:r>
      <w:r>
        <w:rPr>
          <w:rStyle w:val="24"/>
          <w:rFonts w:ascii="仿宋" w:eastAsia="仿宋" w:hint="eastAsia"/>
          <w:bCs/>
          <w:color w:val="000000"/>
          <w:sz w:val="32"/>
          <w:szCs w:val="32"/>
          <w:lang w:eastAsia="zh-CN"/>
        </w:rPr>
        <w:t>企业改革补助</w:t>
      </w:r>
      <w:r>
        <w:rPr>
          <w:rStyle w:val="24"/>
          <w:rFonts w:ascii="仿宋" w:eastAsia="仿宋" w:hint="eastAsia"/>
          <w:bCs/>
          <w:color w:val="000000"/>
          <w:sz w:val="32"/>
          <w:szCs w:val="32"/>
        </w:rPr>
        <w:t>（款）</w:t>
      </w:r>
      <w:r>
        <w:rPr>
          <w:rStyle w:val="24"/>
          <w:rFonts w:ascii="仿宋" w:eastAsia="仿宋" w:hint="eastAsia"/>
          <w:bCs/>
          <w:color w:val="000000"/>
          <w:sz w:val="32"/>
          <w:szCs w:val="32"/>
          <w:lang w:eastAsia="zh-CN"/>
        </w:rPr>
        <w:t>其他企业改革发展补助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出决算为</w:t>
      </w:r>
      <w:r>
        <w:rPr>
          <w:rStyle w:val="24"/>
          <w:rFonts w:ascii="仿宋" w:eastAsia="仿宋" w:hint="eastAsia"/>
          <w:b w:val="0"/>
          <w:bCs/>
          <w:color w:val="000000"/>
          <w:sz w:val="32"/>
          <w:szCs w:val="32"/>
          <w:lang w:val="en-US" w:eastAsia="zh-CN"/>
        </w:rPr>
        <w:t>0.02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Char"/>
        </w:rPr>
      </w:pPr>
      <w:r>
        <w:rPr>
          <w:rStyle w:val="24"/>
          <w:rFonts w:ascii="仿宋" w:eastAsia="仿宋" w:hint="eastAsia"/>
          <w:bCs/>
          <w:color w:val="000000"/>
          <w:sz w:val="32"/>
          <w:szCs w:val="32"/>
          <w:lang w:val="en-US" w:eastAsia="zh-CN"/>
        </w:rPr>
        <w:t>14.其他支出（类）其他支出（款）其他支出（项）：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63.31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bookmarkEnd w:id="47"/>
      <w:bookmarkEnd w:id="48"/>
      <w:bookmarkEnd w:id="49"/>
      <w:bookmarkEnd w:id="50"/>
    </w:p>
    <w:p>
      <w:pPr>
        <w:spacing w:line="600" w:lineRule="exact"/>
        <w:ind w:firstLine="640"/>
        <w:rPr>
          <w:rStyle w:val="2Char"/>
        </w:rPr>
      </w:pPr>
      <w:bookmarkStart w:id="51" w:name="_Toc79163619"/>
      <w:bookmarkStart w:id="52" w:name="_Toc15377215"/>
      <w:bookmarkStart w:id="53" w:name="_Toc79163869"/>
      <w:bookmarkStart w:id="54" w:name="_Toc15396609"/>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1022.49</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731.4</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689.6</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136.22</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179.49</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10.91</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44.45</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51.31</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24.69</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4.54</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55.66</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27.78</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7.16</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8.48</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138.91</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41.81</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9.39</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手续费0.1万元、</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万元、取暖费2万元、差旅费</w:t>
      </w:r>
      <w:r>
        <w:rPr>
          <w:rFonts w:ascii="仿宋_GB2312" w:eastAsia="仿宋_GB2312" w:hint="eastAsia"/>
          <w:color w:val="000000"/>
          <w:sz w:val="32"/>
          <w:szCs w:val="32"/>
          <w:lang w:val="en-US" w:eastAsia="zh-CN"/>
        </w:rPr>
        <w:t>6.98</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5.54</w:t>
      </w:r>
      <w:r>
        <w:rPr>
          <w:rFonts w:ascii="仿宋_GB2312" w:eastAsia="仿宋_GB2312" w:hint="eastAsia"/>
          <w:color w:val="000000"/>
          <w:sz w:val="32"/>
          <w:szCs w:val="32"/>
        </w:rPr>
        <w:t>万元、其他交通</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、委托业务费</w:t>
      </w:r>
      <w:r>
        <w:rPr>
          <w:rFonts w:ascii="仿宋_GB2312" w:eastAsia="仿宋_GB2312" w:hint="eastAsia"/>
          <w:color w:val="000000"/>
          <w:sz w:val="32"/>
          <w:szCs w:val="32"/>
          <w:lang w:val="en-US" w:eastAsia="zh-CN"/>
        </w:rPr>
        <w:t>1.3万元</w:t>
      </w:r>
      <w:r>
        <w:rPr>
          <w:rFonts w:ascii="仿宋_GB2312" w:eastAsia="仿宋_GB2312" w:hint="eastAsia"/>
          <w:color w:val="000000"/>
          <w:sz w:val="32"/>
          <w:szCs w:val="32"/>
        </w:rPr>
        <w:t>。</w:t>
      </w:r>
    </w:p>
    <w:p>
      <w:pPr>
        <w:snapToGrid w:val="0"/>
        <w:spacing w:line="520" w:lineRule="exact"/>
        <w:ind w:firstLineChars="200" w:firstLine="640"/>
        <w:rPr>
          <w:rFonts w:eastAsia="仿宋_GB2312" w:hint="eastAsia"/>
          <w:lang w:val="en-US" w:eastAsia="zh-CN"/>
          <w:highlight w:val="auto"/>
        </w:rPr>
      </w:pPr>
      <w:r>
        <w:rPr>
          <w:rFonts w:ascii="仿宋_GB2312" w:eastAsia="仿宋_GB2312" w:hint="eastAsia"/>
          <w:color w:val="000000"/>
          <w:sz w:val="32"/>
          <w:szCs w:val="32"/>
          <w:highlight w:val="auto"/>
        </w:rPr>
        <w:t>项目支出</w:t>
      </w:r>
      <w:r>
        <w:rPr>
          <w:rFonts w:ascii="仿宋_GB2312" w:eastAsia="仿宋_GB2312" w:hint="eastAsia"/>
          <w:color w:val="000000"/>
          <w:sz w:val="32"/>
          <w:szCs w:val="32"/>
          <w:lang w:val="en-US" w:eastAsia="zh-CN"/>
          <w:highlight w:val="auto"/>
        </w:rPr>
        <w:t>291.09</w:t>
      </w:r>
      <w:r>
        <w:rPr>
          <w:rFonts w:ascii="仿宋_GB2312" w:eastAsia="仿宋_GB2312" w:hint="eastAsia"/>
          <w:color w:val="000000"/>
          <w:sz w:val="32"/>
          <w:szCs w:val="32"/>
          <w:highlight w:val="auto"/>
        </w:rPr>
        <w:t>万元，主要包括：人大会议费</w:t>
      </w:r>
      <w:r>
        <w:rPr>
          <w:rFonts w:ascii="仿宋_GB2312" w:eastAsia="仿宋_GB2312" w:hint="eastAsia"/>
          <w:color w:val="000000"/>
          <w:sz w:val="32"/>
          <w:szCs w:val="32"/>
          <w:lang w:val="en-US" w:eastAsia="zh-CN"/>
          <w:highlight w:val="auto"/>
        </w:rPr>
        <w:t>0.1</w:t>
      </w:r>
      <w:r>
        <w:rPr>
          <w:rFonts w:ascii="仿宋_GB2312" w:eastAsia="仿宋_GB2312" w:hint="eastAsia"/>
          <w:color w:val="000000"/>
          <w:sz w:val="32"/>
          <w:szCs w:val="32"/>
          <w:highlight w:val="auto"/>
        </w:rPr>
        <w:t>万元，对村干部生活补助支出</w:t>
      </w:r>
      <w:r>
        <w:rPr>
          <w:rFonts w:ascii="仿宋_GB2312" w:eastAsia="仿宋_GB2312" w:hint="eastAsia"/>
          <w:color w:val="000000"/>
          <w:sz w:val="32"/>
          <w:szCs w:val="32"/>
          <w:lang w:val="en-US" w:eastAsia="zh-CN"/>
          <w:highlight w:val="auto"/>
        </w:rPr>
        <w:t>100.63</w:t>
      </w:r>
      <w:r>
        <w:rPr>
          <w:rFonts w:ascii="仿宋_GB2312" w:eastAsia="仿宋_GB2312" w:hint="eastAsia"/>
          <w:color w:val="000000"/>
          <w:sz w:val="32"/>
          <w:szCs w:val="32"/>
          <w:highlight w:val="auto"/>
        </w:rPr>
        <w:t>万元，村级维护费办公费</w:t>
      </w:r>
      <w:r>
        <w:rPr>
          <w:rFonts w:ascii="仿宋_GB2312" w:eastAsia="仿宋_GB2312" w:hint="eastAsia"/>
          <w:color w:val="000000"/>
          <w:sz w:val="32"/>
          <w:szCs w:val="32"/>
          <w:lang w:val="en-US" w:eastAsia="zh-CN"/>
          <w:highlight w:val="auto"/>
        </w:rPr>
        <w:t>66</w:t>
      </w:r>
      <w:r>
        <w:rPr>
          <w:rFonts w:ascii="仿宋_GB2312" w:eastAsia="仿宋_GB2312" w:hint="eastAsia"/>
          <w:color w:val="000000"/>
          <w:sz w:val="32"/>
          <w:szCs w:val="32"/>
          <w:highlight w:val="auto"/>
        </w:rPr>
        <w:t>万元</w:t>
      </w:r>
      <w:r>
        <w:rPr>
          <w:rFonts w:ascii="仿宋_GB2312" w:eastAsia="仿宋_GB2312" w:cs="仿宋_GB2312" w:hint="eastAsia"/>
          <w:color w:val="000000"/>
          <w:sz w:val="32"/>
          <w:szCs w:val="32"/>
          <w:highlight w:val="auto"/>
        </w:rPr>
        <w:t>（其中公共运行维护费</w:t>
      </w:r>
      <w:r>
        <w:rPr>
          <w:rFonts w:ascii="仿宋_GB2312" w:eastAsia="仿宋_GB2312" w:cs="仿宋_GB2312" w:hint="eastAsia"/>
          <w:color w:val="000000"/>
          <w:sz w:val="32"/>
          <w:szCs w:val="32"/>
          <w:lang w:val="en-US" w:eastAsia="zh-CN"/>
          <w:highlight w:val="auto"/>
        </w:rPr>
        <w:t>42</w:t>
      </w:r>
      <w:r>
        <w:rPr>
          <w:rFonts w:ascii="仿宋_GB2312" w:eastAsia="仿宋_GB2312" w:cs="仿宋_GB2312" w:hint="eastAsia"/>
          <w:color w:val="000000"/>
          <w:sz w:val="32"/>
          <w:szCs w:val="32"/>
          <w:highlight w:val="auto"/>
        </w:rPr>
        <w:t>万元、基层党组织活动经费1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万元、办公费1</w:t>
      </w:r>
      <w:r>
        <w:rPr>
          <w:rFonts w:ascii="仿宋_GB2312" w:eastAsia="仿宋_GB2312" w:cs="仿宋_GB2312" w:hint="eastAsia"/>
          <w:color w:val="000000"/>
          <w:sz w:val="32"/>
          <w:szCs w:val="32"/>
          <w:lang w:val="en-US" w:eastAsia="zh-CN"/>
          <w:highlight w:val="auto"/>
        </w:rPr>
        <w:t>2</w:t>
      </w:r>
      <w:r>
        <w:rPr>
          <w:rFonts w:ascii="仿宋_GB2312" w:eastAsia="仿宋_GB2312" w:cs="仿宋_GB2312" w:hint="eastAsia"/>
          <w:color w:val="000000"/>
          <w:sz w:val="32"/>
          <w:szCs w:val="32"/>
          <w:highlight w:val="auto"/>
        </w:rPr>
        <w:t>万元）</w:t>
      </w:r>
      <w:r>
        <w:rPr>
          <w:rFonts w:ascii="仿宋_GB2312" w:eastAsia="仿宋_GB2312" w:hint="eastAsia"/>
          <w:color w:val="000000"/>
          <w:sz w:val="32"/>
          <w:szCs w:val="32"/>
          <w:highlight w:val="auto"/>
        </w:rPr>
        <w:t>，</w:t>
      </w:r>
      <w:r>
        <w:rPr>
          <w:rFonts w:ascii="仿宋_GB2312" w:eastAsia="仿宋_GB2312" w:hint="eastAsia"/>
          <w:color w:val="000000"/>
          <w:sz w:val="32"/>
          <w:szCs w:val="32"/>
          <w:lang w:val="en-US" w:eastAsia="zh-CN"/>
          <w:highlight w:val="auto"/>
        </w:rPr>
        <w:t>信访办公费12万元，乡政府基础设施维修维护费15万元，丹扎木村民族团结新村旅游环线路项目0.02万元，山埂子村村道路基础设施建设14.74，山埂子村道路垮塌维修费18万元，其他办公费1.29万元，春节慰问金、春节农民工慰问金、三老干部生活补助4.57万元，</w:t>
      </w:r>
      <w:r>
        <w:rPr>
          <w:rFonts w:ascii="仿宋_GB2312" w:eastAsia="仿宋_GB2312" w:cs="仿宋_GB2312" w:hint="eastAsia"/>
          <w:bCs/>
          <w:sz w:val="32"/>
          <w:szCs w:val="32"/>
          <w:highlight w:val="auto"/>
        </w:rPr>
        <w:t>沙耳尼村太阳能路灯基础设施建设</w:t>
      </w:r>
      <w:r>
        <w:rPr>
          <w:rFonts w:ascii="仿宋_GB2312" w:eastAsia="仿宋_GB2312" w:cs="仿宋_GB2312" w:hint="eastAsia"/>
          <w:bCs/>
          <w:sz w:val="32"/>
          <w:szCs w:val="32"/>
          <w:lang w:val="en-US" w:eastAsia="zh-CN"/>
          <w:highlight w:val="auto"/>
        </w:rPr>
        <w:t>58.74万元。</w:t>
      </w:r>
    </w:p>
    <w:p>
      <w:pPr>
        <w:spacing w:line="600" w:lineRule="exact"/>
        <w:ind w:firstLineChars="200" w:firstLine="640"/>
        <w:outlineLvl w:val="1"/>
        <w:rPr>
          <w:rStyle w:val="2Char"/>
          <w:rFonts w:ascii="黑体" w:eastAsia="黑体"/>
          <w:b w:val="0"/>
        </w:rPr>
      </w:pPr>
      <w:bookmarkStart w:id="55" w:name="_Toc9449"/>
      <w:bookmarkEnd w:id="51"/>
      <w:bookmarkEnd w:id="52"/>
      <w:bookmarkEnd w:id="53"/>
      <w:bookmarkEnd w:id="54"/>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5"/>
    </w:p>
    <w:p>
      <w:pPr>
        <w:spacing w:line="600" w:lineRule="exact"/>
        <w:ind w:firstLine="640"/>
        <w:outlineLvl w:val="2"/>
        <w:rPr>
          <w:rFonts w:ascii="仿宋" w:eastAsia="仿宋"/>
          <w:b/>
          <w:color w:val="000000"/>
          <w:sz w:val="32"/>
          <w:szCs w:val="32"/>
        </w:rPr>
      </w:pPr>
      <w:bookmarkStart w:id="56" w:name="_Toc15377216"/>
      <w:r>
        <w:rPr>
          <w:rFonts w:ascii="仿宋" w:eastAsia="仿宋" w:hint="eastAsia"/>
          <w:b/>
          <w:color w:val="000000"/>
          <w:sz w:val="32"/>
          <w:szCs w:val="32"/>
        </w:rPr>
        <w:t>（一）“三公”经费财政拨款支出决算总体情况说明</w:t>
      </w:r>
      <w:bookmarkEnd w:id="56"/>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年“三公”经费财政拨款支出决算为</w:t>
      </w:r>
      <w:r>
        <w:rPr>
          <w:rFonts w:ascii="仿宋" w:eastAsia="仿宋"/>
          <w:color w:val="000000"/>
          <w:sz w:val="32"/>
          <w:szCs w:val="32"/>
          <w:lang w:eastAsia="zh-CN"/>
        </w:rPr>
        <w:t>6</w:t>
      </w:r>
      <w:r>
        <w:rPr>
          <w:rFonts w:ascii="仿宋" w:eastAsia="仿宋" w:hint="eastAsia"/>
          <w:color w:val="000000"/>
          <w:sz w:val="32"/>
          <w:szCs w:val="32"/>
        </w:rPr>
        <w:t>万元，</w:t>
      </w:r>
      <w:r>
        <w:rPr>
          <w:rFonts w:ascii="仿宋" w:eastAsia="仿宋"/>
          <w:color w:val="000000"/>
          <w:sz w:val="32"/>
          <w:szCs w:val="32"/>
        </w:rPr>
        <w:t>预算数6万元，</w:t>
      </w:r>
      <w:r>
        <w:rPr>
          <w:rFonts w:ascii="仿宋" w:eastAsia="仿宋" w:hint="eastAsia"/>
          <w:color w:val="000000"/>
          <w:sz w:val="32"/>
          <w:szCs w:val="32"/>
        </w:rPr>
        <w:t>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57" w:name="_Toc15377217"/>
      <w:r>
        <w:rPr>
          <w:rFonts w:ascii="仿宋" w:eastAsia="仿宋" w:hint="eastAsia"/>
          <w:b/>
          <w:color w:val="000000"/>
          <w:sz w:val="32"/>
          <w:szCs w:val="32"/>
        </w:rPr>
        <w:t>（二）“三公”经费财政拨款支出决算具体情况说明</w:t>
      </w:r>
      <w:bookmarkEnd w:id="57"/>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6</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6</w:t>
      </w:r>
      <w:bookmarkStart w:id="58" w:name="_GoBack"/>
      <w:bookmarkEnd w:id="58"/>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lang w:val="en-US" w:eastAsia="zh-CN"/>
        </w:rPr>
        <w:t>6</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560" w:lineRule="exact"/>
        <w:ind w:firstLine="640"/>
        <w:rPr>
          <w:rFonts w:ascii="仿宋_GB2312" w:eastAsia="仿宋_GB2312" w:hint="eastAsia"/>
          <w:color w:val="000000"/>
          <w:sz w:val="32"/>
          <w:szCs w:val="32"/>
          <w:lang w:eastAsia="zh-CN"/>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560" w:lineRule="exact"/>
        <w:ind w:firstLineChars="200" w:firstLine="640"/>
        <w:rPr>
          <w:rFonts w:ascii="仿宋_GB2312" w:eastAsia="仿宋_GB2312" w:cs="仿宋_GB2312" w:hint="eastAsia"/>
          <w:color w:val="000000"/>
          <w:sz w:val="32"/>
          <w:szCs w:val="32"/>
          <w:lang w:val="en-US" w:eastAsia="zh-CN" w:bidi="ar-SA"/>
        </w:rPr>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560" w:lineRule="exact"/>
        <w:ind w:firstLine="640"/>
        <w:outlineLvl w:val="1"/>
        <w:rPr>
          <w:rStyle w:val="2Char"/>
          <w:rFonts w:ascii="黑体" w:eastAsia="黑体" w:hint="eastAsia"/>
        </w:rPr>
      </w:pPr>
      <w:bookmarkStart w:id="59" w:name="_Toc79163872"/>
      <w:bookmarkStart w:id="60" w:name="_Toc79163622"/>
      <w:bookmarkStart w:id="61" w:name="_Toc15377218"/>
      <w:bookmarkStart w:id="62"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59"/>
      <w:bookmarkEnd w:id="60"/>
      <w:bookmarkEnd w:id="61"/>
      <w:bookmarkEnd w:id="62"/>
    </w:p>
    <w:p>
      <w:pPr>
        <w:spacing w:line="560" w:lineRule="exact"/>
        <w:ind w:firstLine="640"/>
        <w:rPr>
          <w:rFonts w:ascii="仿宋_GB2312" w:eastAsia="仿宋_GB2312" w:hint="eastAsia"/>
          <w:color w:val="000000"/>
          <w:sz w:val="32"/>
          <w:szCs w:val="32"/>
        </w:rPr>
      </w:pPr>
      <w:r>
        <w:rPr>
          <w:rFonts w:ascii="仿宋_GB2312" w:eastAsia="仿宋_GB2312" w:hint="eastAsia"/>
          <w:color w:val="000000"/>
          <w:sz w:val="32"/>
          <w:szCs w:val="32"/>
          <w:lang w:eastAsia="zh-CN"/>
        </w:rPr>
        <w:t>2021年</w:t>
      </w:r>
      <w:r>
        <w:rPr>
          <w:rFonts w:ascii="仿宋_GB2312" w:eastAsia="仿宋_GB2312" w:hint="eastAsia"/>
          <w:color w:val="000000"/>
          <w:sz w:val="32"/>
          <w:szCs w:val="32"/>
        </w:rPr>
        <w:t>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1"/>
        </w:numPr>
        <w:spacing w:line="560" w:lineRule="exact"/>
        <w:ind w:left="0" w:firstLine="640"/>
        <w:outlineLvl w:val="1"/>
        <w:rPr>
          <w:rStyle w:val="2Char"/>
          <w:rFonts w:ascii="黑体" w:eastAsia="黑体" w:hint="eastAsia"/>
          <w:b w:val="0"/>
        </w:rPr>
      </w:pPr>
      <w:bookmarkStart w:id="63" w:name="_Toc15377219"/>
      <w:bookmarkStart w:id="64" w:name="_Toc79163623"/>
      <w:bookmarkStart w:id="65" w:name="_Toc79163873"/>
      <w:bookmarkStart w:id="66" w:name="_Toc15396611"/>
      <w:r>
        <w:rPr>
          <w:rStyle w:val="2Char"/>
          <w:rFonts w:ascii="黑体" w:eastAsia="黑体" w:hint="eastAsia"/>
          <w:b w:val="0"/>
        </w:rPr>
        <w:t>国有资本经营预算支出决算情况说明</w:t>
      </w:r>
      <w:bookmarkEnd w:id="63"/>
      <w:bookmarkEnd w:id="64"/>
      <w:bookmarkEnd w:id="65"/>
      <w:bookmarkEnd w:id="66"/>
    </w:p>
    <w:p>
      <w:pPr>
        <w:spacing w:line="560" w:lineRule="exact"/>
        <w:ind w:firstLine="640"/>
        <w:rPr>
          <w:rFonts w:ascii="方正小标宋简体" w:eastAsia="方正小标宋简体" w:cs="方正小标宋简体" w:hint="eastAsia"/>
          <w:sz w:val="44"/>
          <w:szCs w:val="44"/>
          <w:lang w:bidi="ar-SA"/>
        </w:rPr>
      </w:pPr>
      <w:r>
        <w:rPr>
          <w:rFonts w:ascii="仿宋_GB2312" w:eastAsia="仿宋_GB2312" w:hint="eastAsia"/>
          <w:color w:val="000000"/>
          <w:sz w:val="32"/>
          <w:szCs w:val="32"/>
          <w:lang w:eastAsia="zh-CN"/>
        </w:rPr>
        <w:t>2021年</w:t>
      </w:r>
      <w:r>
        <w:rPr>
          <w:rFonts w:ascii="仿宋_GB2312" w:eastAsia="仿宋_GB2312" w:hint="eastAsia"/>
          <w:color w:val="000000"/>
          <w:sz w:val="32"/>
          <w:szCs w:val="32"/>
        </w:rPr>
        <w:t>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60" w:lineRule="exact"/>
        <w:ind w:firstLineChars="250" w:firstLine="800"/>
        <w:outlineLvl w:val="1"/>
        <w:rPr>
          <w:rStyle w:val="2Char"/>
          <w:rFonts w:ascii="黑体" w:eastAsia="黑体" w:hint="eastAsia"/>
        </w:rPr>
      </w:pPr>
      <w:bookmarkStart w:id="67" w:name="_Toc15396612"/>
      <w:bookmarkStart w:id="68" w:name="_Toc79163624"/>
      <w:bookmarkStart w:id="69" w:name="_Toc79163874"/>
      <w:bookmarkStart w:id="70"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67"/>
      <w:bookmarkEnd w:id="68"/>
      <w:bookmarkEnd w:id="69"/>
      <w:bookmarkEnd w:id="70"/>
    </w:p>
    <w:p>
      <w:pPr>
        <w:spacing w:line="600" w:lineRule="exact"/>
        <w:ind w:firstLineChars="200" w:firstLine="640"/>
        <w:rPr>
          <w:rFonts w:ascii="楷体" w:eastAsia="楷体" w:cs="楷体" w:hint="eastAsia"/>
          <w:color w:val="000000"/>
          <w:sz w:val="32"/>
          <w:szCs w:val="32"/>
        </w:rPr>
      </w:pPr>
      <w:bookmarkStart w:id="71" w:name="_Toc79163628"/>
      <w:bookmarkStart w:id="72" w:name="_Toc79163878"/>
      <w:r>
        <w:rPr>
          <w:rFonts w:ascii="楷体" w:eastAsia="楷体" w:cs="楷体" w:hint="eastAsia"/>
          <w:b/>
          <w:color w:val="000000"/>
          <w:sz w:val="32"/>
          <w:szCs w:val="32"/>
        </w:rPr>
        <w:t>（一）机关运行经费支出情况</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年度，沙耳乡机关运行经费支出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万元与</w:t>
      </w:r>
      <w:r>
        <w:rPr>
          <w:rFonts w:ascii="仿宋_GB2312" w:eastAsia="仿宋_GB2312" w:hint="eastAsia"/>
          <w:color w:val="000000"/>
          <w:sz w:val="32"/>
          <w:szCs w:val="32"/>
          <w:lang w:val="en-US" w:eastAsia="zh-CN"/>
        </w:rPr>
        <w:t>2021</w:t>
      </w:r>
      <w:r>
        <w:rPr>
          <w:rFonts w:ascii="仿宋_GB2312" w:eastAsia="仿宋_GB2312" w:hint="eastAsia"/>
          <w:color w:val="000000"/>
          <w:sz w:val="32"/>
          <w:szCs w:val="32"/>
        </w:rPr>
        <w:t>年决算数持平。</w:t>
      </w:r>
    </w:p>
    <w:p>
      <w:pPr>
        <w:autoSpaceDE w:val="0"/>
        <w:autoSpaceDN w:val="0"/>
        <w:adjustRightInd w:val="0"/>
        <w:spacing w:line="600" w:lineRule="exact"/>
        <w:ind w:firstLineChars="200" w:firstLine="640"/>
        <w:jc w:val="left"/>
        <w:rPr>
          <w:rFonts w:ascii="楷体" w:eastAsia="楷体" w:cs="楷体" w:hint="eastAsia"/>
          <w:b/>
          <w:color w:val="000000"/>
          <w:sz w:val="32"/>
          <w:szCs w:val="32"/>
        </w:rPr>
      </w:pPr>
      <w:r>
        <w:rPr>
          <w:rFonts w:ascii="楷体" w:eastAsia="楷体" w:cs="楷体" w:hint="eastAsia"/>
          <w:b/>
          <w:color w:val="000000"/>
          <w:sz w:val="32"/>
          <w:szCs w:val="32"/>
        </w:rPr>
        <w:t>（二）政府采购支出情况</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度，沙耳乡政府采购支出总额0万元，其中：政府采购货物支出0万元、政府采购工程支出0万元、政府采购服务支出0万元。主要用于开展精准扶贫、维稳、林业、草原生态管理、民政等工作。授予中小企业合同金额0万元，占政府采购支出总额的0%，其中：授予小微企业合同金额0万元，占政府采购支出总额的0%。</w:t>
      </w:r>
    </w:p>
    <w:p>
      <w:pPr>
        <w:autoSpaceDE w:val="0"/>
        <w:autoSpaceDN w:val="0"/>
        <w:adjustRightInd w:val="0"/>
        <w:spacing w:line="600" w:lineRule="exact"/>
        <w:ind w:firstLineChars="200" w:firstLine="640"/>
        <w:jc w:val="left"/>
        <w:rPr>
          <w:rFonts w:ascii="楷体" w:eastAsia="楷体" w:cs="楷体" w:hint="eastAsia"/>
          <w:b/>
          <w:color w:val="000000"/>
          <w:sz w:val="32"/>
          <w:szCs w:val="32"/>
        </w:rPr>
      </w:pPr>
      <w:r>
        <w:rPr>
          <w:rFonts w:ascii="楷体" w:eastAsia="楷体" w:cs="楷体" w:hint="eastAsia"/>
          <w:b/>
          <w:color w:val="000000"/>
          <w:sz w:val="32"/>
          <w:szCs w:val="32"/>
        </w:rPr>
        <w:t>（三）国有资产占有使用情况</w:t>
      </w:r>
    </w:p>
    <w:p>
      <w:pPr>
        <w:autoSpaceDE w:val="0"/>
        <w:autoSpaceDN w:val="0"/>
        <w:adjustRightInd w:val="0"/>
        <w:spacing w:line="600" w:lineRule="exact"/>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年12月31日，沙耳乡共有车辆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辆，其中：部级领导干部用车0辆、一般公务用车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辆、一般执法执勤用车0辆、特种专业技术用车0辆、其他用车0辆；单价50万元以上通用设备0台（套），单价100万元以上专用设备0台（套）。</w:t>
      </w:r>
    </w:p>
    <w:p>
      <w:pPr>
        <w:autoSpaceDE w:val="0"/>
        <w:autoSpaceDN w:val="0"/>
        <w:adjustRightInd w:val="0"/>
        <w:spacing w:line="600" w:lineRule="exact"/>
        <w:ind w:firstLineChars="200" w:firstLine="640"/>
        <w:jc w:val="left"/>
        <w:rPr>
          <w:rFonts w:ascii="楷体" w:eastAsia="楷体" w:cs="楷体" w:hint="eastAsia"/>
          <w:b/>
          <w:color w:val="000000"/>
          <w:sz w:val="32"/>
          <w:szCs w:val="32"/>
        </w:rPr>
      </w:pPr>
      <w:r>
        <w:rPr>
          <w:rFonts w:ascii="楷体" w:eastAsia="楷体" w:cs="楷体" w:hint="eastAsia"/>
          <w:b/>
          <w:color w:val="000000"/>
          <w:sz w:val="32"/>
          <w:szCs w:val="32"/>
        </w:rPr>
        <w:t>（</w:t>
      </w:r>
      <w:r>
        <w:rPr>
          <w:rFonts w:ascii="楷体" w:eastAsia="楷体" w:cs="楷体" w:hint="eastAsia"/>
          <w:b/>
          <w:color w:val="000000"/>
          <w:sz w:val="32"/>
          <w:szCs w:val="32"/>
          <w:lang w:eastAsia="zh-CN"/>
        </w:rPr>
        <w:t>四</w:t>
      </w:r>
      <w:r>
        <w:rPr>
          <w:rFonts w:ascii="楷体" w:eastAsia="楷体" w:cs="楷体" w:hint="eastAsia"/>
          <w:b/>
          <w:color w:val="000000"/>
          <w:sz w:val="32"/>
          <w:szCs w:val="32"/>
        </w:rPr>
        <w:t>） 预算绩效管理工作开展情况。</w:t>
      </w:r>
    </w:p>
    <w:p>
      <w:pPr>
        <w:spacing w:line="600" w:lineRule="atLeast"/>
        <w:ind w:firstLineChars="200" w:firstLine="640"/>
        <w:rPr>
          <w:rFonts w:ascii="仿宋_GB2312" w:eastAsia="仿宋_GB2312" w:hint="eastAsia"/>
          <w:color w:val="000000"/>
          <w:sz w:val="32"/>
          <w:szCs w:val="32"/>
        </w:rPr>
      </w:pPr>
      <w:bookmarkEnd w:id="71"/>
      <w:bookmarkEnd w:id="72"/>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年一般公共预算项目支出开展了绩效目标管理，共编制绩效目标0个，涉及财政资金0万元，覆盖率达到100%。</w:t>
      </w:r>
    </w:p>
    <w:p>
      <w:pPr>
        <w:spacing w:line="600" w:lineRule="atLeast"/>
        <w:ind w:firstLineChars="200" w:firstLine="640"/>
        <w:rPr>
          <w:rFonts w:ascii="仿宋" w:eastAsia="仿宋" w:cs="仿宋" w:hint="eastAsia"/>
          <w:b/>
          <w:bCs/>
          <w:color w:val="000000"/>
          <w:sz w:val="32"/>
          <w:szCs w:val="32"/>
        </w:rPr>
      </w:pPr>
      <w:r>
        <w:rPr>
          <w:rFonts w:ascii="仿宋_GB2312" w:eastAsia="仿宋_GB2312" w:hint="eastAsia"/>
          <w:b/>
          <w:bCs/>
          <w:color w:val="000000"/>
          <w:sz w:val="32"/>
          <w:szCs w:val="32"/>
          <w:lang w:val="en-US" w:eastAsia="zh-CN"/>
        </w:rPr>
        <w:t>1</w:t>
      </w:r>
      <w:r>
        <w:rPr>
          <w:rFonts w:ascii="仿宋_GB2312" w:eastAsia="仿宋_GB2312" w:hint="eastAsia"/>
          <w:b/>
          <w:bCs/>
          <w:color w:val="000000"/>
          <w:sz w:val="32"/>
          <w:szCs w:val="32"/>
        </w:rPr>
        <w:t>.部门整体支出绩效自评开展情况。</w:t>
      </w: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lang w:eastAsia="zh-CN"/>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年整体支出开展绩效自评，自评得分</w:t>
      </w:r>
      <w:r>
        <w:rPr>
          <w:rFonts w:ascii="仿宋_GB2312" w:eastAsia="仿宋_GB2312" w:hint="eastAsia"/>
          <w:color w:val="000000"/>
          <w:sz w:val="32"/>
          <w:szCs w:val="32"/>
          <w:lang w:val="en-US" w:eastAsia="zh-CN"/>
        </w:rPr>
        <w:t>81.5</w:t>
      </w:r>
      <w:r>
        <w:rPr>
          <w:rFonts w:ascii="仿宋_GB2312" w:eastAsia="仿宋_GB2312" w:hint="eastAsia"/>
          <w:color w:val="000000"/>
          <w:sz w:val="32"/>
          <w:szCs w:val="32"/>
        </w:rPr>
        <w:t>分，存在的问题：一是目标任务完成不太理想</w:t>
      </w:r>
      <w:r>
        <w:rPr>
          <w:rFonts w:ascii="仿宋_GB2312" w:eastAsia="仿宋_GB2312" w:hint="eastAsia"/>
          <w:color w:val="000000"/>
          <w:sz w:val="32"/>
          <w:szCs w:val="32"/>
          <w:lang w:eastAsia="zh-CN"/>
        </w:rPr>
        <w:t>；</w:t>
      </w:r>
      <w:r>
        <w:rPr>
          <w:rFonts w:ascii="仿宋_GB2312" w:eastAsia="仿宋_GB2312" w:hint="eastAsia"/>
          <w:color w:val="000000"/>
          <w:sz w:val="32"/>
          <w:szCs w:val="32"/>
        </w:rPr>
        <w:t>二是内部控制度健全不太完整</w:t>
      </w:r>
      <w:r>
        <w:rPr>
          <w:rFonts w:ascii="仿宋_GB2312" w:eastAsia="仿宋_GB2312" w:hint="eastAsia"/>
          <w:color w:val="000000"/>
          <w:sz w:val="32"/>
          <w:szCs w:val="32"/>
          <w:lang w:eastAsia="zh-CN"/>
        </w:rPr>
        <w:t>；</w:t>
      </w:r>
      <w:r>
        <w:rPr>
          <w:rFonts w:ascii="仿宋_GB2312" w:eastAsia="仿宋_GB2312" w:hint="eastAsia"/>
          <w:color w:val="000000"/>
          <w:sz w:val="32"/>
          <w:szCs w:val="32"/>
        </w:rPr>
        <w:t>三是绩效目标动态监控不强。下一步改进措施：一是加强部门决策的合理性，明确性，相关性</w:t>
      </w:r>
      <w:r>
        <w:rPr>
          <w:rFonts w:ascii="仿宋_GB2312" w:eastAsia="仿宋_GB2312" w:hint="eastAsia"/>
          <w:color w:val="000000"/>
          <w:sz w:val="32"/>
          <w:szCs w:val="32"/>
          <w:lang w:eastAsia="zh-CN"/>
        </w:rPr>
        <w:t>；</w:t>
      </w:r>
      <w:r>
        <w:rPr>
          <w:rFonts w:ascii="仿宋_GB2312" w:eastAsia="仿宋_GB2312" w:hint="eastAsia"/>
          <w:color w:val="000000"/>
          <w:sz w:val="32"/>
          <w:szCs w:val="32"/>
        </w:rPr>
        <w:t>二是加强内部控制制度的健全和绩效目标的动态管理。</w:t>
      </w:r>
      <w:r>
        <w:rPr>
          <w:rFonts w:ascii="仿宋_GB2312" w:eastAsia="仿宋_GB2312" w:cs="仿宋_GB2312" w:hint="eastAsia"/>
          <w:sz w:val="32"/>
          <w:szCs w:val="32"/>
          <w:lang w:bidi="ar-SA"/>
        </w:rPr>
        <w:t>《</w:t>
      </w:r>
      <w:r>
        <w:rPr>
          <w:rFonts w:ascii="仿宋_GB2312" w:eastAsia="仿宋_GB2312" w:hint="eastAsia"/>
          <w:sz w:val="32"/>
          <w:szCs w:val="32"/>
          <w:lang w:eastAsia="zh-CN"/>
        </w:rPr>
        <w:t>金川县沙耳乡人民政府</w:t>
      </w:r>
      <w:r>
        <w:rPr>
          <w:rFonts w:ascii="仿宋_GB2312" w:eastAsia="仿宋_GB2312" w:hint="eastAsia"/>
          <w:sz w:val="32"/>
          <w:szCs w:val="32"/>
        </w:rPr>
        <w:t>2021年部门整体支出绩效评价报告</w:t>
      </w:r>
      <w:r>
        <w:rPr>
          <w:rFonts w:ascii="仿宋_GB2312" w:eastAsia="仿宋_GB2312" w:cs="仿宋_GB2312" w:hint="eastAsia"/>
          <w:sz w:val="32"/>
          <w:szCs w:val="32"/>
          <w:lang w:bidi="ar-SA"/>
        </w:rPr>
        <w:t>》见附件。</w:t>
      </w:r>
    </w:p>
    <w:p>
      <w:pPr>
        <w:spacing w:line="600" w:lineRule="atLeast"/>
        <w:ind w:firstLineChars="200" w:firstLine="640"/>
        <w:rPr>
          <w:rFonts w:ascii="黑体" w:eastAsia="黑体" w:hint="eastAsia"/>
          <w:color w:val="000000"/>
          <w:sz w:val="32"/>
          <w:szCs w:val="32"/>
          <w:lang w:eastAsia="zh-CN"/>
        </w:rPr>
      </w:pPr>
    </w:p>
    <w:p>
      <w:pPr>
        <w:jc w:val="center"/>
        <w:rPr>
          <w:rFonts w:ascii="黑体" w:eastAsia="黑体" w:hint="eastAsia"/>
          <w:color w:val="000000"/>
          <w:sz w:val="32"/>
          <w:szCs w:val="32"/>
        </w:rPr>
      </w:pPr>
      <w:r>
        <w:rPr>
          <w:rFonts w:ascii="黑体" w:eastAsia="黑体" w:hint="eastAsia"/>
          <w:color w:val="000000"/>
          <w:sz w:val="32"/>
          <w:szCs w:val="32"/>
          <w:lang w:eastAsia="zh-CN"/>
        </w:rPr>
        <w:t>2021</w:t>
      </w:r>
      <w:r>
        <w:rPr>
          <w:rFonts w:ascii="黑体" w:eastAsia="黑体" w:hint="eastAsia"/>
          <w:color w:val="000000"/>
          <w:sz w:val="32"/>
          <w:szCs w:val="32"/>
        </w:rPr>
        <w:t>年部门整体支出绩效评价得分表</w:t>
      </w:r>
    </w:p>
    <w:tbl>
      <w:tblPr>
        <w:jc w:val="left"/>
        <w:tblInd w:w="-17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702"/>
        <w:gridCol w:w="2268"/>
        <w:gridCol w:w="3402"/>
        <w:gridCol w:w="2126"/>
      </w:tblGrid>
      <w:tr>
        <w:trPr>
          <w:trHeight w:val="240"/>
        </w:trPr>
        <w:tc>
          <w:tcPr>
            <w:tcW w:w="1702" w:type="dxa"/>
            <w:tcBorders>
              <w:top w:val="single" w:sz="4" w:space="0" w:color="auto"/>
              <w:left w:val="single" w:sz="4" w:space="0" w:color="auto"/>
              <w:bottom w:val="single" w:sz="4" w:space="0" w:color="auto"/>
              <w:right w:val="single" w:sz="4" w:space="0" w:color="auto"/>
            </w:tcBorders>
            <w:noWrap/>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一级指标</w:t>
            </w:r>
          </w:p>
        </w:tc>
        <w:tc>
          <w:tcPr>
            <w:tcW w:w="2268" w:type="dxa"/>
            <w:tcBorders>
              <w:top w:val="single" w:sz="4" w:space="0" w:color="auto"/>
              <w:left w:val="nil"/>
              <w:bottom w:val="single" w:sz="4" w:space="0" w:color="auto"/>
              <w:right w:val="single" w:sz="4" w:space="0" w:color="auto"/>
            </w:tcBorders>
            <w:noWrap/>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二级指标</w:t>
            </w:r>
          </w:p>
        </w:tc>
        <w:tc>
          <w:tcPr>
            <w:tcW w:w="3402" w:type="dxa"/>
            <w:tcBorders>
              <w:top w:val="single" w:sz="4" w:space="0" w:color="auto"/>
              <w:left w:val="nil"/>
              <w:bottom w:val="single" w:sz="4" w:space="0" w:color="auto"/>
              <w:right w:val="single" w:sz="4" w:space="0" w:color="auto"/>
            </w:tcBorders>
            <w:noWrap/>
            <w:vAlign w:val="center"/>
          </w:tcPr>
          <w:p>
            <w:pPr>
              <w:widowControl/>
              <w:jc w:val="center"/>
              <w:rPr>
                <w:rFonts w:ascii="宋体" w:cs="宋体"/>
                <w:b/>
                <w:bCs/>
                <w:color w:val="000000"/>
                <w:kern w:val="0"/>
                <w:sz w:val="20"/>
                <w:szCs w:val="20"/>
              </w:rPr>
            </w:pPr>
            <w:r>
              <w:rPr>
                <w:rFonts w:ascii="宋体" w:cs="宋体" w:hint="eastAsia"/>
                <w:b/>
                <w:bCs/>
                <w:color w:val="000000"/>
                <w:kern w:val="0"/>
                <w:sz w:val="20"/>
                <w:szCs w:val="20"/>
              </w:rPr>
              <w:t>三级指标</w:t>
            </w:r>
          </w:p>
        </w:tc>
        <w:tc>
          <w:tcPr>
            <w:tcW w:w="2126" w:type="dxa"/>
            <w:tcBorders>
              <w:top w:val="single" w:sz="4" w:space="0" w:color="auto"/>
              <w:left w:val="nil"/>
              <w:bottom w:val="single" w:sz="4" w:space="0" w:color="auto"/>
              <w:right w:val="single" w:sz="4" w:space="0" w:color="auto"/>
            </w:tcBorders>
            <w:noWrap/>
          </w:tcPr>
          <w:p>
            <w:pPr>
              <w:widowControl/>
              <w:jc w:val="center"/>
              <w:rPr>
                <w:rFonts w:ascii="宋体" w:cs="宋体" w:hint="eastAsia"/>
                <w:b/>
                <w:bCs/>
                <w:color w:val="000000"/>
                <w:kern w:val="0"/>
                <w:sz w:val="20"/>
                <w:szCs w:val="20"/>
              </w:rPr>
            </w:pPr>
            <w:r>
              <w:rPr>
                <w:rFonts w:ascii="宋体" w:cs="宋体" w:hint="eastAsia"/>
                <w:b/>
                <w:bCs/>
                <w:color w:val="000000"/>
                <w:kern w:val="0"/>
                <w:sz w:val="20"/>
                <w:szCs w:val="20"/>
              </w:rPr>
              <w:t>得分</w:t>
            </w:r>
          </w:p>
        </w:tc>
      </w:tr>
      <w:tr>
        <w:trPr>
          <w:trHeight w:val="520"/>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部门决策（25分）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目标任务（15分）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相关性（5分）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szCs w:val="20"/>
                <w:lang w:eastAsia="zh-CN"/>
              </w:rPr>
            </w:pPr>
            <w:r>
              <w:rPr>
                <w:rFonts w:ascii="宋体" w:cs="宋体" w:hint="eastAsia"/>
                <w:color w:val="000000"/>
                <w:kern w:val="0"/>
                <w:sz w:val="20"/>
                <w:szCs w:val="20"/>
                <w:lang w:val="en-US" w:eastAsia="zh-CN"/>
              </w:rPr>
              <w:t>4</w:t>
            </w:r>
          </w:p>
        </w:tc>
      </w:tr>
      <w:tr>
        <w:trPr>
          <w:trHeight w:val="9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明确性（5分）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color w:val="000000"/>
                <w:kern w:val="0"/>
                <w:sz w:val="20"/>
                <w:szCs w:val="20"/>
                <w:lang w:val="en-US" w:eastAsia="zh-CN"/>
              </w:rPr>
            </w:pPr>
            <w:r>
              <w:rPr>
                <w:rFonts w:ascii="宋体" w:cs="宋体" w:hint="eastAsia"/>
                <w:color w:val="000000"/>
                <w:kern w:val="0"/>
                <w:sz w:val="20"/>
                <w:szCs w:val="20"/>
                <w:lang w:val="en-US" w:eastAsia="zh-CN"/>
              </w:rPr>
              <w:t>3.5</w:t>
            </w:r>
          </w:p>
        </w:tc>
      </w:tr>
      <w:tr>
        <w:trPr>
          <w:trHeight w:val="42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合理性（5分）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3</w:t>
            </w:r>
          </w:p>
        </w:tc>
      </w:tr>
      <w:tr>
        <w:trPr>
          <w:trHeight w:val="269"/>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预算编制（10分）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测算依据（5分）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3</w:t>
            </w:r>
          </w:p>
        </w:tc>
      </w:tr>
      <w:tr>
        <w:trPr>
          <w:trHeight w:val="23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目标管理（5分）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4</w:t>
            </w:r>
          </w:p>
        </w:tc>
      </w:tr>
      <w:tr>
        <w:trPr>
          <w:trHeight w:val="477"/>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综合管理（30分）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专项资金分配时限（2分）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省级财力专项预算分配时限（1分）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1</w:t>
            </w:r>
          </w:p>
        </w:tc>
      </w:tr>
      <w:tr>
        <w:trPr>
          <w:trHeight w:val="41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中央专款分配合规率（1分）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1</w:t>
            </w:r>
          </w:p>
        </w:tc>
      </w:tr>
      <w:tr>
        <w:trPr>
          <w:trHeight w:val="277"/>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中期评估（2分）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执行中期评估（2分）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1</w:t>
            </w:r>
          </w:p>
        </w:tc>
      </w:tr>
      <w:tr>
        <w:trPr>
          <w:trHeight w:val="38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绩效监控（5分）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预算执行进度监控（2分）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27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绩效目标动态监控（3分）</w:t>
            </w:r>
          </w:p>
        </w:tc>
        <w:tc>
          <w:tcPr>
            <w:tcW w:w="2126" w:type="dxa"/>
            <w:tcBorders>
              <w:top w:val="nil"/>
              <w:left w:val="nil"/>
              <w:bottom w:val="single" w:sz="4" w:space="0" w:color="auto"/>
              <w:right w:val="single" w:sz="4" w:space="0" w:color="auto"/>
            </w:tcBorders>
            <w:noWrap/>
          </w:tcPr>
          <w:p>
            <w:pPr>
              <w:widowControl/>
              <w:jc w:val="left"/>
              <w:rPr>
                <w:rFonts w:ascii="宋体" w:eastAsia="宋体" w:cs="宋体" w:hint="eastAsia"/>
                <w:color w:val="000000"/>
                <w:kern w:val="0"/>
                <w:sz w:val="20"/>
                <w:szCs w:val="20"/>
                <w:lang w:eastAsia="zh-CN"/>
              </w:rPr>
            </w:pPr>
            <w:r>
              <w:rPr>
                <w:rFonts w:ascii="宋体" w:cs="宋体" w:hint="eastAsia"/>
                <w:color w:val="000000"/>
                <w:kern w:val="0"/>
                <w:sz w:val="20"/>
                <w:szCs w:val="20"/>
                <w:lang w:val="en-US" w:eastAsia="zh-CN"/>
              </w:rPr>
              <w:t>2</w:t>
            </w:r>
          </w:p>
        </w:tc>
      </w:tr>
      <w:tr>
        <w:trPr>
          <w:trHeight w:val="23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非税收入执收情况（2分）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非税收入征收情况（1分）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1</w:t>
            </w:r>
          </w:p>
        </w:tc>
      </w:tr>
      <w:tr>
        <w:trPr>
          <w:trHeight w:val="32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非税收入上缴情况（1分）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1</w:t>
            </w:r>
          </w:p>
        </w:tc>
      </w:tr>
      <w:tr>
        <w:trPr>
          <w:trHeight w:val="28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资产管理（6分）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资产管理信息化情况（2分）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23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行政事业单位资产报告情况（2分）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353"/>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资产管理与预算管理相结合（2分）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272"/>
        </w:trPr>
        <w:tc>
          <w:tcPr>
            <w:tcW w:w="1702" w:type="dxa"/>
            <w:vMerge/>
            <w:tcBorders>
              <w:left w:val="single" w:sz="4" w:space="0" w:color="auto"/>
              <w:right w:val="single" w:sz="4" w:space="0" w:color="auto"/>
            </w:tcBorders>
            <w:noWrap/>
            <w:vAlign w:val="center"/>
          </w:tcPr>
          <w:p/>
        </w:tc>
        <w:tc>
          <w:tcPr>
            <w:tcW w:w="2268"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内控制度管理（2分）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内部控制度健全完整（2分）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1</w:t>
            </w:r>
          </w:p>
        </w:tc>
      </w:tr>
      <w:tr>
        <w:trPr>
          <w:trHeight w:val="221"/>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信息公开（6分）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预算公开（2分）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19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决算公开（2分）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287"/>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绩效信息公开（2分）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405"/>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绩效评价（5分）</w:t>
            </w: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绩效评价开展（2分）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127"/>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评价结果应用（3分）</w:t>
            </w:r>
          </w:p>
        </w:tc>
        <w:tc>
          <w:tcPr>
            <w:tcW w:w="2126" w:type="dxa"/>
            <w:tcBorders>
              <w:top w:val="nil"/>
              <w:left w:val="nil"/>
              <w:bottom w:val="single" w:sz="4" w:space="0" w:color="auto"/>
              <w:right w:val="single" w:sz="4" w:space="0" w:color="auto"/>
            </w:tcBorders>
            <w:noWrap/>
          </w:tcPr>
          <w:p>
            <w:pPr>
              <w:widowControl/>
              <w:jc w:val="left"/>
              <w:rPr>
                <w:rFonts w:ascii="宋体" w:cs="宋体" w:hint="eastAsia"/>
                <w:color w:val="000000"/>
                <w:kern w:val="0"/>
                <w:sz w:val="20"/>
                <w:szCs w:val="20"/>
              </w:rPr>
            </w:pPr>
            <w:r>
              <w:rPr>
                <w:rFonts w:ascii="宋体" w:cs="宋体" w:hint="eastAsia"/>
                <w:color w:val="000000"/>
                <w:kern w:val="0"/>
                <w:sz w:val="20"/>
                <w:szCs w:val="20"/>
              </w:rPr>
              <w:t>2</w:t>
            </w:r>
          </w:p>
        </w:tc>
      </w:tr>
      <w:tr>
        <w:trPr>
          <w:trHeight w:val="231"/>
        </w:trPr>
        <w:tc>
          <w:tcPr>
            <w:tcW w:w="1702"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部门绩效情况（45分）</w:t>
            </w: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履职成效（20分）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部门特性指标</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color w:val="000000"/>
                <w:kern w:val="0"/>
                <w:sz w:val="20"/>
                <w:szCs w:val="20"/>
                <w:lang w:val="en-US" w:eastAsia="zh-CN"/>
              </w:rPr>
            </w:pPr>
            <w:r>
              <w:rPr>
                <w:rFonts w:ascii="宋体" w:cs="宋体" w:hint="eastAsia"/>
                <w:color w:val="000000"/>
                <w:kern w:val="0"/>
                <w:sz w:val="20"/>
                <w:szCs w:val="20"/>
                <w:lang w:val="en-US" w:eastAsia="zh-CN"/>
              </w:rPr>
              <w:t>18</w:t>
            </w:r>
          </w:p>
        </w:tc>
      </w:tr>
      <w:tr>
        <w:trPr>
          <w:trHeight w:val="18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noWrap/>
          </w:tcPr>
          <w:p>
            <w:pPr>
              <w:widowControl/>
              <w:jc w:val="center"/>
              <w:rPr>
                <w:rFonts w:ascii="宋体" w:cs="宋体"/>
                <w:color w:val="000000"/>
                <w:kern w:val="0"/>
                <w:sz w:val="20"/>
                <w:szCs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noWrap/>
          </w:tcPr>
          <w:p>
            <w:pPr>
              <w:widowControl/>
              <w:jc w:val="center"/>
              <w:rPr>
                <w:rFonts w:ascii="宋体" w:cs="宋体"/>
                <w:color w:val="000000"/>
                <w:kern w:val="0"/>
                <w:sz w:val="20"/>
                <w:szCs w:val="20"/>
              </w:rPr>
            </w:pPr>
          </w:p>
        </w:tc>
      </w:tr>
      <w:tr>
        <w:trPr>
          <w:trHeight w:val="240"/>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p>
        </w:tc>
        <w:tc>
          <w:tcPr>
            <w:tcW w:w="2126" w:type="dxa"/>
            <w:tcBorders>
              <w:top w:val="nil"/>
              <w:left w:val="nil"/>
              <w:bottom w:val="single" w:sz="4" w:space="0" w:color="auto"/>
              <w:right w:val="single" w:sz="4" w:space="0" w:color="auto"/>
            </w:tcBorders>
            <w:noWrap/>
          </w:tcPr>
          <w:p>
            <w:pPr>
              <w:widowControl/>
              <w:jc w:val="center"/>
              <w:rPr>
                <w:rFonts w:ascii="宋体" w:cs="宋体"/>
                <w:color w:val="000000"/>
                <w:kern w:val="0"/>
                <w:sz w:val="20"/>
                <w:szCs w:val="20"/>
              </w:rPr>
            </w:pPr>
          </w:p>
        </w:tc>
      </w:tr>
      <w:tr>
        <w:trPr>
          <w:trHeight w:val="157"/>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bottom w:val="single" w:sz="4" w:space="0" w:color="auto"/>
              <w:right w:val="single" w:sz="4" w:space="0" w:color="auto"/>
            </w:tcBorders>
            <w:noWrap/>
            <w:vAlign w:val="center"/>
          </w:tcPr>
          <w:p>
            <w:pPr>
              <w:widowControl/>
              <w:jc w:val="left"/>
              <w:rPr>
                <w:rFonts w:ascii="宋体" w:cs="宋体"/>
                <w:color w:val="000000"/>
                <w:kern w:val="0"/>
                <w:sz w:val="20"/>
                <w:szCs w:val="20"/>
              </w:rPr>
            </w:pPr>
            <w:r>
              <w:rPr>
                <w:rFonts w:ascii="宋体" w:cs="宋体" w:hint="eastAsia"/>
                <w:color w:val="000000"/>
                <w:kern w:val="0"/>
                <w:sz w:val="20"/>
                <w:szCs w:val="20"/>
              </w:rPr>
              <w:t>可持续发展能力（15分）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重点改革（重点工作）完成情况（5分）</w:t>
            </w:r>
          </w:p>
        </w:tc>
        <w:tc>
          <w:tcPr>
            <w:tcW w:w="2126" w:type="dxa"/>
            <w:tcBorders>
              <w:top w:val="nil"/>
              <w:left w:val="nil"/>
              <w:bottom w:val="single" w:sz="4" w:space="0" w:color="auto"/>
              <w:right w:val="single" w:sz="4" w:space="0" w:color="auto"/>
            </w:tcBorders>
            <w:noWrap/>
          </w:tcPr>
          <w:p>
            <w:pPr>
              <w:widowControl/>
              <w:jc w:val="center"/>
              <w:rPr>
                <w:rFonts w:ascii="宋体" w:cs="宋体" w:hint="eastAsia"/>
                <w:color w:val="000000"/>
                <w:kern w:val="0"/>
                <w:sz w:val="20"/>
                <w:szCs w:val="20"/>
              </w:rPr>
            </w:pPr>
            <w:r>
              <w:rPr>
                <w:rFonts w:ascii="宋体" w:cs="宋体" w:hint="eastAsia"/>
                <w:color w:val="000000"/>
                <w:kern w:val="0"/>
                <w:sz w:val="20"/>
                <w:szCs w:val="20"/>
              </w:rPr>
              <w:t>4</w:t>
            </w:r>
          </w:p>
        </w:tc>
      </w:tr>
      <w:tr>
        <w:trPr>
          <w:trHeight w:val="679"/>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科技（制度、方法、机制等）创新（5分）</w:t>
            </w:r>
          </w:p>
        </w:tc>
        <w:tc>
          <w:tcPr>
            <w:tcW w:w="2126" w:type="dxa"/>
            <w:tcBorders>
              <w:top w:val="nil"/>
              <w:left w:val="nil"/>
              <w:bottom w:val="single" w:sz="4" w:space="0" w:color="auto"/>
              <w:right w:val="single" w:sz="4" w:space="0" w:color="auto"/>
            </w:tcBorders>
            <w:noWrap/>
          </w:tcPr>
          <w:p>
            <w:pPr>
              <w:widowControl/>
              <w:jc w:val="center"/>
              <w:rPr>
                <w:rFonts w:ascii="宋体" w:cs="宋体" w:hint="eastAsia"/>
                <w:color w:val="000000"/>
                <w:kern w:val="0"/>
                <w:sz w:val="20"/>
                <w:szCs w:val="20"/>
              </w:rPr>
            </w:pPr>
            <w:r>
              <w:rPr>
                <w:rFonts w:ascii="宋体" w:cs="宋体" w:hint="eastAsia"/>
                <w:color w:val="000000"/>
                <w:kern w:val="0"/>
                <w:sz w:val="20"/>
                <w:szCs w:val="20"/>
              </w:rPr>
              <w:t>3</w:t>
            </w:r>
          </w:p>
        </w:tc>
      </w:tr>
      <w:tr>
        <w:trPr>
          <w:trHeight w:val="385"/>
        </w:trPr>
        <w:tc>
          <w:tcPr>
            <w:tcW w:w="1702" w:type="dxa"/>
            <w:vMerge/>
            <w:tcBorders>
              <w:left w:val="single" w:sz="4" w:space="0" w:color="auto"/>
              <w:right w:val="single" w:sz="4" w:space="0" w:color="auto"/>
            </w:tcBorders>
            <w:noWrap/>
            <w:vAlign w:val="center"/>
          </w:tcPr>
          <w:p/>
        </w:tc>
        <w:tc>
          <w:tcPr>
            <w:tcW w:w="2268" w:type="dxa"/>
            <w:vMerge/>
            <w:tcBorders>
              <w:top w:val="nil"/>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人才培养（5分）</w:t>
            </w:r>
          </w:p>
        </w:tc>
        <w:tc>
          <w:tcPr>
            <w:tcW w:w="2126" w:type="dxa"/>
            <w:tcBorders>
              <w:top w:val="nil"/>
              <w:left w:val="nil"/>
              <w:bottom w:val="single" w:sz="4" w:space="0" w:color="auto"/>
              <w:right w:val="single" w:sz="4" w:space="0" w:color="auto"/>
            </w:tcBorders>
            <w:noWrap/>
          </w:tcPr>
          <w:p>
            <w:pPr>
              <w:widowControl/>
              <w:jc w:val="center"/>
              <w:rPr>
                <w:rFonts w:ascii="宋体" w:cs="宋体" w:hint="eastAsia"/>
                <w:color w:val="000000"/>
                <w:kern w:val="0"/>
                <w:sz w:val="20"/>
                <w:szCs w:val="20"/>
              </w:rPr>
            </w:pPr>
            <w:r>
              <w:rPr>
                <w:rFonts w:ascii="宋体" w:cs="宋体" w:hint="eastAsia"/>
                <w:color w:val="000000"/>
                <w:kern w:val="0"/>
                <w:sz w:val="20"/>
                <w:szCs w:val="20"/>
              </w:rPr>
              <w:t>3</w:t>
            </w:r>
          </w:p>
        </w:tc>
      </w:tr>
      <w:tr>
        <w:trPr>
          <w:trHeight w:val="432"/>
        </w:trPr>
        <w:tc>
          <w:tcPr>
            <w:tcW w:w="1702" w:type="dxa"/>
            <w:vMerge/>
            <w:tcBorders>
              <w:left w:val="single" w:sz="4" w:space="0" w:color="auto"/>
              <w:right w:val="single" w:sz="4" w:space="0" w:color="auto"/>
            </w:tcBorders>
            <w:noWrap/>
            <w:vAlign w:val="center"/>
          </w:tcPr>
          <w:p/>
        </w:tc>
        <w:tc>
          <w:tcPr>
            <w:tcW w:w="2268" w:type="dxa"/>
            <w:vMerge w:val="restart"/>
            <w:tcBorders>
              <w:top w:val="nil"/>
              <w:left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满意度（10分）</w:t>
            </w: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协作部门满意度（3分）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szCs w:val="20"/>
                <w:lang w:eastAsia="zh-CN"/>
              </w:rPr>
            </w:pPr>
            <w:r>
              <w:rPr>
                <w:rFonts w:ascii="宋体" w:cs="宋体" w:hint="eastAsia"/>
                <w:color w:val="000000"/>
                <w:kern w:val="0"/>
                <w:sz w:val="20"/>
                <w:szCs w:val="20"/>
                <w:lang w:val="en-US" w:eastAsia="zh-CN"/>
              </w:rPr>
              <w:t>3</w:t>
            </w:r>
          </w:p>
        </w:tc>
      </w:tr>
      <w:tr>
        <w:trPr>
          <w:trHeight w:val="396"/>
        </w:trPr>
        <w:tc>
          <w:tcPr>
            <w:tcW w:w="1702" w:type="dxa"/>
            <w:vMerge/>
            <w:tcBorders>
              <w:left w:val="single" w:sz="4" w:space="0" w:color="auto"/>
              <w:right w:val="single" w:sz="4" w:space="0" w:color="auto"/>
            </w:tcBorders>
            <w:noWrap/>
            <w:vAlign w:val="center"/>
          </w:tcPr>
          <w:p/>
        </w:tc>
        <w:tc>
          <w:tcPr>
            <w:tcW w:w="2268" w:type="dxa"/>
            <w:vMerge/>
            <w:tcBorders>
              <w:left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管理对象满意度（3分）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szCs w:val="20"/>
                <w:lang w:eastAsia="zh-CN"/>
              </w:rPr>
            </w:pPr>
            <w:r>
              <w:rPr>
                <w:rFonts w:ascii="宋体" w:cs="宋体" w:hint="eastAsia"/>
                <w:color w:val="000000"/>
                <w:kern w:val="0"/>
                <w:sz w:val="20"/>
                <w:szCs w:val="20"/>
                <w:lang w:val="en-US" w:eastAsia="zh-CN"/>
              </w:rPr>
              <w:t>3</w:t>
            </w:r>
          </w:p>
        </w:tc>
      </w:tr>
      <w:tr>
        <w:trPr>
          <w:trHeight w:val="411"/>
        </w:trPr>
        <w:tc>
          <w:tcPr>
            <w:tcW w:w="1702" w:type="dxa"/>
            <w:vMerge/>
            <w:tcBorders>
              <w:left w:val="single" w:sz="4" w:space="0" w:color="auto"/>
              <w:bottom w:val="single" w:sz="4" w:space="0" w:color="auto"/>
              <w:right w:val="single" w:sz="4" w:space="0" w:color="auto"/>
            </w:tcBorders>
            <w:noWrap/>
            <w:vAlign w:val="center"/>
          </w:tcPr>
          <w:p/>
        </w:tc>
        <w:tc>
          <w:tcPr>
            <w:tcW w:w="2268" w:type="dxa"/>
            <w:vMerge/>
            <w:tcBorders>
              <w:left w:val="single" w:sz="4" w:space="0" w:color="auto"/>
              <w:bottom w:val="single" w:sz="4" w:space="0" w:color="auto"/>
              <w:right w:val="single" w:sz="4" w:space="0" w:color="auto"/>
            </w:tcBorders>
            <w:noWrap/>
            <w:vAlign w:val="center"/>
          </w:tcPr>
          <w:p/>
        </w:tc>
        <w:tc>
          <w:tcPr>
            <w:tcW w:w="3402" w:type="dxa"/>
            <w:tcBorders>
              <w:top w:val="nil"/>
              <w:left w:val="nil"/>
              <w:bottom w:val="single" w:sz="4" w:space="0" w:color="auto"/>
              <w:right w:val="single" w:sz="4" w:space="0" w:color="auto"/>
            </w:tcBorders>
            <w:noWrap/>
            <w:vAlign w:val="center"/>
          </w:tcPr>
          <w:p>
            <w:pPr>
              <w:widowControl/>
              <w:jc w:val="center"/>
              <w:rPr>
                <w:rFonts w:ascii="宋体" w:cs="宋体"/>
                <w:color w:val="000000"/>
                <w:kern w:val="0"/>
                <w:sz w:val="20"/>
                <w:szCs w:val="20"/>
              </w:rPr>
            </w:pPr>
            <w:r>
              <w:rPr>
                <w:rFonts w:ascii="宋体" w:cs="宋体" w:hint="eastAsia"/>
                <w:color w:val="000000"/>
                <w:kern w:val="0"/>
                <w:sz w:val="20"/>
                <w:szCs w:val="20"/>
              </w:rPr>
              <w:t>社会公众满意度（4分）</w:t>
            </w:r>
          </w:p>
        </w:tc>
        <w:tc>
          <w:tcPr>
            <w:tcW w:w="2126" w:type="dxa"/>
            <w:tcBorders>
              <w:top w:val="nil"/>
              <w:left w:val="nil"/>
              <w:bottom w:val="single" w:sz="4" w:space="0" w:color="auto"/>
              <w:right w:val="single" w:sz="4" w:space="0" w:color="auto"/>
            </w:tcBorders>
            <w:noWrap/>
          </w:tcPr>
          <w:p>
            <w:pPr>
              <w:widowControl/>
              <w:jc w:val="center"/>
              <w:rPr>
                <w:rFonts w:ascii="宋体" w:eastAsia="宋体" w:cs="宋体" w:hint="eastAsia"/>
                <w:color w:val="000000"/>
                <w:kern w:val="0"/>
                <w:sz w:val="20"/>
                <w:szCs w:val="20"/>
                <w:lang w:eastAsia="zh-CN"/>
              </w:rPr>
            </w:pPr>
            <w:r>
              <w:rPr>
                <w:rFonts w:ascii="宋体" w:cs="宋体" w:hint="eastAsia"/>
                <w:color w:val="000000"/>
                <w:kern w:val="0"/>
                <w:sz w:val="20"/>
                <w:szCs w:val="20"/>
                <w:lang w:val="en-US" w:eastAsia="zh-CN"/>
              </w:rPr>
              <w:t>4</w:t>
            </w:r>
          </w:p>
        </w:tc>
      </w:tr>
    </w:tbl>
    <w:p>
      <w:pPr>
        <w:spacing w:line="600" w:lineRule="atLeast"/>
        <w:rPr>
          <w:rFonts w:ascii="楷体" w:eastAsia="楷体" w:cs="楷体" w:hint="eastAsia"/>
          <w:b/>
          <w:bCs/>
          <w:color w:val="000000"/>
          <w:sz w:val="32"/>
          <w:szCs w:val="32"/>
        </w:rPr>
      </w:pPr>
    </w:p>
    <w:p>
      <w:pPr>
        <w:spacing w:line="600" w:lineRule="atLeast"/>
        <w:ind w:firstLineChars="200" w:firstLine="640"/>
        <w:rPr>
          <w:rFonts w:ascii="楷体" w:eastAsia="楷体" w:cs="楷体" w:hint="eastAsia"/>
          <w:b/>
          <w:bCs/>
          <w:color w:val="000000"/>
          <w:sz w:val="32"/>
          <w:szCs w:val="32"/>
        </w:rPr>
      </w:pPr>
      <w:r>
        <w:rPr>
          <w:rFonts w:ascii="楷体" w:eastAsia="楷体" w:cs="楷体" w:hint="eastAsia"/>
          <w:b/>
          <w:bCs/>
          <w:color w:val="000000"/>
          <w:sz w:val="32"/>
          <w:szCs w:val="32"/>
          <w:lang w:val="en-US" w:eastAsia="zh-CN"/>
        </w:rPr>
        <w:t>2</w:t>
      </w:r>
      <w:r>
        <w:rPr>
          <w:rFonts w:ascii="楷体" w:eastAsia="楷体" w:cs="楷体" w:hint="eastAsia"/>
          <w:b/>
          <w:bCs/>
          <w:color w:val="000000"/>
          <w:sz w:val="32"/>
          <w:szCs w:val="32"/>
        </w:rPr>
        <w:t>.部门自行组织绩效评价开展情况。</w:t>
      </w:r>
    </w:p>
    <w:p>
      <w:pPr>
        <w:spacing w:line="600" w:lineRule="atLeas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本部门对沙耳乡开展了整体支出绩效评价，得分为</w:t>
      </w:r>
      <w:r>
        <w:rPr>
          <w:rFonts w:ascii="仿宋_GB2312" w:eastAsia="仿宋_GB2312" w:hint="eastAsia"/>
          <w:color w:val="000000"/>
          <w:sz w:val="32"/>
          <w:szCs w:val="32"/>
          <w:lang w:val="en-US" w:eastAsia="zh-CN"/>
        </w:rPr>
        <w:t>81.5</w:t>
      </w:r>
      <w:r>
        <w:rPr>
          <w:rFonts w:ascii="仿宋_GB2312" w:eastAsia="仿宋_GB2312" w:hint="eastAsia"/>
          <w:color w:val="000000"/>
          <w:sz w:val="32"/>
          <w:szCs w:val="32"/>
        </w:rPr>
        <w:t>分，存在的问题：</w:t>
      </w:r>
      <w:r>
        <w:rPr>
          <w:rFonts w:ascii="仿宋_GB2312" w:eastAsia="仿宋_GB2312" w:hint="eastAsia"/>
          <w:b/>
          <w:bCs/>
          <w:color w:val="000000"/>
          <w:sz w:val="32"/>
          <w:szCs w:val="32"/>
        </w:rPr>
        <w:t>一是</w:t>
      </w:r>
      <w:r>
        <w:rPr>
          <w:rFonts w:ascii="仿宋_GB2312" w:eastAsia="仿宋_GB2312" w:hint="eastAsia"/>
          <w:color w:val="000000"/>
          <w:sz w:val="32"/>
          <w:szCs w:val="32"/>
        </w:rPr>
        <w:t>项目效益较差</w:t>
      </w:r>
      <w:r>
        <w:rPr>
          <w:rFonts w:ascii="仿宋_GB2312" w:eastAsia="仿宋_GB2312" w:hint="eastAsia"/>
          <w:color w:val="000000"/>
          <w:sz w:val="32"/>
          <w:szCs w:val="32"/>
          <w:lang w:eastAsia="zh-CN"/>
        </w:rPr>
        <w:t>；</w:t>
      </w:r>
      <w:r>
        <w:rPr>
          <w:rFonts w:ascii="仿宋_GB2312" w:eastAsia="仿宋_GB2312" w:hint="eastAsia"/>
          <w:b/>
          <w:bCs/>
          <w:color w:val="000000"/>
          <w:sz w:val="32"/>
          <w:szCs w:val="32"/>
        </w:rPr>
        <w:t>二是</w:t>
      </w:r>
      <w:r>
        <w:rPr>
          <w:rFonts w:ascii="仿宋_GB2312" w:eastAsia="仿宋_GB2312" w:hint="eastAsia"/>
          <w:color w:val="000000"/>
          <w:sz w:val="32"/>
          <w:szCs w:val="32"/>
        </w:rPr>
        <w:t>项目目标缺乏明确性和合理性。下一步改进措施：</w:t>
      </w:r>
      <w:r>
        <w:rPr>
          <w:rFonts w:ascii="仿宋_GB2312" w:eastAsia="仿宋_GB2312" w:hint="eastAsia"/>
          <w:b/>
          <w:bCs/>
          <w:color w:val="000000"/>
          <w:sz w:val="32"/>
          <w:szCs w:val="32"/>
        </w:rPr>
        <w:t>一是</w:t>
      </w:r>
      <w:r>
        <w:rPr>
          <w:rFonts w:ascii="仿宋_GB2312" w:eastAsia="仿宋_GB2312" w:hint="eastAsia"/>
          <w:color w:val="000000"/>
          <w:sz w:val="32"/>
          <w:szCs w:val="32"/>
        </w:rPr>
        <w:t>加强项目效益</w:t>
      </w:r>
      <w:r>
        <w:rPr>
          <w:rFonts w:ascii="仿宋_GB2312" w:eastAsia="仿宋_GB2312" w:hint="eastAsia"/>
          <w:color w:val="000000"/>
          <w:sz w:val="32"/>
          <w:szCs w:val="32"/>
          <w:lang w:eastAsia="zh-CN"/>
        </w:rPr>
        <w:t>；</w:t>
      </w:r>
      <w:r>
        <w:rPr>
          <w:rFonts w:ascii="仿宋_GB2312" w:eastAsia="仿宋_GB2312" w:hint="eastAsia"/>
          <w:b/>
          <w:bCs/>
          <w:color w:val="000000"/>
          <w:sz w:val="32"/>
          <w:szCs w:val="32"/>
        </w:rPr>
        <w:t>二是</w:t>
      </w:r>
      <w:r>
        <w:rPr>
          <w:rFonts w:ascii="仿宋_GB2312" w:eastAsia="仿宋_GB2312" w:hint="eastAsia"/>
          <w:color w:val="000000"/>
          <w:sz w:val="32"/>
          <w:szCs w:val="32"/>
        </w:rPr>
        <w:t>加强项目目标缺乏明确性和合理性。</w:t>
      </w:r>
    </w:p>
    <w:p>
      <w:pPr>
        <w:ind w:firstLineChars="400" w:firstLine="1280"/>
        <w:rPr>
          <w:rFonts w:ascii="黑体" w:eastAsia="黑体" w:hint="eastAsia"/>
          <w:color w:val="000000"/>
          <w:sz w:val="32"/>
          <w:szCs w:val="32"/>
        </w:rPr>
      </w:pPr>
      <w:r>
        <w:rPr>
          <w:rFonts w:ascii="黑体" w:eastAsia="黑体" w:hint="eastAsia"/>
          <w:color w:val="000000"/>
          <w:sz w:val="32"/>
          <w:szCs w:val="32"/>
          <w:lang w:eastAsia="zh-CN"/>
        </w:rPr>
        <w:t>2021</w:t>
      </w:r>
      <w:r>
        <w:rPr>
          <w:rFonts w:ascii="黑体" w:eastAsia="黑体" w:hint="eastAsia"/>
          <w:color w:val="000000"/>
          <w:sz w:val="32"/>
          <w:szCs w:val="32"/>
        </w:rPr>
        <w:t>年项目支出绩效评价得分表</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618"/>
        <w:gridCol w:w="2113"/>
        <w:gridCol w:w="3535"/>
        <w:gridCol w:w="1311"/>
        <w:gridCol w:w="1311"/>
      </w:tblGrid>
      <w:tr>
        <w:trPr>
          <w:trHeight w:val="639"/>
        </w:trPr>
        <w:tc>
          <w:tcPr>
            <w:tcW w:w="1618"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hint="eastAsia"/>
                <w:b/>
                <w:bCs/>
                <w:color w:val="000000"/>
                <w:kern w:val="0"/>
                <w:sz w:val="20"/>
                <w:szCs w:val="20"/>
              </w:rPr>
            </w:pPr>
            <w:r>
              <w:rPr>
                <w:rFonts w:ascii="宋体" w:cs="宋体" w:hint="eastAsia"/>
                <w:b/>
                <w:bCs/>
                <w:color w:val="000000"/>
                <w:kern w:val="0"/>
                <w:sz w:val="20"/>
                <w:szCs w:val="20"/>
              </w:rPr>
              <w:t>单位名称/</w:t>
            </w:r>
          </w:p>
          <w:p>
            <w:pPr>
              <w:widowControl/>
              <w:spacing w:line="260" w:lineRule="exact"/>
              <w:jc w:val="center"/>
              <w:rPr>
                <w:rFonts w:ascii="宋体" w:cs="宋体" w:hint="eastAsia"/>
                <w:b/>
                <w:bCs/>
                <w:color w:val="000000"/>
                <w:kern w:val="0"/>
                <w:sz w:val="20"/>
                <w:szCs w:val="20"/>
              </w:rPr>
            </w:pPr>
            <w:r>
              <w:rPr>
                <w:rFonts w:ascii="宋体" w:cs="宋体" w:hint="eastAsia"/>
                <w:b/>
                <w:bCs/>
                <w:color w:val="000000"/>
                <w:kern w:val="0"/>
                <w:sz w:val="20"/>
                <w:szCs w:val="20"/>
              </w:rPr>
              <w:t>项目名称</w:t>
            </w:r>
          </w:p>
        </w:tc>
        <w:tc>
          <w:tcPr>
            <w:tcW w:w="8270" w:type="dxa"/>
            <w:gridSpan w:val="4"/>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hint="eastAsia"/>
                <w:b/>
                <w:bCs/>
                <w:color w:val="000000"/>
                <w:kern w:val="0"/>
                <w:sz w:val="18"/>
                <w:szCs w:val="18"/>
              </w:rPr>
            </w:pPr>
          </w:p>
        </w:tc>
      </w:tr>
      <w:tr>
        <w:trPr>
          <w:trHeight w:val="610"/>
        </w:trPr>
        <w:tc>
          <w:tcPr>
            <w:tcW w:w="1618"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一级</w:t>
            </w:r>
          </w:p>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指标</w:t>
            </w:r>
          </w:p>
        </w:tc>
        <w:tc>
          <w:tcPr>
            <w:tcW w:w="2113"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二级</w:t>
            </w:r>
          </w:p>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指标</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三级指标</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b/>
                <w:bCs/>
                <w:color w:val="000000"/>
                <w:kern w:val="0"/>
                <w:sz w:val="20"/>
                <w:szCs w:val="20"/>
              </w:rPr>
            </w:pPr>
            <w:r>
              <w:rPr>
                <w:rFonts w:ascii="宋体" w:cs="宋体" w:hint="eastAsia"/>
                <w:b/>
                <w:bCs/>
                <w:color w:val="000000"/>
                <w:kern w:val="0"/>
                <w:sz w:val="20"/>
                <w:szCs w:val="20"/>
              </w:rPr>
              <w:t>分值</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hint="eastAsia"/>
                <w:b/>
                <w:bCs/>
                <w:color w:val="000000"/>
                <w:kern w:val="0"/>
                <w:sz w:val="18"/>
                <w:szCs w:val="18"/>
              </w:rPr>
            </w:pPr>
            <w:r>
              <w:rPr>
                <w:rFonts w:ascii="宋体" w:cs="宋体" w:hint="eastAsia"/>
                <w:b/>
                <w:bCs/>
                <w:color w:val="000000"/>
                <w:kern w:val="0"/>
                <w:sz w:val="18"/>
                <w:szCs w:val="18"/>
              </w:rPr>
              <w:t>得分</w:t>
            </w:r>
          </w:p>
        </w:tc>
      </w:tr>
      <w:tr>
        <w:trPr>
          <w:trHeight w:val="20"/>
        </w:trPr>
        <w:tc>
          <w:tcPr>
            <w:tcW w:w="1618"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（20分）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项目决策</w:t>
            </w: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（10分）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科学决策</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必要性</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（政策依据)</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3</w:t>
            </w:r>
          </w:p>
        </w:tc>
      </w:tr>
      <w:tr>
        <w:trPr>
          <w:trHeight w:val="2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可行性</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（政策完善）</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4</w:t>
            </w:r>
          </w:p>
        </w:tc>
      </w:tr>
      <w:tr>
        <w:trPr>
          <w:trHeight w:val="494"/>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（10）</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绩效目标    </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明确性</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3</w:t>
            </w:r>
          </w:p>
        </w:tc>
      </w:tr>
      <w:tr>
        <w:trPr>
          <w:trHeight w:val="375"/>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合理性</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3</w:t>
            </w:r>
          </w:p>
        </w:tc>
      </w:tr>
      <w:tr>
        <w:trPr>
          <w:trHeight w:val="531"/>
        </w:trPr>
        <w:tc>
          <w:tcPr>
            <w:tcW w:w="1618"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（10分）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项目管理</w:t>
            </w: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（7分）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资金管理</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资金分配</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3</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3</w:t>
            </w:r>
          </w:p>
        </w:tc>
      </w:tr>
      <w:tr>
        <w:trPr>
          <w:trHeight w:val="542"/>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textDirection w:val="tbRlV"/>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资金使用</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4</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4</w:t>
            </w:r>
          </w:p>
        </w:tc>
      </w:tr>
      <w:tr>
        <w:trPr>
          <w:trHeight w:val="74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（3分）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项目执行</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执行规范</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3</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3</w:t>
            </w:r>
          </w:p>
        </w:tc>
      </w:tr>
      <w:tr>
        <w:trPr>
          <w:trHeight w:val="616"/>
        </w:trPr>
        <w:tc>
          <w:tcPr>
            <w:tcW w:w="1618"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（特性指标70分）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项目绩效  </w:t>
            </w: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（20）</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项目完成</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完成数量</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5 </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4</w:t>
            </w:r>
          </w:p>
        </w:tc>
      </w:tr>
      <w:tr>
        <w:trPr>
          <w:trHeight w:val="554"/>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完成质量</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5 </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4</w:t>
            </w:r>
          </w:p>
        </w:tc>
      </w:tr>
      <w:tr>
        <w:trPr>
          <w:trHeight w:val="69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完成时效</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4</w:t>
            </w:r>
          </w:p>
        </w:tc>
      </w:tr>
      <w:tr>
        <w:trPr>
          <w:trHeight w:val="558"/>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完成成本</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5</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4</w:t>
            </w:r>
          </w:p>
        </w:tc>
      </w:tr>
      <w:tr>
        <w:trPr>
          <w:trHeight w:val="566"/>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val="restart"/>
            <w:tcBorders>
              <w:top w:val="single" w:sz="4" w:space="0" w:color="auto"/>
              <w:left w:val="single" w:sz="4" w:space="0" w:color="auto"/>
              <w:bottom w:val="single" w:sz="4" w:space="0" w:color="auto"/>
              <w:right w:val="single" w:sz="4" w:space="0" w:color="auto"/>
            </w:tcBorders>
            <w:noWrap/>
            <w:textDirection w:val="tbRlV"/>
            <w:vAlign w:val="center"/>
          </w:tcPr>
          <w:p>
            <w:pPr>
              <w:widowControl/>
              <w:spacing w:line="260" w:lineRule="exact"/>
              <w:jc w:val="center"/>
              <w:rPr>
                <w:rFonts w:ascii="宋体" w:eastAsia="宋体" w:cs="宋体" w:hint="eastAsia"/>
                <w:color w:val="000000"/>
                <w:kern w:val="0"/>
                <w:sz w:val="20"/>
                <w:szCs w:val="20"/>
                <w:lang w:eastAsia="zh-CN"/>
              </w:rPr>
            </w:pPr>
            <w:r>
              <w:rPr>
                <w:rFonts w:ascii="宋体" w:cs="宋体" w:hint="eastAsia"/>
                <w:color w:val="000000"/>
                <w:kern w:val="0"/>
                <w:sz w:val="20"/>
                <w:szCs w:val="20"/>
              </w:rPr>
              <w:t>（50分）</w:t>
            </w:r>
          </w:p>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项目效益</w:t>
            </w: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经济效益（可选项）</w:t>
            </w:r>
          </w:p>
        </w:tc>
        <w:tc>
          <w:tcPr>
            <w:tcW w:w="1311" w:type="dxa"/>
            <w:vMerge w:val="restart"/>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40</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p>
        </w:tc>
      </w:tr>
      <w:tr>
        <w:trPr>
          <w:trHeight w:val="688"/>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社会效益（可选项）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p>
        </w:tc>
      </w:tr>
      <w:tr>
        <w:trPr>
          <w:trHeight w:val="557"/>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生态效益（可选项）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hint="eastAsia"/>
                <w:color w:val="000000"/>
                <w:kern w:val="0"/>
                <w:sz w:val="15"/>
                <w:szCs w:val="15"/>
              </w:rPr>
            </w:pPr>
            <w:r>
              <w:rPr>
                <w:rFonts w:ascii="宋体" w:cs="宋体" w:hint="eastAsia"/>
                <w:color w:val="000000"/>
                <w:kern w:val="0"/>
                <w:sz w:val="15"/>
                <w:szCs w:val="15"/>
              </w:rPr>
              <w:t>28</w:t>
            </w:r>
          </w:p>
        </w:tc>
      </w:tr>
      <w:tr>
        <w:trPr>
          <w:trHeight w:val="547"/>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可持续效益（可选项）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p>
        </w:tc>
      </w:tr>
      <w:tr>
        <w:trPr>
          <w:trHeight w:val="688"/>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公平效率（可选项）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p>
        </w:tc>
      </w:tr>
      <w:tr>
        <w:trPr>
          <w:trHeight w:val="570"/>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使用效率（可选项）</w:t>
            </w:r>
          </w:p>
        </w:tc>
        <w:tc>
          <w:tcPr>
            <w:tcW w:w="1311" w:type="dxa"/>
            <w:vMerge/>
            <w:tcBorders>
              <w:top w:val="single" w:sz="4" w:space="0" w:color="auto"/>
              <w:left w:val="single" w:sz="4" w:space="0" w:color="auto"/>
              <w:bottom w:val="single" w:sz="4" w:space="0" w:color="auto"/>
              <w:right w:val="single" w:sz="4" w:space="0" w:color="auto"/>
            </w:tcBorders>
            <w:noWrap/>
            <w:vAlign w:val="center"/>
          </w:tcP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left"/>
              <w:rPr>
                <w:rFonts w:ascii="宋体" w:cs="宋体"/>
                <w:color w:val="000000"/>
                <w:kern w:val="0"/>
                <w:sz w:val="15"/>
                <w:szCs w:val="15"/>
              </w:rPr>
            </w:pPr>
          </w:p>
        </w:tc>
      </w:tr>
      <w:tr>
        <w:trPr>
          <w:trHeight w:val="502"/>
        </w:trPr>
        <w:tc>
          <w:tcPr>
            <w:tcW w:w="1618" w:type="dxa"/>
            <w:vMerge/>
            <w:tcBorders>
              <w:top w:val="single" w:sz="4" w:space="0" w:color="auto"/>
              <w:left w:val="single" w:sz="4" w:space="0" w:color="auto"/>
              <w:bottom w:val="single" w:sz="4" w:space="0" w:color="auto"/>
              <w:right w:val="single" w:sz="4" w:space="0" w:color="auto"/>
            </w:tcBorders>
            <w:noWrap/>
            <w:vAlign w:val="center"/>
          </w:tcPr>
          <w:p/>
        </w:tc>
        <w:tc>
          <w:tcPr>
            <w:tcW w:w="2113" w:type="dxa"/>
            <w:vMerge/>
            <w:tcBorders>
              <w:top w:val="single" w:sz="4" w:space="0" w:color="auto"/>
              <w:left w:val="single" w:sz="4" w:space="0" w:color="auto"/>
              <w:bottom w:val="single" w:sz="4" w:space="0" w:color="auto"/>
              <w:right w:val="single" w:sz="4" w:space="0" w:color="auto"/>
            </w:tcBorders>
            <w:noWrap/>
            <w:vAlign w:val="center"/>
          </w:tcPr>
          <w:p/>
        </w:tc>
        <w:tc>
          <w:tcPr>
            <w:tcW w:w="3535"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 xml:space="preserve">服务对象满意度    </w:t>
            </w:r>
          </w:p>
        </w:tc>
        <w:tc>
          <w:tcPr>
            <w:tcW w:w="1311"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color w:val="000000"/>
                <w:kern w:val="0"/>
                <w:sz w:val="20"/>
                <w:szCs w:val="20"/>
              </w:rPr>
            </w:pPr>
            <w:r>
              <w:rPr>
                <w:rFonts w:ascii="宋体" w:cs="宋体" w:hint="eastAsia"/>
                <w:color w:val="000000"/>
                <w:kern w:val="0"/>
                <w:sz w:val="20"/>
                <w:szCs w:val="20"/>
              </w:rPr>
              <w:t>10</w:t>
            </w:r>
          </w:p>
        </w:tc>
        <w:tc>
          <w:tcPr>
            <w:tcW w:w="1311" w:type="dxa"/>
            <w:tcBorders>
              <w:top w:val="single" w:sz="4" w:space="0" w:color="auto"/>
              <w:left w:val="single" w:sz="4" w:space="0" w:color="auto"/>
              <w:bottom w:val="single" w:sz="4" w:space="0" w:color="auto"/>
              <w:right w:val="single" w:sz="4" w:space="0" w:color="auto"/>
            </w:tcBorders>
            <w:noWrap/>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6</w:t>
            </w:r>
          </w:p>
        </w:tc>
      </w:tr>
      <w:tr>
        <w:trPr>
          <w:trHeight w:val="396"/>
        </w:trPr>
        <w:tc>
          <w:tcPr>
            <w:tcW w:w="1618" w:type="dxa"/>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left"/>
              <w:rPr>
                <w:rFonts w:ascii="宋体" w:cs="宋体"/>
                <w:color w:val="000000"/>
                <w:kern w:val="0"/>
                <w:sz w:val="20"/>
                <w:szCs w:val="20"/>
              </w:rPr>
            </w:pPr>
            <w:r>
              <w:rPr>
                <w:rFonts w:ascii="宋体" w:cs="宋体" w:hint="eastAsia"/>
                <w:color w:val="000000"/>
                <w:kern w:val="0"/>
                <w:sz w:val="20"/>
                <w:szCs w:val="20"/>
              </w:rPr>
              <w:t>总分</w:t>
            </w:r>
          </w:p>
        </w:tc>
        <w:tc>
          <w:tcPr>
            <w:tcW w:w="8270" w:type="dxa"/>
            <w:gridSpan w:val="4"/>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hint="eastAsia"/>
                <w:color w:val="000000"/>
                <w:kern w:val="0"/>
                <w:sz w:val="15"/>
                <w:szCs w:val="15"/>
              </w:rPr>
            </w:pPr>
            <w:r>
              <w:rPr>
                <w:rFonts w:ascii="宋体" w:cs="宋体" w:hint="eastAsia"/>
                <w:color w:val="000000"/>
                <w:kern w:val="0"/>
                <w:sz w:val="15"/>
                <w:szCs w:val="15"/>
              </w:rPr>
              <w:t>73</w:t>
            </w:r>
          </w:p>
        </w:tc>
      </w:tr>
      <w:tr>
        <w:trPr>
          <w:trHeight w:val="396"/>
        </w:trPr>
        <w:tc>
          <w:tcPr>
            <w:tcW w:w="1618" w:type="dxa"/>
            <w:tcBorders>
              <w:top w:val="single" w:sz="4" w:space="0" w:color="auto"/>
              <w:left w:val="single" w:sz="4" w:space="0" w:color="auto"/>
              <w:bottom w:val="single" w:sz="4" w:space="0" w:color="auto"/>
              <w:right w:val="single" w:sz="4" w:space="0" w:color="auto"/>
            </w:tcBorders>
            <w:noWrap/>
            <w:vAlign w:val="center"/>
          </w:tcPr>
          <w:p>
            <w:pPr>
              <w:pStyle w:val="15"/>
              <w:ind w:leftChars="0" w:left="0" w:firstLineChars="0" w:firstLine="0"/>
              <w:rPr>
                <w:rFonts w:hint="eastAsia"/>
              </w:rPr>
            </w:pPr>
          </w:p>
        </w:tc>
        <w:tc>
          <w:tcPr>
            <w:tcW w:w="8270" w:type="dxa"/>
            <w:gridSpan w:val="4"/>
            <w:tcBorders>
              <w:top w:val="single" w:sz="4" w:space="0" w:color="auto"/>
              <w:left w:val="single" w:sz="4" w:space="0" w:color="auto"/>
              <w:bottom w:val="single" w:sz="4" w:space="0" w:color="auto"/>
              <w:right w:val="single" w:sz="4" w:space="0" w:color="auto"/>
            </w:tcBorders>
            <w:noWrap/>
            <w:vAlign w:val="center"/>
          </w:tcPr>
          <w:p>
            <w:pPr>
              <w:widowControl/>
              <w:spacing w:line="260" w:lineRule="exact"/>
              <w:jc w:val="center"/>
              <w:rPr>
                <w:rFonts w:ascii="宋体" w:cs="宋体" w:hint="eastAsia"/>
                <w:color w:val="000000"/>
                <w:kern w:val="0"/>
                <w:sz w:val="15"/>
                <w:szCs w:val="15"/>
              </w:rPr>
            </w:pPr>
          </w:p>
        </w:tc>
      </w:tr>
    </w:tbl>
    <w:p>
      <w:pPr>
        <w:spacing w:line="560" w:lineRule="exact"/>
        <w:ind w:left="0"/>
        <w:jc w:val="center"/>
        <w:outlineLvl w:val="0"/>
        <w:rPr>
          <w:rFonts w:ascii="方正小标宋简体" w:eastAsia="方正小标宋简体" w:hint="eastAsia"/>
          <w:color w:val="000000"/>
          <w:sz w:val="44"/>
          <w:szCs w:val="44"/>
        </w:rPr>
      </w:pPr>
      <w:bookmarkStart w:id="73" w:name="_Toc79163629"/>
      <w:bookmarkStart w:id="74" w:name="_Toc15377225"/>
      <w:bookmarkStart w:id="75" w:name="_Toc15396613"/>
      <w:bookmarkStart w:id="76" w:name="_Toc79163879"/>
    </w:p>
    <w:p>
      <w:pPr>
        <w:spacing w:line="560" w:lineRule="exact"/>
        <w:ind w:left="0"/>
        <w:jc w:val="center"/>
        <w:outlineLvl w:val="0"/>
        <w:rPr>
          <w:rStyle w:val="1Char"/>
          <w:rFonts w:ascii="方正小标宋简体" w:eastAsia="方正小标宋简体" w:hint="eastAsia"/>
          <w:b w:val="0"/>
        </w:rPr>
      </w:pPr>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73"/>
      <w:bookmarkEnd w:id="74"/>
      <w:bookmarkEnd w:id="75"/>
      <w:bookmarkEnd w:id="76"/>
    </w:p>
    <w:p>
      <w:pPr>
        <w:spacing w:line="560" w:lineRule="exact"/>
        <w:jc w:val="left"/>
        <w:rPr>
          <w:rFonts w:ascii="宋体" w:hint="eastAsia"/>
          <w:b/>
          <w:color w:val="000000"/>
          <w:sz w:val="44"/>
          <w:szCs w:val="44"/>
        </w:rPr>
      </w:pP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1.财政拨款收入：指单位从同级财政部门取得的财政预算资金。</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w:t>
      </w:r>
      <w:r>
        <w:rPr>
          <w:rFonts w:ascii="仿宋_GB2312" w:eastAsia="仿宋_GB2312" w:hint="eastAsia"/>
          <w:sz w:val="32"/>
          <w:szCs w:val="32"/>
        </w:rPr>
        <w:t>.其他收入：指单位取得的除上述收入以外的各项收入。</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3</w:t>
      </w:r>
      <w:r>
        <w:rPr>
          <w:rFonts w:ascii="仿宋_GB2312" w:eastAsia="仿宋_GB2312" w:hint="eastAsia"/>
          <w:sz w:val="32"/>
          <w:szCs w:val="32"/>
        </w:rPr>
        <w:t xml:space="preserve">.使用非财政拨款结余：指事业单位使用以前年度积累的非财政拨款结余弥补当年收支差额的金额。 </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 xml:space="preserve">.年初结转和结余：指以前年度尚未完成、结转到本年按有关规定继续使用的资金。 </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5</w:t>
      </w:r>
      <w:r>
        <w:rPr>
          <w:rFonts w:ascii="仿宋_GB2312" w:eastAsia="仿宋_GB2312" w:hint="eastAsia"/>
          <w:sz w:val="32"/>
          <w:szCs w:val="32"/>
        </w:rPr>
        <w:t>.结余分配：指事业单位按照会计制度规定缴纳的所得税、提取的专用结余以及转入非财政拨款结余的金额等。</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、年末结转和结余：指单位按有关规定结转到下年或以后年度继续使用的资金。</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.基本支出：指为保障机构正常运转、完成日常工作任务而发生的人员支出和公用支出。</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14</w:t>
      </w:r>
      <w:r>
        <w:rPr>
          <w:rFonts w:ascii="仿宋_GB2312" w:eastAsia="仿宋_GB2312" w:hint="eastAsia"/>
          <w:color w:val="000000"/>
          <w:sz w:val="32"/>
          <w:szCs w:val="32"/>
        </w:rPr>
        <w:t xml:space="preserve">.项目支出：指在基本支出之外为完成特定行政任务和事业发展目标所发生的支出。 </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15</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16</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Chars="200" w:firstLine="640"/>
        <w:rPr>
          <w:rFonts w:ascii="仿宋_GB2312" w:eastAsia="仿宋_GB2312" w:cs="黑体" w:hint="eastAsia"/>
          <w:sz w:val="32"/>
          <w:szCs w:val="32"/>
          <w:lang w:bidi="ar-SA"/>
        </w:rPr>
      </w:pPr>
    </w:p>
    <w:p>
      <w:pPr>
        <w:pStyle w:val="2"/>
        <w:rPr>
          <w:rStyle w:val="1Char"/>
          <w:rFonts w:ascii="仿宋" w:eastAsia="仿宋"/>
          <w:b w:val="0"/>
          <w:bCs w:val="0"/>
          <w:sz w:val="32"/>
          <w:szCs w:val="32"/>
        </w:rPr>
      </w:pPr>
      <w:bookmarkStart w:id="77" w:name="_Toc15377226"/>
      <w:r>
        <w:rPr>
          <w:rFonts w:ascii="宋体" w:hint="eastAsia"/>
          <w:b/>
          <w:color w:val="000000"/>
          <w:sz w:val="44"/>
          <w:szCs w:val="44"/>
        </w:rPr>
        <w:br w:type="page"/>
      </w:r>
      <w:bookmarkStart w:id="78" w:name="_Toc79163635"/>
      <w:bookmarkStart w:id="79" w:name="_Toc15396618"/>
      <w:bookmarkStart w:id="80" w:name="_Toc79163885"/>
      <w:r>
        <w:rPr>
          <w:rStyle w:val="1Char"/>
          <w:rFonts w:ascii="仿宋" w:eastAsia="仿宋" w:hint="eastAsia"/>
          <w:b w:val="0"/>
          <w:bCs w:val="0"/>
          <w:sz w:val="32"/>
          <w:szCs w:val="32"/>
        </w:rPr>
        <w:t>附件1</w:t>
      </w:r>
    </w:p>
    <w:p>
      <w:pPr>
        <w:numPr>
          <w:ilvl w:val="0"/>
          <w:numId w:val="2"/>
        </w:numPr>
        <w:spacing w:line="600" w:lineRule="exact"/>
        <w:ind w:left="0" w:firstLineChars="150" w:firstLine="660"/>
        <w:jc w:val="center"/>
        <w:outlineLvl w:val="0"/>
        <w:rPr>
          <w:rStyle w:val="1Char"/>
          <w:rFonts w:ascii="黑体" w:eastAsia="黑体"/>
          <w:b w:val="0"/>
        </w:rPr>
      </w:pPr>
      <w:bookmarkStart w:id="81" w:name="_Toc12508"/>
      <w:r>
        <w:rPr>
          <w:rStyle w:val="1Char"/>
          <w:rFonts w:ascii="黑体" w:eastAsia="黑体" w:hint="eastAsia"/>
          <w:b w:val="0"/>
        </w:rPr>
        <w:t>附件</w:t>
      </w:r>
      <w:bookmarkEnd w:id="81"/>
    </w:p>
    <w:p>
      <w:pPr>
        <w:outlineLvl w:val="0"/>
        <w:rPr>
          <w:rStyle w:val="1Char"/>
          <w:rFonts w:ascii="黑体" w:eastAsia="黑体"/>
          <w:b w:val="0"/>
        </w:rPr>
      </w:pPr>
    </w:p>
    <w:p>
      <w:pPr>
        <w:widowControl/>
        <w:spacing w:line="480" w:lineRule="exact"/>
        <w:jc w:val="center"/>
        <w:rPr>
          <w:rFonts w:ascii="宋体" w:cs="宋体"/>
          <w:b/>
          <w:sz w:val="44"/>
          <w:szCs w:val="44"/>
        </w:rPr>
      </w:pPr>
      <w:r>
        <w:rPr>
          <w:rFonts w:ascii="宋体" w:cs="宋体" w:hint="eastAsia"/>
          <w:b/>
          <w:sz w:val="44"/>
          <w:szCs w:val="44"/>
        </w:rPr>
        <w:t>金川县</w:t>
      </w:r>
      <w:r>
        <w:rPr>
          <w:rFonts w:ascii="宋体" w:cs="宋体" w:hint="eastAsia"/>
          <w:b/>
          <w:sz w:val="44"/>
          <w:szCs w:val="44"/>
          <w:lang w:eastAsia="zh-CN"/>
        </w:rPr>
        <w:t>沙耳乡</w:t>
      </w:r>
      <w:r>
        <w:rPr>
          <w:rFonts w:ascii="宋体" w:cs="宋体" w:hint="eastAsia"/>
          <w:b/>
          <w:sz w:val="44"/>
          <w:szCs w:val="44"/>
        </w:rPr>
        <w:t>人民政府</w:t>
      </w:r>
    </w:p>
    <w:p>
      <w:pPr>
        <w:widowControl/>
        <w:spacing w:line="480" w:lineRule="exact"/>
        <w:jc w:val="center"/>
        <w:rPr>
          <w:rFonts w:ascii="宋体" w:cs="宋体"/>
          <w:b/>
          <w:sz w:val="44"/>
          <w:szCs w:val="44"/>
        </w:rPr>
      </w:pPr>
      <w:r>
        <w:rPr>
          <w:rFonts w:ascii="宋体" w:cs="宋体" w:hint="eastAsia"/>
          <w:b/>
          <w:sz w:val="44"/>
          <w:szCs w:val="44"/>
        </w:rPr>
        <w:t>关于2021年部门整体支出</w:t>
      </w:r>
    </w:p>
    <w:p>
      <w:pPr>
        <w:widowControl/>
        <w:spacing w:line="480" w:lineRule="exact"/>
        <w:jc w:val="center"/>
        <w:rPr>
          <w:rFonts w:ascii="宋体" w:cs="宋体"/>
          <w:b/>
          <w:sz w:val="44"/>
          <w:szCs w:val="44"/>
        </w:rPr>
      </w:pPr>
      <w:r>
        <w:rPr>
          <w:rFonts w:ascii="宋体" w:cs="宋体" w:hint="eastAsia"/>
          <w:b/>
          <w:sz w:val="44"/>
          <w:szCs w:val="44"/>
        </w:rPr>
        <w:t>绩效评价报告</w:t>
      </w:r>
    </w:p>
    <w:p>
      <w:pPr>
        <w:widowControl/>
        <w:adjustRightInd w:val="0"/>
        <w:snapToGrid w:val="0"/>
        <w:spacing w:line="480" w:lineRule="exact"/>
        <w:jc w:val="left"/>
        <w:rPr>
          <w:rFonts w:ascii="仿宋_GB2312" w:eastAsia="仿宋_GB2312" w:cs="仿宋"/>
          <w:color w:val="000000"/>
          <w:kern w:val="0"/>
          <w:sz w:val="32"/>
          <w:szCs w:val="32"/>
        </w:rPr>
      </w:pPr>
    </w:p>
    <w:p>
      <w:pPr>
        <w:widowControl/>
        <w:adjustRightInd w:val="0"/>
        <w:snapToGrid w:val="0"/>
        <w:spacing w:line="48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根据《金川县财政局关于开展2021年部门、政策和项目支出绩效评价工作的通知》（金财监绩〔2021〕26号）文件要求，结合本单位的实际涉及到部门整体支出绩效评价工作，我</w:t>
      </w:r>
      <w:r>
        <w:rPr>
          <w:rFonts w:ascii="仿宋_GB2312" w:eastAsia="仿宋_GB2312" w:cs="仿宋" w:hint="eastAsia"/>
          <w:color w:val="000000"/>
          <w:kern w:val="0"/>
          <w:sz w:val="32"/>
          <w:szCs w:val="32"/>
          <w:lang w:eastAsia="zh-CN"/>
        </w:rPr>
        <w:t>乡赓即</w:t>
      </w:r>
      <w:r>
        <w:rPr>
          <w:rFonts w:ascii="仿宋_GB2312" w:eastAsia="仿宋_GB2312" w:cs="仿宋" w:hint="eastAsia"/>
          <w:color w:val="000000"/>
          <w:kern w:val="0"/>
          <w:sz w:val="32"/>
          <w:szCs w:val="32"/>
        </w:rPr>
        <w:t>认真开展部门整体支出绩效自评工作，现将2021年部门预算支出绩效自评工作报告如下：</w:t>
      </w:r>
    </w:p>
    <w:p>
      <w:pPr>
        <w:widowControl/>
        <w:adjustRightInd w:val="0"/>
        <w:snapToGrid w:val="0"/>
        <w:spacing w:line="480" w:lineRule="exact"/>
        <w:ind w:firstLine="720"/>
        <w:jc w:val="left"/>
        <w:rPr>
          <w:rFonts w:ascii="黑体" w:eastAsia="黑体" w:cs="黑体" w:hint="eastAsia"/>
          <w:b w:val="0"/>
          <w:bCs w:val="0"/>
          <w:color w:val="000000"/>
          <w:kern w:val="0"/>
          <w:sz w:val="32"/>
          <w:szCs w:val="32"/>
          <w:lang w:val="zh-CN"/>
        </w:rPr>
      </w:pPr>
      <w:r>
        <w:rPr>
          <w:rFonts w:ascii="黑体" w:eastAsia="黑体" w:cs="黑体" w:hint="eastAsia"/>
          <w:b w:val="0"/>
          <w:bCs w:val="0"/>
          <w:color w:val="000000"/>
          <w:kern w:val="0"/>
          <w:sz w:val="32"/>
          <w:szCs w:val="32"/>
        </w:rPr>
        <w:t>一、</w:t>
      </w:r>
      <w:r>
        <w:rPr>
          <w:rFonts w:ascii="黑体" w:eastAsia="黑体" w:cs="黑体" w:hint="eastAsia"/>
          <w:b w:val="0"/>
          <w:bCs w:val="0"/>
          <w:color w:val="000000"/>
          <w:kern w:val="0"/>
          <w:sz w:val="32"/>
          <w:szCs w:val="32"/>
          <w:lang w:val="zh-CN"/>
        </w:rPr>
        <w:t>单位概况</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（一）机构组成:</w:t>
      </w:r>
      <w:r>
        <w:rPr>
          <w:rFonts w:ascii="仿宋_GB2312" w:eastAsia="仿宋_GB2312" w:cs="仿宋" w:hint="eastAsia"/>
          <w:color w:val="000000"/>
          <w:kern w:val="0"/>
          <w:sz w:val="32"/>
          <w:szCs w:val="32"/>
        </w:rPr>
        <w:t>行政单位1个。</w:t>
      </w:r>
    </w:p>
    <w:p>
      <w:pPr>
        <w:widowControl/>
        <w:adjustRightInd w:val="0"/>
        <w:snapToGrid w:val="0"/>
        <w:spacing w:line="480" w:lineRule="exact"/>
        <w:ind w:firstLine="720"/>
        <w:jc w:val="left"/>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（二）机构职能:</w:t>
      </w:r>
    </w:p>
    <w:p>
      <w:pPr>
        <w:widowControl/>
        <w:adjustRightInd w:val="0"/>
        <w:snapToGrid w:val="0"/>
        <w:spacing w:line="480" w:lineRule="exact"/>
        <w:ind w:firstLine="720"/>
        <w:jc w:val="left"/>
        <w:rPr>
          <w:rFonts w:ascii="仿宋_GB2312" w:eastAsia="仿宋_GB2312" w:cs="仿宋_GB2312" w:hint="eastAsia"/>
          <w:sz w:val="32"/>
          <w:szCs w:val="32"/>
        </w:rPr>
      </w:pPr>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val="en-US" w:eastAsia="zh-CN"/>
        </w:rPr>
        <w:t>沙耳</w:t>
      </w:r>
      <w:r>
        <w:rPr>
          <w:rFonts w:ascii="仿宋_GB2312" w:eastAsia="仿宋_GB2312" w:cs="仿宋_GB2312" w:hint="eastAsia"/>
          <w:sz w:val="32"/>
          <w:szCs w:val="32"/>
        </w:rPr>
        <w:t>发展的新局面。</w:t>
      </w:r>
    </w:p>
    <w:p>
      <w:pPr>
        <w:snapToGrid w:val="0"/>
        <w:spacing w:line="560" w:lineRule="exact"/>
        <w:ind w:firstLineChars="200" w:firstLine="640"/>
        <w:rPr>
          <w:rFonts w:ascii="仿宋_GB2312" w:eastAsia="仿宋_GB2312" w:cs="仿宋_GB2312"/>
          <w:bCs/>
          <w:sz w:val="32"/>
        </w:rPr>
      </w:pPr>
      <w:r>
        <w:rPr>
          <w:rFonts w:ascii="仿宋_GB2312" w:eastAsia="仿宋_GB2312" w:cs="仿宋" w:hint="eastAsia"/>
          <w:color w:val="000000"/>
          <w:kern w:val="0"/>
          <w:sz w:val="32"/>
          <w:szCs w:val="32"/>
          <w:lang w:val="zh-CN"/>
        </w:rPr>
        <w:t>（三）人员概况:</w:t>
      </w:r>
      <w:r>
        <w:rPr>
          <w:rFonts w:ascii="仿宋_GB2312" w:eastAsia="仿宋_GB2312" w:cs="仿宋" w:hint="eastAsia"/>
          <w:color w:val="000000"/>
          <w:kern w:val="0"/>
          <w:sz w:val="32"/>
          <w:szCs w:val="32"/>
        </w:rPr>
        <w:t xml:space="preserve"> </w:t>
      </w:r>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lang w:val="en-US" w:eastAsia="zh-CN"/>
        </w:rPr>
        <w:t>1</w:t>
      </w:r>
      <w:r>
        <w:rPr>
          <w:rFonts w:ascii="仿宋_GB2312" w:eastAsia="仿宋_GB2312" w:cs="仿宋_GB2312" w:hint="eastAsia"/>
          <w:bCs/>
          <w:sz w:val="32"/>
        </w:rPr>
        <w:t>年有</w:t>
      </w:r>
      <w:r>
        <w:rPr>
          <w:rFonts w:ascii="仿宋_GB2312" w:eastAsia="仿宋_GB2312" w:cs="仿宋_GB2312" w:hint="eastAsia"/>
          <w:bCs/>
          <w:sz w:val="32"/>
          <w:lang w:val="en-US" w:eastAsia="zh-CN"/>
        </w:rPr>
        <w:t>2</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41</w:t>
      </w:r>
      <w:r>
        <w:rPr>
          <w:rFonts w:ascii="仿宋_GB2312" w:eastAsia="仿宋_GB2312" w:cs="仿宋_GB2312" w:hint="eastAsia"/>
          <w:bCs/>
          <w:sz w:val="32"/>
        </w:rPr>
        <w:t>人，比上年</w:t>
      </w:r>
      <w:r>
        <w:rPr>
          <w:rFonts w:ascii="仿宋_GB2312" w:eastAsia="仿宋_GB2312" w:cs="仿宋_GB2312" w:hint="eastAsia"/>
          <w:bCs/>
          <w:sz w:val="32"/>
          <w:lang w:val="en-US" w:eastAsia="zh-CN"/>
        </w:rPr>
        <w:t>行政人员增加2</w:t>
      </w:r>
      <w:r>
        <w:rPr>
          <w:rFonts w:ascii="仿宋_GB2312" w:eastAsia="仿宋_GB2312" w:cs="仿宋_GB2312" w:hint="eastAsia"/>
          <w:bCs/>
          <w:sz w:val="32"/>
        </w:rPr>
        <w:t>人</w:t>
      </w:r>
      <w:r>
        <w:rPr>
          <w:rFonts w:ascii="仿宋_GB2312" w:eastAsia="仿宋_GB2312" w:cs="仿宋_GB2312" w:hint="eastAsia"/>
          <w:bCs/>
          <w:sz w:val="32"/>
          <w:lang w:eastAsia="zh-CN"/>
        </w:rPr>
        <w:t>，</w:t>
      </w:r>
      <w:r>
        <w:rPr>
          <w:rFonts w:ascii="仿宋_GB2312" w:eastAsia="仿宋_GB2312" w:cs="仿宋_GB2312" w:hint="eastAsia"/>
          <w:bCs/>
          <w:sz w:val="32"/>
          <w:lang w:val="en-US" w:eastAsia="zh-CN"/>
        </w:rPr>
        <w:t>事业人员增加7人</w:t>
      </w:r>
      <w:r>
        <w:rPr>
          <w:rFonts w:ascii="仿宋_GB2312" w:eastAsia="仿宋_GB2312" w:cs="仿宋_GB2312" w:hint="eastAsia"/>
          <w:bCs/>
          <w:sz w:val="32"/>
        </w:rPr>
        <w:t>；年末实有离退休人数为</w:t>
      </w:r>
      <w:r>
        <w:rPr>
          <w:rFonts w:ascii="仿宋_GB2312" w:eastAsia="仿宋_GB2312" w:cs="仿宋_GB2312" w:hint="eastAsia"/>
          <w:bCs/>
          <w:sz w:val="32"/>
          <w:lang w:val="en-US" w:eastAsia="zh-CN"/>
        </w:rPr>
        <w:t>8</w:t>
      </w:r>
      <w:r>
        <w:rPr>
          <w:rFonts w:ascii="仿宋_GB2312" w:eastAsia="仿宋_GB2312" w:cs="仿宋_GB2312" w:hint="eastAsia"/>
          <w:bCs/>
          <w:sz w:val="32"/>
        </w:rPr>
        <w:t>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23</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16</w:t>
      </w:r>
      <w:r>
        <w:rPr>
          <w:rFonts w:ascii="仿宋_GB2312" w:eastAsia="仿宋_GB2312" w:cs="仿宋_GB2312" w:hint="eastAsia"/>
          <w:bCs/>
          <w:sz w:val="32"/>
        </w:rPr>
        <w:t>人）。</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黑体" w:eastAsia="黑体" w:cs="黑体" w:hint="eastAsia"/>
          <w:b w:val="0"/>
          <w:bCs w:val="0"/>
          <w:color w:val="000000"/>
          <w:kern w:val="0"/>
          <w:sz w:val="32"/>
          <w:szCs w:val="32"/>
        </w:rPr>
        <w:t>二、部门财政资金收支情况</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（一）部门财政资金收入:</w:t>
      </w:r>
      <w:r>
        <w:rPr>
          <w:rFonts w:ascii="仿宋_GB2312" w:eastAsia="仿宋_GB2312" w:cs="仿宋" w:hint="eastAsia"/>
          <w:color w:val="000000"/>
          <w:kern w:val="0"/>
          <w:sz w:val="32"/>
          <w:szCs w:val="32"/>
        </w:rPr>
        <w:t xml:space="preserve"> </w:t>
      </w:r>
    </w:p>
    <w:p>
      <w:pPr>
        <w:widowControl/>
        <w:adjustRightInd w:val="0"/>
        <w:snapToGrid w:val="0"/>
        <w:spacing w:line="480" w:lineRule="exact"/>
        <w:ind w:firstLine="720"/>
        <w:jc w:val="left"/>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1、202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年部门预算收入</w:t>
      </w:r>
      <w:r>
        <w:rPr>
          <w:rFonts w:ascii="仿宋_GB2312" w:eastAsia="仿宋_GB2312" w:cs="仿宋" w:hint="eastAsia"/>
          <w:color w:val="000000"/>
          <w:kern w:val="0"/>
          <w:sz w:val="32"/>
          <w:szCs w:val="32"/>
          <w:lang w:val="en-US" w:eastAsia="zh-CN"/>
        </w:rPr>
        <w:t>1004</w:t>
      </w:r>
      <w:r>
        <w:rPr>
          <w:rFonts w:ascii="仿宋_GB2312" w:eastAsia="仿宋_GB2312" w:cs="仿宋" w:hint="eastAsia"/>
          <w:color w:val="000000"/>
          <w:kern w:val="0"/>
          <w:sz w:val="32"/>
          <w:szCs w:val="32"/>
        </w:rPr>
        <w:t>万元，上年结转0万元，总收入</w:t>
      </w:r>
      <w:r>
        <w:rPr>
          <w:rFonts w:ascii="仿宋_GB2312" w:eastAsia="仿宋_GB2312" w:cs="仿宋" w:hint="eastAsia"/>
          <w:color w:val="000000"/>
          <w:kern w:val="0"/>
          <w:sz w:val="32"/>
          <w:szCs w:val="32"/>
          <w:lang w:val="en-US" w:eastAsia="zh-CN"/>
        </w:rPr>
        <w:t>1220.44</w:t>
      </w:r>
      <w:r>
        <w:rPr>
          <w:rFonts w:ascii="仿宋_GB2312" w:eastAsia="仿宋_GB2312" w:cs="仿宋" w:hint="eastAsia"/>
          <w:color w:val="000000"/>
          <w:kern w:val="0"/>
          <w:sz w:val="32"/>
          <w:szCs w:val="32"/>
        </w:rPr>
        <w:t>万元</w:t>
      </w:r>
      <w:r>
        <w:rPr>
          <w:rFonts w:ascii="仿宋_GB2312" w:eastAsia="仿宋_GB2312" w:cs="仿宋" w:hint="eastAsia"/>
          <w:color w:val="000000"/>
          <w:kern w:val="0"/>
          <w:sz w:val="32"/>
          <w:szCs w:val="32"/>
          <w:lang w:val="zh-CN"/>
        </w:rPr>
        <w:t>。</w:t>
      </w:r>
    </w:p>
    <w:p>
      <w:pPr>
        <w:widowControl/>
        <w:numPr>
          <w:ilvl w:val="0"/>
          <w:numId w:val="3"/>
        </w:numPr>
        <w:adjustRightInd w:val="0"/>
        <w:snapToGrid w:val="0"/>
        <w:spacing w:line="480" w:lineRule="exact"/>
        <w:ind w:left="0" w:firstLine="720"/>
        <w:jc w:val="left"/>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部门财政资金支出情况:</w:t>
      </w:r>
    </w:p>
    <w:p>
      <w:pPr>
        <w:widowControl/>
        <w:adjustRightInd w:val="0"/>
        <w:snapToGrid w:val="0"/>
        <w:spacing w:line="48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20</w:t>
      </w:r>
      <w:r>
        <w:rPr>
          <w:rFonts w:ascii="仿宋_GB2312" w:eastAsia="仿宋_GB2312" w:cs="仿宋"/>
          <w:color w:val="000000"/>
          <w:kern w:val="0"/>
          <w:sz w:val="32"/>
          <w:szCs w:val="32"/>
        </w:rPr>
        <w:t>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年部门总支出</w:t>
      </w:r>
      <w:r>
        <w:rPr>
          <w:rFonts w:ascii="仿宋_GB2312" w:eastAsia="仿宋_GB2312" w:cs="仿宋" w:hint="eastAsia"/>
          <w:color w:val="000000"/>
          <w:kern w:val="0"/>
          <w:sz w:val="32"/>
          <w:szCs w:val="32"/>
          <w:lang w:val="en-US" w:eastAsia="zh-CN"/>
        </w:rPr>
        <w:t>1220.44</w:t>
      </w:r>
      <w:r>
        <w:rPr>
          <w:rFonts w:ascii="仿宋_GB2312" w:eastAsia="仿宋_GB2312" w:cs="仿宋" w:hint="eastAsia"/>
          <w:color w:val="000000"/>
          <w:kern w:val="0"/>
          <w:sz w:val="32"/>
          <w:szCs w:val="32"/>
        </w:rPr>
        <w:t>万元。其中：</w:t>
      </w:r>
    </w:p>
    <w:p>
      <w:pPr>
        <w:spacing w:line="600" w:lineRule="exact"/>
        <w:ind w:firstLine="645"/>
        <w:rPr>
          <w:rFonts w:ascii="仿宋_GB2312" w:eastAsia="仿宋_GB2312" w:hint="eastAsia"/>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997.23</w:t>
      </w:r>
      <w:r>
        <w:rPr>
          <w:rFonts w:ascii="仿宋" w:eastAsia="仿宋" w:hint="eastAsia"/>
          <w:color w:val="000000"/>
          <w:sz w:val="32"/>
          <w:szCs w:val="32"/>
        </w:rPr>
        <w:t>万元，其中：</w:t>
      </w: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839.59</w:t>
      </w:r>
      <w:r>
        <w:rPr>
          <w:rFonts w:ascii="仿宋_GB2312" w:eastAsia="仿宋_GB2312" w:hint="eastAsia"/>
          <w:color w:val="000000"/>
          <w:sz w:val="32"/>
          <w:szCs w:val="32"/>
        </w:rPr>
        <w:t>万元，主要包括：基本工资</w:t>
      </w:r>
      <w:r>
        <w:rPr>
          <w:rFonts w:ascii="仿宋_GB2312" w:eastAsia="仿宋_GB2312" w:hint="eastAsia"/>
          <w:color w:val="000000"/>
          <w:sz w:val="32"/>
          <w:szCs w:val="32"/>
          <w:lang w:val="en-US" w:eastAsia="zh-CN"/>
        </w:rPr>
        <w:t>152.94</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190.32</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12.74</w:t>
      </w:r>
      <w:r>
        <w:rPr>
          <w:rFonts w:ascii="仿宋_GB2312" w:eastAsia="仿宋_GB2312" w:hint="eastAsia"/>
          <w:color w:val="000000"/>
          <w:sz w:val="32"/>
          <w:szCs w:val="32"/>
        </w:rPr>
        <w:t>万元、</w:t>
      </w:r>
      <w:r>
        <w:rPr>
          <w:rFonts w:ascii="仿宋_GB2312" w:eastAsia="仿宋_GB2312" w:hint="eastAsia"/>
          <w:sz w:val="32"/>
          <w:szCs w:val="32"/>
        </w:rPr>
        <w:t>其他社会保障缴费6.</w:t>
      </w:r>
      <w:r>
        <w:rPr>
          <w:rFonts w:ascii="仿宋_GB2312" w:eastAsia="仿宋_GB2312" w:hint="eastAsia"/>
          <w:sz w:val="32"/>
          <w:szCs w:val="32"/>
          <w:lang w:val="en-US" w:eastAsia="zh-CN"/>
        </w:rPr>
        <w:t>29</w:t>
      </w:r>
      <w:r>
        <w:rPr>
          <w:rFonts w:ascii="仿宋_GB2312" w:eastAsia="仿宋_GB2312" w:hint="eastAsia"/>
          <w:sz w:val="32"/>
          <w:szCs w:val="32"/>
        </w:rPr>
        <w:t>万元、生活补助</w:t>
      </w:r>
      <w:r>
        <w:rPr>
          <w:rFonts w:ascii="仿宋_GB2312" w:eastAsia="仿宋_GB2312" w:hint="eastAsia"/>
          <w:sz w:val="32"/>
          <w:szCs w:val="32"/>
          <w:lang w:val="en-US" w:eastAsia="zh-CN"/>
        </w:rPr>
        <w:t>38.28</w:t>
      </w:r>
      <w:r>
        <w:rPr>
          <w:rFonts w:ascii="仿宋_GB2312" w:eastAsia="仿宋_GB2312" w:hint="eastAsia"/>
          <w:sz w:val="32"/>
          <w:szCs w:val="32"/>
        </w:rPr>
        <w:t>万元、奖励金</w:t>
      </w:r>
      <w:r>
        <w:rPr>
          <w:rFonts w:ascii="仿宋_GB2312" w:eastAsia="仿宋_GB2312" w:hint="eastAsia"/>
          <w:sz w:val="32"/>
          <w:szCs w:val="32"/>
          <w:lang w:val="en-US" w:eastAsia="zh-CN"/>
        </w:rPr>
        <w:t>259.87</w:t>
      </w:r>
      <w:r>
        <w:rPr>
          <w:rFonts w:ascii="仿宋_GB2312" w:eastAsia="仿宋_GB2312" w:hint="eastAsia"/>
          <w:sz w:val="32"/>
          <w:szCs w:val="32"/>
        </w:rPr>
        <w:t>万元、</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lang w:val="en-US" w:eastAsia="zh-CN"/>
        </w:rPr>
        <w:t>55.26</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27.58</w:t>
      </w:r>
      <w:r>
        <w:rPr>
          <w:rFonts w:ascii="仿宋_GB2312" w:eastAsia="仿宋_GB2312" w:hint="eastAsia"/>
          <w:color w:val="000000"/>
          <w:sz w:val="32"/>
          <w:szCs w:val="32"/>
        </w:rPr>
        <w:t>万元、</w:t>
      </w:r>
      <w:r>
        <w:rPr>
          <w:rFonts w:ascii="仿宋_GB2312" w:eastAsia="仿宋_GB2312" w:hint="eastAsia"/>
          <w:sz w:val="32"/>
          <w:szCs w:val="32"/>
        </w:rPr>
        <w:t>职工基本医疗保险缴费</w:t>
      </w:r>
      <w:r>
        <w:rPr>
          <w:rFonts w:ascii="仿宋_GB2312" w:eastAsia="仿宋_GB2312" w:hint="eastAsia"/>
          <w:sz w:val="32"/>
          <w:szCs w:val="32"/>
          <w:lang w:val="en-US" w:eastAsia="zh-CN"/>
        </w:rPr>
        <w:t>25.51</w:t>
      </w:r>
      <w:r>
        <w:rPr>
          <w:rFonts w:ascii="仿宋_GB2312" w:eastAsia="仿宋_GB2312" w:hint="eastAsia"/>
          <w:sz w:val="32"/>
          <w:szCs w:val="32"/>
        </w:rPr>
        <w:t>元、公务员医疗补助</w:t>
      </w:r>
      <w:r>
        <w:rPr>
          <w:rFonts w:ascii="仿宋_GB2312" w:eastAsia="仿宋_GB2312" w:hint="eastAsia"/>
          <w:sz w:val="32"/>
          <w:szCs w:val="32"/>
          <w:lang w:val="en-US" w:eastAsia="zh-CN"/>
        </w:rPr>
        <w:t>11.35</w:t>
      </w:r>
      <w:r>
        <w:rPr>
          <w:rFonts w:ascii="仿宋_GB2312" w:eastAsia="仿宋_GB2312" w:hint="eastAsia"/>
          <w:sz w:val="32"/>
          <w:szCs w:val="32"/>
        </w:rPr>
        <w:t>万元，住房公积金</w:t>
      </w:r>
      <w:r>
        <w:rPr>
          <w:rFonts w:ascii="仿宋_GB2312" w:eastAsia="仿宋_GB2312" w:hint="eastAsia"/>
          <w:sz w:val="32"/>
          <w:szCs w:val="32"/>
          <w:lang w:val="en-US" w:eastAsia="zh-CN"/>
        </w:rPr>
        <w:t>58.22</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lang w:val="en-US" w:eastAsia="zh-CN"/>
        </w:rPr>
        <w:t>购房补贴1.23万元</w:t>
      </w:r>
      <w:r>
        <w:rPr>
          <w:rFonts w:ascii="仿宋_GB2312" w:eastAsia="仿宋_GB2312" w:hint="eastAsia"/>
          <w:sz w:val="32"/>
          <w:szCs w:val="32"/>
        </w:rPr>
        <w:t>；</w:t>
      </w:r>
      <w:r>
        <w:rPr>
          <w:rFonts w:ascii="仿宋_GB2312" w:eastAsia="仿宋_GB2312" w:hint="eastAsia"/>
          <w:color w:val="000000"/>
          <w:sz w:val="32"/>
          <w:szCs w:val="32"/>
        </w:rPr>
        <w:t>公用经费</w:t>
      </w:r>
      <w:r>
        <w:rPr>
          <w:rFonts w:ascii="仿宋_GB2312" w:eastAsia="仿宋_GB2312" w:hint="eastAsia"/>
          <w:color w:val="000000"/>
          <w:sz w:val="32"/>
          <w:szCs w:val="32"/>
          <w:lang w:val="en-US" w:eastAsia="zh-CN"/>
        </w:rPr>
        <w:t>157.64</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12.27</w:t>
      </w:r>
      <w:r>
        <w:rPr>
          <w:rFonts w:ascii="仿宋_GB2312" w:eastAsia="仿宋_GB2312" w:hint="eastAsia"/>
          <w:color w:val="000000"/>
          <w:sz w:val="32"/>
          <w:szCs w:val="32"/>
        </w:rPr>
        <w:t>万元、手续费0.1万元、水费0.3万元、电费</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.5万元、邮电费</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物业管理费3.02万元、</w:t>
      </w:r>
      <w:r>
        <w:rPr>
          <w:rFonts w:ascii="仿宋_GB2312" w:eastAsia="仿宋_GB2312" w:hint="eastAsia"/>
          <w:color w:val="000000"/>
          <w:sz w:val="32"/>
          <w:szCs w:val="32"/>
        </w:rPr>
        <w:t>取暖费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55</w:t>
      </w:r>
      <w:r>
        <w:rPr>
          <w:rFonts w:ascii="仿宋_GB2312" w:eastAsia="仿宋_GB2312" w:hint="eastAsia"/>
          <w:color w:val="000000"/>
          <w:sz w:val="32"/>
          <w:szCs w:val="32"/>
        </w:rPr>
        <w:t>万元、维修（护）费</w:t>
      </w:r>
      <w:r>
        <w:rPr>
          <w:rFonts w:ascii="仿宋_GB2312" w:eastAsia="仿宋_GB2312" w:hint="eastAsia"/>
          <w:color w:val="000000"/>
          <w:sz w:val="32"/>
          <w:szCs w:val="32"/>
          <w:lang w:val="en-US" w:eastAsia="zh-CN"/>
        </w:rPr>
        <w:t>0.5</w:t>
      </w:r>
      <w:r>
        <w:rPr>
          <w:rFonts w:ascii="仿宋_GB2312" w:eastAsia="仿宋_GB2312" w:hint="eastAsia"/>
          <w:color w:val="000000"/>
          <w:sz w:val="32"/>
          <w:szCs w:val="32"/>
        </w:rPr>
        <w:t>万元、租赁费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万元、会议费1万元、公务接待费0万元、劳务费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.5万元、公务用车运行维护费</w:t>
      </w:r>
      <w:r>
        <w:rPr>
          <w:rFonts w:ascii="仿宋_GB2312" w:eastAsia="仿宋_GB2312" w:hint="eastAsia"/>
          <w:color w:val="000000"/>
          <w:sz w:val="32"/>
          <w:szCs w:val="32"/>
          <w:lang w:val="en-US" w:eastAsia="zh-CN"/>
        </w:rPr>
        <w:t>70</w:t>
      </w:r>
      <w:r>
        <w:rPr>
          <w:rFonts w:ascii="仿宋_GB2312" w:eastAsia="仿宋_GB2312" w:hint="eastAsia"/>
          <w:color w:val="000000"/>
          <w:sz w:val="32"/>
          <w:szCs w:val="32"/>
        </w:rPr>
        <w:t>万元、其他交通费0.4</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元。</w:t>
      </w:r>
    </w:p>
    <w:p>
      <w:pPr>
        <w:widowControl/>
        <w:adjustRightInd w:val="0"/>
        <w:snapToGrid w:val="0"/>
        <w:spacing w:line="480" w:lineRule="exact"/>
        <w:ind w:firstLineChars="200" w:firstLine="640"/>
        <w:jc w:val="left"/>
        <w:rPr>
          <w:rFonts w:ascii="仿宋_GB2312" w:eastAsia="仿宋_GB2312" w:cs="仿宋"/>
          <w:color w:val="000000"/>
          <w:kern w:val="0"/>
          <w:sz w:val="32"/>
          <w:szCs w:val="32"/>
        </w:rPr>
      </w:pPr>
      <w:r>
        <w:rPr>
          <w:rFonts w:ascii="仿宋_GB2312" w:eastAsia="仿宋_GB2312" w:cs="仿宋" w:hint="eastAsia"/>
          <w:color w:val="000000"/>
          <w:kern w:val="0"/>
          <w:sz w:val="32"/>
          <w:szCs w:val="32"/>
        </w:rPr>
        <w:t>财政拨款支出主要用于保障本部门机构正常运转、完成日常工作任务。基本人员支出，是用于</w:t>
      </w:r>
      <w:r>
        <w:rPr>
          <w:rFonts w:ascii="仿宋_GB2312" w:eastAsia="仿宋_GB2312" w:cs="仿宋" w:hint="eastAsia"/>
          <w:color w:val="000000"/>
          <w:kern w:val="0"/>
          <w:sz w:val="32"/>
          <w:szCs w:val="32"/>
          <w:lang w:eastAsia="zh-CN"/>
        </w:rPr>
        <w:t>沙耳乡人民政府</w:t>
      </w:r>
      <w:r>
        <w:rPr>
          <w:rFonts w:ascii="仿宋_GB2312" w:eastAsia="仿宋_GB2312" w:cs="仿宋" w:hint="eastAsia"/>
          <w:color w:val="000000"/>
          <w:kern w:val="0"/>
          <w:sz w:val="32"/>
          <w:szCs w:val="32"/>
        </w:rPr>
        <w:t>单位人员工资和社保就业保障经费。日常公用支出包括办公费、印刷费、水电费、“三公经费”等日常公用经费。</w:t>
      </w:r>
    </w:p>
    <w:p>
      <w:pPr>
        <w:spacing w:line="560" w:lineRule="exact"/>
        <w:ind w:firstLineChars="200" w:firstLine="640"/>
        <w:rPr>
          <w:rFonts w:ascii="黑体" w:eastAsia="黑体" w:cs="黑体" w:hint="eastAsia"/>
          <w:b w:val="0"/>
          <w:bCs w:val="0"/>
          <w:color w:val="000000"/>
          <w:kern w:val="0"/>
          <w:sz w:val="32"/>
          <w:szCs w:val="32"/>
        </w:rPr>
      </w:pPr>
      <w:r>
        <w:rPr>
          <w:rFonts w:ascii="黑体" w:eastAsia="黑体" w:cs="黑体" w:hint="eastAsia"/>
          <w:b w:val="0"/>
          <w:bCs w:val="0"/>
          <w:color w:val="000000"/>
          <w:kern w:val="0"/>
          <w:sz w:val="32"/>
          <w:szCs w:val="32"/>
        </w:rPr>
        <w:t>三、部门财政支出管理情况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（一）预算编制情况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按照综合预算的编制原则，保证预算编制质量，</w:t>
      </w:r>
      <w:r>
        <w:rPr>
          <w:rFonts w:ascii="仿宋_GB2312" w:eastAsia="仿宋_GB2312" w:cs="仿宋" w:hint="eastAsia"/>
          <w:color w:val="000000"/>
          <w:kern w:val="0"/>
          <w:sz w:val="32"/>
          <w:szCs w:val="32"/>
          <w:lang w:eastAsia="zh-CN"/>
        </w:rPr>
        <w:t>我乡</w:t>
      </w:r>
      <w:r>
        <w:rPr>
          <w:rFonts w:ascii="仿宋_GB2312" w:eastAsia="仿宋_GB2312" w:cs="仿宋" w:hint="eastAsia"/>
          <w:color w:val="000000"/>
          <w:kern w:val="0"/>
          <w:sz w:val="32"/>
          <w:szCs w:val="32"/>
        </w:rPr>
        <w:t>所有收入和支出均纳入财政预算管理，公用经费按人员数进行编制，</w:t>
      </w:r>
      <w:r>
        <w:rPr>
          <w:rFonts w:ascii="仿宋_GB2312" w:eastAsia="仿宋_GB2312" w:cs="仿宋" w:hint="eastAsia"/>
          <w:color w:val="000000"/>
          <w:kern w:val="0"/>
          <w:sz w:val="32"/>
          <w:szCs w:val="32"/>
          <w:lang w:eastAsia="zh-CN"/>
        </w:rPr>
        <w:t>其他</w:t>
      </w:r>
      <w:r>
        <w:rPr>
          <w:rFonts w:ascii="仿宋_GB2312" w:eastAsia="仿宋_GB2312" w:cs="仿宋" w:hint="eastAsia"/>
          <w:color w:val="000000"/>
          <w:kern w:val="0"/>
          <w:sz w:val="32"/>
          <w:szCs w:val="32"/>
        </w:rPr>
        <w:t>经费严格按照有关预算法执行。</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1、20</w:t>
      </w:r>
      <w:r>
        <w:rPr>
          <w:rFonts w:ascii="仿宋_GB2312" w:eastAsia="仿宋_GB2312" w:cs="仿宋"/>
          <w:color w:val="000000"/>
          <w:kern w:val="0"/>
          <w:sz w:val="32"/>
          <w:szCs w:val="32"/>
        </w:rPr>
        <w:t>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年预算按当年10月实有人数</w:t>
      </w:r>
      <w:r>
        <w:rPr>
          <w:rFonts w:ascii="仿宋_GB2312" w:eastAsia="仿宋_GB2312" w:cs="仿宋" w:hint="eastAsia"/>
          <w:color w:val="000000"/>
          <w:kern w:val="0"/>
          <w:sz w:val="32"/>
          <w:szCs w:val="32"/>
          <w:lang w:val="en-US" w:eastAsia="zh-CN"/>
        </w:rPr>
        <w:t>41</w:t>
      </w:r>
      <w:r>
        <w:rPr>
          <w:rFonts w:ascii="仿宋_GB2312" w:eastAsia="仿宋_GB2312" w:cs="仿宋" w:hint="eastAsia"/>
          <w:color w:val="000000"/>
          <w:kern w:val="0"/>
          <w:sz w:val="32"/>
          <w:szCs w:val="32"/>
        </w:rPr>
        <w:t>人，</w:t>
      </w:r>
      <w:r>
        <w:rPr>
          <w:rFonts w:ascii="仿宋_GB2312" w:eastAsia="仿宋_GB2312" w:cs="仿宋" w:hint="eastAsia"/>
          <w:color w:val="000000"/>
          <w:kern w:val="0"/>
          <w:sz w:val="32"/>
          <w:szCs w:val="32"/>
          <w:lang w:eastAsia="zh-CN"/>
        </w:rPr>
        <w:t>2021年</w:t>
      </w:r>
      <w:r>
        <w:rPr>
          <w:rFonts w:ascii="仿宋_GB2312" w:eastAsia="仿宋_GB2312" w:cs="仿宋" w:hint="eastAsia"/>
          <w:color w:val="000000"/>
          <w:kern w:val="0"/>
          <w:sz w:val="32"/>
          <w:szCs w:val="32"/>
        </w:rPr>
        <w:t>公用经费</w:t>
      </w:r>
      <w:r>
        <w:rPr>
          <w:rFonts w:ascii="仿宋_GB2312" w:eastAsia="仿宋_GB2312" w:hint="eastAsia"/>
          <w:color w:val="000000"/>
          <w:sz w:val="32"/>
          <w:szCs w:val="32"/>
          <w:lang w:val="en-US" w:eastAsia="zh-CN"/>
        </w:rPr>
        <w:t>41.81</w:t>
      </w:r>
      <w:r>
        <w:rPr>
          <w:rFonts w:ascii="仿宋_GB2312" w:eastAsia="仿宋_GB2312" w:cs="仿宋" w:hint="eastAsia"/>
          <w:color w:val="000000"/>
          <w:kern w:val="0"/>
          <w:sz w:val="32"/>
          <w:szCs w:val="32"/>
        </w:rPr>
        <w:t>万元。</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（二）执行预算情况。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ascii="仿宋_GB2312" w:eastAsia="仿宋_GB2312" w:cs="仿宋" w:hint="eastAsia"/>
          <w:color w:val="000000"/>
          <w:kern w:val="0"/>
          <w:sz w:val="32"/>
          <w:szCs w:val="32"/>
          <w:lang w:val="zh-CN"/>
        </w:rPr>
        <w:t>部门预算在财政部门批复后及时填报预算公示报表报财政审核在政府信息公开网上公示。</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2、三公经费预算执行情况：</w:t>
      </w:r>
    </w:p>
    <w:p>
      <w:pPr>
        <w:ind w:firstLineChars="200" w:firstLine="640"/>
        <w:rPr>
          <w:rFonts w:ascii="仿宋_GB2312" w:eastAsia="仿宋_GB2312" w:cs="仿宋" w:hint="eastAsia"/>
          <w:color w:val="000000"/>
          <w:kern w:val="0"/>
          <w:sz w:val="32"/>
          <w:szCs w:val="32"/>
          <w:lang w:eastAsia="zh-CN"/>
        </w:rPr>
      </w:pPr>
      <w:r>
        <w:rPr>
          <w:rFonts w:ascii="仿宋_GB2312" w:eastAsia="仿宋_GB2312" w:cs="仿宋" w:hint="eastAsia"/>
          <w:color w:val="000000"/>
          <w:kern w:val="0"/>
          <w:sz w:val="32"/>
          <w:szCs w:val="32"/>
        </w:rPr>
        <w:t>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年“三公”经费：202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年公务接待费</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rPr>
        <w:t>万元，</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w:t>
      </w:r>
      <w:r>
        <w:rPr>
          <w:rFonts w:ascii="仿宋_GB2312" w:eastAsia="仿宋_GB2312" w:cs="仿宋" w:hint="eastAsia"/>
          <w:color w:val="000000"/>
          <w:kern w:val="0"/>
          <w:sz w:val="32"/>
          <w:szCs w:val="32"/>
        </w:rPr>
        <w:t>公务接待费决算数为0万元和预算数一致</w:t>
      </w:r>
      <w:r>
        <w:rPr>
          <w:rFonts w:ascii="仿宋_GB2312" w:eastAsia="仿宋_GB2312" w:cs="仿宋" w:hint="eastAsia"/>
          <w:color w:val="000000"/>
          <w:kern w:val="0"/>
          <w:sz w:val="32"/>
          <w:szCs w:val="32"/>
          <w:lang w:eastAsia="zh-CN"/>
        </w:rPr>
        <w:t>。</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（三）综合管理情况</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1、固定资产管理方面：本单位固定资产按科学合理、优化资产结构、勤俭节约的原则和专门的资产管理系统进行管理，截止202</w:t>
      </w:r>
      <w:r>
        <w:rPr>
          <w:rFonts w:ascii="仿宋_GB2312" w:eastAsia="仿宋_GB2312" w:cs="仿宋" w:hint="eastAsia"/>
          <w:color w:val="000000"/>
          <w:kern w:val="0"/>
          <w:sz w:val="32"/>
          <w:szCs w:val="32"/>
          <w:lang w:val="en-US" w:eastAsia="zh-CN"/>
        </w:rPr>
        <w:t>1</w:t>
      </w:r>
      <w:r>
        <w:rPr>
          <w:rFonts w:ascii="仿宋_GB2312" w:eastAsia="仿宋_GB2312" w:cs="仿宋" w:hint="eastAsia"/>
          <w:color w:val="000000"/>
          <w:kern w:val="0"/>
          <w:sz w:val="32"/>
          <w:szCs w:val="32"/>
        </w:rPr>
        <w:t>年12月30日，年末固定资产账面数据和固定资产管理系统数据一致。</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rPr>
        <w:t>、内控制度方面:为进一步做好行政事业单位内部控制基础性工作，结合</w:t>
      </w:r>
      <w:r>
        <w:rPr>
          <w:rFonts w:ascii="仿宋_GB2312" w:eastAsia="仿宋_GB2312" w:cs="仿宋" w:hint="eastAsia"/>
          <w:color w:val="000000"/>
          <w:kern w:val="0"/>
          <w:sz w:val="32"/>
          <w:szCs w:val="32"/>
          <w:lang w:eastAsia="zh-CN"/>
        </w:rPr>
        <w:t>我乡</w:t>
      </w:r>
      <w:r>
        <w:rPr>
          <w:rFonts w:ascii="仿宋_GB2312" w:eastAsia="仿宋_GB2312" w:cs="仿宋" w:hint="eastAsia"/>
          <w:color w:val="000000"/>
          <w:kern w:val="0"/>
          <w:sz w:val="32"/>
          <w:szCs w:val="32"/>
        </w:rPr>
        <w:t>实际，特制订预算管理、财务收支管理、政府采购及管理、资产管理、基本建设项目管理、合同管理、财务管理、差旅费报销、工作岗位职责、考勤请销假、办公室首问、公室印章管理使用、学习会议等制度草案。</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rPr>
        <w:t>、信息公开方面：预算决算公开按财政局的要求在收到财政批复后20个工作日在金川县政府中心的信息网站进行公开。</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rPr>
        <w:t>、绩效评价及财政监督情况:按部门支出绩效评价指标体系进行单位自评，按财政要求收支并接受财政的监督管理。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（四）、整体绩效</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 xml:space="preserve">  根据部门支出绩效评价指标体系进行单位自评。</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1、预算编制总分</w:t>
      </w:r>
      <w:r>
        <w:rPr>
          <w:rFonts w:ascii="仿宋_GB2312" w:eastAsia="仿宋_GB2312" w:cs="仿宋" w:hint="eastAsia"/>
          <w:color w:val="000000"/>
          <w:kern w:val="0"/>
          <w:sz w:val="32"/>
          <w:szCs w:val="32"/>
          <w:lang w:val="en-US" w:eastAsia="zh-CN"/>
        </w:rPr>
        <w:t>25</w:t>
      </w:r>
      <w:r>
        <w:rPr>
          <w:rFonts w:ascii="仿宋_GB2312" w:eastAsia="仿宋_GB2312" w:cs="仿宋" w:hint="eastAsia"/>
          <w:color w:val="000000"/>
          <w:kern w:val="0"/>
          <w:sz w:val="32"/>
          <w:szCs w:val="32"/>
        </w:rPr>
        <w:t>分，自评得分</w:t>
      </w:r>
      <w:r>
        <w:rPr>
          <w:rFonts w:ascii="仿宋_GB2312" w:eastAsia="仿宋_GB2312" w:cs="仿宋" w:hint="eastAsia"/>
          <w:color w:val="000000"/>
          <w:kern w:val="0"/>
          <w:sz w:val="32"/>
          <w:szCs w:val="32"/>
          <w:lang w:val="en-US" w:eastAsia="zh-CN"/>
        </w:rPr>
        <w:t>17.5</w:t>
      </w:r>
      <w:r>
        <w:rPr>
          <w:rFonts w:ascii="仿宋_GB2312" w:eastAsia="仿宋_GB2312" w:cs="仿宋" w:hint="eastAsia"/>
          <w:color w:val="000000"/>
          <w:kern w:val="0"/>
          <w:sz w:val="32"/>
          <w:szCs w:val="32"/>
        </w:rPr>
        <w:t>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2、综合管理总分</w:t>
      </w:r>
      <w:r>
        <w:rPr>
          <w:rFonts w:ascii="仿宋_GB2312" w:eastAsia="仿宋_GB2312" w:cs="仿宋" w:hint="eastAsia"/>
          <w:color w:val="000000"/>
          <w:kern w:val="0"/>
          <w:sz w:val="32"/>
          <w:szCs w:val="32"/>
          <w:lang w:val="en-US" w:eastAsia="zh-CN"/>
        </w:rPr>
        <w:t>30</w:t>
      </w:r>
      <w:r>
        <w:rPr>
          <w:rFonts w:ascii="仿宋_GB2312" w:eastAsia="仿宋_GB2312" w:cs="仿宋" w:hint="eastAsia"/>
          <w:color w:val="000000"/>
          <w:kern w:val="0"/>
          <w:sz w:val="32"/>
          <w:szCs w:val="32"/>
        </w:rPr>
        <w:t>分，自评得</w:t>
      </w:r>
      <w:r>
        <w:rPr>
          <w:rFonts w:ascii="仿宋_GB2312" w:eastAsia="仿宋_GB2312" w:cs="仿宋" w:hint="eastAsia"/>
          <w:color w:val="000000"/>
          <w:kern w:val="0"/>
          <w:sz w:val="32"/>
          <w:szCs w:val="32"/>
          <w:lang w:val="en-US" w:eastAsia="zh-CN"/>
        </w:rPr>
        <w:t>26</w:t>
      </w:r>
      <w:r>
        <w:rPr>
          <w:rFonts w:ascii="仿宋_GB2312" w:eastAsia="仿宋_GB2312" w:cs="仿宋" w:hint="eastAsia"/>
          <w:color w:val="000000"/>
          <w:kern w:val="0"/>
          <w:sz w:val="32"/>
          <w:szCs w:val="32"/>
        </w:rPr>
        <w:t>分。</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rPr>
        <w:t>、部门绩效情况总分</w:t>
      </w:r>
      <w:r>
        <w:rPr>
          <w:rFonts w:ascii="仿宋_GB2312" w:eastAsia="仿宋_GB2312" w:cs="仿宋" w:hint="eastAsia"/>
          <w:color w:val="000000"/>
          <w:kern w:val="0"/>
          <w:sz w:val="32"/>
          <w:szCs w:val="32"/>
          <w:lang w:val="en-US" w:eastAsia="zh-CN"/>
        </w:rPr>
        <w:t>45</w:t>
      </w:r>
      <w:r>
        <w:rPr>
          <w:rFonts w:ascii="仿宋_GB2312" w:eastAsia="仿宋_GB2312" w:cs="仿宋" w:hint="eastAsia"/>
          <w:color w:val="000000"/>
          <w:kern w:val="0"/>
          <w:sz w:val="32"/>
          <w:szCs w:val="32"/>
        </w:rPr>
        <w:t>分，自评得分</w:t>
      </w:r>
      <w:r>
        <w:rPr>
          <w:rFonts w:ascii="仿宋_GB2312" w:eastAsia="仿宋_GB2312" w:cs="仿宋" w:hint="eastAsia"/>
          <w:color w:val="000000"/>
          <w:kern w:val="0"/>
          <w:sz w:val="32"/>
          <w:szCs w:val="32"/>
          <w:lang w:val="en-US" w:eastAsia="zh-CN"/>
        </w:rPr>
        <w:t>38</w:t>
      </w:r>
      <w:r>
        <w:rPr>
          <w:rFonts w:ascii="仿宋_GB2312" w:eastAsia="仿宋_GB2312" w:cs="仿宋" w:hint="eastAsia"/>
          <w:color w:val="000000"/>
          <w:kern w:val="0"/>
          <w:sz w:val="32"/>
          <w:szCs w:val="32"/>
        </w:rPr>
        <w:t>分。</w:t>
      </w:r>
    </w:p>
    <w:p>
      <w:pPr>
        <w:snapToGrid w:val="0"/>
        <w:spacing w:line="560" w:lineRule="exact"/>
        <w:ind w:firstLineChars="200" w:firstLine="640"/>
        <w:rPr>
          <w:rFonts w:ascii="黑体" w:eastAsia="黑体" w:cs="黑体" w:hint="eastAsia"/>
          <w:color w:val="000000"/>
          <w:kern w:val="0"/>
          <w:sz w:val="32"/>
          <w:szCs w:val="32"/>
        </w:rPr>
      </w:pPr>
      <w:r>
        <w:rPr>
          <w:rFonts w:ascii="黑体" w:eastAsia="黑体" w:cs="黑体" w:hint="eastAsia"/>
          <w:color w:val="000000"/>
          <w:kern w:val="0"/>
          <w:sz w:val="32"/>
          <w:szCs w:val="32"/>
        </w:rPr>
        <w:t>四、评价结论</w:t>
      </w:r>
    </w:p>
    <w:p>
      <w:pPr>
        <w:snapToGrid w:val="0"/>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评价结论</w:t>
      </w:r>
      <w:r>
        <w:rPr>
          <w:rFonts w:ascii="仿宋_GB2312" w:eastAsia="仿宋_GB2312" w:cs="仿宋" w:hint="eastAsia"/>
          <w:color w:val="000000"/>
          <w:kern w:val="0"/>
          <w:sz w:val="32"/>
          <w:szCs w:val="32"/>
          <w:lang w:eastAsia="zh-CN"/>
        </w:rPr>
        <w:t>：</w:t>
      </w:r>
      <w:r>
        <w:rPr>
          <w:rFonts w:ascii="仿宋_GB2312" w:eastAsia="仿宋_GB2312" w:cs="仿宋" w:hint="eastAsia"/>
          <w:color w:val="000000"/>
          <w:kern w:val="0"/>
          <w:sz w:val="32"/>
          <w:szCs w:val="32"/>
        </w:rPr>
        <w:t>根据部门支出绩效评价指标体系进行单位自评，圆满完成绩效自评工作，圆满完成中央、省、州委和县的重要工作、目标任务。</w:t>
      </w:r>
    </w:p>
    <w:p>
      <w:pPr>
        <w:spacing w:line="560" w:lineRule="exact"/>
        <w:ind w:firstLineChars="200" w:firstLine="640"/>
        <w:rPr>
          <w:rFonts w:ascii="仿宋_GB2312" w:eastAsia="仿宋_GB2312" w:cs="仿宋" w:hint="eastAsia"/>
          <w:color w:val="000000"/>
          <w:kern w:val="0"/>
          <w:sz w:val="32"/>
          <w:szCs w:val="32"/>
        </w:rPr>
      </w:pPr>
      <w:r>
        <w:rPr>
          <w:rFonts w:ascii="仿宋_GB2312" w:eastAsia="仿宋_GB2312" w:cs="仿宋" w:hint="eastAsia"/>
          <w:color w:val="000000"/>
          <w:kern w:val="0"/>
          <w:sz w:val="32"/>
          <w:szCs w:val="32"/>
        </w:rPr>
        <w:t>本单位总体评价内容内实际得分</w:t>
      </w:r>
      <w:r>
        <w:rPr>
          <w:rFonts w:ascii="仿宋_GB2312" w:eastAsia="仿宋_GB2312" w:cs="仿宋" w:hint="eastAsia"/>
          <w:color w:val="000000"/>
          <w:kern w:val="0"/>
          <w:sz w:val="32"/>
          <w:szCs w:val="32"/>
          <w:lang w:val="en-US" w:eastAsia="zh-CN"/>
        </w:rPr>
        <w:t>81.5</w:t>
      </w:r>
      <w:r>
        <w:rPr>
          <w:rFonts w:ascii="仿宋_GB2312" w:eastAsia="仿宋_GB2312" w:cs="仿宋" w:hint="eastAsia"/>
          <w:color w:val="000000"/>
          <w:kern w:val="0"/>
          <w:sz w:val="32"/>
          <w:szCs w:val="32"/>
        </w:rPr>
        <w:t>分，按计算本单位最后得分</w:t>
      </w:r>
      <w:r>
        <w:rPr>
          <w:rFonts w:ascii="仿宋_GB2312" w:eastAsia="仿宋_GB2312" w:cs="仿宋" w:hint="eastAsia"/>
          <w:color w:val="000000"/>
          <w:kern w:val="0"/>
          <w:sz w:val="32"/>
          <w:szCs w:val="32"/>
          <w:lang w:val="en-US" w:eastAsia="zh-CN"/>
        </w:rPr>
        <w:t>90</w:t>
      </w:r>
      <w:r>
        <w:rPr>
          <w:rFonts w:ascii="仿宋_GB2312" w:eastAsia="仿宋_GB2312" w:cs="仿宋" w:hint="eastAsia"/>
          <w:color w:val="000000"/>
          <w:kern w:val="0"/>
          <w:sz w:val="32"/>
          <w:szCs w:val="32"/>
        </w:rPr>
        <w:t>分（注:本单位本次自评总分={</w:t>
      </w:r>
      <w:r>
        <w:rPr>
          <w:rFonts w:ascii="仿宋_GB2312" w:eastAsia="仿宋_GB2312" w:cs="仿宋" w:hint="eastAsia"/>
          <w:color w:val="000000"/>
          <w:kern w:val="0"/>
          <w:sz w:val="32"/>
          <w:szCs w:val="32"/>
          <w:lang w:val="en-US" w:eastAsia="zh-CN"/>
        </w:rPr>
        <w:t>81</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en-US" w:eastAsia="zh-CN"/>
        </w:rPr>
        <w:t>10</w:t>
      </w:r>
      <w:r>
        <w:rPr>
          <w:rFonts w:ascii="仿宋_GB2312" w:eastAsia="仿宋_GB2312" w:cs="仿宋" w:hint="eastAsia"/>
          <w:color w:val="000000"/>
          <w:kern w:val="0"/>
          <w:sz w:val="32"/>
          <w:szCs w:val="32"/>
        </w:rPr>
        <w:t>）}</w:t>
      </w:r>
      <w:r>
        <w:rPr>
          <w:rFonts w:ascii="仿宋_GB2312" w:eastAsia="仿宋_GB2312" w:cs="仿宋" w:hint="eastAsia"/>
          <w:color w:val="000000"/>
          <w:kern w:val="0"/>
          <w:sz w:val="32"/>
          <w:szCs w:val="32"/>
          <w:lang w:val="en-US" w:eastAsia="zh-CN"/>
        </w:rPr>
        <w:t>*</w:t>
      </w:r>
      <w:r>
        <w:rPr>
          <w:rFonts w:ascii="仿宋_GB2312" w:eastAsia="仿宋_GB2312" w:cs="仿宋" w:hint="eastAsia"/>
          <w:color w:val="000000"/>
          <w:kern w:val="0"/>
          <w:sz w:val="32"/>
          <w:szCs w:val="32"/>
        </w:rPr>
        <w:t>100=</w:t>
      </w:r>
      <w:r>
        <w:rPr>
          <w:rFonts w:ascii="仿宋_GB2312" w:eastAsia="仿宋_GB2312" w:cs="仿宋" w:hint="eastAsia"/>
          <w:color w:val="000000"/>
          <w:kern w:val="0"/>
          <w:sz w:val="32"/>
          <w:szCs w:val="32"/>
          <w:lang w:val="en-US" w:eastAsia="zh-CN"/>
        </w:rPr>
        <w:t>90</w:t>
      </w:r>
      <w:r>
        <w:rPr>
          <w:rFonts w:ascii="仿宋_GB2312" w:eastAsia="仿宋_GB2312" w:cs="仿宋" w:hint="eastAsia"/>
          <w:color w:val="000000"/>
          <w:kern w:val="0"/>
          <w:sz w:val="32"/>
          <w:szCs w:val="32"/>
        </w:rPr>
        <w:t>分）。</w:t>
      </w: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560" w:lineRule="exact"/>
        <w:ind w:firstLineChars="200" w:firstLine="640"/>
        <w:rPr>
          <w:rFonts w:ascii="仿宋_GB2312" w:eastAsia="仿宋_GB2312" w:cs="仿宋" w:hint="eastAsia"/>
          <w:color w:val="000000"/>
          <w:kern w:val="0"/>
          <w:sz w:val="32"/>
          <w:szCs w:val="32"/>
        </w:rPr>
      </w:pPr>
    </w:p>
    <w:p>
      <w:pPr>
        <w:spacing w:line="600" w:lineRule="exact"/>
        <w:jc w:val="center"/>
        <w:outlineLvl w:val="0"/>
        <w:rPr>
          <w:rStyle w:val="1Char"/>
          <w:rFonts w:ascii="方正小标宋简体" w:eastAsia="方正小标宋简体" w:hint="eastAsia"/>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77"/>
      <w:bookmarkEnd w:id="78"/>
      <w:bookmarkEnd w:id="79"/>
      <w:bookmarkEnd w:id="80"/>
    </w:p>
    <w:p>
      <w:pPr>
        <w:pStyle w:val="2"/>
        <w:spacing w:before="0" w:after="0" w:line="560" w:lineRule="exact"/>
        <w:rPr>
          <w:rFonts w:ascii="仿宋" w:eastAsia="仿宋" w:hint="eastAsia"/>
          <w:color w:val="000000"/>
        </w:rPr>
      </w:pPr>
      <w:bookmarkStart w:id="82" w:name="_Toc79163636"/>
      <w:bookmarkStart w:id="83" w:name="_Toc79163886"/>
      <w:bookmarkStart w:id="84" w:name="_Toc15396619"/>
      <w:r>
        <w:rPr>
          <w:rFonts w:ascii="仿宋" w:eastAsia="仿宋" w:hint="eastAsia"/>
          <w:b w:val="0"/>
          <w:color w:val="000000"/>
        </w:rPr>
        <w:t>一、收</w:t>
      </w:r>
      <w:r>
        <w:rPr>
          <w:rStyle w:val="2Char"/>
          <w:rFonts w:ascii="仿宋" w:eastAsia="仿宋" w:hint="eastAsia"/>
          <w:b/>
          <w:bCs/>
        </w:rPr>
        <w:t>入支出决算总表</w:t>
      </w:r>
      <w:bookmarkEnd w:id="82"/>
      <w:bookmarkEnd w:id="83"/>
      <w:bookmarkEnd w:id="84"/>
    </w:p>
    <w:p>
      <w:pPr>
        <w:pStyle w:val="2"/>
        <w:spacing w:before="0" w:after="0" w:line="560" w:lineRule="exact"/>
        <w:rPr>
          <w:rFonts w:ascii="仿宋" w:eastAsia="仿宋" w:hint="eastAsia"/>
          <w:color w:val="000000"/>
        </w:rPr>
      </w:pPr>
      <w:bookmarkStart w:id="85" w:name="_Toc79163637"/>
      <w:bookmarkStart w:id="86" w:name="_Toc15396620"/>
      <w:bookmarkStart w:id="87" w:name="_Toc79163887"/>
      <w:r>
        <w:rPr>
          <w:rFonts w:ascii="仿宋" w:eastAsia="仿宋" w:hint="eastAsia"/>
          <w:b w:val="0"/>
          <w:color w:val="000000"/>
        </w:rPr>
        <w:t>二、收</w:t>
      </w:r>
      <w:r>
        <w:rPr>
          <w:rStyle w:val="2Char"/>
          <w:rFonts w:ascii="仿宋" w:eastAsia="仿宋" w:hint="eastAsia"/>
          <w:b/>
          <w:bCs/>
        </w:rPr>
        <w:t>入决算表</w:t>
      </w:r>
      <w:bookmarkEnd w:id="85"/>
      <w:bookmarkEnd w:id="86"/>
      <w:bookmarkEnd w:id="87"/>
    </w:p>
    <w:p>
      <w:pPr>
        <w:pStyle w:val="2"/>
        <w:spacing w:before="0" w:after="0" w:line="560" w:lineRule="exact"/>
        <w:rPr>
          <w:rFonts w:ascii="仿宋" w:eastAsia="仿宋" w:hint="eastAsia"/>
          <w:color w:val="000000"/>
        </w:rPr>
      </w:pPr>
      <w:bookmarkStart w:id="88" w:name="_Toc79163638"/>
      <w:bookmarkStart w:id="89" w:name="_Toc79163888"/>
      <w:bookmarkStart w:id="90" w:name="_Toc15396621"/>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出决算表</w:t>
      </w:r>
      <w:bookmarkEnd w:id="88"/>
      <w:bookmarkEnd w:id="89"/>
      <w:bookmarkEnd w:id="90"/>
    </w:p>
    <w:p>
      <w:pPr>
        <w:pStyle w:val="2"/>
        <w:spacing w:before="0" w:after="0" w:line="560" w:lineRule="exact"/>
        <w:rPr>
          <w:rFonts w:ascii="仿宋" w:eastAsia="仿宋" w:hint="eastAsia"/>
          <w:b w:val="0"/>
          <w:color w:val="000000"/>
        </w:rPr>
      </w:pPr>
      <w:bookmarkStart w:id="91" w:name="_Toc79163639"/>
      <w:bookmarkStart w:id="92" w:name="_Toc79163889"/>
      <w:bookmarkStart w:id="93" w:name="_Toc15396622"/>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91"/>
      <w:bookmarkEnd w:id="92"/>
      <w:bookmarkEnd w:id="93"/>
    </w:p>
    <w:p>
      <w:pPr>
        <w:pStyle w:val="2"/>
        <w:spacing w:before="0" w:after="0" w:line="560" w:lineRule="exact"/>
        <w:rPr>
          <w:rStyle w:val="2Char"/>
          <w:rFonts w:ascii="仿宋" w:eastAsia="仿宋" w:hint="eastAsia"/>
          <w:b/>
          <w:bCs/>
        </w:rPr>
      </w:pPr>
      <w:bookmarkStart w:id="94" w:name="_Toc79163640"/>
      <w:bookmarkStart w:id="95" w:name="_Toc15396623"/>
      <w:bookmarkStart w:id="96" w:name="_Toc79163890"/>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w:t>
      </w:r>
      <w:bookmarkStart w:id="97" w:name="_Toc15396624"/>
      <w:bookmarkEnd w:id="94"/>
      <w:bookmarkEnd w:id="95"/>
      <w:bookmarkEnd w:id="96"/>
    </w:p>
    <w:p>
      <w:pPr>
        <w:pStyle w:val="2"/>
        <w:spacing w:before="0" w:after="0" w:line="560" w:lineRule="exact"/>
        <w:rPr>
          <w:rFonts w:ascii="仿宋" w:eastAsia="仿宋" w:hint="eastAsia"/>
          <w:color w:val="000000"/>
        </w:rPr>
      </w:pPr>
      <w:bookmarkStart w:id="98" w:name="_Toc79163641"/>
      <w:bookmarkStart w:id="99" w:name="_Toc79163891"/>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97"/>
      <w:bookmarkEnd w:id="98"/>
      <w:bookmarkEnd w:id="99"/>
    </w:p>
    <w:p>
      <w:pPr>
        <w:pStyle w:val="2"/>
        <w:spacing w:before="0" w:after="0" w:line="560" w:lineRule="exact"/>
        <w:rPr>
          <w:rFonts w:ascii="仿宋" w:eastAsia="仿宋" w:hint="eastAsia"/>
          <w:color w:val="000000"/>
        </w:rPr>
      </w:pPr>
      <w:bookmarkStart w:id="100" w:name="_Toc15396625"/>
      <w:bookmarkStart w:id="101" w:name="_Toc79163892"/>
      <w:bookmarkStart w:id="102" w:name="_Toc79163642"/>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100"/>
      <w:bookmarkEnd w:id="101"/>
      <w:bookmarkEnd w:id="102"/>
    </w:p>
    <w:p>
      <w:pPr>
        <w:pStyle w:val="2"/>
        <w:spacing w:before="0" w:after="0" w:line="560" w:lineRule="exact"/>
        <w:rPr>
          <w:rFonts w:ascii="仿宋" w:eastAsia="仿宋" w:hint="eastAsia"/>
          <w:color w:val="000000"/>
        </w:rPr>
      </w:pPr>
      <w:bookmarkStart w:id="103" w:name="_Toc79163643"/>
      <w:bookmarkStart w:id="104" w:name="_Toc15396626"/>
      <w:bookmarkStart w:id="105" w:name="_Toc79163893"/>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103"/>
      <w:bookmarkEnd w:id="104"/>
      <w:bookmarkEnd w:id="105"/>
    </w:p>
    <w:p>
      <w:pPr>
        <w:pStyle w:val="2"/>
        <w:spacing w:before="0" w:after="0" w:line="560" w:lineRule="exact"/>
        <w:rPr>
          <w:rFonts w:ascii="仿宋" w:eastAsia="仿宋" w:hint="eastAsia"/>
          <w:color w:val="000000"/>
        </w:rPr>
      </w:pPr>
      <w:bookmarkStart w:id="106" w:name="_Toc79163644"/>
      <w:bookmarkStart w:id="107" w:name="_Toc15396627"/>
      <w:bookmarkStart w:id="108" w:name="_Toc79163894"/>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106"/>
      <w:bookmarkEnd w:id="107"/>
      <w:bookmarkEnd w:id="108"/>
    </w:p>
    <w:p>
      <w:pPr>
        <w:pStyle w:val="2"/>
        <w:spacing w:before="0" w:after="0" w:line="560" w:lineRule="exact"/>
        <w:rPr>
          <w:rFonts w:ascii="仿宋" w:eastAsia="仿宋" w:hint="eastAsia"/>
          <w:color w:val="000000"/>
        </w:rPr>
      </w:pPr>
      <w:bookmarkStart w:id="109" w:name="_Toc79163645"/>
      <w:bookmarkStart w:id="110" w:name="_Toc79163895"/>
      <w:bookmarkStart w:id="111" w:name="_Toc15396628"/>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109"/>
      <w:bookmarkEnd w:id="110"/>
      <w:bookmarkEnd w:id="111"/>
    </w:p>
    <w:p>
      <w:pPr>
        <w:pStyle w:val="2"/>
        <w:spacing w:before="0" w:after="0" w:line="560" w:lineRule="exact"/>
        <w:rPr>
          <w:rFonts w:ascii="仿宋" w:eastAsia="仿宋" w:hint="eastAsia"/>
          <w:color w:val="000000"/>
        </w:rPr>
      </w:pPr>
      <w:bookmarkStart w:id="112" w:name="_Toc79163646"/>
      <w:bookmarkStart w:id="113" w:name="_Toc79163896"/>
      <w:bookmarkStart w:id="114" w:name="_Toc15396629"/>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112"/>
      <w:bookmarkEnd w:id="113"/>
      <w:bookmarkEnd w:id="114"/>
    </w:p>
    <w:p>
      <w:pPr>
        <w:pStyle w:val="2"/>
        <w:spacing w:before="0" w:after="0" w:line="560" w:lineRule="exact"/>
        <w:rPr>
          <w:rFonts w:ascii="仿宋" w:eastAsia="仿宋" w:hint="eastAsia"/>
          <w:color w:val="000000"/>
        </w:rPr>
      </w:pPr>
      <w:bookmarkStart w:id="115" w:name="_Toc79163647"/>
      <w:bookmarkStart w:id="116" w:name="_Toc79163897"/>
      <w:bookmarkStart w:id="117" w:name="_Toc15396630"/>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115"/>
      <w:bookmarkEnd w:id="116"/>
      <w:bookmarkEnd w:id="117"/>
    </w:p>
    <w:p>
      <w:pPr>
        <w:pStyle w:val="2"/>
        <w:spacing w:before="0" w:after="0" w:line="560" w:lineRule="exact"/>
        <w:rPr>
          <w:rStyle w:val="2Char"/>
          <w:rFonts w:ascii="仿宋" w:eastAsia="仿宋" w:hint="eastAsia"/>
          <w:b/>
          <w:bCs/>
        </w:rPr>
      </w:pPr>
      <w:bookmarkStart w:id="118" w:name="_Toc79163898"/>
      <w:bookmarkStart w:id="119" w:name="_Toc79163648"/>
      <w:bookmarkStart w:id="120" w:name="_Toc15396631"/>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有资本经营预算财政拨款支出决算表</w:t>
      </w:r>
      <w:bookmarkEnd w:id="118"/>
      <w:bookmarkEnd w:id="119"/>
      <w:bookmarkEnd w:id="120"/>
    </w:p>
    <w:p>
      <w:pPr>
        <w:pStyle w:val="2"/>
        <w:spacing w:before="0" w:after="0" w:line="560" w:lineRule="exact"/>
        <w:rPr>
          <w:rStyle w:val="2Char"/>
          <w:rFonts w:ascii="仿宋" w:eastAsia="仿宋" w:hint="eastAsia"/>
          <w:b/>
          <w:bCs/>
        </w:rPr>
      </w:pPr>
      <w:bookmarkStart w:id="121" w:name="_Toc79163899"/>
      <w:bookmarkStart w:id="122" w:name="_Toc79163649"/>
      <w:r>
        <w:rPr>
          <w:rStyle w:val="2Char"/>
          <w:rFonts w:ascii="仿宋" w:eastAsia="仿宋" w:hint="eastAsia"/>
          <w:b/>
          <w:bCs/>
        </w:rPr>
        <w:t>十四、国有资本经营预算财政拨款支出决算表</w:t>
      </w:r>
      <w:bookmarkEnd w:id="121"/>
      <w:bookmarkEnd w:id="122"/>
    </w:p>
    <w:p/>
    <w:p/>
    <w:p/>
    <w:sectPr>
      <w:headerReference w:type="default" r:id="rId2"/>
      <w:headerReference w:type="even" r:id="rId3"/>
      <w:footerReference w:type="default" r:id="rId4"/>
      <w:footerReference w:type="even" r:id="rId5"/>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0000000000000000000"/>
    <w:charset w:val="00"/>
    <w:family w:val="auto"/>
    <w:pitch w:val="variable"/>
    <w:sig w:usb0="00000000" w:usb1="00000000" w:usb2="00000000" w:usb3="00000000" w:csb0="00000000" w:csb1="00000000"/>
  </w:font>
  <w:font w:name="方正小标宋简体">
    <w:altName w:val="方正小标宋_GBK"/>
    <w:panose1 w:val="02010601030101010101"/>
    <w:charset w:val="86"/>
    <w:family w:val="auto"/>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00000000" w:usb1="00000000" w:usb2="00000016" w:usb3="00000000" w:csb0="00040001" w:csb1="00000000"/>
  </w:font>
  <w:font w:name="Times New Roman">
    <w:altName w:val="DejaVu Sans"/>
    <w:panose1 w:val="02020603050405020304"/>
    <w:charset w:val="01"/>
    <w:family w:val="auto"/>
    <w:pitch w:val="variable"/>
    <w:sig w:usb0="00000000" w:usb1="00000000"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 w:name="仿宋_GB2312">
    <w:panose1 w:val="02010609030101010101"/>
    <w:charset w:val="86"/>
    <w:family w:val="auto"/>
    <w:pitch w:val="variable"/>
    <w:sig w:usb0="00000001" w:usb1="080E0000" w:usb2="00000000" w:usb3="00000000" w:csb0="00040000" w:csb1="00000000"/>
  </w:font>
  <w:font w:name="楷体">
    <w:altName w:val="楷体_GB2312"/>
    <w:panose1 w:val="02010609060101010101"/>
    <w:charset w:val="86"/>
    <w:family w:val="auto"/>
    <w:pitch w:val="variable"/>
    <w:sig w:usb0="00000000" w:usb1="00000000" w:usb2="00000016" w:usb3="00000000" w:csb0="00040001" w:csb1="00000000"/>
  </w:font>
  <w:font w:name="??_GB2312">
    <w:altName w:val="DejaVu Sans"/>
    <w:panose1 w:val="00000000000000000000"/>
    <w:charset w:val="00"/>
    <w:family w:val="auto"/>
    <w:pitch w:val="variable"/>
    <w:sig w:usb0="00000000" w:usb1="00000000" w:usb2="00000000" w:usb3="00000000" w:csb0="00000001" w:csb1="00000000"/>
  </w:font>
  <w:font w:name="Cambria">
    <w:altName w:val="Noto Sans Syriac Eastern"/>
    <w:panose1 w:val="02040503050406030204"/>
    <w:charset w:val="00"/>
    <w:family w:val="auto"/>
    <w:pitch w:val="variable"/>
    <w:sig w:usb0="00000000" w:usb1="00000000"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rFonts w:ascii="宋体" w:hint="eastAsia"/>
        <w:sz w:val="28"/>
        <w:szCs w:val="28"/>
      </w:rPr>
    </w:pPr>
    <w:r>
      <w:rPr>
        <w:rStyle w:val="25"/>
        <w:rFonts w:ascii="宋体" w:hAnsi="宋体" w:hint="eastAsia"/>
        <w:sz w:val="28"/>
        <w:szCs w:val="28"/>
      </w:rPr>
      <w:fldChar w:fldCharType="begin"/>
    </w:r>
    <w:r>
      <w:rPr>
        <w:rStyle w:val="25"/>
        <w:rFonts w:ascii="宋体" w:hAnsi="宋体" w:hint="eastAsia"/>
        <w:sz w:val="28"/>
        <w:szCs w:val="28"/>
      </w:rPr>
      <w:instrText>Page</w:instrText>
    </w:r>
    <w:r>
      <w:rPr>
        <w:rStyle w:val="25"/>
        <w:rFonts w:ascii="宋体" w:hAnsi="宋体" w:hint="eastAsia"/>
        <w:sz w:val="28"/>
        <w:szCs w:val="28"/>
      </w:rPr>
      <w:fldChar w:fldCharType="separate"/>
    </w:r>
    <w:r>
      <w:rPr>
        <w:rStyle w:val="25"/>
        <w:rFonts w:ascii="宋体" w:hAnsi="宋体" w:hint="eastAsia"/>
        <w:sz w:val="28"/>
        <w:szCs w:val="28"/>
      </w:rPr>
      <w:t>- 2 -</w:t>
    </w:r>
    <w:r>
      <w:rPr>
        <w:rStyle w:val="25"/>
        <w:rFonts w:ascii="宋体" w:hAnsi="宋体" w:hint="eastAsia"/>
        <w:sz w:val="28"/>
        <w:szCs w:val="28"/>
      </w:rPr>
      <w:fldChar w:fldCharType="end"/>
    </w:r>
  </w:p>
  <w:p>
    <w:pPr>
      <w:pStyle w:val="20"/>
      <w:tabs>
        <w:tab w:val="center" w:pos="4153"/>
        <w:tab w:val="right" w:pos="8306"/>
      </w:tabs>
      <w:ind w:right="360"/>
      <w:rPr>
        <w:rFonts w:ascii="宋体" w:hint="eastAsia"/>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sz w:val="28"/>
        <w:szCs w:val="28"/>
      </w:rPr>
    </w:pPr>
    <w:r>
      <w:rPr>
        <w:rStyle w:val="25"/>
        <w:sz w:val="28"/>
        <w:szCs w:val="28"/>
      </w:rPr>
      <w:fldChar w:fldCharType="begin"/>
    </w:r>
    <w:r>
      <w:rPr>
        <w:rStyle w:val="25"/>
        <w:sz w:val="28"/>
        <w:szCs w:val="28"/>
      </w:rPr>
      <w:instrText>Page</w:instrText>
    </w:r>
    <w:r>
      <w:rPr>
        <w:rStyle w:val="25"/>
        <w:sz w:val="28"/>
        <w:szCs w:val="28"/>
      </w:rPr>
      <w:fldChar w:fldCharType="separate"/>
    </w:r>
    <w:r>
      <w:rPr>
        <w:rStyle w:val="25"/>
        <w:sz w:val="28"/>
        <w:szCs w:val="28"/>
      </w:rPr>
      <w:t>- 1 -</w:t>
    </w:r>
    <w:r>
      <w:rPr>
        <w:rStyle w:val="25"/>
        <w:sz w:val="28"/>
        <w:szCs w:val="28"/>
      </w:rPr>
      <w:fldChar w:fldCharType="end"/>
    </w:r>
  </w:p>
  <w:p>
    <w:pPr>
      <w:pStyle w:val="20"/>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r>
      <w:rPr>
        <w:rFonts w:hint="eastAsia"/>
      </w:rPr>
      <w:t>·</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2">
    <w:nsid w:val="1540C536"/>
    <w:multiLevelType w:val="singleLevel"/>
    <w:tmpl w:val="1540C536"/>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GJkODhhYTQ3MDc4MDZhNjlhYWU0MjMzYmNmNGY1Mj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next w:val="17"/>
    <w:pPr>
      <w:widowControl w:val="0"/>
      <w:spacing w:beforeLines="30" w:before="30"/>
      <w:jc w:val="both"/>
    </w:pPr>
    <w:rPr>
      <w:rFonts w:ascii="仿宋_GB2312" w:eastAsia="仿宋_GB2312" w:cs="Times New Roman"/>
      <w:kern w:val="0"/>
      <w:sz w:val="24"/>
      <w:szCs w:val="20"/>
      <w:lang w:val="zh-CN" w:eastAsia="zh-CN" w:bidi="ar-SA"/>
    </w:rPr>
  </w:style>
  <w:style w:type="paragraph" w:styleId="17">
    <w:name w:val="toc 1"/>
    <w:next w:val="0"/>
    <w:pPr>
      <w:widowControl w:val="0"/>
      <w:spacing w:before="120" w:after="120"/>
      <w:jc w:val="left"/>
    </w:pPr>
    <w:rPr>
      <w:rFonts w:ascii="Calibri" w:eastAsia="Calibri" w:cs="Times New Roman" w:hAnsi="Calibri"/>
      <w:b/>
      <w:bCs/>
      <w:caps/>
      <w:smallCaps w:val="0"/>
      <w:kern w:val="2"/>
      <w:sz w:val="20"/>
      <w:szCs w:val="20"/>
      <w:lang w:val="en-US" w:eastAsia="zh-CN" w:bidi="ar-SA"/>
    </w:rPr>
  </w:style>
  <w:style w:type="paragraph" w:styleId="18">
    <w:name w:val="toc 5"/>
    <w:basedOn w:val="0"/>
    <w:next w:val="0"/>
    <w:pPr>
      <w:ind w:left="1680"/>
    </w:pPr>
  </w:style>
  <w:style w:type="paragraph" w:styleId="19">
    <w:name w:val="toc 3"/>
    <w:next w:val="0"/>
    <w:pPr>
      <w:widowControl w:val="0"/>
      <w:ind w:left="420"/>
      <w:jc w:val="left"/>
    </w:pPr>
    <w:rPr>
      <w:rFonts w:ascii="Calibri" w:eastAsia="Calibri" w:cs="Times New Roman" w:hAnsi="Calibri"/>
      <w:i/>
      <w:iCs/>
      <w:kern w:val="2"/>
      <w:sz w:val="20"/>
      <w:szCs w:val="20"/>
      <w:lang w:val="en-US" w:eastAsia="zh-CN" w:bidi="ar-SA"/>
    </w:rPr>
  </w:style>
  <w:style w:type="paragraph" w:styleId="20">
    <w:name w:val="footer"/>
    <w:next w:val="19"/>
    <w:pPr>
      <w:widowControl w:val="0"/>
      <w:tabs>
        <w:tab w:val="center" w:pos="4153"/>
        <w:tab w:val="right" w:pos="8306"/>
      </w:tabs>
      <w:snapToGrid w:val="0"/>
      <w:jc w:val="left"/>
    </w:pPr>
    <w:rPr>
      <w:rFonts w:ascii="Calibri" w:eastAsia="宋体" w:cs="Times New Roman" w:hAnsi="Calibri"/>
      <w:kern w:val="0"/>
      <w:sz w:val="18"/>
      <w:szCs w:val="20"/>
      <w:lang w:val="zh-CN" w:eastAsia="zh-CN" w:bidi="ar-SA"/>
    </w:rPr>
  </w:style>
  <w:style w:type="paragraph" w:styleId="21">
    <w:name w:val="header"/>
    <w:next w:val="22"/>
    <w:pPr>
      <w:widowControl w:val="0"/>
      <w:pBdr>
        <w:bottom w:val="single" w:sz="6" w:space="1" w:color="auto"/>
      </w:pBdr>
      <w:tabs>
        <w:tab w:val="center" w:pos="4153"/>
        <w:tab w:val="right" w:pos="8306"/>
      </w:tabs>
      <w:snapToGrid w:val="0"/>
      <w:jc w:val="center"/>
    </w:pPr>
    <w:rPr>
      <w:rFonts w:ascii="Calibri" w:eastAsia="宋体" w:cs="Times New Roman" w:hAnsi="Calibri"/>
      <w:kern w:val="0"/>
      <w:sz w:val="18"/>
      <w:szCs w:val="20"/>
      <w:lang w:val="zh-CN" w:eastAsia="zh-CN" w:bidi="ar-SA"/>
    </w:rPr>
  </w:style>
  <w:style w:type="paragraph" w:styleId="22">
    <w:name w:val="toc 4"/>
    <w:basedOn w:val="0"/>
    <w:next w:val="0"/>
    <w:pPr>
      <w:ind w:left="1260"/>
    </w:pPr>
  </w:style>
  <w:style w:type="paragraph" w:styleId="23">
    <w:name w:val="toc 2"/>
    <w:next w:val="0"/>
    <w:pPr>
      <w:widowControl w:val="0"/>
      <w:ind w:left="210"/>
      <w:jc w:val="left"/>
    </w:pPr>
    <w:rPr>
      <w:rFonts w:ascii="Calibri" w:eastAsia="Calibri" w:cs="Times New Roman" w:hAnsi="Calibri"/>
      <w:caps w:val="0"/>
      <w:smallCaps/>
      <w:kern w:val="2"/>
      <w:sz w:val="20"/>
      <w:szCs w:val="20"/>
      <w:lang w:val="en-US" w:eastAsia="zh-CN" w:bidi="ar-SA"/>
    </w:rPr>
  </w:style>
  <w:style w:type="character" w:styleId="24">
    <w:name w:val="Strong"/>
    <w:basedOn w:val="10"/>
    <w:rPr>
      <w:rFonts w:cs="Times New Roman"/>
      <w:b/>
      <w:lang w:bidi="ar-SA"/>
    </w:rPr>
  </w:style>
  <w:style w:type="character" w:styleId="25">
    <w:name w:val="page number"/>
  </w:style>
  <w:style w:type="paragraph" w:customStyle="1" w:styleId="26">
    <w:name w:val="列表段落1"/>
    <w:next w:val="22"/>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7">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8">
    <w:name w:val="Default"/>
    <w:next w:val="18"/>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29">
    <w:name w:val="NormalCharacter"/>
    <w:rPr>
      <w:rFonts w:eastAsia="宋体"/>
      <w:kern w:val="2"/>
      <w:sz w:val="21"/>
      <w:szCs w:val="24"/>
      <w:lang w:val="en-US" w:eastAsia="zh-CN" w:bidi="ar-SA"/>
    </w:rPr>
  </w:style>
  <w:style w:type="paragraph" w:styleId="30">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5B9BD5">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'Sheet1'!$B$2:$B$3</c:f>
              <c:numCache>
                <c:formatCode>General</c:formatCode>
                <c:ptCount val="2"/>
                <c:pt idx="0">
                  <c:v>1004.49</c:v>
                </c:pt>
                <c:pt idx="1">
                  <c:v>711.44</c:v>
                </c:pt>
              </c:numCache>
            </c:numRef>
          </c:val>
        </c:ser>
        <c:ser>
          <c:idx val="1"/>
          <c:order val="1"/>
          <c:tx>
            <c:strRef>
              <c:f>'Sheet1'!$C$1</c:f>
              <c:strCache>
                <c:ptCount val="1"/>
                <c:pt idx="0">
                  <c:v>总支出</c:v>
                </c:pt>
              </c:strCache>
            </c:strRef>
          </c:tx>
          <c:spPr>
            <a:solidFill>
              <a:srgbClr val="ED7D31">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2021年 </c:v>
                </c:pt>
                <c:pt idx="1">
                  <c:v>2020年</c:v>
                </c:pt>
              </c:strCache>
            </c:strRef>
          </c:cat>
          <c:val>
            <c:numRef>
              <c:f>'Sheet1'!$C$2:$C$3</c:f>
              <c:numCache>
                <c:formatCode>General</c:formatCode>
                <c:ptCount val="2"/>
                <c:pt idx="0">
                  <c:v>1022.49</c:v>
                </c:pt>
                <c:pt idx="1">
                  <c:v>693.43</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cap="all" baseline="0">
                <a:solidFill>
                  <a:srgbClr val="808080"/>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ln>
              <a:noFill/>
            </a:ln>
          </c:spPr>
          <c:dPt>
            <c:idx val="0"/>
            <c:bubble3D val="0"/>
            <c:spPr>
              <a:pattFill prst="ltUpDiag">
                <a:fgClr>
                  <a:srgbClr val="5B9BD5"/>
                </a:fgClr>
                <a:bgClr>
                  <a:srgbClr val="DEEBF7"/>
                </a:bgClr>
              </a:pattFill>
              <a:ln w="19050">
                <a:solidFill>
                  <a:srgbClr val="FFFFFF"/>
                </a:solidFill>
                <a:prstDash val="solid"/>
              </a:ln>
            </c:spPr>
          </c:dPt>
          <c:dPt>
            <c:idx val="1"/>
            <c:bubble3D val="0"/>
            <c:spPr>
              <a:pattFill prst="ltUpDiag">
                <a:fgClr>
                  <a:srgbClr val="ED7D31"/>
                </a:fgClr>
                <a:bgClr>
                  <a:srgbClr val="FBE5D6"/>
                </a:bgClr>
              </a:patt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1017.53</c:v>
                </c:pt>
                <c:pt idx="1">
                  <c:v>0.0</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inEnd"/>
            <c:showLegendKey val="0"/>
            <c:showVal val="1"/>
            <c:showCatName val="1"/>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731.4</c:v>
                </c:pt>
                <c:pt idx="1">
                  <c:v>291.09</c:v>
                </c:pt>
              </c:numCache>
            </c:numRef>
          </c:val>
        </c:ser>
        <c:firstSliceAng val="0"/>
      </c:pieChart>
      <c:spPr>
        <a:noFill/>
        <a:ln>
          <a:noFill/>
        </a:ln>
      </c:spPr>
    </c:plotArea>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1004.49</c:v>
                </c:pt>
                <c:pt idx="1">
                  <c:v>1022.49</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711.44</c:v>
                </c:pt>
                <c:pt idx="1">
                  <c:v>693.43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(5)'!$B$1</c:f>
              <c:strCache>
                <c:ptCount val="1"/>
                <c:pt idx="0">
                  <c:v>支出结构表</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inEnd"/>
            <c:showLegendKey val="0"/>
            <c:showVal val="1"/>
            <c:showCatName val="1"/>
            <c:showSerName val="0"/>
            <c:showPercent val="0"/>
            <c:showBubbleSize val="0"/>
            <c:showLeaderLines val="1"/>
          </c:dLbls>
          <c:cat>
            <c:strRef>
              <c:f>'Sheet1 (5)'!$A$2:$A$7</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'Sheet1 (5)'!$B$2:$B$7</c:f>
              <c:numCache>
                <c:formatCode>General</c:formatCode>
                <c:ptCount val="6"/>
                <c:pt idx="0">
                  <c:v>448.05</c:v>
                </c:pt>
                <c:pt idx="1">
                  <c:v>91.03</c:v>
                </c:pt>
                <c:pt idx="2">
                  <c:v>34.94</c:v>
                </c:pt>
                <c:pt idx="3">
                  <c:v>329.5</c:v>
                </c:pt>
                <c:pt idx="4">
                  <c:v>55.66</c:v>
                </c:pt>
                <c:pt idx="5">
                  <c:v>63.31</c:v>
                </c:pt>
              </c:numCache>
            </c:numRef>
          </c:val>
        </c:ser>
        <c:firstSliceAng val="0"/>
      </c:pieChart>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26</Pages>
  <Words>9087</Words>
  <Characters>10051</Characters>
  <Lines>623</Lines>
  <Paragraphs>348</Paragraphs>
  <CharactersWithSpaces>10297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1</cp:revision>
  <cp:lastPrinted>2022-08-29T09:03:00Z</cp:lastPrinted>
  <dcterms:created xsi:type="dcterms:W3CDTF">2018-07-11T23:11:00Z</dcterms:created>
  <dcterms:modified xsi:type="dcterms:W3CDTF">2022-08-29T01:44:33Z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0AB9E9CCD59D43EAB0B93E81BE38F8C3</vt:lpwstr>
  </property>
</Properties>
</file>