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2796"/>
      <w:bookmarkStart w:id="3" w:name="_Toc15396597"/>
      <w:bookmarkStart w:id="4" w:name="_Toc15378441"/>
      <w:bookmarkStart w:id="5" w:name="_Toc15377193"/>
      <w:bookmarkStart w:id="6" w:name="_Toc15396475"/>
      <w:r>
        <w:rPr>
          <w:rFonts w:ascii="黑体" w:eastAsia="黑体"/>
          <w:color w:val="000000"/>
          <w:sz w:val="72"/>
          <w:szCs w:val="72"/>
        </w:rPr>
        <w:t>202</w:t>
      </w:r>
      <w:r>
        <w:rPr>
          <w:rFonts w:ascii="黑体" w:eastAsia="黑体" w:hint="eastAsia"/>
          <w:color w:val="000000"/>
          <w:sz w:val="72"/>
          <w:szCs w:val="72"/>
          <w:lang w:val="en-US" w:eastAsia="zh-CN"/>
        </w:rPr>
        <w:t>2</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426"/>
      <w:bookmarkStart w:id="8" w:name="_Toc15396598"/>
      <w:bookmarkStart w:id="9" w:name="_Toc6811"/>
      <w:bookmarkStart w:id="10" w:name="_Toc15377194"/>
      <w:bookmarkStart w:id="11" w:name="_Toc15378442"/>
      <w:bookmarkStart w:id="12" w:name="_Toc15396476"/>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咯尔</w:t>
      </w:r>
      <w:r>
        <w:rPr>
          <w:rFonts w:ascii="方正小标宋简体" w:eastAsia="方正小标宋简体" w:hint="eastAsia"/>
          <w:color w:val="000000"/>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ascii="黑体" w:eastAsia="黑体" w:hint="eastAsia"/>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2</w:t>
      </w:r>
    </w:p>
    <w:p>
      <w:pPr>
        <w:pStyle w:val="22"/>
        <w:tabs>
          <w:tab w:val="right" w:leader="dot" w:pos="8296"/>
        </w:tabs>
        <w:rPr>
          <w:rFonts w:ascii="仿宋" w:eastAsia="仿宋" w:cs="Arial"/>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3</w:t>
      </w:r>
    </w:p>
    <w:p>
      <w:pPr>
        <w:pStyle w:val="22"/>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2"/>
        <w:tabs>
          <w:tab w:val="right" w:leader="dot" w:pos="8296"/>
        </w:tabs>
        <w:rPr>
          <w:rFonts w:ascii="仿宋" w:eastAsia="仿宋"/>
          <w:sz w:val="28"/>
          <w:szCs w:val="28"/>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2"/>
        <w:tabs>
          <w:tab w:val="right" w:leader="dot" w:pos="8296"/>
        </w:tabs>
        <w:rPr>
          <w:rFonts w:ascii="仿宋" w:eastAsia="仿宋"/>
          <w:sz w:val="28"/>
          <w:szCs w:val="28"/>
        </w:rPr>
      </w:pPr>
      <w:r>
        <w:rPr>
          <w:rStyle w:val="25"/>
          <w:rFonts w:ascii="仿宋" w:eastAsia="仿宋" w:hint="eastAsia"/>
          <w:bCs/>
          <w:sz w:val="28"/>
          <w:szCs w:val="28"/>
        </w:rPr>
        <w:t xml:space="preserve"> 十、预算绩效情况说明..................................15</w:t>
      </w:r>
    </w:p>
    <w:p/>
    <w:p>
      <w:pPr>
        <w:pStyle w:val="22"/>
        <w:tabs>
          <w:tab w:val="right" w:leader="dot" w:pos="8296"/>
        </w:tabs>
        <w:rPr>
          <w:rFonts w:ascii="仿宋" w:eastAsia="仿宋" w:cs="Arial"/>
          <w:sz w:val="28"/>
          <w:szCs w:val="28"/>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rPr>
        <w:t>2</w:t>
      </w:r>
      <w:r>
        <w:rPr>
          <w:rFonts w:ascii="仿宋" w:eastAsia="仿宋" w:hint="eastAsia"/>
          <w:sz w:val="28"/>
          <w:szCs w:val="28"/>
        </w:rPr>
        <w:fldChar w:fldCharType="end"/>
      </w:r>
      <w:r>
        <w:rPr>
          <w:rFonts w:ascii="仿宋" w:eastAsia="仿宋" w:hint="eastAsia"/>
          <w:sz w:val="28"/>
          <w:szCs w:val="28"/>
        </w:rPr>
        <w:t>3</w:t>
      </w:r>
    </w:p>
    <w:p>
      <w:pPr>
        <w:pStyle w:val="21"/>
        <w:tabs>
          <w:tab w:val="right" w:leader="dot" w:pos="8296"/>
        </w:tabs>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rPr>
          <w:rFonts w:ascii="仿宋" w:eastAsia="仿宋"/>
          <w:bCs/>
          <w:kern w:val="44"/>
          <w:sz w:val="28"/>
          <w:szCs w:val="28"/>
        </w:rPr>
      </w:pPr>
      <w:r>
        <w:rPr>
          <w:rFonts w:ascii="仿宋" w:eastAsia="仿宋" w:cs="Times New Roman" w:hint="eastAsia"/>
          <w:bCs/>
          <w:kern w:val="44"/>
          <w:sz w:val="28"/>
          <w:szCs w:val="28"/>
          <w:lang w:val="en-US" w:eastAsia="zh-CN" w:bidi="ar-SA"/>
        </w:rPr>
        <w:t>第四部分   附件.........................................28</w:t>
      </w:r>
      <w:r>
        <w:rPr>
          <w:rFonts w:ascii="仿宋_GB2312" w:eastAsia="仿宋_GB2312" w:cs="仿宋_GB2312"/>
          <w:b w:val="0"/>
          <w:color w:val="000000"/>
          <w:sz w:val="28"/>
          <w:szCs w:val="28"/>
          <w:lang w:val="en-US" w:eastAsia="zh-CN"/>
        </w:rPr>
        <w:t>第五部分</w:t>
      </w:r>
      <w:r>
        <w:rPr>
          <w:rFonts w:ascii="仿宋_GB2312" w:eastAsia="仿宋_GB2312" w:cs="仿宋_GB2312" w:hint="eastAsia"/>
          <w:b w:val="0"/>
          <w:color w:val="000000"/>
          <w:sz w:val="28"/>
          <w:szCs w:val="28"/>
          <w:lang w:val="en-US" w:eastAsia="zh-CN"/>
        </w:rPr>
        <w:t>、决算公开表</w:t>
      </w:r>
    </w:p>
    <w:p>
      <w:pPr>
        <w:pStyle w:val="1"/>
        <w:jc w:val="center"/>
        <w:rPr>
          <w:rFonts w:ascii="黑体" w:eastAsia="黑体"/>
          <w:color w:val="000000"/>
          <w:sz w:val="32"/>
          <w:szCs w:val="32"/>
        </w:rPr>
      </w:pPr>
      <w:bookmarkStart w:id="15" w:name="_Toc27352"/>
      <w:r>
        <w:rPr>
          <w:rFonts w:ascii="黑体" w:eastAsia="黑体" w:hint="eastAsia"/>
          <w:b w:val="0"/>
        </w:rPr>
        <w:t xml:space="preserve">第一部分 </w:t>
      </w:r>
      <w:r>
        <w:rPr>
          <w:rStyle w:val="1Char"/>
          <w:rFonts w:ascii="黑体" w:eastAsia="黑体" w:hint="eastAsia"/>
          <w:b w:val="0"/>
          <w:bCs w:val="0"/>
        </w:rPr>
        <w:t>部门概况</w:t>
      </w:r>
      <w:bookmarkEnd w:id="14"/>
      <w:bookmarkEnd w:id="15"/>
    </w:p>
    <w:p>
      <w:pPr>
        <w:pStyle w:val="2"/>
        <w:spacing w:before="0" w:after="0" w:line="240" w:lineRule="auto"/>
        <w:ind w:left="640" w:hangingChars="200" w:hanging="640"/>
        <w:rPr>
          <w:rStyle w:val="2Char"/>
          <w:rFonts w:ascii="黑体" w:eastAsia="黑体"/>
          <w:b w:val="0"/>
          <w:bCs w:val="0"/>
        </w:rPr>
      </w:pPr>
      <w:bookmarkStart w:id="16" w:name="_Toc20678"/>
      <w:bookmarkStart w:id="17" w:name="_Toc15377197"/>
      <w:r>
        <w:rPr>
          <w:rFonts w:ascii="黑体" w:eastAsia="黑体" w:hint="eastAsia"/>
          <w:b w:val="0"/>
          <w:color w:val="000000"/>
        </w:rPr>
        <w:t>一、基</w:t>
      </w:r>
      <w:r>
        <w:rPr>
          <w:rStyle w:val="2Char"/>
          <w:rFonts w:ascii="黑体" w:eastAsia="黑体" w:hint="eastAsia"/>
          <w:b w:val="0"/>
          <w:bCs w:val="0"/>
        </w:rPr>
        <w:t>本职能及主要工作</w:t>
      </w:r>
      <w:bookmarkStart w:id="18" w:name="_Toc15377198"/>
      <w:bookmarkStart w:id="19" w:name="_Toc15378445"/>
      <w:bookmarkEnd w:id="16"/>
      <w:bookmarkEnd w:id="17"/>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7199"/>
      <w:bookmarkStart w:id="22" w:name="_Toc15378446"/>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eastAsia="zh-CN"/>
        </w:rPr>
        <w:t>咯尔</w:t>
      </w:r>
      <w:r>
        <w:rPr>
          <w:rFonts w:ascii="仿宋_GB2312" w:eastAsia="仿宋_GB2312" w:cs="仿宋_GB2312" w:hint="eastAsia"/>
          <w:sz w:val="32"/>
          <w:szCs w:val="32"/>
        </w:rPr>
        <w:t>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hint="eastAsia"/>
          <w:color w:val="000000"/>
          <w:lang w:eastAsia="zh-CN"/>
        </w:rPr>
        <w:t>2022</w:t>
      </w:r>
      <w:r>
        <w:rPr>
          <w:rFonts w:ascii="楷体" w:eastAsia="楷体" w:cs="楷体" w:hint="eastAsia"/>
          <w:color w:val="000000"/>
        </w:rPr>
        <w:t>年重点工作完成情况</w:t>
      </w:r>
      <w:bookmarkEnd w:id="21"/>
      <w:bookmarkEnd w:id="22"/>
      <w:bookmarkEnd w:id="24"/>
    </w:p>
    <w:p>
      <w:pPr>
        <w:pStyle w:val="23"/>
        <w:shd w:val="clear" w:color="auto" w:fill="FFFFFF"/>
        <w:spacing w:line="560" w:lineRule="exact"/>
        <w:ind w:firstLine="720"/>
        <w:rPr>
          <w:rFonts w:ascii="仿宋_GB2312" w:eastAsia="仿宋_GB2312" w:cs="仿宋_GB2312"/>
          <w:sz w:val="32"/>
          <w:szCs w:val="32"/>
          <w:shd w:val="clear" w:color="auto" w:fill="FFFFFF"/>
        </w:rPr>
      </w:pPr>
      <w:bookmarkStart w:id="25" w:name="_Toc15377200"/>
      <w:r>
        <w:rPr>
          <w:rFonts w:ascii="仿宋_GB2312" w:eastAsia="仿宋_GB2312" w:cs="仿宋_GB2312" w:hint="eastAsia"/>
          <w:sz w:val="32"/>
          <w:szCs w:val="32"/>
          <w:shd w:val="clear" w:color="auto" w:fill="FFFFFF"/>
          <w:lang w:eastAsia="zh-CN"/>
        </w:rPr>
        <w:t>2022</w:t>
      </w:r>
      <w:r>
        <w:rPr>
          <w:rFonts w:ascii="仿宋_GB2312"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一、在冲击和危机面前，我们逆势求变、稳中求进，保住了势头、促进了发展</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“坚奋进之志、谋创业之策”面临具有极强扩散性的新冠</w:t>
      </w:r>
      <w:r>
        <w:rPr>
          <w:rFonts w:ascii="仿宋_GB2312" w:eastAsia="仿宋_GB2312" w:cs="仿宋_GB2312"/>
          <w:sz w:val="32"/>
          <w:szCs w:val="32"/>
        </w:rPr>
        <w:t>感染</w:t>
      </w:r>
      <w:r>
        <w:rPr>
          <w:rFonts w:ascii="仿宋_GB2312" w:eastAsia="仿宋_GB2312" w:cs="仿宋_GB2312" w:hint="eastAsia"/>
          <w:sz w:val="32"/>
          <w:szCs w:val="32"/>
        </w:rPr>
        <w:t>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奏好“振兴曲”，农业发展纵深延续。自乡村振兴战略实施以来，全乡始终坚持党管农村工作、农业农村优先发展，坚持农民主体地位、因地制宜的工作原则，全力推进</w:t>
      </w:r>
      <w:r>
        <w:rPr>
          <w:rFonts w:ascii="仿宋_GB2312" w:eastAsia="仿宋_GB2312" w:cs="仿宋_GB2312" w:hint="eastAsia"/>
          <w:sz w:val="32"/>
          <w:szCs w:val="32"/>
          <w:lang w:eastAsia="zh-CN"/>
        </w:rPr>
        <w:t>咯尔</w:t>
      </w:r>
      <w:r>
        <w:rPr>
          <w:rFonts w:ascii="仿宋_GB2312" w:eastAsia="仿宋_GB2312" w:cs="仿宋_GB2312" w:hint="eastAsia"/>
          <w:sz w:val="32"/>
          <w:szCs w:val="32"/>
        </w:rPr>
        <w:t>乡“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w:t>
      </w:r>
      <w:r>
        <w:rPr>
          <w:rFonts w:ascii="仿宋_GB2312" w:eastAsia="仿宋_GB2312" w:cs="仿宋_GB2312" w:hint="eastAsia"/>
          <w:bCs/>
          <w:sz w:val="32"/>
          <w:lang w:eastAsia="zh-CN"/>
        </w:rPr>
        <w:t>2022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个机构，较上年无变动。我乡本年度年末实有人数为</w:t>
      </w:r>
      <w:r>
        <w:rPr>
          <w:rFonts w:ascii="仿宋_GB2312" w:eastAsia="仿宋_GB2312" w:cs="仿宋_GB2312" w:hint="eastAsia"/>
          <w:bCs/>
          <w:sz w:val="32"/>
          <w:lang w:val="en-US" w:eastAsia="zh-CN"/>
        </w:rPr>
        <w:t>39</w:t>
      </w:r>
      <w:r>
        <w:rPr>
          <w:rFonts w:ascii="仿宋_GB2312" w:eastAsia="仿宋_GB2312" w:cs="仿宋_GB2312" w:hint="eastAsia"/>
          <w:bCs/>
          <w:sz w:val="32"/>
        </w:rPr>
        <w:t>人，比上年</w:t>
      </w:r>
      <w:r>
        <w:rPr>
          <w:rFonts w:ascii="仿宋_GB2312" w:eastAsia="仿宋_GB2312" w:cs="仿宋_GB2312" w:hint="eastAsia"/>
          <w:bCs/>
          <w:sz w:val="32"/>
          <w:lang w:val="en-US" w:eastAsia="zh-CN"/>
        </w:rPr>
        <w:t>人员减少2</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行政人员减少0人，有人员调进及调出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7</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22</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15</w:t>
      </w:r>
      <w:r>
        <w:rPr>
          <w:rFonts w:ascii="仿宋_GB2312" w:eastAsia="仿宋_GB2312" w:cs="仿宋_GB2312" w:hint="eastAsia"/>
          <w:bCs/>
          <w:sz w:val="32"/>
        </w:rPr>
        <w:t>人）。</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27"/>
      <w:bookmarkEnd w:id="28"/>
    </w:p>
    <w:p>
      <w:pPr>
        <w:pStyle w:val="31"/>
        <w:numPr>
          <w:ilvl w:val="0"/>
          <w:numId w:val="1"/>
        </w:numPr>
        <w:ind w:left="0" w:firstLineChars="0" w:firstLine="0"/>
        <w:outlineLvl w:val="1"/>
        <w:rPr>
          <w:rStyle w:val="2Char"/>
          <w:rFonts w:ascii="黑体" w:eastAsia="黑体"/>
          <w:b w:val="0"/>
        </w:rPr>
      </w:pPr>
      <w:bookmarkStart w:id="29" w:name="_Toc15377205"/>
      <w:bookmarkStart w:id="30" w:name="_Toc14461"/>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lang w:val="en-US" w:eastAsia="zh-CN"/>
        </w:rPr>
        <w:t>2192.95</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1172.28</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114.93</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项目增加</w:t>
      </w:r>
      <w:r>
        <w:rPr>
          <w:rFonts w:ascii="仿宋_GB2312" w:eastAsia="仿宋_GB2312" w:hint="eastAsia"/>
          <w:color w:val="000000"/>
          <w:spacing w:val="-2"/>
          <w:sz w:val="32"/>
          <w:szCs w:val="32"/>
        </w:rPr>
        <w:t>。</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2192.95</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增加1167.79</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增加113.84</w:t>
      </w:r>
      <w:r>
        <w:rPr>
          <w:rFonts w:ascii="仿宋_GB2312" w:eastAsia="仿宋_GB2312" w:hint="eastAsia"/>
          <w:spacing w:val="-2"/>
          <w:sz w:val="32"/>
          <w:szCs w:val="32"/>
        </w:rPr>
        <w:t>%。主要原因是当年部门预算安排项目经费较上年有所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308610</wp:posOffset>
            </wp:positionH>
            <wp:positionV relativeFrom="paragraph">
              <wp:posOffset>45720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1" w:name="_Toc15377206"/>
      <w:r>
        <w:rPr>
          <w:rFonts w:ascii="黑体" w:eastAsia="黑体" w:hint="eastAsia"/>
          <w:color w:val="000000"/>
          <w:sz w:val="32"/>
          <w:szCs w:val="32"/>
        </w:rPr>
        <w:t>二、收入决</w:t>
      </w:r>
      <w:r>
        <w:rPr>
          <w:rStyle w:val="2Char"/>
          <w:rFonts w:ascii="黑体" w:eastAsia="黑体" w:hint="eastAsia"/>
          <w:b w:val="0"/>
        </w:rPr>
        <w:t>算情况说明</w:t>
      </w:r>
      <w:bookmarkEnd w:id="31"/>
    </w:p>
    <w:p>
      <w:pPr>
        <w:spacing w:line="600" w:lineRule="exact"/>
        <w:ind w:firstLineChars="200" w:firstLine="640"/>
        <w:outlineLvl w:val="1"/>
        <w:rPr>
          <w:rFonts w:ascii="仿宋" w:eastAsia="仿宋"/>
          <w:color w:val="000000"/>
          <w:sz w:val="32"/>
          <w:szCs w:val="32"/>
        </w:rPr>
      </w:pPr>
      <w:bookmarkStart w:id="32" w:name="_Toc22912"/>
      <w:r>
        <w:rPr>
          <w:rFonts w:ascii="仿宋" w:eastAsia="仿宋" w:hint="eastAsia"/>
          <w:color w:val="000000"/>
          <w:sz w:val="32"/>
          <w:szCs w:val="32"/>
          <w:lang w:eastAsia="zh-CN"/>
        </w:rPr>
        <w:t>2022</w:t>
      </w:r>
      <w:r>
        <w:rPr>
          <w:rFonts w:ascii="仿宋" w:eastAsia="仿宋" w:hint="eastAsia"/>
          <w:color w:val="000000"/>
          <w:sz w:val="32"/>
          <w:szCs w:val="32"/>
        </w:rPr>
        <w:t>年总收入</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color w:val="000000"/>
          <w:sz w:val="32"/>
          <w:szCs w:val="32"/>
        </w:rPr>
        <w:t>万元，其中：一般公共预算财政拨款收入</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2"/>
    </w:p>
    <w:p>
      <w:pPr>
        <w:spacing w:line="600" w:lineRule="exact"/>
        <w:ind w:firstLineChars="200" w:firstLine="640"/>
        <w:outlineLvl w:val="1"/>
        <w:rPr>
          <w:rStyle w:val="2Char"/>
          <w:rFonts w:ascii="黑体" w:eastAsia="黑体"/>
          <w:b w:val="0"/>
        </w:rPr>
      </w:pPr>
      <w:bookmarkStart w:id="33" w:name="_Toc4194"/>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4" w:name="_Toc15377207"/>
      <w:r>
        <w:rPr>
          <w:rFonts w:ascii="黑体" w:eastAsia="黑体" w:hint="eastAsia"/>
          <w:color w:val="000000"/>
          <w:sz w:val="32"/>
          <w:szCs w:val="32"/>
        </w:rPr>
        <w:t>三、支出决</w:t>
      </w:r>
      <w:r>
        <w:rPr>
          <w:rStyle w:val="2Char"/>
          <w:rFonts w:ascii="黑体" w:eastAsia="黑体" w:hint="eastAsia"/>
          <w:b w:val="0"/>
        </w:rPr>
        <w:t>算情况说明</w:t>
      </w:r>
      <w:bookmarkEnd w:id="33"/>
      <w:bookmarkEnd w:id="34"/>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年本年总支出</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864.37</w:t>
      </w:r>
      <w:r>
        <w:rPr>
          <w:rFonts w:ascii="仿宋" w:eastAsia="仿宋" w:hint="eastAsia"/>
          <w:color w:val="000000"/>
          <w:sz w:val="32"/>
          <w:szCs w:val="32"/>
        </w:rPr>
        <w:t>万元，占</w:t>
      </w:r>
      <w:r>
        <w:rPr>
          <w:rFonts w:ascii="仿宋" w:eastAsia="仿宋" w:hint="eastAsia"/>
          <w:color w:val="000000"/>
          <w:sz w:val="32"/>
          <w:szCs w:val="32"/>
          <w:lang w:val="en-US" w:eastAsia="zh-CN"/>
        </w:rPr>
        <w:t>39.42</w:t>
      </w:r>
      <w:r>
        <w:rPr>
          <w:rFonts w:ascii="仿宋" w:eastAsia="仿宋" w:hint="eastAsia"/>
          <w:color w:val="000000"/>
          <w:sz w:val="32"/>
          <w:szCs w:val="32"/>
        </w:rPr>
        <w:t>%；项目支出</w:t>
      </w:r>
      <w:r>
        <w:rPr>
          <w:rFonts w:ascii="仿宋" w:eastAsia="仿宋" w:hint="eastAsia"/>
          <w:color w:val="000000"/>
          <w:sz w:val="32"/>
          <w:szCs w:val="32"/>
          <w:lang w:val="en-US" w:eastAsia="zh-CN"/>
        </w:rPr>
        <w:t>1328.58</w:t>
      </w:r>
      <w:r>
        <w:rPr>
          <w:rFonts w:ascii="仿宋" w:eastAsia="仿宋" w:hint="eastAsia"/>
          <w:color w:val="000000"/>
          <w:sz w:val="32"/>
          <w:szCs w:val="32"/>
        </w:rPr>
        <w:t>万元，占</w:t>
      </w:r>
      <w:r>
        <w:rPr>
          <w:rFonts w:ascii="仿宋" w:eastAsia="仿宋" w:hint="eastAsia"/>
          <w:color w:val="000000"/>
          <w:sz w:val="32"/>
          <w:szCs w:val="32"/>
          <w:lang w:val="en-US" w:eastAsia="zh-CN"/>
        </w:rPr>
        <w:t>60.58</w:t>
      </w:r>
      <w:r>
        <w:rPr>
          <w:rFonts w:ascii="仿宋" w:eastAsia="仿宋" w:hint="eastAsia"/>
          <w:color w:val="000000"/>
          <w:sz w:val="32"/>
          <w:szCs w:val="32"/>
        </w:rPr>
        <w:t>%</w:t>
      </w:r>
      <w:r>
        <w:rPr>
          <w:rFonts w:ascii="仿宋" w:eastAsia="仿宋" w:hint="eastAsia"/>
          <w:color w:val="000000"/>
          <w:sz w:val="32"/>
          <w:szCs w:val="32"/>
          <w:lang w:eastAsia="zh-CN"/>
        </w:rPr>
        <w:t>。</w:t>
      </w:r>
    </w:p>
    <w:p>
      <w:pPr>
        <w:pStyle w:val="15"/>
        <w:rPr>
          <w:lang w:val="en-US"/>
        </w:rPr>
      </w:pPr>
      <w:r>
        <w:rPr>
          <w:rFonts w:ascii="黑体" w:eastAsia="黑体" w:hint="eastAsia"/>
          <w:color w:val="000000"/>
          <w:sz w:val="32"/>
          <w:szCs w:val="32"/>
        </w:rPr>
        <w:drawing>
          <wp:anchor distT="0" distB="0" distL="114300" distR="114300" simplePos="0" relativeHeight="22" behindDoc="0" locked="0" layoutInCell="1" hidden="0" allowOverlap="1">
            <wp:simplePos x="0" y="0"/>
            <wp:positionH relativeFrom="column">
              <wp:posOffset>-167005</wp:posOffset>
            </wp:positionH>
            <wp:positionV relativeFrom="paragraph">
              <wp:posOffset>501015</wp:posOffset>
            </wp:positionV>
            <wp:extent cx="5373368"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5" w:name="_Toc27948"/>
      <w:bookmarkStart w:id="36"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年财政拨款收入</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color w:val="000000"/>
          <w:sz w:val="32"/>
          <w:szCs w:val="32"/>
        </w:rPr>
        <w:t>万元。与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00"/>
          <w:spacing w:val="-2"/>
          <w:sz w:val="32"/>
          <w:szCs w:val="32"/>
          <w:lang w:val="en-US" w:eastAsia="zh-CN"/>
        </w:rPr>
        <w:t>1172.28</w:t>
      </w:r>
      <w:r>
        <w:rPr>
          <w:rFonts w:ascii="仿宋_GB2312" w:eastAsia="仿宋_GB2312" w:hint="eastAsia"/>
          <w:color w:val="000000"/>
          <w:spacing w:val="-2"/>
          <w:sz w:val="32"/>
          <w:szCs w:val="32"/>
        </w:rPr>
        <w:t>万元</w:t>
      </w:r>
      <w:r>
        <w:rPr>
          <w:rFonts w:ascii="仿宋" w:eastAsia="仿宋" w:hint="eastAsia"/>
          <w:color w:val="000000"/>
          <w:sz w:val="32"/>
          <w:szCs w:val="32"/>
        </w:rPr>
        <w:t>，</w:t>
      </w:r>
      <w:r>
        <w:rPr>
          <w:rFonts w:ascii="仿宋_GB2312" w:eastAsia="仿宋_GB2312" w:hint="eastAsia"/>
          <w:color w:val="000000"/>
          <w:spacing w:val="-2"/>
          <w:sz w:val="32"/>
          <w:szCs w:val="32"/>
        </w:rPr>
        <w:t>增加</w:t>
      </w:r>
      <w:r>
        <w:rPr>
          <w:rFonts w:ascii="仿宋_GB2312" w:eastAsia="仿宋_GB2312" w:hint="eastAsia"/>
          <w:color w:val="000000"/>
          <w:spacing w:val="-2"/>
          <w:sz w:val="32"/>
          <w:szCs w:val="32"/>
          <w:lang w:val="en-US" w:eastAsia="zh-CN"/>
        </w:rPr>
        <w:t>114.93</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项目支出增加</w:t>
      </w:r>
      <w:r>
        <w:rPr>
          <w:rFonts w:ascii="仿宋_GB2312" w:eastAsia="仿宋_GB2312" w:hint="eastAsia"/>
          <w:color w:val="000000"/>
          <w:spacing w:val="-2"/>
          <w:sz w:val="32"/>
          <w:szCs w:val="32"/>
        </w:rPr>
        <w:t>。</w:t>
      </w:r>
    </w:p>
    <w:p>
      <w:pPr>
        <w:spacing w:line="600" w:lineRule="exact"/>
        <w:ind w:firstLineChars="200" w:firstLine="640"/>
        <w:rPr>
          <w:rFonts w:ascii="仿宋_GB2312" w:eastAsia="仿宋_GB2312" w:hint="eastAsia"/>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年财政拨款</w:t>
      </w:r>
      <w:r>
        <w:rPr>
          <w:rFonts w:ascii="仿宋" w:eastAsia="仿宋" w:hint="eastAsia"/>
          <w:color w:val="000000"/>
          <w:sz w:val="32"/>
          <w:szCs w:val="32"/>
          <w:lang w:val="en-US" w:eastAsia="zh-CN"/>
        </w:rPr>
        <w:t>支出</w:t>
      </w:r>
      <w:r>
        <w:rPr>
          <w:rFonts w:ascii="仿宋_GB2312" w:eastAsia="仿宋" w:hAnsi="仿宋_GB2312" w:hint="eastAsia"/>
          <w:color w:val="000000"/>
          <w:sz w:val="32"/>
          <w:szCs w:val="32"/>
          <w:shd w:val="clear" w:color="auto" w:fill="FFFFFF"/>
          <w:lang w:val="en-US" w:eastAsia="zh-CN"/>
        </w:rPr>
        <w:t>2192.95</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增加1167.79</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增加113.84</w:t>
      </w:r>
      <w:r>
        <w:rPr>
          <w:rFonts w:ascii="仿宋_GB2312" w:eastAsia="仿宋_GB2312" w:hint="eastAsia"/>
          <w:spacing w:val="-2"/>
          <w:sz w:val="32"/>
          <w:szCs w:val="32"/>
        </w:rPr>
        <w:t>%。主要原因是当年部门预算安排项目经费较上年有所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7"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7"/>
    </w:p>
    <w:p>
      <w:pPr>
        <w:spacing w:line="600" w:lineRule="exact"/>
        <w:ind w:firstLineChars="200" w:firstLine="640"/>
        <w:outlineLvl w:val="2"/>
        <w:rPr>
          <w:rFonts w:ascii="仿宋" w:eastAsia="仿宋"/>
          <w:b/>
          <w:color w:val="000000"/>
          <w:sz w:val="32"/>
          <w:szCs w:val="32"/>
        </w:rPr>
      </w:pPr>
      <w:bookmarkStart w:id="38" w:name="_Toc15377210"/>
      <w:r>
        <w:rPr>
          <w:rFonts w:ascii="仿宋" w:eastAsia="仿宋" w:hint="eastAsia"/>
          <w:b/>
          <w:color w:val="000000"/>
          <w:sz w:val="32"/>
          <w:szCs w:val="32"/>
        </w:rPr>
        <w:t>（一）一般公共预算财政拨款支出决算总体情况</w:t>
      </w:r>
      <w:bookmarkEnd w:id="38"/>
    </w:p>
    <w:p>
      <w:pPr>
        <w:spacing w:line="600" w:lineRule="exact"/>
        <w:ind w:firstLineChars="200" w:firstLine="640"/>
        <w:rPr>
          <w:rFonts w:ascii="仿宋_GB2312" w:eastAsia="仿宋_GB2312"/>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 w:hAnsi="仿宋_GB2312" w:hint="eastAsia"/>
          <w:color w:val="000000"/>
          <w:sz w:val="32"/>
          <w:szCs w:val="32"/>
          <w:shd w:val="clear" w:color="auto" w:fill="FFFFFF"/>
          <w:lang w:val="en-US" w:eastAsia="zh-CN"/>
        </w:rPr>
        <w:t>2192.95</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增加1172.28</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增加114.93</w:t>
      </w:r>
      <w:r>
        <w:rPr>
          <w:rFonts w:ascii="仿宋_GB2312" w:eastAsia="仿宋_GB2312" w:hint="eastAsia"/>
          <w:spacing w:val="-2"/>
          <w:sz w:val="32"/>
          <w:szCs w:val="32"/>
        </w:rPr>
        <w:t>%。主要原因是当年部门预算安排项目经费较上年有所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numPr>
          <w:ilvl w:val="0"/>
          <w:numId w:val="2"/>
        </w:numPr>
        <w:spacing w:line="600" w:lineRule="exact"/>
        <w:ind w:left="0" w:firstLineChars="200" w:firstLine="640"/>
        <w:outlineLvl w:val="2"/>
        <w:rPr>
          <w:rFonts w:ascii="仿宋" w:eastAsia="仿宋"/>
          <w:b/>
          <w:color w:val="000000"/>
          <w:sz w:val="32"/>
          <w:szCs w:val="32"/>
        </w:rPr>
      </w:pPr>
      <w:bookmarkStart w:id="39" w:name="_Toc15377211"/>
      <w:r>
        <w:rPr>
          <w:rFonts w:ascii="仿宋" w:eastAsia="仿宋" w:hint="eastAsia"/>
          <w:b/>
          <w:color w:val="000000"/>
          <w:sz w:val="32"/>
          <w:szCs w:val="32"/>
        </w:rPr>
        <w:t>一般公共预算财政拨款支出决算结构情况</w:t>
      </w:r>
      <w:bookmarkEnd w:id="39"/>
    </w:p>
    <w:p>
      <w:pPr>
        <w:spacing w:line="600" w:lineRule="exact"/>
        <w:ind w:firstLineChars="200" w:firstLine="640"/>
        <w:outlineLvl w:val="2"/>
        <w:rPr>
          <w:rFonts w:ascii="仿宋" w:eastAsia="仿宋"/>
          <w:bCs/>
          <w:color w:val="000000"/>
          <w:sz w:val="32"/>
          <w:szCs w:val="32"/>
        </w:rPr>
      </w:pPr>
      <w:r>
        <w:rPr>
          <w:rFonts w:ascii="仿宋" w:eastAsia="仿宋" w:hint="eastAsia"/>
          <w:bCs/>
          <w:color w:val="000000"/>
          <w:sz w:val="32"/>
          <w:szCs w:val="32"/>
          <w:lang w:eastAsia="zh-CN"/>
        </w:rPr>
        <w:t>2022</w:t>
      </w:r>
      <w:r>
        <w:rPr>
          <w:rFonts w:ascii="仿宋" w:eastAsia="仿宋" w:hint="eastAsia"/>
          <w:bCs/>
          <w:color w:val="000000"/>
          <w:sz w:val="32"/>
          <w:szCs w:val="32"/>
        </w:rPr>
        <w:t>年一般公共预算财政拨款支出为</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472.36</w:t>
      </w:r>
      <w:r>
        <w:rPr>
          <w:rFonts w:ascii="仿宋" w:eastAsia="仿宋" w:hint="eastAsia"/>
          <w:bCs/>
          <w:color w:val="000000"/>
          <w:sz w:val="32"/>
          <w:szCs w:val="32"/>
        </w:rPr>
        <w:t>万元，占比</w:t>
      </w:r>
      <w:r>
        <w:rPr>
          <w:rFonts w:ascii="仿宋" w:eastAsia="仿宋" w:hint="eastAsia"/>
          <w:bCs/>
          <w:color w:val="000000"/>
          <w:sz w:val="32"/>
          <w:szCs w:val="32"/>
          <w:lang w:val="en-US" w:eastAsia="zh-CN"/>
        </w:rPr>
        <w:t>21.54</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95.27</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4.34</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45.08</w:t>
      </w:r>
      <w:r>
        <w:rPr>
          <w:rFonts w:ascii="仿宋" w:eastAsia="仿宋" w:hint="eastAsia"/>
          <w:bCs/>
          <w:color w:val="000000"/>
          <w:sz w:val="32"/>
          <w:szCs w:val="32"/>
        </w:rPr>
        <w:t>万元，占比</w:t>
      </w:r>
      <w:r>
        <w:rPr>
          <w:rFonts w:ascii="仿宋" w:eastAsia="仿宋" w:hint="eastAsia"/>
          <w:bCs/>
          <w:color w:val="000000"/>
          <w:sz w:val="32"/>
          <w:szCs w:val="32"/>
          <w:lang w:val="en-US" w:eastAsia="zh-CN"/>
        </w:rPr>
        <w:t>2.06</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796.73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36.33</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59.07</w:t>
      </w:r>
      <w:r>
        <w:rPr>
          <w:rFonts w:ascii="仿宋" w:eastAsia="仿宋" w:hint="eastAsia"/>
          <w:bCs/>
          <w:color w:val="000000"/>
          <w:sz w:val="32"/>
          <w:szCs w:val="32"/>
        </w:rPr>
        <w:t>万元，占比</w:t>
      </w:r>
      <w:r>
        <w:rPr>
          <w:rFonts w:ascii="仿宋" w:eastAsia="仿宋" w:hint="eastAsia"/>
          <w:bCs/>
          <w:color w:val="000000"/>
          <w:sz w:val="32"/>
          <w:szCs w:val="32"/>
          <w:lang w:val="en-US" w:eastAsia="zh-CN"/>
        </w:rPr>
        <w:t>2.69</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724.44</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33.04</w:t>
      </w:r>
      <w:r>
        <w:rPr>
          <w:rFonts w:ascii="仿宋" w:eastAsia="仿宋" w:hint="eastAsia"/>
          <w:bCs/>
          <w:color w:val="000000"/>
          <w:sz w:val="32"/>
          <w:szCs w:val="32"/>
        </w:rPr>
        <w:t>%。</w:t>
      </w:r>
    </w:p>
    <w:p>
      <w:pPr>
        <w:pStyle w:val="15"/>
        <w:rPr>
          <w:rFonts w:ascii="仿宋" w:eastAsia="仿宋" w:hint="eastAsia"/>
          <w:bCs/>
          <w:color w:val="000000"/>
          <w:sz w:val="32"/>
          <w:szCs w:val="32"/>
          <w:lang w:eastAsia="zh-CN"/>
        </w:rPr>
      </w:pPr>
      <w:r>
        <w:rPr>
          <w:rFonts w:ascii="仿宋" w:eastAsia="仿宋" w:hint="eastAsia"/>
          <w:bCs/>
          <w:color w:val="000000"/>
          <w:sz w:val="32"/>
          <w:szCs w:val="32"/>
          <w:lang w:eastAsia="zh-CN"/>
        </w:rPr>
        <w:drawing>
          <wp:inline distT="0" distB="0" distL="114300" distR="114300">
            <wp:extent cx="5079365" cy="3810000"/>
            <wp:effectExtent l="0" t="0" r="0" b="0"/>
            <wp:docPr id="5"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仿宋" w:eastAsia="仿宋"/>
          <w:b/>
          <w:color w:val="000000"/>
          <w:sz w:val="32"/>
          <w:szCs w:val="32"/>
        </w:rPr>
      </w:pPr>
      <w:bookmarkStart w:id="40" w:name="_Toc15378460"/>
      <w:bookmarkStart w:id="41" w:name="_Toc15377444"/>
      <w:bookmarkStart w:id="42" w:name="_Toc15377213"/>
    </w:p>
    <w:p>
      <w:pPr>
        <w:spacing w:line="600" w:lineRule="exact"/>
        <w:ind w:firstLineChars="200" w:firstLine="640"/>
        <w:outlineLvl w:val="2"/>
        <w:rPr>
          <w:rFonts w:ascii="仿宋" w:eastAsia="仿宋"/>
          <w:b/>
          <w:color w:val="000000"/>
          <w:sz w:val="32"/>
          <w:szCs w:val="32"/>
        </w:rPr>
      </w:pPr>
      <w:bookmarkStart w:id="43" w:name="_Toc15377212"/>
      <w:r>
        <w:rPr>
          <w:rFonts w:ascii="仿宋" w:eastAsia="仿宋" w:hint="eastAsia"/>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hint="eastAsia"/>
          <w:bCs/>
          <w:color w:val="000000"/>
          <w:sz w:val="32"/>
          <w:szCs w:val="32"/>
          <w:lang w:eastAsia="zh-CN"/>
        </w:rPr>
        <w:t>2022</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726.61</w:t>
      </w:r>
      <w:r>
        <w:rPr>
          <w:rFonts w:ascii="仿宋" w:eastAsia="仿宋" w:hint="eastAsia"/>
          <w:bCs/>
          <w:color w:val="000000"/>
          <w:sz w:val="32"/>
          <w:szCs w:val="32"/>
        </w:rPr>
        <w:t>万元，支出决算数为</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301.81</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40"/>
      <w:bookmarkEnd w:id="41"/>
      <w:bookmarkEnd w:id="42"/>
    </w:p>
    <w:p>
      <w:pPr>
        <w:spacing w:line="600" w:lineRule="exact"/>
        <w:ind w:firstLineChars="200" w:firstLine="640"/>
        <w:rPr>
          <w:rStyle w:val="24"/>
          <w:rFonts w:ascii="仿宋" w:eastAsia="仿宋"/>
          <w:b w:val="0"/>
          <w:bCs/>
          <w:color w:val="000000"/>
          <w:sz w:val="32"/>
          <w:szCs w:val="32"/>
        </w:rPr>
      </w:pPr>
      <w:bookmarkStart w:id="44" w:name="_Toc15377214"/>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431.57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w:t>
      </w:r>
      <w:r>
        <w:rPr>
          <w:rStyle w:val="24"/>
          <w:rFonts w:ascii="仿宋" w:eastAsia="仿宋" w:hint="eastAsia"/>
          <w:bCs/>
          <w:color w:val="000000"/>
          <w:sz w:val="32"/>
          <w:szCs w:val="32"/>
        </w:rPr>
        <w:t>办公室（室）及相关机构事务（款）一般行政管理事务（项）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20.43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3.一般公共服务（类）人大事务（款）一般行政管理事务（项）: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20.36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4</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63.5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31.7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6</w:t>
      </w:r>
      <w:r>
        <w:rPr>
          <w:rStyle w:val="24"/>
          <w:rFonts w:ascii="仿宋" w:eastAsia="仿宋" w:hint="eastAsia"/>
          <w:bCs/>
          <w:color w:val="000000"/>
          <w:sz w:val="32"/>
          <w:szCs w:val="32"/>
        </w:rPr>
        <w:t>.卫生健康支出（类）行政事业单位医疗（款）行政单位医疗（项）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22.64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7</w:t>
      </w:r>
      <w:r>
        <w:rPr>
          <w:rStyle w:val="24"/>
          <w:rFonts w:ascii="仿宋" w:eastAsia="仿宋" w:hint="eastAsia"/>
          <w:bCs/>
          <w:color w:val="000000"/>
          <w:sz w:val="32"/>
          <w:szCs w:val="32"/>
        </w:rPr>
        <w:t>.卫生健康支出（类）行政事业单位医疗（款）公务员医疗补助（项）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5.58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事业</w:t>
      </w:r>
      <w:r>
        <w:rPr>
          <w:rStyle w:val="24"/>
          <w:rFonts w:ascii="仿宋" w:eastAsia="仿宋" w:hint="eastAsia"/>
          <w:bCs/>
          <w:color w:val="000000"/>
          <w:sz w:val="32"/>
          <w:szCs w:val="32"/>
        </w:rPr>
        <w:t>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9.1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其他行政事业单位医疗支出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5.58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pStyle w:val="15"/>
      </w:pP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10</w:t>
      </w:r>
      <w:r>
        <w:rPr>
          <w:rStyle w:val="24"/>
          <w:rFonts w:ascii="仿宋" w:eastAsia="仿宋" w:hint="eastAsia"/>
          <w:bCs/>
          <w:color w:val="000000"/>
          <w:sz w:val="32"/>
          <w:szCs w:val="32"/>
        </w:rPr>
        <w:t>.住房保障（类）住房改革支出（款）住房公积金（项）：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59.07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11.卫生健康（类）公共卫生（款）突发公共卫生事件应急处理（项）：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12.农林水支出（类）农业农村（款）事业运行（项）：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235.01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农林水支出（类）农业农村（款）农村道路建设（项）：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11.2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农林水支出（类）巩固脱贫衔接乡村振兴（款）农村基础设施建设（项）：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402.24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13.农林水支出（类）农村综合改革（款）对村民委员会和党支部的补助（项）：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148.28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lang w:val="en-US" w:eastAsia="zh-CN"/>
        </w:rPr>
        <w:t>14.其他支出（类）其他支出（款）其他支出（项）：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724.44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eastAsia="zh-CN"/>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Fonts w:ascii="黑体" w:eastAsia="黑体" w:hint="eastAsia"/>
          <w:b/>
          <w:color w:val="000000"/>
          <w:sz w:val="32"/>
          <w:szCs w:val="32"/>
          <w:lang w:val="en-US" w:eastAsia="zh-CN"/>
        </w:rPr>
        <w:t>般</w:t>
      </w:r>
      <w:r>
        <w:rPr>
          <w:rStyle w:val="2Char"/>
          <w:rFonts w:ascii="黑体" w:eastAsia="黑体" w:hint="eastAsia"/>
          <w:b w:val="0"/>
        </w:rPr>
        <w:t>公共预算财政拨款基本支出决算情况说明</w:t>
      </w:r>
      <w:bookmarkEnd w:id="4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bookmarkStart w:id="45"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864.37</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729.98</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156.16</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185.25</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142.05</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44.28</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63.5</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31.77</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7.82</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59.07</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31.74</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8.34</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9.09</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81.27</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44.02</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10.44</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委托业务费5万元、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维修维护</w:t>
      </w:r>
      <w:r>
        <w:rPr>
          <w:rFonts w:ascii="仿宋_GB2312" w:eastAsia="仿宋_GB2312" w:hint="eastAsia"/>
          <w:color w:val="000000"/>
          <w:sz w:val="32"/>
          <w:szCs w:val="32"/>
        </w:rPr>
        <w:t>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8.5</w:t>
      </w:r>
      <w:r>
        <w:rPr>
          <w:rFonts w:ascii="仿宋_GB2312" w:eastAsia="仿宋_GB2312" w:hint="eastAsia"/>
          <w:color w:val="000000"/>
          <w:sz w:val="32"/>
          <w:szCs w:val="32"/>
        </w:rPr>
        <w:t>万元、其他交通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万元。</w:t>
      </w:r>
    </w:p>
    <w:p>
      <w:pPr>
        <w:snapToGrid w:val="0"/>
        <w:spacing w:line="520" w:lineRule="exact"/>
        <w:ind w:firstLineChars="200" w:firstLine="640"/>
        <w:rPr>
          <w:rFonts w:eastAsia="仿宋_GB2312"/>
          <w:lang w:val="en-US" w:eastAsia="zh-CN"/>
        </w:rPr>
      </w:pPr>
      <w:bookmarkStart w:id="46" w:name="_Toc9449"/>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1328.58</w:t>
      </w:r>
      <w:r>
        <w:rPr>
          <w:rFonts w:ascii="仿宋_GB2312" w:eastAsia="仿宋_GB2312" w:hint="eastAsia"/>
          <w:color w:val="000000"/>
          <w:sz w:val="32"/>
          <w:szCs w:val="32"/>
        </w:rPr>
        <w:t>万元，主要包括：解决幸福美丽家园建设及咯尔乡历年工程欠款缺口资金</w:t>
      </w:r>
      <w:r>
        <w:rPr>
          <w:rFonts w:ascii="仿宋_GB2312" w:eastAsia="仿宋_GB2312" w:hint="eastAsia"/>
          <w:color w:val="000000"/>
          <w:sz w:val="32"/>
          <w:szCs w:val="32"/>
          <w:lang w:val="en-US" w:eastAsia="zh-CN"/>
        </w:rPr>
        <w:t>37.42</w:t>
      </w:r>
      <w:r>
        <w:rPr>
          <w:rFonts w:ascii="仿宋_GB2312" w:eastAsia="仿宋_GB2312" w:hint="eastAsia"/>
          <w:color w:val="000000"/>
          <w:sz w:val="32"/>
          <w:szCs w:val="32"/>
        </w:rPr>
        <w:t>万元，2022年新冠防疫经费（各乡镇）</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金川县咯尔乡安全饮水维修项目11.2万元，金川县咯尔乡复兴村邓家沟拦沙坝建设项目211.08万元，金川县咯尔乡复兴村精品旅游综合提升项目191.17万元，金川县咯尔乡人居环境提升项目28.98万元，金川县咯尔乡日本冈山砂梨引种示范园96.09万元，金川县金江村观景平台及附属工程项目206万元，金川县咯尔乡复兴村花果山民宿及附属工程建设项目390万元，村级运行经费及村干部意外险148.28万元，三老干部补助3.36万元</w:t>
      </w:r>
      <w:r>
        <w:rPr>
          <w:rFonts w:ascii="仿宋_GB2312" w:eastAsia="仿宋_GB2312" w:cs="仿宋_GB2312" w:hint="eastAsia"/>
          <w:bCs/>
          <w:sz w:val="32"/>
          <w:szCs w:val="32"/>
          <w:lang w:val="en-US" w:eastAsia="zh-CN"/>
        </w:rPr>
        <w:t>。</w:t>
      </w: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w:t>
      </w:r>
      <w:r>
        <w:rPr>
          <w:rFonts w:ascii="仿宋" w:eastAsia="仿宋" w:hint="eastAsia"/>
          <w:color w:val="000000"/>
          <w:sz w:val="32"/>
          <w:szCs w:val="32"/>
          <w:lang w:val="en-US" w:eastAsia="zh-CN"/>
        </w:rPr>
        <w:t>预算数7万元，</w:t>
      </w:r>
      <w:r>
        <w:rPr>
          <w:rFonts w:ascii="仿宋" w:eastAsia="仿宋" w:hint="eastAsia"/>
          <w:color w:val="000000"/>
          <w:sz w:val="32"/>
          <w:szCs w:val="32"/>
        </w:rPr>
        <w:t>支出决算为</w:t>
      </w:r>
      <w:r>
        <w:rPr>
          <w:rFonts w:ascii="仿宋" w:eastAsia="仿宋" w:hint="eastAsia"/>
          <w:color w:val="000000"/>
          <w:sz w:val="32"/>
          <w:szCs w:val="32"/>
          <w:lang w:val="en-US" w:eastAsia="zh-CN"/>
        </w:rPr>
        <w:t>7</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8" w:name="_Toc15377217"/>
      <w:r>
        <w:rPr>
          <w:rFonts w:ascii="仿宋" w:eastAsia="仿宋" w:hint="eastAsia"/>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hint="eastAsia"/>
          <w:sz w:val="32"/>
          <w:szCs w:val="32"/>
          <w:lang w:val="en-US" w:eastAsia="zh-CN"/>
        </w:rPr>
        <w:t>7</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7</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lang w:eastAsia="zh-CN"/>
        </w:rPr>
        <w:t>2021</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0</w:t>
      </w:r>
      <w:r>
        <w:rPr>
          <w:rFonts w:ascii="仿宋_GB2312" w:eastAsia="仿宋_GB2312" w:hint="eastAsia"/>
          <w:sz w:val="32"/>
          <w:szCs w:val="32"/>
        </w:rPr>
        <w:t>。</w:t>
      </w:r>
      <w:r>
        <w:rPr>
          <w:rFonts w:ascii="仿宋_GB2312" w:eastAsia="仿宋_GB2312" w:cs="仿宋" w:hint="eastAsia"/>
          <w:color w:val="000000"/>
          <w:sz w:val="32"/>
          <w:szCs w:val="32"/>
          <w:lang w:val="en-US" w:eastAsia="zh-CN"/>
        </w:rPr>
        <w:t>费用支出</w:t>
      </w:r>
      <w:r>
        <w:rPr>
          <w:rFonts w:ascii="仿宋_GB2312" w:eastAsia="仿宋_GB2312" w:cs="仿宋" w:hint="eastAsia"/>
          <w:color w:val="000000"/>
          <w:sz w:val="32"/>
          <w:szCs w:val="32"/>
        </w:rPr>
        <w:t>一是机关公务用车保障任务重、保障路程长、保障半径宽，车辆过半老化，维修维护费用高。</w:t>
      </w:r>
      <w:r>
        <w:rPr>
          <w:rFonts w:ascii="仿宋_GB2312" w:eastAsia="仿宋_GB2312" w:cs="仿宋" w:hint="eastAsia"/>
          <w:color w:val="000000"/>
          <w:sz w:val="32"/>
          <w:szCs w:val="32"/>
          <w:lang w:val="en-US" w:eastAsia="zh-CN"/>
        </w:rPr>
        <w:t>且上级划拨应急抢险车辆；</w:t>
      </w:r>
      <w:r>
        <w:rPr>
          <w:rFonts w:ascii="仿宋_GB2312" w:eastAsia="仿宋_GB2312" w:cs="仿宋" w:hint="eastAsia"/>
          <w:color w:val="000000"/>
          <w:sz w:val="32"/>
          <w:szCs w:val="32"/>
        </w:rPr>
        <w:t>二是按照藏区提前一年实现基本“脱贫”的工作要求，脱贫攻坚任务繁重，开展脱贫攻坚一线调研和现场指导的次数增多</w:t>
      </w:r>
      <w:r>
        <w:rPr>
          <w:rFonts w:ascii="仿宋_GB2312" w:eastAsia="仿宋_GB2312" w:cs="仿宋" w:hint="eastAsia"/>
          <w:color w:val="000000"/>
          <w:sz w:val="32"/>
          <w:szCs w:val="32"/>
          <w:lang w:eastAsia="zh-CN"/>
        </w:rPr>
        <w:t>；</w:t>
      </w:r>
      <w:r>
        <w:rPr>
          <w:rFonts w:ascii="仿宋_GB2312" w:eastAsia="仿宋_GB2312" w:cs="仿宋" w:hint="eastAsia"/>
          <w:color w:val="000000"/>
          <w:sz w:val="32"/>
          <w:szCs w:val="32"/>
        </w:rPr>
        <w:t>三是开展“两联一进”群众工作，保障需求持续增加。四是抗击突发自然灾害，处置和查灾救灾的次数增多。</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辆、执法执勤用车0辆、特种专业技术用车0辆、离退休干部用车</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7</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pStyle w:val="15"/>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2.公务接待费支出0万元。公务接待费支出决算比2021年无变化。</w:t>
      </w: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pStyle w:val="15"/>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3.因公出国（境）费支出0万元。</w:t>
      </w:r>
    </w:p>
    <w:p>
      <w:pPr>
        <w:spacing w:line="600" w:lineRule="exact"/>
        <w:ind w:firstLine="640"/>
        <w:outlineLvl w:val="1"/>
        <w:rPr>
          <w:rStyle w:val="2Char"/>
          <w:rFonts w:ascii="黑体" w:eastAsia="黑体"/>
        </w:rPr>
      </w:pPr>
      <w:bookmarkStart w:id="49" w:name="_Toc15377218"/>
      <w:bookmarkStart w:id="50" w:name="_Toc23573"/>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51" w:name="_Toc15377219"/>
      <w:bookmarkStart w:id="52" w:name="_Toc351"/>
      <w:r>
        <w:rPr>
          <w:rStyle w:val="2Char"/>
          <w:rFonts w:ascii="黑体" w:eastAsia="黑体" w:hint="eastAsia"/>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年国有资本经营预算拨款支出0万元。</w:t>
      </w:r>
    </w:p>
    <w:p>
      <w:pPr>
        <w:pStyle w:val="31"/>
        <w:numPr>
          <w:ilvl w:val="0"/>
          <w:numId w:val="4"/>
        </w:numPr>
        <w:spacing w:line="580" w:lineRule="exact"/>
        <w:ind w:firstLineChars="0"/>
        <w:rPr>
          <w:rStyle w:val="2Char"/>
          <w:rFonts w:ascii="黑体" w:eastAsia="黑体"/>
          <w:b w:val="0"/>
        </w:rPr>
      </w:pPr>
      <w:bookmarkStart w:id="53"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4" w:name="_Toc4523"/>
      <w:bookmarkEnd w:id="53"/>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4"/>
      <w:r>
        <w:rPr>
          <w:rFonts w:ascii="仿宋_GB2312" w:eastAsia="仿宋_GB2312" w:cs="仿宋_GB2312" w:hint="eastAsia"/>
          <w:sz w:val="32"/>
          <w:szCs w:val="32"/>
        </w:rPr>
        <w:t>根据预算绩效管理要求，我单位在年初预算编制阶段，组织对项目开展了预算事前绩效评估，对</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w:t>
      </w:r>
      <w:r>
        <w:rPr>
          <w:rFonts w:ascii="仿宋_GB2312" w:eastAsia="仿宋_GB2312"/>
          <w:sz w:val="32"/>
          <w:szCs w:val="32"/>
        </w:rPr>
        <w:t>党的</w:t>
      </w:r>
      <w:r>
        <w:rPr>
          <w:rFonts w:ascii="仿宋_GB2312" w:eastAsia="仿宋_GB2312" w:hint="eastAsia"/>
          <w:sz w:val="32"/>
          <w:szCs w:val="32"/>
        </w:rPr>
        <w:t>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个项目绩效评价，从评价情况来看我单位年初预算项目基本按照绩效目标完成支付，有部分项目结转质保金在下年质保期后进行支付。</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snapToGrid w:val="0"/>
        <w:spacing w:line="520" w:lineRule="exact"/>
        <w:ind w:firstLineChars="200" w:firstLine="640"/>
        <w:rPr>
          <w:rFonts w:eastAsia="仿宋_GB2312"/>
          <w:lang w:val="en-US" w:eastAsia="zh-CN"/>
        </w:rPr>
      </w:pPr>
      <w:r>
        <w:rPr>
          <w:rFonts w:ascii="仿宋_GB2312" w:eastAsia="仿宋_GB2312" w:cs="仿宋_GB2312" w:hint="eastAsia"/>
          <w:sz w:val="32"/>
          <w:szCs w:val="32"/>
        </w:rPr>
        <w:t xml:space="preserve">    本部门在</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年度部门决算中反映</w:t>
      </w:r>
      <w:r>
        <w:rPr>
          <w:rFonts w:ascii="仿宋_GB2312" w:eastAsia="仿宋_GB2312" w:hint="eastAsia"/>
          <w:color w:val="000000"/>
          <w:sz w:val="32"/>
          <w:szCs w:val="32"/>
        </w:rPr>
        <w:t>解决幸福美丽家园建设及咯尔乡历年工程欠款缺口资金</w:t>
      </w:r>
      <w:r>
        <w:rPr>
          <w:rFonts w:ascii="仿宋_GB2312" w:eastAsia="仿宋_GB2312" w:hint="eastAsia"/>
          <w:color w:val="000000"/>
          <w:sz w:val="32"/>
          <w:szCs w:val="32"/>
          <w:lang w:val="en-US" w:eastAsia="zh-CN"/>
        </w:rPr>
        <w:t>37.42</w:t>
      </w:r>
      <w:r>
        <w:rPr>
          <w:rFonts w:ascii="仿宋_GB2312" w:eastAsia="仿宋_GB2312" w:hint="eastAsia"/>
          <w:color w:val="000000"/>
          <w:sz w:val="32"/>
          <w:szCs w:val="32"/>
        </w:rPr>
        <w:t>万元，2022年新冠防疫经费（各乡镇）</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金川县咯尔乡安全饮水维修项目11.2万元，金川县咯尔乡复兴村邓家沟拦沙坝建设项目211.08万元，金川县咯尔乡复兴村精品旅游综合提升项目191.17万元，金川县咯尔乡人居环境提升项目28.98万元，金川县咯尔乡日本冈山砂梨引种示范园96.09万元，金川县金江村观景平台及附属工程项目206万元，金川县咯尔乡复兴村花果山民宿及附属工程建设项目390万元，村级运行经费及村干部意外险148.28万元，三老干部补助3.36万元</w:t>
      </w:r>
      <w:r>
        <w:rPr>
          <w:rFonts w:ascii="仿宋_GB2312" w:eastAsia="仿宋_GB2312" w:cs="仿宋_GB2312" w:hint="eastAsia"/>
          <w:bCs/>
          <w:sz w:val="32"/>
          <w:szCs w:val="32"/>
          <w:lang w:val="en-US" w:eastAsia="zh-CN"/>
        </w:rPr>
        <w:t>。</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cs="仿宋_GB2312" w:hint="eastAsia"/>
          <w:sz w:val="32"/>
          <w:szCs w:val="32"/>
          <w:lang w:val="en-US" w:eastAsia="zh-CN"/>
        </w:rPr>
        <w:t>三老干部</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3.36</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3,36</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三老干部生活补助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3.36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3.36</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3.36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3.36</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rPr>
              <w:t>保证</w:t>
            </w:r>
            <w:r>
              <w:rPr>
                <w:rFonts w:ascii="宋体" w:cs="宋体" w:hint="eastAsia"/>
                <w:color w:val="000000"/>
                <w:sz w:val="24"/>
                <w:lang w:eastAsia="zh-CN"/>
              </w:rPr>
              <w:t>咯尔</w:t>
            </w:r>
            <w:r>
              <w:rPr>
                <w:rFonts w:ascii="宋体" w:cs="宋体" w:hint="eastAsia"/>
                <w:color w:val="000000"/>
                <w:sz w:val="24"/>
              </w:rPr>
              <w:t>乡顺利完成</w:t>
            </w:r>
            <w:r>
              <w:rPr>
                <w:rFonts w:ascii="宋体" w:cs="宋体" w:hint="eastAsia"/>
                <w:color w:val="000000"/>
                <w:sz w:val="24"/>
                <w:lang w:val="en-US" w:eastAsia="zh-CN"/>
              </w:rPr>
              <w:t>三老干部生活补助支出</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拨付三老干部生活补助</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3.36万元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3.36万元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w:t>
            </w:r>
            <w:r>
              <w:rPr>
                <w:rFonts w:ascii="宋体" w:cs="宋体" w:hint="eastAsia"/>
                <w:color w:val="000000"/>
                <w:sz w:val="24"/>
              </w:rPr>
              <w:t>中资金拨付到位及时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w:t>
            </w:r>
            <w:r>
              <w:rPr>
                <w:rFonts w:ascii="宋体" w:cs="宋体" w:hint="eastAsia"/>
                <w:color w:val="000000"/>
                <w:sz w:val="24"/>
              </w:rPr>
              <w:t>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numPr>
          <w:ilvl w:val="0"/>
          <w:numId w:val="6"/>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hint="eastAsia"/>
          <w:color w:val="000000"/>
          <w:sz w:val="32"/>
          <w:szCs w:val="32"/>
        </w:rPr>
        <w:t>解决幸福美丽家园建设及咯尔乡历年工程欠款缺口资金</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37.42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37.42</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rPr>
              <w:t>解决幸福美丽家园建设及咯尔乡历年工程欠款缺口资金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37.42</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37.42</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37.42</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37.42</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ascii="宋体" w:cs="宋体" w:hint="eastAsia"/>
                <w:color w:val="000000"/>
                <w:sz w:val="24"/>
                <w:lang w:val="en-US" w:eastAsia="zh-CN"/>
              </w:rPr>
              <w:t>完成老放映员生活补助发放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完成老放映员生活补助发放</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王从富工程欠款37.42万元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王从富工程欠款37.42万元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王从富工程欠款37.42万元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发放率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追加资金</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37.42万元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37.42万元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rPr>
              <w:t>满意</w:t>
            </w:r>
            <w:r>
              <w:rPr>
                <w:rFonts w:ascii="宋体" w:cs="宋体" w:hint="eastAsia"/>
                <w:color w:val="000000"/>
                <w:sz w:val="24"/>
                <w:lang w:val="en-US" w:eastAsia="zh-CN"/>
              </w:rPr>
              <w:t>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numPr>
          <w:ilvl w:val="0"/>
          <w:numId w:val="7"/>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hint="eastAsia"/>
          <w:color w:val="000000"/>
          <w:sz w:val="32"/>
          <w:szCs w:val="32"/>
        </w:rPr>
        <w:t>2022年新冠防疫经费（各乡镇）</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rPr>
              <w:t>2022年新冠防疫经费（各乡镇）</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cs="宋体"/>
                <w:color w:val="000000"/>
                <w:sz w:val="24"/>
              </w:rPr>
            </w:pPr>
            <w:r>
              <w:rPr>
                <w:rFonts w:ascii="宋体" w:cs="宋体" w:hint="eastAsia"/>
                <w:color w:val="000000"/>
                <w:sz w:val="24"/>
                <w:lang w:val="en-US" w:eastAsia="zh-CN"/>
              </w:rPr>
              <w:t>疫情防控</w:t>
            </w:r>
            <w:r>
              <w:rPr>
                <w:rFonts w:ascii="宋体" w:cs="宋体" w:hint="eastAsia"/>
                <w:color w:val="000000"/>
                <w:sz w:val="24"/>
              </w:rPr>
              <w:t>。</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疫情防控</w:t>
            </w:r>
            <w:r>
              <w:rPr>
                <w:rFonts w:ascii="宋体" w:cs="宋体" w:hint="eastAsia"/>
                <w:color w:val="000000"/>
                <w:sz w:val="24"/>
              </w:rPr>
              <w:t>。</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color w:val="000000"/>
                <w:sz w:val="24"/>
                <w:lang w:val="en-US" w:eastAsia="zh-CN"/>
              </w:rPr>
              <w:t>购买口罩等</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5000个</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rPr>
              <w:t>完成我乡</w:t>
            </w:r>
            <w:r>
              <w:rPr>
                <w:rFonts w:ascii="宋体" w:cs="宋体" w:hint="eastAsia"/>
                <w:color w:val="000000"/>
                <w:sz w:val="24"/>
                <w:lang w:val="en-US" w:eastAsia="zh-CN"/>
              </w:rPr>
              <w:t>疫情防控经费</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cs="宋体"/>
                <w:color w:val="000000"/>
                <w:sz w:val="24"/>
              </w:rPr>
            </w:pPr>
            <w:r>
              <w:rPr>
                <w:rFonts w:ascii="宋体" w:cs="宋体" w:hint="eastAsia"/>
                <w:color w:val="000000"/>
                <w:sz w:val="24"/>
              </w:rPr>
              <w:t xml:space="preserve">              </w:t>
            </w:r>
            <w:r>
              <w:rPr>
                <w:rFonts w:ascii="宋体" w:cs="宋体" w:hint="eastAsia"/>
                <w:color w:val="000000"/>
                <w:sz w:val="24"/>
                <w:lang w:val="en-US" w:eastAsia="zh-CN"/>
              </w:rPr>
              <w:t>疫情防控</w:t>
            </w:r>
            <w:r>
              <w:rPr>
                <w:rFonts w:ascii="宋体" w:cs="宋体" w:hint="eastAsia"/>
                <w:color w:val="000000"/>
                <w:sz w:val="24"/>
              </w:rPr>
              <w:t>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疫情防控</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疫情防控</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定时</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val="en-US" w:eastAsia="zh-CN"/>
              </w:rPr>
              <w:t>定时</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4 .“</w:t>
      </w:r>
      <w:r>
        <w:rPr>
          <w:rFonts w:ascii="仿宋_GB2312" w:eastAsia="仿宋_GB2312" w:hint="eastAsia"/>
          <w:color w:val="000000"/>
          <w:sz w:val="32"/>
          <w:szCs w:val="32"/>
          <w:lang w:val="en-US" w:eastAsia="zh-CN"/>
        </w:rPr>
        <w:t>金川县咯尔乡安全饮水维修项目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11.2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11.2</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金川县咯尔乡安全饮水维修项目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11.2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11.2万元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11.2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11.2</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安全饮水安装水管等</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安全饮水安装水管等</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安全饮水安装水管等</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color w:val="000000"/>
                <w:sz w:val="24"/>
                <w:lang w:val="en-US" w:eastAsia="zh-CN"/>
              </w:rPr>
              <w:t>安全饮水安装水管等</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安全饮水安装水管等</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 xml:space="preserve"> .“</w:t>
      </w:r>
      <w:r>
        <w:rPr>
          <w:rFonts w:ascii="仿宋_GB2312" w:eastAsia="仿宋_GB2312" w:hint="eastAsia"/>
          <w:color w:val="000000"/>
          <w:sz w:val="32"/>
          <w:szCs w:val="32"/>
          <w:lang w:val="en-US" w:eastAsia="zh-CN"/>
        </w:rPr>
        <w:t>金川县咯尔乡复兴村邓家沟拦沙坝建设项目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325</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221.07</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68.02%</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hint="eastAsia"/>
                <w:color w:val="000000"/>
                <w:sz w:val="32"/>
                <w:szCs w:val="32"/>
                <w:lang w:val="en-US" w:eastAsia="zh-CN"/>
              </w:rPr>
              <w:t>金川县咯尔乡复兴村邓家沟拦沙坝建设项目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325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221.07万元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325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221.07</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完成该项目建设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完成该项目建设</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拦沙坝基础挖平深3.5米，顶宽3米，长38米；新修拦沙坝出水口35米，采用吨石填堵基础，再浇灌混凝土，基础挖方等</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拦沙坝基础挖平深3.5米，顶宽3米，长38米；新修拦沙坝出水口35米，采用吨石填堵基础，再浇灌混凝土，基础挖方等</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拦沙坝基础挖平深3.5米，顶宽3米，长38米；新修拦沙坝出水口35米，采用吨石填堵基础，再浇灌混凝土，基础挖方等</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 xml:space="preserve"> .“</w:t>
      </w:r>
      <w:r>
        <w:rPr>
          <w:rFonts w:ascii="仿宋_GB2312" w:eastAsia="仿宋_GB2312" w:hint="eastAsia"/>
          <w:color w:val="000000"/>
          <w:sz w:val="32"/>
          <w:szCs w:val="32"/>
          <w:lang w:val="en-US" w:eastAsia="zh-CN"/>
        </w:rPr>
        <w:t>金川县咯尔乡复兴村精品旅游综合提升项目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276</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191.17</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69.26%</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hint="eastAsia"/>
                <w:color w:val="000000"/>
                <w:sz w:val="32"/>
                <w:szCs w:val="32"/>
                <w:lang w:val="en-US" w:eastAsia="zh-CN"/>
              </w:rPr>
              <w:t>金川县咯尔乡复兴村精品旅游综合提升项目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276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191.17万元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276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191.17</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根据金受援办【2022】1号文件金川县对口支援工作领导小组办公室关于印发《金川县2022年对口支援第一批项目实施计划表的通知》在我乡建设金川县咯尔乡复兴村精品旅游综合提升项目：</w:t>
            </w:r>
          </w:p>
          <w:p>
            <w:pPr>
              <w:widowControl/>
              <w:jc w:val="left"/>
              <w:textAlignment w:val="center"/>
              <w:rPr>
                <w:rFonts w:ascii="宋体" w:cs="宋体" w:hint="eastAsia"/>
                <w:color w:val="000000"/>
                <w:sz w:val="24"/>
                <w:lang w:val="en-US" w:eastAsia="zh-CN"/>
              </w:rPr>
            </w:pPr>
            <w:r>
              <w:rPr>
                <w:rFonts w:ascii="宋体" w:cs="宋体" w:hint="eastAsia"/>
                <w:color w:val="000000"/>
                <w:sz w:val="24"/>
                <w:lang w:val="en-US" w:eastAsia="zh-CN"/>
              </w:rPr>
              <w:t>１、通过ＬＥＤ灯具对道路、山体、建筑、果树进行夜景景观亮化，面积约为３０亩。</w:t>
            </w:r>
          </w:p>
          <w:p>
            <w:pPr>
              <w:widowControl/>
              <w:jc w:val="left"/>
              <w:textAlignment w:val="center"/>
              <w:rPr>
                <w:rFonts w:ascii="宋体" w:cs="宋体" w:hint="eastAsia"/>
                <w:color w:val="000000"/>
                <w:sz w:val="24"/>
                <w:lang w:val="en-US" w:eastAsia="zh-CN"/>
              </w:rPr>
            </w:pPr>
            <w:r>
              <w:rPr>
                <w:rFonts w:ascii="宋体" w:cs="宋体" w:hint="eastAsia"/>
                <w:color w:val="000000"/>
                <w:sz w:val="24"/>
                <w:lang w:val="en-US" w:eastAsia="zh-CN"/>
              </w:rPr>
              <w:t>２、农业采摘园、亲自种植园、休闲观光园新建。</w:t>
            </w:r>
          </w:p>
          <w:p>
            <w:pPr>
              <w:widowControl/>
              <w:jc w:val="left"/>
              <w:textAlignment w:val="center"/>
              <w:rPr>
                <w:rFonts w:ascii="宋体" w:cs="宋体" w:hint="eastAsia"/>
                <w:color w:val="000000"/>
                <w:sz w:val="24"/>
                <w:lang w:val="en-US" w:eastAsia="zh-CN"/>
              </w:rPr>
            </w:pPr>
            <w:r>
              <w:rPr>
                <w:rFonts w:ascii="宋体" w:cs="宋体" w:hint="eastAsia"/>
                <w:color w:val="000000"/>
                <w:sz w:val="24"/>
                <w:lang w:val="en-US" w:eastAsia="zh-CN"/>
              </w:rPr>
              <w:t>３、新建彩色透水游步道２０００米</w:t>
            </w:r>
          </w:p>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４、新建露营地２００平方米及附属配套设施工程</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根据金受援办【2022】1号文件金川县对口支援工作领导小组办公室关于印发《金川县2022年对口支援第一批项目实施计划表的通知》在我乡建设金川县咯尔乡复兴村精品旅游综合提升项目：</w:t>
            </w:r>
          </w:p>
          <w:p>
            <w:pPr>
              <w:widowControl/>
              <w:textAlignment w:val="center"/>
              <w:rPr>
                <w:rFonts w:ascii="宋体" w:cs="宋体" w:hint="eastAsia"/>
                <w:color w:val="000000"/>
                <w:sz w:val="24"/>
                <w:lang w:val="en-US" w:eastAsia="zh-CN"/>
              </w:rPr>
            </w:pPr>
            <w:r>
              <w:rPr>
                <w:rFonts w:ascii="宋体" w:cs="宋体" w:hint="eastAsia"/>
                <w:color w:val="000000"/>
                <w:sz w:val="24"/>
                <w:lang w:val="en-US" w:eastAsia="zh-CN"/>
              </w:rPr>
              <w:t>１、通过ＬＥＤ灯具对道路、山体、建筑、果树进行夜景景观亮化，面积约为３０亩。</w:t>
            </w:r>
          </w:p>
          <w:p>
            <w:pPr>
              <w:widowControl/>
              <w:textAlignment w:val="center"/>
              <w:rPr>
                <w:rFonts w:ascii="宋体" w:cs="宋体" w:hint="eastAsia"/>
                <w:color w:val="000000"/>
                <w:sz w:val="24"/>
                <w:lang w:val="en-US" w:eastAsia="zh-CN"/>
              </w:rPr>
            </w:pPr>
            <w:r>
              <w:rPr>
                <w:rFonts w:ascii="宋体" w:cs="宋体" w:hint="eastAsia"/>
                <w:color w:val="000000"/>
                <w:sz w:val="24"/>
                <w:lang w:val="en-US" w:eastAsia="zh-CN"/>
              </w:rPr>
              <w:t>２、农业采摘园、亲自种植园、休闲观光园新建。</w:t>
            </w:r>
          </w:p>
          <w:p>
            <w:pPr>
              <w:widowControl/>
              <w:textAlignment w:val="center"/>
              <w:rPr>
                <w:rFonts w:ascii="宋体" w:cs="宋体" w:hint="eastAsia"/>
                <w:color w:val="000000"/>
                <w:sz w:val="24"/>
                <w:lang w:val="en-US" w:eastAsia="zh-CN"/>
              </w:rPr>
            </w:pPr>
            <w:r>
              <w:rPr>
                <w:rFonts w:ascii="宋体" w:cs="宋体" w:hint="eastAsia"/>
                <w:color w:val="000000"/>
                <w:sz w:val="24"/>
                <w:lang w:val="en-US" w:eastAsia="zh-CN"/>
              </w:rPr>
              <w:t>３、新建彩色透水游步道２０００米</w:t>
            </w:r>
          </w:p>
          <w:p>
            <w:pPr>
              <w:widowControl/>
              <w:textAlignment w:val="center"/>
              <w:rPr>
                <w:rFonts w:ascii="宋体" w:cs="宋体"/>
                <w:color w:val="000000"/>
                <w:sz w:val="24"/>
              </w:rPr>
            </w:pPr>
            <w:r>
              <w:rPr>
                <w:rFonts w:ascii="宋体" w:cs="宋体" w:hint="eastAsia"/>
                <w:color w:val="000000"/>
                <w:sz w:val="24"/>
                <w:lang w:val="en-US" w:eastAsia="zh-CN"/>
              </w:rPr>
              <w:t>４、新建露营地２００平方米及附属配套设施工程</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根据金受援办【2022】1号文件金川县对口支援工作领导小组办公室关于印发《金川县2022年对口支援第一批项目实施计划表的通知》在我乡建设金川县咯尔乡复兴村精品旅游综合提升项目：</w:t>
            </w:r>
          </w:p>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１、通过ＬＥＤ灯具对道路、山体、建筑、果树进行夜景景观亮化，面积约为３０亩。</w:t>
            </w:r>
          </w:p>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２、农业采摘园、亲自种植园、休闲观光园新建。</w:t>
            </w:r>
          </w:p>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３、新建彩色透水游步道２０００米</w:t>
            </w:r>
          </w:p>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４、新建露营地２００平方米及附属配套设施工程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hint="eastAsia"/>
                <w:color w:val="000000"/>
                <w:sz w:val="24"/>
              </w:rPr>
            </w:pPr>
            <w:r>
              <w:rPr>
                <w:rFonts w:ascii="宋体" w:cs="宋体" w:hint="eastAsia"/>
                <w:color w:val="000000"/>
                <w:sz w:val="24"/>
              </w:rPr>
              <w:t>根据金受援办【2022】1号文件金川县对口支援工作领导小组办公室关于印发《金川县2022年对口支援第一批项目实施计划表的通知》在我乡建设金川县咯尔乡复兴村精品旅游综合提升项目：</w:t>
            </w:r>
          </w:p>
          <w:p>
            <w:pPr>
              <w:rPr>
                <w:rFonts w:ascii="宋体" w:cs="宋体" w:hint="eastAsia"/>
                <w:color w:val="000000"/>
                <w:sz w:val="24"/>
              </w:rPr>
            </w:pPr>
            <w:r>
              <w:rPr>
                <w:rFonts w:ascii="宋体" w:cs="宋体" w:hint="eastAsia"/>
                <w:color w:val="000000"/>
                <w:sz w:val="24"/>
              </w:rPr>
              <w:t>１、通过ＬＥＤ灯具对道路、山体、建筑、果树进行夜景景观亮化，面积约为３０亩。</w:t>
            </w:r>
          </w:p>
          <w:p>
            <w:pPr>
              <w:rPr>
                <w:rFonts w:ascii="宋体" w:cs="宋体" w:hint="eastAsia"/>
                <w:color w:val="000000"/>
                <w:sz w:val="24"/>
              </w:rPr>
            </w:pPr>
            <w:r>
              <w:rPr>
                <w:rFonts w:ascii="宋体" w:cs="宋体" w:hint="eastAsia"/>
                <w:color w:val="000000"/>
                <w:sz w:val="24"/>
              </w:rPr>
              <w:t>２、农业采摘园、亲自种植园、休闲观光园新建。</w:t>
            </w:r>
          </w:p>
          <w:p>
            <w:pPr>
              <w:rPr>
                <w:rFonts w:ascii="宋体" w:cs="宋体" w:hint="eastAsia"/>
                <w:color w:val="000000"/>
                <w:sz w:val="24"/>
              </w:rPr>
            </w:pPr>
            <w:r>
              <w:rPr>
                <w:rFonts w:ascii="宋体" w:cs="宋体" w:hint="eastAsia"/>
                <w:color w:val="000000"/>
                <w:sz w:val="24"/>
              </w:rPr>
              <w:t>３、新建彩色透水游步道２０００米</w:t>
            </w:r>
          </w:p>
          <w:p>
            <w:pPr>
              <w:rPr>
                <w:rFonts w:ascii="宋体" w:cs="宋体"/>
                <w:sz w:val="24"/>
                <w:lang w:val="en-US"/>
              </w:rPr>
            </w:pPr>
            <w:r>
              <w:rPr>
                <w:rFonts w:ascii="宋体" w:cs="宋体" w:hint="eastAsia"/>
                <w:color w:val="000000"/>
                <w:sz w:val="24"/>
              </w:rPr>
              <w:t>４、新建露营地２００平方米及附属配套设施工程</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根据金受援办【2022】1号文件金川县对口支援工作领导小组办公室关于印发《金川县2022年对口支援第一批项目实施计划表的通知》在我乡建设金川县咯尔乡复兴村精品旅游综合提升项目：</w:t>
            </w:r>
          </w:p>
          <w:p>
            <w:pPr>
              <w:rPr>
                <w:rFonts w:ascii="宋体" w:cs="宋体" w:hint="eastAsia"/>
                <w:color w:val="000000"/>
                <w:sz w:val="24"/>
                <w:lang w:val="en-US" w:eastAsia="zh-CN"/>
              </w:rPr>
            </w:pPr>
            <w:r>
              <w:rPr>
                <w:rFonts w:ascii="宋体" w:cs="宋体" w:hint="eastAsia"/>
                <w:color w:val="000000"/>
                <w:sz w:val="24"/>
                <w:lang w:val="en-US" w:eastAsia="zh-CN"/>
              </w:rPr>
              <w:t>１、通过ＬＥＤ灯具对道路、山体、建筑、果树进行夜景景观亮化，面积约为３０亩。</w:t>
            </w:r>
          </w:p>
          <w:p>
            <w:pPr>
              <w:rPr>
                <w:rFonts w:ascii="宋体" w:cs="宋体" w:hint="eastAsia"/>
                <w:color w:val="000000"/>
                <w:sz w:val="24"/>
                <w:lang w:val="en-US" w:eastAsia="zh-CN"/>
              </w:rPr>
            </w:pPr>
            <w:r>
              <w:rPr>
                <w:rFonts w:ascii="宋体" w:cs="宋体" w:hint="eastAsia"/>
                <w:color w:val="000000"/>
                <w:sz w:val="24"/>
                <w:lang w:val="en-US" w:eastAsia="zh-CN"/>
              </w:rPr>
              <w:t>２、农业采摘园、亲自种植园、休闲观光园新建。</w:t>
            </w:r>
          </w:p>
          <w:p>
            <w:pPr>
              <w:rPr>
                <w:rFonts w:ascii="宋体" w:cs="宋体" w:hint="eastAsia"/>
                <w:color w:val="000000"/>
                <w:sz w:val="24"/>
                <w:lang w:val="en-US" w:eastAsia="zh-CN"/>
              </w:rPr>
            </w:pPr>
            <w:r>
              <w:rPr>
                <w:rFonts w:ascii="宋体" w:cs="宋体" w:hint="eastAsia"/>
                <w:color w:val="000000"/>
                <w:sz w:val="24"/>
                <w:lang w:val="en-US" w:eastAsia="zh-CN"/>
              </w:rPr>
              <w:t>３、新建彩色透水游步道２０００米</w:t>
            </w:r>
          </w:p>
          <w:p>
            <w:pPr>
              <w:rPr>
                <w:rFonts w:ascii="宋体" w:cs="宋体"/>
                <w:sz w:val="24"/>
              </w:rPr>
            </w:pPr>
            <w:r>
              <w:rPr>
                <w:rFonts w:ascii="宋体" w:cs="宋体" w:hint="eastAsia"/>
                <w:color w:val="000000"/>
                <w:sz w:val="24"/>
                <w:lang w:val="en-US" w:eastAsia="zh-CN"/>
              </w:rPr>
              <w:t>４、新建露营地２００平方米及附属配套设施工程</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村级运维费及村干部工资、意外保险</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148.28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148.28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村级运维费及村干部工资、意外保险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148.28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148.28万元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148.28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148.28</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完成村干部工资保险发放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完成村干部工资保险发放</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受益39名村干部</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受益39名村干部</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受益39名村干部</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村干部</w:t>
            </w:r>
            <w:r>
              <w:rPr>
                <w:rFonts w:ascii="宋体" w:cs="宋体" w:hint="eastAsia"/>
                <w:color w:val="000000"/>
                <w:sz w:val="24"/>
              </w:rPr>
              <w:t>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金川县咯尔乡人居环境提升项目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28.98</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99.93%</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二道路沿线厕所建设项目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28.98万元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28.98</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根据金受援办【2022】1号文件金川县对口支援工作领导小组办公室关于印发《金川县2022年对口支援第一批项目实施计划表的通知》在我乡建设项目金江村至德胜村沿线人居环境提升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根据金受援办【2022】1号文件金川县对口支援工作领导小组办公室关于印发《金川县2022年对口支援第一批项目实施计划表的通知》在我乡建设项目金江村至德胜村沿线人居环境提升</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覆盖3个村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覆盖3个村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覆盖3个村</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15"/>
      </w:pP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金川县咯尔乡日本冈山砂梨引种示范园</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99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96.09</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97.06%</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金川县咯尔乡日本冈山砂梨引种示范园</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97.06万元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97.06</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根据金受援办【2022】1号文件金川县对口支援工作领导小组办公室关于印发《金川县2022年对口支援第一批项目实施计划表的通知》在我乡建设项目金川县咯尔乡日本冈山砂梨引种示范园４０亩。</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lang w:val="en-US"/>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根据金受援办【2022】1号文件金川县对口支援工作领导小组办公室关于印发《金川县2022年对口支援第一批项目实施计划表的通知》在我乡建设项目金川县咯尔乡日本冈山砂梨引种示范园４０亩。</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根据金受援办【2022】1号文件金川县对口支援工作领导小组办公室关于印发《金川县2022年对口支援第一批项目实施计划表的通知》在我乡建设项目金川县咯尔乡日本冈山砂梨引种示范园４０亩。</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根据金受援办【2022】1号文件金川县对口支援工作领导小组办公室关于印发《金川县2022年对口支援第一批项目实施计划表的通知》在我乡建设项目金川县咯尔乡日本冈山砂梨引种示范园４０亩。</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根据金受援办【2022】1号文件金川县对口支援工作领导小组办公室关于印发《金川县2022年对口支援第一批项目实施计划表的通知》在我乡建设项目金川县咯尔乡日本冈山砂梨引种示范园４０亩。</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10</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金川县金江村观景平台及附属工程项目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206</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206</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金川县金江村观景平台及附属工程项目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206万元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206</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新建观景平台１座，新建同组路长１.１６千米，宽４－４,５米；游客集散中心２００平方；维修产业便道１００米，新建堡坎３００立方米等。</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lang w:val="en-US"/>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新建观景平台１座，新建同组路长１.１６千米，宽４－４,５米；游客集散中心２００平方；维修产业便道１００米，新建堡坎３００立方米等。</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新建观景平台１座，新建同组路长１.１６千米，宽４－４,５米；游客集散中心２００平方；维修产业便道１００米，新建堡坎３００立方米等。</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新建观景平台１座，新建同组路长１.１６千米，宽４－４,５米；游客集散中心２００平方；维修产业便道１００米，新建堡坎３００立方米等。</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新建观景平台１座，新建同组路长１.１６千米，宽４－４,５米；游客集散中心２００平方；维修产业便道１００米，新建堡坎３００立方米等。</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金川县咯尔乡复兴村花果山民宿及附属工程建设项目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390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390</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金川县咯尔乡复兴村花果山民宿及附属工程建设项目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咯尔</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390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390万元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390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390</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根据金受援办【2022】1号文件金川县对口支援工作领导小组办公室关于印发《金川县2022年对口支援第一批项目实施计划表的通知》在我乡建设项目花果山民宿2幢，设备采购及附属设施等</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lang w:val="en-US"/>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根据金受援办【2022】1号文件金川县对口支援工作领导小组办公室关于印发《金川县2022年对口支援第一批项目实施计划表的通知》在我乡建设项目花果山民宿2幢，设备采购及附属设施等</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花果山民宿2幢，设备采购及附属设施等据金受援办【2022】1号文件金川县对口支援工作领导小组办公室关于印发《金川县2022年对口支援第一批项目实施计划表的通知》在我乡建设项目金川县咯尔乡日本冈山砂梨引种示范园４０亩。</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根据金受援办【2022】1号文件金川县对口支援工作领导小组办公室关于印发《金川县2022年对口支援第一批项目实施计划表的通知》在我乡建设项目花果山民宿2幢，设备采购及附属设施等</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根据金受援办【2022】1号文件金川县对口支援工作领导小组办公室关于印发《金川县2022年对口支援第一批项目实施计划表的通知》在我乡建设项目花果山民宿2幢，设备采购及附属设施等</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15"/>
        <w:ind w:leftChars="0" w:left="0" w:firstLineChars="0" w:firstLine="0"/>
      </w:pPr>
    </w:p>
    <w:p>
      <w:pPr>
        <w:spacing w:line="600" w:lineRule="exact"/>
        <w:ind w:firstLineChars="200" w:firstLine="640"/>
        <w:outlineLvl w:val="1"/>
        <w:rPr>
          <w:rStyle w:val="2Char"/>
          <w:rFonts w:ascii="黑体" w:eastAsia="黑体"/>
        </w:rPr>
      </w:pPr>
      <w:bookmarkStart w:id="55" w:name="_Toc30171"/>
      <w:bookmarkStart w:id="56"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5"/>
      <w:bookmarkEnd w:id="56"/>
    </w:p>
    <w:p>
      <w:pPr>
        <w:spacing w:line="600" w:lineRule="exact"/>
        <w:ind w:firstLineChars="200" w:firstLine="640"/>
        <w:outlineLvl w:val="2"/>
        <w:rPr>
          <w:rFonts w:ascii="仿宋" w:eastAsia="仿宋"/>
          <w:color w:val="000000"/>
          <w:sz w:val="32"/>
          <w:szCs w:val="32"/>
        </w:rPr>
      </w:pPr>
      <w:bookmarkStart w:id="57" w:name="_Toc15377222"/>
      <w:r>
        <w:rPr>
          <w:rFonts w:ascii="仿宋" w:eastAsia="仿宋" w:hint="eastAsia"/>
          <w:b/>
          <w:color w:val="000000"/>
          <w:sz w:val="32"/>
          <w:szCs w:val="32"/>
        </w:rPr>
        <w:t>（一）机关运行经费支出情况</w:t>
      </w:r>
      <w:bookmarkEnd w:id="57"/>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咯尔</w:t>
      </w:r>
      <w:r>
        <w:rPr>
          <w:rFonts w:ascii="仿宋_GB2312" w:eastAsia="仿宋_GB2312" w:hint="eastAsia"/>
          <w:color w:val="000000"/>
          <w:sz w:val="32"/>
          <w:szCs w:val="32"/>
        </w:rPr>
        <w:t>乡人民政府运行经费支出</w:t>
      </w:r>
      <w:r>
        <w:rPr>
          <w:rFonts w:ascii="仿宋_GB2312" w:eastAsia="仿宋_GB2312"/>
          <w:color w:val="000000"/>
          <w:sz w:val="32"/>
          <w:szCs w:val="32"/>
        </w:rPr>
        <w:t>29.73</w:t>
      </w:r>
      <w:r>
        <w:rPr>
          <w:rFonts w:ascii="仿宋_GB2312" w:eastAsia="仿宋_GB2312" w:hint="eastAsia"/>
          <w:color w:val="000000"/>
          <w:sz w:val="32"/>
          <w:szCs w:val="32"/>
        </w:rPr>
        <w:t>万元</w:t>
      </w:r>
      <w:r>
        <w:rPr>
          <w:rFonts w:ascii="仿宋_GB2312" w:eastAsia="仿宋_GB2312" w:hint="eastAsia"/>
          <w:sz w:val="32"/>
          <w:szCs w:val="32"/>
        </w:rPr>
        <w:t>。比2021年增加</w:t>
      </w:r>
      <w:r>
        <w:rPr>
          <w:rFonts w:ascii="仿宋_GB2312" w:eastAsia="仿宋_GB2312"/>
          <w:sz w:val="32"/>
          <w:szCs w:val="32"/>
        </w:rPr>
        <w:t>29.73</w:t>
      </w:r>
      <w:r>
        <w:rPr>
          <w:rFonts w:ascii="仿宋_GB2312" w:eastAsia="仿宋_GB2312" w:hint="eastAsia"/>
          <w:sz w:val="32"/>
          <w:szCs w:val="32"/>
        </w:rPr>
        <w:t>万元，增长</w:t>
      </w:r>
      <w:r>
        <w:rPr>
          <w:rFonts w:ascii="仿宋_GB2312" w:eastAsia="仿宋_GB2312"/>
          <w:sz w:val="32"/>
          <w:szCs w:val="32"/>
        </w:rPr>
        <w:t>100</w:t>
      </w:r>
      <w:r>
        <w:rPr>
          <w:rFonts w:ascii="仿宋_GB2312" w:eastAsia="仿宋_GB2312" w:hint="eastAsia"/>
          <w:sz w:val="32"/>
          <w:szCs w:val="32"/>
        </w:rPr>
        <w:t>%</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bookmarkStart w:id="58" w:name="_GoBack"/>
      <w:bookmarkEnd w:id="58"/>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9" w:name="_Toc15377224"/>
      <w:r>
        <w:rPr>
          <w:rFonts w:ascii="仿宋" w:eastAsia="仿宋" w:hint="eastAsia"/>
          <w:b/>
          <w:color w:val="000000"/>
          <w:sz w:val="32"/>
          <w:szCs w:val="32"/>
        </w:rPr>
        <w:t>（二）国有资产占有使用情况</w:t>
      </w:r>
      <w:bookmarkEnd w:id="59"/>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辆，为日常工作</w:t>
      </w:r>
      <w:r>
        <w:rPr>
          <w:rFonts w:ascii="仿宋_GB2312" w:eastAsia="仿宋_GB2312" w:hint="eastAsia"/>
          <w:color w:val="000000"/>
          <w:sz w:val="32"/>
          <w:szCs w:val="32"/>
          <w:lang w:val="en-US" w:eastAsia="zh-CN"/>
        </w:rPr>
        <w:t>其他</w:t>
      </w:r>
      <w:r>
        <w:rPr>
          <w:rFonts w:ascii="仿宋_GB2312" w:eastAsia="仿宋_GB2312" w:hint="eastAsia"/>
          <w:color w:val="000000"/>
          <w:sz w:val="32"/>
          <w:szCs w:val="32"/>
        </w:rPr>
        <w:t>用车。</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lang w:bidi="ar-SA"/>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8"/>
        </w:numPr>
        <w:spacing w:line="600" w:lineRule="exact"/>
        <w:ind w:left="0" w:firstLineChars="150" w:firstLine="660"/>
        <w:jc w:val="center"/>
        <w:outlineLvl w:val="0"/>
        <w:rPr>
          <w:rStyle w:val="1Char"/>
          <w:rFonts w:ascii="黑体" w:eastAsia="黑体"/>
          <w:b w:val="0"/>
        </w:rPr>
      </w:pPr>
      <w:bookmarkStart w:id="60" w:name="_Toc30760"/>
      <w:bookmarkStart w:id="61" w:name="_Toc15377225"/>
      <w:r>
        <w:rPr>
          <w:rFonts w:ascii="黑体" w:eastAsia="黑体" w:hint="eastAsia"/>
          <w:b/>
          <w:color w:val="000000"/>
          <w:sz w:val="44"/>
          <w:szCs w:val="44"/>
        </w:rPr>
        <w:t>名</w:t>
      </w:r>
      <w:r>
        <w:rPr>
          <w:rStyle w:val="1Char"/>
          <w:rFonts w:ascii="黑体" w:eastAsia="黑体" w:hint="eastAsia"/>
          <w:b w:val="0"/>
        </w:rPr>
        <w:t>词解释</w:t>
      </w:r>
      <w:bookmarkEnd w:id="60"/>
      <w:bookmarkEnd w:id="61"/>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2" w:name="_Toc15396614"/>
      <w:bookmarkStart w:id="63" w:name="_Toc15377226"/>
    </w:p>
    <w:p>
      <w:pPr>
        <w:spacing w:line="600" w:lineRule="exact"/>
        <w:jc w:val="center"/>
        <w:outlineLvl w:val="0"/>
        <w:rPr>
          <w:rFonts w:ascii="黑体" w:eastAsia="黑体" w:hint="eastAsia"/>
          <w:b/>
          <w:color w:val="000000"/>
          <w:sz w:val="44"/>
          <w:szCs w:val="44"/>
          <w:lang w:val="en-US" w:eastAsia="zh-CN"/>
        </w:rPr>
      </w:pPr>
    </w:p>
    <w:p>
      <w:pPr>
        <w:pStyle w:val="15"/>
        <w:rPr>
          <w:rFonts w:ascii="黑体" w:eastAsia="黑体" w:hint="eastAsia"/>
          <w:b/>
          <w:color w:val="000000"/>
          <w:sz w:val="44"/>
          <w:szCs w:val="44"/>
          <w:lang w:val="en-US" w:eastAsia="zh-CN"/>
        </w:rPr>
      </w:pPr>
    </w:p>
    <w:p>
      <w:pPr>
        <w:pStyle w:val="15"/>
        <w:ind w:leftChars="0" w:left="0" w:firstLineChars="0" w:firstLine="0"/>
      </w:pPr>
    </w:p>
    <w:p>
      <w:pPr>
        <w:rPr>
          <w:rFonts w:ascii="黑体" w:eastAsia="黑体"/>
          <w:b/>
          <w:color w:val="000000"/>
          <w:sz w:val="44"/>
          <w:szCs w:val="44"/>
          <w:lang w:val="en-US" w:eastAsia="zh-CN"/>
        </w:rPr>
      </w:pPr>
      <w:r>
        <w:rPr>
          <w:rFonts w:ascii="黑体" w:eastAsia="黑体" w:hint="eastAsia"/>
          <w:b/>
          <w:color w:val="000000"/>
          <w:sz w:val="44"/>
          <w:szCs w:val="44"/>
          <w:lang w:val="en-US" w:eastAsia="zh-CN"/>
        </w:rPr>
        <w:t>附件</w:t>
      </w:r>
    </w:p>
    <w:p>
      <w:pPr>
        <w:pStyle w:val="15"/>
        <w:jc w:val="center"/>
        <w:rPr>
          <w:rFonts w:ascii="黑体" w:eastAsia="黑体" w:hint="eastAsia"/>
          <w:b/>
          <w:color w:val="000000"/>
          <w:sz w:val="44"/>
          <w:szCs w:val="44"/>
          <w:lang w:val="en-US" w:eastAsia="zh-CN"/>
        </w:rPr>
      </w:pPr>
      <w:r>
        <w:rPr>
          <w:rFonts w:ascii="黑体" w:eastAsia="黑体" w:hint="eastAsia"/>
          <w:b/>
          <w:color w:val="000000"/>
          <w:sz w:val="44"/>
          <w:szCs w:val="44"/>
          <w:lang w:val="en-US" w:eastAsia="zh-CN"/>
        </w:rPr>
        <w:t>第四部分</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金川县</w:t>
      </w:r>
      <w:r>
        <w:rPr>
          <w:rFonts w:ascii="方正小标宋简体" w:eastAsia="方正小标宋简体" w:cs="方正小标宋简体" w:hint="eastAsia"/>
          <w:b/>
          <w:spacing w:val="34"/>
          <w:sz w:val="44"/>
          <w:szCs w:val="44"/>
          <w:shd w:val="clear" w:color="auto" w:fill="FFFFFF"/>
          <w:lang w:eastAsia="zh-CN"/>
        </w:rPr>
        <w:t>咯尔</w:t>
      </w:r>
      <w:r>
        <w:rPr>
          <w:rFonts w:ascii="方正小标宋简体" w:eastAsia="方正小标宋简体" w:cs="方正小标宋简体" w:hint="eastAsia"/>
          <w:b/>
          <w:spacing w:val="34"/>
          <w:sz w:val="44"/>
          <w:szCs w:val="44"/>
          <w:shd w:val="clear" w:color="auto" w:fill="FFFFFF"/>
        </w:rPr>
        <w:t>乡人民政府</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2022年部门整体支出绩效</w:t>
      </w:r>
    </w:p>
    <w:p>
      <w:pPr>
        <w:widowControl/>
        <w:spacing w:line="360" w:lineRule="auto"/>
        <w:contextualSpacing/>
        <w:jc w:val="center"/>
        <w:rPr>
          <w:rFonts w:hint="eastAsia"/>
          <w:sz w:val="13"/>
          <w:szCs w:val="10"/>
        </w:rPr>
      </w:pPr>
      <w:r>
        <w:rPr>
          <w:rFonts w:ascii="方正小标宋简体" w:eastAsia="方正小标宋简体" w:cs="方正小标宋简体" w:hint="eastAsia"/>
          <w:b/>
          <w:spacing w:val="34"/>
          <w:sz w:val="44"/>
          <w:szCs w:val="44"/>
          <w:shd w:val="clear" w:color="auto" w:fill="FFFFFF"/>
        </w:rPr>
        <w:t>评价报告</w:t>
      </w:r>
    </w:p>
    <w:p>
      <w:pPr>
        <w:widowControl/>
        <w:kinsoku w:val="0"/>
        <w:overflowPunct w:val="0"/>
        <w:autoSpaceDE w:val="0"/>
        <w:autoSpaceDN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w:t>
      </w:r>
      <w:r>
        <w:rPr>
          <w:rFonts w:ascii="仿宋" w:eastAsia="仿宋" w:hint="eastAsia"/>
          <w:color w:val="000000"/>
          <w:sz w:val="32"/>
          <w:szCs w:val="32"/>
          <w:lang w:eastAsia="zh-CN"/>
        </w:rPr>
        <w:t>2021</w:t>
      </w:r>
      <w:r>
        <w:rPr>
          <w:rFonts w:ascii="仿宋" w:eastAsia="仿宋" w:hint="eastAsia"/>
          <w:color w:val="000000"/>
          <w:sz w:val="32"/>
          <w:szCs w:val="32"/>
        </w:rPr>
        <w:t>〕10号），以下简称《办法》）、《财政厅关于开展2022年部门、政策和项目支出绩效评价工作的通知》（川财绩〔2022〕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乡高度重视，</w:t>
      </w:r>
      <w:r>
        <w:rPr>
          <w:rFonts w:ascii="仿宋" w:eastAsia="仿宋"/>
          <w:color w:val="000000"/>
          <w:sz w:val="32"/>
          <w:szCs w:val="32"/>
        </w:rPr>
        <w:t>赓</w:t>
      </w:r>
      <w:r>
        <w:rPr>
          <w:rFonts w:ascii="仿宋" w:eastAsia="仿宋" w:hint="eastAsia"/>
          <w:color w:val="000000"/>
          <w:sz w:val="32"/>
          <w:szCs w:val="32"/>
        </w:rPr>
        <w:t>即成立了绩效评价工作组负责开展</w:t>
      </w:r>
      <w:r>
        <w:rPr>
          <w:rFonts w:ascii="仿宋" w:eastAsia="仿宋" w:hint="eastAsia"/>
          <w:color w:val="000000"/>
          <w:sz w:val="32"/>
          <w:szCs w:val="32"/>
          <w:lang w:eastAsia="zh-CN"/>
        </w:rPr>
        <w:t>2022</w:t>
      </w:r>
      <w:r>
        <w:rPr>
          <w:rFonts w:ascii="仿宋" w:eastAsia="仿宋" w:hint="eastAsia"/>
          <w:color w:val="000000"/>
          <w:sz w:val="32"/>
          <w:szCs w:val="32"/>
        </w:rPr>
        <w:t>年财政支出绩效评价。</w:t>
      </w:r>
    </w:p>
    <w:p>
      <w:pPr>
        <w:rPr>
          <w:rFonts w:hint="eastAsia"/>
          <w:lang w:val="zh-CN"/>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48"/>
          <w:lang w:val="zh-CN"/>
        </w:rPr>
      </w:pPr>
      <w:bookmarkStart w:id="64" w:name="_Toc18089"/>
      <w:bookmarkStart w:id="65" w:name="_Toc20121"/>
      <w:bookmarkStart w:id="66" w:name="_Toc13478"/>
      <w:r>
        <w:rPr>
          <w:rFonts w:ascii="黑体" w:eastAsia="黑体" w:cs="黑体" w:hint="eastAsia"/>
          <w:b/>
          <w:bCs/>
          <w:color w:val="000000"/>
          <w:spacing w:val="34"/>
          <w:sz w:val="32"/>
          <w:szCs w:val="48"/>
          <w:lang w:val="zh-CN"/>
        </w:rPr>
        <w:t>一、部门（单位）概况</w:t>
      </w:r>
      <w:bookmarkEnd w:id="64"/>
      <w:bookmarkEnd w:id="65"/>
      <w:bookmarkEnd w:id="66"/>
    </w:p>
    <w:p>
      <w:pPr>
        <w:snapToGrid w:val="0"/>
        <w:spacing w:line="360" w:lineRule="auto"/>
        <w:ind w:firstLineChars="200" w:firstLine="640"/>
        <w:outlineLvl w:val="1"/>
        <w:rPr>
          <w:rFonts w:ascii="仿宋_GB2312" w:eastAsia="仿宋_GB2312" w:hint="eastAsia"/>
          <w:sz w:val="30"/>
          <w:szCs w:val="30"/>
        </w:rPr>
      </w:pPr>
      <w:bookmarkStart w:id="67" w:name="_Toc1399"/>
      <w:bookmarkStart w:id="68" w:name="_Toc30120"/>
      <w:r>
        <w:rPr>
          <w:rFonts w:ascii="楷体" w:eastAsia="楷体" w:cs="楷体" w:hint="eastAsia"/>
          <w:b/>
          <w:bCs/>
          <w:sz w:val="32"/>
          <w:szCs w:val="32"/>
        </w:rPr>
        <w:t>（一）机构和人员情况</w:t>
      </w:r>
      <w:bookmarkEnd w:id="67"/>
    </w:p>
    <w:p>
      <w:pPr>
        <w:snapToGrid w:val="0"/>
        <w:ind w:firstLineChars="200" w:firstLine="640"/>
        <w:rPr>
          <w:rFonts w:ascii="仿宋" w:eastAsia="仿宋" w:hint="eastAsia"/>
          <w:color w:val="000000"/>
          <w:sz w:val="32"/>
          <w:szCs w:val="32"/>
        </w:rPr>
      </w:pPr>
      <w:r>
        <w:rPr>
          <w:rFonts w:ascii="仿宋" w:eastAsia="仿宋" w:hint="eastAsia"/>
          <w:color w:val="000000"/>
          <w:sz w:val="32"/>
          <w:szCs w:val="32"/>
        </w:rPr>
        <w:t>1、机构情况：我乡</w:t>
      </w:r>
      <w:r>
        <w:rPr>
          <w:rFonts w:ascii="仿宋" w:eastAsia="仿宋" w:hint="eastAsia"/>
          <w:color w:val="000000"/>
          <w:sz w:val="32"/>
          <w:szCs w:val="32"/>
          <w:lang w:eastAsia="zh-CN"/>
        </w:rPr>
        <w:t>2022</w:t>
      </w:r>
      <w:r>
        <w:rPr>
          <w:rFonts w:ascii="仿宋" w:eastAsia="仿宋" w:hint="eastAsia"/>
          <w:color w:val="000000"/>
          <w:sz w:val="32"/>
          <w:szCs w:val="32"/>
        </w:rPr>
        <w:t>年有</w:t>
      </w:r>
      <w:r>
        <w:rPr>
          <w:rFonts w:ascii="仿宋" w:eastAsia="仿宋" w:hint="eastAsia"/>
          <w:color w:val="000000"/>
          <w:sz w:val="32"/>
          <w:szCs w:val="32"/>
          <w:lang w:val="en-US" w:eastAsia="zh-CN"/>
        </w:rPr>
        <w:t>4</w:t>
      </w:r>
      <w:r>
        <w:rPr>
          <w:rFonts w:ascii="仿宋" w:eastAsia="仿宋" w:hint="eastAsia"/>
          <w:color w:val="000000"/>
          <w:sz w:val="32"/>
          <w:szCs w:val="32"/>
        </w:rPr>
        <w:t>个机构，无增减变动。</w:t>
      </w:r>
    </w:p>
    <w:p>
      <w:pPr>
        <w:snapToGrid w:val="0"/>
        <w:spacing w:line="560" w:lineRule="exact"/>
        <w:ind w:firstLineChars="200" w:firstLine="640"/>
        <w:rPr>
          <w:rFonts w:ascii="仿宋_GB2312" w:eastAsia="仿宋_GB2312" w:cs="仿宋_GB2312"/>
          <w:bCs/>
          <w:sz w:val="32"/>
        </w:rPr>
      </w:pPr>
      <w:r>
        <w:rPr>
          <w:rFonts w:ascii="仿宋" w:eastAsia="仿宋" w:hint="eastAsia"/>
          <w:color w:val="000000"/>
          <w:sz w:val="32"/>
          <w:szCs w:val="32"/>
        </w:rPr>
        <w:t>2、人员情况：</w:t>
      </w:r>
      <w:r>
        <w:rPr>
          <w:rFonts w:ascii="仿宋_GB2312" w:eastAsia="仿宋_GB2312" w:cs="仿宋_GB2312" w:hint="eastAsia"/>
          <w:bCs/>
          <w:sz w:val="32"/>
        </w:rPr>
        <w:t>我乡本年度年末实有人数为</w:t>
      </w:r>
      <w:r>
        <w:rPr>
          <w:rFonts w:ascii="仿宋_GB2312" w:eastAsia="仿宋_GB2312" w:cs="仿宋_GB2312" w:hint="eastAsia"/>
          <w:bCs/>
          <w:sz w:val="32"/>
          <w:lang w:val="en-US" w:eastAsia="zh-CN"/>
        </w:rPr>
        <w:t>39</w:t>
      </w:r>
      <w:r>
        <w:rPr>
          <w:rFonts w:ascii="仿宋_GB2312" w:eastAsia="仿宋_GB2312" w:cs="仿宋_GB2312" w:hint="eastAsia"/>
          <w:bCs/>
          <w:sz w:val="32"/>
        </w:rPr>
        <w:t>人，比上年</w:t>
      </w:r>
      <w:r>
        <w:rPr>
          <w:rFonts w:ascii="仿宋_GB2312" w:eastAsia="仿宋_GB2312" w:cs="仿宋_GB2312" w:hint="eastAsia"/>
          <w:bCs/>
          <w:sz w:val="32"/>
          <w:lang w:val="en-US" w:eastAsia="zh-CN"/>
        </w:rPr>
        <w:t>人员减少2</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行政人员减少0人，有人员调进及调出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7</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22</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15</w:t>
      </w:r>
      <w:r>
        <w:rPr>
          <w:rFonts w:ascii="仿宋_GB2312" w:eastAsia="仿宋_GB2312" w:cs="仿宋_GB2312" w:hint="eastAsia"/>
          <w:bCs/>
          <w:sz w:val="32"/>
        </w:rPr>
        <w:t>人）。</w:t>
      </w:r>
    </w:p>
    <w:p>
      <w:pPr>
        <w:snapToGrid w:val="0"/>
        <w:spacing w:line="360" w:lineRule="auto"/>
        <w:rPr>
          <w:rFonts w:ascii="仿宋" w:eastAsia="仿宋" w:hint="eastAsia"/>
          <w:color w:val="000000"/>
          <w:sz w:val="32"/>
          <w:szCs w:val="32"/>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32"/>
          <w:lang w:val="zh-CN"/>
        </w:rPr>
      </w:pPr>
      <w:bookmarkStart w:id="69" w:name="_Toc3827"/>
      <w:bookmarkStart w:id="70" w:name="_Toc14408"/>
      <w:bookmarkStart w:id="71" w:name="_Toc13280"/>
      <w:bookmarkEnd w:id="68"/>
      <w:r>
        <w:rPr>
          <w:rFonts w:ascii="黑体" w:eastAsia="黑体" w:cs="黑体" w:hint="eastAsia"/>
          <w:b/>
          <w:bCs/>
          <w:color w:val="000000"/>
          <w:spacing w:val="34"/>
          <w:sz w:val="32"/>
          <w:szCs w:val="32"/>
          <w:lang w:val="zh-CN"/>
        </w:rPr>
        <w:t>二、部门财政资金收支情况</w:t>
      </w:r>
      <w:bookmarkEnd w:id="69"/>
      <w:bookmarkEnd w:id="70"/>
      <w:bookmarkEnd w:id="71"/>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72" w:name="_Toc912"/>
      <w:r>
        <w:rPr>
          <w:rFonts w:ascii="楷体" w:eastAsia="楷体" w:cs="楷体" w:hint="eastAsia"/>
          <w:b/>
          <w:bCs/>
          <w:color w:val="000000"/>
          <w:spacing w:val="34"/>
          <w:sz w:val="32"/>
          <w:szCs w:val="32"/>
          <w:lang w:val="zh-CN"/>
        </w:rPr>
        <w:t>（一）部门财政资金收入情况</w:t>
      </w:r>
      <w:bookmarkEnd w:id="72"/>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lang w:val="en-US" w:eastAsia="zh-CN"/>
        </w:rPr>
        <w:t>2192.95</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1172.28</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114.93</w:t>
      </w:r>
      <w:r>
        <w:rPr>
          <w:rFonts w:ascii="仿宋_GB2312" w:eastAsia="仿宋_GB2312" w:hint="eastAsia"/>
          <w:color w:val="000000"/>
          <w:spacing w:val="-2"/>
          <w:sz w:val="32"/>
          <w:szCs w:val="32"/>
        </w:rPr>
        <w:t>%。增加的主要原因是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项目增加</w:t>
      </w:r>
      <w:r>
        <w:rPr>
          <w:rFonts w:ascii="仿宋_GB2312" w:eastAsia="仿宋_GB2312" w:hint="eastAsia"/>
          <w:color w:val="000000"/>
          <w:spacing w:val="-2"/>
          <w:sz w:val="32"/>
          <w:szCs w:val="32"/>
        </w:rPr>
        <w:t>。</w:t>
      </w:r>
    </w:p>
    <w:p>
      <w:pPr>
        <w:spacing w:line="600" w:lineRule="exact"/>
        <w:ind w:firstLine="645"/>
        <w:rPr>
          <w:rFonts w:ascii="仿宋_GB2312" w:eastAsia="仿宋_GB2312" w:hint="eastAsia"/>
          <w:spacing w:val="-2"/>
          <w:sz w:val="32"/>
          <w:szCs w:val="32"/>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2192.95</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增加1167.79</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增加113.84</w:t>
      </w:r>
      <w:r>
        <w:rPr>
          <w:rFonts w:ascii="仿宋_GB2312" w:eastAsia="仿宋_GB2312" w:hint="eastAsia"/>
          <w:spacing w:val="-2"/>
          <w:sz w:val="32"/>
          <w:szCs w:val="32"/>
        </w:rPr>
        <w:t>%。主要原因是当年部门预算安排项目经费较上年有所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645"/>
        <w:rPr>
          <w:rFonts w:ascii="仿宋_GB2312" w:cs="宋体" w:hAnsi="仿宋_GB2312" w:hint="eastAsia"/>
          <w:color w:val="000000"/>
          <w:spacing w:val="34"/>
          <w:sz w:val="32"/>
          <w:szCs w:val="32"/>
          <w:lang w:val="zh-CN"/>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r>
    </w:p>
    <w:p>
      <w:pPr>
        <w:spacing w:line="600" w:lineRule="exact"/>
        <w:ind w:firstLine="645"/>
        <w:rPr>
          <w:rFonts w:ascii="仿宋" w:eastAsia="仿宋"/>
          <w:color w:val="000000"/>
          <w:sz w:val="32"/>
          <w:szCs w:val="32"/>
        </w:rPr>
      </w:pPr>
      <w:r>
        <w:rPr>
          <w:rFonts w:ascii="仿宋_GB2312" w:cs="宋体" w:hAnsi="仿宋_GB2312" w:hint="eastAsia"/>
          <w:color w:val="000000"/>
          <w:spacing w:val="34"/>
          <w:szCs w:val="32"/>
          <w:lang w:val="zh-CN"/>
        </w:rPr>
        <w:t>　</w:t>
      </w:r>
      <w:bookmarkStart w:id="73" w:name="_Toc18927"/>
      <w:bookmarkStart w:id="74" w:name="_Toc9555"/>
      <w:bookmarkStart w:id="75" w:name="_Toc31292"/>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_GB2312" w:eastAsia="仿宋" w:hAnsi="仿宋_GB2312" w:hint="eastAsia"/>
          <w:color w:val="000000"/>
          <w:sz w:val="32"/>
          <w:szCs w:val="32"/>
          <w:shd w:val="clear" w:color="auto" w:fill="FFFFFF"/>
          <w:lang w:val="en-US" w:eastAsia="zh-CN"/>
        </w:rPr>
        <w:t>2192.95</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864.37</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729.98</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156.16</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185.25</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142.05</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44.28</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63.5</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31.77</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7.82</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59.07</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31.74</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8.34</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9.09</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81.27</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44.02</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10.44</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委托业务费5万元、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维修维护</w:t>
      </w:r>
      <w:r>
        <w:rPr>
          <w:rFonts w:ascii="仿宋_GB2312" w:eastAsia="仿宋_GB2312" w:hint="eastAsia"/>
          <w:color w:val="000000"/>
          <w:sz w:val="32"/>
          <w:szCs w:val="32"/>
        </w:rPr>
        <w:t>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8.5</w:t>
      </w:r>
      <w:r>
        <w:rPr>
          <w:rFonts w:ascii="仿宋_GB2312" w:eastAsia="仿宋_GB2312" w:hint="eastAsia"/>
          <w:color w:val="000000"/>
          <w:sz w:val="32"/>
          <w:szCs w:val="32"/>
        </w:rPr>
        <w:t>万元、其他交通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万元。</w:t>
      </w:r>
    </w:p>
    <w:p>
      <w:pPr>
        <w:snapToGrid w:val="0"/>
        <w:spacing w:line="520" w:lineRule="exact"/>
        <w:ind w:firstLineChars="200" w:firstLine="640"/>
        <w:rPr>
          <w:rFonts w:eastAsia="仿宋_GB2312"/>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1328.58</w:t>
      </w:r>
      <w:r>
        <w:rPr>
          <w:rFonts w:ascii="仿宋_GB2312" w:eastAsia="仿宋_GB2312" w:hint="eastAsia"/>
          <w:color w:val="000000"/>
          <w:sz w:val="32"/>
          <w:szCs w:val="32"/>
        </w:rPr>
        <w:t>万元，主要包括：解决幸福美丽家园建设及咯尔乡历年工程欠款缺口资金</w:t>
      </w:r>
      <w:r>
        <w:rPr>
          <w:rFonts w:ascii="仿宋_GB2312" w:eastAsia="仿宋_GB2312" w:hint="eastAsia"/>
          <w:color w:val="000000"/>
          <w:sz w:val="32"/>
          <w:szCs w:val="32"/>
          <w:lang w:val="en-US" w:eastAsia="zh-CN"/>
        </w:rPr>
        <w:t>37.42</w:t>
      </w:r>
      <w:r>
        <w:rPr>
          <w:rFonts w:ascii="仿宋_GB2312" w:eastAsia="仿宋_GB2312" w:hint="eastAsia"/>
          <w:color w:val="000000"/>
          <w:sz w:val="32"/>
          <w:szCs w:val="32"/>
        </w:rPr>
        <w:t>万元，2022年新冠防疫经费（各乡镇）</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金川县咯尔乡安全饮水维修项目11.2万元，金川县咯尔乡复兴村邓家沟拦沙坝建设项目211.08万元，金川县咯尔乡复兴村精品旅游综合提升项目191.17万元，金川县咯尔乡人居环境提升项目28.98万元，金川县咯尔乡日本冈山砂梨引种示范园96.09万元，金川县金江村观景平台及附属工程项目206万元，金川县咯尔乡复兴村花果山民宿及附属工程建设项目390万元，村级运行经费及村干部意外险148.28万元，三老干部补助3.36万元</w:t>
      </w:r>
      <w:r>
        <w:rPr>
          <w:rFonts w:ascii="仿宋_GB2312" w:eastAsia="仿宋_GB2312" w:cs="仿宋_GB2312" w:hint="eastAsia"/>
          <w:bCs/>
          <w:sz w:val="32"/>
          <w:szCs w:val="32"/>
          <w:lang w:val="en-US" w:eastAsia="zh-CN"/>
        </w:rPr>
        <w:t>。</w:t>
      </w:r>
    </w:p>
    <w:p>
      <w:pPr>
        <w:snapToGrid w:val="0"/>
        <w:spacing w:line="520" w:lineRule="exact"/>
        <w:ind w:firstLineChars="200" w:firstLine="420"/>
        <w:rPr>
          <w:rFonts w:eastAsia="仿宋_GB2312"/>
          <w:lang w:val="en-US" w:eastAsia="zh-CN"/>
        </w:rPr>
      </w:pPr>
    </w:p>
    <w:p>
      <w:pPr>
        <w:widowControl/>
        <w:numPr>
          <w:ilvl w:val="0"/>
          <w:numId w:val="9"/>
        </w:numPr>
        <w:wordWrap w:val="0"/>
        <w:topLinePunct/>
        <w:adjustRightInd w:val="0"/>
        <w:snapToGrid w:val="0"/>
        <w:spacing w:line="576" w:lineRule="exact"/>
        <w:ind w:left="0" w:firstLineChars="200" w:firstLine="640"/>
        <w:jc w:val="left"/>
        <w:outlineLvl w:val="1"/>
        <w:rPr>
          <w:rFonts w:ascii="黑体" w:eastAsia="黑体" w:cs="宋体" w:hint="eastAsia"/>
          <w:color w:val="000000"/>
          <w:kern w:val="0"/>
          <w:sz w:val="32"/>
          <w:szCs w:val="32"/>
          <w:shd w:val="clear" w:color="auto" w:fill="FFFFFF"/>
        </w:rPr>
      </w:pPr>
      <w:r>
        <w:rPr>
          <w:rFonts w:ascii="黑体" w:eastAsia="黑体" w:cs="宋体" w:hint="eastAsia"/>
          <w:color w:val="000000"/>
          <w:kern w:val="0"/>
          <w:sz w:val="32"/>
          <w:szCs w:val="32"/>
          <w:shd w:val="clear" w:color="auto" w:fill="FFFFFF"/>
        </w:rPr>
        <w:t>部门整体预算绩效管理情况</w:t>
      </w:r>
      <w:bookmarkEnd w:id="73"/>
      <w:bookmarkEnd w:id="74"/>
      <w:bookmarkEnd w:id="75"/>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spacing w:val="34"/>
          <w:sz w:val="32"/>
          <w:szCs w:val="32"/>
          <w:lang w:val="zh-CN"/>
        </w:rPr>
      </w:pPr>
      <w:bookmarkStart w:id="76" w:name="_Toc6429"/>
      <w:r>
        <w:rPr>
          <w:rFonts w:ascii="楷体" w:eastAsia="楷体" w:cs="楷体" w:hint="eastAsia"/>
          <w:b/>
          <w:bCs/>
          <w:color w:val="000000"/>
          <w:kern w:val="0"/>
          <w:sz w:val="32"/>
          <w:szCs w:val="32"/>
          <w:shd w:val="clear" w:color="auto" w:fill="FFFFFF"/>
          <w:lang w:val="zh-CN"/>
        </w:rPr>
        <w:t>（一）部门预算管理</w:t>
      </w:r>
      <w:bookmarkEnd w:id="76"/>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w:t>
      </w:r>
      <w:r>
        <w:rPr>
          <w:rFonts w:ascii="仿宋" w:eastAsia="仿宋" w:hint="eastAsia"/>
          <w:color w:val="000000"/>
          <w:sz w:val="32"/>
          <w:szCs w:val="32"/>
          <w:lang w:eastAsia="zh-CN"/>
        </w:rPr>
        <w:t>2022</w:t>
      </w:r>
      <w:r>
        <w:rPr>
          <w:rFonts w:ascii="仿宋" w:eastAsia="仿宋" w:hint="eastAsia"/>
          <w:color w:val="000000"/>
          <w:sz w:val="32"/>
          <w:szCs w:val="32"/>
        </w:rPr>
        <w:t>年预算编制工作，并按时提交部门预算草案。预算编制全面、科学。</w:t>
      </w:r>
      <w:r>
        <w:rPr>
          <w:rFonts w:ascii="仿宋" w:eastAsia="仿宋" w:hint="eastAsia"/>
          <w:color w:val="000000"/>
          <w:sz w:val="32"/>
          <w:szCs w:val="32"/>
          <w:lang w:eastAsia="zh-CN"/>
        </w:rPr>
        <w:t>2022</w:t>
      </w:r>
      <w:r>
        <w:rPr>
          <w:rFonts w:ascii="仿宋" w:eastAsia="仿宋" w:hint="eastAsia"/>
          <w:color w:val="000000"/>
          <w:sz w:val="32"/>
          <w:szCs w:val="32"/>
        </w:rPr>
        <w:t>年实际支出和部门决算一致，绩效目标填报及年末结余结转都是严格按照县财政局的要求认真完成，不存在违规违纪使用资金的情况并按时完成2022年预算编制工作，及时提交了部门预算草案。</w:t>
      </w:r>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kern w:val="0"/>
          <w:sz w:val="32"/>
          <w:szCs w:val="32"/>
          <w:shd w:val="clear" w:color="auto" w:fill="FFFFFF"/>
          <w:lang w:val="zh-CN"/>
        </w:rPr>
      </w:pPr>
      <w:bookmarkStart w:id="77" w:name="_Toc22499"/>
      <w:r>
        <w:rPr>
          <w:rFonts w:ascii="楷体" w:eastAsia="楷体" w:cs="楷体" w:hint="eastAsia"/>
          <w:b/>
          <w:bCs/>
          <w:color w:val="000000"/>
          <w:kern w:val="0"/>
          <w:sz w:val="32"/>
          <w:szCs w:val="32"/>
          <w:shd w:val="clear" w:color="auto" w:fill="FFFFFF"/>
          <w:lang w:val="zh-CN"/>
        </w:rPr>
        <w:t>（二）执行管理情况</w:t>
      </w:r>
      <w:bookmarkEnd w:id="77"/>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7</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年“三公”经费预算</w:t>
      </w:r>
      <w:r>
        <w:rPr>
          <w:rFonts w:ascii="仿宋" w:eastAsia="仿宋" w:hint="eastAsia"/>
          <w:color w:val="000000"/>
          <w:sz w:val="32"/>
          <w:szCs w:val="32"/>
          <w:lang w:val="en-US" w:eastAsia="zh-CN"/>
        </w:rPr>
        <w:t>7</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widowControl/>
        <w:wordWrap w:val="0"/>
        <w:topLinePunct/>
        <w:adjustRightInd w:val="0"/>
        <w:snapToGrid w:val="0"/>
        <w:ind w:firstLineChars="200" w:firstLine="776"/>
        <w:jc w:val="left"/>
        <w:outlineLvl w:val="2"/>
        <w:rPr>
          <w:rFonts w:ascii="楷体" w:eastAsia="楷体" w:cs="楷体" w:hint="eastAsia"/>
          <w:b/>
          <w:bCs/>
          <w:color w:val="000000"/>
          <w:spacing w:val="34"/>
          <w:sz w:val="32"/>
          <w:szCs w:val="48"/>
          <w:lang w:val="zh-CN"/>
        </w:rPr>
      </w:pPr>
      <w:bookmarkStart w:id="78" w:name="_Toc7445"/>
      <w:r>
        <w:rPr>
          <w:rFonts w:ascii="楷体" w:eastAsia="楷体" w:cs="楷体" w:hint="eastAsia"/>
          <w:b/>
          <w:bCs/>
          <w:color w:val="000000"/>
          <w:spacing w:val="34"/>
          <w:sz w:val="32"/>
          <w:szCs w:val="48"/>
          <w:lang w:val="zh-CN"/>
        </w:rPr>
        <w:t>（三）综合管理情况</w:t>
      </w:r>
      <w:bookmarkEnd w:id="78"/>
    </w:p>
    <w:p>
      <w:pPr>
        <w:widowControl/>
        <w:wordWrap w:val="0"/>
        <w:topLinePunct/>
        <w:adjustRightInd w:val="0"/>
        <w:snapToGrid w:val="0"/>
        <w:spacing w:line="576" w:lineRule="exact"/>
        <w:ind w:firstLineChars="200" w:firstLine="776"/>
        <w:jc w:val="left"/>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年度我乡债务合计0万元。</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 xml:space="preserve">年度我乡非税收入合计0元，上缴财政0万元。 </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年未制定年度政府采购计划。</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我乡已将国有资产纳入资产信息系统管理，并落实专人负责管理维护系统，资产变动已及时把资产变动情况录入系统</w:t>
      </w:r>
    </w:p>
    <w:p>
      <w:pPr>
        <w:widowControl/>
        <w:wordWrap w:val="0"/>
        <w:topLinePunct/>
        <w:adjustRightInd w:val="0"/>
        <w:snapToGrid w:val="0"/>
        <w:spacing w:line="576" w:lineRule="exact"/>
        <w:ind w:left="840"/>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widowControl/>
        <w:wordWrap w:val="0"/>
        <w:topLinePunct/>
        <w:adjustRightInd w:val="0"/>
        <w:snapToGrid w:val="0"/>
        <w:spacing w:line="576" w:lineRule="exact"/>
        <w:ind w:firstLineChars="200" w:firstLine="776"/>
        <w:jc w:val="left"/>
        <w:rPr>
          <w:rFonts w:ascii="仿宋" w:eastAsia="仿宋" w:hint="eastAsia"/>
          <w:color w:val="000000"/>
          <w:sz w:val="32"/>
          <w:szCs w:val="32"/>
        </w:rPr>
      </w:pPr>
      <w:r>
        <w:rPr>
          <w:rFonts w:ascii="仿宋_GB2312" w:eastAsia="仿宋_GB2312" w:cs="仿宋_GB2312" w:hint="eastAsia"/>
          <w:spacing w:val="34"/>
          <w:sz w:val="32"/>
          <w:szCs w:val="32"/>
          <w:lang w:val="zh-CN"/>
        </w:rPr>
        <w:t xml:space="preserve"> </w:t>
      </w: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年的预、决算编制说明、“三公”经费预、决算情况；按县财政要求由县财政统一公开，2022年的预算编制说明、“三公”经费预算情况在政府网站上已公开。</w:t>
      </w:r>
    </w:p>
    <w:p>
      <w:pPr>
        <w:numPr>
          <w:ilvl w:val="0"/>
          <w:numId w:val="5"/>
        </w:numPr>
        <w:spacing w:line="560" w:lineRule="exact"/>
        <w:ind w:left="0" w:firstLine="640"/>
        <w:outlineLvl w:val="2"/>
        <w:rPr>
          <w:rFonts w:ascii="楷体_GB2312" w:eastAsia="楷体_GB2312" w:cs="楷体_GB2312" w:hint="eastAsia"/>
          <w:b/>
          <w:bCs/>
          <w:color w:val="000000"/>
          <w:spacing w:val="34"/>
          <w:sz w:val="32"/>
          <w:szCs w:val="48"/>
          <w:lang w:val="zh-CN"/>
        </w:rPr>
      </w:pPr>
      <w:bookmarkStart w:id="79" w:name="_Toc30116"/>
      <w:r>
        <w:rPr>
          <w:rFonts w:ascii="楷体_GB2312" w:eastAsia="楷体_GB2312" w:cs="楷体_GB2312" w:hint="eastAsia"/>
          <w:b/>
          <w:bCs/>
          <w:color w:val="000000"/>
          <w:spacing w:val="34"/>
          <w:sz w:val="32"/>
          <w:szCs w:val="48"/>
          <w:lang w:val="zh-CN"/>
        </w:rPr>
        <w:t>整体绩效 </w:t>
      </w:r>
      <w:bookmarkEnd w:id="79"/>
    </w:p>
    <w:p>
      <w:pPr>
        <w:tabs>
          <w:tab w:val="left" w:pos="0"/>
        </w:tabs>
        <w:spacing w:line="560" w:lineRule="exact"/>
        <w:ind w:firstLineChars="200" w:firstLine="640"/>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widowControl/>
        <w:wordWrap w:val="0"/>
        <w:topLinePunct/>
        <w:adjustRightInd w:val="0"/>
        <w:snapToGrid w:val="0"/>
        <w:spacing w:line="576" w:lineRule="exact"/>
        <w:ind w:firstLineChars="200" w:firstLine="776"/>
        <w:jc w:val="left"/>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zh-CN"/>
        </w:rPr>
        <w:t>（二）绩效管理工作开展情况 </w:t>
      </w:r>
    </w:p>
    <w:p>
      <w:pPr>
        <w:widowControl/>
        <w:wordWrap w:val="0"/>
        <w:topLinePunct/>
        <w:adjustRightInd w:val="0"/>
        <w:snapToGrid w:val="0"/>
        <w:spacing w:line="576" w:lineRule="exact"/>
        <w:ind w:firstLineChars="200" w:firstLine="556"/>
        <w:jc w:val="left"/>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根据金财监绩〔2022〕22号文件要求，我乡对财政资金使用管理情况，按照《关于开展2022年部门整体和项目支出绩效评价工作的通知》认真开展自评工作，撰写部门自评报告。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widowControl/>
        <w:wordWrap w:val="0"/>
        <w:topLinePunct/>
        <w:adjustRightInd w:val="0"/>
        <w:snapToGrid w:val="0"/>
        <w:spacing w:line="576" w:lineRule="exact"/>
        <w:ind w:firstLineChars="200" w:firstLine="776"/>
        <w:jc w:val="left"/>
        <w:outlineLvl w:val="1"/>
        <w:rPr>
          <w:rFonts w:ascii="仿宋_GB2312" w:cs="宋体" w:hAnsi="仿宋_GB2312" w:hint="eastAsia"/>
          <w:color w:val="000000"/>
          <w:spacing w:val="34"/>
          <w:sz w:val="32"/>
          <w:szCs w:val="48"/>
          <w:lang w:val="zh-CN"/>
        </w:rPr>
      </w:pPr>
      <w:bookmarkStart w:id="80" w:name="_Toc11636"/>
      <w:bookmarkStart w:id="81" w:name="_Toc21502"/>
      <w:bookmarkStart w:id="82" w:name="_Toc23708"/>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80"/>
      <w:bookmarkEnd w:id="81"/>
      <w:bookmarkEnd w:id="82"/>
    </w:p>
    <w:p>
      <w:pPr>
        <w:snapToGrid w:val="0"/>
        <w:spacing w:line="560" w:lineRule="exact"/>
        <w:ind w:firstLineChars="200" w:firstLine="640"/>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我乡本次自评总分82。</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年部门支出与年初预算基本一致，达到预期绩效目标。但预算编制还需进一步细化，针对我会预算存在的问题，提出以下建议：</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Chars="100" w:firstLine="320"/>
        <w:jc w:val="left"/>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15"/>
        <w:ind w:leftChars="47" w:left="298" w:hangingChars="95" w:hanging="199"/>
        <w:jc w:val="right"/>
        <w:rPr>
          <w:rFonts w:hint="eastAsia"/>
        </w:rPr>
      </w:pPr>
    </w:p>
    <w:p>
      <w:pPr>
        <w:pStyle w:val="15"/>
        <w:ind w:leftChars="47" w:left="298" w:hangingChars="95" w:hanging="199"/>
        <w:jc w:val="right"/>
        <w:rPr>
          <w:rFonts w:hint="eastAsia"/>
        </w:rPr>
      </w:pPr>
    </w:p>
    <w:p>
      <w:pPr>
        <w:pStyle w:val="15"/>
        <w:ind w:leftChars="47" w:left="298" w:hangingChars="95" w:hanging="199"/>
        <w:jc w:val="right"/>
        <w:rPr>
          <w:rFonts w:hint="eastAsia"/>
        </w:rPr>
      </w:pPr>
    </w:p>
    <w:p>
      <w:pPr>
        <w:pStyle w:val="15"/>
        <w:ind w:leftChars="47" w:left="298" w:hangingChars="95" w:hanging="199"/>
        <w:jc w:val="right"/>
        <w:rPr>
          <w:rFonts w:hint="eastAsia"/>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both"/>
        <w:outlineLvl w:val="0"/>
        <w:rPr>
          <w:rFonts w:ascii="黑体" w:eastAsia="黑体"/>
          <w:color w:val="000000"/>
          <w:sz w:val="44"/>
          <w:szCs w:val="44"/>
        </w:rPr>
      </w:pPr>
      <w:bookmarkStart w:id="83" w:name="_Toc15396619"/>
      <w:bookmarkStart w:id="84" w:name="_Toc15396618"/>
      <w:bookmarkEnd w:id="62"/>
      <w:bookmarkEnd w:id="63"/>
    </w:p>
    <w:p>
      <w:pPr>
        <w:pStyle w:val="2"/>
        <w:rPr>
          <w:rFonts w:ascii="仿宋" w:eastAsia="仿宋"/>
          <w:color w:val="000000"/>
        </w:rPr>
      </w:pPr>
      <w:bookmarkEnd w:id="83"/>
      <w:bookmarkEnd w:id="84"/>
    </w:p>
    <w:p/>
    <w:p>
      <w:pPr>
        <w:pStyle w:val="15"/>
      </w:pPr>
    </w:p>
    <w:p/>
    <w:p>
      <w:pPr>
        <w:pStyle w:val="15"/>
      </w:pPr>
    </w:p>
    <w:p/>
    <w:p>
      <w:pPr>
        <w:pStyle w:val="15"/>
      </w:pPr>
    </w:p>
    <w:p/>
    <w:p>
      <w:pPr>
        <w:pStyle w:val="15"/>
      </w:pPr>
    </w:p>
    <w:p/>
    <w:p>
      <w:pPr>
        <w:ind w:left="0" w:firstLine="0"/>
        <w:jc w:val="center"/>
        <w:rPr>
          <w:sz w:val="44"/>
          <w:szCs w:val="44"/>
        </w:rPr>
      </w:pPr>
      <w:r>
        <w:rPr>
          <w:rFonts w:ascii="黑体" w:eastAsia="黑体" w:hint="eastAsia"/>
          <w:b w:val="0"/>
          <w:sz w:val="44"/>
          <w:szCs w:val="44"/>
        </w:rPr>
        <w:fldChar w:fldCharType="begin"/>
      </w:r>
      <w:r>
        <w:rPr>
          <w:rFonts w:ascii="黑体" w:eastAsia="黑体" w:hint="eastAsia"/>
          <w:b w:val="0"/>
          <w:sz w:val="44"/>
          <w:szCs w:val="44"/>
        </w:rPr>
        <w:instrText xml:space="preserve">TOC \o "1-2" \h \u </w:instrText>
      </w:r>
      <w:r>
        <w:rPr>
          <w:rFonts w:ascii="黑体" w:eastAsia="黑体" w:hint="eastAsia"/>
          <w:b w:val="0"/>
          <w:sz w:val="44"/>
          <w:szCs w:val="44"/>
        </w:rPr>
        <w:fldChar w:fldCharType="separate"/>
      </w:r>
    </w:p>
    <w:p>
      <w:pPr>
        <w:spacing w:line="600" w:lineRule="exact"/>
        <w:ind w:firstLineChars="200" w:firstLine="880"/>
        <w:jc w:val="center"/>
        <w:rPr>
          <w:rFonts w:ascii="仿宋_GB2312" w:eastAsia="仿宋_GB2312" w:cs="仿宋_GB2312" w:hint="eastAsia"/>
          <w:color w:val="000000"/>
          <w:sz w:val="44"/>
          <w:szCs w:val="44"/>
        </w:rPr>
      </w:pPr>
      <w:r>
        <w:rPr>
          <w:rFonts w:ascii="仿宋_GB2312" w:eastAsia="仿宋_GB2312" w:cs="仿宋_GB2312"/>
          <w:b w:val="0"/>
          <w:color w:val="000000"/>
          <w:sz w:val="44"/>
          <w:szCs w:val="44"/>
          <w:lang w:val="en-US" w:eastAsia="zh-CN"/>
        </w:rPr>
        <w:t>第五部分</w:t>
      </w:r>
      <w:r>
        <w:rPr>
          <w:rFonts w:ascii="仿宋_GB2312" w:eastAsia="仿宋_GB2312" w:cs="仿宋_GB2312" w:hint="eastAsia"/>
          <w:b w:val="0"/>
          <w:color w:val="000000"/>
          <w:sz w:val="44"/>
          <w:szCs w:val="44"/>
          <w:lang w:val="en-US" w:eastAsia="zh-CN"/>
        </w:rPr>
        <w:t>、决算公开表</w:t>
      </w:r>
    </w:p>
    <w:p>
      <w:pPr>
        <w:spacing w:line="600" w:lineRule="exact"/>
        <w:ind w:left="0"/>
        <w:rPr>
          <w:rFonts w:ascii="仿宋_GB2312" w:eastAsia="仿宋_GB2312" w:cs="仿宋_GB2312" w:hint="eastAsia"/>
          <w:b w:val="0"/>
          <w:color w:val="000000"/>
          <w:sz w:val="32"/>
          <w:szCs w:val="32"/>
          <w:lang w:val="en-US" w:eastAsia="zh-CN"/>
        </w:rPr>
      </w:pPr>
      <w:r>
        <w:rPr>
          <w:rFonts w:ascii="黑体" w:eastAsia="黑体" w:hint="eastAsia"/>
          <w:b/>
          <w:sz w:val="44"/>
          <w:szCs w:val="44"/>
        </w:rPr>
        <w:fldChar w:fldCharType="end"/>
      </w:r>
      <w:r>
        <w:rPr>
          <w:rFonts w:ascii="仿宋_GB2312" w:eastAsia="仿宋_GB2312" w:cs="仿宋_GB2312" w:hint="eastAsia"/>
          <w:b w:val="0"/>
          <w:color w:val="000000"/>
          <w:sz w:val="32"/>
          <w:szCs w:val="32"/>
          <w:lang w:val="en-US" w:eastAsia="zh-CN"/>
        </w:rPr>
        <w:t>（一）收入支出决算总表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ind w:left="0"/>
      </w:pPr>
      <w:r>
        <w:rPr>
          <w:rFonts w:ascii="仿宋_GB2312" w:eastAsia="仿宋_GB2312" w:cs="仿宋_GB2312" w:hint="eastAsia"/>
          <w:b w:val="0"/>
          <w:color w:val="000000"/>
          <w:sz w:val="32"/>
          <w:szCs w:val="32"/>
          <w:lang w:val="en-US" w:eastAsia="zh-CN"/>
        </w:rPr>
        <w:t>（十三）财政拨款“三公”经费支出决算表</w:t>
      </w:r>
    </w:p>
    <w:p>
      <w:pPr>
        <w:pStyle w:val="15"/>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方正书宋_GBK"/>
    <w:panose1 w:val="02010600030101010101"/>
    <w:charset w:val="7A"/>
    <w:family w:val="auto"/>
    <w:pitch w:val="variable"/>
    <w:sig w:usb0="00000203" w:usb1="288F0000" w:usb2="0000000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009616579"/>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747B1FF4"/>
    <w:multiLevelType w:val="singleLevel"/>
    <w:tmpl w:val="747B1FF4"/>
    <w:lvl w:ilvl="0">
      <w:start w:val="2"/>
      <w:numFmt w:val="decimal"/>
      <w:lvlRestart w:val="0"/>
      <w:lvlText w:val="%1."/>
      <w:lvlJc w:val="left"/>
      <w:pPr>
        <w:tabs>
          <w:tab w:val="num" w:pos="0"/>
        </w:tabs>
        <w:ind w:left="0" w:hanging="0"/>
      </w:pPr>
    </w:lvl>
  </w:abstractNum>
  <w:abstractNum w:abstractNumId="6">
    <w:nsid w:val="386D6DF3"/>
    <w:multiLevelType w:val="singleLevel"/>
    <w:tmpl w:val="386D6DF3"/>
    <w:lvl w:ilvl="0">
      <w:start w:val="3"/>
      <w:numFmt w:val="decimal"/>
      <w:lvlRestart w:val="0"/>
      <w:lvlText w:val="%1."/>
      <w:lvlJc w:val="left"/>
      <w:pPr>
        <w:tabs>
          <w:tab w:val="num" w:pos="0"/>
        </w:tabs>
        <w:ind w:left="0" w:hanging="0"/>
      </w:pPr>
    </w:lvl>
  </w:abstractNum>
  <w:abstractNum w:abstractNumId="7">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8">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9">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DEzYzI0NTU4YWFhNzg4Y2FmYzQwNjE2Y2M5M2RmZG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Autospacing="1" w:afterAutospacing="1"/>
      <w:jc w:val="left"/>
    </w:pPr>
    <w:rPr>
      <w:rFonts w:ascii="宋体"/>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
              <c:idx val="0"/>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dLblPos val="inEnd"/>
              <c:tx>
                <c:rich>
                  <a:bodyPr vert="horz"/>
                  <a:lstStyle/>
                  <a:p>
                    <a:pPr>
                      <a:defRPr sz="900" b="1" i="0" u="none" strike="noStrike" baseline="0">
                        <a:solidFill>
                          <a:srgbClr val="FFFFFF"/>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2192.</a:t>
                    </a:r>
                    <a:r>
                      <a:rPr lang="zh-CN" sz="1000" b="0" i="0" u="none" strike="noStrike" baseline="0">
                        <a:solidFill>
                          <a:srgbClr val="000000"/>
                        </a:solidFill>
                        <a:latin typeface="AR PL UKai CN"/>
                        <a:ea typeface="AR PL UKai CN"/>
                        <a:cs typeface="Lucida Sans"/>
                      </a:rPr>
                      <a:t>9</a:t>
                    </a:r>
                    <a:r>
                      <a:rPr lang="zh-CN" sz="1000" b="0" i="0" u="none" strike="noStrike" baseline="0">
                        <a:solidFill>
                          <a:srgbClr val="000000"/>
                        </a:solidFill>
                        <a:latin typeface="AR PL UKai CN"/>
                        <a:ea typeface="AR PL UKai CN"/>
                        <a:cs typeface="Lucida Sans"/>
                      </a:rPr>
                      <a:t>5</a:t>
                    </a:r>
                  </a:p>
                </c:rich>
              </c:tx>
              <c:showLegendKey val="0"/>
              <c:showVal val="1"/>
              <c:showCatName val="0"/>
              <c:showSerName val="0"/>
              <c:showPercent val="0"/>
              <c:showBubbleSize val="0"/>
            </c:dLbl>
            <c:dLblPos val="inEnd"/>
            <c:showLegendKey val="0"/>
            <c:showVal val="1"/>
            <c:showCatName val="0"/>
            <c:showSerName val="0"/>
            <c:showPercent val="0"/>
            <c:showBubbleSize val="0"/>
            <c:showLeaderLines val="0"/>
          </c:dLbls>
          <c:cat>
            <c:numRef>
              <c:f>'Sheet1'!$A$2:$A$3</c:f>
              <c:numCache>
                <c:ptCount val="2"/>
              </c:numCache>
            </c:numRef>
          </c:cat>
          <c:val>
            <c:numRef>
              <c:f>'Sheet1'!$B$2:$B$3</c:f>
              <c:numCache>
                <c:formatCode>General</c:formatCode>
                <c:ptCount val="2"/>
                <c:pt idx="0">
                  <c:v>2192.25</c:v>
                </c:pt>
                <c:pt idx="1">
                  <c:v>1019.97</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
              <c:idx val="0"/>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dLblPos val="inEnd"/>
              <c:tx>
                <c:rich>
                  <a:bodyPr vert="horz"/>
                  <a:lstStyle/>
                  <a:p>
                    <a:pPr>
                      <a:defRPr sz="900" b="1" i="0" u="none" strike="noStrike" baseline="0">
                        <a:solidFill>
                          <a:srgbClr val="FFFFFF"/>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2192.</a:t>
                    </a:r>
                    <a:r>
                      <a:rPr lang="zh-CN" sz="1000" b="0" i="0" u="none" strike="noStrike" baseline="0">
                        <a:solidFill>
                          <a:srgbClr val="000000"/>
                        </a:solidFill>
                        <a:latin typeface="AR PL UKai CN"/>
                        <a:ea typeface="AR PL UKai CN"/>
                        <a:cs typeface="Lucida Sans"/>
                      </a:rPr>
                      <a:t>9</a:t>
                    </a:r>
                    <a:r>
                      <a:rPr lang="zh-CN" sz="1000" b="0" i="0" u="none" strike="noStrike" baseline="0">
                        <a:solidFill>
                          <a:srgbClr val="000000"/>
                        </a:solidFill>
                        <a:latin typeface="AR PL UKai CN"/>
                        <a:ea typeface="AR PL UKai CN"/>
                        <a:cs typeface="Lucida Sans"/>
                      </a:rPr>
                      <a:t>5</a:t>
                    </a:r>
                  </a:p>
                </c:rich>
              </c:tx>
              <c:showLegendKey val="0"/>
              <c:showVal val="1"/>
              <c:showCatName val="0"/>
              <c:showSerName val="0"/>
              <c:showPercent val="0"/>
              <c:showBubbleSize val="0"/>
            </c:dLbl>
            <c:dLblPos val="inEnd"/>
            <c:showLegendKey val="0"/>
            <c:showVal val="1"/>
            <c:showCatName val="0"/>
            <c:showSerName val="0"/>
            <c:showPercent val="0"/>
            <c:showBubbleSize val="0"/>
            <c:showLeaderLines val="0"/>
          </c:dLbls>
          <c:cat>
            <c:numRef>
              <c:f>'Sheet1'!$A$2:$A$3</c:f>
              <c:numCache>
                <c:ptCount val="2"/>
              </c:numCache>
            </c:numRef>
          </c:cat>
          <c:val>
            <c:numRef>
              <c:f>'Sheet1'!$C$2:$C$3</c:f>
              <c:numCache>
                <c:formatCode>General</c:formatCode>
                <c:ptCount val="2"/>
                <c:pt idx="0">
                  <c:v>2192.25</c:v>
                </c:pt>
                <c:pt idx="1">
                  <c:v>1025.16</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2192</a:t>
                    </a:r>
                    <a:r>
                      <a:rPr lang="zh-CN" sz="1000" b="0" i="0" u="none" strike="noStrike" baseline="0">
                        <a:solidFill>
                          <a:srgbClr val="000000"/>
                        </a:solidFill>
                        <a:latin typeface="AR PL UKai CN"/>
                        <a:ea typeface="AR PL UKai CN"/>
                        <a:cs typeface="Lucida Sans"/>
                      </a:rPr>
                      <a:t>9</a:t>
                    </a:r>
                    <a:r>
                      <a:rPr lang="zh-CN" sz="1000" b="0" i="0" u="none" strike="noStrike" baseline="0">
                        <a:solidFill>
                          <a:srgbClr val="000000"/>
                        </a:solidFill>
                        <a:latin typeface="AR PL UKai CN"/>
                        <a:ea typeface="AR PL UKai CN"/>
                        <a:cs typeface="Lucida Sans"/>
                      </a:rPr>
                      <a:t>5</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2192.25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864.37</a:t>
                    </a:r>
                  </a:p>
                </c:rich>
              </c:tx>
              <c:showLegendKey val="0"/>
              <c:showVal val="1"/>
              <c:showCatName val="0"/>
              <c:showSerName val="0"/>
              <c:showPercent val="0"/>
              <c:showBubbleSize val="0"/>
            </c:dLbl>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1328.58</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864.37</c:v>
                </c:pt>
                <c:pt idx="1">
                  <c:v>1328.58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2022</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2192.95</c:v>
                </c:pt>
                <c:pt idx="1">
                  <c:v>2192.95</c:v>
                </c:pt>
              </c:numCache>
            </c:numRef>
          </c:val>
        </c:ser>
        <c:ser>
          <c:idx val="1"/>
          <c:order val="1"/>
          <c:tx>
            <c:strRef>
              <c:f>'Sheet1 (4)'!$A$3</c:f>
              <c:strCache>
                <c:ptCount val="1"/>
                <c:pt idx="0">
                  <c:v>2021</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1019.97</c:v>
                </c:pt>
                <c:pt idx="1">
                  <c:v>1025.16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Pt>
            <c:idx val="8"/>
            <c:bubble3D val="0"/>
            <c:spPr>
              <a:solidFill>
                <a:srgbClr val="5F7530"/>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4"/>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5"/>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6"/>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7"/>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8"/>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(5)'!$A$2:$A$10</c:f>
              <c:strCache>
                <c:ptCount val="9"/>
                <c:pt idx="0">
                  <c:v>一般公共服务支出</c:v>
                </c:pt>
                <c:pt idx="1">
                  <c:v>社会保障和就业支出</c:v>
                </c:pt>
                <c:pt idx="2">
                  <c:v>卫生健康支出</c:v>
                </c:pt>
                <c:pt idx="4">
                  <c:v>农林水支出</c:v>
                </c:pt>
                <c:pt idx="6">
                  <c:v>住房保障支出</c:v>
                </c:pt>
                <c:pt idx="7">
                  <c:v>其他支出</c:v>
                </c:pt>
              </c:strCache>
            </c:strRef>
          </c:cat>
          <c:val>
            <c:numRef>
              <c:f>'Sheet1 (5)'!$B$2:$B$10</c:f>
              <c:numCache>
                <c:formatCode>General</c:formatCode>
                <c:ptCount val="9"/>
                <c:pt idx="0">
                  <c:v>472.36</c:v>
                </c:pt>
                <c:pt idx="1">
                  <c:v>95.27</c:v>
                </c:pt>
                <c:pt idx="2">
                  <c:v>45.08</c:v>
                </c:pt>
                <c:pt idx="4">
                  <c:v>796.73</c:v>
                </c:pt>
                <c:pt idx="6">
                  <c:v>59.07</c:v>
                </c:pt>
                <c:pt idx="7">
                  <c:v>724.44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44</Pages>
  <Words>14951</Words>
  <Characters>16528</Characters>
  <Lines>1596</Lines>
  <Paragraphs>762</Paragraphs>
  <CharactersWithSpaces>16808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2021-09-18T03:06:00Z</cp:lastPrinted>
  <dcterms:created xsi:type="dcterms:W3CDTF">2021-09-18T03:28:00Z</dcterms:created>
  <dcterms:modified xsi:type="dcterms:W3CDTF">2023-09-22T01:03:54Z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2052-11.1.0.12970</vt:lpwstr>
  </property>
  <property fmtid="{D5CDD505-2E9C-101B-9397-08002B2CF9AE}" pid="3" name="ICV">
    <vt:lpwstr>F552EBC1560548078318C62930BEC9A0</vt:lpwstr>
  </property>
</Properties>
</file>