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金川县咯尔乡人民政府2018年决算公开</w:t>
      </w:r>
    </w:p>
    <w:p>
      <w:r>
        <w:rPr>
          <w:rFonts w:hint="eastAsia"/>
        </w:rPr>
        <w:t xml:space="preserve"> </w:t>
      </w:r>
    </w:p>
    <w:p>
      <w:pPr>
        <w:jc w:val="left"/>
        <w:rPr>
          <w:sz w:val="32"/>
          <w:szCs w:val="32"/>
        </w:rPr>
      </w:pPr>
      <w:r>
        <w:rPr>
          <w:rFonts w:hint="eastAsia"/>
        </w:rPr>
        <w:t xml:space="preserve"> </w:t>
      </w:r>
      <w:r>
        <w:rPr>
          <w:rFonts w:hint="eastAsia"/>
          <w:sz w:val="32"/>
          <w:szCs w:val="32"/>
        </w:rPr>
        <w:t>目 录</w:t>
      </w:r>
    </w:p>
    <w:p>
      <w:pPr>
        <w:numPr>
          <w:ilvl w:val="0"/>
          <w:numId w:val="1"/>
        </w:numPr>
        <w:jc w:val="left"/>
        <w:rPr>
          <w:sz w:val="32"/>
          <w:szCs w:val="32"/>
        </w:rPr>
      </w:pPr>
      <w:r>
        <w:rPr>
          <w:rFonts w:hint="eastAsia"/>
          <w:sz w:val="32"/>
          <w:szCs w:val="32"/>
        </w:rPr>
        <w:t>基本职能及主要工作</w:t>
      </w:r>
    </w:p>
    <w:p>
      <w:pPr>
        <w:jc w:val="left"/>
        <w:rPr>
          <w:sz w:val="32"/>
          <w:szCs w:val="32"/>
        </w:rPr>
      </w:pPr>
      <w:r>
        <w:rPr>
          <w:rFonts w:hint="eastAsia"/>
          <w:sz w:val="32"/>
          <w:szCs w:val="32"/>
        </w:rPr>
        <w:t>（一）主要职能。</w:t>
      </w:r>
    </w:p>
    <w:p>
      <w:pPr>
        <w:jc w:val="left"/>
        <w:rPr>
          <w:sz w:val="32"/>
          <w:szCs w:val="32"/>
        </w:rPr>
      </w:pPr>
      <w:r>
        <w:rPr>
          <w:rFonts w:hint="eastAsia"/>
          <w:sz w:val="32"/>
          <w:szCs w:val="32"/>
        </w:rPr>
        <w:t>（二）2018年重点工作完成情况。</w:t>
      </w:r>
    </w:p>
    <w:p>
      <w:pPr>
        <w:jc w:val="left"/>
        <w:rPr>
          <w:sz w:val="32"/>
          <w:szCs w:val="32"/>
        </w:rPr>
      </w:pPr>
      <w:r>
        <w:rPr>
          <w:rFonts w:hint="eastAsia"/>
          <w:sz w:val="32"/>
          <w:szCs w:val="32"/>
        </w:rPr>
        <w:t>二、部门概况</w:t>
      </w:r>
    </w:p>
    <w:p>
      <w:pPr>
        <w:jc w:val="left"/>
        <w:rPr>
          <w:sz w:val="32"/>
          <w:szCs w:val="32"/>
        </w:rPr>
      </w:pPr>
      <w:r>
        <w:rPr>
          <w:rFonts w:hint="eastAsia"/>
          <w:sz w:val="32"/>
          <w:szCs w:val="32"/>
        </w:rPr>
        <w:t>三、收支决算总体情况说明</w:t>
      </w:r>
    </w:p>
    <w:p>
      <w:pPr>
        <w:jc w:val="left"/>
        <w:rPr>
          <w:sz w:val="32"/>
          <w:szCs w:val="32"/>
        </w:rPr>
      </w:pPr>
      <w:r>
        <w:rPr>
          <w:rFonts w:hint="eastAsia"/>
          <w:sz w:val="32"/>
          <w:szCs w:val="32"/>
        </w:rPr>
        <w:t>四、财政拨款收入支出决算总体情况说明</w:t>
      </w:r>
    </w:p>
    <w:p>
      <w:pPr>
        <w:jc w:val="left"/>
        <w:rPr>
          <w:sz w:val="32"/>
          <w:szCs w:val="32"/>
        </w:rPr>
      </w:pPr>
      <w:r>
        <w:rPr>
          <w:rFonts w:hint="eastAsia"/>
          <w:sz w:val="32"/>
          <w:szCs w:val="32"/>
        </w:rPr>
        <w:t>五、一般公共预算财政拨款支出决算情况说明</w:t>
      </w:r>
    </w:p>
    <w:p>
      <w:pPr>
        <w:jc w:val="left"/>
        <w:rPr>
          <w:sz w:val="32"/>
          <w:szCs w:val="32"/>
        </w:rPr>
      </w:pPr>
      <w:r>
        <w:rPr>
          <w:rFonts w:hint="eastAsia"/>
          <w:sz w:val="32"/>
          <w:szCs w:val="32"/>
        </w:rPr>
        <w:t>（一）一般公共预算财政拨款支出决算总体情况</w:t>
      </w:r>
    </w:p>
    <w:p>
      <w:pPr>
        <w:jc w:val="left"/>
        <w:rPr>
          <w:sz w:val="32"/>
          <w:szCs w:val="32"/>
        </w:rPr>
      </w:pPr>
      <w:r>
        <w:rPr>
          <w:rFonts w:hint="eastAsia"/>
          <w:sz w:val="32"/>
          <w:szCs w:val="32"/>
        </w:rPr>
        <w:t>（二）一般公共预算财政拨款支出决算结构情况</w:t>
      </w:r>
    </w:p>
    <w:p>
      <w:pPr>
        <w:jc w:val="left"/>
        <w:rPr>
          <w:sz w:val="32"/>
          <w:szCs w:val="32"/>
        </w:rPr>
      </w:pPr>
      <w:r>
        <w:rPr>
          <w:rFonts w:hint="eastAsia"/>
          <w:sz w:val="32"/>
          <w:szCs w:val="32"/>
        </w:rPr>
        <w:t>（三）一般公共预算财政拨款支出决算具体情况</w:t>
      </w:r>
    </w:p>
    <w:p>
      <w:pPr>
        <w:jc w:val="left"/>
        <w:rPr>
          <w:sz w:val="32"/>
          <w:szCs w:val="32"/>
        </w:rPr>
      </w:pPr>
      <w:r>
        <w:rPr>
          <w:rFonts w:hint="eastAsia"/>
          <w:sz w:val="32"/>
          <w:szCs w:val="32"/>
        </w:rPr>
        <w:t>六、一般公共预算财政拨款基本支出决算情况说明</w:t>
      </w:r>
    </w:p>
    <w:p>
      <w:pPr>
        <w:jc w:val="left"/>
        <w:rPr>
          <w:sz w:val="32"/>
          <w:szCs w:val="32"/>
        </w:rPr>
      </w:pPr>
      <w:r>
        <w:rPr>
          <w:rFonts w:hint="eastAsia"/>
          <w:sz w:val="32"/>
          <w:szCs w:val="32"/>
        </w:rPr>
        <w:t>七、“三公”经费财政拨款支出决算情况说明</w:t>
      </w:r>
    </w:p>
    <w:p>
      <w:pPr>
        <w:jc w:val="left"/>
        <w:rPr>
          <w:sz w:val="32"/>
          <w:szCs w:val="32"/>
        </w:rPr>
      </w:pPr>
      <w:r>
        <w:rPr>
          <w:rFonts w:hint="eastAsia"/>
          <w:sz w:val="32"/>
          <w:szCs w:val="32"/>
        </w:rPr>
        <w:t>（一）“三公”经费财政拨款支出决算总体情况说明</w:t>
      </w:r>
    </w:p>
    <w:p>
      <w:pPr>
        <w:jc w:val="left"/>
        <w:rPr>
          <w:sz w:val="32"/>
          <w:szCs w:val="32"/>
        </w:rPr>
      </w:pPr>
      <w:r>
        <w:rPr>
          <w:rFonts w:hint="eastAsia"/>
          <w:sz w:val="32"/>
          <w:szCs w:val="32"/>
        </w:rPr>
        <w:t>（二）“三公”经费财政拨款支出决算具体情况说明</w:t>
      </w:r>
    </w:p>
    <w:p>
      <w:pPr>
        <w:jc w:val="left"/>
        <w:rPr>
          <w:sz w:val="32"/>
          <w:szCs w:val="32"/>
        </w:rPr>
      </w:pPr>
      <w:r>
        <w:rPr>
          <w:rFonts w:hint="eastAsia"/>
          <w:sz w:val="32"/>
          <w:szCs w:val="32"/>
        </w:rPr>
        <w:t>八、政府性基金预算支出决算情况说明</w:t>
      </w:r>
    </w:p>
    <w:p>
      <w:pPr>
        <w:jc w:val="left"/>
        <w:rPr>
          <w:sz w:val="32"/>
          <w:szCs w:val="32"/>
        </w:rPr>
      </w:pPr>
      <w:r>
        <w:rPr>
          <w:rFonts w:hint="eastAsia"/>
          <w:sz w:val="32"/>
          <w:szCs w:val="32"/>
        </w:rPr>
        <w:t>九、国有资本经营预算支出决算情况说明</w:t>
      </w:r>
    </w:p>
    <w:p>
      <w:pPr>
        <w:jc w:val="left"/>
        <w:rPr>
          <w:sz w:val="32"/>
          <w:szCs w:val="32"/>
        </w:rPr>
      </w:pPr>
      <w:r>
        <w:rPr>
          <w:rFonts w:hint="eastAsia"/>
          <w:sz w:val="32"/>
          <w:szCs w:val="32"/>
        </w:rPr>
        <w:t>十、其他重要事项的情况说明</w:t>
      </w:r>
    </w:p>
    <w:p>
      <w:pPr>
        <w:jc w:val="left"/>
        <w:rPr>
          <w:rFonts w:hint="eastAsia"/>
          <w:sz w:val="32"/>
          <w:szCs w:val="32"/>
        </w:rPr>
      </w:pPr>
      <w:r>
        <w:rPr>
          <w:rFonts w:hint="eastAsia"/>
          <w:sz w:val="32"/>
          <w:szCs w:val="32"/>
        </w:rPr>
        <w:t>（</w:t>
      </w:r>
      <w:r>
        <w:rPr>
          <w:rFonts w:hint="eastAsia"/>
          <w:sz w:val="32"/>
          <w:szCs w:val="32"/>
          <w:lang w:eastAsia="zh-CN"/>
        </w:rPr>
        <w:t>一</w:t>
      </w:r>
      <w:r>
        <w:rPr>
          <w:rFonts w:hint="eastAsia"/>
          <w:sz w:val="32"/>
          <w:szCs w:val="32"/>
        </w:rPr>
        <w:t>）</w:t>
      </w:r>
      <w:r>
        <w:rPr>
          <w:rFonts w:hint="eastAsia"/>
          <w:sz w:val="32"/>
          <w:szCs w:val="32"/>
          <w:lang w:eastAsia="zh-CN"/>
        </w:rPr>
        <w:t>机关运行经费执行情况</w:t>
      </w:r>
    </w:p>
    <w:p>
      <w:pPr>
        <w:jc w:val="left"/>
        <w:rPr>
          <w:sz w:val="32"/>
          <w:szCs w:val="32"/>
        </w:rPr>
      </w:pPr>
      <w:r>
        <w:rPr>
          <w:rFonts w:hint="eastAsia"/>
          <w:sz w:val="32"/>
          <w:szCs w:val="32"/>
        </w:rPr>
        <w:t>（</w:t>
      </w:r>
      <w:r>
        <w:rPr>
          <w:rFonts w:hint="eastAsia"/>
          <w:sz w:val="32"/>
          <w:szCs w:val="32"/>
          <w:lang w:val="en-US" w:eastAsia="zh-CN"/>
        </w:rPr>
        <w:t>二</w:t>
      </w:r>
      <w:r>
        <w:rPr>
          <w:rFonts w:hint="eastAsia"/>
          <w:sz w:val="32"/>
          <w:szCs w:val="32"/>
        </w:rPr>
        <w:t>）政府采购支出情况</w:t>
      </w:r>
    </w:p>
    <w:p>
      <w:pPr>
        <w:jc w:val="left"/>
        <w:rPr>
          <w:sz w:val="32"/>
          <w:szCs w:val="32"/>
        </w:rPr>
      </w:pPr>
      <w:r>
        <w:rPr>
          <w:rFonts w:hint="eastAsia"/>
          <w:sz w:val="32"/>
          <w:szCs w:val="32"/>
        </w:rPr>
        <w:t>（</w:t>
      </w:r>
      <w:r>
        <w:rPr>
          <w:rFonts w:hint="eastAsia"/>
          <w:sz w:val="32"/>
          <w:szCs w:val="32"/>
          <w:lang w:eastAsia="zh-CN"/>
        </w:rPr>
        <w:t>三</w:t>
      </w:r>
      <w:r>
        <w:rPr>
          <w:rFonts w:hint="eastAsia"/>
          <w:sz w:val="32"/>
          <w:szCs w:val="32"/>
        </w:rPr>
        <w:t>）国有资产占有使用情况</w:t>
      </w:r>
    </w:p>
    <w:p>
      <w:pPr>
        <w:jc w:val="left"/>
        <w:rPr>
          <w:sz w:val="32"/>
          <w:szCs w:val="32"/>
        </w:rPr>
      </w:pPr>
      <w:r>
        <w:rPr>
          <w:rFonts w:hint="eastAsia"/>
          <w:sz w:val="32"/>
          <w:szCs w:val="32"/>
        </w:rPr>
        <w:t>（</w:t>
      </w:r>
      <w:r>
        <w:rPr>
          <w:rFonts w:hint="eastAsia"/>
          <w:sz w:val="32"/>
          <w:szCs w:val="32"/>
          <w:lang w:eastAsia="zh-CN"/>
        </w:rPr>
        <w:t>四</w:t>
      </w:r>
      <w:r>
        <w:rPr>
          <w:rFonts w:hint="eastAsia"/>
          <w:sz w:val="32"/>
          <w:szCs w:val="32"/>
        </w:rPr>
        <w:t>）预算绩效情况</w:t>
      </w:r>
    </w:p>
    <w:p>
      <w:pPr>
        <w:jc w:val="left"/>
        <w:rPr>
          <w:sz w:val="32"/>
          <w:szCs w:val="32"/>
        </w:rPr>
      </w:pPr>
      <w:r>
        <w:rPr>
          <w:rFonts w:hint="eastAsia"/>
          <w:sz w:val="32"/>
          <w:szCs w:val="32"/>
        </w:rPr>
        <w:t>1.绩效目标管理情况。</w:t>
      </w:r>
    </w:p>
    <w:p>
      <w:pPr>
        <w:jc w:val="left"/>
        <w:rPr>
          <w:sz w:val="32"/>
          <w:szCs w:val="32"/>
        </w:rPr>
      </w:pPr>
      <w:r>
        <w:rPr>
          <w:rFonts w:hint="eastAsia"/>
          <w:sz w:val="32"/>
          <w:szCs w:val="32"/>
        </w:rPr>
        <w:t>2.部门整体支出绩效自评开展情况。</w:t>
      </w:r>
    </w:p>
    <w:p>
      <w:pPr>
        <w:jc w:val="left"/>
        <w:rPr>
          <w:sz w:val="32"/>
          <w:szCs w:val="32"/>
        </w:rPr>
      </w:pPr>
      <w:r>
        <w:rPr>
          <w:rFonts w:hint="eastAsia"/>
          <w:sz w:val="32"/>
          <w:szCs w:val="32"/>
        </w:rPr>
        <w:t>3.部门自行组织绩效评价开展情况。</w:t>
      </w:r>
    </w:p>
    <w:p>
      <w:pPr>
        <w:jc w:val="left"/>
        <w:rPr>
          <w:sz w:val="32"/>
          <w:szCs w:val="32"/>
        </w:rPr>
      </w:pPr>
      <w:r>
        <w:rPr>
          <w:rFonts w:hint="eastAsia"/>
          <w:sz w:val="32"/>
          <w:szCs w:val="32"/>
        </w:rPr>
        <w:t>十一、名词解释</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ind w:firstLine="643" w:firstLineChars="200"/>
        <w:rPr>
          <w:rFonts w:asciiTheme="majorHAnsi"/>
          <w:b/>
          <w:bCs/>
          <w:sz w:val="32"/>
          <w:szCs w:val="32"/>
        </w:rPr>
      </w:pPr>
      <w:r>
        <w:rPr>
          <w:rFonts w:hint="eastAsia" w:asciiTheme="majorHAnsi"/>
          <w:b/>
          <w:bCs/>
          <w:sz w:val="32"/>
          <w:szCs w:val="32"/>
        </w:rPr>
        <w:t>金川县咯尔乡人民政府2018年部门决算公开编制说明</w:t>
      </w:r>
    </w:p>
    <w:p>
      <w:pPr>
        <w:rPr>
          <w:b/>
          <w:bCs/>
          <w:sz w:val="32"/>
          <w:szCs w:val="32"/>
        </w:rPr>
      </w:pPr>
      <w:r>
        <w:rPr>
          <w:rFonts w:hint="eastAsia"/>
          <w:b/>
          <w:bCs/>
          <w:sz w:val="32"/>
          <w:szCs w:val="32"/>
        </w:rPr>
        <w:t>一、基本职能及主要工作</w:t>
      </w:r>
    </w:p>
    <w:p>
      <w:pPr>
        <w:rPr>
          <w:sz w:val="32"/>
          <w:szCs w:val="32"/>
        </w:rPr>
      </w:pPr>
      <w:r>
        <w:rPr>
          <w:rFonts w:hint="eastAsia"/>
          <w:sz w:val="32"/>
          <w:szCs w:val="32"/>
        </w:rPr>
        <w:t>（一）主要职能。</w:t>
      </w:r>
    </w:p>
    <w:p>
      <w:pPr>
        <w:rPr>
          <w:rFonts w:ascii="仿宋_GB2312" w:eastAsia="仿宋_GB2312"/>
          <w:sz w:val="32"/>
          <w:szCs w:val="32"/>
        </w:rPr>
      </w:pPr>
      <w:r>
        <w:rPr>
          <w:rFonts w:hint="eastAsia" w:eastAsia="仿宋_GB2312"/>
          <w:bCs/>
          <w:color w:val="000000"/>
          <w:sz w:val="32"/>
          <w:szCs w:val="32"/>
        </w:rPr>
        <w:t xml:space="preserve">   </w:t>
      </w:r>
      <w:r>
        <w:rPr>
          <w:rFonts w:hint="eastAsia" w:ascii="仿宋_GB2312"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咯尔发展的新局面。</w:t>
      </w:r>
    </w:p>
    <w:p>
      <w:pPr>
        <w:rPr>
          <w:sz w:val="32"/>
          <w:szCs w:val="32"/>
        </w:rPr>
      </w:pPr>
      <w:r>
        <w:rPr>
          <w:rFonts w:hint="eastAsia"/>
          <w:sz w:val="32"/>
          <w:szCs w:val="32"/>
        </w:rPr>
        <w:t>（二）2018年重点工作完成情况。</w:t>
      </w:r>
    </w:p>
    <w:p>
      <w:pPr>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1、乡党委围绕“两学一做”开展党建工作，提高乡村党员素质。</w:t>
      </w:r>
    </w:p>
    <w:p>
      <w:pPr>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2、本年度全乡进行精准脱贫攻坚工作，对全乡贫困户进行了精准摸排，并作出了脱贫安排，严格按照“六个一批”，对各贫困户制定了相应脱贫计划；2018年计划脱贫户顺利脱贫。</w:t>
      </w:r>
    </w:p>
    <w:p>
      <w:pPr>
        <w:snapToGrid w:val="0"/>
        <w:spacing w:line="360" w:lineRule="auto"/>
        <w:ind w:firstLine="640" w:firstLineChars="200"/>
        <w:rPr>
          <w:bCs/>
          <w:color w:val="000000"/>
          <w:sz w:val="32"/>
          <w:szCs w:val="32"/>
        </w:rPr>
      </w:pPr>
      <w:r>
        <w:rPr>
          <w:rFonts w:hint="eastAsia" w:ascii="仿宋_GB2312" w:hAnsi="宋体" w:eastAsia="仿宋_GB2312" w:cs="宋体"/>
          <w:kern w:val="0"/>
          <w:sz w:val="32"/>
          <w:szCs w:val="32"/>
        </w:rPr>
        <w:t>3、圆满完成了其他各项工作，并经验收合格。</w:t>
      </w:r>
    </w:p>
    <w:p>
      <w:pPr>
        <w:rPr>
          <w:b/>
          <w:bCs/>
          <w:sz w:val="32"/>
          <w:szCs w:val="32"/>
        </w:rPr>
      </w:pPr>
    </w:p>
    <w:p>
      <w:pPr>
        <w:rPr>
          <w:b/>
          <w:bCs/>
          <w:sz w:val="32"/>
          <w:szCs w:val="32"/>
        </w:rPr>
      </w:pPr>
      <w:r>
        <w:rPr>
          <w:rFonts w:hint="eastAsia"/>
          <w:b/>
          <w:bCs/>
          <w:sz w:val="32"/>
          <w:szCs w:val="32"/>
        </w:rPr>
        <w:t>二、部门概况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咯尔乡人民政府乡独立编制机构数2个，独立核算机构数1个，无增减变动，总编制28名，其中行政编制21名，事业编制5名，机关工勤2名。</w:t>
      </w:r>
    </w:p>
    <w:p>
      <w:pPr>
        <w:snapToGrid w:val="0"/>
        <w:spacing w:line="360" w:lineRule="auto"/>
        <w:rPr>
          <w:rFonts w:ascii="仿宋_GB2312" w:hAnsi="宋体" w:eastAsia="仿宋_GB2312"/>
          <w:b/>
          <w:sz w:val="32"/>
        </w:rPr>
      </w:pPr>
      <w:r>
        <w:rPr>
          <w:rFonts w:hint="eastAsia" w:ascii="仿宋_GB2312" w:hAnsi="宋体" w:eastAsia="仿宋_GB2312"/>
          <w:b/>
          <w:sz w:val="32"/>
        </w:rPr>
        <w:t>三、收支决算总体情况说明</w:t>
      </w:r>
    </w:p>
    <w:p>
      <w:pPr>
        <w:ind w:firstLine="640" w:firstLineChars="200"/>
        <w:rPr>
          <w:rFonts w:eastAsia="仿宋_GB2312"/>
          <w:bCs/>
          <w:color w:val="000000"/>
          <w:sz w:val="32"/>
          <w:szCs w:val="32"/>
        </w:rPr>
      </w:pPr>
      <w:r>
        <w:rPr>
          <w:rFonts w:hint="eastAsia" w:eastAsia="仿宋_GB2312"/>
          <w:bCs/>
          <w:color w:val="000000"/>
          <w:sz w:val="32"/>
          <w:szCs w:val="32"/>
        </w:rPr>
        <w:t>2018年咯尔乡一般公共预算财政拨款收入</w:t>
      </w:r>
      <w:r>
        <w:rPr>
          <w:rFonts w:hint="eastAsia" w:eastAsia="仿宋_GB2312"/>
          <w:bCs/>
          <w:color w:val="000000"/>
          <w:sz w:val="32"/>
          <w:szCs w:val="32"/>
          <w:lang w:val="en-US" w:eastAsia="zh-CN"/>
        </w:rPr>
        <w:t>657.1万元，年初结转和结余127万元，合计</w:t>
      </w:r>
      <w:r>
        <w:rPr>
          <w:rFonts w:hint="eastAsia" w:eastAsia="仿宋_GB2312"/>
          <w:bCs/>
          <w:color w:val="000000"/>
          <w:sz w:val="32"/>
          <w:szCs w:val="32"/>
        </w:rPr>
        <w:t>784.1万元，其中：一般公共预算财政拨款收入784.1万元，占100%；政府性基金预算财政拨款收入0万元，占0%；国有资本经营预算财政拨款收入0万元，占0%；事业收入0万元，占0%；经营收入0万元，占0%；附属单位上缴收入0万元，占0%；其他收入0万元，占0%。</w:t>
      </w:r>
    </w:p>
    <w:p>
      <w:pPr>
        <w:ind w:firstLine="640" w:firstLineChars="200"/>
        <w:rPr>
          <w:rFonts w:eastAsia="仿宋_GB2312"/>
          <w:bCs/>
          <w:color w:val="000000"/>
          <w:sz w:val="32"/>
          <w:szCs w:val="32"/>
        </w:rPr>
      </w:pPr>
      <w:r>
        <w:rPr>
          <w:rFonts w:hint="eastAsia" w:eastAsia="仿宋_GB2312"/>
          <w:bCs/>
          <w:color w:val="000000"/>
          <w:sz w:val="32"/>
          <w:szCs w:val="32"/>
        </w:rPr>
        <w:t>2018年咯尔乡本年支出合计618.59万元，其中：基本支出434万元，占70.16%；项目支出184.59万元，占29.84%；上缴上级支出0万元，占0%；经营支出0万元，占0%；对附属单位补助支出0万元，占0%。</w:t>
      </w:r>
    </w:p>
    <w:p>
      <w:pPr>
        <w:snapToGrid w:val="0"/>
        <w:spacing w:line="360" w:lineRule="auto"/>
        <w:rPr>
          <w:rFonts w:ascii="仿宋_GB2312" w:hAnsi="宋体" w:eastAsia="仿宋_GB2312"/>
          <w:b/>
          <w:sz w:val="32"/>
        </w:rPr>
      </w:pPr>
      <w:r>
        <w:rPr>
          <w:rFonts w:hint="eastAsia" w:ascii="仿宋_GB2312" w:hAnsi="宋体" w:eastAsia="仿宋_GB2312"/>
          <w:b/>
          <w:sz w:val="32"/>
        </w:rPr>
        <w:t>四、财政拨款收入支出决算总体情况说明</w:t>
      </w:r>
    </w:p>
    <w:p>
      <w:pPr>
        <w:ind w:firstLine="640" w:firstLineChars="200"/>
        <w:rPr>
          <w:rFonts w:eastAsia="仿宋_GB2312"/>
          <w:bCs/>
          <w:color w:val="000000"/>
          <w:sz w:val="32"/>
          <w:szCs w:val="32"/>
        </w:rPr>
      </w:pPr>
      <w:r>
        <w:rPr>
          <w:rFonts w:hint="eastAsia" w:eastAsia="仿宋_GB2312"/>
          <w:bCs/>
          <w:color w:val="000000"/>
          <w:sz w:val="32"/>
          <w:szCs w:val="32"/>
        </w:rPr>
        <w:t>2018年度财政拨款收、支总计784.1万元。与2017年相比，财政拨款收、支总计各增加40.33万元，增长5.1%。</w:t>
      </w:r>
    </w:p>
    <w:p>
      <w:pPr>
        <w:snapToGrid w:val="0"/>
        <w:spacing w:line="360" w:lineRule="auto"/>
        <w:rPr>
          <w:rFonts w:ascii="仿宋_GB2312" w:hAnsi="宋体" w:eastAsia="仿宋_GB2312"/>
          <w:b/>
          <w:sz w:val="32"/>
        </w:rPr>
      </w:pPr>
      <w:r>
        <w:rPr>
          <w:rFonts w:hint="eastAsia" w:ascii="仿宋_GB2312" w:hAnsi="宋体" w:eastAsia="仿宋_GB2312"/>
          <w:b/>
          <w:sz w:val="32"/>
        </w:rPr>
        <w:t>五、一般公共预算财政拨款支出决算情况说明</w:t>
      </w:r>
    </w:p>
    <w:p>
      <w:pPr>
        <w:ind w:firstLine="640" w:firstLineChars="200"/>
        <w:rPr>
          <w:rFonts w:eastAsia="仿宋_GB2312"/>
          <w:bCs/>
          <w:color w:val="000000"/>
          <w:sz w:val="32"/>
          <w:szCs w:val="32"/>
        </w:rPr>
      </w:pPr>
      <w:r>
        <w:rPr>
          <w:rFonts w:hint="eastAsia" w:eastAsia="仿宋_GB2312"/>
          <w:bCs/>
          <w:color w:val="000000"/>
          <w:sz w:val="32"/>
          <w:szCs w:val="32"/>
        </w:rPr>
        <w:t>（一）一般公共预算财政拨款支出决算总体情况</w:t>
      </w:r>
    </w:p>
    <w:p>
      <w:pPr>
        <w:ind w:firstLine="640" w:firstLineChars="200"/>
        <w:rPr>
          <w:rFonts w:eastAsia="仿宋_GB2312"/>
          <w:bCs/>
          <w:color w:val="000000"/>
          <w:sz w:val="32"/>
          <w:szCs w:val="32"/>
        </w:rPr>
      </w:pPr>
      <w:r>
        <w:rPr>
          <w:rFonts w:hint="eastAsia" w:eastAsia="仿宋_GB2312"/>
          <w:bCs/>
          <w:color w:val="000000"/>
          <w:sz w:val="32"/>
          <w:szCs w:val="32"/>
        </w:rPr>
        <w:t>2018年度一般公共预算财政拨款支出613.6万元，占本年支出合计的78.25%。与2017年相比，一般公共预算财政拨款减少9.17万元，减少1.47%。</w:t>
      </w:r>
    </w:p>
    <w:p>
      <w:pPr>
        <w:ind w:firstLine="640" w:firstLineChars="200"/>
        <w:rPr>
          <w:rFonts w:eastAsia="仿宋_GB2312"/>
          <w:bCs/>
          <w:color w:val="000000"/>
          <w:sz w:val="32"/>
          <w:szCs w:val="32"/>
        </w:rPr>
      </w:pPr>
      <w:r>
        <w:rPr>
          <w:rFonts w:hint="eastAsia" w:eastAsia="仿宋_GB2312"/>
          <w:bCs/>
          <w:color w:val="000000"/>
          <w:sz w:val="32"/>
          <w:szCs w:val="32"/>
        </w:rPr>
        <w:t>（二）一般公共预算财政拨款支出决算结构情况</w:t>
      </w:r>
    </w:p>
    <w:p>
      <w:pPr>
        <w:ind w:firstLine="640" w:firstLineChars="200"/>
        <w:rPr>
          <w:rFonts w:eastAsia="仿宋_GB2312"/>
          <w:bCs/>
          <w:color w:val="000000"/>
          <w:sz w:val="32"/>
          <w:szCs w:val="32"/>
        </w:rPr>
      </w:pPr>
      <w:r>
        <w:rPr>
          <w:rFonts w:hint="eastAsia" w:eastAsia="仿宋_GB2312"/>
          <w:bCs/>
          <w:color w:val="000000"/>
          <w:sz w:val="32"/>
          <w:szCs w:val="32"/>
        </w:rPr>
        <w:t>2018年一般公共预算财政拨款支出631.6万元，主要用于以下方面:一般公共服务支出282.73万元，占44.76%;社会保障和就业支出61.03万元，占9.66%；医疗卫生支出16.8万元，占2.66%；农林水支出214.04万元，占33.89%；住房保障支出34.68万元，占5.49%；其他支出4.32万元，占0.68%。</w:t>
      </w:r>
    </w:p>
    <w:p>
      <w:pPr>
        <w:ind w:firstLine="640" w:firstLineChars="200"/>
        <w:rPr>
          <w:rFonts w:eastAsia="仿宋_GB2312"/>
          <w:bCs/>
          <w:color w:val="000000"/>
          <w:sz w:val="32"/>
          <w:szCs w:val="32"/>
        </w:rPr>
      </w:pPr>
      <w:r>
        <w:rPr>
          <w:rFonts w:hint="eastAsia" w:eastAsia="仿宋_GB2312"/>
          <w:bCs/>
          <w:color w:val="000000"/>
          <w:sz w:val="32"/>
          <w:szCs w:val="32"/>
        </w:rPr>
        <w:t>（三）一般公共预算财政拨款支出决算具体情况</w:t>
      </w:r>
    </w:p>
    <w:p>
      <w:pPr>
        <w:ind w:firstLine="640" w:firstLineChars="200"/>
        <w:rPr>
          <w:rFonts w:eastAsia="仿宋_GB2312"/>
          <w:bCs/>
          <w:color w:val="000000"/>
          <w:sz w:val="32"/>
          <w:szCs w:val="32"/>
        </w:rPr>
      </w:pPr>
      <w:r>
        <w:rPr>
          <w:rFonts w:hint="eastAsia" w:eastAsia="仿宋_GB2312"/>
          <w:bCs/>
          <w:color w:val="000000"/>
          <w:sz w:val="32"/>
          <w:szCs w:val="32"/>
        </w:rPr>
        <w:t>一般公共服务（类）201（款）: 支出决算为282.73万元，完成预算113%，决算数大于预算数的主要原因是2018年调整工资标准。</w:t>
      </w:r>
    </w:p>
    <w:p>
      <w:pPr>
        <w:ind w:firstLine="640" w:firstLineChars="200"/>
        <w:rPr>
          <w:rFonts w:eastAsia="仿宋_GB2312"/>
          <w:bCs/>
          <w:color w:val="000000"/>
          <w:sz w:val="32"/>
          <w:szCs w:val="32"/>
        </w:rPr>
      </w:pPr>
      <w:r>
        <w:rPr>
          <w:rFonts w:hint="eastAsia" w:eastAsia="仿宋_GB2312"/>
          <w:bCs/>
          <w:color w:val="000000"/>
          <w:sz w:val="32"/>
          <w:szCs w:val="32"/>
        </w:rPr>
        <w:t>2.教育（类）***（款）***（项）: 支出决算为**万元，完成预算**%，决算数大于/小于预算数的主要原因是…。</w:t>
      </w:r>
    </w:p>
    <w:p>
      <w:pPr>
        <w:ind w:firstLine="640" w:firstLineChars="200"/>
        <w:rPr>
          <w:rFonts w:eastAsia="仿宋_GB2312"/>
          <w:bCs/>
          <w:color w:val="000000"/>
          <w:sz w:val="32"/>
          <w:szCs w:val="32"/>
        </w:rPr>
      </w:pPr>
      <w:r>
        <w:rPr>
          <w:rFonts w:hint="eastAsia" w:eastAsia="仿宋_GB2312"/>
          <w:bCs/>
          <w:color w:val="000000"/>
          <w:sz w:val="32"/>
          <w:szCs w:val="32"/>
        </w:rPr>
        <w:t>3.科学技术（类）***（款）***（项）: 支出决算为**万元，完成预算**%，决算数大于/小于预算数的主要原因是…。</w:t>
      </w:r>
    </w:p>
    <w:p>
      <w:pPr>
        <w:ind w:firstLine="640" w:firstLineChars="200"/>
        <w:rPr>
          <w:rFonts w:eastAsia="仿宋_GB2312"/>
          <w:bCs/>
          <w:color w:val="000000"/>
          <w:sz w:val="32"/>
          <w:szCs w:val="32"/>
        </w:rPr>
      </w:pPr>
      <w:r>
        <w:rPr>
          <w:rFonts w:hint="eastAsia" w:eastAsia="仿宋_GB2312"/>
          <w:bCs/>
          <w:color w:val="000000"/>
          <w:sz w:val="32"/>
          <w:szCs w:val="32"/>
        </w:rPr>
        <w:t>4.文化体育与传媒（类）***（款）***（项）: 支出决算为**万元，完成预算**%，决算数大于/小于预算数的主要原因是…。</w:t>
      </w:r>
    </w:p>
    <w:p>
      <w:pPr>
        <w:ind w:firstLine="640" w:firstLineChars="200"/>
        <w:rPr>
          <w:rFonts w:eastAsia="仿宋_GB2312"/>
          <w:bCs/>
          <w:color w:val="000000"/>
          <w:sz w:val="32"/>
          <w:szCs w:val="32"/>
        </w:rPr>
      </w:pPr>
      <w:r>
        <w:rPr>
          <w:rFonts w:hint="eastAsia" w:eastAsia="仿宋_GB2312"/>
          <w:bCs/>
          <w:color w:val="000000"/>
          <w:sz w:val="32"/>
          <w:szCs w:val="32"/>
        </w:rPr>
        <w:t>5.社会保障和就业（类）208（款）: 支出决算为61.03万元，完成预算85%，决算数小于预算数的主要原因是人员变动。</w:t>
      </w:r>
    </w:p>
    <w:p>
      <w:pPr>
        <w:ind w:firstLine="640" w:firstLineChars="200"/>
        <w:rPr>
          <w:rFonts w:eastAsia="仿宋_GB2312"/>
          <w:bCs/>
          <w:color w:val="000000"/>
          <w:sz w:val="32"/>
          <w:szCs w:val="32"/>
        </w:rPr>
      </w:pPr>
      <w:r>
        <w:rPr>
          <w:rFonts w:hint="eastAsia" w:eastAsia="仿宋_GB2312"/>
          <w:bCs/>
          <w:color w:val="000000"/>
          <w:sz w:val="32"/>
          <w:szCs w:val="32"/>
        </w:rPr>
        <w:t>6.医疗卫生与计划生育（类）210（款）:支出决算为16.8万元，完成预算87%，决算数小于预算数的主要原因是人员变动。</w:t>
      </w:r>
    </w:p>
    <w:p>
      <w:pPr>
        <w:ind w:firstLine="640" w:firstLineChars="200"/>
        <w:rPr>
          <w:rFonts w:eastAsia="仿宋_GB2312"/>
          <w:bCs/>
          <w:color w:val="000000"/>
          <w:sz w:val="32"/>
          <w:szCs w:val="32"/>
        </w:rPr>
      </w:pPr>
      <w:r>
        <w:rPr>
          <w:rFonts w:hint="eastAsia" w:eastAsia="仿宋_GB2312"/>
          <w:bCs/>
          <w:color w:val="000000"/>
          <w:sz w:val="32"/>
          <w:szCs w:val="32"/>
        </w:rPr>
        <w:t>7.农林水支出（类）213（款）:支出决算为214.04万元，完成预算150%，决算数大于预算数的主要原因是新增农村道路建设及防汛项目。</w:t>
      </w:r>
    </w:p>
    <w:p>
      <w:pPr>
        <w:ind w:firstLine="640" w:firstLineChars="200"/>
        <w:rPr>
          <w:rFonts w:eastAsia="仿宋_GB2312"/>
          <w:bCs/>
          <w:color w:val="000000"/>
          <w:sz w:val="32"/>
          <w:szCs w:val="32"/>
        </w:rPr>
      </w:pPr>
      <w:r>
        <w:rPr>
          <w:rFonts w:hint="eastAsia" w:eastAsia="仿宋_GB2312"/>
          <w:bCs/>
          <w:color w:val="000000"/>
          <w:sz w:val="32"/>
          <w:szCs w:val="32"/>
        </w:rPr>
        <w:t>8.住房保障支出（类）221（款）:支出决算为34.68万元，完成预算98.22%，决算数小于预算数的主要原因是人员变动。</w:t>
      </w:r>
    </w:p>
    <w:p>
      <w:pPr>
        <w:ind w:firstLine="640" w:firstLineChars="200"/>
        <w:rPr>
          <w:rFonts w:eastAsia="仿宋_GB2312"/>
          <w:bCs/>
          <w:color w:val="000000"/>
          <w:sz w:val="32"/>
          <w:szCs w:val="32"/>
        </w:rPr>
      </w:pPr>
      <w:r>
        <w:rPr>
          <w:rFonts w:hint="eastAsia" w:eastAsia="仿宋_GB2312"/>
          <w:bCs/>
          <w:color w:val="000000"/>
          <w:sz w:val="32"/>
          <w:szCs w:val="32"/>
        </w:rPr>
        <w:t>9.其他支出（类）229（款）:支出决算为4.32万元，完成预算25%，决算数小于预算数的主要原因是人员减少。</w:t>
      </w:r>
    </w:p>
    <w:p>
      <w:pPr>
        <w:snapToGrid w:val="0"/>
        <w:spacing w:line="360" w:lineRule="auto"/>
        <w:rPr>
          <w:rFonts w:ascii="仿宋_GB2312" w:hAnsi="宋体" w:eastAsia="仿宋_GB2312"/>
          <w:b/>
          <w:sz w:val="32"/>
        </w:rPr>
      </w:pPr>
      <w:r>
        <w:rPr>
          <w:rFonts w:hint="eastAsia" w:ascii="仿宋_GB2312" w:hAnsi="宋体" w:eastAsia="仿宋_GB2312"/>
          <w:b/>
          <w:sz w:val="32"/>
        </w:rPr>
        <w:t>六、一般公共预算财政拨款基本支出决算情况说明</w:t>
      </w:r>
    </w:p>
    <w:p>
      <w:pPr>
        <w:ind w:firstLine="640" w:firstLineChars="200"/>
        <w:rPr>
          <w:rFonts w:eastAsia="仿宋_GB2312"/>
          <w:bCs/>
          <w:color w:val="000000"/>
          <w:sz w:val="32"/>
          <w:szCs w:val="32"/>
        </w:rPr>
      </w:pPr>
      <w:r>
        <w:rPr>
          <w:rFonts w:hint="eastAsia" w:eastAsia="仿宋_GB2312"/>
          <w:bCs/>
          <w:color w:val="000000"/>
          <w:sz w:val="32"/>
          <w:szCs w:val="32"/>
        </w:rPr>
        <w:t>2018年度一般公共预算财政拨款基本支出434万元，其中：</w:t>
      </w:r>
    </w:p>
    <w:p>
      <w:pPr>
        <w:ind w:firstLine="640" w:firstLineChars="200"/>
        <w:rPr>
          <w:rFonts w:hint="eastAsia" w:eastAsia="仿宋_GB2312"/>
          <w:bCs/>
          <w:color w:val="000000"/>
          <w:sz w:val="32"/>
          <w:szCs w:val="32"/>
        </w:rPr>
      </w:pPr>
      <w:r>
        <w:rPr>
          <w:rFonts w:hint="eastAsia" w:eastAsia="仿宋_GB2312"/>
          <w:bCs/>
          <w:color w:val="000000"/>
          <w:sz w:val="32"/>
          <w:szCs w:val="32"/>
        </w:rPr>
        <w:t>人员经费383.18万元，主要包括：基本工资92.8万元、津贴补贴150.89万元、奖金7.66万元、伙食补助费0、绩效工资14.28万元、机关事业单位基本养老保险缴费43.9万元、职业年金缴费17.13万元、职工医疗保险16.8万元、其他社会保障缴费5.04万元、住房公积金34.68万元。</w:t>
      </w:r>
    </w:p>
    <w:p>
      <w:pPr>
        <w:ind w:firstLine="640" w:firstLineChars="200"/>
        <w:rPr>
          <w:rFonts w:hint="eastAsia" w:eastAsia="仿宋_GB2312"/>
          <w:bCs/>
          <w:color w:val="000000"/>
          <w:sz w:val="32"/>
          <w:szCs w:val="32"/>
        </w:rPr>
      </w:pPr>
      <w:r>
        <w:rPr>
          <w:rFonts w:hint="eastAsia" w:eastAsia="仿宋_GB2312"/>
          <w:bCs/>
          <w:color w:val="000000"/>
          <w:sz w:val="32"/>
          <w:szCs w:val="32"/>
        </w:rPr>
        <w:t>其他对个人和家庭的补助支出2.67其他工资福利支出、离休费、退休费、抚恤金、生活补助2.6万元、医疗费、奖励金0.07万元、、提租补贴、购房补贴、其他对个人和家庭的补助支出等。</w:t>
      </w:r>
    </w:p>
    <w:p>
      <w:pPr>
        <w:ind w:firstLine="320" w:firstLineChars="100"/>
        <w:rPr>
          <w:rFonts w:eastAsia="仿宋_GB2312"/>
          <w:bCs/>
          <w:color w:val="000000"/>
          <w:sz w:val="32"/>
          <w:szCs w:val="32"/>
        </w:rPr>
      </w:pPr>
      <w:r>
        <w:rPr>
          <w:rFonts w:hint="eastAsia" w:eastAsia="仿宋_GB2312"/>
          <w:bCs/>
          <w:color w:val="000000"/>
          <w:sz w:val="32"/>
          <w:szCs w:val="32"/>
        </w:rPr>
        <w:t>公用经费48.15万元，主要包括：办公费6.07万元、印刷费1.27万元、咨询费、手续费、水费、电费1万元、邮电费2万元、取暖费1万元、物业管理费、差旅费3.99万元、因公出国（境）费用、维修（护）费万元、租赁费、会议费万元、培训费、公务接待费、劳务费6万元、委托业务费、工会经费、福利费、公务用车运行维护费5万元、其他交通费、税金及附加费用、其他商品和服务支出、办公设备购置、专用材料费万元、信息网络及软件购置更新、其他资本性支出等21.82。</w:t>
      </w:r>
    </w:p>
    <w:p>
      <w:pPr>
        <w:rPr>
          <w:rFonts w:asciiTheme="minorEastAsia" w:hAnsiTheme="minorEastAsia" w:cstheme="minorEastAsia"/>
          <w:b/>
          <w:bCs/>
          <w:sz w:val="32"/>
          <w:szCs w:val="32"/>
        </w:rPr>
      </w:pPr>
      <w:r>
        <w:rPr>
          <w:rFonts w:hint="eastAsia" w:asciiTheme="minorEastAsia" w:hAnsiTheme="minorEastAsia" w:cstheme="minorEastAsia"/>
          <w:b/>
          <w:bCs/>
          <w:sz w:val="32"/>
          <w:szCs w:val="32"/>
        </w:rPr>
        <w:t>七、“三公”经费财政拨款支出决算情况说明</w:t>
      </w:r>
    </w:p>
    <w:p>
      <w:pPr>
        <w:ind w:firstLine="640" w:firstLineChars="200"/>
        <w:rPr>
          <w:rFonts w:eastAsia="仿宋_GB2312"/>
          <w:bCs/>
          <w:color w:val="000000"/>
          <w:sz w:val="32"/>
          <w:szCs w:val="32"/>
        </w:rPr>
      </w:pPr>
      <w:r>
        <w:rPr>
          <w:rFonts w:hint="eastAsia" w:eastAsia="仿宋_GB2312"/>
          <w:bCs/>
          <w:color w:val="000000"/>
          <w:sz w:val="32"/>
          <w:szCs w:val="32"/>
        </w:rPr>
        <w:t>（一）“三公”经费财政拨款支出决算总体情况说明</w:t>
      </w:r>
    </w:p>
    <w:p>
      <w:pPr>
        <w:ind w:firstLine="640" w:firstLineChars="200"/>
        <w:rPr>
          <w:rFonts w:eastAsia="仿宋_GB2312"/>
          <w:bCs/>
          <w:color w:val="000000"/>
          <w:sz w:val="32"/>
          <w:szCs w:val="32"/>
        </w:rPr>
      </w:pPr>
      <w:r>
        <w:rPr>
          <w:rFonts w:hint="eastAsia" w:eastAsia="仿宋_GB2312"/>
          <w:bCs/>
          <w:color w:val="000000"/>
          <w:sz w:val="32"/>
          <w:szCs w:val="32"/>
        </w:rPr>
        <w:t>2018年度“三公”经费财政拨款支出决算为26.82万元，完成预算536%，决算数大于预算数是由于2017年未预算公务用车购置费21.82万元。</w:t>
      </w:r>
    </w:p>
    <w:p>
      <w:pPr>
        <w:ind w:firstLine="640" w:firstLineChars="200"/>
        <w:rPr>
          <w:rFonts w:eastAsia="仿宋_GB2312"/>
          <w:bCs/>
          <w:color w:val="000000"/>
          <w:sz w:val="32"/>
          <w:szCs w:val="32"/>
        </w:rPr>
      </w:pPr>
      <w:r>
        <w:rPr>
          <w:rFonts w:hint="eastAsia" w:eastAsia="仿宋_GB2312"/>
          <w:bCs/>
          <w:color w:val="000000"/>
          <w:sz w:val="32"/>
          <w:szCs w:val="32"/>
        </w:rPr>
        <w:t>（二）“三公”经费财政拨款支出决算具体情况说明</w:t>
      </w:r>
    </w:p>
    <w:p>
      <w:pPr>
        <w:ind w:firstLine="640" w:firstLineChars="200"/>
        <w:rPr>
          <w:rFonts w:eastAsia="仿宋_GB2312"/>
          <w:bCs/>
          <w:color w:val="000000"/>
          <w:sz w:val="32"/>
          <w:szCs w:val="32"/>
        </w:rPr>
      </w:pPr>
      <w:r>
        <w:rPr>
          <w:rFonts w:hint="eastAsia" w:eastAsia="仿宋_GB2312"/>
          <w:bCs/>
          <w:color w:val="000000"/>
          <w:sz w:val="32"/>
          <w:szCs w:val="32"/>
        </w:rPr>
        <w:t>2018年度“三公”经费财政拨款支出决算中，因公出国（境）费支出决算0万元，占0%；公务用车购置及运行维护费支出决算26.82万元，占100%；公务接待费支出决算0万元，占0%。具体情况如下</w:t>
      </w:r>
    </w:p>
    <w:p>
      <w:pPr>
        <w:ind w:firstLine="640" w:firstLineChars="200"/>
        <w:rPr>
          <w:rFonts w:eastAsia="仿宋_GB2312"/>
          <w:bCs/>
          <w:color w:val="000000"/>
          <w:sz w:val="32"/>
          <w:szCs w:val="32"/>
        </w:rPr>
      </w:pPr>
      <w:r>
        <w:rPr>
          <w:rFonts w:hint="eastAsia" w:eastAsia="仿宋_GB2312"/>
          <w:bCs/>
          <w:color w:val="000000"/>
          <w:sz w:val="32"/>
          <w:szCs w:val="32"/>
        </w:rPr>
        <w:t>1.因公出国（境）经费支出0万元。全年安排因公出国（境）团组0次，出国（境）0人。开支内容包括：（团组名称、出访地点、取得成效）等。</w:t>
      </w:r>
    </w:p>
    <w:p>
      <w:pPr>
        <w:ind w:firstLine="640" w:firstLineChars="200"/>
        <w:rPr>
          <w:rFonts w:eastAsia="仿宋_GB2312"/>
          <w:bCs/>
          <w:color w:val="000000"/>
          <w:sz w:val="32"/>
          <w:szCs w:val="32"/>
        </w:rPr>
      </w:pPr>
      <w:r>
        <w:rPr>
          <w:rFonts w:hint="eastAsia" w:eastAsia="仿宋_GB2312"/>
          <w:bCs/>
          <w:color w:val="000000"/>
          <w:sz w:val="32"/>
          <w:szCs w:val="32"/>
        </w:rPr>
        <w:t>2.公务用车购置及运行维护费支出26.82万元。其中：</w:t>
      </w:r>
    </w:p>
    <w:p>
      <w:pPr>
        <w:ind w:firstLine="640" w:firstLineChars="200"/>
        <w:rPr>
          <w:rFonts w:eastAsia="仿宋_GB2312"/>
          <w:bCs/>
          <w:color w:val="000000"/>
          <w:sz w:val="32"/>
          <w:szCs w:val="32"/>
        </w:rPr>
      </w:pPr>
      <w:r>
        <w:rPr>
          <w:rFonts w:hint="eastAsia" w:eastAsia="仿宋_GB2312"/>
          <w:bCs/>
          <w:color w:val="000000"/>
          <w:sz w:val="32"/>
          <w:szCs w:val="32"/>
        </w:rPr>
        <w:t>公务用车购置支出21.68万元。全年按规定更新购置公务用车1辆，其中：轿车辆、金额0万元，越野车1辆、金额21.68万元，载客汽车0辆、金额0万元，主要用于下村公务派车。截至2018年12月底，单位共有公务用车2辆，其中：轿车1辆、越野车1辆、载客汽0辆。</w:t>
      </w:r>
    </w:p>
    <w:p>
      <w:pPr>
        <w:ind w:firstLine="640" w:firstLineChars="200"/>
        <w:rPr>
          <w:rFonts w:eastAsia="仿宋_GB2312"/>
          <w:bCs/>
          <w:color w:val="000000"/>
          <w:sz w:val="32"/>
          <w:szCs w:val="32"/>
        </w:rPr>
      </w:pPr>
      <w:r>
        <w:rPr>
          <w:rFonts w:hint="eastAsia" w:eastAsia="仿宋_GB2312"/>
          <w:bCs/>
          <w:color w:val="000000"/>
          <w:sz w:val="32"/>
          <w:szCs w:val="32"/>
        </w:rPr>
        <w:t>公务用车运行维护费支出4.99万元。主要用于下村（具体工作）等所需的公务用车燃料费、维修费、过路过桥费、保险费等支出。</w:t>
      </w:r>
    </w:p>
    <w:p>
      <w:pPr>
        <w:ind w:firstLine="640" w:firstLineChars="200"/>
        <w:rPr>
          <w:rFonts w:eastAsia="仿宋_GB2312"/>
          <w:bCs/>
          <w:color w:val="000000"/>
          <w:sz w:val="32"/>
          <w:szCs w:val="32"/>
        </w:rPr>
      </w:pPr>
      <w:r>
        <w:rPr>
          <w:rFonts w:hint="eastAsia" w:eastAsia="仿宋_GB2312"/>
          <w:bCs/>
          <w:color w:val="000000"/>
          <w:sz w:val="32"/>
          <w:szCs w:val="32"/>
        </w:rPr>
        <w:t>公务用车购置及运行维护费支出决算比2017年增加21.62万元，增长432%。主要原因是2018年购置公务用车21.62万元。</w:t>
      </w:r>
    </w:p>
    <w:p>
      <w:pPr>
        <w:ind w:firstLine="640" w:firstLineChars="200"/>
        <w:rPr>
          <w:rFonts w:eastAsia="仿宋_GB2312"/>
          <w:bCs/>
          <w:color w:val="000000"/>
          <w:sz w:val="32"/>
          <w:szCs w:val="32"/>
        </w:rPr>
      </w:pPr>
      <w:r>
        <w:rPr>
          <w:rFonts w:hint="eastAsia" w:eastAsia="仿宋_GB2312"/>
          <w:bCs/>
          <w:color w:val="000000"/>
          <w:sz w:val="32"/>
          <w:szCs w:val="32"/>
        </w:rPr>
        <w:t>3.公务接待费支出0万元。主要用于执行公务、开展业务活动开支的交通费、住宿费、用餐费等。国内公务接待批0次，0人次（不包括陪同人员），共计支出0万元，具体内容包括：（接待具体食宿、金额0万元）。其中：外事接待0批次，0人，共计支出0万元，主要用于接待…（具体项目）。</w:t>
      </w:r>
    </w:p>
    <w:p>
      <w:pPr>
        <w:ind w:firstLine="640" w:firstLineChars="200"/>
        <w:rPr>
          <w:rFonts w:eastAsia="仿宋_GB2312"/>
          <w:bCs/>
          <w:color w:val="000000"/>
          <w:sz w:val="32"/>
          <w:szCs w:val="32"/>
        </w:rPr>
      </w:pPr>
      <w:r>
        <w:rPr>
          <w:rFonts w:hint="eastAsia" w:eastAsia="仿宋_GB2312"/>
          <w:bCs/>
          <w:color w:val="000000"/>
          <w:sz w:val="32"/>
          <w:szCs w:val="32"/>
        </w:rPr>
        <w:t>公务接待费支出决算年增加万元，增长。主要原因是接待人数增加。</w:t>
      </w:r>
    </w:p>
    <w:p>
      <w:pPr>
        <w:snapToGrid w:val="0"/>
        <w:spacing w:line="360" w:lineRule="auto"/>
        <w:rPr>
          <w:rFonts w:ascii="仿宋_GB2312" w:hAnsi="宋体" w:eastAsia="仿宋_GB2312"/>
          <w:b/>
          <w:sz w:val="32"/>
        </w:rPr>
      </w:pPr>
      <w:r>
        <w:rPr>
          <w:rFonts w:hint="eastAsia" w:ascii="仿宋_GB2312" w:hAnsi="宋体" w:eastAsia="仿宋_GB2312"/>
          <w:b/>
          <w:sz w:val="32"/>
        </w:rPr>
        <w:t>八、政府性基金预算支出决算情况说明</w:t>
      </w:r>
    </w:p>
    <w:p>
      <w:pPr>
        <w:ind w:firstLine="640" w:firstLineChars="200"/>
        <w:rPr>
          <w:rFonts w:eastAsia="仿宋_GB2312"/>
          <w:bCs/>
          <w:color w:val="000000"/>
          <w:sz w:val="32"/>
          <w:szCs w:val="32"/>
        </w:rPr>
      </w:pPr>
      <w:r>
        <w:rPr>
          <w:rFonts w:hint="eastAsia" w:eastAsia="仿宋_GB2312"/>
          <w:bCs/>
          <w:color w:val="000000"/>
          <w:sz w:val="32"/>
          <w:szCs w:val="32"/>
        </w:rPr>
        <w:t>2018年度政府性基金预算拨款支出5万元。</w:t>
      </w:r>
    </w:p>
    <w:p>
      <w:pPr>
        <w:snapToGrid w:val="0"/>
        <w:spacing w:line="360" w:lineRule="auto"/>
        <w:rPr>
          <w:rFonts w:ascii="仿宋_GB2312" w:hAnsi="宋体" w:eastAsia="仿宋_GB2312"/>
          <w:b/>
          <w:sz w:val="32"/>
        </w:rPr>
      </w:pPr>
      <w:r>
        <w:rPr>
          <w:rFonts w:hint="eastAsia" w:ascii="仿宋_GB2312" w:hAnsi="宋体" w:eastAsia="仿宋_GB2312"/>
          <w:b/>
          <w:sz w:val="32"/>
        </w:rPr>
        <w:t>九、国有资本经营预算支出决算情况说明</w:t>
      </w:r>
    </w:p>
    <w:p>
      <w:pPr>
        <w:ind w:firstLine="640" w:firstLineChars="200"/>
        <w:rPr>
          <w:rFonts w:eastAsia="仿宋_GB2312"/>
          <w:bCs/>
          <w:color w:val="000000"/>
          <w:sz w:val="32"/>
          <w:szCs w:val="32"/>
        </w:rPr>
      </w:pPr>
      <w:r>
        <w:rPr>
          <w:rFonts w:hint="eastAsia" w:eastAsia="仿宋_GB2312"/>
          <w:bCs/>
          <w:color w:val="000000"/>
          <w:sz w:val="32"/>
          <w:szCs w:val="32"/>
        </w:rPr>
        <w:t>2018年度国有资本经营预算拨款支出0万元。</w:t>
      </w:r>
    </w:p>
    <w:p>
      <w:pPr>
        <w:numPr>
          <w:ilvl w:val="0"/>
          <w:numId w:val="2"/>
        </w:numPr>
        <w:snapToGrid w:val="0"/>
        <w:spacing w:line="360" w:lineRule="auto"/>
        <w:rPr>
          <w:rFonts w:ascii="仿宋_GB2312" w:hAnsi="宋体" w:eastAsia="仿宋_GB2312"/>
          <w:bCs/>
          <w:sz w:val="32"/>
        </w:rPr>
      </w:pPr>
      <w:r>
        <w:rPr>
          <w:rFonts w:hint="eastAsia" w:ascii="仿宋_GB2312" w:hAnsi="宋体" w:eastAsia="仿宋_GB2312"/>
          <w:b/>
          <w:sz w:val="32"/>
        </w:rPr>
        <w:t>其他重要事项的情况说明</w:t>
      </w:r>
    </w:p>
    <w:p>
      <w:pPr>
        <w:numPr>
          <w:ilvl w:val="0"/>
          <w:numId w:val="0"/>
        </w:numPr>
        <w:snapToGrid w:val="0"/>
        <w:spacing w:line="360" w:lineRule="auto"/>
        <w:rPr>
          <w:rFonts w:hint="eastAsia" w:ascii="仿宋_GB2312" w:hAnsi="宋体" w:eastAsia="仿宋_GB2312"/>
          <w:bCs/>
          <w:sz w:val="32"/>
          <w:lang w:val="en-US" w:eastAsia="zh-CN"/>
        </w:rPr>
      </w:pPr>
      <w:r>
        <w:rPr>
          <w:rFonts w:hint="eastAsia" w:ascii="仿宋_GB2312" w:hAnsi="宋体" w:eastAsia="仿宋_GB2312"/>
          <w:bCs/>
          <w:sz w:val="32"/>
          <w:lang w:val="en-US" w:eastAsia="zh-CN"/>
        </w:rPr>
        <w:t xml:space="preserve">    （一）机关运行经费执行情况 </w:t>
      </w:r>
    </w:p>
    <w:p>
      <w:pPr>
        <w:numPr>
          <w:ilvl w:val="0"/>
          <w:numId w:val="0"/>
        </w:numPr>
        <w:snapToGrid w:val="0"/>
        <w:spacing w:line="360" w:lineRule="auto"/>
        <w:rPr>
          <w:rFonts w:hint="eastAsia" w:ascii="仿宋_GB2312" w:hAnsi="宋体" w:eastAsia="仿宋_GB2312"/>
          <w:bCs/>
          <w:sz w:val="32"/>
          <w:lang w:eastAsia="zh-CN"/>
        </w:rPr>
      </w:pPr>
      <w:r>
        <w:rPr>
          <w:rFonts w:hint="eastAsia" w:ascii="仿宋_GB2312" w:hAnsi="宋体" w:eastAsia="仿宋_GB2312"/>
          <w:bCs/>
          <w:sz w:val="32"/>
          <w:lang w:val="en-US" w:eastAsia="zh-CN"/>
        </w:rPr>
        <w:t xml:space="preserve">    </w:t>
      </w:r>
      <w:r>
        <w:rPr>
          <w:rFonts w:hint="eastAsia" w:ascii="仿宋_GB2312" w:hAnsi="宋体" w:eastAsia="仿宋_GB2312"/>
          <w:bCs/>
          <w:sz w:val="32"/>
        </w:rPr>
        <w:t>2018年度，我乡机关运行经费支出0万元，2017年0万元，与2017年持平。</w:t>
      </w:r>
    </w:p>
    <w:p>
      <w:pPr>
        <w:numPr>
          <w:ilvl w:val="0"/>
          <w:numId w:val="0"/>
        </w:numPr>
        <w:snapToGrid w:val="0"/>
        <w:spacing w:line="360" w:lineRule="auto"/>
        <w:rPr>
          <w:rFonts w:ascii="仿宋_GB2312" w:hAnsi="宋体" w:eastAsia="仿宋_GB2312"/>
          <w:bCs/>
          <w:sz w:val="32"/>
        </w:rPr>
      </w:pPr>
      <w:r>
        <w:rPr>
          <w:rFonts w:hint="eastAsia" w:ascii="仿宋_GB2312" w:hAnsi="宋体" w:eastAsia="仿宋_GB2312"/>
          <w:bCs/>
          <w:sz w:val="32"/>
          <w:lang w:val="en-US" w:eastAsia="zh-CN"/>
        </w:rPr>
        <w:t xml:space="preserve">   </w:t>
      </w:r>
      <w:r>
        <w:rPr>
          <w:rFonts w:hint="eastAsia" w:ascii="仿宋_GB2312" w:hAnsi="宋体" w:eastAsia="仿宋_GB2312"/>
          <w:bCs/>
          <w:sz w:val="32"/>
          <w:lang w:eastAsia="zh-CN"/>
        </w:rPr>
        <w:t>（二）</w:t>
      </w:r>
      <w:r>
        <w:rPr>
          <w:rFonts w:hint="eastAsia" w:ascii="仿宋_GB2312" w:hAnsi="宋体" w:eastAsia="仿宋_GB2312"/>
          <w:bCs/>
          <w:sz w:val="32"/>
        </w:rPr>
        <w:t>政府采购支出情况</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2018年度，咯尔乡政府采购支出总额26.81万元，其中：政府采购货物支出4.99万元、政府采购工程支出21.82万元、政府采购服务支出0万元。主要用于日常下村（具体工作）。授予中小企业合同金额0万元，占政府采购支出总额的0%，其中：授予小微企业合同金额0万元，占政府采购支出总额的0%。</w:t>
      </w:r>
    </w:p>
    <w:p>
      <w:pPr>
        <w:snapToGrid w:val="0"/>
        <w:spacing w:line="360" w:lineRule="auto"/>
        <w:rPr>
          <w:rFonts w:ascii="仿宋_GB2312" w:hAnsi="宋体" w:eastAsia="仿宋_GB2312"/>
          <w:bCs/>
          <w:sz w:val="32"/>
        </w:rPr>
      </w:pPr>
      <w:r>
        <w:rPr>
          <w:rFonts w:hint="eastAsia" w:ascii="仿宋_GB2312" w:hAnsi="宋体" w:eastAsia="仿宋_GB2312"/>
          <w:bCs/>
          <w:sz w:val="32"/>
        </w:rPr>
        <w:t>（</w:t>
      </w:r>
      <w:r>
        <w:rPr>
          <w:rFonts w:hint="eastAsia" w:ascii="仿宋_GB2312" w:hAnsi="宋体" w:eastAsia="仿宋_GB2312"/>
          <w:bCs/>
          <w:sz w:val="32"/>
          <w:lang w:eastAsia="zh-CN"/>
        </w:rPr>
        <w:t>三</w:t>
      </w:r>
      <w:r>
        <w:rPr>
          <w:rFonts w:hint="eastAsia" w:ascii="仿宋_GB2312" w:hAnsi="宋体" w:eastAsia="仿宋_GB2312"/>
          <w:bCs/>
          <w:sz w:val="32"/>
        </w:rPr>
        <w:t>）国有资产占有使用情况</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截至2018年12月31日，咯尔乡共有车辆2辆，其中：部级领导干部用车0辆、一般公务用车2辆、一般执法执勤用车0辆、特种专业技术用车0辆、其他用车0辆；单价50万元以上通用设备0台（套），单价100万元以上专用设备0台（套）。</w:t>
      </w:r>
    </w:p>
    <w:p>
      <w:pPr>
        <w:snapToGrid w:val="0"/>
        <w:spacing w:line="360" w:lineRule="auto"/>
        <w:rPr>
          <w:rFonts w:eastAsia="仿宋_GB2312"/>
          <w:bCs/>
          <w:color w:val="000000"/>
          <w:sz w:val="32"/>
          <w:szCs w:val="32"/>
        </w:rPr>
      </w:pPr>
      <w:r>
        <w:rPr>
          <w:rFonts w:hint="eastAsia" w:eastAsia="仿宋_GB2312"/>
          <w:bCs/>
          <w:color w:val="000000"/>
          <w:sz w:val="32"/>
          <w:szCs w:val="32"/>
        </w:rPr>
        <w:t>（</w:t>
      </w:r>
      <w:r>
        <w:rPr>
          <w:rFonts w:hint="eastAsia" w:eastAsia="仿宋_GB2312"/>
          <w:bCs/>
          <w:color w:val="000000"/>
          <w:sz w:val="32"/>
          <w:szCs w:val="32"/>
          <w:lang w:eastAsia="zh-CN"/>
        </w:rPr>
        <w:t>四</w:t>
      </w:r>
      <w:r>
        <w:rPr>
          <w:rFonts w:hint="eastAsia" w:eastAsia="仿宋_GB2312"/>
          <w:bCs/>
          <w:color w:val="000000"/>
          <w:sz w:val="32"/>
          <w:szCs w:val="32"/>
        </w:rPr>
        <w:t>）预算绩效情况</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1.绩效目标管理情况。</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按照预算绩效管理要求，本部门对2018年一般公共预算项目支出开展了绩效目标管理，共编制绩效目标0个，涉及财政资金0元，覆盖率达到0%。</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2.部门整体支出绩效自评开展情况。</w:t>
      </w:r>
    </w:p>
    <w:p>
      <w:pPr>
        <w:snapToGrid w:val="0"/>
        <w:spacing w:line="360" w:lineRule="auto"/>
        <w:ind w:firstLine="640" w:firstLineChars="200"/>
        <w:rPr>
          <w:rFonts w:eastAsia="仿宋_GB2312"/>
          <w:bCs/>
          <w:color w:val="000000"/>
          <w:sz w:val="32"/>
          <w:szCs w:val="32"/>
        </w:rPr>
      </w:pPr>
      <w:r>
        <w:rPr>
          <w:rFonts w:hint="eastAsia" w:eastAsia="仿宋_GB2312"/>
          <w:bCs/>
          <w:color w:val="000000"/>
          <w:sz w:val="32"/>
          <w:szCs w:val="32"/>
        </w:rPr>
        <w:t>按照预算绩效管理要求，本部门对2018年整体支出开展绩效自评，自评得分72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snapToGrid w:val="0"/>
        <w:spacing w:line="360" w:lineRule="auto"/>
        <w:rPr>
          <w:rFonts w:ascii="仿宋_GB2312" w:hAnsi="宋体" w:eastAsia="仿宋_GB2312"/>
          <w:b/>
          <w:sz w:val="32"/>
        </w:rPr>
      </w:pPr>
      <w:r>
        <w:rPr>
          <w:rFonts w:hint="eastAsia" w:ascii="仿宋_GB2312" w:hAnsi="宋体" w:eastAsia="仿宋_GB2312"/>
          <w:b/>
          <w:sz w:val="32"/>
        </w:rPr>
        <w:t>十一、名词解释</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1.财政拨款收入：指单位从同级财政部门取得的财政预算资金。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2.其他收入：指单位取得财政拨款收入以外的各项收入。主要是眉山援建项目收入等。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3.年初结转和结余：指以前年度尚未完成、结转到本年按有关规定继续使用的资金。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4、年末结转和结余：指单位按有关规定结转到下年或以后年度继续使用的资金。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5. 一般公共服务（类）201（款）01（项）01——行政运行：反映行政单位（包括实行公务员管理的事业单位）的基本支出反映行政单位（包括实行公务员管理的事业单位）的基本支出。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6. 一般公共服务（类）201（款）01（项）04——人大会议费：反映各级人大召开"人代会"等专门会议的支出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7. 一般公共服务（类）201（款03（项）01——行政运行：反映各级政府办公厅（室）及相关机构的支出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8. 一般公共服务（类）201（款）03（项）99——其他政府办公厅（室）及相关机构事务支出：反映除上述项目以外的其他政府办公厅（室）及相关机构事务支出。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9. 一般公共服务（类）201（款）06（项）01—行政运行: 反映财政事务方面的支出。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10. 一般公共服务（类）201（款）31（项）01—</w:t>
      </w:r>
      <w:r>
        <w:rPr>
          <w:rFonts w:hint="eastAsia" w:ascii="仿宋_GB2312" w:hAnsi="宋体" w:eastAsia="仿宋_GB2312"/>
          <w:bCs/>
          <w:sz w:val="32"/>
          <w:lang w:eastAsia="zh-CN"/>
        </w:rPr>
        <w:t>其他</w:t>
      </w:r>
      <w:bookmarkStart w:id="0" w:name="_GoBack"/>
      <w:bookmarkEnd w:id="0"/>
      <w:r>
        <w:rPr>
          <w:rFonts w:hint="eastAsia" w:ascii="仿宋_GB2312" w:hAnsi="宋体" w:eastAsia="仿宋_GB2312"/>
          <w:bCs/>
          <w:sz w:val="32"/>
        </w:rPr>
        <w:t xml:space="preserve">政府办公厅及相关事务支出:反映行政单位（包括实行公务员管理的事业单位）的基本支出 </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11.社会保障和就业支出（类）208（款）05（项）05——机关事业单位基本养老保险缴费支出：反映机关事业单位实施养老保险制度的单位缴纳的基本养老保险费支出。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12. 社会保障和就业支出（类）208（款）05（项）06——机关事业单位职业年金缴费支出：反映机关事业单位实施养老保险制度匝单位缴纳的职业年金支出。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13.医疗卫生与计划生育支出(类）210（款）11（项）01——行政单位医疗：反映财政部门集中安排的公务员医疗补助经费。</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14.医疗卫生与计划生育支出(类）210（款）11（项）02——事业单位医疗：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15.农林水支出（类）213（款）01（项）42—农村道路建设：反映用于农村公路、乡村道路建设方面的支出。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16.农林水支出（类）213（款）01（项）52—对高校毕业生到基层任职补助：反映按规定对高校毕业生到基层任职的补助支出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17.农林水支出（类）213（款）02（项）04—林业事业机构：反映用于林业事业单位的基本支出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19.农林水支出（类）213（款）07（项）05—对村民委员会和党支部补助：反映各级财政对村民委员会和村党支部的补助支出，以及支持建立县级基本财力保障机制安排的村级组织运转奖补资金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21.其他支出(类）229（款）99（项）01————其他支出：反映除上述项目以外其他不能划分到具体功能科目中的支出项目</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22.年末结转和结余：指本年度或以前年度预算安排、因客观条件发生变化无法按原计划实施，需延迟到以后年度按有关规定继续使用的资金。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23.基本支出：指为保障机构正常运转、完成日常工作任务而发生的人员支出和公用支出。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24.项目支出：指在基本支出之外为完成特定行政任务和事业发展目标所发生的支出。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ascii="仿宋_GB2312" w:hAnsi="宋体" w:eastAsia="仿宋_GB2312"/>
          <w:bCs/>
          <w:sz w:val="32"/>
        </w:rPr>
      </w:pP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 xml:space="preserve"> </w:t>
      </w:r>
    </w:p>
    <w:p>
      <w:pPr>
        <w:snapToGrid w:val="0"/>
        <w:spacing w:line="360" w:lineRule="auto"/>
        <w:ind w:firstLine="640" w:firstLineChars="200"/>
        <w:rPr>
          <w:rFonts w:ascii="仿宋_GB2312" w:hAnsi="宋体" w:eastAsia="仿宋_GB2312"/>
          <w:bCs/>
          <w:sz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9185F7"/>
    <w:multiLevelType w:val="singleLevel"/>
    <w:tmpl w:val="E39185F7"/>
    <w:lvl w:ilvl="0" w:tentative="0">
      <w:start w:val="10"/>
      <w:numFmt w:val="chineseCounting"/>
      <w:suff w:val="nothing"/>
      <w:lvlText w:val="%1、"/>
      <w:lvlJc w:val="left"/>
      <w:rPr>
        <w:rFonts w:hint="eastAsia"/>
      </w:rPr>
    </w:lvl>
  </w:abstractNum>
  <w:abstractNum w:abstractNumId="1">
    <w:nsid w:val="E99A9841"/>
    <w:multiLevelType w:val="singleLevel"/>
    <w:tmpl w:val="E99A984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14"/>
    <w:rsid w:val="00096D14"/>
    <w:rsid w:val="003A3E29"/>
    <w:rsid w:val="004F47F5"/>
    <w:rsid w:val="00A73144"/>
    <w:rsid w:val="00C62188"/>
    <w:rsid w:val="00C7144C"/>
    <w:rsid w:val="00EE01CC"/>
    <w:rsid w:val="27C54764"/>
    <w:rsid w:val="2B1C7BD1"/>
    <w:rsid w:val="2DE11DA6"/>
    <w:rsid w:val="3C2E7590"/>
    <w:rsid w:val="43F353E3"/>
    <w:rsid w:val="4A2F7A11"/>
    <w:rsid w:val="595E6805"/>
    <w:rsid w:val="5FD75CAC"/>
    <w:rsid w:val="74583E9A"/>
    <w:rsid w:val="75B87841"/>
    <w:rsid w:val="79857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color w:val="FF3300"/>
      <w:kern w:val="0"/>
      <w:sz w:val="24"/>
      <w:u w:val="single"/>
    </w:rPr>
  </w:style>
  <w:style w:type="character" w:styleId="8">
    <w:name w:val="Strong"/>
    <w:basedOn w:val="7"/>
    <w:qFormat/>
    <w:uiPriority w:val="0"/>
    <w:rPr>
      <w:b/>
    </w:rPr>
  </w:style>
  <w:style w:type="character" w:styleId="9">
    <w:name w:val="FollowedHyperlink"/>
    <w:basedOn w:val="7"/>
    <w:qFormat/>
    <w:uiPriority w:val="0"/>
    <w:rPr>
      <w:color w:val="4E4342"/>
      <w:u w:val="none"/>
    </w:rPr>
  </w:style>
  <w:style w:type="character" w:styleId="10">
    <w:name w:val="Hyperlink"/>
    <w:basedOn w:val="7"/>
    <w:qFormat/>
    <w:uiPriority w:val="0"/>
    <w:rPr>
      <w:color w:val="4E4342"/>
      <w:u w:val="none"/>
    </w:r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5444</Words>
  <Characters>733</Characters>
  <Lines>6</Lines>
  <Paragraphs>12</Paragraphs>
  <TotalTime>0</TotalTime>
  <ScaleCrop>false</ScaleCrop>
  <LinksUpToDate>false</LinksUpToDate>
  <CharactersWithSpaces>6165</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dcterms:modified xsi:type="dcterms:W3CDTF">2021-06-07T02:36:46Z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0AEEB87FB81C4B02A040C67B85E4B584</vt:lpwstr>
  </property>
</Properties>
</file>