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76434">
      <w:pPr>
        <w:widowControl/>
        <w:spacing w:line="560" w:lineRule="exact"/>
        <w:ind w:firstLine="60"/>
        <w:jc w:val="center"/>
        <w:rPr>
          <w:rFonts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庆宁乡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人民政府</w:t>
      </w:r>
    </w:p>
    <w:p w14:paraId="277BD75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55D16A43">
      <w:pPr>
        <w:pStyle w:val="2"/>
        <w:jc w:val="left"/>
      </w:pPr>
    </w:p>
    <w:p w14:paraId="6176892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2026年，我单位部门预算769.05万元 ，均严格按绩效管理要求实现项目绩效目标管理，其中重点项目预算0个，现将情况说明如下：</w:t>
      </w:r>
    </w:p>
    <w:p w14:paraId="623A5015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164439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 w14:paraId="15E9ABC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23F509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党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75B9364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0F7143D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1A7358A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三是坚定贯彻总体国家安全观，旗帜鲜明开展反分维稳斗争，扫黑除恶专项斗争强力推进，“天网”“雪亮”工程拓展延伸，平安防线牢不可破，“两项”改革调整优化3个村。</w:t>
      </w:r>
    </w:p>
    <w:p w14:paraId="73F376E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1DEB2E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8971DC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750E923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7DF845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E5F23D0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BCBB9CC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0C6FAAC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1DEF22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3C2BBA7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A49FB4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F18CFC3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EF8882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4507C8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99FAE8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FE3496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4C563A6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1D96B7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FBCFCE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ED6BA4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65C9D8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4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477"/>
        <w:gridCol w:w="1477"/>
        <w:gridCol w:w="2084"/>
        <w:gridCol w:w="2247"/>
        <w:gridCol w:w="1465"/>
        <w:gridCol w:w="1477"/>
        <w:gridCol w:w="1477"/>
        <w:gridCol w:w="1477"/>
      </w:tblGrid>
      <w:tr w14:paraId="38BA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42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8A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2026年度部门整体绩效目标</w:t>
            </w:r>
          </w:p>
        </w:tc>
      </w:tr>
      <w:tr w14:paraId="132D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63B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部门名称：</w:t>
            </w:r>
          </w:p>
        </w:tc>
        <w:tc>
          <w:tcPr>
            <w:tcW w:w="8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E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庆宁乡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7A79">
            <w:pPr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1E41">
            <w:pPr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229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单位：万元</w:t>
            </w:r>
          </w:p>
        </w:tc>
      </w:tr>
      <w:tr w14:paraId="118A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年度部门整体预算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资金总额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财政拨款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其他资金</w:t>
            </w:r>
          </w:p>
        </w:tc>
      </w:tr>
      <w:tr w14:paraId="186D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收入预算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9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769.05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4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769.05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76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0.00</w:t>
            </w:r>
          </w:p>
        </w:tc>
      </w:tr>
      <w:tr w14:paraId="262DD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支出预算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7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769.05</w:t>
            </w:r>
          </w:p>
        </w:tc>
        <w:tc>
          <w:tcPr>
            <w:tcW w:w="2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4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769.05</w:t>
            </w:r>
          </w:p>
        </w:tc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E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0.00</w:t>
            </w:r>
          </w:p>
        </w:tc>
      </w:tr>
      <w:tr w14:paraId="1546E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4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年度总体目标</w:t>
            </w:r>
          </w:p>
        </w:tc>
        <w:tc>
          <w:tcPr>
            <w:tcW w:w="102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E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贯彻落实上级的各项方针政策，按计划完成年度预算中的一般公共服务支出，发放人大、支付、财政、党委的工资及津贴，对退休人员进行春慰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</w:tr>
      <w:tr w14:paraId="2B2C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2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管理效率</w:t>
            </w:r>
          </w:p>
        </w:tc>
      </w:tr>
      <w:tr w14:paraId="3793C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B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tcW w:w="2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tcW w:w="2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指标参考值</w:t>
            </w:r>
          </w:p>
        </w:tc>
      </w:tr>
      <w:tr w14:paraId="5BB95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DC90"/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E547"/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F6E7"/>
        </w:tc>
        <w:tc>
          <w:tcPr>
            <w:tcW w:w="2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5A55"/>
        </w:tc>
        <w:tc>
          <w:tcPr>
            <w:tcW w:w="2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D476"/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三年均值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2023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2024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2025</w:t>
            </w:r>
          </w:p>
        </w:tc>
      </w:tr>
      <w:tr w14:paraId="7B06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B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F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2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财政拨款预算偏离度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A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50.57%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7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50.57%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30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73.57%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A1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27.6%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4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50.55%</w:t>
            </w:r>
          </w:p>
        </w:tc>
      </w:tr>
      <w:tr w14:paraId="027F8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9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D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单位收入统筹度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3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B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F0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AF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2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 w14:paraId="4B88A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8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B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5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预算年终结余率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19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12.94%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8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12.94%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6F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1.46%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7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12.94%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BE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24.42%</w:t>
            </w:r>
          </w:p>
        </w:tc>
      </w:tr>
      <w:tr w14:paraId="23C9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4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0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8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一般性支出金额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7D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15.57万元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C0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15.57万元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0780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2B48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B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15.57万元</w:t>
            </w:r>
          </w:p>
        </w:tc>
      </w:tr>
      <w:tr w14:paraId="765A4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C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6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财务管理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6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财务管理规范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17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B5C5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737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D98F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89D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95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7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资产管理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D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资产配置预算偏离度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75A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8520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6C5E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72B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4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0%</w:t>
            </w:r>
          </w:p>
        </w:tc>
      </w:tr>
      <w:tr w14:paraId="5973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5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7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采购管理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7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采购执行率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F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F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A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F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26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 w14:paraId="1B714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2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履职效能</w:t>
            </w:r>
          </w:p>
        </w:tc>
      </w:tr>
      <w:tr w14:paraId="2D83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指标值（包括数字及文字描述）</w:t>
            </w:r>
          </w:p>
        </w:tc>
      </w:tr>
      <w:tr w14:paraId="4A15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4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2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时效指标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按时完成各项工作任务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12月底完成整年目标=100%</w:t>
            </w:r>
          </w:p>
        </w:tc>
      </w:tr>
      <w:tr w14:paraId="60FB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9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服务群众人数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C8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服务全乡村民人数≥2500人</w:t>
            </w:r>
          </w:p>
        </w:tc>
      </w:tr>
      <w:tr w14:paraId="3129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7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5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质量指标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53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干部职工履职能力提升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贯彻落实上级的各项方针政策，按计划100%完成年度预算中的一般公共服务支出，发放人大、支付、财政、党委的工资及津贴，对退休人员进行春慰费发放，按计划100%完成年度预算中的社会保障和就业、住房保障、卫生健康支出，做好离退休干部生活补助的发放工作，按照规定完成各项社保及住房公积金资金支付，按照经费预算管理的规定，按计划100%完成年度预算中的农林水支出，做好对村民委员会和村党支部的补助发放，遵循上级部门要求，加强综合管理，按时发放三老干部补助，按计划≥95%完成年度预算中的其他支出。</w:t>
            </w:r>
          </w:p>
        </w:tc>
      </w:tr>
      <w:tr w14:paraId="023A0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A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4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经济效益指标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7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农民增产增收率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6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农民增产增收≥5%</w:t>
            </w:r>
          </w:p>
        </w:tc>
      </w:tr>
      <w:tr w14:paraId="2C6D9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E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可持续发展指标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单位管理、财务等制度健全单位管理、财务等制度健全效率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C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单位管理、财务等制度健全效率=100%</w:t>
            </w:r>
          </w:p>
        </w:tc>
      </w:tr>
      <w:tr w14:paraId="1AEC0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E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0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社会效益指标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3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村乡两级工作正常运转率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7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村乡两级工作正常运转≥97%</w:t>
            </w:r>
          </w:p>
        </w:tc>
      </w:tr>
      <w:tr w14:paraId="3D6F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D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4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生态效益指标</w:t>
            </w:r>
          </w:p>
        </w:tc>
        <w:tc>
          <w:tcPr>
            <w:tcW w:w="4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7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人居环境改善率</w:t>
            </w:r>
          </w:p>
        </w:tc>
        <w:tc>
          <w:tcPr>
            <w:tcW w:w="5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5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人居环境改善≥98%</w:t>
            </w:r>
          </w:p>
        </w:tc>
      </w:tr>
    </w:tbl>
    <w:p w14:paraId="2C1D5C57">
      <w:pPr>
        <w:spacing w:line="560" w:lineRule="exact"/>
        <w:rPr>
          <w:rFonts w:hint="eastAsia" w:ascii="黑体" w:eastAsia="黑体" w:cs="黑体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5DB481F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2260C95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重点项目1：庆宁乡人民政府办公室日常公用经费</w:t>
      </w:r>
    </w:p>
    <w:p w14:paraId="34B9D13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32A12E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F05D78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4E8239D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15万元/年、社区不低于6万元/年。现申请我乡3个村的公务运行维护费11万元/年/村，共计33万元；办公费4万元/年/村，共计12万元，以上合计45万元（大写：肆拾伍万元整）。</w:t>
      </w:r>
    </w:p>
    <w:p w14:paraId="17C0D98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644EFE0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重点项目3：庆宁乡党委办公室日常公用经费</w:t>
      </w:r>
    </w:p>
    <w:p w14:paraId="31BAC6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4A810C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58677CB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重点项目4：庆宁乡人大办公室日常公用经费</w:t>
      </w:r>
    </w:p>
    <w:p w14:paraId="3B45F09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7E5687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41238D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重点项目5：庆宁乡综合服务中心日常公用经费</w:t>
      </w:r>
    </w:p>
    <w:p w14:paraId="08C3792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38AFF3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98D182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034BB6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17E26B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2208</Words>
  <Characters>2390</Characters>
  <Lines>233</Lines>
  <Paragraphs>150</Paragraphs>
  <TotalTime>12</TotalTime>
  <ScaleCrop>false</ScaleCrop>
  <LinksUpToDate>false</LinksUpToDate>
  <CharactersWithSpaces>2391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盐星星</cp:lastModifiedBy>
  <dcterms:modified xsi:type="dcterms:W3CDTF">2026-05-08T08:12:11Z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B8F64A7A82D1453E9CF47F5C14C81D46_13</vt:lpwstr>
  </property>
  <property fmtid="{D5CDD505-2E9C-101B-9397-08002B2CF9AE}" pid="4" name="KSOTemplateDocerSaveRecord">
    <vt:lpwstr>eyJoZGlkIjoiZDVjZjE1OTBmZTc4M2ZlNjdmNWM1MmQ5OThkMGU1NjEiLCJ1c2VySWQiOiIxMDYwOTQ0NDM1In0=</vt:lpwstr>
  </property>
</Properties>
</file>