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Times New Roman" w:eastAsia="方正小标宋_GBK" w:cs="Times New Roman" w:hAnsi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2026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庆宁乡</w:t>
      </w:r>
      <w:r>
        <w:rPr>
          <w:rFonts w:ascii="Times New Roman" w:eastAsia="方正小标宋_GBK" w:cs="Times New Roman" w:hAnsi="Times New Roman" w:hint="eastAsia"/>
          <w:color w:val="333333"/>
          <w:kern w:val="0"/>
          <w:sz w:val="44"/>
          <w:szCs w:val="44"/>
          <w:lang w:val="en-US" w:eastAsia="zh-CN" w:bidi="ar-SA"/>
        </w:rPr>
        <w:t>人民政府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2026年，我单位部门预算769.05万元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党中央大政方针和省委、州委、县委重大决策部署，坚持科学发展、高质量发展理念，积极应对脱贫攻坚、新冠肺炎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三是坚定贯彻总体国家安全观，旗帜鲜明开展反分维稳斗争，“扫黑除恶”专项斗争强力推进，“天网”“雪亮”工程拓展延伸，平安防线牢不可破，“两项”改革调整优化3个村。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tbl>
      <w:tblPr>
        <w:jc w:val="left"/>
        <w:tblInd w:w="93" w:type="dxa"/>
        <w:tblW w:w="14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1477"/>
        <w:gridCol w:w="1477"/>
        <w:gridCol w:w="2084"/>
        <w:gridCol w:w="2247"/>
        <w:gridCol w:w="1465"/>
        <w:gridCol w:w="1477"/>
        <w:gridCol w:w="1477"/>
        <w:gridCol w:w="1477"/>
      </w:tblGrid>
      <w:tr>
        <w:trPr>
          <w:trHeight w:val="1130"/>
        </w:trPr>
        <w:tc>
          <w:tcPr>
            <w:tcW w:w="142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sz="0" w:space="0" w:color="auto"/>
                <w:lang w:val="en-US" w:eastAsia="zh-CN"/>
              </w:rPr>
              <w:t>2026年度部门整体绩效目标</w:t>
            </w:r>
          </w:p>
        </w:tc>
      </w:tr>
      <w:tr>
        <w:trPr>
          <w:trHeight w:val="542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部门名称：</w:t>
            </w:r>
          </w:p>
        </w:tc>
        <w:tc>
          <w:tcPr>
            <w:tcW w:w="8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庆宁乡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bdr w:val="none" w:sz="0" w:space="0" w:color="auto"/>
                <w:lang w:val="en-US" w:eastAsia="zh-CN"/>
              </w:rPr>
              <w:t>单位：万元</w:t>
            </w:r>
          </w:p>
        </w:tc>
      </w:tr>
      <w:tr>
        <w:trPr>
          <w:trHeight w:val="569"/>
        </w:trPr>
        <w:tc>
          <w:tcPr>
            <w:tcW w:w="4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年度部门整体预算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资金总额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财政拨款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其他资金</w:t>
            </w:r>
          </w:p>
        </w:tc>
      </w:tr>
      <w:tr>
        <w:trPr>
          <w:trHeight w:val="569"/>
        </w:trPr>
        <w:tc>
          <w:tcPr>
            <w:tcW w:w="4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收入预算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769.05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769.05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0.00</w:t>
            </w:r>
          </w:p>
        </w:tc>
      </w:tr>
      <w:tr>
        <w:trPr>
          <w:trHeight w:val="569"/>
        </w:trPr>
        <w:tc>
          <w:tcPr>
            <w:tcW w:w="4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支出预算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769.05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769.05</w:t>
            </w:r>
          </w:p>
        </w:tc>
        <w:tc>
          <w:tcPr>
            <w:tcW w:w="2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0.00</w:t>
            </w:r>
          </w:p>
        </w:tc>
      </w:tr>
      <w:tr>
        <w:trPr>
          <w:trHeight w:val="1145"/>
        </w:trPr>
        <w:tc>
          <w:tcPr>
            <w:tcW w:w="40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年度总体目标</w:t>
            </w:r>
          </w:p>
        </w:tc>
        <w:tc>
          <w:tcPr>
            <w:tcW w:w="10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贯彻落实上级的各项方针政策，按计划完成年度预算中的一般公共服务支出，发放人大、支付、财政、党委的工资及津贴，对退休人员进行春慰费发放，按计划完成年度预算中的社会保障和就业、住房保障、卫生健康支出，做好离退休干部生活补助的发放工作，按照规定完成各项社保及住房公积金资金支付，按照经费预算管理的规定，按计划完成年度预算中的农林水支出，做好对村民委员会和村党支部的补助发放，遵循上级部门要求，加强综合管理，按时发放三老干部补助，按计划完成年度预算中的其他支出。</w:t>
            </w:r>
          </w:p>
        </w:tc>
      </w:tr>
      <w:tr>
        <w:trPr>
          <w:trHeight w:val="527"/>
        </w:trPr>
        <w:tc>
          <w:tcPr>
            <w:tcW w:w="14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管理效率</w:t>
            </w:r>
          </w:p>
        </w:tc>
      </w:tr>
      <w:tr>
        <w:trPr>
          <w:trHeight w:val="286"/>
        </w:trPr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序号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2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W w:w="2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指标值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指标参考值</w:t>
            </w:r>
          </w:p>
        </w:tc>
      </w:tr>
      <w:tr>
        <w:trPr>
          <w:trHeight w:val="286"/>
        </w:trPr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2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三年均值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2023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2024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2025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财政拨款预算偏离度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50.57%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50.57%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73.57%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27.6%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50.55%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单位收入统筹度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预算年终结余率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12.94%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12.94%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1.46%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12.94%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24.42%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预算管理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一般性支出金额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15.57万元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15.57万元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15.57万元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财务管理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财务管理规范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优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资产管理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资产配置预算偏离度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0%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采购管理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采购执行率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100%</w:t>
            </w:r>
          </w:p>
        </w:tc>
      </w:tr>
      <w:tr>
        <w:trPr>
          <w:trHeight w:val="512"/>
        </w:trPr>
        <w:tc>
          <w:tcPr>
            <w:tcW w:w="142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履职效能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序号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指标值（包括数字及文字描述）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按时完成各项工作任务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12月底完成整年目标=100%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服务群众人数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服务全乡村民人数≥2500人</w:t>
            </w:r>
          </w:p>
        </w:tc>
      </w:tr>
      <w:tr>
        <w:trPr>
          <w:trHeight w:val="2035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干部职工履职能力提升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贯彻落实上级的各项方针政策，按计划100%完成年度预算中的一般公共服务支出，发放人大、支付、财政、党委的工资及津贴，对退休人员进行春慰费发放，按计划100%完成年度预算中的社会保障和就业、住房保障、卫生健康支出，做好离退休干部生活补助的发放工作，按照规定完成各项社保及住房公积金资金支付，按照经费预算管理的规定，按计划100%完成年度预算中的农林水支出，做好对村民委员会和村党支部的补助发放，遵循上级部门要求，加强综合管理，按时发放三老干部补助，按计划≥95%完成年度预算中的其他支出。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经济效益指标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农民增产增收率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农民增产增收≥5%</w:t>
            </w:r>
          </w:p>
        </w:tc>
      </w:tr>
      <w:tr>
        <w:trPr>
          <w:trHeight w:val="452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可持续发展指标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单位管理、财务等制度健全单位管理、财务等制度健全效率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单位管理、财务等制度健全效率=100%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村乡两级工作正常运转率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村乡两级工作正常运转≥97%</w:t>
            </w:r>
          </w:p>
        </w:tc>
      </w:tr>
      <w:tr>
        <w:trPr>
          <w:trHeight w:val="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eastAsia="黑体" w:cs="黑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黑体" w:eastAsia="黑体" w:cs="黑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生态效益指标</w:t>
            </w:r>
          </w:p>
        </w:tc>
        <w:tc>
          <w:tcPr>
            <w:tcW w:w="4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人居环境改善率</w:t>
            </w:r>
          </w:p>
        </w:tc>
        <w:tc>
          <w:tcPr>
            <w:tcW w:w="58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人居环境改善≥98%</w:t>
            </w:r>
          </w:p>
        </w:tc>
      </w:tr>
    </w:tbl>
    <w:p>
      <w:pPr>
        <w:spacing w:line="560" w:lineRule="exact"/>
        <w:rPr>
          <w:rFonts w:ascii="黑体" w:eastAsia="黑体" w:cs="黑体" w:hint="eastAsia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docGrid w:type="lines" w:linePitch="312" w:charSpace="0"/>
        </w:sectPr>
      </w:pP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重点项目1：庆宁乡人民政府办公室日常公用经费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15万元/年、社区不低于6万元/年。现申请我乡3个村的公务运行维护费11万元/年/村，共计33万元；办公费4万元/年/村，共计12万元，以上合计45万元（大写：肆拾伍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重点项目3：庆宁乡党委办公室日常公用经费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重点项目4：庆宁乡人大办公室日常公用经费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重点项目5：庆宁乡综合服务中心日常公用经费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MmJlNWY2MGE5NjMzNzNkNjMzOTQzOTA4ODcwYzY3NT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</TotalTime>
  <Application>Yozo_Office27021597764231179</Application>
  <Pages>6</Pages>
  <Words>2215</Words>
  <Characters>2392</Characters>
  <Lines>233</Lines>
  <Paragraphs>150</Paragraphs>
  <CharactersWithSpaces>2391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2026-03-19T08:00:03Z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B8F64A7A82D1453E9CF47F5C14C81D46_13</vt:lpwstr>
  </property>
  <property fmtid="{D5CDD505-2E9C-101B-9397-08002B2CF9AE}" pid="4" name="KSOTemplateDocerSaveRecord">
    <vt:lpwstr>eyJoZGlkIjoiNDU2YzllMTFkODY2YTIwZjQwNDIzZmZlZTcyYzNlZGIiLCJ1c2VySWQiOiIyMzgwOTUwMjYifQ==</vt:lpwstr>
  </property>
</Properties>
</file>