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44F18">
      <w:pPr>
        <w:spacing w:line="600" w:lineRule="exact"/>
        <w:jc w:val="center"/>
        <w:outlineLvl w:val="0"/>
        <w:rPr>
          <w:rFonts w:ascii="方正小标宋简体" w:eastAsia="方正小标宋简体"/>
          <w:color w:val="000000"/>
          <w:sz w:val="72"/>
          <w:szCs w:val="72"/>
        </w:rPr>
      </w:pPr>
      <w:bookmarkStart w:id="0" w:name="_Toc15306267"/>
      <w:bookmarkStart w:id="1" w:name="第七部分部门决算分析报告撰写提纲"/>
    </w:p>
    <w:p w14:paraId="1653C94B">
      <w:pPr>
        <w:spacing w:line="600" w:lineRule="exact"/>
        <w:jc w:val="center"/>
        <w:outlineLvl w:val="0"/>
        <w:rPr>
          <w:rFonts w:ascii="方正小标宋简体" w:eastAsia="方正小标宋简体"/>
          <w:color w:val="000000"/>
          <w:sz w:val="72"/>
          <w:szCs w:val="72"/>
        </w:rPr>
      </w:pPr>
    </w:p>
    <w:p w14:paraId="05D0AC9F">
      <w:pPr>
        <w:spacing w:line="600" w:lineRule="exact"/>
        <w:jc w:val="center"/>
        <w:outlineLvl w:val="0"/>
        <w:rPr>
          <w:rFonts w:ascii="方正小标宋简体" w:eastAsia="方正小标宋简体"/>
          <w:color w:val="000000"/>
          <w:sz w:val="72"/>
          <w:szCs w:val="72"/>
        </w:rPr>
      </w:pPr>
    </w:p>
    <w:p w14:paraId="10EF1AE4">
      <w:pPr>
        <w:spacing w:line="600" w:lineRule="exact"/>
        <w:jc w:val="center"/>
        <w:outlineLvl w:val="0"/>
        <w:rPr>
          <w:rFonts w:ascii="方正小标宋简体" w:eastAsia="方正小标宋简体"/>
          <w:color w:val="000000"/>
          <w:sz w:val="72"/>
          <w:szCs w:val="72"/>
        </w:rPr>
      </w:pPr>
    </w:p>
    <w:p w14:paraId="14A3F37C">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bookmarkStart w:id="2" w:name="_Toc12796"/>
      <w:bookmarkStart w:id="3" w:name="_Toc15378441"/>
      <w:bookmarkStart w:id="4" w:name="_Toc15396475"/>
      <w:bookmarkStart w:id="5" w:name="_Toc15396597"/>
      <w:bookmarkStart w:id="6" w:name="_Toc15377193"/>
      <w:bookmarkStart w:id="7" w:name="_Toc15377425"/>
      <w:r>
        <w:rPr>
          <w:rFonts w:hint="eastAsia" w:ascii="Times New Roman" w:hAnsi="Times New Roman" w:eastAsia="方正小标宋简体" w:cs="Times New Roman"/>
          <w:color w:val="auto"/>
          <w:kern w:val="2"/>
          <w:sz w:val="44"/>
          <w:szCs w:val="44"/>
          <w:highlight w:val="none"/>
          <w:lang w:val="en-US" w:eastAsia="zh-CN" w:bidi="ar-SA"/>
        </w:rPr>
        <w:t>2024年度</w:t>
      </w:r>
      <w:bookmarkEnd w:id="2"/>
      <w:bookmarkEnd w:id="3"/>
      <w:bookmarkEnd w:id="4"/>
      <w:bookmarkEnd w:id="5"/>
      <w:bookmarkEnd w:id="6"/>
      <w:bookmarkEnd w:id="7"/>
    </w:p>
    <w:bookmarkEnd w:id="0"/>
    <w:p w14:paraId="0001548E">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bookmarkStart w:id="8" w:name="_Toc15396476"/>
      <w:bookmarkStart w:id="9" w:name="_Toc6811"/>
      <w:bookmarkStart w:id="10" w:name="_Toc15396598"/>
      <w:bookmarkStart w:id="11" w:name="_Toc15377194"/>
      <w:bookmarkStart w:id="12" w:name="_Toc15306268"/>
      <w:bookmarkStart w:id="13" w:name="_Toc15377426"/>
      <w:bookmarkStart w:id="14" w:name="_Toc15378442"/>
      <w:r>
        <w:rPr>
          <w:rFonts w:hint="eastAsia" w:ascii="Times New Roman" w:hAnsi="Times New Roman" w:eastAsia="方正小标宋简体" w:cs="Times New Roman"/>
          <w:color w:val="auto"/>
          <w:kern w:val="2"/>
          <w:sz w:val="44"/>
          <w:szCs w:val="44"/>
          <w:highlight w:val="none"/>
          <w:lang w:val="en-US" w:eastAsia="zh-CN" w:bidi="ar-SA"/>
        </w:rPr>
        <w:t>金川县庆宁乡人民政府</w:t>
      </w:r>
    </w:p>
    <w:p w14:paraId="68317352">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bookmarkEnd w:id="8"/>
      <w:bookmarkEnd w:id="9"/>
      <w:bookmarkEnd w:id="10"/>
      <w:bookmarkEnd w:id="11"/>
      <w:bookmarkEnd w:id="12"/>
      <w:bookmarkEnd w:id="13"/>
      <w:bookmarkEnd w:id="14"/>
    </w:p>
    <w:p w14:paraId="0E510201">
      <w:pPr>
        <w:widowControl/>
        <w:jc w:val="center"/>
        <w:rPr>
          <w:rFonts w:ascii="方正小标宋简体" w:eastAsia="方正小标宋简体"/>
          <w:color w:val="000000"/>
          <w:sz w:val="36"/>
          <w:szCs w:val="36"/>
        </w:rPr>
      </w:pPr>
    </w:p>
    <w:p w14:paraId="46AE568A">
      <w:pPr>
        <w:widowControl/>
        <w:jc w:val="center"/>
        <w:rPr>
          <w:rFonts w:ascii="方正小标宋简体" w:eastAsia="方正小标宋简体"/>
          <w:color w:val="000000"/>
          <w:sz w:val="36"/>
          <w:szCs w:val="36"/>
        </w:rPr>
      </w:pPr>
    </w:p>
    <w:p w14:paraId="0B521CC4">
      <w:pPr>
        <w:widowControl/>
        <w:jc w:val="center"/>
        <w:rPr>
          <w:rFonts w:ascii="方正小标宋简体" w:eastAsia="方正小标宋简体"/>
          <w:color w:val="000000"/>
          <w:sz w:val="36"/>
          <w:szCs w:val="36"/>
        </w:rPr>
      </w:pPr>
    </w:p>
    <w:p w14:paraId="76FC3597">
      <w:pPr>
        <w:widowControl/>
        <w:jc w:val="center"/>
        <w:rPr>
          <w:rFonts w:ascii="方正小标宋简体" w:eastAsia="方正小标宋简体"/>
          <w:color w:val="000000"/>
          <w:sz w:val="36"/>
          <w:szCs w:val="36"/>
        </w:rPr>
      </w:pPr>
    </w:p>
    <w:p w14:paraId="0AA9EFC1">
      <w:pPr>
        <w:widowControl/>
        <w:jc w:val="center"/>
        <w:rPr>
          <w:rFonts w:ascii="方正小标宋简体" w:eastAsia="方正小标宋简体"/>
          <w:color w:val="000000"/>
          <w:sz w:val="36"/>
          <w:szCs w:val="36"/>
        </w:rPr>
      </w:pPr>
    </w:p>
    <w:p w14:paraId="13EC98A6">
      <w:pPr>
        <w:widowControl/>
        <w:jc w:val="center"/>
        <w:rPr>
          <w:rFonts w:ascii="方正小标宋简体" w:eastAsia="方正小标宋简体"/>
          <w:color w:val="000000"/>
          <w:sz w:val="36"/>
          <w:szCs w:val="36"/>
        </w:rPr>
      </w:pPr>
    </w:p>
    <w:p w14:paraId="6646D1B4">
      <w:pPr>
        <w:widowControl/>
        <w:jc w:val="center"/>
        <w:rPr>
          <w:rFonts w:ascii="方正小标宋简体" w:eastAsia="方正小标宋简体"/>
          <w:color w:val="000000"/>
          <w:sz w:val="36"/>
          <w:szCs w:val="36"/>
        </w:rPr>
      </w:pPr>
    </w:p>
    <w:p w14:paraId="2FF61BF8">
      <w:pPr>
        <w:widowControl/>
        <w:jc w:val="center"/>
        <w:rPr>
          <w:rFonts w:ascii="方正小标宋简体" w:eastAsia="方正小标宋简体"/>
          <w:color w:val="000000"/>
          <w:sz w:val="36"/>
          <w:szCs w:val="36"/>
        </w:rPr>
      </w:pPr>
    </w:p>
    <w:p w14:paraId="0B65133B">
      <w:pPr>
        <w:widowControl/>
        <w:jc w:val="center"/>
        <w:rPr>
          <w:rFonts w:ascii="方正小标宋简体" w:eastAsia="方正小标宋简体"/>
          <w:color w:val="000000"/>
          <w:sz w:val="36"/>
          <w:szCs w:val="36"/>
        </w:rPr>
      </w:pPr>
    </w:p>
    <w:p w14:paraId="3C96DC03">
      <w:pPr>
        <w:widowControl/>
        <w:jc w:val="center"/>
        <w:rPr>
          <w:rFonts w:ascii="方正小标宋简体" w:eastAsia="方正小标宋简体"/>
          <w:color w:val="000000"/>
          <w:sz w:val="36"/>
          <w:szCs w:val="36"/>
        </w:rPr>
      </w:pPr>
    </w:p>
    <w:p w14:paraId="789BF1E7">
      <w:pPr>
        <w:widowControl/>
        <w:jc w:val="center"/>
        <w:rPr>
          <w:rFonts w:ascii="方正小标宋简体" w:eastAsia="方正小标宋简体"/>
          <w:color w:val="000000"/>
          <w:sz w:val="36"/>
          <w:szCs w:val="36"/>
        </w:rPr>
      </w:pPr>
    </w:p>
    <w:p w14:paraId="1866606C">
      <w:pPr>
        <w:widowControl/>
        <w:jc w:val="center"/>
        <w:rPr>
          <w:rFonts w:ascii="方正小标宋简体" w:eastAsia="方正小标宋简体"/>
          <w:color w:val="000000"/>
          <w:sz w:val="36"/>
          <w:szCs w:val="36"/>
        </w:rPr>
      </w:pPr>
    </w:p>
    <w:p w14:paraId="2A6CF170">
      <w:pPr>
        <w:widowControl/>
        <w:jc w:val="center"/>
        <w:rPr>
          <w:rFonts w:ascii="方正小标宋简体" w:eastAsia="方正小标宋简体"/>
          <w:color w:val="000000"/>
          <w:sz w:val="36"/>
          <w:szCs w:val="36"/>
        </w:rPr>
      </w:pPr>
    </w:p>
    <w:p w14:paraId="4633FB28">
      <w:pPr>
        <w:pStyle w:val="6"/>
        <w:jc w:val="center"/>
        <w:rPr>
          <w:rFonts w:ascii="Times New Roman" w:hAnsi="Times New Roman" w:eastAsia="黑体"/>
          <w:color w:val="auto"/>
          <w:sz w:val="48"/>
          <w:szCs w:val="48"/>
          <w:highlight w:val="none"/>
        </w:rPr>
      </w:pPr>
      <w:r>
        <w:rPr>
          <w:rFonts w:ascii="方正小标宋简体" w:eastAsia="方正小标宋简体"/>
          <w:color w:val="000000"/>
          <w:sz w:val="36"/>
          <w:szCs w:val="36"/>
        </w:rPr>
        <w:br w:type="page"/>
      </w:r>
      <w:bookmarkStart w:id="15" w:name="_Toc15377196"/>
      <w:r>
        <w:rPr>
          <w:rFonts w:hint="eastAsia" w:ascii="Times New Roman" w:hAnsi="Times New Roman" w:eastAsia="黑体"/>
          <w:color w:val="auto"/>
          <w:sz w:val="48"/>
          <w:szCs w:val="48"/>
          <w:highlight w:val="none"/>
        </w:rPr>
        <w:t>目录</w:t>
      </w:r>
    </w:p>
    <w:p w14:paraId="391F2427">
      <w:pPr>
        <w:widowControl/>
        <w:jc w:val="center"/>
        <w:rPr>
          <w:rFonts w:ascii="Times New Roman" w:hAnsi="Times New Roman" w:eastAsia="黑体" w:cs="Arial"/>
          <w:color w:val="auto"/>
          <w:sz w:val="28"/>
          <w:szCs w:val="28"/>
          <w:highlight w:val="none"/>
        </w:rPr>
      </w:pPr>
    </w:p>
    <w:p w14:paraId="524527AB">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25 </w:t>
      </w:r>
      <w:r>
        <w:rPr>
          <w:rFonts w:hint="eastAsia" w:ascii="Times New Roman" w:hAnsi="Times New Roman" w:eastAsia="仿宋_GB2312" w:cs="仿宋_GB2312"/>
          <w:color w:val="auto"/>
          <w:sz w:val="32"/>
          <w:szCs w:val="32"/>
          <w:highlight w:val="none"/>
        </w:rPr>
        <w:t>日</w:t>
      </w:r>
    </w:p>
    <w:p w14:paraId="081458D6">
      <w:pPr>
        <w:rPr>
          <w:rFonts w:ascii="Times New Roman" w:hAnsi="Times New Roman"/>
          <w:color w:val="auto"/>
          <w:highlight w:val="none"/>
        </w:rPr>
      </w:pPr>
    </w:p>
    <w:p w14:paraId="6016CA3B">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.............................................................3</w:t>
      </w:r>
    </w:p>
    <w:p w14:paraId="760764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一、</w:t>
      </w:r>
      <w:r>
        <w:rPr>
          <w:rFonts w:hint="eastAsia" w:ascii="Times New Roman" w:hAnsi="Times New Roman" w:eastAsia="仿宋_GB2312" w:cs="仿宋_GB2312"/>
          <w:color w:val="auto"/>
          <w:sz w:val="24"/>
          <w:szCs w:val="24"/>
          <w:highlight w:val="none"/>
          <w:lang w:eastAsia="zh-CN"/>
        </w:rPr>
        <w:t>部门职责</w:t>
      </w:r>
      <w:r>
        <w:rPr>
          <w:rFonts w:hint="eastAsia" w:ascii="Times New Roman" w:hAnsi="Times New Roman" w:eastAsia="黑体" w:cs="黑体"/>
          <w:color w:val="auto"/>
          <w:kern w:val="2"/>
          <w:sz w:val="32"/>
          <w:szCs w:val="32"/>
          <w:highlight w:val="none"/>
          <w:lang w:val="en-US" w:eastAsia="zh-CN" w:bidi="ar-SA"/>
        </w:rPr>
        <w:t>.......................................................................3</w:t>
      </w:r>
    </w:p>
    <w:p w14:paraId="32A1880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二、机构设置</w:t>
      </w:r>
      <w:r>
        <w:rPr>
          <w:rFonts w:hint="eastAsia" w:ascii="Times New Roman" w:hAnsi="Times New Roman" w:eastAsia="黑体" w:cs="黑体"/>
          <w:color w:val="auto"/>
          <w:kern w:val="2"/>
          <w:sz w:val="32"/>
          <w:szCs w:val="32"/>
          <w:highlight w:val="none"/>
          <w:lang w:val="en-US" w:eastAsia="zh-CN" w:bidi="ar-SA"/>
        </w:rPr>
        <w:t>.......................................................................4</w:t>
      </w:r>
    </w:p>
    <w:p w14:paraId="4DE9A261">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kern w:val="2"/>
          <w:sz w:val="32"/>
          <w:szCs w:val="32"/>
          <w:highlight w:val="none"/>
          <w:lang w:val="en-US" w:eastAsia="zh-CN" w:bidi="ar-SA"/>
        </w:rPr>
        <w:t>............................5</w:t>
      </w:r>
    </w:p>
    <w:p w14:paraId="63ACF8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4"/>
          <w:szCs w:val="24"/>
          <w:highlight w:val="none"/>
        </w:rPr>
        <w:t>一、收入支出决算总体情况说明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0D5FBB9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二、收入决算情况说明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6B66209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三、支出决算情况说明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5ADD1A4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四、财政拨款收入支出决算总体情况说明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...6</w:t>
      </w:r>
    </w:p>
    <w:p w14:paraId="0488A0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五、一般公共预算财政拨款支出决算情况说明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...........6</w:t>
      </w:r>
    </w:p>
    <w:p w14:paraId="5EA191E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六、一般公共预算财政拨款基本支出决算情况说明</w:t>
      </w:r>
      <w:r>
        <w:rPr>
          <w:rFonts w:hint="eastAsia" w:eastAsia="黑体" w:cs="黑体"/>
          <w:color w:val="auto"/>
          <w:kern w:val="2"/>
          <w:sz w:val="32"/>
          <w:szCs w:val="32"/>
          <w:highlight w:val="none"/>
          <w:lang w:val="en-US" w:eastAsia="zh-CN" w:bidi="ar-SA"/>
        </w:rPr>
        <w:t>.......................9</w:t>
      </w:r>
    </w:p>
    <w:p w14:paraId="07A695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七、财政拨款</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三公”经费支出决算情况说明</w:t>
      </w:r>
      <w:r>
        <w:rPr>
          <w:rFonts w:hint="eastAsia" w:eastAsia="黑体" w:cs="黑体"/>
          <w:color w:val="auto"/>
          <w:kern w:val="2"/>
          <w:sz w:val="32"/>
          <w:szCs w:val="32"/>
          <w:highlight w:val="none"/>
          <w:lang w:val="en-US" w:eastAsia="zh-CN" w:bidi="ar-SA"/>
        </w:rPr>
        <w:t>............................10</w:t>
      </w:r>
    </w:p>
    <w:p w14:paraId="134C8A6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八、政府性基金预算支出决算情况说明</w:t>
      </w:r>
      <w:r>
        <w:rPr>
          <w:rFonts w:hint="eastAsia" w:eastAsia="黑体" w:cs="黑体"/>
          <w:color w:val="auto"/>
          <w:kern w:val="2"/>
          <w:sz w:val="32"/>
          <w:szCs w:val="32"/>
          <w:highlight w:val="none"/>
          <w:lang w:val="en-US" w:eastAsia="zh-CN" w:bidi="ar-SA"/>
        </w:rPr>
        <w:t>.....................................11</w:t>
      </w:r>
    </w:p>
    <w:p w14:paraId="03647BC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4"/>
          <w:szCs w:val="24"/>
          <w:highlight w:val="none"/>
        </w:rPr>
        <w:t>九、</w:t>
      </w:r>
      <w:r>
        <w:rPr>
          <w:rFonts w:hint="eastAsia" w:ascii="Times New Roman" w:hAnsi="Times New Roman" w:eastAsia="仿宋_GB2312" w:cs="仿宋_GB2312"/>
          <w:color w:val="auto"/>
          <w:sz w:val="24"/>
          <w:szCs w:val="24"/>
          <w:highlight w:val="none"/>
          <w:lang w:eastAsia="zh-CN"/>
        </w:rPr>
        <w:t>国</w:t>
      </w:r>
      <w:r>
        <w:rPr>
          <w:rFonts w:hint="eastAsia" w:ascii="Times New Roman" w:hAnsi="Times New Roman" w:eastAsia="仿宋_GB2312" w:cs="仿宋_GB2312"/>
          <w:color w:val="auto"/>
          <w:sz w:val="24"/>
          <w:szCs w:val="24"/>
          <w:highlight w:val="none"/>
        </w:rPr>
        <w:t>有资本经营预算支出决算情况说明</w:t>
      </w:r>
      <w:r>
        <w:rPr>
          <w:rFonts w:hint="eastAsia" w:eastAsia="黑体" w:cs="黑体"/>
          <w:color w:val="auto"/>
          <w:kern w:val="2"/>
          <w:sz w:val="32"/>
          <w:szCs w:val="32"/>
          <w:highlight w:val="none"/>
          <w:lang w:val="en-US" w:eastAsia="zh-CN" w:bidi="ar-SA"/>
        </w:rPr>
        <w:t>..................................11</w:t>
      </w:r>
    </w:p>
    <w:p w14:paraId="0D20C0B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24"/>
          <w:szCs w:val="24"/>
          <w:highlight w:val="none"/>
          <w:lang w:eastAsia="zh-CN"/>
        </w:rPr>
        <w:t>十</w:t>
      </w:r>
      <w:r>
        <w:rPr>
          <w:rFonts w:hint="eastAsia" w:ascii="Times New Roman" w:hAnsi="Times New Roman" w:eastAsia="仿宋_GB2312" w:cs="仿宋_GB2312"/>
          <w:color w:val="auto"/>
          <w:sz w:val="24"/>
          <w:szCs w:val="24"/>
          <w:highlight w:val="none"/>
        </w:rPr>
        <w:t>、其他重要事项的情况说明</w:t>
      </w:r>
      <w:r>
        <w:rPr>
          <w:rFonts w:hint="eastAsia" w:eastAsia="黑体" w:cs="黑体"/>
          <w:color w:val="auto"/>
          <w:kern w:val="2"/>
          <w:sz w:val="32"/>
          <w:szCs w:val="32"/>
          <w:highlight w:val="none"/>
          <w:lang w:val="en-US" w:eastAsia="zh-CN" w:bidi="ar-SA"/>
        </w:rPr>
        <w:t>.................................................11</w:t>
      </w:r>
    </w:p>
    <w:p w14:paraId="47BC3ABA">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............................................................14</w:t>
      </w:r>
    </w:p>
    <w:p w14:paraId="3CD34CAA">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color w:val="000000"/>
          <w:sz w:val="24"/>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18</w:t>
      </w:r>
    </w:p>
    <w:p w14:paraId="42A298C1">
      <w:pPr>
        <w:rPr>
          <w:rFonts w:hint="default" w:eastAsia="黑体" w:cs="黑体"/>
          <w:sz w:val="32"/>
          <w:szCs w:val="32"/>
          <w:lang w:val="en-US"/>
        </w:rPr>
      </w:pPr>
      <w:r>
        <w:rPr>
          <w:rFonts w:hint="eastAsia" w:eastAsia="黑体" w:cs="黑体"/>
          <w:sz w:val="32"/>
          <w:szCs w:val="32"/>
        </w:rPr>
        <w:t>第五部分  附表</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38</w:t>
      </w:r>
      <w:bookmarkStart w:id="73" w:name="_GoBack"/>
      <w:bookmarkEnd w:id="73"/>
    </w:p>
    <w:p w14:paraId="0504CD6E">
      <w:pPr>
        <w:pStyle w:val="13"/>
        <w:rPr>
          <w:color w:val="000000"/>
          <w:sz w:val="24"/>
        </w:rPr>
      </w:pPr>
    </w:p>
    <w:p w14:paraId="06E39D5F">
      <w:pPr>
        <w:pStyle w:val="9"/>
        <w:rPr>
          <w:color w:val="000000"/>
          <w:sz w:val="24"/>
        </w:rPr>
      </w:pPr>
    </w:p>
    <w:p w14:paraId="70C1B8E3">
      <w:pPr>
        <w:pStyle w:val="9"/>
        <w:rPr>
          <w:color w:val="000000"/>
          <w:sz w:val="24"/>
        </w:rPr>
      </w:pPr>
    </w:p>
    <w:p w14:paraId="3F39E884">
      <w:pPr>
        <w:pStyle w:val="9"/>
        <w:rPr>
          <w:color w:val="000000"/>
          <w:sz w:val="24"/>
        </w:rPr>
      </w:pPr>
    </w:p>
    <w:p w14:paraId="1F4DA5D6">
      <w:pPr>
        <w:pStyle w:val="9"/>
        <w:ind w:left="0" w:leftChars="0" w:firstLine="0" w:firstLineChars="0"/>
        <w:rPr>
          <w:color w:val="000000"/>
          <w:sz w:val="24"/>
        </w:rPr>
      </w:pPr>
    </w:p>
    <w:p w14:paraId="6BA41370">
      <w:pPr>
        <w:pStyle w:val="3"/>
        <w:jc w:val="center"/>
        <w:rPr>
          <w:rFonts w:ascii="黑体" w:eastAsia="黑体"/>
          <w:color w:val="000000"/>
          <w:sz w:val="32"/>
          <w:szCs w:val="32"/>
        </w:rPr>
      </w:pPr>
      <w:bookmarkStart w:id="16" w:name="_Toc27352"/>
      <w:r>
        <w:rPr>
          <w:rFonts w:hint="eastAsia" w:ascii="黑体" w:eastAsia="黑体"/>
          <w:b w:val="0"/>
        </w:rPr>
        <w:t xml:space="preserve">第一部分 </w:t>
      </w:r>
      <w:r>
        <w:rPr>
          <w:rStyle w:val="21"/>
          <w:rFonts w:hint="eastAsia" w:ascii="黑体" w:eastAsia="黑体"/>
          <w:b w:val="0"/>
          <w:bCs w:val="0"/>
        </w:rPr>
        <w:t>部门概况</w:t>
      </w:r>
      <w:bookmarkEnd w:id="15"/>
      <w:bookmarkEnd w:id="16"/>
    </w:p>
    <w:p w14:paraId="2B892DEB">
      <w:pPr>
        <w:pStyle w:val="4"/>
        <w:spacing w:before="0" w:after="0" w:line="240" w:lineRule="auto"/>
        <w:ind w:left="640" w:hanging="640" w:hangingChars="200"/>
        <w:rPr>
          <w:rStyle w:val="22"/>
          <w:rFonts w:ascii="黑体" w:eastAsia="黑体"/>
          <w:b w:val="0"/>
          <w:bCs w:val="0"/>
        </w:rPr>
      </w:pPr>
      <w:bookmarkStart w:id="17" w:name="_Toc15377197"/>
      <w:bookmarkStart w:id="18" w:name="_Toc20678"/>
      <w:r>
        <w:rPr>
          <w:rFonts w:hint="eastAsia" w:ascii="黑体" w:eastAsia="黑体"/>
          <w:b w:val="0"/>
          <w:color w:val="000000"/>
        </w:rPr>
        <w:t>一、</w:t>
      </w:r>
      <w:bookmarkEnd w:id="17"/>
      <w:bookmarkEnd w:id="18"/>
      <w:bookmarkStart w:id="19" w:name="_Toc15377198"/>
      <w:bookmarkStart w:id="20" w:name="_Toc15378445"/>
      <w:r>
        <w:rPr>
          <w:rFonts w:hint="eastAsia" w:ascii="黑体" w:eastAsia="黑体"/>
          <w:b w:val="0"/>
          <w:color w:val="000000"/>
          <w:lang w:eastAsia="zh-CN"/>
        </w:rPr>
        <w:t>部门职责</w:t>
      </w:r>
    </w:p>
    <w:bookmarkEnd w:id="19"/>
    <w:bookmarkEnd w:id="20"/>
    <w:p w14:paraId="06FAEC74">
      <w:pPr>
        <w:keepNext w:val="0"/>
        <w:keepLines w:val="0"/>
        <w:pageBreakBefore w:val="0"/>
        <w:widowControl w:val="0"/>
        <w:pBdr>
          <w:bottom w:val="single" w:color="FFFFFF" w:sz="4" w:space="29"/>
        </w:pBdr>
        <w:tabs>
          <w:tab w:val="left" w:pos="1440"/>
        </w:tabs>
        <w:kinsoku/>
        <w:wordWrap/>
        <w:overflowPunct w:val="0"/>
        <w:topLinePunct w:val="0"/>
        <w:autoSpaceDE/>
        <w:autoSpaceDN/>
        <w:bidi w:val="0"/>
        <w:adjustRightInd w:val="0"/>
        <w:snapToGrid w:val="0"/>
        <w:spacing w:line="576" w:lineRule="exact"/>
        <w:ind w:left="0" w:right="0" w:firstLine="640" w:firstLineChars="200"/>
        <w:jc w:val="both"/>
        <w:textAlignment w:val="auto"/>
        <w:outlineLvl w:val="9"/>
        <w:rPr>
          <w:rFonts w:ascii="Times New Roman" w:hAnsi="Times New Roman" w:eastAsia="仿宋_GB2312" w:cs="Times New Roman"/>
          <w:sz w:val="32"/>
          <w:szCs w:val="32"/>
          <w:lang w:val="en-US" w:eastAsia="zh-CN"/>
        </w:rPr>
      </w:pPr>
      <w:bookmarkStart w:id="21" w:name="_Toc21487"/>
      <w:bookmarkStart w:id="22" w:name="_Toc15377200"/>
      <w:bookmarkStart w:id="23" w:name="_Toc15978"/>
      <w:r>
        <w:rPr>
          <w:rFonts w:ascii="Times New Roman" w:hAnsi="Times New Roman" w:eastAsia="仿宋_GB2312" w:cs="Times New Roman"/>
          <w:sz w:val="32"/>
          <w:szCs w:val="32"/>
          <w:lang w:val="en-US" w:eastAsia="zh-CN"/>
        </w:rPr>
        <w:t>2024年是新中国成立75周年，是全面贯彻落实党的二十大精神的关键之年，是实施“十四五”规划的攻坚之年，也是全乡加压奋进、追赶跨越的重要之年。今年以来，在</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党委的坚强领导下，在</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人大主席团的监督支持下，</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人民政府</w:t>
      </w:r>
      <w:r>
        <w:rPr>
          <w:rFonts w:hint="eastAsia" w:ascii="Times New Roman" w:hAnsi="Times New Roman" w:eastAsia="仿宋_GB2312" w:cs="Times New Roman"/>
          <w:sz w:val="32"/>
          <w:szCs w:val="32"/>
          <w:lang w:val="en-US" w:eastAsia="zh-CN"/>
        </w:rPr>
        <w:t>深入学习贯彻党的二十届三中全会</w:t>
      </w:r>
      <w:r>
        <w:rPr>
          <w:rFonts w:hint="eastAsia" w:ascii="Times New Roman" w:hAnsi="Times New Roman" w:eastAsia="方正仿宋_GBK" w:cs="Times New Roman"/>
          <w:b/>
          <w:bCs/>
          <w:color w:val="auto"/>
          <w:sz w:val="32"/>
          <w:szCs w:val="32"/>
          <w:lang w:val="en-US" w:eastAsia="zh-CN"/>
        </w:rPr>
        <w:t>，</w:t>
      </w:r>
      <w:r>
        <w:rPr>
          <w:rFonts w:hint="eastAsia" w:ascii="Times New Roman" w:hAnsi="Times New Roman" w:eastAsia="仿宋_GB2312" w:cs="Times New Roman"/>
          <w:sz w:val="32"/>
          <w:szCs w:val="32"/>
          <w:lang w:val="en-US" w:eastAsia="zh-CN"/>
        </w:rPr>
        <w:t>省委十二届五次、六次全会，州委十二届五次、六次精神和县委十三届五次全会精神</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紧紧围绕州委“1610”系统部署和县委</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1266</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发展路径</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认真履职尽责、主动担当作为</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加快推动庆宁</w:t>
      </w:r>
      <w:r>
        <w:rPr>
          <w:rFonts w:ascii="Times New Roman" w:hAnsi="Times New Roman" w:eastAsia="仿宋_GB2312" w:cs="Times New Roman"/>
          <w:sz w:val="32"/>
          <w:szCs w:val="32"/>
          <w:lang w:val="en-US" w:eastAsia="zh-CN"/>
        </w:rPr>
        <w:t>高质量发展</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各项事业取得新的可喜成绩。</w:t>
      </w:r>
    </w:p>
    <w:p w14:paraId="7BF239E4">
      <w:pPr>
        <w:keepNext w:val="0"/>
        <w:keepLines w:val="0"/>
        <w:pageBreakBefore w:val="0"/>
        <w:widowControl w:val="0"/>
        <w:pBdr>
          <w:bottom w:val="single" w:color="FFFFFF" w:sz="4" w:space="29"/>
        </w:pBdr>
        <w:tabs>
          <w:tab w:val="left" w:pos="1440"/>
        </w:tabs>
        <w:kinsoku/>
        <w:wordWrap/>
        <w:overflowPunct w:val="0"/>
        <w:topLinePunct w:val="0"/>
        <w:autoSpaceDE/>
        <w:autoSpaceDN/>
        <w:bidi w:val="0"/>
        <w:adjustRightInd w:val="0"/>
        <w:snapToGrid w:val="0"/>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进一步强化社会管理职能，加强辖区内的社会治安综合管理。建立村、企业及单位治安综合治理网络，实行群防群治。加强法制宣传教育，积极做好平安</w:t>
      </w:r>
      <w:r>
        <w:rPr>
          <w:rFonts w:hint="eastAsia" w:eastAsia="仿宋_GB2312" w:cs="Times New Roman"/>
          <w:sz w:val="32"/>
          <w:szCs w:val="32"/>
          <w:lang w:eastAsia="zh-CN"/>
        </w:rPr>
        <w:t>乡乡</w:t>
      </w:r>
      <w:r>
        <w:rPr>
          <w:rFonts w:ascii="Times New Roman" w:hAnsi="Times New Roman" w:eastAsia="仿宋_GB2312" w:cs="Times New Roman"/>
          <w:sz w:val="32"/>
          <w:szCs w:val="32"/>
        </w:rPr>
        <w:t>、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4B013C53">
      <w:pPr>
        <w:snapToGrid w:val="0"/>
        <w:spacing w:line="560" w:lineRule="exact"/>
        <w:ind w:firstLine="640" w:firstLineChars="200"/>
        <w:rPr>
          <w:rFonts w:ascii="Times New Roman" w:hAnsi="Times New Roman" w:cs="Times New Roman"/>
          <w:bCs/>
          <w:color w:val="000000"/>
          <w:sz w:val="32"/>
          <w:szCs w:val="32"/>
          <w:highlight w:val="yellow"/>
        </w:rPr>
      </w:pPr>
      <w:r>
        <w:rPr>
          <w:rFonts w:ascii="Times New Roman" w:hAnsi="Times New Roman" w:eastAsia="仿宋_GB2312" w:cs="Times New Roman"/>
          <w:sz w:val="32"/>
          <w:szCs w:val="32"/>
        </w:rPr>
        <w:t>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bookmarkEnd w:id="21"/>
    <w:p w14:paraId="4080116A">
      <w:pPr>
        <w:snapToGrid w:val="0"/>
        <w:spacing w:line="560" w:lineRule="exact"/>
        <w:ind w:firstLine="640" w:firstLineChars="200"/>
        <w:rPr>
          <w:rFonts w:ascii="Times New Roman" w:hAnsi="Times New Roman" w:eastAsia="仿宋_GB2312" w:cs="Times New Roman"/>
          <w:sz w:val="32"/>
          <w:szCs w:val="32"/>
        </w:rPr>
      </w:pPr>
    </w:p>
    <w:p w14:paraId="2AC05574">
      <w:pPr>
        <w:spacing w:line="578" w:lineRule="exact"/>
        <w:rPr>
          <w:rStyle w:val="22"/>
          <w:b w:val="0"/>
          <w:bCs w:val="0"/>
        </w:rPr>
      </w:pPr>
      <w:r>
        <w:rPr>
          <w:rStyle w:val="22"/>
          <w:rFonts w:hint="eastAsia" w:ascii="黑体" w:eastAsia="黑体"/>
          <w:b w:val="0"/>
          <w:bCs w:val="0"/>
        </w:rPr>
        <w:t>二、机构设置</w:t>
      </w:r>
      <w:bookmarkEnd w:id="22"/>
    </w:p>
    <w:bookmarkEnd w:id="23"/>
    <w:p w14:paraId="654074C3">
      <w:pPr>
        <w:ind w:firstLine="800" w:firstLineChars="250"/>
        <w:rPr>
          <w:rFonts w:hint="eastAsia" w:ascii="Times New Roman" w:hAnsi="Times New Roman" w:eastAsia="仿宋_GB2312" w:cs="仿宋_GB2312"/>
          <w:color w:val="auto"/>
          <w:sz w:val="32"/>
          <w:szCs w:val="32"/>
          <w:highlight w:val="none"/>
        </w:rPr>
      </w:pPr>
      <w:bookmarkStart w:id="24" w:name="_Toc15377204"/>
      <w:r>
        <w:rPr>
          <w:rFonts w:hint="eastAsia" w:ascii="仿宋_GB2312" w:eastAsia="仿宋_GB2312" w:cs="仿宋_GB2312"/>
          <w:color w:val="auto"/>
          <w:sz w:val="32"/>
          <w:szCs w:val="32"/>
          <w:highlight w:val="none"/>
        </w:rPr>
        <w:t>金川县庆宁乡人民政府</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2D26D9F8">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纳入</w:t>
      </w:r>
      <w:r>
        <w:rPr>
          <w:rFonts w:hint="eastAsia" w:ascii="仿宋_GB2312" w:eastAsia="仿宋_GB2312" w:cs="仿宋_GB2312"/>
          <w:sz w:val="32"/>
          <w:szCs w:val="32"/>
        </w:rPr>
        <w:t>金川县庆宁乡人民政府</w:t>
      </w:r>
      <w:r>
        <w:rPr>
          <w:rFonts w:hint="eastAsia" w:ascii="仿宋_GB2312" w:eastAsia="仿宋_GB2312" w:cs="仿宋_GB2312"/>
          <w:color w:val="auto"/>
          <w:sz w:val="32"/>
          <w:szCs w:val="32"/>
          <w:highlight w:val="none"/>
          <w:lang w:eastAsia="zh-CN"/>
        </w:rPr>
        <w:t>2024年度</w:t>
      </w:r>
      <w:r>
        <w:rPr>
          <w:rFonts w:hint="eastAsia" w:ascii="仿宋_GB2312" w:eastAsia="仿宋_GB2312" w:cs="仿宋_GB2312"/>
          <w:color w:val="auto"/>
          <w:sz w:val="32"/>
          <w:szCs w:val="32"/>
          <w:highlight w:val="none"/>
        </w:rPr>
        <w:t>部门决算编制范</w:t>
      </w:r>
      <w:r>
        <w:rPr>
          <w:rFonts w:hint="eastAsia" w:ascii="Times New Roman" w:hAnsi="Times New Roman" w:eastAsia="仿宋_GB2312" w:cs="仿宋_GB2312"/>
          <w:color w:val="auto"/>
          <w:sz w:val="32"/>
          <w:szCs w:val="32"/>
          <w:highlight w:val="none"/>
        </w:rPr>
        <w:t>围的二级预算单位包括：</w:t>
      </w:r>
    </w:p>
    <w:p w14:paraId="403A76AB">
      <w:pPr>
        <w:ind w:firstLine="800" w:firstLineChars="250"/>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庆宁乡人民政府办公室</w:t>
      </w:r>
    </w:p>
    <w:p w14:paraId="6E48FD1C">
      <w:pPr>
        <w:ind w:firstLine="800" w:firstLineChars="250"/>
        <w:rPr>
          <w:rFonts w:hint="eastAsia" w:ascii="仿宋_GB2312" w:eastAsia="仿宋_GB2312" w:cs="仿宋_GB2312"/>
          <w:sz w:val="32"/>
          <w:szCs w:val="32"/>
          <w:lang w:eastAsia="zh-CN"/>
        </w:rPr>
      </w:pPr>
      <w:bookmarkStart w:id="25" w:name="_Toc32723"/>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庆宁乡</w:t>
      </w:r>
      <w:r>
        <w:rPr>
          <w:rFonts w:hint="eastAsia" w:ascii="仿宋_GB2312" w:eastAsia="仿宋_GB2312" w:cs="仿宋_GB2312"/>
          <w:sz w:val="32"/>
          <w:szCs w:val="32"/>
          <w:lang w:eastAsia="zh-CN"/>
        </w:rPr>
        <w:t>党委办公室</w:t>
      </w:r>
    </w:p>
    <w:p w14:paraId="23804D97">
      <w:pPr>
        <w:ind w:firstLine="800" w:firstLineChars="25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3.庆宁乡人大办公室</w:t>
      </w:r>
    </w:p>
    <w:p w14:paraId="214B50F9">
      <w:pPr>
        <w:ind w:firstLine="800" w:firstLineChars="250"/>
        <w:rPr>
          <w:rFonts w:hint="eastAsia" w:ascii="黑体" w:eastAsia="黑体"/>
          <w:b w:val="0"/>
          <w:color w:val="000000"/>
        </w:rPr>
      </w:pPr>
      <w:r>
        <w:rPr>
          <w:rFonts w:hint="eastAsia" w:ascii="仿宋_GB2312" w:eastAsia="仿宋_GB2312" w:cs="仿宋_GB2312"/>
          <w:sz w:val="32"/>
          <w:szCs w:val="32"/>
          <w:lang w:val="en-US" w:eastAsia="zh-CN"/>
        </w:rPr>
        <w:t>4.庆宁乡综合服务中心</w:t>
      </w:r>
      <w:r>
        <w:rPr>
          <w:rFonts w:hint="eastAsia" w:ascii="黑体" w:eastAsia="黑体"/>
          <w:b w:val="0"/>
          <w:color w:val="000000"/>
        </w:rPr>
        <w:br w:type="page"/>
      </w:r>
    </w:p>
    <w:p w14:paraId="68B7943E">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21"/>
          <w:rFonts w:hint="eastAsia" w:ascii="黑体" w:eastAsia="黑体"/>
          <w:b w:val="0"/>
          <w:bCs w:val="0"/>
          <w:lang w:eastAsia="zh-CN"/>
        </w:rPr>
        <w:t>2024</w:t>
      </w:r>
      <w:r>
        <w:rPr>
          <w:rStyle w:val="21"/>
          <w:rFonts w:hint="eastAsia" w:ascii="黑体" w:eastAsia="黑体"/>
          <w:b w:val="0"/>
          <w:bCs w:val="0"/>
        </w:rPr>
        <w:t>年度部门决算情况说明</w:t>
      </w:r>
      <w:bookmarkEnd w:id="24"/>
      <w:bookmarkEnd w:id="25"/>
    </w:p>
    <w:p w14:paraId="3F7305DB">
      <w:pPr>
        <w:pStyle w:val="24"/>
        <w:numPr>
          <w:ilvl w:val="0"/>
          <w:numId w:val="1"/>
        </w:numPr>
        <w:ind w:left="0" w:firstLine="0" w:firstLineChars="0"/>
        <w:outlineLvl w:val="1"/>
        <w:rPr>
          <w:rStyle w:val="22"/>
          <w:rFonts w:ascii="黑体" w:eastAsia="黑体"/>
          <w:b w:val="0"/>
        </w:rPr>
      </w:pPr>
      <w:bookmarkStart w:id="26" w:name="_Toc14461"/>
      <w:bookmarkStart w:id="27" w:name="_Toc15377205"/>
      <w:r>
        <w:rPr>
          <w:rFonts w:hint="eastAsia" w:ascii="黑体" w:eastAsia="黑体"/>
          <w:color w:val="000000"/>
          <w:sz w:val="32"/>
          <w:szCs w:val="32"/>
        </w:rPr>
        <w:t>收</w:t>
      </w:r>
      <w:r>
        <w:rPr>
          <w:rStyle w:val="22"/>
          <w:rFonts w:hint="eastAsia" w:ascii="黑体" w:eastAsia="黑体"/>
          <w:b w:val="0"/>
        </w:rPr>
        <w:t>入支出决算总体情况说明</w:t>
      </w:r>
      <w:bookmarkEnd w:id="26"/>
      <w:bookmarkEnd w:id="27"/>
    </w:p>
    <w:p w14:paraId="5DCF1433">
      <w:pPr>
        <w:snapToGrid w:val="0"/>
        <w:spacing w:line="52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w:t>
      </w:r>
    </w:p>
    <w:p w14:paraId="50A7862A">
      <w:pPr>
        <w:spacing w:line="600" w:lineRule="exact"/>
        <w:rPr>
          <w:rStyle w:val="22"/>
          <w:rFonts w:ascii="黑体" w:eastAsia="黑体"/>
          <w:b w:val="0"/>
        </w:rPr>
      </w:pPr>
      <w:bookmarkStart w:id="28" w:name="_Toc15377206"/>
      <w:r>
        <w:rPr>
          <w:rFonts w:hint="eastAsia" w:ascii="黑体" w:eastAsia="黑体"/>
          <w:color w:val="000000"/>
          <w:sz w:val="32"/>
          <w:szCs w:val="32"/>
        </w:rPr>
        <w:t>二、收入决</w:t>
      </w:r>
      <w:r>
        <w:rPr>
          <w:rStyle w:val="22"/>
          <w:rFonts w:hint="eastAsia" w:ascii="黑体" w:eastAsia="黑体"/>
          <w:b w:val="0"/>
        </w:rPr>
        <w:t>算情况说明</w:t>
      </w:r>
      <w:bookmarkEnd w:id="28"/>
    </w:p>
    <w:p w14:paraId="3D78EB9E">
      <w:pPr>
        <w:snapToGrid w:val="0"/>
        <w:spacing w:line="520" w:lineRule="exact"/>
        <w:ind w:firstLine="632" w:firstLineChars="200"/>
        <w:rPr>
          <w:rFonts w:hint="eastAsia" w:ascii="仿宋_GB2312" w:eastAsia="仿宋_GB2312"/>
          <w:color w:val="000000"/>
          <w:spacing w:val="-2"/>
          <w:sz w:val="32"/>
          <w:szCs w:val="32"/>
        </w:rPr>
      </w:pPr>
      <w:bookmarkStart w:id="29" w:name="_Toc22912"/>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年总收入</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rPr>
        <w:t>万元，其中：一般公共预算财政拨款收入</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rPr>
        <w:t>万元，占100%；政府性基金预算财政拨款收入0万元，占0%；国有资本经营预算财政拨款收入0万元，占0%；事业收入0万元，占0%；经营收入0万元，占0%；附属单位上缴收入0万元，占0%；其他收入0万元，占0%。</w:t>
      </w:r>
      <w:bookmarkEnd w:id="29"/>
    </w:p>
    <w:p w14:paraId="00237711">
      <w:pPr>
        <w:spacing w:line="600" w:lineRule="exact"/>
        <w:outlineLvl w:val="1"/>
        <w:rPr>
          <w:rStyle w:val="22"/>
          <w:rFonts w:ascii="黑体" w:eastAsia="黑体"/>
          <w:b w:val="0"/>
        </w:rPr>
      </w:pPr>
      <w:bookmarkStart w:id="30" w:name="_Toc4194"/>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243840</wp:posOffset>
            </wp:positionH>
            <wp:positionV relativeFrom="paragraph">
              <wp:posOffset>134620</wp:posOffset>
            </wp:positionV>
            <wp:extent cx="5373370" cy="2648585"/>
            <wp:effectExtent l="0" t="0" r="0" b="0"/>
            <wp:wrapTopAndBottom/>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bookmarkStart w:id="31" w:name="_Toc15377207"/>
      <w:r>
        <w:rPr>
          <w:rFonts w:hint="eastAsia" w:ascii="黑体" w:eastAsia="黑体"/>
          <w:color w:val="000000"/>
          <w:sz w:val="32"/>
          <w:szCs w:val="32"/>
        </w:rPr>
        <w:t>三、支出决</w:t>
      </w:r>
      <w:r>
        <w:rPr>
          <w:rStyle w:val="22"/>
          <w:rFonts w:hint="eastAsia" w:ascii="黑体" w:eastAsia="黑体"/>
          <w:b w:val="0"/>
        </w:rPr>
        <w:t>算情况说明</w:t>
      </w:r>
      <w:bookmarkEnd w:id="30"/>
      <w:bookmarkEnd w:id="31"/>
    </w:p>
    <w:p w14:paraId="6A12E324">
      <w:pPr>
        <w:snapToGrid w:val="0"/>
        <w:spacing w:line="520" w:lineRule="exact"/>
        <w:ind w:firstLine="632" w:firstLineChars="200"/>
        <w:rPr>
          <w:lang w:val="en-US"/>
        </w:rPr>
      </w:pPr>
      <w:r>
        <w:rPr>
          <w:rFonts w:hint="eastAsia" w:ascii="仿宋_GB2312" w:eastAsia="仿宋_GB2312"/>
          <w:color w:val="000000"/>
          <w:spacing w:val="-2"/>
          <w:sz w:val="32"/>
          <w:szCs w:val="32"/>
          <w:lang w:eastAsia="zh-CN"/>
        </w:rPr>
        <w:t>2024年本年总支出</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lang w:eastAsia="zh-CN"/>
        </w:rPr>
        <w:t>万元，其中：基本支出</w:t>
      </w:r>
      <w:r>
        <w:rPr>
          <w:rFonts w:hint="eastAsia" w:ascii="仿宋_GB2312" w:eastAsia="仿宋_GB2312"/>
          <w:color w:val="000000"/>
          <w:spacing w:val="-2"/>
          <w:sz w:val="32"/>
          <w:szCs w:val="32"/>
          <w:lang w:val="en-US" w:eastAsia="zh-CN"/>
        </w:rPr>
        <w:t>708.49</w:t>
      </w:r>
      <w:r>
        <w:rPr>
          <w:rFonts w:hint="eastAsia" w:ascii="仿宋_GB2312"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71.45</w:t>
      </w:r>
      <w:r>
        <w:rPr>
          <w:rFonts w:hint="eastAsia" w:ascii="仿宋_GB2312" w:eastAsia="仿宋_GB2312"/>
          <w:color w:val="000000"/>
          <w:spacing w:val="-2"/>
          <w:sz w:val="32"/>
          <w:szCs w:val="32"/>
          <w:lang w:eastAsia="zh-CN"/>
        </w:rPr>
        <w:t>%；项目支出</w:t>
      </w:r>
      <w:r>
        <w:rPr>
          <w:rFonts w:hint="eastAsia" w:ascii="仿宋_GB2312" w:eastAsia="仿宋_GB2312"/>
          <w:color w:val="000000"/>
          <w:spacing w:val="-2"/>
          <w:sz w:val="32"/>
          <w:szCs w:val="32"/>
          <w:lang w:val="en-US" w:eastAsia="zh-CN"/>
        </w:rPr>
        <w:t>283.05</w:t>
      </w:r>
      <w:r>
        <w:rPr>
          <w:rFonts w:hint="eastAsia" w:ascii="仿宋_GB2312"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28.55</w:t>
      </w:r>
      <w:r>
        <w:rPr>
          <w:rFonts w:hint="eastAsia" w:ascii="仿宋_GB2312" w:eastAsia="仿宋_GB2312"/>
          <w:color w:val="000000"/>
          <w:spacing w:val="-2"/>
          <w:sz w:val="32"/>
          <w:szCs w:val="32"/>
          <w:lang w:eastAsia="zh-CN"/>
        </w:rPr>
        <w:t>%。</w:t>
      </w:r>
    </w:p>
    <w:p w14:paraId="1FAA0B30">
      <w:pPr>
        <w:pStyle w:val="9"/>
        <w:rPr>
          <w:lang w:val="en-US"/>
        </w:rPr>
      </w:pPr>
    </w:p>
    <w:p w14:paraId="7A8152BD">
      <w:pPr>
        <w:pStyle w:val="9"/>
        <w:rPr>
          <w:lang w:val="en-US"/>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-271780</wp:posOffset>
            </wp:positionH>
            <wp:positionV relativeFrom="paragraph">
              <wp:posOffset>629920</wp:posOffset>
            </wp:positionV>
            <wp:extent cx="5467985" cy="27247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492D85D">
      <w:pPr>
        <w:pStyle w:val="9"/>
        <w:ind w:left="0" w:leftChars="0" w:firstLine="0" w:firstLineChars="0"/>
        <w:rPr>
          <w:lang w:val="en-US"/>
        </w:rPr>
      </w:pPr>
    </w:p>
    <w:p w14:paraId="59BAC35E">
      <w:pPr>
        <w:pStyle w:val="10"/>
        <w:rPr>
          <w:lang w:val="en-US"/>
        </w:rPr>
      </w:pPr>
    </w:p>
    <w:p w14:paraId="7D7E43C4">
      <w:pPr>
        <w:spacing w:line="600" w:lineRule="exact"/>
        <w:ind w:firstLine="640" w:firstLineChars="200"/>
        <w:outlineLvl w:val="1"/>
        <w:rPr>
          <w:rStyle w:val="22"/>
          <w:rFonts w:ascii="黑体" w:eastAsia="黑体"/>
          <w:b w:val="0"/>
        </w:rPr>
      </w:pPr>
      <w:bookmarkStart w:id="32" w:name="_Toc27948"/>
      <w:bookmarkStart w:id="33" w:name="_Toc15377208"/>
      <w:r>
        <w:rPr>
          <w:rFonts w:hint="eastAsia" w:ascii="黑体" w:eastAsia="黑体"/>
          <w:color w:val="000000"/>
          <w:sz w:val="32"/>
          <w:szCs w:val="32"/>
        </w:rPr>
        <w:t>四、财</w:t>
      </w:r>
      <w:r>
        <w:rPr>
          <w:rStyle w:val="22"/>
          <w:rFonts w:hint="eastAsia" w:ascii="黑体" w:eastAsia="黑体"/>
          <w:b w:val="0"/>
        </w:rPr>
        <w:t>政拨款收入支出决算总体情况说明</w:t>
      </w:r>
      <w:bookmarkEnd w:id="32"/>
      <w:bookmarkEnd w:id="33"/>
    </w:p>
    <w:p w14:paraId="7F77832F">
      <w:pPr>
        <w:snapToGrid w:val="0"/>
        <w:spacing w:line="520" w:lineRule="exact"/>
        <w:ind w:firstLine="632" w:firstLineChars="200"/>
        <w:rPr>
          <w:rFonts w:ascii="仿宋_GB2312" w:eastAsia="仿宋_GB2312"/>
          <w:color w:val="000000"/>
          <w:spacing w:val="-2"/>
          <w:sz w:val="32"/>
          <w:szCs w:val="32"/>
          <w:lang w:val="en-US" w:eastAsia="zh-CN"/>
        </w:rPr>
      </w:pPr>
      <w:r>
        <w:rPr>
          <w:rFonts w:hint="eastAsia" w:ascii="仿宋_GB2312" w:eastAsia="仿宋_GB2312"/>
          <w:color w:val="000000"/>
          <w:spacing w:val="-2"/>
          <w:sz w:val="32"/>
          <w:szCs w:val="32"/>
          <w:lang w:eastAsia="zh-CN"/>
        </w:rPr>
        <w:t>2024年财政拨款收入</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lang w:eastAsia="zh-CN"/>
        </w:rPr>
        <w:t>万元。与</w:t>
      </w:r>
      <w:r>
        <w:rPr>
          <w:rFonts w:hint="eastAsia" w:ascii="仿宋_GB2312" w:eastAsia="仿宋_GB2312"/>
          <w:color w:val="000000"/>
          <w:spacing w:val="-2"/>
          <w:sz w:val="32"/>
          <w:szCs w:val="32"/>
          <w:lang w:val="en-US" w:eastAsia="zh-CN"/>
        </w:rPr>
        <w:t>2023</w:t>
      </w:r>
      <w:r>
        <w:rPr>
          <w:rFonts w:hint="eastAsia" w:ascii="仿宋_GB2312" w:eastAsia="仿宋_GB2312"/>
          <w:color w:val="000000"/>
          <w:spacing w:val="-2"/>
          <w:sz w:val="32"/>
          <w:szCs w:val="32"/>
          <w:lang w:eastAsia="zh-CN"/>
        </w:rPr>
        <w:t>年相比，一般公共预算财政拨款收入较上年收入减少</w:t>
      </w:r>
      <w:r>
        <w:rPr>
          <w:rFonts w:hint="eastAsia" w:ascii="仿宋_GB2312" w:eastAsia="仿宋_GB2312"/>
          <w:color w:val="000000"/>
          <w:spacing w:val="-2"/>
          <w:sz w:val="32"/>
          <w:szCs w:val="32"/>
          <w:lang w:val="en-US" w:eastAsia="zh-CN"/>
        </w:rPr>
        <w:t>345.01</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原因为有人员变动及项目减少。</w:t>
      </w:r>
    </w:p>
    <w:p w14:paraId="450899F2">
      <w:pPr>
        <w:snapToGrid w:val="0"/>
        <w:spacing w:line="52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2024年财政拨款</w:t>
      </w:r>
      <w:r>
        <w:rPr>
          <w:rFonts w:hint="eastAsia" w:ascii="仿宋_GB2312" w:eastAsia="仿宋_GB2312"/>
          <w:color w:val="000000"/>
          <w:spacing w:val="-2"/>
          <w:sz w:val="32"/>
          <w:szCs w:val="32"/>
          <w:lang w:val="en-US" w:eastAsia="zh-CN"/>
        </w:rPr>
        <w:t>支出991.49</w:t>
      </w:r>
      <w:r>
        <w:rPr>
          <w:rFonts w:hint="eastAsia" w:ascii="仿宋_GB2312" w:eastAsia="仿宋_GB2312"/>
          <w:color w:val="000000"/>
          <w:spacing w:val="-2"/>
          <w:sz w:val="32"/>
          <w:szCs w:val="32"/>
          <w:lang w:eastAsia="zh-CN"/>
        </w:rPr>
        <w:t>万元，较上年收入减少</w:t>
      </w:r>
      <w:r>
        <w:rPr>
          <w:rFonts w:hint="eastAsia" w:ascii="仿宋_GB2312" w:eastAsia="仿宋_GB2312"/>
          <w:color w:val="000000"/>
          <w:spacing w:val="-2"/>
          <w:sz w:val="32"/>
          <w:szCs w:val="32"/>
          <w:lang w:val="en-US" w:eastAsia="zh-CN"/>
        </w:rPr>
        <w:t>345.01</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原因为有人员变动及项目减少。</w:t>
      </w:r>
    </w:p>
    <w:p w14:paraId="16AEB2FD">
      <w:pPr>
        <w:spacing w:line="600" w:lineRule="exact"/>
        <w:ind w:firstLine="640" w:firstLineChars="200"/>
        <w:rPr>
          <w:rStyle w:val="22"/>
          <w:rFonts w:ascii="黑体" w:eastAsia="黑体"/>
          <w:b w:val="0"/>
        </w:rPr>
      </w:pPr>
      <w:bookmarkStart w:id="34" w:name="_Toc15377209"/>
      <w:r>
        <w:rPr>
          <w:rFonts w:hint="eastAsia" w:ascii="黑体" w:eastAsia="黑体"/>
          <w:color w:val="000000"/>
          <w:sz w:val="32"/>
          <w:szCs w:val="32"/>
        </w:rPr>
        <w:t>五、</w:t>
      </w:r>
      <w:r>
        <w:rPr>
          <w:rFonts w:hint="eastAsia" w:ascii="黑体" w:eastAsia="黑体"/>
          <w:b/>
          <w:color w:val="000000"/>
          <w:sz w:val="32"/>
          <w:szCs w:val="32"/>
        </w:rPr>
        <w:t>一</w:t>
      </w:r>
      <w:r>
        <w:rPr>
          <w:rStyle w:val="22"/>
          <w:rFonts w:hint="eastAsia" w:ascii="黑体" w:eastAsia="黑体"/>
          <w:b w:val="0"/>
        </w:rPr>
        <w:t>般公共预算财政拨款支出决算情况说明</w:t>
      </w:r>
      <w:bookmarkEnd w:id="34"/>
    </w:p>
    <w:p w14:paraId="2AA553E9">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14:paraId="3084DBCA">
      <w:pPr>
        <w:snapToGrid w:val="0"/>
        <w:spacing w:line="52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2024年一般公共预算财政拨款支出</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lang w:eastAsia="zh-CN"/>
        </w:rPr>
        <w:t>万元，占本年总支出的100%。与</w:t>
      </w:r>
      <w:r>
        <w:rPr>
          <w:rFonts w:hint="eastAsia" w:ascii="仿宋_GB2312" w:eastAsia="仿宋_GB2312"/>
          <w:color w:val="000000"/>
          <w:spacing w:val="-2"/>
          <w:sz w:val="32"/>
          <w:szCs w:val="32"/>
          <w:lang w:val="en-US" w:eastAsia="zh-CN"/>
        </w:rPr>
        <w:t>2022</w:t>
      </w:r>
      <w:r>
        <w:rPr>
          <w:rFonts w:hint="eastAsia" w:ascii="仿宋_GB2312" w:eastAsia="仿宋_GB2312"/>
          <w:color w:val="000000"/>
          <w:spacing w:val="-2"/>
          <w:sz w:val="32"/>
          <w:szCs w:val="32"/>
          <w:lang w:eastAsia="zh-CN"/>
        </w:rPr>
        <w:t>年相比，一般公共预算财政拨款支出收入</w:t>
      </w:r>
      <w:r>
        <w:rPr>
          <w:rFonts w:hint="eastAsia" w:ascii="仿宋_GB2312" w:eastAsia="仿宋_GB2312"/>
          <w:color w:val="000000"/>
          <w:spacing w:val="-2"/>
          <w:sz w:val="32"/>
          <w:szCs w:val="32"/>
          <w:lang w:val="en-US" w:eastAsia="zh-CN"/>
        </w:rPr>
        <w:t>增加110.79</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增加8.29</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原因为有人员变动及项目增加。</w:t>
      </w:r>
    </w:p>
    <w:p w14:paraId="7A1772BC">
      <w:pPr>
        <w:numPr>
          <w:ilvl w:val="0"/>
          <w:numId w:val="2"/>
        </w:numPr>
        <w:spacing w:line="600" w:lineRule="exact"/>
        <w:ind w:left="0" w:firstLine="643" w:firstLineChars="200"/>
        <w:outlineLvl w:val="2"/>
        <w:rPr>
          <w:rFonts w:ascii="仿宋" w:eastAsia="仿宋"/>
          <w:b/>
          <w:color w:val="000000"/>
          <w:sz w:val="32"/>
          <w:szCs w:val="32"/>
        </w:rPr>
      </w:pPr>
      <w:bookmarkStart w:id="36" w:name="_Toc15377211"/>
      <w:r>
        <w:rPr>
          <w:rFonts w:hint="eastAsia" w:ascii="仿宋" w:eastAsia="仿宋"/>
          <w:b/>
          <w:color w:val="000000"/>
          <w:sz w:val="32"/>
          <w:szCs w:val="32"/>
        </w:rPr>
        <w:t>一般公共预算财政拨款支出决算结构情况</w:t>
      </w:r>
      <w:bookmarkEnd w:id="36"/>
    </w:p>
    <w:p w14:paraId="0395A0BD">
      <w:pPr>
        <w:spacing w:line="600" w:lineRule="exact"/>
        <w:ind w:firstLine="632" w:firstLineChars="200"/>
        <w:outlineLvl w:val="2"/>
        <w:rPr>
          <w:rFonts w:ascii="仿宋" w:eastAsia="仿宋"/>
          <w:bCs/>
          <w:color w:val="000000"/>
          <w:sz w:val="32"/>
          <w:szCs w:val="32"/>
          <w:lang w:val="en-US" w:eastAsia="zh-CN"/>
        </w:rPr>
      </w:pPr>
      <w:r>
        <w:rPr>
          <w:rFonts w:hint="eastAsia" w:ascii="仿宋_GB2312" w:eastAsia="仿宋_GB2312"/>
          <w:color w:val="000000"/>
          <w:spacing w:val="-2"/>
          <w:sz w:val="32"/>
          <w:szCs w:val="32"/>
          <w:lang w:eastAsia="zh-CN"/>
        </w:rPr>
        <w:t>2024年一般公共预算财政拨款支出为</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lang w:eastAsia="zh-CN"/>
        </w:rPr>
        <w:t>万元。其中：一般公共服务支出为</w:t>
      </w:r>
      <w:r>
        <w:rPr>
          <w:rFonts w:hint="eastAsia" w:ascii="仿宋_GB2312" w:eastAsia="仿宋_GB2312"/>
          <w:color w:val="000000"/>
          <w:spacing w:val="-2"/>
          <w:sz w:val="32"/>
          <w:szCs w:val="32"/>
          <w:lang w:val="en-US" w:eastAsia="zh-CN"/>
        </w:rPr>
        <w:t>341.43</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34.43</w:t>
      </w:r>
      <w:r>
        <w:rPr>
          <w:rFonts w:hint="eastAsia" w:ascii="仿宋_GB2312" w:eastAsia="仿宋_GB2312"/>
          <w:color w:val="000000"/>
          <w:spacing w:val="-2"/>
          <w:sz w:val="32"/>
          <w:szCs w:val="32"/>
          <w:lang w:eastAsia="zh-CN"/>
        </w:rPr>
        <w:t>%；社会保障和就业支出为</w:t>
      </w:r>
      <w:r>
        <w:rPr>
          <w:rFonts w:hint="eastAsia" w:ascii="仿宋_GB2312" w:eastAsia="仿宋_GB2312"/>
          <w:color w:val="000000"/>
          <w:spacing w:val="-2"/>
          <w:sz w:val="32"/>
          <w:szCs w:val="32"/>
          <w:lang w:val="en-US" w:eastAsia="zh-CN"/>
        </w:rPr>
        <w:t>121.34</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12.23</w:t>
      </w:r>
      <w:r>
        <w:rPr>
          <w:rFonts w:hint="eastAsia" w:ascii="仿宋_GB2312" w:eastAsia="仿宋_GB2312"/>
          <w:color w:val="000000"/>
          <w:spacing w:val="-2"/>
          <w:sz w:val="32"/>
          <w:szCs w:val="32"/>
          <w:lang w:eastAsia="zh-CN"/>
        </w:rPr>
        <w:t>%；卫生健康支出为</w:t>
      </w:r>
      <w:r>
        <w:rPr>
          <w:rFonts w:hint="eastAsia" w:ascii="仿宋_GB2312" w:eastAsia="仿宋_GB2312"/>
          <w:color w:val="000000"/>
          <w:spacing w:val="-2"/>
          <w:sz w:val="32"/>
          <w:szCs w:val="32"/>
          <w:lang w:val="en-US" w:eastAsia="zh-CN"/>
        </w:rPr>
        <w:t>40.12</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40.46</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节能环保支出5万元，占比0.05%；城乡社区支出10万元，占比0.01%，农林水支出419.86万元，占比42.34%；</w:t>
      </w:r>
      <w:r>
        <w:rPr>
          <w:rFonts w:hint="eastAsia" w:ascii="仿宋_GB2312" w:eastAsia="仿宋_GB2312"/>
          <w:color w:val="000000"/>
          <w:spacing w:val="-2"/>
          <w:sz w:val="32"/>
          <w:szCs w:val="32"/>
          <w:lang w:eastAsia="zh-CN"/>
        </w:rPr>
        <w:t>住房保障支出为</w:t>
      </w:r>
      <w:r>
        <w:rPr>
          <w:rFonts w:hint="eastAsia" w:ascii="仿宋_GB2312" w:eastAsia="仿宋_GB2312"/>
          <w:color w:val="000000"/>
          <w:spacing w:val="-2"/>
          <w:sz w:val="32"/>
          <w:szCs w:val="32"/>
          <w:lang w:val="en-US" w:eastAsia="zh-CN"/>
        </w:rPr>
        <w:t>53.74</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5.42</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灾害防治及应急管理支出0万元，占比0%；</w:t>
      </w:r>
      <w:r>
        <w:rPr>
          <w:rFonts w:hint="eastAsia" w:ascii="仿宋_GB2312" w:eastAsia="仿宋_GB2312"/>
          <w:color w:val="000000"/>
          <w:spacing w:val="-2"/>
          <w:sz w:val="32"/>
          <w:szCs w:val="32"/>
          <w:lang w:eastAsia="zh-CN"/>
        </w:rPr>
        <w:t>其他支出</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0%。</w:t>
      </w:r>
    </w:p>
    <w:p w14:paraId="6458CC09">
      <w:pPr>
        <w:pStyle w:val="23"/>
        <w:rPr>
          <w:rFonts w:ascii="仿宋" w:eastAsia="仿宋"/>
          <w:b/>
          <w:color w:val="000000"/>
          <w:sz w:val="32"/>
          <w:szCs w:val="32"/>
        </w:rPr>
      </w:pPr>
      <w:bookmarkStart w:id="37" w:name="_Toc15377444"/>
      <w:bookmarkStart w:id="38" w:name="_Toc15377213"/>
      <w:bookmarkStart w:id="39" w:name="_Toc15378460"/>
      <w:r>
        <w:rPr>
          <w:rFonts w:hint="eastAsia" w:ascii="仿宋" w:eastAsia="仿宋"/>
          <w:bCs/>
          <w:color w:val="000000"/>
          <w:sz w:val="32"/>
          <w:szCs w:val="32"/>
          <w:lang w:eastAsia="zh-CN"/>
        </w:rPr>
        <w:drawing>
          <wp:inline distT="0" distB="0" distL="114300" distR="114300">
            <wp:extent cx="5079365" cy="3810000"/>
            <wp:effectExtent l="0" t="0" r="0" b="0"/>
            <wp:docPr id="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9526AF7">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14:paraId="0748F3F4">
      <w:pPr>
        <w:spacing w:line="600" w:lineRule="exact"/>
        <w:outlineLvl w:val="2"/>
        <w:rPr>
          <w:rFonts w:hint="eastAsia" w:ascii="仿宋_GB2312" w:eastAsia="仿宋_GB2312"/>
          <w:color w:val="000000"/>
          <w:spacing w:val="-2"/>
          <w:sz w:val="32"/>
          <w:szCs w:val="32"/>
          <w:lang w:eastAsia="zh-CN"/>
        </w:rPr>
      </w:pPr>
      <w:r>
        <w:rPr>
          <w:rFonts w:hint="eastAsia" w:ascii="仿宋" w:eastAsia="仿宋"/>
          <w:bCs/>
          <w:color w:val="000000"/>
          <w:sz w:val="32"/>
          <w:szCs w:val="32"/>
        </w:rPr>
        <w:t xml:space="preserve">    </w:t>
      </w:r>
      <w:r>
        <w:rPr>
          <w:rFonts w:hint="eastAsia" w:ascii="仿宋_GB2312" w:eastAsia="仿宋_GB2312"/>
          <w:color w:val="000000"/>
          <w:spacing w:val="-2"/>
          <w:sz w:val="32"/>
          <w:szCs w:val="32"/>
          <w:lang w:eastAsia="zh-CN"/>
        </w:rPr>
        <w:t>2024年一般公共预算数为</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lang w:eastAsia="zh-CN"/>
        </w:rPr>
        <w:t>万元，支出决算数为</w:t>
      </w:r>
      <w:r>
        <w:rPr>
          <w:rFonts w:hint="eastAsia" w:ascii="仿宋_GB2312" w:eastAsia="仿宋_GB2312"/>
          <w:color w:val="000000"/>
          <w:spacing w:val="-2"/>
          <w:sz w:val="32"/>
          <w:szCs w:val="32"/>
          <w:lang w:val="en-US" w:eastAsia="zh-CN"/>
        </w:rPr>
        <w:t>991.49</w:t>
      </w:r>
      <w:r>
        <w:rPr>
          <w:rFonts w:hint="eastAsia" w:ascii="仿宋_GB2312" w:eastAsia="仿宋_GB2312"/>
          <w:color w:val="000000"/>
          <w:spacing w:val="-2"/>
          <w:sz w:val="32"/>
          <w:szCs w:val="32"/>
          <w:lang w:eastAsia="zh-CN"/>
        </w:rPr>
        <w:t>万元，完成预算</w:t>
      </w:r>
      <w:r>
        <w:rPr>
          <w:rFonts w:hint="eastAsia" w:ascii="仿宋_GB2312" w:eastAsia="仿宋_GB2312"/>
          <w:color w:val="000000"/>
          <w:spacing w:val="-2"/>
          <w:sz w:val="32"/>
          <w:szCs w:val="32"/>
          <w:lang w:val="en-US" w:eastAsia="zh-CN"/>
        </w:rPr>
        <w:t>100</w:t>
      </w:r>
      <w:r>
        <w:rPr>
          <w:rFonts w:hint="eastAsia" w:ascii="仿宋_GB2312" w:eastAsia="仿宋_GB2312"/>
          <w:color w:val="000000"/>
          <w:spacing w:val="-2"/>
          <w:sz w:val="32"/>
          <w:szCs w:val="32"/>
          <w:lang w:eastAsia="zh-CN"/>
        </w:rPr>
        <w:t>%，其中：</w:t>
      </w:r>
      <w:bookmarkEnd w:id="37"/>
      <w:bookmarkEnd w:id="38"/>
      <w:bookmarkEnd w:id="39"/>
      <w:bookmarkStart w:id="41" w:name="_Toc15377214"/>
    </w:p>
    <w:p w14:paraId="423225BD">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val="en-US" w:eastAsia="zh-CN"/>
        </w:rPr>
        <w:t>政府</w:t>
      </w:r>
      <w:r>
        <w:rPr>
          <w:rStyle w:val="19"/>
          <w:rFonts w:hint="eastAsia" w:ascii="仿宋" w:eastAsia="仿宋"/>
          <w:bCs/>
          <w:color w:val="000000"/>
          <w:sz w:val="32"/>
          <w:szCs w:val="32"/>
        </w:rPr>
        <w:t>办公室（室）及相关机构事务（款）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248.5</w:t>
      </w:r>
      <w:r>
        <w:rPr>
          <w:rFonts w:hint="eastAsia" w:ascii="仿宋_GB2312" w:eastAsia="仿宋_GB2312"/>
          <w:color w:val="000000"/>
          <w:spacing w:val="-2"/>
          <w:sz w:val="32"/>
          <w:szCs w:val="32"/>
          <w:lang w:eastAsia="zh-CN"/>
        </w:rPr>
        <w:t>万元，完成预算100%。结转下年0万元。</w:t>
      </w:r>
    </w:p>
    <w:p w14:paraId="1E2CC0D6">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2</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eastAsia="zh-CN"/>
        </w:rPr>
        <w:t>人大事务（</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20.15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338BB5A3">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3</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val="en-US" w:eastAsia="zh-CN"/>
        </w:rPr>
        <w:t>党委</w:t>
      </w:r>
      <w:r>
        <w:rPr>
          <w:rStyle w:val="19"/>
          <w:rFonts w:hint="eastAsia" w:ascii="仿宋" w:eastAsia="仿宋"/>
          <w:bCs/>
          <w:color w:val="000000"/>
          <w:sz w:val="32"/>
          <w:szCs w:val="32"/>
        </w:rPr>
        <w:t>办公室（室）及相关机构事务（款）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72.79</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169F6626">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4</w:t>
      </w:r>
      <w:r>
        <w:rPr>
          <w:rStyle w:val="19"/>
          <w:rFonts w:ascii="仿宋" w:eastAsia="仿宋"/>
          <w:bCs/>
          <w:color w:val="000000"/>
          <w:sz w:val="32"/>
          <w:szCs w:val="32"/>
        </w:rPr>
        <w:t>.</w:t>
      </w:r>
      <w:r>
        <w:rPr>
          <w:rStyle w:val="19"/>
          <w:rFonts w:hint="eastAsia" w:ascii="仿宋" w:eastAsia="仿宋"/>
          <w:bCs/>
          <w:color w:val="000000"/>
          <w:sz w:val="32"/>
          <w:szCs w:val="32"/>
        </w:rPr>
        <w:t>社会保障和就业（类）行政事业单位</w:t>
      </w:r>
      <w:r>
        <w:rPr>
          <w:rStyle w:val="19"/>
          <w:rFonts w:hint="eastAsia" w:ascii="仿宋" w:eastAsia="仿宋"/>
          <w:bCs/>
          <w:color w:val="000000"/>
          <w:sz w:val="32"/>
          <w:szCs w:val="32"/>
          <w:lang w:eastAsia="zh-CN"/>
        </w:rPr>
        <w:t>养老支出</w:t>
      </w:r>
      <w:r>
        <w:rPr>
          <w:rStyle w:val="19"/>
          <w:rFonts w:hint="eastAsia" w:ascii="仿宋" w:eastAsia="仿宋"/>
          <w:bCs/>
          <w:color w:val="000000"/>
          <w:sz w:val="32"/>
          <w:szCs w:val="32"/>
        </w:rPr>
        <w:t>（款）机关事业单位基本养老保险缴费支出（项）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60.05</w:t>
      </w:r>
      <w:r>
        <w:rPr>
          <w:rFonts w:hint="eastAsia" w:ascii="仿宋_GB2312" w:eastAsia="仿宋_GB2312"/>
          <w:color w:val="000000"/>
          <w:spacing w:val="-2"/>
          <w:sz w:val="32"/>
          <w:szCs w:val="32"/>
          <w:lang w:eastAsia="zh-CN"/>
        </w:rPr>
        <w:t>万元，完成预算100%，决算数等于预算数。</w:t>
      </w:r>
    </w:p>
    <w:p w14:paraId="76ECEE61">
      <w:pPr>
        <w:spacing w:line="600" w:lineRule="exact"/>
        <w:ind w:firstLine="643" w:firstLineChars="200"/>
        <w:rPr>
          <w:rFonts w:ascii="仿宋" w:eastAsia="仿宋"/>
          <w:b/>
          <w:color w:val="000000"/>
          <w:sz w:val="32"/>
          <w:szCs w:val="32"/>
        </w:rPr>
      </w:pPr>
      <w:r>
        <w:rPr>
          <w:rStyle w:val="19"/>
          <w:rFonts w:hint="eastAsia" w:ascii="仿宋" w:eastAsia="仿宋"/>
          <w:bCs/>
          <w:color w:val="000000"/>
          <w:sz w:val="32"/>
          <w:szCs w:val="32"/>
          <w:lang w:val="en-US" w:eastAsia="zh-CN"/>
        </w:rPr>
        <w:t>5</w:t>
      </w:r>
      <w:r>
        <w:rPr>
          <w:rStyle w:val="19"/>
          <w:rFonts w:ascii="仿宋" w:eastAsia="仿宋"/>
          <w:bCs/>
          <w:color w:val="000000"/>
          <w:sz w:val="32"/>
          <w:szCs w:val="32"/>
        </w:rPr>
        <w:t>.</w:t>
      </w:r>
      <w:r>
        <w:rPr>
          <w:rStyle w:val="19"/>
          <w:rFonts w:hint="eastAsia" w:ascii="仿宋" w:eastAsia="仿宋"/>
          <w:bCs/>
          <w:color w:val="000000"/>
          <w:sz w:val="32"/>
          <w:szCs w:val="32"/>
        </w:rPr>
        <w:t>社会保障和就业（类）行政事业单位</w:t>
      </w:r>
      <w:r>
        <w:rPr>
          <w:rStyle w:val="19"/>
          <w:rFonts w:hint="eastAsia" w:ascii="仿宋" w:eastAsia="仿宋"/>
          <w:bCs/>
          <w:color w:val="000000"/>
          <w:sz w:val="32"/>
          <w:szCs w:val="32"/>
          <w:lang w:eastAsia="zh-CN"/>
        </w:rPr>
        <w:t>养老支出</w:t>
      </w:r>
      <w:r>
        <w:rPr>
          <w:rStyle w:val="19"/>
          <w:rFonts w:hint="eastAsia" w:ascii="仿宋" w:eastAsia="仿宋"/>
          <w:bCs/>
          <w:color w:val="000000"/>
          <w:sz w:val="32"/>
          <w:szCs w:val="32"/>
        </w:rPr>
        <w:t>（款）机关事业单位基本职业年金缴费支出（项）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30.03</w:t>
      </w:r>
      <w:r>
        <w:rPr>
          <w:rFonts w:hint="eastAsia" w:ascii="仿宋_GB2312" w:eastAsia="仿宋_GB2312"/>
          <w:color w:val="000000"/>
          <w:spacing w:val="-2"/>
          <w:sz w:val="32"/>
          <w:szCs w:val="32"/>
          <w:lang w:eastAsia="zh-CN"/>
        </w:rPr>
        <w:t>万元，完成预算100%，决算数等于预算数。</w:t>
      </w:r>
    </w:p>
    <w:p w14:paraId="4615A762">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6.</w:t>
      </w:r>
      <w:r>
        <w:rPr>
          <w:rStyle w:val="19"/>
          <w:rFonts w:hint="eastAsia" w:ascii="仿宋" w:eastAsia="仿宋"/>
          <w:bCs/>
          <w:color w:val="000000"/>
          <w:sz w:val="32"/>
          <w:szCs w:val="32"/>
        </w:rPr>
        <w:t>卫生健康支出（类）行政事业单位医疗（款）行政单位医疗（项）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20.31</w:t>
      </w:r>
      <w:r>
        <w:rPr>
          <w:rFonts w:hint="eastAsia" w:ascii="仿宋_GB2312" w:eastAsia="仿宋_GB2312"/>
          <w:color w:val="000000"/>
          <w:spacing w:val="-2"/>
          <w:sz w:val="32"/>
          <w:szCs w:val="32"/>
          <w:lang w:eastAsia="zh-CN"/>
        </w:rPr>
        <w:t>万元，完成预算100%，决算数等于预算数。</w:t>
      </w:r>
    </w:p>
    <w:p w14:paraId="2A8F8B47">
      <w:pPr>
        <w:spacing w:line="600" w:lineRule="exact"/>
        <w:ind w:firstLine="643" w:firstLineChars="200"/>
      </w:pPr>
      <w:r>
        <w:rPr>
          <w:rStyle w:val="19"/>
          <w:rFonts w:hint="eastAsia" w:ascii="仿宋" w:eastAsia="仿宋"/>
          <w:bCs/>
          <w:color w:val="000000"/>
          <w:sz w:val="32"/>
          <w:szCs w:val="32"/>
          <w:lang w:val="en-US" w:eastAsia="zh-CN"/>
        </w:rPr>
        <w:t>7.</w:t>
      </w:r>
      <w:r>
        <w:rPr>
          <w:rStyle w:val="19"/>
          <w:rFonts w:hint="eastAsia" w:ascii="仿宋" w:eastAsia="仿宋"/>
          <w:bCs/>
          <w:color w:val="000000"/>
          <w:sz w:val="32"/>
          <w:szCs w:val="32"/>
        </w:rPr>
        <w:t>卫生健康支出（类）行政事业单位医疗（款）</w:t>
      </w:r>
      <w:r>
        <w:rPr>
          <w:rStyle w:val="19"/>
          <w:rFonts w:hint="eastAsia" w:ascii="仿宋" w:eastAsia="仿宋"/>
          <w:bCs/>
          <w:color w:val="000000"/>
          <w:sz w:val="32"/>
          <w:szCs w:val="32"/>
          <w:lang w:eastAsia="zh-CN"/>
        </w:rPr>
        <w:t>事业</w:t>
      </w:r>
      <w:r>
        <w:rPr>
          <w:rStyle w:val="19"/>
          <w:rFonts w:hint="eastAsia" w:ascii="仿宋" w:eastAsia="仿宋"/>
          <w:bCs/>
          <w:color w:val="000000"/>
          <w:sz w:val="32"/>
          <w:szCs w:val="32"/>
        </w:rPr>
        <w:t>单位医疗（项）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12.03</w:t>
      </w:r>
      <w:r>
        <w:rPr>
          <w:rFonts w:hint="eastAsia" w:ascii="仿宋_GB2312" w:eastAsia="仿宋_GB2312"/>
          <w:color w:val="000000"/>
          <w:spacing w:val="-2"/>
          <w:sz w:val="32"/>
          <w:szCs w:val="32"/>
          <w:lang w:eastAsia="zh-CN"/>
        </w:rPr>
        <w:t>万元，完成预算100%，决算数等于预算数。</w:t>
      </w:r>
    </w:p>
    <w:p w14:paraId="384F8FEC">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8</w:t>
      </w:r>
      <w:r>
        <w:rPr>
          <w:rStyle w:val="19"/>
          <w:rFonts w:hint="eastAsia" w:ascii="仿宋" w:eastAsia="仿宋"/>
          <w:bCs/>
          <w:color w:val="000000"/>
          <w:sz w:val="32"/>
          <w:szCs w:val="32"/>
        </w:rPr>
        <w:t>.卫生健康支出（类）行政事业单位医疗（款）公务员医疗补助（项）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5.22</w:t>
      </w:r>
      <w:r>
        <w:rPr>
          <w:rFonts w:hint="eastAsia" w:ascii="仿宋_GB2312" w:eastAsia="仿宋_GB2312"/>
          <w:color w:val="000000"/>
          <w:spacing w:val="-2"/>
          <w:sz w:val="32"/>
          <w:szCs w:val="32"/>
          <w:lang w:eastAsia="zh-CN"/>
        </w:rPr>
        <w:t>万元，完成预算100%，决算数等于预算数。</w:t>
      </w:r>
    </w:p>
    <w:p w14:paraId="60FD8AEB">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9</w:t>
      </w:r>
      <w:r>
        <w:rPr>
          <w:rStyle w:val="19"/>
          <w:rFonts w:hint="eastAsia" w:ascii="仿宋" w:eastAsia="仿宋"/>
          <w:bCs/>
          <w:color w:val="000000"/>
          <w:sz w:val="32"/>
          <w:szCs w:val="32"/>
        </w:rPr>
        <w:t>.卫生健康支出（类）行政事业单位医疗（款）</w:t>
      </w:r>
      <w:r>
        <w:rPr>
          <w:rStyle w:val="19"/>
          <w:rFonts w:hint="eastAsia" w:ascii="仿宋" w:eastAsia="仿宋" w:cs="Times New Roman"/>
          <w:bCs/>
          <w:color w:val="000000"/>
          <w:sz w:val="32"/>
          <w:szCs w:val="32"/>
        </w:rPr>
        <w:t>其他行政事业单位医疗支出</w:t>
      </w:r>
      <w:r>
        <w:rPr>
          <w:rStyle w:val="19"/>
          <w:rFonts w:hint="eastAsia" w:ascii="仿宋" w:eastAsia="仿宋"/>
          <w:bCs/>
          <w:color w:val="000000"/>
          <w:sz w:val="32"/>
          <w:szCs w:val="32"/>
        </w:rPr>
        <w:t>（项）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2.56</w:t>
      </w:r>
      <w:r>
        <w:rPr>
          <w:rFonts w:hint="eastAsia" w:ascii="仿宋_GB2312" w:eastAsia="仿宋_GB2312"/>
          <w:color w:val="000000"/>
          <w:spacing w:val="-2"/>
          <w:sz w:val="32"/>
          <w:szCs w:val="32"/>
          <w:lang w:eastAsia="zh-CN"/>
        </w:rPr>
        <w:t>万元，完成预算100%，决算数等于预算数。</w:t>
      </w:r>
    </w:p>
    <w:p w14:paraId="658C7074">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10</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节能环保</w:t>
      </w:r>
      <w:r>
        <w:rPr>
          <w:rStyle w:val="19"/>
          <w:rFonts w:hint="eastAsia" w:ascii="仿宋" w:eastAsia="仿宋"/>
          <w:bCs/>
          <w:color w:val="000000"/>
          <w:sz w:val="32"/>
          <w:szCs w:val="32"/>
        </w:rPr>
        <w:t>支出（类）</w:t>
      </w:r>
      <w:r>
        <w:rPr>
          <w:rStyle w:val="19"/>
          <w:rFonts w:hint="eastAsia" w:ascii="仿宋" w:eastAsia="仿宋"/>
          <w:bCs/>
          <w:color w:val="000000"/>
          <w:sz w:val="32"/>
          <w:szCs w:val="32"/>
          <w:lang w:eastAsia="zh-CN"/>
        </w:rPr>
        <w:t>自然生态保护</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生态保护</w:t>
      </w:r>
      <w:r>
        <w:rPr>
          <w:rStyle w:val="19"/>
          <w:rFonts w:hint="eastAsia" w:ascii="仿宋" w:eastAsia="仿宋"/>
          <w:bCs/>
          <w:color w:val="000000"/>
          <w:sz w:val="32"/>
          <w:szCs w:val="32"/>
        </w:rPr>
        <w:t>（项）：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5</w:t>
      </w:r>
      <w:r>
        <w:rPr>
          <w:rFonts w:hint="eastAsia" w:ascii="仿宋_GB2312" w:eastAsia="仿宋_GB2312"/>
          <w:color w:val="000000"/>
          <w:spacing w:val="-2"/>
          <w:sz w:val="32"/>
          <w:szCs w:val="32"/>
          <w:lang w:eastAsia="zh-CN"/>
        </w:rPr>
        <w:t>万元，完成预算100%，决算数等于预算数。</w:t>
      </w:r>
    </w:p>
    <w:p w14:paraId="5D222BD0">
      <w:pPr>
        <w:spacing w:line="600" w:lineRule="exact"/>
        <w:ind w:firstLine="643" w:firstLineChars="200"/>
        <w:rPr>
          <w:rStyle w:val="19"/>
          <w:rFonts w:hint="eastAsia" w:ascii="仿宋" w:eastAsia="仿宋"/>
          <w:bCs/>
          <w:color w:val="000000"/>
          <w:sz w:val="32"/>
          <w:szCs w:val="32"/>
          <w:lang w:val="en-US" w:eastAsia="zh-CN"/>
        </w:rPr>
      </w:pPr>
      <w:r>
        <w:rPr>
          <w:rStyle w:val="19"/>
          <w:rFonts w:hint="eastAsia" w:ascii="仿宋" w:eastAsia="仿宋"/>
          <w:bCs/>
          <w:color w:val="000000"/>
          <w:sz w:val="32"/>
          <w:szCs w:val="32"/>
          <w:lang w:val="en-US" w:eastAsia="zh-CN"/>
        </w:rPr>
        <w:t>11</w:t>
      </w:r>
      <w:r>
        <w:rPr>
          <w:rStyle w:val="19"/>
          <w:rFonts w:hint="eastAsia" w:ascii="仿宋" w:eastAsia="仿宋"/>
          <w:bCs/>
          <w:color w:val="000000"/>
          <w:sz w:val="32"/>
          <w:szCs w:val="32"/>
        </w:rPr>
        <w:t>.农林水支出（类）农业农村（款）</w:t>
      </w:r>
      <w:r>
        <w:rPr>
          <w:rStyle w:val="19"/>
          <w:rFonts w:hint="eastAsia" w:ascii="仿宋" w:eastAsia="仿宋"/>
          <w:bCs/>
          <w:color w:val="000000"/>
          <w:sz w:val="32"/>
          <w:szCs w:val="32"/>
          <w:lang w:eastAsia="zh-CN"/>
        </w:rPr>
        <w:t>事业运行</w:t>
      </w:r>
      <w:r>
        <w:rPr>
          <w:rStyle w:val="19"/>
          <w:rFonts w:hint="eastAsia" w:ascii="仿宋" w:eastAsia="仿宋"/>
          <w:bCs/>
          <w:color w:val="000000"/>
          <w:sz w:val="32"/>
          <w:szCs w:val="32"/>
        </w:rPr>
        <w:t>（项）：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419.86</w:t>
      </w:r>
      <w:r>
        <w:rPr>
          <w:rFonts w:hint="eastAsia" w:ascii="仿宋_GB2312" w:eastAsia="仿宋_GB2312"/>
          <w:color w:val="000000"/>
          <w:spacing w:val="-2"/>
          <w:sz w:val="32"/>
          <w:szCs w:val="32"/>
          <w:lang w:eastAsia="zh-CN"/>
        </w:rPr>
        <w:t>万元，完成预算100%，决算数等于预算数。</w:t>
      </w:r>
    </w:p>
    <w:p w14:paraId="6B048FA7">
      <w:pPr>
        <w:spacing w:line="600" w:lineRule="exact"/>
        <w:ind w:firstLine="643" w:firstLineChars="200"/>
        <w:rPr>
          <w:rStyle w:val="19"/>
          <w:rFonts w:hint="eastAsia" w:ascii="仿宋" w:eastAsia="仿宋"/>
          <w:b w:val="0"/>
          <w:bCs/>
          <w:color w:val="000000"/>
          <w:sz w:val="32"/>
          <w:szCs w:val="32"/>
          <w:lang w:eastAsia="zh-CN"/>
        </w:rPr>
      </w:pPr>
      <w:r>
        <w:rPr>
          <w:rStyle w:val="19"/>
          <w:rFonts w:hint="eastAsia" w:ascii="仿宋" w:eastAsia="仿宋"/>
          <w:bCs/>
          <w:color w:val="000000"/>
          <w:sz w:val="32"/>
          <w:szCs w:val="32"/>
          <w:lang w:val="en-US" w:eastAsia="zh-CN"/>
        </w:rPr>
        <w:t>12</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住房保障支出</w:t>
      </w:r>
      <w:r>
        <w:rPr>
          <w:rStyle w:val="19"/>
          <w:rFonts w:hint="eastAsia" w:ascii="仿宋" w:eastAsia="仿宋"/>
          <w:bCs/>
          <w:color w:val="000000"/>
          <w:sz w:val="32"/>
          <w:szCs w:val="32"/>
        </w:rPr>
        <w:t>（类）</w:t>
      </w:r>
      <w:r>
        <w:rPr>
          <w:rStyle w:val="19"/>
          <w:rFonts w:hint="eastAsia" w:ascii="仿宋" w:eastAsia="仿宋"/>
          <w:bCs/>
          <w:color w:val="000000"/>
          <w:sz w:val="32"/>
          <w:szCs w:val="32"/>
          <w:lang w:eastAsia="zh-CN"/>
        </w:rPr>
        <w:t>住房改革支出</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住房公积金</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53.74</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r>
        <w:rPr>
          <w:rStyle w:val="19"/>
          <w:rFonts w:hint="eastAsia" w:ascii="仿宋" w:eastAsia="仿宋"/>
          <w:b w:val="0"/>
          <w:bCs/>
          <w:color w:val="000000"/>
          <w:sz w:val="32"/>
          <w:szCs w:val="32"/>
          <w:lang w:eastAsia="zh-CN"/>
        </w:rPr>
        <w:t>。</w:t>
      </w:r>
    </w:p>
    <w:p w14:paraId="1F420962">
      <w:pPr>
        <w:pStyle w:val="10"/>
        <w:ind w:firstLine="643" w:firstLineChars="200"/>
        <w:rPr>
          <w:rFonts w:hint="eastAsia" w:ascii="仿宋_GB2312" w:eastAsia="仿宋_GB2312"/>
          <w:color w:val="000000"/>
          <w:spacing w:val="-2"/>
          <w:sz w:val="32"/>
          <w:szCs w:val="32"/>
          <w:lang w:eastAsia="zh-CN"/>
        </w:rPr>
      </w:pPr>
      <w:r>
        <w:rPr>
          <w:rStyle w:val="19"/>
          <w:rFonts w:hint="eastAsia" w:ascii="仿宋" w:eastAsia="仿宋" w:cs="Times New Roman"/>
          <w:bCs/>
          <w:color w:val="000000"/>
          <w:kern w:val="2"/>
          <w:sz w:val="32"/>
          <w:szCs w:val="32"/>
          <w:lang w:val="en-US" w:eastAsia="zh-CN" w:bidi="ar-SA"/>
        </w:rPr>
        <w:t>13.抚恤类（类）死亡抚恤（款）死亡抚恤（项）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31.26</w:t>
      </w:r>
      <w:r>
        <w:rPr>
          <w:rFonts w:hint="eastAsia" w:ascii="仿宋_GB2312" w:eastAsia="仿宋_GB2312"/>
          <w:color w:val="000000"/>
          <w:spacing w:val="-2"/>
          <w:sz w:val="32"/>
          <w:szCs w:val="32"/>
          <w:lang w:eastAsia="zh-CN"/>
        </w:rPr>
        <w:t>万元，完成预算100%，决算数等于预算数。</w:t>
      </w:r>
    </w:p>
    <w:p w14:paraId="1C612A3F">
      <w:pPr>
        <w:pStyle w:val="10"/>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14</w:t>
      </w:r>
      <w:r>
        <w:rPr>
          <w:rStyle w:val="19"/>
          <w:rFonts w:hint="eastAsia" w:ascii="仿宋" w:eastAsia="仿宋"/>
          <w:bCs/>
          <w:color w:val="000000"/>
          <w:sz w:val="32"/>
          <w:szCs w:val="32"/>
        </w:rPr>
        <w:t>.农林水支出（类）</w:t>
      </w:r>
      <w:r>
        <w:rPr>
          <w:rStyle w:val="19"/>
          <w:rFonts w:hint="eastAsia" w:ascii="仿宋" w:eastAsia="仿宋"/>
          <w:bCs/>
          <w:color w:val="000000"/>
          <w:sz w:val="32"/>
          <w:szCs w:val="32"/>
          <w:lang w:val="en-US" w:eastAsia="zh-CN"/>
        </w:rPr>
        <w:t>水利</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农村供水</w:t>
      </w:r>
      <w:r>
        <w:rPr>
          <w:rStyle w:val="19"/>
          <w:rFonts w:hint="eastAsia" w:ascii="仿宋" w:eastAsia="仿宋"/>
          <w:bCs/>
          <w:color w:val="000000"/>
          <w:sz w:val="32"/>
          <w:szCs w:val="32"/>
        </w:rPr>
        <w:t>（项）：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116.16</w:t>
      </w:r>
      <w:r>
        <w:rPr>
          <w:rFonts w:hint="eastAsia" w:ascii="仿宋_GB2312" w:eastAsia="仿宋_GB2312"/>
          <w:color w:val="000000"/>
          <w:spacing w:val="-2"/>
          <w:sz w:val="32"/>
          <w:szCs w:val="32"/>
          <w:lang w:eastAsia="zh-CN"/>
        </w:rPr>
        <w:t>万元，完成预算100%，决算数等于预算数。</w:t>
      </w:r>
    </w:p>
    <w:p w14:paraId="07532FFD">
      <w:pPr>
        <w:spacing w:line="600" w:lineRule="exact"/>
        <w:ind w:firstLine="643" w:firstLineChars="200"/>
        <w:rPr>
          <w:rFonts w:hint="eastAsia"/>
          <w:lang w:eastAsia="zh-CN"/>
        </w:rPr>
      </w:pPr>
      <w:r>
        <w:rPr>
          <w:rStyle w:val="19"/>
          <w:rFonts w:hint="eastAsia" w:ascii="仿宋" w:eastAsia="仿宋"/>
          <w:bCs/>
          <w:color w:val="000000"/>
          <w:sz w:val="32"/>
          <w:szCs w:val="32"/>
          <w:lang w:val="en-US" w:eastAsia="zh-CN"/>
        </w:rPr>
        <w:t>15</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国有资本经营预算支出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解决历史遗留问题及改革成本支出</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国有企业退休人员社会化管理补助支出</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0.05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r>
        <w:rPr>
          <w:rStyle w:val="19"/>
          <w:rFonts w:hint="eastAsia" w:ascii="仿宋" w:eastAsia="仿宋"/>
          <w:b w:val="0"/>
          <w:bCs/>
          <w:color w:val="000000"/>
          <w:sz w:val="32"/>
          <w:szCs w:val="32"/>
          <w:lang w:eastAsia="zh-CN"/>
        </w:rPr>
        <w:t>。</w:t>
      </w:r>
    </w:p>
    <w:p w14:paraId="34D5D54A">
      <w:pPr>
        <w:spacing w:line="600" w:lineRule="exact"/>
        <w:ind w:firstLine="640" w:firstLineChars="200"/>
        <w:rPr>
          <w:rStyle w:val="22"/>
        </w:rPr>
      </w:pPr>
      <w:r>
        <w:rPr>
          <w:rFonts w:hint="eastAsia" w:ascii="黑体" w:eastAsia="黑体"/>
          <w:color w:val="000000"/>
          <w:sz w:val="32"/>
          <w:szCs w:val="32"/>
        </w:rPr>
        <w:t>六</w:t>
      </w:r>
      <w:r>
        <w:rPr>
          <w:rFonts w:hint="eastAsia" w:ascii="黑体" w:eastAsia="黑体"/>
          <w:b/>
          <w:color w:val="000000"/>
          <w:sz w:val="32"/>
          <w:szCs w:val="32"/>
        </w:rPr>
        <w:t>、一</w:t>
      </w:r>
      <w:r>
        <w:rPr>
          <w:rStyle w:val="22"/>
          <w:rFonts w:hint="eastAsia" w:ascii="黑体" w:eastAsia="黑体"/>
          <w:b w:val="0"/>
        </w:rPr>
        <w:t>般公共预算财政拨款基本支出决算情况说明</w:t>
      </w:r>
      <w:bookmarkEnd w:id="41"/>
      <w:r>
        <w:rPr>
          <w:rStyle w:val="22"/>
          <w:rFonts w:ascii="黑体" w:eastAsia="黑体"/>
          <w:b w:val="0"/>
        </w:rPr>
        <w:tab/>
      </w:r>
    </w:p>
    <w:p w14:paraId="29FDEB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2024年一般公共预算财政拨款支出991.49万元</w:t>
      </w:r>
      <w:bookmarkStart w:id="42" w:name="_Toc15377215"/>
      <w:r>
        <w:rPr>
          <w:rFonts w:hint="eastAsia" w:ascii="Times New Roman" w:hAnsi="Times New Roman" w:eastAsia="仿宋_GB2312" w:cs="仿宋_GB2312"/>
          <w:color w:val="auto"/>
          <w:kern w:val="2"/>
          <w:sz w:val="32"/>
          <w:szCs w:val="32"/>
          <w:highlight w:val="none"/>
          <w:lang w:val="en-US" w:eastAsia="zh-CN" w:bidi="ar-SA"/>
        </w:rPr>
        <w:t>。</w:t>
      </w:r>
    </w:p>
    <w:p w14:paraId="7937CE8D">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w:t>
      </w:r>
      <w:r>
        <w:rPr>
          <w:rFonts w:ascii="Times New Roman" w:hAnsi="Times New Roman" w:eastAsia="仿宋_GB2312" w:cs="仿宋_GB2312"/>
          <w:color w:val="auto"/>
          <w:kern w:val="2"/>
          <w:sz w:val="32"/>
          <w:szCs w:val="32"/>
          <w:highlight w:val="none"/>
          <w:lang w:val="en-US" w:eastAsia="zh-CN" w:bidi="ar-SA"/>
        </w:rPr>
        <w:t>工资福利支出：</w:t>
      </w:r>
      <w:r>
        <w:rPr>
          <w:rFonts w:hint="eastAsia" w:ascii="Times New Roman" w:hAnsi="Times New Roman" w:eastAsia="仿宋_GB2312" w:cs="仿宋_GB2312"/>
          <w:color w:val="auto"/>
          <w:kern w:val="2"/>
          <w:sz w:val="32"/>
          <w:szCs w:val="32"/>
          <w:highlight w:val="none"/>
          <w:lang w:val="en-US" w:eastAsia="zh-CN" w:bidi="ar-SA"/>
        </w:rPr>
        <w:t>660.67</w:t>
      </w:r>
      <w:r>
        <w:rPr>
          <w:rFonts w:ascii="Times New Roman" w:hAnsi="Times New Roman" w:eastAsia="仿宋_GB2312" w:cs="仿宋_GB2312"/>
          <w:color w:val="auto"/>
          <w:kern w:val="2"/>
          <w:sz w:val="32"/>
          <w:szCs w:val="32"/>
          <w:highlight w:val="none"/>
          <w:lang w:val="en-US" w:eastAsia="zh-CN" w:bidi="ar-SA"/>
        </w:rPr>
        <w:t>万元，主要包括：基本工资</w:t>
      </w:r>
      <w:r>
        <w:rPr>
          <w:rFonts w:hint="eastAsia" w:ascii="Times New Roman" w:hAnsi="Times New Roman" w:eastAsia="仿宋_GB2312" w:cs="仿宋_GB2312"/>
          <w:color w:val="auto"/>
          <w:kern w:val="2"/>
          <w:sz w:val="32"/>
          <w:szCs w:val="32"/>
          <w:highlight w:val="none"/>
          <w:lang w:val="en-US" w:eastAsia="zh-CN" w:bidi="ar-SA"/>
        </w:rPr>
        <w:t>118.46</w:t>
      </w:r>
      <w:r>
        <w:rPr>
          <w:rFonts w:ascii="Times New Roman" w:hAnsi="Times New Roman" w:eastAsia="仿宋_GB2312" w:cs="仿宋_GB2312"/>
          <w:color w:val="auto"/>
          <w:kern w:val="2"/>
          <w:sz w:val="32"/>
          <w:szCs w:val="32"/>
          <w:highlight w:val="none"/>
          <w:lang w:val="en-US" w:eastAsia="zh-CN" w:bidi="ar-SA"/>
        </w:rPr>
        <w:t>万元、津贴补贴</w:t>
      </w:r>
      <w:r>
        <w:rPr>
          <w:rFonts w:hint="eastAsia" w:ascii="Times New Roman" w:hAnsi="Times New Roman" w:eastAsia="仿宋_GB2312" w:cs="仿宋_GB2312"/>
          <w:color w:val="auto"/>
          <w:kern w:val="2"/>
          <w:sz w:val="32"/>
          <w:szCs w:val="32"/>
          <w:highlight w:val="none"/>
          <w:lang w:val="en-US" w:eastAsia="zh-CN" w:bidi="ar-SA"/>
        </w:rPr>
        <w:t>145.67</w:t>
      </w:r>
      <w:r>
        <w:rPr>
          <w:rFonts w:ascii="Times New Roman" w:hAnsi="Times New Roman" w:eastAsia="仿宋_GB2312" w:cs="仿宋_GB2312"/>
          <w:color w:val="auto"/>
          <w:kern w:val="2"/>
          <w:sz w:val="32"/>
          <w:szCs w:val="32"/>
          <w:highlight w:val="none"/>
          <w:lang w:val="en-US" w:eastAsia="zh-CN" w:bidi="ar-SA"/>
        </w:rPr>
        <w:t>万元、奖金17</w:t>
      </w:r>
      <w:r>
        <w:rPr>
          <w:rFonts w:hint="eastAsia" w:ascii="Times New Roman" w:hAnsi="Times New Roman" w:eastAsia="仿宋_GB2312" w:cs="仿宋_GB2312"/>
          <w:color w:val="auto"/>
          <w:kern w:val="2"/>
          <w:sz w:val="32"/>
          <w:szCs w:val="32"/>
          <w:highlight w:val="none"/>
          <w:lang w:val="en-US" w:eastAsia="zh-CN" w:bidi="ar-SA"/>
        </w:rPr>
        <w:t>2.23万</w:t>
      </w:r>
      <w:r>
        <w:rPr>
          <w:rFonts w:ascii="Times New Roman" w:hAnsi="Times New Roman" w:eastAsia="仿宋_GB2312" w:cs="仿宋_GB2312"/>
          <w:color w:val="auto"/>
          <w:kern w:val="2"/>
          <w:sz w:val="32"/>
          <w:szCs w:val="32"/>
          <w:highlight w:val="none"/>
          <w:lang w:val="en-US" w:eastAsia="zh-CN" w:bidi="ar-SA"/>
        </w:rPr>
        <w:t>元、绩效工资</w:t>
      </w:r>
      <w:r>
        <w:rPr>
          <w:rFonts w:hint="eastAsia" w:ascii="Times New Roman" w:hAnsi="Times New Roman" w:eastAsia="仿宋_GB2312" w:cs="仿宋_GB2312"/>
          <w:color w:val="auto"/>
          <w:kern w:val="2"/>
          <w:sz w:val="32"/>
          <w:szCs w:val="32"/>
          <w:highlight w:val="none"/>
          <w:lang w:val="en-US" w:eastAsia="zh-CN" w:bidi="ar-SA"/>
        </w:rPr>
        <w:t>33.64</w:t>
      </w:r>
      <w:r>
        <w:rPr>
          <w:rFonts w:ascii="Times New Roman" w:hAnsi="Times New Roman" w:eastAsia="仿宋_GB2312" w:cs="仿宋_GB2312"/>
          <w:color w:val="auto"/>
          <w:kern w:val="2"/>
          <w:sz w:val="32"/>
          <w:szCs w:val="32"/>
          <w:highlight w:val="none"/>
          <w:lang w:val="en-US" w:eastAsia="zh-CN" w:bidi="ar-SA"/>
        </w:rPr>
        <w:t>万元，机关事业单位基本养老保险缴费</w:t>
      </w:r>
      <w:r>
        <w:rPr>
          <w:rFonts w:hint="eastAsia" w:ascii="Times New Roman" w:hAnsi="Times New Roman" w:eastAsia="仿宋_GB2312" w:cs="仿宋_GB2312"/>
          <w:color w:val="auto"/>
          <w:kern w:val="2"/>
          <w:sz w:val="32"/>
          <w:szCs w:val="32"/>
          <w:highlight w:val="none"/>
          <w:lang w:val="en-US" w:eastAsia="zh-CN" w:bidi="ar-SA"/>
        </w:rPr>
        <w:t>60.05</w:t>
      </w:r>
      <w:r>
        <w:rPr>
          <w:rFonts w:ascii="Times New Roman" w:hAnsi="Times New Roman" w:eastAsia="仿宋_GB2312" w:cs="仿宋_GB2312"/>
          <w:color w:val="auto"/>
          <w:kern w:val="2"/>
          <w:sz w:val="32"/>
          <w:szCs w:val="32"/>
          <w:highlight w:val="none"/>
          <w:lang w:val="en-US" w:eastAsia="zh-CN" w:bidi="ar-SA"/>
        </w:rPr>
        <w:t>万元、职业年金缴费30.</w:t>
      </w:r>
      <w:r>
        <w:rPr>
          <w:rFonts w:hint="eastAsia" w:ascii="Times New Roman" w:hAnsi="Times New Roman" w:eastAsia="仿宋_GB2312" w:cs="仿宋_GB2312"/>
          <w:color w:val="auto"/>
          <w:kern w:val="2"/>
          <w:sz w:val="32"/>
          <w:szCs w:val="32"/>
          <w:highlight w:val="none"/>
          <w:lang w:val="en-US" w:eastAsia="zh-CN" w:bidi="ar-SA"/>
        </w:rPr>
        <w:t>03</w:t>
      </w:r>
      <w:r>
        <w:rPr>
          <w:rFonts w:ascii="Times New Roman" w:hAnsi="Times New Roman" w:eastAsia="仿宋_GB2312" w:cs="仿宋_GB2312"/>
          <w:color w:val="auto"/>
          <w:kern w:val="2"/>
          <w:sz w:val="32"/>
          <w:szCs w:val="32"/>
          <w:highlight w:val="none"/>
          <w:lang w:val="en-US" w:eastAsia="zh-CN" w:bidi="ar-SA"/>
        </w:rPr>
        <w:t>万元、其他社会保障缴费</w:t>
      </w:r>
      <w:r>
        <w:rPr>
          <w:rFonts w:hint="eastAsia" w:ascii="Times New Roman" w:hAnsi="Times New Roman" w:eastAsia="仿宋_GB2312" w:cs="仿宋_GB2312"/>
          <w:color w:val="auto"/>
          <w:kern w:val="2"/>
          <w:sz w:val="32"/>
          <w:szCs w:val="32"/>
          <w:highlight w:val="none"/>
          <w:lang w:val="en-US" w:eastAsia="zh-CN" w:bidi="ar-SA"/>
        </w:rPr>
        <w:t>10.31</w:t>
      </w:r>
      <w:r>
        <w:rPr>
          <w:rFonts w:ascii="Times New Roman" w:hAnsi="Times New Roman" w:eastAsia="仿宋_GB2312" w:cs="仿宋_GB2312"/>
          <w:color w:val="auto"/>
          <w:kern w:val="2"/>
          <w:sz w:val="32"/>
          <w:szCs w:val="32"/>
          <w:highlight w:val="none"/>
          <w:lang w:val="en-US" w:eastAsia="zh-CN" w:bidi="ar-SA"/>
        </w:rPr>
        <w:t>万元、住房公积金</w:t>
      </w:r>
      <w:r>
        <w:rPr>
          <w:rFonts w:hint="eastAsia" w:ascii="Times New Roman" w:hAnsi="Times New Roman" w:eastAsia="仿宋_GB2312" w:cs="仿宋_GB2312"/>
          <w:color w:val="auto"/>
          <w:kern w:val="2"/>
          <w:sz w:val="32"/>
          <w:szCs w:val="32"/>
          <w:highlight w:val="none"/>
          <w:lang w:val="en-US" w:eastAsia="zh-CN" w:bidi="ar-SA"/>
        </w:rPr>
        <w:t>57.74</w:t>
      </w:r>
      <w:r>
        <w:rPr>
          <w:rFonts w:ascii="Times New Roman" w:hAnsi="Times New Roman" w:eastAsia="仿宋_GB2312" w:cs="仿宋_GB2312"/>
          <w:color w:val="auto"/>
          <w:kern w:val="2"/>
          <w:sz w:val="32"/>
          <w:szCs w:val="32"/>
          <w:highlight w:val="none"/>
          <w:lang w:val="en-US" w:eastAsia="zh-CN" w:bidi="ar-SA"/>
        </w:rPr>
        <w:t>万元、职工基本医疗保险缴费</w:t>
      </w:r>
      <w:r>
        <w:rPr>
          <w:rFonts w:hint="eastAsia" w:ascii="Times New Roman" w:hAnsi="Times New Roman" w:eastAsia="仿宋_GB2312" w:cs="仿宋_GB2312"/>
          <w:color w:val="auto"/>
          <w:kern w:val="2"/>
          <w:sz w:val="32"/>
          <w:szCs w:val="32"/>
          <w:highlight w:val="none"/>
          <w:lang w:val="en-US" w:eastAsia="zh-CN" w:bidi="ar-SA"/>
        </w:rPr>
        <w:t>32.34万</w:t>
      </w:r>
      <w:r>
        <w:rPr>
          <w:rFonts w:ascii="Times New Roman" w:hAnsi="Times New Roman" w:eastAsia="仿宋_GB2312" w:cs="仿宋_GB2312"/>
          <w:color w:val="auto"/>
          <w:kern w:val="2"/>
          <w:sz w:val="32"/>
          <w:szCs w:val="32"/>
          <w:highlight w:val="none"/>
          <w:lang w:val="en-US" w:eastAsia="zh-CN" w:bidi="ar-SA"/>
        </w:rPr>
        <w:t>元、公务员医疗补助5.</w:t>
      </w:r>
      <w:r>
        <w:rPr>
          <w:rFonts w:hint="eastAsia" w:ascii="Times New Roman" w:hAnsi="Times New Roman" w:eastAsia="仿宋_GB2312" w:cs="仿宋_GB2312"/>
          <w:color w:val="auto"/>
          <w:kern w:val="2"/>
          <w:sz w:val="32"/>
          <w:szCs w:val="32"/>
          <w:highlight w:val="none"/>
          <w:lang w:val="en-US" w:eastAsia="zh-CN" w:bidi="ar-SA"/>
        </w:rPr>
        <w:t>22</w:t>
      </w:r>
      <w:r>
        <w:rPr>
          <w:rFonts w:ascii="Times New Roman" w:hAnsi="Times New Roman" w:eastAsia="仿宋_GB2312" w:cs="仿宋_GB2312"/>
          <w:color w:val="auto"/>
          <w:kern w:val="2"/>
          <w:sz w:val="32"/>
          <w:szCs w:val="32"/>
          <w:highlight w:val="none"/>
          <w:lang w:val="en-US" w:eastAsia="zh-CN" w:bidi="ar-SA"/>
        </w:rPr>
        <w:t>万元.</w:t>
      </w:r>
    </w:p>
    <w:p w14:paraId="067A3F1C">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对家庭和个人补助14.57,生活补助14.57万元。</w:t>
      </w:r>
    </w:p>
    <w:p w14:paraId="6D7644D1">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ascii="Times New Roman" w:hAnsi="Times New Roman" w:eastAsia="仿宋_GB2312" w:cs="仿宋_GB2312"/>
          <w:color w:val="auto"/>
          <w:kern w:val="2"/>
          <w:sz w:val="32"/>
          <w:szCs w:val="32"/>
          <w:highlight w:val="none"/>
          <w:lang w:val="en-US" w:eastAsia="zh-CN" w:bidi="ar-SA"/>
        </w:rPr>
        <w:t>日常公用经费支出：</w:t>
      </w:r>
      <w:r>
        <w:rPr>
          <w:rFonts w:hint="eastAsia" w:ascii="Times New Roman" w:hAnsi="Times New Roman" w:eastAsia="仿宋_GB2312" w:cs="仿宋_GB2312"/>
          <w:color w:val="auto"/>
          <w:kern w:val="2"/>
          <w:sz w:val="32"/>
          <w:szCs w:val="32"/>
          <w:highlight w:val="none"/>
          <w:lang w:val="en-US" w:eastAsia="zh-CN" w:bidi="ar-SA"/>
        </w:rPr>
        <w:t>33.25</w:t>
      </w:r>
      <w:r>
        <w:rPr>
          <w:rFonts w:ascii="Times New Roman" w:hAnsi="Times New Roman" w:eastAsia="仿宋_GB2312" w:cs="仿宋_GB2312"/>
          <w:color w:val="auto"/>
          <w:kern w:val="2"/>
          <w:sz w:val="32"/>
          <w:szCs w:val="32"/>
          <w:highlight w:val="none"/>
          <w:lang w:val="en-US" w:eastAsia="zh-CN" w:bidi="ar-SA"/>
        </w:rPr>
        <w:t>万元，主要包括：办公费</w:t>
      </w:r>
      <w:r>
        <w:rPr>
          <w:rFonts w:hint="eastAsia" w:ascii="Times New Roman" w:hAnsi="Times New Roman" w:eastAsia="仿宋_GB2312" w:cs="仿宋_GB2312"/>
          <w:color w:val="auto"/>
          <w:kern w:val="2"/>
          <w:sz w:val="32"/>
          <w:szCs w:val="32"/>
          <w:highlight w:val="none"/>
          <w:lang w:val="en-US" w:eastAsia="zh-CN" w:bidi="ar-SA"/>
        </w:rPr>
        <w:t>24.35</w:t>
      </w:r>
      <w:r>
        <w:rPr>
          <w:rFonts w:ascii="Times New Roman" w:hAnsi="Times New Roman" w:eastAsia="仿宋_GB2312" w:cs="仿宋_GB2312"/>
          <w:color w:val="auto"/>
          <w:kern w:val="2"/>
          <w:sz w:val="32"/>
          <w:szCs w:val="32"/>
          <w:highlight w:val="none"/>
          <w:lang w:val="en-US" w:eastAsia="zh-CN" w:bidi="ar-SA"/>
        </w:rPr>
        <w:t>万元、印刷费</w:t>
      </w:r>
      <w:r>
        <w:rPr>
          <w:rFonts w:hint="eastAsia" w:ascii="Times New Roman" w:hAnsi="Times New Roman" w:eastAsia="仿宋_GB2312" w:cs="仿宋_GB2312"/>
          <w:color w:val="auto"/>
          <w:kern w:val="2"/>
          <w:sz w:val="32"/>
          <w:szCs w:val="32"/>
          <w:highlight w:val="none"/>
          <w:lang w:val="en-US" w:eastAsia="zh-CN" w:bidi="ar-SA"/>
        </w:rPr>
        <w:t>0</w:t>
      </w:r>
      <w:r>
        <w:rPr>
          <w:rFonts w:ascii="Times New Roman" w:hAnsi="Times New Roman" w:eastAsia="仿宋_GB2312" w:cs="仿宋_GB2312"/>
          <w:color w:val="auto"/>
          <w:kern w:val="2"/>
          <w:sz w:val="32"/>
          <w:szCs w:val="32"/>
          <w:highlight w:val="none"/>
          <w:lang w:val="en-US" w:eastAsia="zh-CN" w:bidi="ar-SA"/>
        </w:rPr>
        <w:t>万元、手续费0.</w:t>
      </w:r>
      <w:r>
        <w:rPr>
          <w:rFonts w:hint="eastAsia" w:ascii="Times New Roman" w:hAnsi="Times New Roman" w:eastAsia="仿宋_GB2312" w:cs="仿宋_GB2312"/>
          <w:color w:val="auto"/>
          <w:kern w:val="2"/>
          <w:sz w:val="32"/>
          <w:szCs w:val="32"/>
          <w:highlight w:val="none"/>
          <w:lang w:val="en-US" w:eastAsia="zh-CN" w:bidi="ar-SA"/>
        </w:rPr>
        <w:t>05万</w:t>
      </w:r>
      <w:r>
        <w:rPr>
          <w:rFonts w:ascii="Times New Roman" w:hAnsi="Times New Roman" w:eastAsia="仿宋_GB2312" w:cs="仿宋_GB2312"/>
          <w:color w:val="auto"/>
          <w:kern w:val="2"/>
          <w:sz w:val="32"/>
          <w:szCs w:val="32"/>
          <w:highlight w:val="none"/>
          <w:lang w:val="en-US" w:eastAsia="zh-CN" w:bidi="ar-SA"/>
        </w:rPr>
        <w:t>元、电费</w:t>
      </w:r>
      <w:r>
        <w:rPr>
          <w:rFonts w:hint="eastAsia" w:ascii="Times New Roman" w:hAnsi="Times New Roman" w:eastAsia="仿宋_GB2312" w:cs="仿宋_GB2312"/>
          <w:color w:val="auto"/>
          <w:kern w:val="2"/>
          <w:sz w:val="32"/>
          <w:szCs w:val="32"/>
          <w:highlight w:val="none"/>
          <w:lang w:val="en-US" w:eastAsia="zh-CN" w:bidi="ar-SA"/>
        </w:rPr>
        <w:t>2.5</w:t>
      </w:r>
      <w:r>
        <w:rPr>
          <w:rFonts w:ascii="Times New Roman" w:hAnsi="Times New Roman" w:eastAsia="仿宋_GB2312" w:cs="仿宋_GB2312"/>
          <w:color w:val="auto"/>
          <w:kern w:val="2"/>
          <w:sz w:val="32"/>
          <w:szCs w:val="32"/>
          <w:highlight w:val="none"/>
          <w:lang w:val="en-US" w:eastAsia="zh-CN" w:bidi="ar-SA"/>
        </w:rPr>
        <w:t>万元、邮电费2.</w:t>
      </w:r>
      <w:r>
        <w:rPr>
          <w:rFonts w:hint="eastAsia" w:ascii="Times New Roman" w:hAnsi="Times New Roman" w:eastAsia="仿宋_GB2312" w:cs="仿宋_GB2312"/>
          <w:color w:val="auto"/>
          <w:kern w:val="2"/>
          <w:sz w:val="32"/>
          <w:szCs w:val="32"/>
          <w:highlight w:val="none"/>
          <w:lang w:val="en-US" w:eastAsia="zh-CN" w:bidi="ar-SA"/>
        </w:rPr>
        <w:t>3</w:t>
      </w:r>
      <w:r>
        <w:rPr>
          <w:rFonts w:ascii="Times New Roman" w:hAnsi="Times New Roman" w:eastAsia="仿宋_GB2312" w:cs="仿宋_GB2312"/>
          <w:color w:val="auto"/>
          <w:kern w:val="2"/>
          <w:sz w:val="32"/>
          <w:szCs w:val="32"/>
          <w:highlight w:val="none"/>
          <w:lang w:val="en-US" w:eastAsia="zh-CN" w:bidi="ar-SA"/>
        </w:rPr>
        <w:t>万元、福利费</w:t>
      </w:r>
      <w:r>
        <w:rPr>
          <w:rFonts w:hint="eastAsia" w:ascii="Times New Roman" w:hAnsi="Times New Roman" w:eastAsia="仿宋_GB2312" w:cs="仿宋_GB2312"/>
          <w:color w:val="auto"/>
          <w:kern w:val="2"/>
          <w:sz w:val="32"/>
          <w:szCs w:val="32"/>
          <w:highlight w:val="none"/>
          <w:lang w:val="en-US" w:eastAsia="zh-CN" w:bidi="ar-SA"/>
        </w:rPr>
        <w:t>1.2</w:t>
      </w:r>
      <w:r>
        <w:rPr>
          <w:rFonts w:ascii="Times New Roman" w:hAnsi="Times New Roman" w:eastAsia="仿宋_GB2312" w:cs="仿宋_GB2312"/>
          <w:color w:val="auto"/>
          <w:kern w:val="2"/>
          <w:sz w:val="32"/>
          <w:szCs w:val="32"/>
          <w:highlight w:val="none"/>
          <w:lang w:val="en-US" w:eastAsia="zh-CN" w:bidi="ar-SA"/>
        </w:rPr>
        <w:t>万元、差旅费</w:t>
      </w:r>
      <w:r>
        <w:rPr>
          <w:rFonts w:hint="eastAsia" w:ascii="Times New Roman" w:hAnsi="Times New Roman" w:eastAsia="仿宋_GB2312" w:cs="仿宋_GB2312"/>
          <w:color w:val="auto"/>
          <w:kern w:val="2"/>
          <w:sz w:val="32"/>
          <w:szCs w:val="32"/>
          <w:highlight w:val="none"/>
          <w:lang w:val="en-US" w:eastAsia="zh-CN" w:bidi="ar-SA"/>
        </w:rPr>
        <w:t>5万</w:t>
      </w:r>
      <w:r>
        <w:rPr>
          <w:rFonts w:ascii="Times New Roman" w:hAnsi="Times New Roman" w:eastAsia="仿宋_GB2312" w:cs="仿宋_GB2312"/>
          <w:color w:val="auto"/>
          <w:kern w:val="2"/>
          <w:sz w:val="32"/>
          <w:szCs w:val="32"/>
          <w:highlight w:val="none"/>
          <w:lang w:val="en-US" w:eastAsia="zh-CN" w:bidi="ar-SA"/>
        </w:rPr>
        <w:t>元、劳务费</w:t>
      </w:r>
      <w:r>
        <w:rPr>
          <w:rFonts w:hint="eastAsia" w:ascii="Times New Roman" w:hAnsi="Times New Roman" w:eastAsia="仿宋_GB2312" w:cs="仿宋_GB2312"/>
          <w:color w:val="auto"/>
          <w:kern w:val="2"/>
          <w:sz w:val="32"/>
          <w:szCs w:val="32"/>
          <w:highlight w:val="none"/>
          <w:lang w:val="en-US" w:eastAsia="zh-CN" w:bidi="ar-SA"/>
        </w:rPr>
        <w:t>6.6</w:t>
      </w:r>
      <w:r>
        <w:rPr>
          <w:rFonts w:ascii="Times New Roman" w:hAnsi="Times New Roman" w:eastAsia="仿宋_GB2312" w:cs="仿宋_GB2312"/>
          <w:color w:val="auto"/>
          <w:kern w:val="2"/>
          <w:sz w:val="32"/>
          <w:szCs w:val="32"/>
          <w:highlight w:val="none"/>
          <w:lang w:val="en-US" w:eastAsia="zh-CN" w:bidi="ar-SA"/>
        </w:rPr>
        <w:t>万元、其他交通费</w:t>
      </w:r>
      <w:r>
        <w:rPr>
          <w:rFonts w:hint="eastAsia" w:ascii="Times New Roman" w:hAnsi="Times New Roman" w:eastAsia="仿宋_GB2312" w:cs="仿宋_GB2312"/>
          <w:color w:val="auto"/>
          <w:kern w:val="2"/>
          <w:sz w:val="32"/>
          <w:szCs w:val="32"/>
          <w:highlight w:val="none"/>
          <w:lang w:val="en-US" w:eastAsia="zh-CN" w:bidi="ar-SA"/>
        </w:rPr>
        <w:t>1万</w:t>
      </w:r>
      <w:r>
        <w:rPr>
          <w:rFonts w:ascii="Times New Roman" w:hAnsi="Times New Roman" w:eastAsia="仿宋_GB2312" w:cs="仿宋_GB2312"/>
          <w:color w:val="auto"/>
          <w:kern w:val="2"/>
          <w:sz w:val="32"/>
          <w:szCs w:val="32"/>
          <w:highlight w:val="none"/>
          <w:lang w:val="en-US" w:eastAsia="zh-CN" w:bidi="ar-SA"/>
        </w:rPr>
        <w:t>元、</w:t>
      </w:r>
      <w:r>
        <w:rPr>
          <w:rFonts w:hint="eastAsia" w:ascii="Times New Roman" w:hAnsi="Times New Roman" w:eastAsia="仿宋_GB2312" w:cs="仿宋_GB2312"/>
          <w:color w:val="auto"/>
          <w:kern w:val="2"/>
          <w:sz w:val="32"/>
          <w:szCs w:val="32"/>
          <w:highlight w:val="none"/>
          <w:lang w:val="en-US" w:eastAsia="zh-CN" w:bidi="ar-SA"/>
        </w:rPr>
        <w:t>维修维护43.36万元、</w:t>
      </w:r>
      <w:r>
        <w:rPr>
          <w:rFonts w:ascii="Times New Roman" w:hAnsi="Times New Roman" w:eastAsia="仿宋_GB2312" w:cs="仿宋_GB2312"/>
          <w:color w:val="auto"/>
          <w:kern w:val="2"/>
          <w:sz w:val="32"/>
          <w:szCs w:val="32"/>
          <w:highlight w:val="none"/>
          <w:lang w:val="en-US" w:eastAsia="zh-CN" w:bidi="ar-SA"/>
        </w:rPr>
        <w:t>公务用车运行维护费</w:t>
      </w:r>
      <w:r>
        <w:rPr>
          <w:rFonts w:hint="eastAsia" w:ascii="Times New Roman" w:hAnsi="Times New Roman" w:eastAsia="仿宋_GB2312" w:cs="仿宋_GB2312"/>
          <w:color w:val="auto"/>
          <w:kern w:val="2"/>
          <w:sz w:val="32"/>
          <w:szCs w:val="32"/>
          <w:highlight w:val="none"/>
          <w:lang w:val="en-US" w:eastAsia="zh-CN" w:bidi="ar-SA"/>
        </w:rPr>
        <w:t>5.6</w:t>
      </w:r>
      <w:r>
        <w:rPr>
          <w:rFonts w:ascii="Times New Roman" w:hAnsi="Times New Roman" w:eastAsia="仿宋_GB2312" w:cs="仿宋_GB2312"/>
          <w:color w:val="auto"/>
          <w:kern w:val="2"/>
          <w:sz w:val="32"/>
          <w:szCs w:val="32"/>
          <w:highlight w:val="none"/>
          <w:lang w:val="en-US" w:eastAsia="zh-CN" w:bidi="ar-SA"/>
        </w:rPr>
        <w:t>万元。</w:t>
      </w:r>
    </w:p>
    <w:p w14:paraId="014673EA">
      <w:pPr>
        <w:spacing w:line="600" w:lineRule="exact"/>
        <w:ind w:firstLine="640"/>
        <w:rPr>
          <w:rFonts w:ascii="Times New Roman" w:hAnsi="Times New Roman" w:eastAsia="仿宋_GB2312" w:cs="仿宋_GB2312"/>
          <w:color w:val="auto"/>
          <w:kern w:val="2"/>
          <w:sz w:val="32"/>
          <w:szCs w:val="32"/>
          <w:highlight w:val="none"/>
          <w:lang w:val="en-US" w:eastAsia="zh-CN" w:bidi="ar-SA"/>
        </w:rPr>
      </w:pPr>
      <w:bookmarkStart w:id="43" w:name="_Toc9449"/>
      <w:r>
        <w:rPr>
          <w:rFonts w:ascii="Times New Roman" w:hAnsi="Times New Roman" w:eastAsia="仿宋_GB2312" w:cs="仿宋_GB2312"/>
          <w:color w:val="auto"/>
          <w:kern w:val="2"/>
          <w:sz w:val="32"/>
          <w:szCs w:val="32"/>
          <w:highlight w:val="none"/>
          <w:lang w:val="en-US" w:eastAsia="zh-CN" w:bidi="ar-SA"/>
        </w:rPr>
        <w:t>项目支出：</w:t>
      </w:r>
      <w:r>
        <w:rPr>
          <w:rFonts w:hint="eastAsia" w:ascii="Times New Roman" w:hAnsi="Times New Roman" w:eastAsia="仿宋_GB2312" w:cs="仿宋_GB2312"/>
          <w:color w:val="auto"/>
          <w:kern w:val="2"/>
          <w:sz w:val="32"/>
          <w:szCs w:val="32"/>
          <w:highlight w:val="none"/>
          <w:lang w:val="en-US" w:eastAsia="zh-CN" w:bidi="ar-SA"/>
        </w:rPr>
        <w:t>283.05</w:t>
      </w:r>
      <w:r>
        <w:rPr>
          <w:rFonts w:ascii="Times New Roman" w:hAnsi="Times New Roman" w:eastAsia="仿宋_GB2312" w:cs="仿宋_GB2312"/>
          <w:color w:val="auto"/>
          <w:kern w:val="2"/>
          <w:sz w:val="32"/>
          <w:szCs w:val="32"/>
          <w:highlight w:val="none"/>
          <w:lang w:val="en-US" w:eastAsia="zh-CN" w:bidi="ar-SA"/>
        </w:rPr>
        <w:t>万元，主要包括死亡抚恤</w:t>
      </w:r>
      <w:r>
        <w:rPr>
          <w:rFonts w:hint="eastAsia" w:ascii="Times New Roman" w:hAnsi="Times New Roman" w:eastAsia="仿宋_GB2312" w:cs="仿宋_GB2312"/>
          <w:color w:val="auto"/>
          <w:kern w:val="2"/>
          <w:sz w:val="32"/>
          <w:szCs w:val="32"/>
          <w:highlight w:val="none"/>
          <w:lang w:val="en-US" w:eastAsia="zh-CN" w:bidi="ar-SA"/>
        </w:rPr>
        <w:t>31.26万元</w:t>
      </w:r>
      <w:r>
        <w:rPr>
          <w:rFonts w:ascii="Times New Roman" w:hAnsi="Times New Roman" w:eastAsia="仿宋_GB2312" w:cs="仿宋_GB2312"/>
          <w:color w:val="auto"/>
          <w:kern w:val="2"/>
          <w:sz w:val="32"/>
          <w:szCs w:val="32"/>
          <w:highlight w:val="none"/>
          <w:lang w:val="en-US" w:eastAsia="zh-CN" w:bidi="ar-SA"/>
        </w:rPr>
        <w:t>，其他污染防治支出</w:t>
      </w:r>
      <w:r>
        <w:rPr>
          <w:rFonts w:hint="eastAsia" w:ascii="Times New Roman" w:hAnsi="Times New Roman" w:eastAsia="仿宋_GB2312" w:cs="仿宋_GB2312"/>
          <w:color w:val="auto"/>
          <w:kern w:val="2"/>
          <w:sz w:val="32"/>
          <w:szCs w:val="32"/>
          <w:highlight w:val="none"/>
          <w:lang w:val="en-US" w:eastAsia="zh-CN" w:bidi="ar-SA"/>
        </w:rPr>
        <w:t>5万元，城乡社区环境卫生10万元，其他巩固脱贫攻坚成果衔接乡村振兴支出116.6万元，</w:t>
      </w:r>
      <w:r>
        <w:rPr>
          <w:rFonts w:ascii="Times New Roman" w:hAnsi="Times New Roman" w:eastAsia="仿宋_GB2312" w:cs="仿宋_GB2312"/>
          <w:color w:val="auto"/>
          <w:kern w:val="2"/>
          <w:sz w:val="32"/>
          <w:szCs w:val="32"/>
          <w:highlight w:val="none"/>
          <w:lang w:val="en-US" w:eastAsia="zh-CN" w:bidi="ar-SA"/>
        </w:rPr>
        <w:t>对村民委员会和村党支部的补助</w:t>
      </w:r>
      <w:r>
        <w:rPr>
          <w:rFonts w:hint="eastAsia" w:ascii="Times New Roman" w:hAnsi="Times New Roman" w:eastAsia="仿宋_GB2312" w:cs="仿宋_GB2312"/>
          <w:color w:val="auto"/>
          <w:kern w:val="2"/>
          <w:sz w:val="32"/>
          <w:szCs w:val="32"/>
          <w:highlight w:val="none"/>
          <w:lang w:val="en-US" w:eastAsia="zh-CN" w:bidi="ar-SA"/>
        </w:rPr>
        <w:t>120.58</w:t>
      </w:r>
      <w:r>
        <w:rPr>
          <w:rFonts w:ascii="Times New Roman" w:hAnsi="Times New Roman" w:eastAsia="仿宋_GB2312" w:cs="仿宋_GB2312"/>
          <w:color w:val="auto"/>
          <w:kern w:val="2"/>
          <w:sz w:val="32"/>
          <w:szCs w:val="32"/>
          <w:highlight w:val="none"/>
          <w:lang w:val="en-US" w:eastAsia="zh-CN" w:bidi="ar-SA"/>
        </w:rPr>
        <w:t>万元（意外保险、村干部社保补助、村级办公费、党建费、村干部工资）</w:t>
      </w:r>
      <w:r>
        <w:rPr>
          <w:rFonts w:hint="eastAsia" w:ascii="Times New Roman" w:hAnsi="Times New Roman" w:eastAsia="仿宋_GB2312" w:cs="仿宋_GB2312"/>
          <w:color w:val="auto"/>
          <w:kern w:val="2"/>
          <w:sz w:val="32"/>
          <w:szCs w:val="32"/>
          <w:highlight w:val="none"/>
          <w:lang w:val="en-US" w:eastAsia="zh-CN" w:bidi="ar-SA"/>
        </w:rPr>
        <w:t>，国有企业退休人员社会化管理补助支出0.05万元。</w:t>
      </w:r>
    </w:p>
    <w:p w14:paraId="132BCD34">
      <w:pPr>
        <w:spacing w:line="600" w:lineRule="exact"/>
        <w:ind w:firstLine="640" w:firstLineChars="200"/>
        <w:outlineLvl w:val="1"/>
        <w:rPr>
          <w:rStyle w:val="22"/>
          <w:rFonts w:ascii="黑体" w:eastAsia="黑体"/>
          <w:b w:val="0"/>
        </w:rPr>
      </w:pPr>
      <w:r>
        <w:rPr>
          <w:rFonts w:hint="eastAsia" w:ascii="黑体" w:eastAsia="黑体"/>
          <w:color w:val="000000"/>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42"/>
      <w:bookmarkEnd w:id="43"/>
    </w:p>
    <w:p w14:paraId="13EEE08B">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14:paraId="7E666CE0">
      <w:pPr>
        <w:spacing w:line="600" w:lineRule="exact"/>
        <w:ind w:firstLine="640"/>
        <w:rPr>
          <w:rFonts w:ascii="仿宋" w:eastAsia="仿宋"/>
          <w:color w:val="000000"/>
          <w:sz w:val="32"/>
          <w:szCs w:val="32"/>
        </w:rPr>
      </w:pPr>
      <w:r>
        <w:rPr>
          <w:rFonts w:hint="eastAsia" w:ascii="仿宋_GB2312" w:eastAsia="仿宋_GB2312"/>
          <w:color w:val="000000"/>
          <w:spacing w:val="-2"/>
          <w:sz w:val="32"/>
          <w:szCs w:val="32"/>
          <w:lang w:eastAsia="zh-CN"/>
        </w:rPr>
        <w:t>2024年“三公”经费财政拨款</w:t>
      </w:r>
      <w:r>
        <w:rPr>
          <w:rFonts w:hint="eastAsia" w:ascii="仿宋_GB2312" w:eastAsia="仿宋_GB2312"/>
          <w:color w:val="000000"/>
          <w:spacing w:val="-2"/>
          <w:sz w:val="32"/>
          <w:szCs w:val="32"/>
          <w:lang w:val="en-US" w:eastAsia="zh-CN"/>
        </w:rPr>
        <w:t>预算数5.6万元，</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5.6</w:t>
      </w:r>
      <w:r>
        <w:rPr>
          <w:rFonts w:hint="eastAsia" w:ascii="仿宋_GB2312" w:eastAsia="仿宋_GB2312"/>
          <w:color w:val="000000"/>
          <w:spacing w:val="-2"/>
          <w:sz w:val="32"/>
          <w:szCs w:val="32"/>
          <w:lang w:eastAsia="zh-CN"/>
        </w:rPr>
        <w:t>万元。</w:t>
      </w:r>
    </w:p>
    <w:p w14:paraId="6E65A43D">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14:paraId="7C23FC0E">
      <w:pPr>
        <w:spacing w:line="60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2024年“三公”经费财政拨款支出决算</w:t>
      </w:r>
      <w:r>
        <w:rPr>
          <w:rFonts w:hint="eastAsia" w:ascii="仿宋_GB2312" w:eastAsia="仿宋_GB2312"/>
          <w:color w:val="000000"/>
          <w:spacing w:val="-2"/>
          <w:sz w:val="32"/>
          <w:szCs w:val="32"/>
          <w:lang w:val="en-US" w:eastAsia="zh-CN"/>
        </w:rPr>
        <w:t>5.6</w:t>
      </w:r>
      <w:r>
        <w:rPr>
          <w:rFonts w:hint="eastAsia" w:ascii="仿宋_GB2312" w:eastAsia="仿宋_GB2312"/>
          <w:color w:val="000000"/>
          <w:spacing w:val="-2"/>
          <w:sz w:val="32"/>
          <w:szCs w:val="32"/>
          <w:lang w:eastAsia="zh-CN"/>
        </w:rPr>
        <w:t>万元，其中：公务用车购置及运行维护费支出决算</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w:t>
      </w:r>
    </w:p>
    <w:p w14:paraId="591278EB">
      <w:pPr>
        <w:spacing w:line="600" w:lineRule="exact"/>
        <w:ind w:firstLine="640"/>
        <w:rPr>
          <w:rFonts w:ascii="仿宋_GB2312" w:eastAsia="仿宋_GB2312"/>
          <w:b/>
          <w:sz w:val="32"/>
          <w:szCs w:val="32"/>
          <w:lang w:val="en-US" w:eastAsia="zh-CN"/>
        </w:rPr>
      </w:pPr>
      <w:r>
        <w:rPr>
          <w:rFonts w:hint="eastAsia" w:ascii="仿宋_GB2312" w:eastAsia="仿宋_GB2312" w:cs="Times New Roman"/>
          <w:color w:val="000000"/>
          <w:kern w:val="2"/>
          <w:sz w:val="32"/>
          <w:szCs w:val="32"/>
          <w:lang w:val="en-US" w:eastAsia="zh-CN" w:bidi="ar-SA"/>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b/>
          <w:color w:val="000000"/>
          <w:sz w:val="32"/>
          <w:szCs w:val="32"/>
          <w:lang w:val="en-US" w:eastAsia="zh-CN"/>
        </w:rPr>
        <w:t>5.6</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w:t>
      </w:r>
    </w:p>
    <w:p w14:paraId="5B0C0471">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pacing w:val="-2"/>
          <w:sz w:val="32"/>
          <w:szCs w:val="32"/>
          <w:lang w:eastAsia="zh-CN"/>
        </w:rPr>
        <w:t>0万元。全年按规定更新购置公务用车0辆。</w:t>
      </w:r>
      <w:r>
        <w:rPr>
          <w:rFonts w:hint="eastAsia" w:ascii="仿宋_GB2312" w:eastAsia="仿宋_GB2312"/>
          <w:color w:val="000000"/>
          <w:sz w:val="32"/>
          <w:szCs w:val="32"/>
        </w:rPr>
        <w:t>全年按规定更新购置公务用车0辆。截至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辆、执法执勤用车0辆、特种专业技术用车0辆、离退休干部用车0辆、其他用车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pacing w:val="-2"/>
          <w:sz w:val="32"/>
          <w:szCs w:val="32"/>
          <w:lang w:eastAsia="zh-CN"/>
        </w:rPr>
        <w:t>截至2024年12月31日，共有车辆</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辆；</w:t>
      </w:r>
      <w:r>
        <w:rPr>
          <w:rFonts w:hint="eastAsia" w:ascii="仿宋_GB2312" w:eastAsia="仿宋_GB2312"/>
          <w:b/>
          <w:color w:val="000000"/>
          <w:sz w:val="32"/>
          <w:szCs w:val="32"/>
        </w:rPr>
        <w:t>公务用车运行维护费支出</w:t>
      </w:r>
      <w:r>
        <w:rPr>
          <w:rFonts w:hint="eastAsia" w:ascii="仿宋_GB2312" w:eastAsia="仿宋_GB2312"/>
          <w:color w:val="000000"/>
          <w:spacing w:val="-2"/>
          <w:sz w:val="32"/>
          <w:szCs w:val="32"/>
          <w:lang w:val="en-US" w:eastAsia="zh-CN"/>
        </w:rPr>
        <w:t>5.6</w:t>
      </w:r>
      <w:r>
        <w:rPr>
          <w:rFonts w:hint="eastAsia" w:ascii="仿宋_GB2312" w:eastAsia="仿宋_GB2312"/>
          <w:color w:val="000000"/>
          <w:spacing w:val="-2"/>
          <w:sz w:val="32"/>
          <w:szCs w:val="32"/>
          <w:lang w:eastAsia="zh-CN"/>
        </w:rPr>
        <w:t>万元。</w:t>
      </w:r>
    </w:p>
    <w:p w14:paraId="397CA035">
      <w:pPr>
        <w:spacing w:line="60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2.公务接待费支出0万元。</w:t>
      </w:r>
    </w:p>
    <w:p w14:paraId="3FE1E7A2">
      <w:pPr>
        <w:spacing w:line="60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3.因公出国（境）费支出0万元。</w:t>
      </w:r>
    </w:p>
    <w:p w14:paraId="08D5CB42">
      <w:pPr>
        <w:spacing w:line="600" w:lineRule="exact"/>
        <w:ind w:firstLine="640"/>
        <w:outlineLvl w:val="1"/>
        <w:rPr>
          <w:rStyle w:val="22"/>
          <w:rFonts w:ascii="黑体" w:eastAsia="黑体"/>
        </w:rPr>
      </w:pPr>
      <w:bookmarkStart w:id="46" w:name="_Toc15377218"/>
      <w:bookmarkStart w:id="47" w:name="_Toc23573"/>
      <w:r>
        <w:rPr>
          <w:rFonts w:hint="eastAsia" w:ascii="黑体" w:eastAsia="黑体"/>
          <w:color w:val="000000"/>
          <w:sz w:val="32"/>
          <w:szCs w:val="32"/>
        </w:rPr>
        <w:t>八、</w:t>
      </w:r>
      <w:r>
        <w:rPr>
          <w:rStyle w:val="22"/>
          <w:rFonts w:hint="eastAsia" w:ascii="黑体" w:eastAsia="黑体"/>
          <w:b w:val="0"/>
        </w:rPr>
        <w:t>政府性基金预算支出决算情况说明</w:t>
      </w:r>
      <w:bookmarkEnd w:id="46"/>
      <w:bookmarkEnd w:id="47"/>
    </w:p>
    <w:p w14:paraId="71B56B45">
      <w:pPr>
        <w:ind w:firstLine="640" w:firstLineChars="200"/>
        <w:rPr>
          <w:rFonts w:hint="eastAsia"/>
          <w:lang w:val="en-US" w:eastAsia="zh-CN"/>
        </w:rPr>
      </w:pPr>
      <w:bookmarkStart w:id="48" w:name="_Toc351"/>
      <w:bookmarkStart w:id="49" w:name="_Toc15377219"/>
      <w:r>
        <w:rPr>
          <w:rFonts w:hint="eastAsia" w:ascii="仿宋_GB2312" w:eastAsia="仿宋_GB2312"/>
          <w:color w:val="000000"/>
          <w:sz w:val="32"/>
          <w:szCs w:val="32"/>
          <w:lang w:val="en-US" w:eastAsia="zh-CN"/>
        </w:rPr>
        <w:t>2024年度政府性基金预算财政拨款支出</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万元，占本年支出合计的0%。与2023年度相比，政府性基金预算财政拨款支出增加/减少0万元，增长/下降0%。</w:t>
      </w:r>
    </w:p>
    <w:p w14:paraId="2EF5F7A5">
      <w:pPr>
        <w:tabs>
          <w:tab w:val="left" w:pos="0"/>
        </w:tabs>
        <w:spacing w:line="600" w:lineRule="exact"/>
        <w:ind w:left="640"/>
        <w:outlineLvl w:val="1"/>
        <w:rPr>
          <w:rStyle w:val="22"/>
          <w:rFonts w:ascii="黑体" w:eastAsia="黑体"/>
          <w:b w:val="0"/>
        </w:rPr>
      </w:pPr>
      <w:r>
        <w:rPr>
          <w:rStyle w:val="22"/>
          <w:rFonts w:hint="eastAsia" w:ascii="黑体" w:eastAsia="黑体"/>
          <w:b w:val="0"/>
          <w:lang w:val="en-US" w:eastAsia="zh-CN"/>
        </w:rPr>
        <w:t>九、</w:t>
      </w:r>
      <w:r>
        <w:rPr>
          <w:rStyle w:val="22"/>
          <w:rFonts w:hint="eastAsia" w:ascii="黑体" w:eastAsia="黑体"/>
          <w:b w:val="0"/>
        </w:rPr>
        <w:t>国有资本经营预算支出决算情况说明</w:t>
      </w:r>
      <w:bookmarkEnd w:id="48"/>
      <w:bookmarkEnd w:id="49"/>
    </w:p>
    <w:p w14:paraId="7C063DD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2024年度国有资本经营预算财政拨款支出0.05万元，占本年支出合计的</w:t>
      </w:r>
      <w:r>
        <w:rPr>
          <w:rFonts w:hint="eastAsia" w:ascii="仿宋_GB2312" w:eastAsia="仿宋_GB2312"/>
          <w:color w:val="000000"/>
          <w:sz w:val="32"/>
          <w:szCs w:val="32"/>
          <w:lang w:val="en-US" w:eastAsia="zh-CN"/>
        </w:rPr>
        <w:t>0.005</w:t>
      </w:r>
      <w:r>
        <w:rPr>
          <w:rFonts w:hint="eastAsia" w:ascii="仿宋_GB2312" w:eastAsia="仿宋_GB2312"/>
          <w:color w:val="000000"/>
          <w:sz w:val="32"/>
          <w:szCs w:val="32"/>
          <w:lang w:eastAsia="zh-CN"/>
        </w:rPr>
        <w:t>%。与2023年度相比，国有资本经营预算财政拨款支出增加/减少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增加</w:t>
      </w:r>
      <w:r>
        <w:rPr>
          <w:rFonts w:hint="eastAsia" w:ascii="仿宋_GB2312" w:eastAsia="仿宋_GB2312"/>
          <w:color w:val="000000"/>
          <w:sz w:val="32"/>
          <w:szCs w:val="32"/>
        </w:rPr>
        <w:t>国有企业退休人员社会化管理</w:t>
      </w:r>
      <w:r>
        <w:rPr>
          <w:rFonts w:hint="eastAsia" w:ascii="仿宋_GB2312" w:eastAsia="仿宋_GB2312"/>
          <w:color w:val="000000"/>
          <w:sz w:val="32"/>
          <w:szCs w:val="32"/>
          <w:lang w:eastAsia="zh-CN"/>
        </w:rPr>
        <w:t>补助支出。</w:t>
      </w:r>
    </w:p>
    <w:p w14:paraId="721F5B97">
      <w:pPr>
        <w:pStyle w:val="24"/>
        <w:numPr>
          <w:ilvl w:val="0"/>
          <w:numId w:val="3"/>
        </w:numPr>
        <w:spacing w:line="580" w:lineRule="exact"/>
        <w:ind w:firstLineChars="0"/>
        <w:rPr>
          <w:rStyle w:val="22"/>
          <w:rFonts w:ascii="黑体" w:eastAsia="黑体"/>
          <w:b w:val="0"/>
        </w:rPr>
      </w:pPr>
      <w:bookmarkStart w:id="50" w:name="_Toc16199"/>
      <w:r>
        <w:rPr>
          <w:rStyle w:val="22"/>
          <w:rFonts w:hint="eastAsia" w:ascii="黑体" w:eastAsia="黑体"/>
          <w:b w:val="0"/>
        </w:rPr>
        <w:t>预算绩效情况说明</w:t>
      </w:r>
    </w:p>
    <w:bookmarkEnd w:id="50"/>
    <w:p w14:paraId="3BD6B0C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2"/>
      <w:r>
        <w:rPr>
          <w:rFonts w:hint="eastAsia" w:ascii="Times New Roman" w:hAnsi="Times New Roman" w:eastAsia="楷体_GB2312" w:cs="楷体_GB2312"/>
          <w:b/>
          <w:color w:val="auto"/>
          <w:sz w:val="32"/>
          <w:szCs w:val="32"/>
          <w:highlight w:val="none"/>
        </w:rPr>
        <w:t>（一）机关运行经费支出情况</w:t>
      </w:r>
      <w:bookmarkEnd w:id="51"/>
    </w:p>
    <w:p w14:paraId="41ECF5A1">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lang w:eastAsia="zh-CN"/>
        </w:rPr>
      </w:pPr>
      <w:bookmarkStart w:id="52" w:name="_Toc15377224"/>
      <w:r>
        <w:rPr>
          <w:rFonts w:hint="eastAsia" w:ascii="仿宋_GB2312" w:eastAsia="仿宋_GB2312"/>
          <w:color w:val="000000"/>
          <w:sz w:val="32"/>
          <w:szCs w:val="32"/>
          <w:lang w:eastAsia="zh-CN"/>
        </w:rPr>
        <w:t>2024年度，金川县庆宁乡人民政府机关运行经费支出24.11万元，比2023年度增加</w:t>
      </w:r>
      <w:r>
        <w:rPr>
          <w:rFonts w:hint="eastAsia" w:ascii="仿宋_GB2312" w:eastAsia="仿宋_GB2312"/>
          <w:color w:val="000000"/>
          <w:sz w:val="32"/>
          <w:szCs w:val="32"/>
          <w:lang w:val="en-US" w:eastAsia="zh-CN"/>
        </w:rPr>
        <w:t>6.25</w:t>
      </w:r>
      <w:r>
        <w:rPr>
          <w:rFonts w:hint="eastAsia" w:ascii="仿宋_GB2312" w:eastAsia="仿宋_GB2312"/>
          <w:color w:val="000000"/>
          <w:sz w:val="32"/>
          <w:szCs w:val="32"/>
          <w:lang w:eastAsia="zh-CN"/>
        </w:rPr>
        <w:t>万元，增长</w:t>
      </w:r>
      <w:r>
        <w:rPr>
          <w:rFonts w:hint="eastAsia" w:ascii="仿宋_GB2312" w:eastAsia="仿宋_GB2312"/>
          <w:color w:val="000000"/>
          <w:sz w:val="32"/>
          <w:szCs w:val="32"/>
          <w:lang w:val="en-US" w:eastAsia="zh-CN"/>
        </w:rPr>
        <w:t>34.99</w:t>
      </w:r>
      <w:r>
        <w:rPr>
          <w:rFonts w:hint="eastAsia" w:ascii="仿宋_GB2312" w:eastAsia="仿宋_GB2312"/>
          <w:color w:val="000000"/>
          <w:sz w:val="32"/>
          <w:szCs w:val="32"/>
          <w:lang w:eastAsia="zh-CN"/>
        </w:rPr>
        <w:t>%。主要原因是人员变动及薪资变化。</w:t>
      </w:r>
    </w:p>
    <w:p w14:paraId="00FD88B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p>
    <w:p w14:paraId="6AED7BB0">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2024年度，金川县庆宁乡人民政府政府采购支出总额0万元，其中：政府采购货物支出0万元、政府采购工程支出0万元、政府采购服务支出0万元。主要用于……（具体工作）。授予中小企业合同金额0万元，占政府采购支出总额的0%，其中：授予小微企业合同金额0万元，占政府采购支出总额的0%。</w:t>
      </w:r>
    </w:p>
    <w:p w14:paraId="7EAC30C2">
      <w:pPr>
        <w:spacing w:line="600" w:lineRule="exact"/>
        <w:ind w:firstLine="643" w:firstLineChars="200"/>
        <w:outlineLvl w:val="2"/>
        <w:rPr>
          <w:rFonts w:hint="eastAsia" w:ascii="Times New Roman" w:hAnsi="Times New Roman" w:eastAsia="楷体_GB2312" w:cs="楷体_GB2312"/>
          <w:b/>
          <w:color w:val="auto"/>
          <w:sz w:val="32"/>
          <w:szCs w:val="32"/>
          <w:highlight w:val="none"/>
          <w:lang w:eastAsia="zh-CN"/>
        </w:rPr>
      </w:pPr>
      <w:r>
        <w:rPr>
          <w:rFonts w:hint="eastAsia" w:ascii="Times New Roman" w:hAnsi="Times New Roman" w:eastAsia="楷体_GB2312" w:cs="楷体_GB2312"/>
          <w:b/>
          <w:color w:val="auto"/>
          <w:sz w:val="32"/>
          <w:szCs w:val="32"/>
          <w:highlight w:val="none"/>
          <w:lang w:eastAsia="zh-CN"/>
        </w:rPr>
        <w:t>（三）国有资产占有使用情况</w:t>
      </w:r>
      <w:bookmarkEnd w:id="52"/>
    </w:p>
    <w:p w14:paraId="10B73F62">
      <w:pPr>
        <w:widowControl/>
        <w:tabs>
          <w:tab w:val="left" w:pos="0"/>
        </w:tabs>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2024年12月31日，金川县庆宁乡人民政府共有车辆3辆，其中：主要负责人用车0辆、机要通信用车0辆、应急保障用车1辆、其他用车2辆，其他用车主要是用于……。单价100万元（含）以上设备（不含车辆）0台（套）。</w:t>
      </w:r>
    </w:p>
    <w:p w14:paraId="4CF7220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1555B3B6">
      <w:pPr>
        <w:widowControl/>
        <w:tabs>
          <w:tab w:val="left" w:pos="0"/>
        </w:tabs>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根据预算绩效管理要求，庆宁乡在2024年度预算编制阶段，组织对金川县庆宁乡城乡环境卫生综合整治项目等3个项目开展了预算事前绩效评估，对3个项目编制了绩效目标，预算执行过程中，选取3个项目开展绩效监控。</w:t>
      </w:r>
    </w:p>
    <w:p w14:paraId="7F69BF0F">
      <w:pPr>
        <w:widowControl/>
        <w:tabs>
          <w:tab w:val="left" w:pos="0"/>
        </w:tabs>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组织对2024年度一般公共预算、政府性基金预算、国有资本经营预算、社会保险基金预算以及资本资产、债券资金等全面开展绩效自评，形成庆宁乡部门整体（含部门预算项目）绩效自评报告、庆宁乡等专项预算项目绩效自评报告，其中，庆宁乡部门整体（含部门预算项目）绩效自评得分为95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仿宋_GB2312" w:eastAsia="仿宋_GB2312"/>
          <w:color w:val="000000"/>
          <w:sz w:val="32"/>
          <w:szCs w:val="32"/>
          <w:lang w:val="en-US" w:eastAsia="zh-CN"/>
        </w:rPr>
        <w:t>；3个专项预算项目绩效自评得分为95分，绩效自评综述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仿宋_GB2312" w:eastAsia="仿宋_GB2312"/>
          <w:color w:val="000000"/>
          <w:sz w:val="32"/>
          <w:szCs w:val="32"/>
          <w:lang w:val="en-US" w:eastAsia="zh-CN"/>
        </w:rPr>
        <w:t>。绩效自评报告详见附件。</w:t>
      </w:r>
    </w:p>
    <w:p w14:paraId="34803A4C">
      <w:pPr>
        <w:rPr>
          <w:rStyle w:val="21"/>
          <w:rFonts w:ascii="黑体" w:eastAsia="黑体"/>
          <w:b w:val="0"/>
        </w:rPr>
      </w:pPr>
      <w:bookmarkStart w:id="53" w:name="_Toc15377225"/>
      <w:bookmarkStart w:id="54" w:name="_Toc30760"/>
      <w:r>
        <w:rPr>
          <w:rFonts w:hint="eastAsia" w:ascii="黑体" w:eastAsia="黑体"/>
          <w:b/>
          <w:color w:val="000000"/>
          <w:sz w:val="44"/>
          <w:szCs w:val="44"/>
        </w:rPr>
        <w:br w:type="page"/>
      </w:r>
    </w:p>
    <w:bookmarkEnd w:id="1"/>
    <w:bookmarkEnd w:id="53"/>
    <w:bookmarkEnd w:id="54"/>
    <w:p w14:paraId="3584542C">
      <w:pPr>
        <w:spacing w:line="600" w:lineRule="exact"/>
        <w:jc w:val="center"/>
        <w:outlineLvl w:val="0"/>
        <w:rPr>
          <w:rFonts w:hint="eastAsia" w:ascii="Times New Roman" w:hAnsi="Times New Roman" w:eastAsia="黑体"/>
          <w:color w:val="auto"/>
          <w:sz w:val="44"/>
          <w:szCs w:val="44"/>
          <w:highlight w:val="none"/>
        </w:rPr>
      </w:pPr>
      <w:bookmarkStart w:id="55"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5"/>
    </w:p>
    <w:p w14:paraId="49E3362A">
      <w:pPr>
        <w:spacing w:line="600" w:lineRule="exact"/>
        <w:jc w:val="left"/>
        <w:rPr>
          <w:rFonts w:ascii="Times New Roman" w:hAnsi="Times New Roman"/>
          <w:b/>
          <w:color w:val="auto"/>
          <w:sz w:val="44"/>
          <w:szCs w:val="44"/>
          <w:highlight w:val="none"/>
        </w:rPr>
      </w:pPr>
    </w:p>
    <w:p w14:paraId="2A7917E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7B313E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5FDB7D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3.经营收入：指事业单位在专业业务活动及其辅助活动之外开展非独立核算经营活动取得的收入。4.其他收入：指单位取得的除上述收入以外的各项收入。5.使用非财政拨款结余（含专用结余）：指事业单位使用以前年度积累的非财政拨款结余弥补当年收支差额的金额。 </w:t>
      </w:r>
    </w:p>
    <w:p w14:paraId="32AA865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33C2DCD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1EAB85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60F7C8C5">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8.一般公共服务（类）政府办公厅（室）及相关机构事务（款）行政运行（项）：指行政单位的基本支出。</w:t>
      </w:r>
    </w:p>
    <w:p w14:paraId="66726C5B">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9.一般公共服务（类）政府办公厅（室）及相关机构事务（款）一般行政管理事务（项）：指反映行政单位未单独设置顶级科目的其他项目支出。</w:t>
      </w:r>
    </w:p>
    <w:p w14:paraId="3BAEFF8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10.教育（类）其他教育支出（款）其他教育支出（项）：除上诉项目以外用于教育管理事务方面的支出。</w:t>
      </w:r>
    </w:p>
    <w:p w14:paraId="100AC91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11.社会保障和就业（类）行政事业单位离退休（款）机关事业单位基本养老保险缴费支出（项）：指单位为职工缴纳的基本养老保险费。</w:t>
      </w:r>
    </w:p>
    <w:p w14:paraId="57CD3B76">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12.社会保障和就业（类）行政事业单位离退休（款）机关事业单位基本职业年金缴费支出（项）：指单位为职工实际缴纳的职业年金。</w:t>
      </w:r>
    </w:p>
    <w:p w14:paraId="4D20EA0A">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13.医疗卫生与计划生育（类）行政事业单位医疗（款）行政单位医疗（项）：指反映职工缴纳的基本医疗保险费。</w:t>
      </w:r>
    </w:p>
    <w:p w14:paraId="058C792D">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14.医疗卫生与计划生育（类）行政事业单位医疗（款）公务员医疗补助（项）：指按规定可享受公务员医疗补助单位为职工缴纳的公务员医疗补助费。</w:t>
      </w:r>
    </w:p>
    <w:p w14:paraId="7DC2741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15.住房保障（类）住房改革支出（款）住房公积金（项）：指单位按规定为职工缴纳的住房公积金。</w:t>
      </w:r>
    </w:p>
    <w:p w14:paraId="64C8B74C">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16.基本支出：指为保障机构正常运转、完成日常工作任务而发生的人员支出和公用支出。</w:t>
      </w:r>
    </w:p>
    <w:p w14:paraId="37DCF7A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 xml:space="preserve">17.项目支出：指在基本支出之外为完成特定行政任务和事业发展目标所发生的支出。 </w:t>
      </w:r>
    </w:p>
    <w:p w14:paraId="6264A02A">
      <w:pPr>
        <w:pStyle w:val="25"/>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25"/>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424F2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2DF646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58FEF493">
      <w:pPr>
        <w:spacing w:line="600" w:lineRule="exact"/>
        <w:ind w:firstLine="640"/>
        <w:rPr>
          <w:rFonts w:hint="eastAsia" w:ascii="仿宋_GB2312" w:hAnsi="Times New Roman" w:eastAsia="仿宋_GB2312" w:cstheme="minorBidi"/>
          <w:color w:val="auto"/>
          <w:spacing w:val="-2"/>
          <w:kern w:val="2"/>
          <w:sz w:val="32"/>
          <w:szCs w:val="32"/>
          <w:lang w:val="en-US" w:eastAsia="zh-CN" w:bidi="ar-SA"/>
        </w:rPr>
      </w:pPr>
      <w:r>
        <w:rPr>
          <w:rFonts w:hint="eastAsia" w:eastAsia="仿宋_GB2312" w:cs="仿宋_GB2312"/>
          <w:color w:val="auto"/>
          <w:kern w:val="2"/>
          <w:sz w:val="32"/>
          <w:szCs w:val="32"/>
          <w:highlight w:val="none"/>
          <w:lang w:val="en-US" w:eastAsia="zh-CN" w:bidi="ar-SA"/>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6FDADA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16EE5E">
      <w:pPr>
        <w:pStyle w:val="25"/>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sectPr>
          <w:headerReference r:id="rId3" w:type="default"/>
          <w:pgSz w:w="11906" w:h="16838"/>
          <w:pgMar w:top="1440" w:right="1800" w:bottom="1440" w:left="1800" w:header="851" w:footer="992" w:gutter="0"/>
          <w:cols w:space="720" w:num="1"/>
          <w:docGrid w:type="lines" w:linePitch="312" w:charSpace="0"/>
        </w:sectPr>
      </w:pPr>
    </w:p>
    <w:p w14:paraId="6BB8C380">
      <w:pPr>
        <w:pStyle w:val="14"/>
        <w:numPr>
          <w:ilvl w:val="0"/>
          <w:numId w:val="4"/>
        </w:numPr>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402C01">
      <w:pPr>
        <w:widowControl w:val="0"/>
        <w:numPr>
          <w:numId w:val="0"/>
        </w:numPr>
        <w:jc w:val="both"/>
      </w:pPr>
    </w:p>
    <w:p w14:paraId="228436D8">
      <w:pPr>
        <w:pStyle w:val="2"/>
      </w:pPr>
    </w:p>
    <w:p w14:paraId="72ABB5FB"/>
    <w:p w14:paraId="1F8483EA">
      <w:pPr>
        <w:pStyle w:val="2"/>
      </w:pPr>
    </w:p>
    <w:p w14:paraId="1ECB6DF1"/>
    <w:p w14:paraId="20929290">
      <w:pPr>
        <w:pStyle w:val="2"/>
      </w:pPr>
    </w:p>
    <w:p w14:paraId="0979EF7D"/>
    <w:p w14:paraId="60A6579E">
      <w:pPr>
        <w:pStyle w:val="2"/>
      </w:pPr>
    </w:p>
    <w:p w14:paraId="70B546A8"/>
    <w:p w14:paraId="2ED8F927">
      <w:pPr>
        <w:pStyle w:val="2"/>
      </w:pPr>
    </w:p>
    <w:p w14:paraId="56A20028"/>
    <w:p w14:paraId="736C1104">
      <w:pPr>
        <w:pStyle w:val="2"/>
      </w:pPr>
    </w:p>
    <w:p w14:paraId="347342B5"/>
    <w:p w14:paraId="73C6BCFF">
      <w:pPr>
        <w:pStyle w:val="2"/>
      </w:pPr>
    </w:p>
    <w:p w14:paraId="45E10A7D"/>
    <w:p w14:paraId="1FF143E3">
      <w:pPr>
        <w:pStyle w:val="2"/>
      </w:pPr>
    </w:p>
    <w:p w14:paraId="25B3B8E5"/>
    <w:p w14:paraId="0C5F00EF">
      <w:pPr>
        <w:spacing w:line="600" w:lineRule="exact"/>
        <w:jc w:val="center"/>
        <w:rPr>
          <w:rStyle w:val="21"/>
          <w:rFonts w:hint="eastAsia" w:ascii="Times New Roman" w:hAnsi="Times New Roman" w:eastAsia="黑体"/>
          <w:b w:val="0"/>
          <w:color w:val="auto"/>
          <w:highlight w:val="none"/>
          <w:lang w:eastAsia="zh-CN"/>
        </w:rPr>
      </w:pPr>
      <w:bookmarkStart w:id="5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6"/>
    </w:p>
    <w:p w14:paraId="7EE0F135">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31EE233">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B511184">
      <w:pPr>
        <w:spacing w:line="576" w:lineRule="exact"/>
        <w:jc w:val="both"/>
        <w:rPr>
          <w:rFonts w:hint="eastAsia" w:ascii="Times New Roman" w:hAnsi="Times New Roman" w:eastAsia="方正小标宋_GBK"/>
          <w:sz w:val="44"/>
          <w:szCs w:val="44"/>
          <w:lang w:eastAsia="zh-CN"/>
        </w:rPr>
      </w:pPr>
    </w:p>
    <w:p w14:paraId="74E1DD8D">
      <w:pPr>
        <w:spacing w:line="576" w:lineRule="exact"/>
        <w:jc w:val="center"/>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县庆宁乡人民政府</w:t>
      </w:r>
    </w:p>
    <w:p w14:paraId="1A3DA2E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_GBK"/>
          <w:sz w:val="44"/>
          <w:szCs w:val="44"/>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ascii="Times New Roman" w:hAnsi="Times New Roman" w:eastAsia="方正小标宋_GBK"/>
          <w:sz w:val="44"/>
          <w:szCs w:val="44"/>
          <w:lang w:eastAsia="zh-CN"/>
        </w:rPr>
        <w:t>部门预算</w:t>
      </w:r>
      <w:r>
        <w:rPr>
          <w:rFonts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ascii="Times New Roman" w:hAnsi="Times New Roman" w:eastAsia="方正小标宋_GBK"/>
          <w:sz w:val="44"/>
          <w:szCs w:val="44"/>
        </w:rPr>
        <w:t>报告</w:t>
      </w:r>
    </w:p>
    <w:p w14:paraId="33A9815D">
      <w:pPr>
        <w:pStyle w:val="23"/>
      </w:pPr>
    </w:p>
    <w:p w14:paraId="736015AC">
      <w:pPr>
        <w:rPr>
          <w:rFonts w:hint="eastAsia" w:ascii="仿宋" w:eastAsia="仿宋" w:cs="仿宋"/>
          <w:sz w:val="32"/>
          <w:szCs w:val="32"/>
        </w:rPr>
      </w:pPr>
      <w:r>
        <w:rPr>
          <w:rFonts w:hint="eastAsia" w:ascii="仿宋" w:eastAsia="仿宋" w:cs="仿宋"/>
          <w:sz w:val="32"/>
          <w:szCs w:val="32"/>
        </w:rPr>
        <w:t>金川县财政局:</w:t>
      </w:r>
    </w:p>
    <w:p w14:paraId="0AA4B24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pPr>
      <w:r>
        <w:rPr>
          <w:rFonts w:hint="eastAsia" w:ascii="仿宋" w:eastAsia="仿宋" w:cs="仿宋"/>
          <w:sz w:val="32"/>
          <w:szCs w:val="32"/>
        </w:rPr>
        <w:t>根据《金川县财政局关于</w:t>
      </w:r>
      <w:r>
        <w:rPr>
          <w:rFonts w:hint="eastAsia" w:ascii="仿宋" w:eastAsia="仿宋" w:cs="仿宋"/>
          <w:sz w:val="32"/>
          <w:szCs w:val="32"/>
          <w:lang w:val="en-US" w:eastAsia="zh-CN"/>
        </w:rPr>
        <w:t>2024年县级部门绩效自评工作</w:t>
      </w:r>
      <w:r>
        <w:rPr>
          <w:rFonts w:hint="eastAsia" w:ascii="仿宋" w:eastAsia="仿宋" w:cs="仿宋"/>
          <w:sz w:val="32"/>
          <w:szCs w:val="32"/>
        </w:rPr>
        <w:t>的通知》的通知(金财</w:t>
      </w:r>
      <w:r>
        <w:rPr>
          <w:rFonts w:hint="eastAsia" w:ascii="仿宋" w:eastAsia="仿宋" w:cs="仿宋"/>
          <w:sz w:val="32"/>
          <w:szCs w:val="32"/>
          <w:lang w:val="en-US" w:eastAsia="zh-CN"/>
        </w:rPr>
        <w:t>监绩</w:t>
      </w:r>
      <w:r>
        <w:rPr>
          <w:rFonts w:hint="eastAsia" w:ascii="仿宋" w:eastAsia="仿宋" w:cs="仿宋"/>
          <w:sz w:val="32"/>
          <w:szCs w:val="32"/>
        </w:rPr>
        <w:t>〔202</w:t>
      </w:r>
      <w:r>
        <w:rPr>
          <w:rFonts w:hint="eastAsia" w:ascii="仿宋" w:eastAsia="仿宋" w:cs="仿宋"/>
          <w:sz w:val="32"/>
          <w:szCs w:val="32"/>
          <w:lang w:val="en-US" w:eastAsia="zh-CN"/>
        </w:rPr>
        <w:t>5</w:t>
      </w:r>
      <w:r>
        <w:rPr>
          <w:rFonts w:hint="eastAsia" w:ascii="仿宋" w:eastAsia="仿宋" w:cs="仿宋"/>
          <w:sz w:val="32"/>
          <w:szCs w:val="32"/>
        </w:rPr>
        <w:t>〕</w:t>
      </w:r>
      <w:r>
        <w:rPr>
          <w:rFonts w:hint="eastAsia" w:ascii="仿宋" w:eastAsia="仿宋" w:cs="仿宋"/>
          <w:sz w:val="32"/>
          <w:szCs w:val="32"/>
          <w:lang w:val="en-US" w:eastAsia="zh-CN"/>
        </w:rPr>
        <w:t>35</w:t>
      </w:r>
      <w:r>
        <w:rPr>
          <w:rFonts w:hint="eastAsia" w:ascii="仿宋" w:eastAsia="仿宋" w:cs="仿宋"/>
          <w:sz w:val="32"/>
          <w:szCs w:val="32"/>
        </w:rPr>
        <w:t>号)文件要求，我</w:t>
      </w:r>
      <w:r>
        <w:rPr>
          <w:rFonts w:hint="eastAsia" w:ascii="仿宋" w:eastAsia="仿宋" w:cs="仿宋"/>
          <w:sz w:val="32"/>
          <w:szCs w:val="32"/>
          <w:lang w:eastAsia="zh-CN"/>
        </w:rPr>
        <w:t>乡</w:t>
      </w:r>
      <w:r>
        <w:rPr>
          <w:rFonts w:hint="eastAsia" w:ascii="仿宋" w:eastAsia="仿宋" w:cs="仿宋"/>
          <w:sz w:val="32"/>
          <w:szCs w:val="32"/>
        </w:rPr>
        <w:t>高度重视，赓即对</w:t>
      </w:r>
      <w:r>
        <w:rPr>
          <w:rFonts w:hint="eastAsia" w:ascii="仿宋" w:eastAsia="仿宋" w:cs="仿宋"/>
          <w:sz w:val="32"/>
          <w:szCs w:val="32"/>
          <w:lang w:eastAsia="zh-CN"/>
        </w:rPr>
        <w:t>乡政府20</w:t>
      </w:r>
      <w:r>
        <w:rPr>
          <w:rFonts w:hint="eastAsia" w:ascii="仿宋" w:eastAsia="仿宋" w:cs="仿宋"/>
          <w:sz w:val="32"/>
          <w:szCs w:val="32"/>
          <w:lang w:val="en-US" w:eastAsia="zh-CN"/>
        </w:rPr>
        <w:t>24</w:t>
      </w:r>
      <w:r>
        <w:rPr>
          <w:rFonts w:hint="eastAsia" w:ascii="仿宋" w:eastAsia="仿宋" w:cs="仿宋"/>
          <w:sz w:val="32"/>
          <w:szCs w:val="32"/>
          <w:lang w:eastAsia="zh-CN"/>
        </w:rPr>
        <w:t>年</w:t>
      </w:r>
      <w:r>
        <w:rPr>
          <w:rFonts w:ascii="仿宋" w:eastAsia="仿宋" w:cs="仿宋"/>
          <w:sz w:val="32"/>
          <w:szCs w:val="32"/>
          <w:lang w:eastAsia="zh-CN"/>
        </w:rPr>
        <w:t>部门预算</w:t>
      </w:r>
      <w:r>
        <w:rPr>
          <w:rFonts w:ascii="仿宋" w:eastAsia="仿宋" w:cs="仿宋"/>
          <w:sz w:val="32"/>
          <w:szCs w:val="32"/>
        </w:rPr>
        <w:t>绩效</w:t>
      </w:r>
      <w:r>
        <w:rPr>
          <w:rFonts w:hint="eastAsia" w:ascii="仿宋" w:eastAsia="仿宋" w:cs="仿宋"/>
          <w:sz w:val="32"/>
          <w:szCs w:val="32"/>
          <w:lang w:val="en-US" w:eastAsia="zh-CN"/>
        </w:rPr>
        <w:t>开展自评工作，</w:t>
      </w:r>
      <w:r>
        <w:rPr>
          <w:rFonts w:hint="eastAsia" w:ascii="仿宋" w:eastAsia="仿宋" w:cs="仿宋"/>
          <w:sz w:val="32"/>
          <w:szCs w:val="32"/>
          <w:lang w:eastAsia="zh-CN"/>
        </w:rPr>
        <w:t>评价</w:t>
      </w:r>
      <w:r>
        <w:rPr>
          <w:rFonts w:ascii="仿宋" w:eastAsia="仿宋" w:cs="仿宋"/>
          <w:sz w:val="32"/>
          <w:szCs w:val="32"/>
        </w:rPr>
        <w:t>报告</w:t>
      </w:r>
      <w:r>
        <w:rPr>
          <w:rFonts w:hint="eastAsia" w:ascii="仿宋" w:eastAsia="仿宋" w:cs="仿宋"/>
          <w:sz w:val="32"/>
          <w:szCs w:val="32"/>
        </w:rPr>
        <w:t>情况如下。</w:t>
      </w:r>
    </w:p>
    <w:p w14:paraId="142AF1AB">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Style w:val="22"/>
          <w:rFonts w:ascii="黑体" w:eastAsia="黑体" w:cs="Times New Roman"/>
          <w:b w:val="0"/>
          <w:kern w:val="2"/>
          <w:lang w:val="en-US" w:eastAsia="zh-CN" w:bidi="ar-SA"/>
        </w:rPr>
      </w:pPr>
      <w:r>
        <w:rPr>
          <w:rStyle w:val="22"/>
          <w:rFonts w:hint="eastAsia" w:ascii="黑体" w:eastAsia="黑体" w:cs="Times New Roman"/>
          <w:b w:val="0"/>
          <w:kern w:val="2"/>
          <w:lang w:val="zh-CN" w:eastAsia="zh-CN" w:bidi="ar-SA"/>
        </w:rPr>
        <w:t>一、</w:t>
      </w:r>
      <w:r>
        <w:rPr>
          <w:rStyle w:val="22"/>
          <w:rFonts w:ascii="黑体" w:eastAsia="黑体" w:cs="Times New Roman"/>
          <w:b w:val="0"/>
          <w:kern w:val="2"/>
          <w:lang w:val="zh-CN" w:eastAsia="zh-CN" w:bidi="ar-SA"/>
        </w:rPr>
        <w:t>部门（单位）基本情况</w:t>
      </w:r>
    </w:p>
    <w:p w14:paraId="3580399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ascii="Times New Roman" w:hAnsi="Times New Roman" w:eastAsia="楷体_GB2312" w:cs="Times New Roman"/>
          <w:b/>
          <w:bCs/>
          <w:color w:val="000000"/>
          <w:kern w:val="0"/>
          <w:sz w:val="32"/>
          <w:szCs w:val="32"/>
          <w:highlight w:val="none"/>
          <w:shd w:val="clear" w:color="auto" w:fill="FFFFFF"/>
          <w:lang w:val="zh-CN"/>
        </w:rPr>
        <w:t>机构组成。</w:t>
      </w:r>
    </w:p>
    <w:p w14:paraId="02EBBE3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本部门预算单位</w:t>
      </w:r>
      <w:r>
        <w:rPr>
          <w:rFonts w:hint="eastAsia" w:ascii="仿宋" w:eastAsia="仿宋" w:cs="仿宋"/>
          <w:sz w:val="32"/>
          <w:szCs w:val="32"/>
          <w:lang w:val="en-US" w:eastAsia="zh-CN"/>
        </w:rPr>
        <w:t>1</w:t>
      </w:r>
      <w:r>
        <w:rPr>
          <w:rFonts w:hint="eastAsia" w:ascii="仿宋" w:eastAsia="仿宋" w:cs="仿宋"/>
          <w:sz w:val="32"/>
          <w:szCs w:val="32"/>
          <w:lang w:val="zh-CN"/>
        </w:rPr>
        <w:t>个，其中内设机构</w:t>
      </w:r>
      <w:r>
        <w:rPr>
          <w:rFonts w:hint="eastAsia" w:ascii="仿宋" w:eastAsia="仿宋" w:cs="仿宋"/>
          <w:sz w:val="32"/>
          <w:szCs w:val="32"/>
          <w:lang w:val="en-US" w:eastAsia="zh-CN"/>
        </w:rPr>
        <w:t>4</w:t>
      </w:r>
      <w:r>
        <w:rPr>
          <w:rFonts w:hint="eastAsia" w:ascii="仿宋" w:eastAsia="仿宋" w:cs="仿宋"/>
          <w:sz w:val="32"/>
          <w:szCs w:val="32"/>
          <w:lang w:val="zh-CN"/>
        </w:rPr>
        <w:t>个，分别是金川县庆宁乡人民政府办公室、庆宁乡党委办公室、庆宁乡人大办公室、庆宁乡综合服务中心。</w:t>
      </w:r>
    </w:p>
    <w:p w14:paraId="5AE809C4">
      <w:pPr>
        <w:keepNext w:val="0"/>
        <w:keepLines w:val="0"/>
        <w:pageBreakBefore w:val="0"/>
        <w:widowControl/>
        <w:numPr>
          <w:ilvl w:val="0"/>
          <w:numId w:val="5"/>
        </w:numPr>
        <w:kinsoku w:val="0"/>
        <w:overflowPunct w:val="0"/>
        <w:autoSpaceDE w:val="0"/>
        <w:autoSpaceDN w:val="0"/>
        <w:bidi w:val="0"/>
        <w:spacing w:line="600" w:lineRule="exact"/>
        <w:ind w:left="0"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579BF105">
      <w:pPr>
        <w:keepNext w:val="0"/>
        <w:keepLines w:val="0"/>
        <w:pageBreakBefore w:val="0"/>
        <w:widowControl/>
        <w:kinsoku/>
        <w:wordWrap/>
        <w:overflowPunct/>
        <w:topLinePunct w:val="0"/>
        <w:autoSpaceDE/>
        <w:autoSpaceDN/>
        <w:bidi w:val="0"/>
        <w:adjustRightInd w:val="0"/>
        <w:snapToGrid w:val="0"/>
        <w:spacing w:line="578" w:lineRule="exact"/>
        <w:ind w:firstLine="420" w:firstLineChars="200"/>
        <w:contextualSpacing/>
        <w:jc w:val="left"/>
        <w:textAlignment w:val="auto"/>
        <w:outlineLvl w:val="9"/>
        <w:rPr>
          <w:rFonts w:hint="eastAsia" w:ascii="仿宋" w:eastAsia="仿宋" w:cs="仿宋"/>
          <w:sz w:val="32"/>
          <w:szCs w:val="32"/>
          <w:lang w:val="zh-CN" w:eastAsia="zh-CN"/>
        </w:rPr>
      </w:pPr>
      <w:r>
        <w:rPr>
          <w:rFonts w:hint="eastAsia"/>
          <w:lang w:val="zh-CN"/>
        </w:rPr>
        <w:t xml:space="preserve"> </w:t>
      </w:r>
      <w:r>
        <w:rPr>
          <w:rFonts w:hint="eastAsia" w:ascii="仿宋" w:eastAsia="仿宋" w:cs="仿宋"/>
          <w:sz w:val="32"/>
          <w:szCs w:val="32"/>
          <w:lang w:val="zh-CN" w:eastAsia="zh-CN"/>
        </w:rPr>
        <w:t xml:space="preserve">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14:paraId="6344A61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2.制定并组织实施村镇建设规划，部署重点工程建设，地方道路建设及公共设施，水利设施的管理，负责土地、林木、水等自然资源和生态环境的保护，做好护林防火工作。 </w:t>
      </w:r>
    </w:p>
    <w:p w14:paraId="4954FB6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297D065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4.按计划组织本级财政收入和地方税的征收，完成国家财政计划，不断培植税源，管好财政资金，增强财政实力。 </w:t>
      </w:r>
    </w:p>
    <w:p w14:paraId="49D56FF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lang w:val="zh-CN"/>
        </w:rPr>
      </w:pPr>
      <w:r>
        <w:rPr>
          <w:rFonts w:hint="eastAsia" w:ascii="仿宋" w:eastAsia="仿宋" w:cs="仿宋"/>
          <w:sz w:val="32"/>
          <w:szCs w:val="32"/>
          <w:lang w:val="zh-CN" w:eastAsia="zh-CN"/>
        </w:rPr>
        <w:t>5.抓好精神文明建设，丰富群众文化生活，提倡移风易俗，反对封建迷信，破除陈规陋习，树立社会主义新风尚</w:t>
      </w:r>
      <w:r>
        <w:rPr>
          <w:rFonts w:hint="eastAsia" w:ascii="仿宋" w:eastAsia="仿宋" w:cs="仿宋"/>
          <w:sz w:val="32"/>
          <w:szCs w:val="32"/>
          <w:lang w:val="en-US" w:eastAsia="zh-CN"/>
        </w:rPr>
        <w:t>。</w:t>
      </w:r>
    </w:p>
    <w:p w14:paraId="7B341718">
      <w:pPr>
        <w:keepNext w:val="0"/>
        <w:keepLines w:val="0"/>
        <w:pageBreakBefore w:val="0"/>
        <w:widowControl w:val="0"/>
        <w:kinsoku/>
        <w:wordWrap w:val="0"/>
        <w:overflowPunct/>
        <w:autoSpaceDE/>
        <w:autoSpaceDN/>
        <w:bidi w:val="0"/>
        <w:spacing w:line="560" w:lineRule="exact"/>
        <w:ind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p>
    <w:p w14:paraId="7CF8D74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截至2024年末，金川县庆宁乡人民政府只有一个行政核算机构。</w:t>
      </w:r>
      <w:r>
        <w:rPr>
          <w:rFonts w:hint="eastAsia" w:ascii="仿宋" w:eastAsia="仿宋" w:cs="仿宋"/>
          <w:sz w:val="32"/>
          <w:szCs w:val="32"/>
          <w:lang w:val="zh-CN" w:eastAsia="zh-CN"/>
        </w:rPr>
        <w:t>单位编制数</w:t>
      </w:r>
      <w:r>
        <w:rPr>
          <w:rFonts w:hint="eastAsia" w:ascii="仿宋" w:eastAsia="仿宋" w:cs="仿宋"/>
          <w:sz w:val="32"/>
          <w:szCs w:val="32"/>
          <w:lang w:val="en-US" w:eastAsia="zh-CN"/>
        </w:rPr>
        <w:t>32</w:t>
      </w:r>
      <w:r>
        <w:rPr>
          <w:rFonts w:hint="eastAsia" w:ascii="仿宋" w:eastAsia="仿宋" w:cs="仿宋"/>
          <w:sz w:val="32"/>
          <w:szCs w:val="32"/>
          <w:lang w:val="zh-CN" w:eastAsia="zh-CN"/>
        </w:rPr>
        <w:t>个，其中：公务员编制</w:t>
      </w:r>
      <w:r>
        <w:rPr>
          <w:rFonts w:hint="eastAsia" w:ascii="仿宋" w:eastAsia="仿宋" w:cs="仿宋"/>
          <w:sz w:val="32"/>
          <w:szCs w:val="32"/>
          <w:lang w:val="en-US" w:eastAsia="zh-CN"/>
        </w:rPr>
        <w:t>18个</w:t>
      </w:r>
      <w:r>
        <w:rPr>
          <w:rFonts w:hint="eastAsia" w:ascii="仿宋" w:eastAsia="仿宋" w:cs="仿宋"/>
          <w:sz w:val="32"/>
          <w:szCs w:val="32"/>
          <w:lang w:val="zh-CN" w:eastAsia="zh-CN"/>
        </w:rPr>
        <w:t>、行政工勤编制</w:t>
      </w:r>
      <w:r>
        <w:rPr>
          <w:rFonts w:hint="eastAsia" w:ascii="仿宋" w:eastAsia="仿宋" w:cs="仿宋"/>
          <w:sz w:val="32"/>
          <w:szCs w:val="32"/>
          <w:lang w:val="en-US" w:eastAsia="zh-CN"/>
        </w:rPr>
        <w:t>2</w:t>
      </w:r>
      <w:r>
        <w:rPr>
          <w:rFonts w:hint="eastAsia" w:ascii="仿宋" w:eastAsia="仿宋" w:cs="仿宋"/>
          <w:sz w:val="32"/>
          <w:szCs w:val="32"/>
          <w:lang w:val="zh-CN" w:eastAsia="zh-CN"/>
        </w:rPr>
        <w:t>个，</w:t>
      </w:r>
      <w:r>
        <w:rPr>
          <w:rFonts w:hint="eastAsia" w:ascii="仿宋" w:eastAsia="仿宋" w:cs="仿宋"/>
          <w:sz w:val="32"/>
          <w:szCs w:val="32"/>
          <w:lang w:val="en-US" w:eastAsia="zh-CN"/>
        </w:rPr>
        <w:t>事业编制12名</w:t>
      </w:r>
      <w:r>
        <w:rPr>
          <w:rFonts w:hint="eastAsia" w:ascii="仿宋" w:eastAsia="仿宋" w:cs="仿宋"/>
          <w:sz w:val="32"/>
          <w:szCs w:val="32"/>
          <w:lang w:val="zh-CN" w:eastAsia="zh-CN"/>
        </w:rPr>
        <w:t>。截止20</w:t>
      </w:r>
      <w:r>
        <w:rPr>
          <w:rFonts w:hint="eastAsia" w:ascii="仿宋" w:eastAsia="仿宋" w:cs="仿宋"/>
          <w:sz w:val="32"/>
          <w:szCs w:val="32"/>
          <w:lang w:val="en-US" w:eastAsia="zh-CN"/>
        </w:rPr>
        <w:t>24</w:t>
      </w:r>
      <w:r>
        <w:rPr>
          <w:rFonts w:hint="eastAsia" w:ascii="仿宋" w:eastAsia="仿宋" w:cs="仿宋"/>
          <w:sz w:val="32"/>
          <w:szCs w:val="32"/>
          <w:lang w:val="zh-CN" w:eastAsia="zh-CN"/>
        </w:rPr>
        <w:t>年</w:t>
      </w:r>
      <w:r>
        <w:rPr>
          <w:rFonts w:hint="eastAsia" w:ascii="仿宋" w:eastAsia="仿宋" w:cs="仿宋"/>
          <w:sz w:val="32"/>
          <w:szCs w:val="32"/>
          <w:lang w:val="en-US" w:eastAsia="zh-CN"/>
        </w:rPr>
        <w:t>12月</w:t>
      </w:r>
      <w:r>
        <w:rPr>
          <w:rFonts w:hint="eastAsia" w:ascii="仿宋" w:eastAsia="仿宋" w:cs="仿宋"/>
          <w:sz w:val="32"/>
          <w:szCs w:val="32"/>
          <w:lang w:val="zh-CN" w:eastAsia="zh-CN"/>
        </w:rPr>
        <w:t>，单位实有人数</w:t>
      </w:r>
      <w:r>
        <w:rPr>
          <w:rFonts w:hint="eastAsia" w:ascii="仿宋" w:eastAsia="仿宋" w:cs="仿宋"/>
          <w:sz w:val="32"/>
          <w:szCs w:val="32"/>
          <w:lang w:val="en-US" w:eastAsia="zh-CN"/>
        </w:rPr>
        <w:t>28</w:t>
      </w:r>
      <w:r>
        <w:rPr>
          <w:rFonts w:hint="eastAsia" w:ascii="仿宋" w:eastAsia="仿宋" w:cs="仿宋"/>
          <w:sz w:val="32"/>
          <w:szCs w:val="32"/>
          <w:lang w:val="zh-CN" w:eastAsia="zh-CN"/>
        </w:rPr>
        <w:t>人，其中：在职人</w:t>
      </w:r>
      <w:r>
        <w:rPr>
          <w:rFonts w:hint="eastAsia" w:ascii="仿宋" w:eastAsia="仿宋" w:cs="仿宋"/>
          <w:sz w:val="32"/>
          <w:szCs w:val="32"/>
          <w:lang w:val="en-US" w:eastAsia="zh-CN"/>
        </w:rPr>
        <w:t>数</w:t>
      </w:r>
      <w:r>
        <w:rPr>
          <w:rFonts w:hint="eastAsia" w:ascii="仿宋" w:eastAsia="仿宋" w:cs="仿宋"/>
          <w:sz w:val="32"/>
          <w:szCs w:val="32"/>
          <w:lang w:val="zh-CN" w:eastAsia="zh-CN"/>
        </w:rPr>
        <w:t>（公务员</w:t>
      </w:r>
      <w:r>
        <w:rPr>
          <w:rFonts w:hint="eastAsia" w:ascii="仿宋" w:eastAsia="仿宋" w:cs="仿宋"/>
          <w:sz w:val="32"/>
          <w:szCs w:val="32"/>
          <w:lang w:val="en-US" w:eastAsia="zh-CN"/>
        </w:rPr>
        <w:t>16个</w:t>
      </w:r>
      <w:r>
        <w:rPr>
          <w:rFonts w:hint="eastAsia" w:ascii="仿宋" w:eastAsia="仿宋" w:cs="仿宋"/>
          <w:sz w:val="32"/>
          <w:szCs w:val="32"/>
          <w:lang w:val="zh-CN" w:eastAsia="zh-CN"/>
        </w:rPr>
        <w:t>、行政工勤</w:t>
      </w:r>
      <w:r>
        <w:rPr>
          <w:rFonts w:hint="eastAsia" w:ascii="仿宋" w:eastAsia="仿宋" w:cs="仿宋"/>
          <w:sz w:val="32"/>
          <w:szCs w:val="32"/>
          <w:lang w:val="en-US" w:eastAsia="zh-CN"/>
        </w:rPr>
        <w:t>1</w:t>
      </w:r>
      <w:r>
        <w:rPr>
          <w:rFonts w:hint="eastAsia" w:ascii="仿宋" w:eastAsia="仿宋" w:cs="仿宋"/>
          <w:sz w:val="32"/>
          <w:szCs w:val="32"/>
          <w:lang w:val="zh-CN" w:eastAsia="zh-CN"/>
        </w:rPr>
        <w:t>个，</w:t>
      </w:r>
      <w:r>
        <w:rPr>
          <w:rFonts w:hint="eastAsia" w:ascii="仿宋" w:eastAsia="仿宋" w:cs="仿宋"/>
          <w:sz w:val="32"/>
          <w:szCs w:val="32"/>
          <w:lang w:val="en-US" w:eastAsia="zh-CN"/>
        </w:rPr>
        <w:t>事业11名</w:t>
      </w:r>
      <w:r>
        <w:rPr>
          <w:rFonts w:hint="eastAsia" w:ascii="仿宋" w:eastAsia="仿宋" w:cs="仿宋"/>
          <w:sz w:val="32"/>
          <w:szCs w:val="32"/>
          <w:lang w:val="zh-CN" w:eastAsia="zh-CN"/>
        </w:rPr>
        <w:t>），退休</w:t>
      </w:r>
      <w:r>
        <w:rPr>
          <w:rFonts w:hint="eastAsia" w:ascii="仿宋" w:eastAsia="仿宋" w:cs="仿宋"/>
          <w:sz w:val="32"/>
          <w:szCs w:val="32"/>
          <w:lang w:val="en-US" w:eastAsia="zh-CN"/>
        </w:rPr>
        <w:t>6</w:t>
      </w:r>
      <w:r>
        <w:rPr>
          <w:rFonts w:hint="eastAsia" w:ascii="仿宋" w:eastAsia="仿宋" w:cs="仿宋"/>
          <w:sz w:val="32"/>
          <w:szCs w:val="32"/>
          <w:lang w:val="zh-CN" w:eastAsia="zh-CN"/>
        </w:rPr>
        <w:t>人，工资转由社保部门发放。</w:t>
      </w:r>
    </w:p>
    <w:p w14:paraId="1DB729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rPr>
        <w:t>二、</w:t>
      </w:r>
      <w:r>
        <w:rPr>
          <w:rFonts w:ascii="Times New Roman" w:hAnsi="Times New Roman" w:eastAsia="黑体" w:cs="Times New Roman"/>
          <w:color w:val="000000"/>
          <w:kern w:val="0"/>
          <w:sz w:val="32"/>
          <w:szCs w:val="32"/>
          <w:highlight w:val="none"/>
          <w:shd w:val="clear" w:color="auto" w:fill="FFFFFF"/>
          <w:lang w:eastAsia="zh-CN"/>
        </w:rPr>
        <w:t>部门</w:t>
      </w:r>
      <w:r>
        <w:rPr>
          <w:rFonts w:ascii="Times New Roman" w:hAnsi="Times New Roman" w:eastAsia="黑体" w:cs="Times New Roman"/>
          <w:color w:val="000000"/>
          <w:kern w:val="0"/>
          <w:sz w:val="32"/>
          <w:szCs w:val="32"/>
          <w:highlight w:val="none"/>
          <w:shd w:val="clear" w:color="auto" w:fill="FFFFFF"/>
        </w:rPr>
        <w:t>资金收支情况</w:t>
      </w:r>
    </w:p>
    <w:p w14:paraId="49E4B75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ascii="Times New Roman" w:hAnsi="Times New Roman" w:eastAsia="楷体_GB2312" w:cs="Times New Roman"/>
          <w:b/>
          <w:bCs/>
          <w:color w:val="000000"/>
          <w:kern w:val="0"/>
          <w:sz w:val="32"/>
          <w:szCs w:val="32"/>
          <w:highlight w:val="none"/>
          <w:shd w:val="clear" w:color="auto" w:fill="FFFFFF"/>
          <w:lang w:val="zh-CN"/>
        </w:rPr>
        <w:t>。</w:t>
      </w:r>
    </w:p>
    <w:p w14:paraId="02A7D2A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2024年度收入总计991.49万元。与2023年相比，收入总计减少345.02万元，减少25.8%。</w:t>
      </w:r>
      <w:bookmarkStart w:id="57" w:name="_Toc26843610"/>
      <w:bookmarkStart w:id="58" w:name="_Toc18400"/>
      <w:r>
        <w:rPr>
          <w:rFonts w:hint="eastAsia" w:ascii="仿宋" w:eastAsia="仿宋" w:cs="仿宋"/>
          <w:sz w:val="32"/>
          <w:szCs w:val="32"/>
          <w:lang w:val="en-US" w:eastAsia="zh-CN"/>
        </w:rPr>
        <w:t>降低的主要原因是2024年人员工资变动以及项目减少。其中：一般公共预算财政拨款收入991.49万元，占100%政府性基金预算财政拨款收入0万元，占0%；国有资本经营预算财政拨款收入0万元，占0%；上级补助收入0万元，占0%；事业收入0万元，占0%；经营收入0万元，占0%；附属单位上缴收入0万元，占0%；其他收入0万元，占0%。</w:t>
      </w:r>
      <w:bookmarkEnd w:id="57"/>
      <w:r>
        <w:rPr>
          <w:rFonts w:hint="eastAsia" w:ascii="仿宋" w:eastAsia="仿宋" w:cs="仿宋"/>
          <w:sz w:val="32"/>
          <w:szCs w:val="32"/>
          <w:lang w:val="en-US" w:eastAsia="zh-CN"/>
        </w:rPr>
        <w:t>本年度财政应返还额度0万元。</w:t>
      </w:r>
      <w:bookmarkEnd w:id="58"/>
    </w:p>
    <w:p w14:paraId="3B2B147A">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支出情况</w:t>
      </w:r>
      <w:r>
        <w:rPr>
          <w:rFonts w:ascii="Times New Roman" w:hAnsi="Times New Roman" w:eastAsia="楷体_GB2312" w:cs="Times New Roman"/>
          <w:b/>
          <w:bCs/>
          <w:color w:val="000000"/>
          <w:kern w:val="0"/>
          <w:sz w:val="32"/>
          <w:szCs w:val="32"/>
          <w:highlight w:val="none"/>
          <w:shd w:val="clear" w:color="auto" w:fill="FFFFFF"/>
          <w:lang w:val="zh-CN"/>
        </w:rPr>
        <w:t>。</w:t>
      </w:r>
    </w:p>
    <w:p w14:paraId="1D84E840">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2024</w:t>
      </w:r>
      <w:r>
        <w:rPr>
          <w:rFonts w:ascii="仿宋" w:eastAsia="仿宋" w:cs="仿宋"/>
          <w:sz w:val="32"/>
          <w:szCs w:val="32"/>
          <w:lang w:val="en-US" w:eastAsia="zh-CN"/>
        </w:rPr>
        <w:t>年一般公共预算财政拨款支出</w:t>
      </w:r>
      <w:r>
        <w:rPr>
          <w:rFonts w:hint="eastAsia" w:ascii="仿宋" w:eastAsia="仿宋" w:cs="仿宋"/>
          <w:sz w:val="32"/>
          <w:szCs w:val="32"/>
          <w:lang w:val="en-US" w:eastAsia="zh-CN"/>
        </w:rPr>
        <w:t>991.49</w:t>
      </w:r>
      <w:r>
        <w:rPr>
          <w:rFonts w:ascii="仿宋" w:eastAsia="仿宋" w:cs="仿宋"/>
          <w:sz w:val="32"/>
          <w:szCs w:val="32"/>
          <w:lang w:val="en-US" w:eastAsia="zh-CN"/>
        </w:rPr>
        <w:t>万元，占本年支出合计的100%。</w:t>
      </w:r>
      <w:r>
        <w:rPr>
          <w:rFonts w:hint="eastAsia" w:ascii="仿宋" w:eastAsia="仿宋" w:cs="仿宋"/>
          <w:sz w:val="32"/>
          <w:szCs w:val="32"/>
          <w:lang w:val="en-US" w:eastAsia="zh-CN"/>
        </w:rPr>
        <w:t>与2023年相比，收入总计减少345.02万元，减少25.8%。降低的主要原因是2024年人员工资变动以及项目减少。</w:t>
      </w:r>
    </w:p>
    <w:p w14:paraId="6D096BA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其中：基本支出708.49万元，基本支出中人员经费支出为675.24万元，主要包括：基本工资118.46万元、津贴补贴145.66万元、奖金172.23万元、绩效工资33.63万元、机关事业单位基本养老保险缴费60.04万元、职业年金缴费30.03万元、住房公积金52.74万元、职工基本医疗保险缴费32.34万元、公务员医疗补助5.22万元、生活补助24.89万元。</w:t>
      </w:r>
    </w:p>
    <w:p w14:paraId="66A0F4D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en-US" w:eastAsia="zh-CN"/>
        </w:rPr>
      </w:pPr>
      <w:r>
        <w:rPr>
          <w:rFonts w:hint="eastAsia" w:ascii="仿宋" w:eastAsia="仿宋" w:cs="仿宋"/>
          <w:sz w:val="32"/>
          <w:szCs w:val="32"/>
          <w:lang w:val="en-US" w:eastAsia="zh-CN"/>
        </w:rPr>
        <w:t>公用经费支出为33.25万元，主要包括：办公费12万元、印刷费0万元、电费2.5万元、邮电费2.3万元、差旅费5万元、劳务费3.6万元、福利费1.2万元、其他交通1万元、手续费0.05万元，公务用车运行维护费5.6万元。</w:t>
      </w:r>
    </w:p>
    <w:p w14:paraId="0BC1645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en-US" w:eastAsia="zh-CN"/>
        </w:rPr>
      </w:pPr>
      <w:r>
        <w:rPr>
          <w:rFonts w:hint="eastAsia" w:ascii="仿宋" w:eastAsia="仿宋" w:cs="仿宋"/>
          <w:sz w:val="32"/>
          <w:szCs w:val="32"/>
          <w:lang w:val="en-US" w:eastAsia="zh-CN"/>
        </w:rPr>
        <w:t>项目支出为283.05万元，主要包括：金川县庆宁庆宁乡巩固脱贫攻坚成果衔接乡村振兴项目116.16万元、金川县庆宁乡国有企业退休人员社会化管理补助支出0.05万元、节能环保支出5万元、死亡抚恤31.26万元、环境整治10万元、村级运维费、村干部生活补助、保险、三老干部生活补助120.58万元。</w:t>
      </w:r>
    </w:p>
    <w:p w14:paraId="2F496C22">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Times New Roman" w:hAnsi="Times New Roman" w:eastAsia="楷体_GB2312" w:cs="Times New Roman"/>
          <w:b/>
          <w:sz w:val="32"/>
          <w:szCs w:val="32"/>
          <w:lang w:eastAsia="zh-CN"/>
        </w:rPr>
      </w:pPr>
      <w:r>
        <w:rPr>
          <w:rFonts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p>
    <w:p w14:paraId="61CFDF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zh-CN" w:eastAsia="zh-CN"/>
        </w:rPr>
      </w:pPr>
      <w:r>
        <w:rPr>
          <w:rFonts w:hint="eastAsia" w:ascii="仿宋" w:eastAsia="仿宋" w:cs="仿宋"/>
          <w:sz w:val="32"/>
          <w:szCs w:val="32"/>
          <w:lang w:val="en-US" w:eastAsia="zh-CN"/>
        </w:rPr>
        <w:t>本单位2024年决算报表无</w:t>
      </w:r>
      <w:r>
        <w:rPr>
          <w:rFonts w:ascii="仿宋" w:eastAsia="仿宋" w:cs="仿宋"/>
          <w:sz w:val="32"/>
          <w:szCs w:val="32"/>
          <w:lang w:val="en-US" w:eastAsia="zh-CN"/>
        </w:rPr>
        <w:t>结转结余</w:t>
      </w:r>
      <w:r>
        <w:rPr>
          <w:rFonts w:hint="eastAsia" w:ascii="仿宋" w:eastAsia="仿宋" w:cs="仿宋"/>
          <w:sz w:val="32"/>
          <w:szCs w:val="32"/>
          <w:lang w:val="en-US" w:eastAsia="zh-CN"/>
        </w:rPr>
        <w:t>情况</w:t>
      </w:r>
      <w:r>
        <w:rPr>
          <w:rFonts w:ascii="仿宋" w:eastAsia="仿宋" w:cs="仿宋"/>
          <w:sz w:val="32"/>
          <w:szCs w:val="32"/>
          <w:lang w:val="en-US" w:eastAsia="zh-CN"/>
        </w:rPr>
        <w:t>。</w:t>
      </w:r>
    </w:p>
    <w:p w14:paraId="2355215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auto"/>
          <w:kern w:val="0"/>
          <w:sz w:val="32"/>
          <w:szCs w:val="32"/>
          <w:highlight w:val="none"/>
          <w:shd w:val="clear" w:color="auto" w:fill="FFFFFF"/>
        </w:rPr>
        <w:t>三</w:t>
      </w:r>
      <w:r>
        <w:rPr>
          <w:rFonts w:ascii="Times New Roman" w:hAnsi="Times New Roman" w:eastAsia="黑体" w:cs="Times New Roman"/>
          <w:color w:val="000000"/>
          <w:kern w:val="0"/>
          <w:sz w:val="32"/>
          <w:szCs w:val="32"/>
          <w:highlight w:val="none"/>
          <w:shd w:val="clear" w:color="auto" w:fill="FFFFFF"/>
        </w:rPr>
        <w:t>、</w:t>
      </w:r>
      <w:r>
        <w:rPr>
          <w:rFonts w:ascii="Times New Roman" w:hAnsi="Times New Roman" w:eastAsia="黑体" w:cs="Times New Roman"/>
          <w:color w:val="000000"/>
          <w:kern w:val="0"/>
          <w:sz w:val="32"/>
          <w:szCs w:val="32"/>
          <w:highlight w:val="none"/>
          <w:u w:val="none"/>
          <w:shd w:val="clear" w:color="auto" w:fill="FFFFFF"/>
        </w:rPr>
        <w:t>部门</w:t>
      </w:r>
      <w:r>
        <w:rPr>
          <w:rFonts w:ascii="Times New Roman" w:hAnsi="Times New Roman" w:eastAsia="黑体" w:cs="Times New Roman"/>
          <w:color w:val="000000"/>
          <w:kern w:val="0"/>
          <w:sz w:val="32"/>
          <w:szCs w:val="32"/>
          <w:highlight w:val="none"/>
          <w:u w:val="none"/>
          <w:shd w:val="clear" w:color="auto" w:fill="FFFFFF"/>
          <w:lang w:eastAsia="zh-CN"/>
        </w:rPr>
        <w:t>预算</w:t>
      </w:r>
      <w:r>
        <w:rPr>
          <w:rFonts w:ascii="Times New Roman" w:hAnsi="Times New Roman" w:eastAsia="黑体" w:cs="Times New Roman"/>
          <w:color w:val="000000"/>
          <w:kern w:val="0"/>
          <w:sz w:val="32"/>
          <w:szCs w:val="32"/>
          <w:highlight w:val="none"/>
          <w:u w:val="none"/>
          <w:shd w:val="clear" w:color="auto" w:fill="FFFFFF"/>
        </w:rPr>
        <w:t>绩效</w:t>
      </w:r>
      <w:r>
        <w:rPr>
          <w:rFonts w:ascii="Times New Roman" w:hAnsi="Times New Roman" w:eastAsia="黑体" w:cs="Times New Roman"/>
          <w:color w:val="000000"/>
          <w:kern w:val="0"/>
          <w:sz w:val="32"/>
          <w:szCs w:val="32"/>
          <w:highlight w:val="none"/>
          <w:u w:val="none"/>
          <w:shd w:val="clear" w:color="auto" w:fill="FFFFFF"/>
          <w:lang w:eastAsia="zh-CN"/>
        </w:rPr>
        <w:t>分析</w:t>
      </w:r>
    </w:p>
    <w:p w14:paraId="4DEEB288">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部门预算</w:t>
      </w:r>
      <w:r>
        <w:rPr>
          <w:rFonts w:ascii="Times New Roman" w:hAnsi="Times New Roman" w:eastAsia="楷体_GB2312" w:cs="Times New Roman"/>
          <w:b/>
          <w:bCs/>
          <w:color w:val="000000"/>
          <w:kern w:val="0"/>
          <w:sz w:val="32"/>
          <w:szCs w:val="32"/>
          <w:highlight w:val="none"/>
          <w:shd w:val="clear" w:color="auto" w:fill="FFFFFF"/>
          <w:lang w:val="zh-CN"/>
        </w:rPr>
        <w:t>总体绩效分析。</w:t>
      </w:r>
    </w:p>
    <w:p w14:paraId="3E76F28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zh-CN" w:eastAsia="zh-CN"/>
        </w:rPr>
      </w:pPr>
      <w:r>
        <w:rPr>
          <w:rFonts w:hint="eastAsia" w:ascii="仿宋" w:eastAsia="仿宋" w:cs="仿宋"/>
          <w:sz w:val="32"/>
          <w:szCs w:val="32"/>
          <w:lang w:val="zh-CN" w:eastAsia="zh-CN"/>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00A9974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1.</w:t>
      </w:r>
      <w:r>
        <w:rPr>
          <w:rFonts w:hint="eastAsia" w:ascii="楷体_GB2312" w:eastAsia="楷体_GB2312" w:cs="楷体_GB2312"/>
          <w:color w:val="000000"/>
          <w:kern w:val="0"/>
          <w:sz w:val="32"/>
          <w:szCs w:val="32"/>
          <w:highlight w:val="none"/>
          <w:shd w:val="clear" w:color="auto" w:fill="FFFFFF"/>
          <w:lang w:val="zh-CN"/>
        </w:rPr>
        <w:t>履职效能。</w:t>
      </w:r>
    </w:p>
    <w:p w14:paraId="17D2CC0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数量指标履职效果</w:t>
      </w:r>
      <w:r>
        <w:rPr>
          <w:rFonts w:hint="eastAsia" w:ascii="仿宋" w:eastAsia="仿宋" w:cs="仿宋"/>
          <w:sz w:val="32"/>
          <w:szCs w:val="32"/>
          <w:lang w:val="en-US" w:eastAsia="zh-CN"/>
        </w:rPr>
        <w:t>:严格控制数量确保无遗漏无浪费，厉行节约</w:t>
      </w:r>
      <w:r>
        <w:rPr>
          <w:rFonts w:hint="eastAsia" w:ascii="仿宋" w:eastAsia="仿宋" w:cs="仿宋"/>
          <w:sz w:val="32"/>
          <w:szCs w:val="32"/>
          <w:lang w:val="zh-CN" w:eastAsia="zh-CN"/>
        </w:rPr>
        <w:t>。</w:t>
      </w:r>
    </w:p>
    <w:p w14:paraId="15DA1C5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zh-CN" w:eastAsia="zh-CN"/>
        </w:rPr>
        <w:t>质量指标履职效果：</w:t>
      </w:r>
      <w:r>
        <w:rPr>
          <w:rFonts w:hint="eastAsia" w:ascii="仿宋" w:eastAsia="仿宋" w:cs="仿宋"/>
          <w:sz w:val="32"/>
          <w:szCs w:val="32"/>
          <w:lang w:val="en-US" w:eastAsia="zh-CN"/>
        </w:rPr>
        <w:t>严格把控质量关，确保与采购文件相匹配。</w:t>
      </w:r>
    </w:p>
    <w:p w14:paraId="143DB3F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社会效益指标履职效果：确保每一项采购项目都能实现单位职能，提高社会效益，促进社会发展。</w:t>
      </w:r>
    </w:p>
    <w:p w14:paraId="63C0002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ascii="仿宋" w:eastAsia="仿宋" w:cs="仿宋"/>
          <w:sz w:val="32"/>
          <w:szCs w:val="32"/>
          <w:lang w:val="en-US" w:eastAsia="zh-CN"/>
        </w:rPr>
        <w:t>服务对象满意度</w:t>
      </w:r>
      <w:r>
        <w:rPr>
          <w:rFonts w:hint="eastAsia" w:ascii="仿宋" w:eastAsia="仿宋" w:cs="仿宋"/>
          <w:sz w:val="32"/>
          <w:szCs w:val="32"/>
          <w:lang w:val="en-US" w:eastAsia="zh-CN"/>
        </w:rPr>
        <w:t>指标</w:t>
      </w:r>
      <w:r>
        <w:rPr>
          <w:rFonts w:ascii="仿宋" w:eastAsia="仿宋" w:cs="仿宋"/>
          <w:sz w:val="32"/>
          <w:szCs w:val="32"/>
          <w:lang w:val="en-US" w:eastAsia="zh-CN"/>
        </w:rPr>
        <w:t>履职效果</w:t>
      </w:r>
      <w:r>
        <w:rPr>
          <w:rFonts w:hint="eastAsia" w:ascii="仿宋" w:eastAsia="仿宋" w:cs="仿宋"/>
          <w:sz w:val="32"/>
          <w:szCs w:val="32"/>
          <w:lang w:val="en-US" w:eastAsia="zh-CN"/>
        </w:rPr>
        <w:t>：以高质量、高标准、高要求实施采购项目，确保受益对象满意度。</w:t>
      </w:r>
    </w:p>
    <w:p w14:paraId="0BE43FE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en-US" w:eastAsia="zh-CN"/>
        </w:rPr>
      </w:pPr>
      <w:r>
        <w:rPr>
          <w:rFonts w:ascii="仿宋" w:eastAsia="仿宋" w:cs="仿宋"/>
          <w:sz w:val="32"/>
          <w:szCs w:val="32"/>
          <w:lang w:val="en-US" w:eastAsia="zh-CN"/>
        </w:rPr>
        <w:t>经济成本指标履职效果</w:t>
      </w:r>
      <w:r>
        <w:rPr>
          <w:rFonts w:hint="eastAsia" w:ascii="仿宋" w:eastAsia="仿宋" w:cs="仿宋"/>
          <w:sz w:val="32"/>
          <w:szCs w:val="32"/>
          <w:lang w:val="en-US" w:eastAsia="zh-CN"/>
        </w:rPr>
        <w:t>：经过专业评估，以合理的经济成本实现项目价值。</w:t>
      </w:r>
    </w:p>
    <w:p w14:paraId="472A5F19">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2.</w:t>
      </w:r>
      <w:r>
        <w:rPr>
          <w:rFonts w:ascii="楷体_GB2312" w:eastAsia="楷体_GB2312" w:cs="楷体_GB2312"/>
          <w:color w:val="000000"/>
          <w:kern w:val="0"/>
          <w:sz w:val="32"/>
          <w:szCs w:val="32"/>
          <w:highlight w:val="none"/>
          <w:shd w:val="clear" w:color="auto" w:fill="FFFFFF"/>
          <w:lang w:val="zh-CN"/>
        </w:rPr>
        <w:t>预算管理</w:t>
      </w:r>
      <w:r>
        <w:rPr>
          <w:rFonts w:hint="eastAsia" w:ascii="楷体_GB2312" w:eastAsia="楷体_GB2312" w:cs="楷体_GB2312"/>
          <w:color w:val="000000"/>
          <w:kern w:val="0"/>
          <w:sz w:val="32"/>
          <w:szCs w:val="32"/>
          <w:highlight w:val="none"/>
          <w:shd w:val="clear" w:color="auto" w:fill="FFFFFF"/>
          <w:lang w:val="zh-CN"/>
        </w:rPr>
        <w:t>。</w:t>
      </w:r>
    </w:p>
    <w:p w14:paraId="65C7CF90">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rPr>
      </w:pPr>
      <w:r>
        <w:rPr>
          <w:rFonts w:hint="eastAsia" w:ascii="仿宋" w:eastAsia="仿宋" w:cs="仿宋_GB2312"/>
          <w:color w:val="000000"/>
          <w:sz w:val="32"/>
          <w:szCs w:val="32"/>
          <w:lang w:val="zh-CN" w:eastAsia="zh-CN"/>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hint="eastAsia" w:ascii="仿宋" w:eastAsia="仿宋" w:cs="仿宋_GB2312"/>
          <w:color w:val="000000"/>
          <w:sz w:val="32"/>
          <w:szCs w:val="32"/>
          <w:lang w:val="en-US" w:eastAsia="zh-CN"/>
        </w:rPr>
        <w:t>4</w:t>
      </w:r>
      <w:r>
        <w:rPr>
          <w:rFonts w:hint="eastAsia" w:ascii="仿宋" w:eastAsia="仿宋" w:cs="仿宋_GB2312"/>
          <w:color w:val="000000"/>
          <w:sz w:val="32"/>
          <w:szCs w:val="32"/>
          <w:lang w:val="zh-CN" w:eastAsia="zh-CN"/>
        </w:rPr>
        <w:t>年预算编制工作，及时提交了部门预算草案。</w:t>
      </w:r>
    </w:p>
    <w:p w14:paraId="4C9C6208">
      <w:pPr>
        <w:pageBreakBefore w:val="0"/>
        <w:widowControl/>
        <w:numPr>
          <w:ilvl w:val="0"/>
          <w:numId w:val="6"/>
        </w:numPr>
        <w:kinsoku/>
        <w:wordWrap/>
        <w:overflowPunct/>
        <w:topLinePunct w:val="0"/>
        <w:bidi w:val="0"/>
        <w:adjustRightInd w:val="0"/>
        <w:snapToGrid w:val="0"/>
        <w:spacing w:line="576" w:lineRule="exact"/>
        <w:ind w:left="0" w:firstLine="640" w:firstLineChars="200"/>
        <w:contextualSpacing/>
        <w:jc w:val="left"/>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财务管理</w:t>
      </w:r>
      <w:r>
        <w:rPr>
          <w:rFonts w:hint="eastAsia" w:ascii="楷体_GB2312" w:eastAsia="楷体_GB2312" w:cs="楷体_GB2312"/>
          <w:color w:val="000000"/>
          <w:kern w:val="0"/>
          <w:sz w:val="32"/>
          <w:szCs w:val="32"/>
          <w:highlight w:val="none"/>
          <w:shd w:val="clear" w:color="auto" w:fill="FFFFFF"/>
          <w:lang w:val="zh-CN"/>
        </w:rPr>
        <w:t>。</w:t>
      </w:r>
    </w:p>
    <w:p w14:paraId="388C80B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14:paraId="6E714192">
      <w:pPr>
        <w:numPr>
          <w:ilvl w:val="0"/>
          <w:numId w:val="6"/>
        </w:numPr>
        <w:spacing w:before="0" w:after="0"/>
        <w:ind w:left="0" w:firstLine="640" w:firstLineChars="200"/>
        <w:jc w:val="both"/>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资产管理</w:t>
      </w:r>
      <w:r>
        <w:rPr>
          <w:rFonts w:hint="eastAsia" w:ascii="楷体_GB2312" w:eastAsia="楷体_GB2312" w:cs="楷体_GB2312"/>
          <w:color w:val="000000"/>
          <w:kern w:val="0"/>
          <w:sz w:val="32"/>
          <w:szCs w:val="32"/>
          <w:highlight w:val="none"/>
          <w:shd w:val="clear" w:color="auto" w:fill="FFFFFF"/>
          <w:lang w:val="zh-CN"/>
        </w:rPr>
        <w:t>。</w:t>
      </w:r>
    </w:p>
    <w:p w14:paraId="78594ECF">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en-US" w:eastAsia="zh-CN"/>
        </w:rPr>
      </w:pPr>
      <w:r>
        <w:rPr>
          <w:rFonts w:hint="eastAsia" w:ascii="仿宋" w:eastAsia="仿宋" w:cs="仿宋_GB2312"/>
          <w:color w:val="000000"/>
          <w:sz w:val="32"/>
          <w:szCs w:val="32"/>
          <w:lang w:val="zh-CN" w:eastAsia="zh-CN"/>
        </w:rPr>
        <w:t>我乡2024年所有国有资产纳入资产管理系统，及时准确上报并做好资产的管理工作，</w:t>
      </w:r>
      <w:r>
        <w:rPr>
          <w:rFonts w:hint="eastAsia" w:ascii="仿宋" w:eastAsia="仿宋" w:cs="仿宋_GB2312"/>
          <w:color w:val="000000"/>
          <w:sz w:val="32"/>
          <w:szCs w:val="32"/>
          <w:lang w:val="en-US" w:eastAsia="zh-CN"/>
        </w:rPr>
        <w:t>无闲置资产。</w:t>
      </w:r>
    </w:p>
    <w:p w14:paraId="4D886CF9">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采购管理</w:t>
      </w:r>
      <w:r>
        <w:rPr>
          <w:rFonts w:hint="eastAsia" w:ascii="楷体_GB2312" w:eastAsia="楷体_GB2312" w:cs="楷体_GB2312"/>
          <w:color w:val="000000"/>
          <w:kern w:val="0"/>
          <w:sz w:val="32"/>
          <w:szCs w:val="32"/>
          <w:highlight w:val="none"/>
          <w:shd w:val="clear" w:color="auto" w:fill="FFFFFF"/>
          <w:lang w:val="zh-CN"/>
        </w:rPr>
        <w:t>。</w:t>
      </w:r>
    </w:p>
    <w:p w14:paraId="51D6378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为保障单位正常运转，实现机构只能，根据实际需求按照程序实施政府采购</w:t>
      </w:r>
      <w:r>
        <w:rPr>
          <w:rFonts w:hint="eastAsia" w:ascii="仿宋" w:eastAsia="仿宋" w:cs="仿宋_GB2312"/>
          <w:color w:val="000000"/>
          <w:sz w:val="32"/>
          <w:szCs w:val="32"/>
          <w:lang w:val="zh-CN" w:eastAsia="zh-CN"/>
        </w:rPr>
        <w:t>、采购</w:t>
      </w:r>
      <w:r>
        <w:rPr>
          <w:rFonts w:hint="eastAsia" w:ascii="仿宋" w:eastAsia="仿宋" w:cs="仿宋_GB2312"/>
          <w:color w:val="000000"/>
          <w:sz w:val="32"/>
          <w:szCs w:val="32"/>
          <w:lang w:val="en-US" w:eastAsia="zh-CN"/>
        </w:rPr>
        <w:t>项目</w:t>
      </w:r>
      <w:r>
        <w:rPr>
          <w:rFonts w:hint="eastAsia" w:ascii="仿宋" w:eastAsia="仿宋" w:cs="仿宋_GB2312"/>
          <w:color w:val="000000"/>
          <w:sz w:val="32"/>
          <w:szCs w:val="32"/>
          <w:lang w:val="zh-CN" w:eastAsia="zh-CN"/>
        </w:rPr>
        <w:t>执行率</w:t>
      </w:r>
      <w:r>
        <w:rPr>
          <w:rFonts w:hint="eastAsia" w:ascii="仿宋" w:eastAsia="仿宋" w:cs="仿宋_GB2312"/>
          <w:color w:val="000000"/>
          <w:sz w:val="32"/>
          <w:szCs w:val="32"/>
          <w:lang w:val="en-US" w:eastAsia="zh-CN"/>
        </w:rPr>
        <w:t>达100%，采购结果与预期目标相匹配，通过科学合理的评价方法和标准，提高采购质量和效益</w:t>
      </w:r>
      <w:r>
        <w:rPr>
          <w:rFonts w:hint="eastAsia" w:ascii="仿宋" w:eastAsia="仿宋" w:cs="仿宋_GB2312"/>
          <w:color w:val="000000"/>
          <w:sz w:val="32"/>
          <w:szCs w:val="32"/>
          <w:lang w:val="zh-CN" w:eastAsia="zh-CN"/>
        </w:rPr>
        <w:t>。</w:t>
      </w:r>
    </w:p>
    <w:p w14:paraId="7146402D">
      <w:pPr>
        <w:keepNext w:val="0"/>
        <w:keepLines w:val="0"/>
        <w:pageBreakBefore w:val="0"/>
        <w:widowControl/>
        <w:wordWrap w:val="0"/>
        <w:topLinePunct/>
        <w:bidi w:val="0"/>
        <w:adjustRightInd w:val="0"/>
        <w:snapToGrid w:val="0"/>
        <w:spacing w:line="600" w:lineRule="exact"/>
        <w:ind w:firstLine="643" w:firstLineChars="200"/>
        <w:jc w:val="left"/>
        <w:textAlignment w:val="auto"/>
        <w:rPr>
          <w:rFonts w:ascii="仿宋" w:eastAsia="仿宋" w:cs="仿宋_GB2312"/>
          <w:color w:val="000000"/>
          <w:sz w:val="32"/>
          <w:szCs w:val="32"/>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 w:eastAsia="仿宋" w:cs="仿宋_GB2312"/>
          <w:color w:val="000000"/>
          <w:sz w:val="32"/>
          <w:szCs w:val="32"/>
          <w:lang w:val="zh-CN" w:eastAsia="zh-CN"/>
        </w:rPr>
        <w:t>填报以下数据，并</w:t>
      </w:r>
      <w:r>
        <w:rPr>
          <w:rFonts w:ascii="仿宋" w:eastAsia="仿宋" w:cs="仿宋_GB2312"/>
          <w:color w:val="000000"/>
          <w:sz w:val="32"/>
          <w:szCs w:val="32"/>
          <w:lang w:val="zh-CN" w:eastAsia="zh-CN"/>
        </w:rPr>
        <w:t>根据部门预算绩效评价指标体系“项目绩效”涉及</w:t>
      </w:r>
      <w:r>
        <w:rPr>
          <w:rFonts w:hint="eastAsia" w:ascii="仿宋" w:eastAsia="仿宋" w:cs="仿宋_GB2312"/>
          <w:color w:val="000000"/>
          <w:sz w:val="32"/>
          <w:szCs w:val="32"/>
          <w:lang w:val="zh-CN" w:eastAsia="zh-CN"/>
        </w:rPr>
        <w:t>二、三级</w:t>
      </w:r>
      <w:r>
        <w:rPr>
          <w:rFonts w:ascii="仿宋" w:eastAsia="仿宋" w:cs="仿宋_GB2312"/>
          <w:color w:val="000000"/>
          <w:sz w:val="32"/>
          <w:szCs w:val="32"/>
          <w:lang w:val="zh-CN" w:eastAsia="zh-CN"/>
        </w:rPr>
        <w:t>指标进行</w:t>
      </w:r>
      <w:r>
        <w:rPr>
          <w:rFonts w:hint="eastAsia" w:ascii="仿宋" w:eastAsia="仿宋" w:cs="仿宋_GB2312"/>
          <w:color w:val="000000"/>
          <w:sz w:val="32"/>
          <w:szCs w:val="32"/>
          <w:lang w:val="zh-CN" w:eastAsia="zh-CN"/>
        </w:rPr>
        <w:t>逐项</w:t>
      </w:r>
      <w:r>
        <w:rPr>
          <w:rFonts w:ascii="仿宋" w:eastAsia="仿宋" w:cs="仿宋_GB2312"/>
          <w:color w:val="000000"/>
          <w:sz w:val="32"/>
          <w:szCs w:val="32"/>
          <w:lang w:val="zh-CN" w:eastAsia="zh-CN"/>
        </w:rPr>
        <w:t>绩效分析</w:t>
      </w:r>
      <w:r>
        <w:rPr>
          <w:rFonts w:hint="eastAsia" w:ascii="仿宋" w:eastAsia="仿宋" w:cs="仿宋_GB2312"/>
          <w:color w:val="000000"/>
          <w:sz w:val="32"/>
          <w:szCs w:val="32"/>
          <w:lang w:val="zh-CN" w:eastAsia="zh-CN"/>
        </w:rPr>
        <w:t>并评分</w:t>
      </w:r>
      <w:r>
        <w:rPr>
          <w:rFonts w:ascii="仿宋" w:eastAsia="仿宋" w:cs="仿宋_GB2312"/>
          <w:color w:val="000000"/>
          <w:sz w:val="32"/>
          <w:szCs w:val="32"/>
          <w:lang w:val="zh-CN" w:eastAsia="zh-CN"/>
        </w:rPr>
        <w:t>，依次包括项目</w:t>
      </w:r>
      <w:r>
        <w:rPr>
          <w:rFonts w:ascii="仿宋" w:eastAsia="仿宋" w:cs="仿宋_GB2312"/>
          <w:color w:val="000000"/>
          <w:sz w:val="32"/>
          <w:szCs w:val="32"/>
          <w:lang w:val="en-US" w:eastAsia="zh-CN"/>
        </w:rPr>
        <w:t>决策、项目执行、目标实现等情况</w:t>
      </w:r>
      <w:r>
        <w:rPr>
          <w:rFonts w:hint="eastAsia" w:ascii="仿宋" w:eastAsia="仿宋" w:cs="仿宋_GB2312"/>
          <w:color w:val="000000"/>
          <w:sz w:val="32"/>
          <w:szCs w:val="32"/>
          <w:lang w:val="en-US" w:eastAsia="zh-CN"/>
        </w:rPr>
        <w:t>。</w:t>
      </w:r>
    </w:p>
    <w:p w14:paraId="6C5B129A">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zh-CN" w:eastAsia="zh-CN"/>
        </w:rPr>
      </w:pPr>
      <w:r>
        <w:rPr>
          <w:rFonts w:ascii="仿宋" w:eastAsia="仿宋" w:cs="仿宋_GB2312"/>
          <w:color w:val="000000"/>
          <w:sz w:val="32"/>
          <w:szCs w:val="32"/>
          <w:lang w:val="en-US" w:eastAsia="zh-CN"/>
        </w:rPr>
        <w:t>常年项目绩效分析。</w:t>
      </w:r>
      <w:r>
        <w:rPr>
          <w:rFonts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95</w:t>
      </w:r>
      <w:r>
        <w:rPr>
          <w:rFonts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1000.1</w:t>
      </w:r>
      <w:r>
        <w:rPr>
          <w:rFonts w:ascii="仿宋" w:eastAsia="仿宋" w:cs="仿宋_GB2312"/>
          <w:color w:val="000000"/>
          <w:sz w:val="32"/>
          <w:szCs w:val="32"/>
          <w:lang w:val="zh-CN" w:eastAsia="zh-CN"/>
        </w:rPr>
        <w:t>万元，1</w:t>
      </w:r>
      <w:r>
        <w:rPr>
          <w:rFonts w:hint="eastAsia" w:ascii="仿宋" w:eastAsia="仿宋" w:cs="仿宋_GB2312"/>
          <w:color w:val="000000"/>
          <w:sz w:val="32"/>
          <w:szCs w:val="32"/>
          <w:lang w:val="zh-CN" w:eastAsia="zh-CN"/>
        </w:rPr>
        <w:t>—</w:t>
      </w:r>
      <w:r>
        <w:rPr>
          <w:rFonts w:ascii="仿宋" w:eastAsia="仿宋" w:cs="仿宋_GB2312"/>
          <w:color w:val="000000"/>
          <w:sz w:val="32"/>
          <w:szCs w:val="32"/>
          <w:lang w:val="zh-CN" w:eastAsia="zh-CN"/>
        </w:rPr>
        <w:t>1</w:t>
      </w:r>
      <w:r>
        <w:rPr>
          <w:rFonts w:ascii="仿宋" w:eastAsia="仿宋" w:cs="仿宋_GB2312"/>
          <w:color w:val="000000"/>
          <w:sz w:val="32"/>
          <w:szCs w:val="32"/>
          <w:lang w:val="en-US" w:eastAsia="zh-CN"/>
        </w:rPr>
        <w:t>2</w:t>
      </w:r>
      <w:r>
        <w:rPr>
          <w:rFonts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100</w:t>
      </w:r>
      <w:r>
        <w:rPr>
          <w:rFonts w:ascii="仿宋" w:eastAsia="仿宋" w:cs="仿宋_GB2312"/>
          <w:color w:val="000000"/>
          <w:sz w:val="32"/>
          <w:szCs w:val="32"/>
          <w:lang w:val="zh-CN" w:eastAsia="zh-CN"/>
        </w:rPr>
        <w:t>%，其中：预算结余率大于</w:t>
      </w:r>
      <w:r>
        <w:rPr>
          <w:rFonts w:ascii="仿宋" w:eastAsia="仿宋" w:cs="仿宋_GB2312"/>
          <w:color w:val="000000"/>
          <w:sz w:val="32"/>
          <w:szCs w:val="32"/>
          <w:lang w:val="en-US" w:eastAsia="zh-CN"/>
        </w:rPr>
        <w:t>10%</w:t>
      </w:r>
      <w:r>
        <w:rPr>
          <w:rFonts w:ascii="仿宋" w:eastAsia="仿宋" w:cs="仿宋_GB2312"/>
          <w:color w:val="000000"/>
          <w:sz w:val="32"/>
          <w:szCs w:val="32"/>
          <w:lang w:val="zh-CN" w:eastAsia="zh-CN"/>
        </w:rPr>
        <w:t>的项目共计</w:t>
      </w:r>
      <w:r>
        <w:rPr>
          <w:rFonts w:ascii="仿宋" w:eastAsia="仿宋" w:cs="仿宋_GB2312"/>
          <w:color w:val="000000"/>
          <w:sz w:val="32"/>
          <w:szCs w:val="32"/>
          <w:lang w:val="en-US" w:eastAsia="zh-CN"/>
        </w:rPr>
        <w:t xml:space="preserve"> </w:t>
      </w:r>
      <w:r>
        <w:rPr>
          <w:rFonts w:hint="eastAsia" w:ascii="仿宋" w:eastAsia="仿宋" w:cs="仿宋_GB2312"/>
          <w:color w:val="000000"/>
          <w:sz w:val="32"/>
          <w:szCs w:val="32"/>
          <w:lang w:val="en-US" w:eastAsia="zh-CN"/>
        </w:rPr>
        <w:t>0</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w:t>
      </w:r>
    </w:p>
    <w:p w14:paraId="48271EC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zh-CN" w:eastAsia="zh-CN"/>
        </w:rPr>
      </w:pPr>
      <w:r>
        <w:rPr>
          <w:rFonts w:ascii="仿宋" w:eastAsia="仿宋" w:cs="仿宋_GB2312"/>
          <w:color w:val="000000"/>
          <w:sz w:val="32"/>
          <w:szCs w:val="32"/>
          <w:lang w:val="en-US" w:eastAsia="zh-CN"/>
        </w:rPr>
        <w:t>阶段</w:t>
      </w:r>
      <w:r>
        <w:rPr>
          <w:rFonts w:hint="eastAsia" w:ascii="仿宋" w:eastAsia="仿宋" w:cs="仿宋_GB2312"/>
          <w:color w:val="000000"/>
          <w:sz w:val="32"/>
          <w:szCs w:val="32"/>
          <w:lang w:val="en-US" w:eastAsia="zh-CN"/>
        </w:rPr>
        <w:t>（</w:t>
      </w:r>
      <w:r>
        <w:rPr>
          <w:rFonts w:ascii="仿宋" w:eastAsia="仿宋" w:cs="仿宋_GB2312"/>
          <w:color w:val="000000"/>
          <w:sz w:val="32"/>
          <w:szCs w:val="32"/>
          <w:lang w:val="en-US" w:eastAsia="zh-CN"/>
        </w:rPr>
        <w:t>一次性</w:t>
      </w:r>
      <w:r>
        <w:rPr>
          <w:rFonts w:hint="eastAsia" w:ascii="仿宋" w:eastAsia="仿宋" w:cs="仿宋_GB2312"/>
          <w:color w:val="000000"/>
          <w:sz w:val="32"/>
          <w:szCs w:val="32"/>
          <w:lang w:val="en-US" w:eastAsia="zh-CN"/>
        </w:rPr>
        <w:t>）</w:t>
      </w:r>
      <w:r>
        <w:rPr>
          <w:rFonts w:ascii="仿宋" w:eastAsia="仿宋" w:cs="仿宋_GB2312"/>
          <w:color w:val="000000"/>
          <w:sz w:val="32"/>
          <w:szCs w:val="32"/>
          <w:lang w:val="en-US" w:eastAsia="zh-CN"/>
        </w:rPr>
        <w:t>项目绩效分析。</w:t>
      </w:r>
      <w:r>
        <w:rPr>
          <w:rFonts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3</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126.65</w:t>
      </w:r>
      <w:r>
        <w:rPr>
          <w:rFonts w:ascii="仿宋" w:eastAsia="仿宋" w:cs="仿宋_GB2312"/>
          <w:color w:val="000000"/>
          <w:sz w:val="32"/>
          <w:szCs w:val="32"/>
          <w:lang w:val="zh-CN" w:eastAsia="zh-CN"/>
        </w:rPr>
        <w:t>万元，1</w:t>
      </w:r>
      <w:r>
        <w:rPr>
          <w:rFonts w:hint="eastAsia" w:ascii="仿宋" w:eastAsia="仿宋" w:cs="仿宋_GB2312"/>
          <w:color w:val="000000"/>
          <w:sz w:val="32"/>
          <w:szCs w:val="32"/>
          <w:lang w:val="zh-CN" w:eastAsia="zh-CN"/>
        </w:rPr>
        <w:t>—</w:t>
      </w:r>
      <w:r>
        <w:rPr>
          <w:rFonts w:ascii="仿宋" w:eastAsia="仿宋" w:cs="仿宋_GB2312"/>
          <w:color w:val="000000"/>
          <w:sz w:val="32"/>
          <w:szCs w:val="32"/>
          <w:lang w:val="zh-CN" w:eastAsia="zh-CN"/>
        </w:rPr>
        <w:t>1</w:t>
      </w:r>
      <w:r>
        <w:rPr>
          <w:rFonts w:ascii="仿宋" w:eastAsia="仿宋" w:cs="仿宋_GB2312"/>
          <w:color w:val="000000"/>
          <w:sz w:val="32"/>
          <w:szCs w:val="32"/>
          <w:lang w:val="en-US" w:eastAsia="zh-CN"/>
        </w:rPr>
        <w:t>2</w:t>
      </w:r>
      <w:r>
        <w:rPr>
          <w:rFonts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100</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%，其中：预算结余率大于</w:t>
      </w:r>
      <w:r>
        <w:rPr>
          <w:rFonts w:ascii="仿宋" w:eastAsia="仿宋" w:cs="仿宋_GB2312"/>
          <w:color w:val="000000"/>
          <w:sz w:val="32"/>
          <w:szCs w:val="32"/>
          <w:lang w:val="en-US" w:eastAsia="zh-CN"/>
        </w:rPr>
        <w:t>10%</w:t>
      </w:r>
      <w:r>
        <w:rPr>
          <w:rFonts w:ascii="仿宋" w:eastAsia="仿宋" w:cs="仿宋_GB2312"/>
          <w:color w:val="000000"/>
          <w:sz w:val="32"/>
          <w:szCs w:val="32"/>
          <w:lang w:val="zh-CN" w:eastAsia="zh-CN"/>
        </w:rPr>
        <w:t>的项目共计</w:t>
      </w:r>
      <w:r>
        <w:rPr>
          <w:rFonts w:ascii="仿宋" w:eastAsia="仿宋" w:cs="仿宋_GB2312"/>
          <w:color w:val="000000"/>
          <w:sz w:val="32"/>
          <w:szCs w:val="32"/>
          <w:lang w:val="en-US" w:eastAsia="zh-CN"/>
        </w:rPr>
        <w:t xml:space="preserve"> </w:t>
      </w:r>
      <w:r>
        <w:rPr>
          <w:rFonts w:hint="eastAsia" w:ascii="仿宋" w:eastAsia="仿宋" w:cs="仿宋_GB2312"/>
          <w:color w:val="000000"/>
          <w:sz w:val="32"/>
          <w:szCs w:val="32"/>
          <w:lang w:val="en-US" w:eastAsia="zh-CN"/>
        </w:rPr>
        <w:t>0</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w:t>
      </w:r>
    </w:p>
    <w:p w14:paraId="0A4CA27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1.</w:t>
      </w:r>
      <w:r>
        <w:rPr>
          <w:rFonts w:hint="eastAsia" w:ascii="楷体_GB2312" w:eastAsia="楷体_GB2312" w:cs="楷体_GB2312"/>
          <w:color w:val="000000"/>
          <w:kern w:val="0"/>
          <w:sz w:val="32"/>
          <w:szCs w:val="32"/>
          <w:highlight w:val="none"/>
          <w:shd w:val="clear" w:color="auto" w:fill="FFFFFF"/>
          <w:lang w:val="zh-CN"/>
        </w:rPr>
        <w:t>项目决策。</w:t>
      </w:r>
    </w:p>
    <w:p w14:paraId="3BC40FF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本单位</w:t>
      </w:r>
      <w:r>
        <w:rPr>
          <w:rFonts w:hint="eastAsia" w:ascii="仿宋" w:eastAsia="仿宋" w:cs="仿宋_GB2312"/>
          <w:color w:val="000000"/>
          <w:sz w:val="32"/>
          <w:szCs w:val="32"/>
          <w:lang w:val="zh-CN" w:eastAsia="zh-CN"/>
        </w:rPr>
        <w:t>预算项目设立</w:t>
      </w:r>
      <w:r>
        <w:rPr>
          <w:rFonts w:hint="eastAsia" w:ascii="仿宋" w:eastAsia="仿宋" w:cs="仿宋_GB2312"/>
          <w:color w:val="000000"/>
          <w:sz w:val="32"/>
          <w:szCs w:val="32"/>
          <w:lang w:val="en-US" w:eastAsia="zh-CN"/>
        </w:rPr>
        <w:t>都</w:t>
      </w:r>
      <w:r>
        <w:rPr>
          <w:rFonts w:hint="eastAsia" w:ascii="仿宋" w:eastAsia="仿宋" w:cs="仿宋_GB2312"/>
          <w:color w:val="000000"/>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ascii="仿宋" w:eastAsia="仿宋" w:cs="仿宋_GB2312"/>
          <w:color w:val="000000"/>
          <w:sz w:val="32"/>
          <w:szCs w:val="32"/>
          <w:lang w:val="en-US" w:eastAsia="zh-CN"/>
        </w:rPr>
        <w:t>内</w:t>
      </w:r>
      <w:r>
        <w:rPr>
          <w:rFonts w:hint="eastAsia" w:ascii="仿宋" w:eastAsia="仿宋" w:cs="仿宋_GB2312"/>
          <w:color w:val="000000"/>
          <w:sz w:val="32"/>
          <w:szCs w:val="32"/>
          <w:lang w:val="zh-CN" w:eastAsia="zh-CN"/>
        </w:rPr>
        <w:t>完成项目入库，</w:t>
      </w:r>
      <w:r>
        <w:rPr>
          <w:rFonts w:hint="eastAsia" w:ascii="仿宋" w:eastAsia="仿宋" w:cs="仿宋_GB2312"/>
          <w:color w:val="000000"/>
          <w:sz w:val="32"/>
          <w:szCs w:val="32"/>
          <w:lang w:val="en-US" w:eastAsia="zh-CN"/>
        </w:rPr>
        <w:t>明确绩效目标，控制支行成本，提高项目发挥作用。</w:t>
      </w:r>
    </w:p>
    <w:p w14:paraId="7262AAB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2.项目执行</w:t>
      </w:r>
      <w:r>
        <w:rPr>
          <w:rFonts w:hint="eastAsia" w:ascii="楷体_GB2312" w:eastAsia="楷体_GB2312" w:cs="楷体_GB2312"/>
          <w:color w:val="000000"/>
          <w:kern w:val="0"/>
          <w:sz w:val="32"/>
          <w:szCs w:val="32"/>
          <w:highlight w:val="none"/>
          <w:shd w:val="clear" w:color="auto" w:fill="FFFFFF"/>
          <w:lang w:val="zh-CN"/>
        </w:rPr>
        <w:t>。</w:t>
      </w:r>
    </w:p>
    <w:p w14:paraId="2E23A7C4">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预算项目实际列支内容与绩效目标设置方向相符、预算项目采取对应调整措施，</w:t>
      </w:r>
      <w:r>
        <w:rPr>
          <w:rFonts w:hint="eastAsia" w:ascii="仿宋" w:eastAsia="仿宋" w:cs="仿宋_GB2312"/>
          <w:color w:val="000000"/>
          <w:sz w:val="32"/>
          <w:szCs w:val="32"/>
          <w:lang w:val="en-US" w:eastAsia="zh-CN"/>
        </w:rPr>
        <w:t>按程序调整</w:t>
      </w:r>
      <w:r>
        <w:rPr>
          <w:rFonts w:hint="eastAsia" w:ascii="仿宋" w:eastAsia="仿宋" w:cs="仿宋_GB2312"/>
          <w:color w:val="000000"/>
          <w:sz w:val="32"/>
          <w:szCs w:val="32"/>
          <w:lang w:val="zh-CN" w:eastAsia="zh-CN"/>
        </w:rPr>
        <w:t>、预算项目</w:t>
      </w:r>
      <w:r>
        <w:rPr>
          <w:rFonts w:hint="eastAsia" w:ascii="仿宋" w:eastAsia="仿宋" w:cs="仿宋_GB2312"/>
          <w:color w:val="000000"/>
          <w:sz w:val="32"/>
          <w:szCs w:val="32"/>
          <w:lang w:val="en-US" w:eastAsia="zh-CN"/>
        </w:rPr>
        <w:t>按照文件时间节点有序推进，按时完成并</w:t>
      </w:r>
      <w:r>
        <w:rPr>
          <w:rFonts w:hint="eastAsia" w:ascii="仿宋" w:eastAsia="仿宋" w:cs="仿宋_GB2312"/>
          <w:color w:val="000000"/>
          <w:sz w:val="32"/>
          <w:szCs w:val="32"/>
          <w:lang w:val="zh-CN" w:eastAsia="zh-CN"/>
        </w:rPr>
        <w:t>根据财政局统一要求编制了我办整体绩效目标报告及项目整体绩效目标表，并报县财政局。</w:t>
      </w:r>
    </w:p>
    <w:p w14:paraId="0E9C4619">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3.</w:t>
      </w:r>
      <w:r>
        <w:rPr>
          <w:rFonts w:hint="eastAsia" w:ascii="楷体_GB2312" w:eastAsia="楷体_GB2312" w:cs="楷体_GB2312"/>
          <w:color w:val="000000"/>
          <w:kern w:val="0"/>
          <w:sz w:val="32"/>
          <w:szCs w:val="32"/>
          <w:highlight w:val="none"/>
          <w:shd w:val="clear" w:color="auto" w:fill="FFFFFF"/>
          <w:lang w:val="zh-CN"/>
        </w:rPr>
        <w:t>目标实现。</w:t>
      </w:r>
    </w:p>
    <w:p w14:paraId="2358EF6B">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根据预算绩效管理要求，我单位在年初预算编制阶段，组织对项目开展了预算事前绩效评估，本部门按要求对2024年部门整体支出开展绩效自评，我单位深入贯彻落实</w:t>
      </w:r>
      <w:r>
        <w:rPr>
          <w:rFonts w:hint="eastAsia" w:ascii="仿宋" w:eastAsia="仿宋" w:cs="仿宋_GB2312"/>
          <w:color w:val="000000"/>
          <w:sz w:val="32"/>
          <w:szCs w:val="32"/>
          <w:lang w:val="en-US" w:eastAsia="zh-CN"/>
        </w:rPr>
        <w:t>二十</w:t>
      </w:r>
      <w:r>
        <w:rPr>
          <w:rFonts w:hint="eastAsia" w:ascii="仿宋" w:eastAsia="仿宋" w:cs="仿宋_GB2312"/>
          <w:color w:val="000000"/>
          <w:sz w:val="32"/>
          <w:szCs w:val="32"/>
          <w:lang w:val="zh-CN" w:eastAsia="zh-CN"/>
        </w:rPr>
        <w:t>大关于“全面实施绩效管理”的要求，努力提升本单位绩效预算管理业务水平。主动公开绩效结果，加大资金使用效率，提升政府管理水平。及时告知各部门（科室）部门预算及项目支出进度。</w:t>
      </w:r>
    </w:p>
    <w:p w14:paraId="249703A8">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重点领域</w:t>
      </w:r>
      <w:r>
        <w:rPr>
          <w:rFonts w:ascii="Times New Roman" w:hAnsi="Times New Roman" w:eastAsia="楷体_GB2312" w:cs="Times New Roman"/>
          <w:b/>
          <w:bCs/>
          <w:color w:val="000000"/>
          <w:kern w:val="0"/>
          <w:sz w:val="32"/>
          <w:szCs w:val="32"/>
          <w:highlight w:val="none"/>
          <w:shd w:val="clear" w:color="auto" w:fill="FFFFFF"/>
          <w:lang w:val="zh-CN"/>
        </w:rPr>
        <w:t>绩效分析</w:t>
      </w:r>
      <w:r>
        <w:rPr>
          <w:rFonts w:ascii="Times New Roman" w:hAnsi="Times New Roman" w:eastAsia="楷体_GB2312" w:cs="Times New Roman"/>
          <w:b/>
          <w:bCs/>
          <w:color w:val="000000"/>
          <w:kern w:val="0"/>
          <w:sz w:val="32"/>
          <w:szCs w:val="32"/>
          <w:highlight w:val="none"/>
          <w:shd w:val="clear" w:color="auto" w:fill="FFFFFF"/>
          <w:lang w:val="zh-CN" w:eastAsia="zh-CN"/>
        </w:rPr>
        <w:t>。</w:t>
      </w:r>
    </w:p>
    <w:p w14:paraId="5CED4707">
      <w:pPr>
        <w:spacing w:line="540" w:lineRule="exact"/>
        <w:ind w:firstLine="640" w:firstLineChars="200"/>
        <w:rPr>
          <w:rFonts w:ascii="Times New Roman" w:hAnsi="Times New Roman" w:cs="Times New Roman"/>
          <w:color w:val="000000"/>
          <w:kern w:val="0"/>
          <w:szCs w:val="32"/>
          <w:highlight w:val="none"/>
          <w:shd w:val="clear" w:color="auto" w:fill="FFFFFF"/>
          <w:lang w:val="en-US" w:eastAsia="zh-CN"/>
        </w:rPr>
      </w:pPr>
      <w:r>
        <w:rPr>
          <w:rFonts w:hint="eastAsia" w:ascii="仿宋" w:eastAsia="仿宋" w:cs="仿宋_GB2312"/>
          <w:color w:val="000000"/>
          <w:sz w:val="32"/>
          <w:szCs w:val="32"/>
          <w:lang w:val="zh-CN"/>
        </w:rPr>
        <w:t>我</w:t>
      </w:r>
      <w:r>
        <w:rPr>
          <w:rFonts w:hint="eastAsia" w:ascii="仿宋" w:eastAsia="仿宋" w:cs="仿宋_GB2312"/>
          <w:color w:val="000000"/>
          <w:sz w:val="32"/>
          <w:szCs w:val="32"/>
          <w:lang w:val="zh-CN" w:eastAsia="zh-CN"/>
        </w:rPr>
        <w:t>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0E4056F7">
      <w:pPr>
        <w:keepNext w:val="0"/>
        <w:keepLines w:val="0"/>
        <w:pageBreakBefore w:val="0"/>
        <w:widowControl w:val="0"/>
        <w:numPr>
          <w:ilvl w:val="0"/>
          <w:numId w:val="7"/>
        </w:numPr>
        <w:kinsoku/>
        <w:wordWrap/>
        <w:overflowPunct/>
        <w:topLinePunct w:val="0"/>
        <w:autoSpaceDE/>
        <w:autoSpaceDN/>
        <w:bidi w:val="0"/>
        <w:snapToGrid w:val="0"/>
        <w:spacing w:line="600" w:lineRule="exact"/>
        <w:ind w:left="0" w:firstLine="643" w:firstLineChars="200"/>
        <w:textAlignment w:val="auto"/>
        <w:rPr>
          <w:rFonts w:hint="eastAsia"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绩效结果应用情况</w:t>
      </w:r>
      <w:r>
        <w:rPr>
          <w:rFonts w:hint="eastAsia" w:ascii="Times New Roman" w:hAnsi="Times New Roman" w:eastAsia="楷体_GB2312" w:cs="Times New Roman"/>
          <w:b/>
          <w:bCs/>
          <w:sz w:val="32"/>
          <w:szCs w:val="32"/>
          <w:lang w:val="zh-CN"/>
        </w:rPr>
        <w:t>。</w:t>
      </w:r>
    </w:p>
    <w:p w14:paraId="3D912845">
      <w:pPr>
        <w:spacing w:line="580" w:lineRule="exact"/>
        <w:ind w:firstLine="640" w:firstLineChars="200"/>
        <w:rPr>
          <w:rFonts w:ascii="Times New Roman" w:hAnsi="Times New Roman" w:cs="Times New Roman"/>
          <w:color w:val="000000"/>
          <w:kern w:val="0"/>
          <w:szCs w:val="32"/>
          <w:highlight w:val="none"/>
          <w:shd w:val="clear" w:color="auto" w:fill="FFFFFF"/>
          <w:lang w:val="en-US"/>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hAns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54D055A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eastAsia="zh-CN"/>
        </w:rPr>
      </w:pPr>
    </w:p>
    <w:p w14:paraId="3C04C46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lang w:eastAsia="zh-CN"/>
        </w:rPr>
        <w:t>四、</w:t>
      </w:r>
      <w:r>
        <w:rPr>
          <w:rFonts w:ascii="Times New Roman" w:hAnsi="Times New Roman" w:eastAsia="黑体" w:cs="Times New Roman"/>
          <w:color w:val="000000"/>
          <w:kern w:val="0"/>
          <w:sz w:val="32"/>
          <w:szCs w:val="32"/>
          <w:highlight w:val="none"/>
          <w:shd w:val="clear" w:color="auto" w:fill="FFFFFF"/>
        </w:rPr>
        <w:t>评价结论及建议</w:t>
      </w:r>
    </w:p>
    <w:p w14:paraId="05FC16F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（一）评价结论。</w:t>
      </w:r>
    </w:p>
    <w:p w14:paraId="703E83AB">
      <w:pPr>
        <w:spacing w:line="58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eastAsia="zh-CN"/>
        </w:rPr>
        <w:t>我乡对2024年度整体支出情况开展自评，得分</w:t>
      </w:r>
      <w:r>
        <w:rPr>
          <w:rFonts w:hint="eastAsia" w:ascii="仿宋_GB2312" w:eastAsia="仿宋_GB2312"/>
          <w:sz w:val="32"/>
          <w:szCs w:val="32"/>
          <w:lang w:val="en-US" w:eastAsia="zh-CN"/>
        </w:rPr>
        <w:t>95</w:t>
      </w:r>
      <w:r>
        <w:rPr>
          <w:rFonts w:hint="eastAsia" w:ascii="仿宋_GB2312" w:eastAsia="仿宋_GB2312"/>
          <w:sz w:val="32"/>
          <w:szCs w:val="32"/>
          <w:lang w:val="zh-CN" w:eastAsia="zh-CN"/>
        </w:rPr>
        <w:t>分。从总体性分析评价，全年整体支出较优，实现了年初绩效目标。从结构性分析评价，一般公共预算基本支出完成预算的</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%，绩效目标实际实现程度与预期目标的偏离度为持平，整体绩效管理合理合规；一般公共预算项目支出完成预算的</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%，绩效目标实际实现程度与预期目标的偏离度为持平，整体绩效管理合理合规。2024年度整体支出绩效评价优好，无违纪违规问题，预算编制、预算执行、完成结果等均达到既定目标管理。</w:t>
      </w:r>
    </w:p>
    <w:p w14:paraId="0D981E7A">
      <w:pPr>
        <w:keepNext w:val="0"/>
        <w:keepLines w:val="0"/>
        <w:pageBreakBefore w:val="0"/>
        <w:widowControl/>
        <w:numPr>
          <w:ilvl w:val="0"/>
          <w:numId w:val="8"/>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存在问题。</w:t>
      </w:r>
    </w:p>
    <w:p w14:paraId="372CB8C9">
      <w:pPr>
        <w:spacing w:line="58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个别人员经费和公用经费测算标准及套用公式不够科学精准，部分经济科目在预算执行中存在较早亮红灯，预算经费支出进度较快。</w:t>
      </w:r>
    </w:p>
    <w:p w14:paraId="2D7BCDCA">
      <w:pPr>
        <w:pageBreakBefore w:val="0"/>
        <w:widowControl/>
        <w:numPr>
          <w:ilvl w:val="0"/>
          <w:numId w:val="8"/>
        </w:numPr>
        <w:kinsoku/>
        <w:wordWrap/>
        <w:overflowPunct/>
        <w:topLinePunct w:val="0"/>
        <w:bidi w:val="0"/>
        <w:adjustRightInd w:val="0"/>
        <w:snapToGrid w:val="0"/>
        <w:spacing w:line="576" w:lineRule="exact"/>
        <w:ind w:left="0" w:firstLine="643" w:firstLineChars="200"/>
        <w:contextualSpacing/>
        <w:jc w:val="left"/>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bookmarkStart w:id="59" w:name="_Hlk110546638"/>
    </w:p>
    <w:p w14:paraId="59B92281">
      <w:pPr>
        <w:spacing w:line="580" w:lineRule="exact"/>
        <w:ind w:firstLine="640" w:firstLineChars="200"/>
        <w:rPr>
          <w:rFonts w:hint="eastAsia"/>
          <w:lang w:val="en-US" w:eastAsia="zh-CN"/>
        </w:rPr>
      </w:pPr>
      <w:r>
        <w:rPr>
          <w:rFonts w:hint="eastAsia" w:ascii="仿宋_GB2312" w:eastAsia="仿宋_GB2312"/>
          <w:sz w:val="32"/>
          <w:szCs w:val="32"/>
          <w:lang w:val="zh-CN" w:eastAsia="zh-CN"/>
        </w:rPr>
        <w:t>我乡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28ECA934">
      <w:pPr>
        <w:pageBreakBefore w:val="0"/>
        <w:widowControl/>
        <w:kinsoku/>
        <w:wordWrap/>
        <w:overflowPunct/>
        <w:topLinePunct w:val="0"/>
        <w:bidi w:val="0"/>
        <w:adjustRightInd w:val="0"/>
        <w:snapToGrid w:val="0"/>
        <w:spacing w:line="576" w:lineRule="exact"/>
        <w:ind w:firstLine="4800" w:firstLineChars="1500"/>
        <w:contextualSpacing/>
        <w:jc w:val="left"/>
        <w:rPr>
          <w:rFonts w:hint="eastAsia" w:ascii="Times New Roman" w:hAnsi="Times New Roman" w:eastAsia="仿宋_GB2312" w:cs="Times New Roman"/>
          <w:bCs/>
          <w:kern w:val="0"/>
          <w:sz w:val="32"/>
          <w:szCs w:val="32"/>
          <w:shd w:val="clear" w:color="auto" w:fill="FFFFFF"/>
          <w:lang w:val="en-US" w:eastAsia="zh-CN"/>
        </w:rPr>
      </w:pPr>
      <w:r>
        <w:rPr>
          <w:rFonts w:hint="eastAsia" w:ascii="Times New Roman" w:hAnsi="Times New Roman" w:eastAsia="仿宋_GB2312" w:cs="Times New Roman"/>
          <w:bCs/>
          <w:kern w:val="0"/>
          <w:sz w:val="32"/>
          <w:szCs w:val="32"/>
          <w:shd w:val="clear" w:color="auto" w:fill="FFFFFF"/>
          <w:lang w:val="en-US" w:eastAsia="zh-CN"/>
        </w:rPr>
        <w:t>金川县</w:t>
      </w:r>
      <w:r>
        <w:rPr>
          <w:rFonts w:hint="eastAsia" w:cs="Times New Roman"/>
          <w:bCs/>
          <w:kern w:val="0"/>
          <w:sz w:val="32"/>
          <w:szCs w:val="32"/>
          <w:shd w:val="clear" w:color="auto" w:fill="FFFFFF"/>
          <w:lang w:val="en-US" w:eastAsia="zh-CN"/>
        </w:rPr>
        <w:t>庆宁</w:t>
      </w:r>
      <w:r>
        <w:rPr>
          <w:rFonts w:hint="eastAsia" w:ascii="Times New Roman" w:hAnsi="Times New Roman" w:eastAsia="仿宋_GB2312" w:cs="Times New Roman"/>
          <w:bCs/>
          <w:kern w:val="0"/>
          <w:sz w:val="32"/>
          <w:szCs w:val="32"/>
          <w:shd w:val="clear" w:color="auto" w:fill="FFFFFF"/>
          <w:lang w:val="en-US" w:eastAsia="zh-CN"/>
        </w:rPr>
        <w:t>乡人民政府</w:t>
      </w:r>
    </w:p>
    <w:p w14:paraId="513457C7">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en-US" w:eastAsia="zh-CN"/>
        </w:rPr>
      </w:pPr>
      <w:r>
        <w:rPr>
          <w:rFonts w:hint="eastAsia" w:ascii="Times New Roman" w:hAnsi="Times New Roman" w:eastAsia="仿宋_GB2312" w:cs="Times New Roman"/>
          <w:bCs/>
          <w:kern w:val="0"/>
          <w:sz w:val="32"/>
          <w:szCs w:val="32"/>
          <w:shd w:val="clear" w:color="auto" w:fill="FFFFFF"/>
          <w:lang w:val="en-US" w:eastAsia="zh-CN"/>
        </w:rPr>
        <w:t xml:space="preserve">                             2025年</w:t>
      </w:r>
      <w:r>
        <w:rPr>
          <w:rFonts w:hint="eastAsia" w:eastAsia="仿宋_GB2312" w:cs="Times New Roman"/>
          <w:bCs/>
          <w:kern w:val="0"/>
          <w:sz w:val="32"/>
          <w:szCs w:val="32"/>
          <w:shd w:val="clear" w:color="auto" w:fill="FFFFFF"/>
          <w:lang w:val="en-US" w:eastAsia="zh-CN"/>
        </w:rPr>
        <w:t>8</w:t>
      </w:r>
      <w:r>
        <w:rPr>
          <w:rFonts w:hint="eastAsia" w:ascii="Times New Roman" w:hAnsi="Times New Roman" w:eastAsia="仿宋_GB2312" w:cs="Times New Roman"/>
          <w:bCs/>
          <w:kern w:val="0"/>
          <w:sz w:val="32"/>
          <w:szCs w:val="32"/>
          <w:shd w:val="clear" w:color="auto" w:fill="FFFFFF"/>
          <w:lang w:val="en-US" w:eastAsia="zh-CN"/>
        </w:rPr>
        <w:t>月</w:t>
      </w:r>
      <w:r>
        <w:rPr>
          <w:rFonts w:hint="eastAsia" w:cs="Times New Roman"/>
          <w:bCs/>
          <w:kern w:val="0"/>
          <w:sz w:val="32"/>
          <w:szCs w:val="32"/>
          <w:shd w:val="clear" w:color="auto" w:fill="FFFFFF"/>
          <w:lang w:val="en-US" w:eastAsia="zh-CN"/>
        </w:rPr>
        <w:t>25</w:t>
      </w:r>
      <w:r>
        <w:rPr>
          <w:rFonts w:hint="eastAsia" w:ascii="Times New Roman" w:hAnsi="Times New Roman" w:eastAsia="仿宋_GB2312" w:cs="Times New Roman"/>
          <w:bCs/>
          <w:kern w:val="0"/>
          <w:sz w:val="32"/>
          <w:szCs w:val="32"/>
          <w:shd w:val="clear" w:color="auto" w:fill="FFFFFF"/>
          <w:lang w:val="en-US" w:eastAsia="zh-CN"/>
        </w:rPr>
        <w:t>日</w:t>
      </w:r>
    </w:p>
    <w:bookmarkEnd w:id="59"/>
    <w:p w14:paraId="1C8BC963">
      <w:pPr>
        <w:rPr>
          <w:lang w:val="en-US" w:eastAsia="zh-CN"/>
        </w:rPr>
      </w:pPr>
    </w:p>
    <w:p w14:paraId="1CD3415F">
      <w:pPr>
        <w:pStyle w:val="13"/>
        <w:rPr>
          <w:lang w:val="en-US" w:eastAsia="zh-CN"/>
        </w:rPr>
      </w:pPr>
    </w:p>
    <w:p w14:paraId="0B04D86B">
      <w:pPr>
        <w:keepNext w:val="0"/>
        <w:keepLines w:val="0"/>
        <w:pageBreakBefore w:val="0"/>
        <w:widowControl w:val="0"/>
        <w:numPr>
          <w:ilvl w:val="0"/>
          <w:numId w:val="9"/>
        </w:numPr>
        <w:kinsoku/>
        <w:wordWrap/>
        <w:overflowPunct/>
        <w:topLinePunct w:val="0"/>
        <w:autoSpaceDE/>
        <w:autoSpaceDN/>
        <w:bidi w:val="0"/>
        <w:spacing w:line="572" w:lineRule="exact"/>
        <w:jc w:val="center"/>
        <w:textAlignment w:val="auto"/>
        <w:outlineLvl w:val="0"/>
        <w:rPr>
          <w:rFonts w:hint="eastAsia" w:ascii="Times New Roman" w:hAnsi="Times New Roman" w:eastAsia="黑体"/>
          <w:color w:val="auto"/>
          <w:sz w:val="44"/>
          <w:szCs w:val="44"/>
          <w:highlight w:val="none"/>
        </w:rPr>
      </w:pPr>
      <w:r>
        <w:rPr>
          <w:rFonts w:hint="eastAsia" w:eastAsia="黑体"/>
          <w:color w:val="auto"/>
          <w:sz w:val="44"/>
          <w:szCs w:val="44"/>
          <w:highlight w:val="none"/>
          <w:lang w:eastAsia="zh-CN"/>
        </w:rPr>
        <w:t>附件</w:t>
      </w:r>
    </w:p>
    <w:p w14:paraId="34EA4EBA">
      <w:pPr>
        <w:keepNext w:val="0"/>
        <w:keepLines w:val="0"/>
        <w:pageBreakBefore w:val="0"/>
        <w:widowControl w:val="0"/>
        <w:kinsoku/>
        <w:wordWrap/>
        <w:overflowPunct/>
        <w:topLinePunct w:val="0"/>
        <w:autoSpaceDE/>
        <w:autoSpaceDN/>
        <w:bidi w:val="0"/>
        <w:spacing w:line="572" w:lineRule="exact"/>
        <w:jc w:val="left"/>
        <w:textAlignment w:val="auto"/>
        <w:outlineLvl w:val="0"/>
        <w:rPr>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556D49F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1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1"/>
        <w:gridCol w:w="1151"/>
        <w:gridCol w:w="1312"/>
        <w:gridCol w:w="567"/>
        <w:gridCol w:w="3729"/>
        <w:gridCol w:w="595"/>
        <w:gridCol w:w="377"/>
      </w:tblGrid>
      <w:tr w14:paraId="1DDC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821" w:type="dxa"/>
            <w:gridSpan w:val="4"/>
            <w:tcBorders>
              <w:top w:val="single" w:color="000000" w:sz="4" w:space="0"/>
              <w:left w:val="single" w:color="000000" w:sz="4" w:space="0"/>
              <w:bottom w:val="single" w:color="000000" w:sz="4" w:space="0"/>
              <w:right w:val="single" w:color="000000" w:sz="4" w:space="0"/>
            </w:tcBorders>
            <w:noWrap/>
            <w:vAlign w:val="center"/>
          </w:tcPr>
          <w:p w14:paraId="580AA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3729" w:type="dxa"/>
            <w:vMerge w:val="restart"/>
            <w:tcBorders>
              <w:top w:val="single" w:color="000000" w:sz="4" w:space="0"/>
              <w:left w:val="single" w:color="000000" w:sz="4" w:space="0"/>
              <w:bottom w:val="single" w:color="000000" w:sz="4" w:space="0"/>
              <w:right w:val="single" w:color="000000" w:sz="4" w:space="0"/>
            </w:tcBorders>
            <w:noWrap/>
            <w:vAlign w:val="center"/>
          </w:tcPr>
          <w:p w14:paraId="284330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595" w:type="dxa"/>
            <w:vMerge w:val="restart"/>
            <w:tcBorders>
              <w:top w:val="single" w:color="000000" w:sz="4" w:space="0"/>
              <w:left w:val="single" w:color="000000" w:sz="4" w:space="0"/>
              <w:bottom w:val="nil"/>
              <w:right w:val="single" w:color="000000" w:sz="4" w:space="0"/>
            </w:tcBorders>
            <w:noWrap/>
            <w:vAlign w:val="center"/>
          </w:tcPr>
          <w:p w14:paraId="3B512D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377" w:type="dxa"/>
            <w:vMerge w:val="restart"/>
            <w:tcBorders>
              <w:top w:val="single" w:color="000000" w:sz="4" w:space="0"/>
              <w:left w:val="single" w:color="000000" w:sz="4" w:space="0"/>
              <w:bottom w:val="nil"/>
              <w:right w:val="single" w:color="000000" w:sz="4" w:space="0"/>
            </w:tcBorders>
            <w:noWrap/>
            <w:vAlign w:val="center"/>
          </w:tcPr>
          <w:p w14:paraId="5DDAE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3D84A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nil"/>
            </w:tcBorders>
            <w:noWrap/>
            <w:vAlign w:val="center"/>
          </w:tcPr>
          <w:p w14:paraId="124DB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一级指标</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A152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F28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三级指标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D50D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w:t>
            </w:r>
            <w:r>
              <w:rPr>
                <w:rFonts w:hint="eastAsia" w:ascii="黑体" w:eastAsia="黑体" w:cs="黑体"/>
                <w:i w:val="0"/>
                <w:color w:val="000000"/>
                <w:kern w:val="0"/>
                <w:sz w:val="24"/>
                <w:szCs w:val="24"/>
                <w:u w:val="none"/>
                <w:lang w:val="en-US" w:eastAsia="zh-CN"/>
              </w:rPr>
              <w:br w:type="textWrapping"/>
            </w:r>
            <w:r>
              <w:rPr>
                <w:rFonts w:hint="eastAsia" w:ascii="黑体" w:eastAsia="黑体" w:cs="黑体"/>
                <w:i w:val="0"/>
                <w:color w:val="000000"/>
                <w:kern w:val="0"/>
                <w:sz w:val="24"/>
                <w:szCs w:val="24"/>
                <w:u w:val="none"/>
                <w:lang w:val="en-US" w:eastAsia="zh-CN"/>
              </w:rPr>
              <w:t>分值</w:t>
            </w:r>
          </w:p>
        </w:tc>
        <w:tc>
          <w:tcPr>
            <w:tcW w:w="3729" w:type="dxa"/>
            <w:vMerge w:val="continue"/>
            <w:tcBorders>
              <w:top w:val="single" w:color="000000" w:sz="4" w:space="0"/>
              <w:left w:val="single" w:color="000000" w:sz="4" w:space="0"/>
              <w:bottom w:val="single" w:color="000000" w:sz="4" w:space="0"/>
              <w:right w:val="single" w:color="000000" w:sz="4" w:space="0"/>
            </w:tcBorders>
            <w:noWrap/>
            <w:vAlign w:val="center"/>
          </w:tcPr>
          <w:p w14:paraId="3F26D088"/>
        </w:tc>
        <w:tc>
          <w:tcPr>
            <w:tcW w:w="595" w:type="dxa"/>
            <w:vMerge w:val="continue"/>
            <w:tcBorders>
              <w:top w:val="nil"/>
              <w:left w:val="single" w:color="000000" w:sz="4" w:space="0"/>
              <w:bottom w:val="single" w:color="000000" w:sz="4" w:space="0"/>
              <w:right w:val="single" w:color="000000" w:sz="4" w:space="0"/>
            </w:tcBorders>
            <w:noWrap/>
            <w:vAlign w:val="center"/>
          </w:tcPr>
          <w:p w14:paraId="5465FDD3"/>
        </w:tc>
        <w:tc>
          <w:tcPr>
            <w:tcW w:w="377" w:type="dxa"/>
            <w:vMerge w:val="continue"/>
            <w:tcBorders>
              <w:top w:val="nil"/>
              <w:left w:val="single" w:color="000000" w:sz="4" w:space="0"/>
              <w:bottom w:val="single" w:color="000000" w:sz="4" w:space="0"/>
              <w:right w:val="single" w:color="000000" w:sz="4" w:space="0"/>
            </w:tcBorders>
            <w:noWrap/>
            <w:vAlign w:val="center"/>
          </w:tcPr>
          <w:p w14:paraId="743A837D"/>
        </w:tc>
      </w:tr>
      <w:tr w14:paraId="27E97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188AA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71342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履职效能</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9A0F2B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数量指标履职效果</w:t>
            </w:r>
          </w:p>
        </w:tc>
        <w:tc>
          <w:tcPr>
            <w:tcW w:w="567" w:type="dxa"/>
            <w:tcBorders>
              <w:top w:val="nil"/>
              <w:left w:val="single" w:color="000000" w:sz="4" w:space="0"/>
              <w:bottom w:val="single" w:color="000000" w:sz="4" w:space="0"/>
              <w:right w:val="single" w:color="000000" w:sz="4" w:space="0"/>
            </w:tcBorders>
            <w:noWrap/>
            <w:vAlign w:val="center"/>
          </w:tcPr>
          <w:p w14:paraId="17FB9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vMerge w:val="restart"/>
            <w:tcBorders>
              <w:top w:val="single" w:color="000000" w:sz="4" w:space="0"/>
              <w:left w:val="single" w:color="000000" w:sz="4" w:space="0"/>
              <w:bottom w:val="nil"/>
              <w:right w:val="single" w:color="000000" w:sz="4" w:space="0"/>
            </w:tcBorders>
            <w:noWrap/>
            <w:vAlign w:val="center"/>
          </w:tcPr>
          <w:p w14:paraId="43FEE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部门整体绩效目标中选定3-5个核心职能目标，反映该项职能目标完成效果情况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907F7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DE72B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B481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3CF7CC09"/>
        </w:tc>
        <w:tc>
          <w:tcPr>
            <w:tcW w:w="1151" w:type="dxa"/>
            <w:vMerge w:val="continue"/>
            <w:tcBorders>
              <w:top w:val="nil"/>
              <w:left w:val="single" w:color="000000" w:sz="4" w:space="0"/>
              <w:bottom w:val="nil"/>
              <w:right w:val="single" w:color="000000" w:sz="4" w:space="0"/>
            </w:tcBorders>
            <w:noWrap/>
            <w:vAlign w:val="center"/>
          </w:tcPr>
          <w:p w14:paraId="60C351E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BF1CAB">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质量指标履职效果</w:t>
            </w:r>
          </w:p>
        </w:tc>
        <w:tc>
          <w:tcPr>
            <w:tcW w:w="567" w:type="dxa"/>
            <w:tcBorders>
              <w:top w:val="nil"/>
              <w:left w:val="single" w:color="000000" w:sz="4" w:space="0"/>
              <w:bottom w:val="single" w:color="000000" w:sz="4" w:space="0"/>
              <w:right w:val="single" w:color="000000" w:sz="4" w:space="0"/>
            </w:tcBorders>
            <w:noWrap/>
            <w:vAlign w:val="center"/>
          </w:tcPr>
          <w:p w14:paraId="2B698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nil"/>
              <w:right w:val="single" w:color="000000" w:sz="4" w:space="0"/>
            </w:tcBorders>
            <w:noWrap/>
            <w:vAlign w:val="center"/>
          </w:tcPr>
          <w:p w14:paraId="590F74AB"/>
        </w:tc>
        <w:tc>
          <w:tcPr>
            <w:tcW w:w="595" w:type="dxa"/>
            <w:tcBorders>
              <w:top w:val="single" w:color="000000" w:sz="4" w:space="0"/>
              <w:left w:val="single" w:color="000000" w:sz="4" w:space="0"/>
              <w:bottom w:val="single" w:color="000000" w:sz="4" w:space="0"/>
              <w:right w:val="single" w:color="000000" w:sz="4" w:space="0"/>
            </w:tcBorders>
            <w:noWrap/>
            <w:vAlign w:val="center"/>
          </w:tcPr>
          <w:p w14:paraId="32E56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9CE92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6B3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48AAA414"/>
        </w:tc>
        <w:tc>
          <w:tcPr>
            <w:tcW w:w="1151" w:type="dxa"/>
            <w:vMerge w:val="continue"/>
            <w:tcBorders>
              <w:top w:val="nil"/>
              <w:left w:val="single" w:color="000000" w:sz="4" w:space="0"/>
              <w:bottom w:val="single" w:color="000000" w:sz="4" w:space="0"/>
              <w:right w:val="single" w:color="000000" w:sz="4" w:space="0"/>
            </w:tcBorders>
            <w:noWrap/>
            <w:vAlign w:val="center"/>
          </w:tcPr>
          <w:p w14:paraId="1FF09C17"/>
        </w:tc>
        <w:tc>
          <w:tcPr>
            <w:tcW w:w="1312" w:type="dxa"/>
            <w:tcBorders>
              <w:top w:val="single" w:color="000000" w:sz="4" w:space="0"/>
              <w:left w:val="single" w:color="000000" w:sz="4" w:space="0"/>
              <w:bottom w:val="single" w:color="000000" w:sz="4" w:space="0"/>
              <w:right w:val="single" w:color="000000" w:sz="4" w:space="0"/>
            </w:tcBorders>
            <w:noWrap/>
            <w:vAlign w:val="center"/>
          </w:tcPr>
          <w:p w14:paraId="1739D9B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社会效益指标履职效果</w:t>
            </w:r>
          </w:p>
        </w:tc>
        <w:tc>
          <w:tcPr>
            <w:tcW w:w="567" w:type="dxa"/>
            <w:tcBorders>
              <w:top w:val="nil"/>
              <w:left w:val="single" w:color="000000" w:sz="4" w:space="0"/>
              <w:bottom w:val="single" w:color="000000" w:sz="4" w:space="0"/>
              <w:right w:val="single" w:color="000000" w:sz="4" w:space="0"/>
            </w:tcBorders>
            <w:noWrap/>
            <w:vAlign w:val="center"/>
          </w:tcPr>
          <w:p w14:paraId="180B6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single" w:color="000000" w:sz="4" w:space="0"/>
              <w:right w:val="single" w:color="000000" w:sz="4" w:space="0"/>
            </w:tcBorders>
            <w:noWrap/>
            <w:vAlign w:val="center"/>
          </w:tcPr>
          <w:p w14:paraId="0622C0BE"/>
        </w:tc>
        <w:tc>
          <w:tcPr>
            <w:tcW w:w="595" w:type="dxa"/>
            <w:tcBorders>
              <w:top w:val="single" w:color="000000" w:sz="4" w:space="0"/>
              <w:left w:val="single" w:color="000000" w:sz="4" w:space="0"/>
              <w:bottom w:val="single" w:color="000000" w:sz="4" w:space="0"/>
              <w:right w:val="single" w:color="000000" w:sz="4" w:space="0"/>
            </w:tcBorders>
            <w:noWrap/>
            <w:vAlign w:val="center"/>
          </w:tcPr>
          <w:p w14:paraId="25F5F6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36570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294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CFA473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1328B2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预算管理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（25分）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EA21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预算编制质量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5D1C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7ADE6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部门是否严格按要求编制年初部门预算，年初预算编制的科学性和准确性</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158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7</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815E3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C0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D73152E"/>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21B64D4"/>
        </w:tc>
        <w:tc>
          <w:tcPr>
            <w:tcW w:w="1312" w:type="dxa"/>
            <w:tcBorders>
              <w:top w:val="single" w:color="000000" w:sz="4" w:space="0"/>
              <w:left w:val="single" w:color="000000" w:sz="4" w:space="0"/>
              <w:bottom w:val="single" w:color="000000" w:sz="4" w:space="0"/>
              <w:right w:val="single" w:color="000000" w:sz="4" w:space="0"/>
            </w:tcBorders>
            <w:noWrap/>
            <w:vAlign w:val="center"/>
          </w:tcPr>
          <w:p w14:paraId="34A22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单位收入统筹</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469C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0069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部门统筹自有收入程度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6F678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C45A8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7CD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CD381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DD5A60"/>
        </w:tc>
        <w:tc>
          <w:tcPr>
            <w:tcW w:w="1312" w:type="dxa"/>
            <w:tcBorders>
              <w:top w:val="single" w:color="000000" w:sz="4" w:space="0"/>
              <w:left w:val="single" w:color="000000" w:sz="4" w:space="0"/>
              <w:bottom w:val="single" w:color="000000" w:sz="4" w:space="0"/>
              <w:right w:val="single" w:color="000000" w:sz="4" w:space="0"/>
            </w:tcBorders>
            <w:noWrap/>
            <w:vAlign w:val="center"/>
          </w:tcPr>
          <w:p w14:paraId="4EE392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支出执行进度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396FF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59CC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部门1至6月、1至10月预算执行情况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5DF519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6D99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9D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124123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00C962FF"/>
        </w:tc>
        <w:tc>
          <w:tcPr>
            <w:tcW w:w="1312" w:type="dxa"/>
            <w:tcBorders>
              <w:top w:val="single" w:color="000000" w:sz="4" w:space="0"/>
              <w:left w:val="single" w:color="000000" w:sz="4" w:space="0"/>
              <w:bottom w:val="single" w:color="000000" w:sz="4" w:space="0"/>
              <w:right w:val="single" w:color="000000" w:sz="4" w:space="0"/>
            </w:tcBorders>
            <w:noWrap/>
            <w:vAlign w:val="center"/>
          </w:tcPr>
          <w:p w14:paraId="0A058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预算年终结余</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7A79E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6F1A5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部门整体年终预算结余情况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6655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E5B91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28A2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3468CFD"/>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9EB701B"/>
        </w:tc>
        <w:tc>
          <w:tcPr>
            <w:tcW w:w="1312" w:type="dxa"/>
            <w:tcBorders>
              <w:top w:val="single" w:color="000000" w:sz="4" w:space="0"/>
              <w:left w:val="single" w:color="000000" w:sz="4" w:space="0"/>
              <w:bottom w:val="single" w:color="000000" w:sz="4" w:space="0"/>
              <w:right w:val="single" w:color="000000" w:sz="4" w:space="0"/>
            </w:tcBorders>
            <w:noWrap/>
            <w:vAlign w:val="center"/>
          </w:tcPr>
          <w:p w14:paraId="6F407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严控一般性支出</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2BE0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098A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3523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C19C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A7B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3DC3DC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2921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财务管理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1218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财务管理制度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CD47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153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部门财务管理制度建立情况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0C9C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44D99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9DE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64EFC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68619C8E"/>
        </w:tc>
        <w:tc>
          <w:tcPr>
            <w:tcW w:w="1312" w:type="dxa"/>
            <w:tcBorders>
              <w:top w:val="single" w:color="000000" w:sz="4" w:space="0"/>
              <w:left w:val="single" w:color="000000" w:sz="4" w:space="0"/>
              <w:bottom w:val="single" w:color="000000" w:sz="4" w:space="0"/>
              <w:right w:val="single" w:color="000000" w:sz="4" w:space="0"/>
            </w:tcBorders>
            <w:noWrap/>
            <w:vAlign w:val="center"/>
          </w:tcPr>
          <w:p w14:paraId="3A750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财务岗位设置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0D7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E2D0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部门财务岗位设置是否符合相关财务管理制度要求</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B5695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A82B9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E0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DDA86D6"/>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E1BD34D"/>
        </w:tc>
        <w:tc>
          <w:tcPr>
            <w:tcW w:w="1312" w:type="dxa"/>
            <w:tcBorders>
              <w:top w:val="single" w:color="000000" w:sz="4" w:space="0"/>
              <w:left w:val="single" w:color="000000" w:sz="4" w:space="0"/>
              <w:bottom w:val="single" w:color="000000" w:sz="4" w:space="0"/>
              <w:right w:val="single" w:color="000000" w:sz="4" w:space="0"/>
            </w:tcBorders>
            <w:noWrap/>
            <w:vAlign w:val="center"/>
          </w:tcPr>
          <w:p w14:paraId="421D7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资金使用规范</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A7C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543A0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部门资金使用是否符合相关财务管理制度规定</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B4E4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6709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80A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373DF35"/>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92B0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42A8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人均资产变化率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AAB7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BD8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部门人均资产变化情况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65EA1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61C12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614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0ABF484"/>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39CB97C6"/>
        </w:tc>
        <w:tc>
          <w:tcPr>
            <w:tcW w:w="1312" w:type="dxa"/>
            <w:tcBorders>
              <w:top w:val="single" w:color="000000" w:sz="4" w:space="0"/>
              <w:left w:val="single" w:color="000000" w:sz="4" w:space="0"/>
              <w:bottom w:val="single" w:color="000000" w:sz="4" w:space="0"/>
              <w:right w:val="single" w:color="000000" w:sz="4" w:space="0"/>
            </w:tcBorders>
            <w:noWrap/>
            <w:vAlign w:val="center"/>
          </w:tcPr>
          <w:p w14:paraId="1C12F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资产利用率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921A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2A2159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部门资产超最低使用年限情况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1EF9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7982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0C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58234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4B68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35A9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资产盘活率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184C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7FFF5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部门闲置一年以上的资产盘活情况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F2C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E475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D8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7FF735F"/>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038F4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采购管理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220E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支持中小企业发展</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5F3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925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部门是否严格执行政府采购促进中小企业发展相关管理办法</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D628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8417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346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157603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FD438EA"/>
        </w:tc>
        <w:tc>
          <w:tcPr>
            <w:tcW w:w="1312" w:type="dxa"/>
            <w:tcBorders>
              <w:top w:val="single" w:color="000000" w:sz="4" w:space="0"/>
              <w:left w:val="single" w:color="000000" w:sz="4" w:space="0"/>
              <w:bottom w:val="single" w:color="000000" w:sz="4" w:space="0"/>
              <w:right w:val="single" w:color="000000" w:sz="4" w:space="0"/>
            </w:tcBorders>
            <w:noWrap/>
            <w:vAlign w:val="center"/>
          </w:tcPr>
          <w:p w14:paraId="2AEC0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采购执行率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AC07A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BE34C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部门政府采购项目资金支付比例情况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5B2B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D45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80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3457E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（35分）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40C27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项目决策</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D48D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决策程序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1B9F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BCD9A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部门预算项目设立是否按规定履行评估论证、申报程序</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1998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0C55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4ED6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2FAACE7"/>
        </w:tc>
        <w:tc>
          <w:tcPr>
            <w:tcW w:w="1151" w:type="dxa"/>
            <w:vMerge w:val="continue"/>
            <w:tcBorders>
              <w:top w:val="single" w:color="000000" w:sz="4" w:space="0"/>
              <w:left w:val="single" w:color="000000" w:sz="4" w:space="0"/>
              <w:bottom w:val="nil"/>
              <w:right w:val="single" w:color="000000" w:sz="4" w:space="0"/>
            </w:tcBorders>
            <w:noWrap/>
            <w:vAlign w:val="center"/>
          </w:tcPr>
          <w:p w14:paraId="13154F2D"/>
        </w:tc>
        <w:tc>
          <w:tcPr>
            <w:tcW w:w="1312" w:type="dxa"/>
            <w:tcBorders>
              <w:top w:val="single" w:color="000000" w:sz="4" w:space="0"/>
              <w:left w:val="single" w:color="000000" w:sz="4" w:space="0"/>
              <w:bottom w:val="single" w:color="000000" w:sz="4" w:space="0"/>
              <w:right w:val="single" w:color="000000" w:sz="4" w:space="0"/>
            </w:tcBorders>
            <w:noWrap/>
            <w:vAlign w:val="center"/>
          </w:tcPr>
          <w:p w14:paraId="194FD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E9A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525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AE0B5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154D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B4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B11DBFF"/>
        </w:tc>
        <w:tc>
          <w:tcPr>
            <w:tcW w:w="1151" w:type="dxa"/>
            <w:vMerge w:val="continue"/>
            <w:tcBorders>
              <w:top w:val="single" w:color="000000" w:sz="4" w:space="0"/>
              <w:left w:val="single" w:color="000000" w:sz="4" w:space="0"/>
              <w:bottom w:val="nil"/>
              <w:right w:val="single" w:color="000000" w:sz="4" w:space="0"/>
            </w:tcBorders>
            <w:noWrap/>
            <w:vAlign w:val="center"/>
          </w:tcPr>
          <w:p w14:paraId="333DEF0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057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项目入库</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8917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9DD1D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部门预算项目是否在规定时间完成项目入库</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EE8AC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7159F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D8E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439AD801"/>
        </w:tc>
        <w:tc>
          <w:tcPr>
            <w:tcW w:w="1151" w:type="dxa"/>
            <w:vMerge w:val="restart"/>
            <w:tcBorders>
              <w:top w:val="single" w:color="000000" w:sz="4" w:space="0"/>
              <w:left w:val="single" w:color="000000" w:sz="4" w:space="0"/>
              <w:bottom w:val="nil"/>
              <w:right w:val="single" w:color="000000" w:sz="4" w:space="0"/>
            </w:tcBorders>
            <w:noWrap/>
            <w:vAlign w:val="center"/>
          </w:tcPr>
          <w:p w14:paraId="56C996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项目执行</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DAAD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执行同向</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63E1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8D70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部门预算项目实际列支内容是否与绩效目标设置方向相符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F63F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041A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E5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B6F8854"/>
        </w:tc>
        <w:tc>
          <w:tcPr>
            <w:tcW w:w="1151" w:type="dxa"/>
            <w:vMerge w:val="continue"/>
            <w:tcBorders>
              <w:top w:val="single" w:color="000000" w:sz="4" w:space="0"/>
              <w:left w:val="single" w:color="000000" w:sz="4" w:space="0"/>
              <w:bottom w:val="nil"/>
              <w:right w:val="single" w:color="000000" w:sz="4" w:space="0"/>
            </w:tcBorders>
            <w:noWrap/>
            <w:vAlign w:val="center"/>
          </w:tcPr>
          <w:p w14:paraId="1A446394"/>
        </w:tc>
        <w:tc>
          <w:tcPr>
            <w:tcW w:w="1312" w:type="dxa"/>
            <w:tcBorders>
              <w:top w:val="single" w:color="000000" w:sz="4" w:space="0"/>
              <w:left w:val="single" w:color="000000" w:sz="4" w:space="0"/>
              <w:bottom w:val="nil"/>
              <w:right w:val="single" w:color="000000" w:sz="4" w:space="0"/>
            </w:tcBorders>
            <w:noWrap/>
            <w:vAlign w:val="center"/>
          </w:tcPr>
          <w:p w14:paraId="7CF7C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项目调整</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4A6F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45353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部门预算项目是否采取对应调整措施</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8D7C8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F897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8A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78238881"/>
        </w:tc>
        <w:tc>
          <w:tcPr>
            <w:tcW w:w="1151" w:type="dxa"/>
            <w:vMerge w:val="continue"/>
            <w:tcBorders>
              <w:top w:val="single" w:color="000000" w:sz="4" w:space="0"/>
              <w:left w:val="single" w:color="000000" w:sz="4" w:space="0"/>
              <w:bottom w:val="nil"/>
              <w:right w:val="single" w:color="000000" w:sz="4" w:space="0"/>
            </w:tcBorders>
            <w:noWrap/>
            <w:vAlign w:val="center"/>
          </w:tcPr>
          <w:p w14:paraId="1E1C627D"/>
        </w:tc>
        <w:tc>
          <w:tcPr>
            <w:tcW w:w="1312" w:type="dxa"/>
            <w:tcBorders>
              <w:top w:val="single" w:color="000000" w:sz="4" w:space="0"/>
              <w:left w:val="single" w:color="000000" w:sz="4" w:space="0"/>
              <w:bottom w:val="single" w:color="000000" w:sz="4" w:space="0"/>
              <w:right w:val="single" w:color="000000" w:sz="4" w:space="0"/>
            </w:tcBorders>
            <w:noWrap/>
            <w:vAlign w:val="center"/>
          </w:tcPr>
          <w:p w14:paraId="3762E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执行结果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0990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401E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2AE8F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061986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797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E942538"/>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6268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目标实现</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（11分）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49B2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目标完成</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7338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8523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部门预算项目绩效目标数量指标完成情况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72C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3AD80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102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D898162"/>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14BF27EE"/>
        </w:tc>
        <w:tc>
          <w:tcPr>
            <w:tcW w:w="1312" w:type="dxa"/>
            <w:tcBorders>
              <w:top w:val="single" w:color="000000" w:sz="4" w:space="0"/>
              <w:left w:val="single" w:color="000000" w:sz="4" w:space="0"/>
              <w:bottom w:val="single" w:color="000000" w:sz="4" w:space="0"/>
              <w:right w:val="single" w:color="000000" w:sz="4" w:space="0"/>
            </w:tcBorders>
            <w:noWrap/>
            <w:vAlign w:val="center"/>
          </w:tcPr>
          <w:p w14:paraId="2898D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目标偏离</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D8AAA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AA4EC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部门预算项目绩效目标数量指标实现程度与预期目标的偏离情况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4CF8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770DB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1C4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0A2C5A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A1545E"/>
        </w:tc>
        <w:tc>
          <w:tcPr>
            <w:tcW w:w="1312" w:type="dxa"/>
            <w:tcBorders>
              <w:top w:val="single" w:color="000000" w:sz="4" w:space="0"/>
              <w:left w:val="single" w:color="000000" w:sz="4" w:space="0"/>
              <w:bottom w:val="single" w:color="000000" w:sz="4" w:space="0"/>
              <w:right w:val="single" w:color="000000" w:sz="4" w:space="0"/>
            </w:tcBorders>
            <w:noWrap/>
            <w:vAlign w:val="center"/>
          </w:tcPr>
          <w:p w14:paraId="3FB67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实现效果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62CD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019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部门预算项目绩效目标效益指标实施效果</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5D15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C141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D2A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14:paraId="26FF8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扣分项</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14:paraId="12871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被评价部门配合度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266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FF4D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被评价对象工作配合情况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65C6B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ACCD6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bl>
    <w:p w14:paraId="34D0E9C3">
      <w:pPr>
        <w:rPr>
          <w:lang w:val="en-US" w:eastAsia="zh-CN"/>
        </w:rPr>
      </w:pPr>
    </w:p>
    <w:p w14:paraId="0877DBE3">
      <w:pPr>
        <w:pStyle w:val="26"/>
        <w:rPr>
          <w:lang w:val="en-US" w:eastAsia="zh-CN"/>
        </w:rPr>
      </w:pPr>
    </w:p>
    <w:p w14:paraId="69E21563">
      <w:pPr>
        <w:rPr>
          <w:lang w:val="en-US" w:eastAsia="zh-CN"/>
        </w:rPr>
      </w:pPr>
    </w:p>
    <w:p w14:paraId="2591CE3F">
      <w:pPr>
        <w:pStyle w:val="26"/>
        <w:rPr>
          <w:lang w:val="en-US" w:eastAsia="zh-CN"/>
        </w:rPr>
      </w:pPr>
    </w:p>
    <w:p w14:paraId="49E2D47A">
      <w:pPr>
        <w:rPr>
          <w:lang w:val="en-US" w:eastAsia="zh-CN"/>
        </w:rPr>
      </w:pPr>
    </w:p>
    <w:p w14:paraId="450CDDD0">
      <w:pPr>
        <w:pStyle w:val="26"/>
        <w:rPr>
          <w:lang w:val="en-US" w:eastAsia="zh-CN"/>
        </w:rPr>
      </w:pPr>
    </w:p>
    <w:p w14:paraId="114CBF52">
      <w:pPr>
        <w:rPr>
          <w:lang w:val="en-US" w:eastAsia="zh-CN"/>
        </w:rPr>
      </w:pPr>
    </w:p>
    <w:p w14:paraId="7EE97B04">
      <w:pPr>
        <w:pStyle w:val="26"/>
        <w:rPr>
          <w:lang w:val="en-US" w:eastAsia="zh-CN"/>
        </w:rPr>
      </w:pPr>
    </w:p>
    <w:p w14:paraId="4664D773">
      <w:pPr>
        <w:rPr>
          <w:lang w:val="en-US" w:eastAsia="zh-CN"/>
        </w:rPr>
      </w:pPr>
    </w:p>
    <w:p w14:paraId="3ACFA633">
      <w:pPr>
        <w:pStyle w:val="26"/>
        <w:rPr>
          <w:lang w:val="en-US" w:eastAsia="zh-CN"/>
        </w:rPr>
      </w:pPr>
    </w:p>
    <w:p w14:paraId="7036DBFB">
      <w:pPr>
        <w:rPr>
          <w:lang w:val="en-US" w:eastAsia="zh-CN"/>
        </w:rPr>
      </w:pPr>
    </w:p>
    <w:p w14:paraId="071A9EBE">
      <w:pPr>
        <w:pStyle w:val="26"/>
        <w:rPr>
          <w:lang w:val="en-US" w:eastAsia="zh-CN"/>
        </w:rPr>
      </w:pPr>
    </w:p>
    <w:p w14:paraId="58490875">
      <w:pPr>
        <w:pStyle w:val="26"/>
        <w:rPr>
          <w:lang w:val="en-US" w:eastAsia="zh-CN"/>
        </w:rPr>
      </w:pPr>
    </w:p>
    <w:p w14:paraId="366AABBC">
      <w:pPr>
        <w:rPr>
          <w:lang w:val="en-US" w:eastAsia="zh-CN"/>
        </w:rPr>
      </w:pPr>
    </w:p>
    <w:tbl>
      <w:tblPr>
        <w:tblStyle w:val="17"/>
        <w:tblW w:w="83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33"/>
        <w:gridCol w:w="1063"/>
        <w:gridCol w:w="1005"/>
        <w:gridCol w:w="1"/>
        <w:gridCol w:w="868"/>
        <w:gridCol w:w="904"/>
        <w:gridCol w:w="1017"/>
        <w:gridCol w:w="835"/>
        <w:gridCol w:w="731"/>
        <w:gridCol w:w="879"/>
      </w:tblGrid>
      <w:tr w14:paraId="2E365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8336" w:type="dxa"/>
            <w:gridSpan w:val="10"/>
            <w:tcBorders>
              <w:top w:val="nil"/>
              <w:left w:val="nil"/>
              <w:bottom w:val="nil"/>
              <w:right w:val="nil"/>
            </w:tcBorders>
            <w:shd w:val="clear" w:color="auto" w:fill="auto"/>
            <w:noWrap/>
            <w:vAlign w:val="center"/>
          </w:tcPr>
          <w:p w14:paraId="2784B82F">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部门整体绩效目标完成情况自评表</w:t>
            </w:r>
          </w:p>
        </w:tc>
      </w:tr>
      <w:tr w14:paraId="7538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8336" w:type="dxa"/>
            <w:gridSpan w:val="10"/>
            <w:tcBorders>
              <w:top w:val="nil"/>
              <w:left w:val="nil"/>
              <w:bottom w:val="nil"/>
              <w:right w:val="nil"/>
            </w:tcBorders>
            <w:shd w:val="clear" w:color="auto" w:fill="auto"/>
            <w:noWrap/>
            <w:vAlign w:val="center"/>
          </w:tcPr>
          <w:p w14:paraId="21C981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w:t>
            </w:r>
            <w:r>
              <w:rPr>
                <w:rFonts w:hint="eastAsia" w:eastAsia="宋体" w:cs="Times New Roman"/>
                <w:i w:val="0"/>
                <w:color w:val="000000"/>
                <w:kern w:val="0"/>
                <w:sz w:val="28"/>
                <w:szCs w:val="28"/>
                <w:u w:val="none"/>
                <w:lang w:val="en-US" w:eastAsia="zh-CN"/>
              </w:rPr>
              <w:t>4</w:t>
            </w:r>
            <w:r>
              <w:rPr>
                <w:rFonts w:ascii="Times New Roman" w:hAnsi="Times New Roman" w:eastAsia="宋体" w:cs="Times New Roman"/>
                <w:i w:val="0"/>
                <w:color w:val="000000"/>
                <w:kern w:val="0"/>
                <w:sz w:val="28"/>
                <w:szCs w:val="28"/>
                <w:u w:val="none"/>
                <w:lang w:val="en-US" w:eastAsia="zh-CN"/>
              </w:rPr>
              <w:t>年度）</w:t>
            </w:r>
          </w:p>
        </w:tc>
      </w:tr>
      <w:tr w14:paraId="6EEC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8336" w:type="dxa"/>
            <w:gridSpan w:val="10"/>
            <w:tcBorders>
              <w:top w:val="nil"/>
              <w:left w:val="nil"/>
              <w:bottom w:val="single" w:color="000000" w:sz="4" w:space="0"/>
              <w:right w:val="nil"/>
            </w:tcBorders>
            <w:shd w:val="clear" w:color="auto" w:fill="auto"/>
            <w:noWrap/>
            <w:vAlign w:val="center"/>
          </w:tcPr>
          <w:p w14:paraId="1CF4272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4C35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10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E5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部门名称</w:t>
            </w:r>
          </w:p>
        </w:tc>
        <w:tc>
          <w:tcPr>
            <w:tcW w:w="52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94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金川县庆宁乡人民政府</w:t>
            </w:r>
          </w:p>
        </w:tc>
      </w:tr>
      <w:tr w14:paraId="7E5E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E7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年度部门整体支出预算</w:t>
            </w:r>
          </w:p>
        </w:tc>
        <w:tc>
          <w:tcPr>
            <w:tcW w:w="20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83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资金总额</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FF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财政拨款</w:t>
            </w:r>
          </w:p>
        </w:tc>
        <w:tc>
          <w:tcPr>
            <w:tcW w:w="34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C5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其他资金</w:t>
            </w:r>
          </w:p>
        </w:tc>
      </w:tr>
      <w:tr w14:paraId="6453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91A2"/>
        </w:tc>
        <w:tc>
          <w:tcPr>
            <w:tcW w:w="20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D6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lang w:val="en-US" w:eastAsia="zh-CN"/>
              </w:rPr>
            </w:pPr>
            <w:r>
              <w:rPr>
                <w:rFonts w:hint="eastAsia" w:ascii="宋体" w:eastAsia="宋体" w:cs="宋体"/>
                <w:sz w:val="24"/>
                <w:szCs w:val="24"/>
                <w:lang w:val="en-US" w:eastAsia="zh-CN"/>
              </w:rPr>
              <w:t>991.49</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AB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lang w:val="en-US" w:eastAsia="zh-CN"/>
              </w:rPr>
            </w:pPr>
            <w:r>
              <w:rPr>
                <w:rFonts w:hint="eastAsia" w:ascii="宋体" w:eastAsia="宋体" w:cs="宋体"/>
                <w:sz w:val="24"/>
                <w:szCs w:val="24"/>
                <w:lang w:val="en-US" w:eastAsia="zh-CN"/>
              </w:rPr>
              <w:t>991.49</w:t>
            </w:r>
          </w:p>
        </w:tc>
        <w:tc>
          <w:tcPr>
            <w:tcW w:w="34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B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0</w:t>
            </w:r>
          </w:p>
        </w:tc>
      </w:tr>
      <w:tr w14:paraId="74EC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4D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77D546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730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7D6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 xml:space="preserve">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 </w:t>
            </w:r>
          </w:p>
        </w:tc>
      </w:tr>
      <w:tr w14:paraId="54E07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4" w:hRule="atLeast"/>
          <w:jc w:val="center"/>
        </w:trPr>
        <w:tc>
          <w:tcPr>
            <w:tcW w:w="1033" w:type="dxa"/>
            <w:vMerge w:val="restart"/>
            <w:tcBorders>
              <w:top w:val="single" w:color="000000" w:sz="4" w:space="0"/>
              <w:left w:val="single" w:color="000000" w:sz="4" w:space="0"/>
              <w:bottom w:val="nil"/>
              <w:right w:val="single" w:color="000000" w:sz="4" w:space="0"/>
            </w:tcBorders>
            <w:shd w:val="clear" w:color="auto" w:fill="auto"/>
            <w:noWrap/>
            <w:vAlign w:val="center"/>
          </w:tcPr>
          <w:p w14:paraId="5D3A7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1EECD3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48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B7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2EE47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4C48CB5D"/>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AE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便民服务中心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F2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贯彻执行党和国家的法律、法规和方针、政策; 加强政治理论和业务学习，及时掌握新的政策、法规及办事程序; 负责规范化服务的宣传、培训管理工作; 负责政府网站的管理和内容的更新工作; 撰写、编制、报送相关的各种信息、资料、报表; 完成党委、政府安排的其他工作。</w:t>
            </w:r>
          </w:p>
        </w:tc>
      </w:tr>
      <w:tr w14:paraId="2F42E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1B519EAF"/>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7E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农业农村服务中心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75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112AE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34FD81EE"/>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1C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经济发展服务中心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1C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全镇辖区内畜牧生产统计工作；负责全镇辖区内重大动物疫病强制免疫的免疫质量、疫病监测，消毒工作和病死畜禽无害化处理的技术指导，规模畜禽养殖场动物防疫监控，疫情报告工作；负责全镇辖区内兽医新技术推广和村级动物防疫员的业务培训、指导、监督管理；</w:t>
            </w:r>
          </w:p>
        </w:tc>
      </w:tr>
      <w:tr w14:paraId="0CEF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39C4733C"/>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C5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退役军人服务站</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1D9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做好关系转移、联络接待、困难帮扶、信息采集、情况反映、立功喜报、悬挂光荣牌和“八一”、春节等重要节日及重大变故走访慰问等具体事务</w:t>
            </w:r>
          </w:p>
        </w:tc>
      </w:tr>
      <w:tr w14:paraId="59376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21DD0AF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A6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行政机构工作职责</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50E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宣传落实好党的路线、方针、政策和国家的法律、法规，极高、培育村民委员会自制能力。</w:t>
            </w:r>
          </w:p>
        </w:tc>
      </w:tr>
      <w:tr w14:paraId="53AF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6FC73D5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25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党政办公室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CC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检查和督促党的方针政策及重要工作计划的贯彻实施情况，负责起草党委、政府文件及各种文稿，负责做好重大问题归口报告，认真做好上情下达、下情上达；负责来文来电办理，及时、准确、保密；</w:t>
            </w:r>
          </w:p>
        </w:tc>
      </w:tr>
      <w:tr w14:paraId="19BA6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4ACDA32E"/>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9A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综合发展办公室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61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负责贯彻执行党和国家及省、市、县关于扶贫开发工作方针、政策和法律、法规；研究制定和草拟镇扶贫开发中长期规划和年度计划，并组织实施；</w:t>
            </w:r>
          </w:p>
        </w:tc>
      </w:tr>
      <w:tr w14:paraId="1092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752579F4"/>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FB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维护稳定办公室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F5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6935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7530760A"/>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94A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财政所</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783D">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w:t>
            </w:r>
          </w:p>
        </w:tc>
      </w:tr>
      <w:tr w14:paraId="0E79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17B5BC1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A2D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事业机构主要职责</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E118">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宣传落实好党的路线、方针、政策和国家的法律、法规，极高、培育村民委员会自制能力。</w:t>
            </w:r>
          </w:p>
        </w:tc>
      </w:tr>
      <w:tr w14:paraId="7FC69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03EDB5C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793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综合文化中心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7B28">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开展宣传教育活动，宣传党和国家方针政策，开展普法教育，传播科技文化知识；组织开展公益性文化体育活动，为当地群众提供广播、电影放映等文化服务；开展图书借阅和读书指导活动</w:t>
            </w:r>
          </w:p>
        </w:tc>
      </w:tr>
      <w:tr w14:paraId="75D6D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254C36B2"/>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2D0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城镇工作办公室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7BDF">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负责本辖区内土地出让、村居民建房手续的初核上报工作；负责配合上级部门搞好辖区内各村（居）委土地利用总体规划；协同村（社区）搞好本辖区内的土地纠纷的调处工作；负责上级主管部门开展辖区内的市政建设等基础设施工作；负责配合协调上级部门搞好本区域内涉及的征地拆迁和安置工作；协同上级部门搞好经济适用房、廉租房等的统计、核实、上报工作；负责配合、协调上级部门搞好城镇建设的其他相关工作。</w:t>
            </w:r>
          </w:p>
        </w:tc>
      </w:tr>
      <w:tr w14:paraId="297B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7A2ECDB"/>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C78B">
            <w:pPr>
              <w:keepNext w:val="0"/>
              <w:keepLines w:val="0"/>
              <w:pageBreakBefore w:val="0"/>
              <w:widowControl/>
              <w:tabs>
                <w:tab w:val="right" w:pos="2590"/>
              </w:tabs>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社会事业服务中心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5F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贯彻执行党和国家的方针、政策和民政工作的有关政策、法律、法规，制定年度民政工作计划并组织实施，协助镇党政府搞好民政工作；贯彻执行城镇居民和农村居民最低生活保障制度，申报、发放最低生活保障金，实行动态管理，落实好农村五保供养政策，使鳏寡孤独人员、孤儿应保尽保;做好敬老院的监督、管理工作；准确调查、掌握残疾人的状况和需求，建档立卡; 密切联系残疾人，听取残疾人意见，反映残疾人需求，维护残疾人权益，为残疾人服务;</w:t>
            </w:r>
          </w:p>
        </w:tc>
      </w:tr>
      <w:tr w14:paraId="433F0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96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449807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06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E6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B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C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5C80DE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4E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BA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731" w:type="dxa"/>
            <w:tcBorders>
              <w:top w:val="single" w:color="000000" w:sz="4" w:space="0"/>
              <w:left w:val="single" w:color="000000" w:sz="4" w:space="0"/>
              <w:bottom w:val="single" w:color="000000" w:sz="4" w:space="0"/>
              <w:right w:val="nil"/>
            </w:tcBorders>
            <w:shd w:val="clear" w:color="auto" w:fill="auto"/>
            <w:noWrap/>
            <w:vAlign w:val="center"/>
          </w:tcPr>
          <w:p w14:paraId="56AE82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8E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142228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7466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3E35"/>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C5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8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数量指标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44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全年调整次数</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09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77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2F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E8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20</w:t>
            </w:r>
            <w:r>
              <w:rPr>
                <w:rFonts w:ascii="Times New Roman" w:hAnsi="Times New Roman" w:eastAsia="宋体" w:cs="Times New Roman"/>
                <w:i w:val="0"/>
                <w:color w:val="000000"/>
                <w:kern w:val="0"/>
                <w:sz w:val="24"/>
                <w:szCs w:val="24"/>
                <w:u w:val="none"/>
                <w:lang w:val="en-US" w:eastAsia="zh-CN"/>
              </w:rPr>
              <w:t>%</w:t>
            </w:r>
          </w:p>
        </w:tc>
        <w:tc>
          <w:tcPr>
            <w:tcW w:w="879" w:type="dxa"/>
            <w:tcBorders>
              <w:top w:val="nil"/>
              <w:left w:val="single" w:color="000000" w:sz="4" w:space="0"/>
              <w:bottom w:val="single" w:color="000000" w:sz="4" w:space="0"/>
              <w:right w:val="single" w:color="000000" w:sz="4" w:space="0"/>
            </w:tcBorders>
            <w:shd w:val="clear" w:color="auto" w:fill="auto"/>
            <w:noWrap/>
            <w:vAlign w:val="center"/>
          </w:tcPr>
          <w:p w14:paraId="4AFB6D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77B3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23CD"/>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508A"/>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D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质量指标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874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预算编制准确率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AC0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1CA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09C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D46F">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A3C6">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r>
      <w:tr w14:paraId="7B1D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1424"/>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BB7E"/>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22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时效指标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2B7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按时发放率相应经费</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7D4E">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B6F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0F9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76A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784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BFB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500B"/>
        </w:tc>
        <w:tc>
          <w:tcPr>
            <w:tcW w:w="1063" w:type="dxa"/>
            <w:vMerge w:val="restart"/>
            <w:tcBorders>
              <w:top w:val="single" w:color="000000" w:sz="4" w:space="0"/>
              <w:left w:val="single" w:color="000000" w:sz="4" w:space="0"/>
              <w:bottom w:val="nil"/>
              <w:right w:val="single" w:color="000000" w:sz="4" w:space="0"/>
            </w:tcBorders>
            <w:shd w:val="clear" w:color="auto" w:fill="auto"/>
            <w:noWrap/>
            <w:vAlign w:val="center"/>
          </w:tcPr>
          <w:p w14:paraId="2C920D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效益指标</w:t>
            </w:r>
          </w:p>
        </w:tc>
        <w:tc>
          <w:tcPr>
            <w:tcW w:w="1005" w:type="dxa"/>
            <w:vMerge w:val="restart"/>
            <w:tcBorders>
              <w:top w:val="single" w:color="000000" w:sz="4" w:space="0"/>
              <w:left w:val="single" w:color="000000" w:sz="4" w:space="0"/>
              <w:bottom w:val="nil"/>
              <w:right w:val="single" w:color="000000" w:sz="4" w:space="0"/>
            </w:tcBorders>
            <w:shd w:val="clear" w:color="auto" w:fill="auto"/>
            <w:noWrap/>
            <w:vAlign w:val="center"/>
          </w:tcPr>
          <w:p w14:paraId="29CD24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经济</w:t>
            </w:r>
            <w:r>
              <w:rPr>
                <w:rFonts w:ascii="Times New Roman" w:hAnsi="Times New Roman" w:eastAsia="宋体" w:cs="Times New Roman"/>
                <w:i w:val="0"/>
                <w:color w:val="000000"/>
                <w:kern w:val="0"/>
                <w:sz w:val="24"/>
                <w:szCs w:val="24"/>
                <w:u w:val="none"/>
                <w:lang w:val="en-US" w:eastAsia="zh-CN"/>
              </w:rPr>
              <w:t>效益</w:t>
            </w:r>
          </w:p>
          <w:p w14:paraId="291FC9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B9E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三公经费控制率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7D5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CF1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9D4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6E0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918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71D2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4003"/>
        </w:tc>
        <w:tc>
          <w:tcPr>
            <w:tcW w:w="1063" w:type="dxa"/>
            <w:vMerge w:val="continue"/>
            <w:tcBorders>
              <w:top w:val="nil"/>
              <w:left w:val="single" w:color="000000" w:sz="4" w:space="0"/>
              <w:bottom w:val="nil"/>
              <w:right w:val="single" w:color="000000" w:sz="4" w:space="0"/>
            </w:tcBorders>
            <w:shd w:val="clear" w:color="auto" w:fill="auto"/>
            <w:noWrap/>
            <w:vAlign w:val="center"/>
          </w:tcPr>
          <w:p w14:paraId="3672FBB9"/>
        </w:tc>
        <w:tc>
          <w:tcPr>
            <w:tcW w:w="1005" w:type="dxa"/>
            <w:vMerge w:val="continue"/>
            <w:tcBorders>
              <w:top w:val="nil"/>
              <w:left w:val="single" w:color="000000" w:sz="4" w:space="0"/>
              <w:bottom w:val="nil"/>
              <w:right w:val="single" w:color="000000" w:sz="4" w:space="0"/>
            </w:tcBorders>
            <w:shd w:val="clear" w:color="auto" w:fill="auto"/>
            <w:noWrap/>
            <w:vAlign w:val="center"/>
          </w:tcPr>
          <w:p w14:paraId="6F7F9281"/>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E31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运转保障率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75F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2BC6">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3D28">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05FE">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1F09">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r w14:paraId="01E7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E54F"/>
        </w:tc>
        <w:tc>
          <w:tcPr>
            <w:tcW w:w="1063" w:type="dxa"/>
            <w:vMerge w:val="continue"/>
            <w:tcBorders>
              <w:top w:val="nil"/>
              <w:left w:val="single" w:color="000000" w:sz="4" w:space="0"/>
              <w:bottom w:val="nil"/>
              <w:right w:val="single" w:color="000000" w:sz="4" w:space="0"/>
            </w:tcBorders>
            <w:shd w:val="clear" w:color="auto" w:fill="auto"/>
            <w:noWrap/>
            <w:vAlign w:val="center"/>
          </w:tcPr>
          <w:p w14:paraId="56EA89BD"/>
        </w:tc>
        <w:tc>
          <w:tcPr>
            <w:tcW w:w="1005"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147ACC6"/>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008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预算结余率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CEE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A7C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720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6654">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248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753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9641"/>
        </w:tc>
        <w:tc>
          <w:tcPr>
            <w:tcW w:w="1063" w:type="dxa"/>
            <w:vMerge w:val="continue"/>
            <w:tcBorders>
              <w:top w:val="nil"/>
              <w:left w:val="single" w:color="000000" w:sz="4" w:space="0"/>
              <w:bottom w:val="nil"/>
              <w:right w:val="single" w:color="000000" w:sz="4" w:space="0"/>
            </w:tcBorders>
            <w:shd w:val="clear" w:color="auto" w:fill="auto"/>
            <w:noWrap/>
            <w:vAlign w:val="center"/>
          </w:tcPr>
          <w:p w14:paraId="618FE841"/>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3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社会效益指标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45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eastAsia="宋体" w:cs="Times New Roman"/>
                <w:i w:val="0"/>
                <w:color w:val="000000"/>
                <w:kern w:val="0"/>
                <w:sz w:val="24"/>
                <w:szCs w:val="24"/>
                <w:u w:val="none"/>
                <w:lang w:val="en-US" w:eastAsia="zh-CN"/>
              </w:rPr>
            </w:pPr>
            <w:r>
              <w:rPr>
                <w:rFonts w:eastAsia="宋体" w:cs="Times New Roman"/>
                <w:i w:val="0"/>
                <w:color w:val="000000"/>
                <w:kern w:val="0"/>
                <w:sz w:val="24"/>
                <w:szCs w:val="24"/>
                <w:u w:val="none"/>
                <w:lang w:val="en-US" w:eastAsia="zh-CN"/>
              </w:rPr>
              <w:t>保障全乡人民幸福率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4EF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3D9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D16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EDB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8A8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bl>
    <w:p w14:paraId="2B0E7506">
      <w:pPr>
        <w:pStyle w:val="13"/>
        <w:jc w:val="center"/>
      </w:pPr>
    </w:p>
    <w:p w14:paraId="7A936685">
      <w:pPr>
        <w:pStyle w:val="9"/>
      </w:pPr>
    </w:p>
    <w:p w14:paraId="62E0B937">
      <w:pPr>
        <w:pStyle w:val="9"/>
      </w:pPr>
    </w:p>
    <w:p w14:paraId="5BE869A0">
      <w:pPr>
        <w:pStyle w:val="9"/>
      </w:pPr>
    </w:p>
    <w:p w14:paraId="3F5507E4">
      <w:pPr>
        <w:pStyle w:val="9"/>
      </w:pPr>
    </w:p>
    <w:p w14:paraId="7DC33B63">
      <w:pPr>
        <w:pStyle w:val="9"/>
      </w:pPr>
    </w:p>
    <w:p w14:paraId="76C469B9">
      <w:pPr>
        <w:pStyle w:val="9"/>
      </w:pPr>
    </w:p>
    <w:p w14:paraId="6CC83D7D">
      <w:pPr>
        <w:pStyle w:val="9"/>
      </w:pPr>
    </w:p>
    <w:p w14:paraId="705A1506">
      <w:pPr>
        <w:pStyle w:val="9"/>
      </w:pPr>
    </w:p>
    <w:p w14:paraId="28570A0D">
      <w:pPr>
        <w:pStyle w:val="9"/>
      </w:pPr>
    </w:p>
    <w:p w14:paraId="127FCD0F">
      <w:pPr>
        <w:pStyle w:val="9"/>
        <w:ind w:left="0" w:leftChars="0" w:firstLine="0" w:firstLineChars="0"/>
      </w:pPr>
    </w:p>
    <w:p w14:paraId="7BBEE01F">
      <w:pPr>
        <w:pStyle w:val="9"/>
        <w:ind w:left="0" w:leftChars="0" w:firstLine="0" w:firstLineChars="0"/>
      </w:pPr>
    </w:p>
    <w:p w14:paraId="6DFE4B4A">
      <w:pPr>
        <w:pStyle w:val="9"/>
        <w:ind w:left="0" w:leftChars="0" w:firstLine="0" w:firstLineChars="0"/>
      </w:pPr>
    </w:p>
    <w:p w14:paraId="477A49C9">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20BE2782">
      <w:pPr>
        <w:pStyle w:val="27"/>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4B43F71">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2640" w:firstLineChars="600"/>
        <w:jc w:val="both"/>
        <w:textAlignment w:val="auto"/>
        <w:rPr>
          <w:rFonts w:hint="eastAsia" w:ascii="Times New Roman" w:hAnsi="Times New Roman" w:eastAsia="方正小标宋简体" w:cs="方正小标宋简体"/>
          <w:color w:val="auto"/>
          <w:kern w:val="2"/>
          <w:sz w:val="44"/>
          <w:szCs w:val="44"/>
          <w:highlight w:val="none"/>
          <w:lang w:val="en-US" w:eastAsia="zh-CN" w:bidi="ar-SA"/>
        </w:rPr>
      </w:pPr>
      <w:r>
        <w:rPr>
          <w:rFonts w:hint="eastAsia" w:ascii="Times New Roman" w:hAnsi="Times New Roman" w:eastAsia="方正小标宋简体" w:cs="方正小标宋简体"/>
          <w:color w:val="auto"/>
          <w:kern w:val="2"/>
          <w:sz w:val="44"/>
          <w:szCs w:val="44"/>
          <w:highlight w:val="none"/>
          <w:lang w:val="en-US" w:eastAsia="zh-CN" w:bidi="ar-SA"/>
        </w:rPr>
        <w:t>庆宁乡人民政府</w:t>
      </w:r>
    </w:p>
    <w:p w14:paraId="2EE4A56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2200" w:firstLineChars="500"/>
        <w:jc w:val="both"/>
        <w:textAlignment w:val="auto"/>
        <w:rPr>
          <w:rFonts w:ascii="Times New Roman" w:hAnsi="Times New Roman" w:eastAsia="方正小标宋简体" w:cs="方正小标宋简体"/>
          <w:color w:val="auto"/>
          <w:kern w:val="2"/>
          <w:sz w:val="44"/>
          <w:szCs w:val="44"/>
          <w:highlight w:val="none"/>
          <w:lang w:val="en-US" w:eastAsia="zh-CN" w:bidi="ar-SA"/>
        </w:rPr>
      </w:pPr>
      <w:r>
        <w:rPr>
          <w:rFonts w:ascii="Times New Roman" w:hAnsi="Times New Roman" w:eastAsia="方正小标宋简体" w:cs="方正小标宋简体"/>
          <w:color w:val="auto"/>
          <w:kern w:val="2"/>
          <w:sz w:val="44"/>
          <w:szCs w:val="44"/>
          <w:highlight w:val="none"/>
          <w:lang w:val="en-US" w:eastAsia="zh-CN" w:bidi="ar-SA"/>
        </w:rPr>
        <w:t>专项预算绩效自评报告</w:t>
      </w:r>
    </w:p>
    <w:p w14:paraId="708051E6">
      <w:pPr>
        <w:pStyle w:val="27"/>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Times New Roman" w:hAnsi="Times New Roman" w:cs="Times New Roman"/>
          <w:color w:val="auto"/>
          <w:kern w:val="2"/>
          <w:sz w:val="32"/>
          <w:szCs w:val="32"/>
          <w:highlight w:val="none"/>
        </w:rPr>
      </w:pPr>
    </w:p>
    <w:p w14:paraId="56FF1706">
      <w:pPr>
        <w:keepNext w:val="0"/>
        <w:keepLines w:val="0"/>
        <w:pageBreakBefore w:val="0"/>
        <w:widowControl w:val="0"/>
        <w:kinsoku/>
        <w:wordWrap/>
        <w:overflowPunct/>
        <w:topLinePunct w:val="0"/>
        <w:autoSpaceDE/>
        <w:autoSpaceDN/>
        <w:bidi w:val="0"/>
        <w:adjustRightInd w:val="0"/>
        <w:snapToGrid w:val="0"/>
        <w:spacing w:line="578" w:lineRule="exact"/>
        <w:textAlignment w:val="auto"/>
        <w:rPr>
          <w:rFonts w:ascii="Times New Roman" w:hAnsi="Times New Roman" w:eastAsia="黑体"/>
          <w:sz w:val="32"/>
          <w:szCs w:val="32"/>
          <w:highlight w:val="none"/>
          <w:lang w:val="zh-CN"/>
        </w:rPr>
      </w:pPr>
      <w:r>
        <w:rPr>
          <w:rFonts w:ascii="Times New Roman" w:hAnsi="Times New Roman" w:eastAsia="黑体"/>
          <w:sz w:val="32"/>
          <w:szCs w:val="32"/>
          <w:highlight w:val="none"/>
        </w:rPr>
        <w:t>一、</w:t>
      </w:r>
      <w:r>
        <w:rPr>
          <w:rFonts w:ascii="Times New Roman" w:hAnsi="Times New Roman" w:eastAsia="黑体"/>
          <w:sz w:val="32"/>
          <w:szCs w:val="32"/>
          <w:highlight w:val="none"/>
          <w:lang w:val="zh-CN"/>
        </w:rPr>
        <w:t>项目概况</w:t>
      </w:r>
    </w:p>
    <w:p w14:paraId="3AC45A66">
      <w:pPr>
        <w:ind w:firstLine="321" w:firstLineChars="1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（一）设立背景及基本情况。</w:t>
      </w:r>
    </w:p>
    <w:p w14:paraId="228C2E79">
      <w:pPr>
        <w:ind w:firstLine="640" w:firstLineChars="200"/>
        <w:rPr>
          <w:rFonts w:hint="eastAsia" w:ascii="仿宋" w:eastAsia="仿宋" w:cs="仿宋"/>
          <w:color w:val="auto"/>
          <w:kern w:val="0"/>
          <w:sz w:val="32"/>
          <w:szCs w:val="32"/>
          <w:highlight w:val="none"/>
          <w:u w:val="none"/>
          <w:shd w:val="clear" w:color="auto" w:fill="FFFFFF"/>
          <w:lang w:val="zh-CN"/>
        </w:rPr>
      </w:pPr>
      <w:r>
        <w:rPr>
          <w:rFonts w:hint="eastAsia" w:ascii="仿宋_GB2312" w:eastAsia="仿宋_GB2312"/>
          <w:sz w:val="32"/>
          <w:szCs w:val="32"/>
        </w:rPr>
        <w:t>庆宁乡位于“世外梨园”AAAA景区核心区，</w:t>
      </w:r>
      <w:r>
        <w:rPr>
          <w:rFonts w:hint="eastAsia" w:ascii="仿宋_GB2312" w:eastAsia="仿宋_GB2312"/>
          <w:sz w:val="32"/>
          <w:szCs w:val="32"/>
          <w:lang w:eastAsia="zh-CN"/>
        </w:rPr>
        <w:t>、</w:t>
      </w:r>
      <w:r>
        <w:rPr>
          <w:rFonts w:hint="eastAsia" w:ascii="仿宋_GB2312" w:eastAsia="仿宋_GB2312"/>
          <w:sz w:val="32"/>
          <w:szCs w:val="32"/>
        </w:rPr>
        <w:t>结合庆宁乡乡村振兴发展目标。坚持统筹发展的原则，坚持因地制宜，科学规划的原则，坚持政府主导，通过</w:t>
      </w:r>
      <w:r>
        <w:rPr>
          <w:rFonts w:hint="eastAsia" w:ascii="仿宋_GB2312" w:eastAsia="仿宋_GB2312"/>
          <w:sz w:val="32"/>
          <w:szCs w:val="32"/>
          <w:lang w:val="en-US" w:eastAsia="zh-CN"/>
        </w:rPr>
        <w:t>金川县庆宁乡城乡环境卫生综合整治项目</w:t>
      </w:r>
      <w:r>
        <w:rPr>
          <w:rFonts w:hint="eastAsia" w:ascii="仿宋_GB2312" w:eastAsia="仿宋_GB2312"/>
          <w:sz w:val="32"/>
          <w:szCs w:val="32"/>
        </w:rPr>
        <w:t>进一步完善庆宁乡基础设施建设，</w:t>
      </w:r>
      <w:r>
        <w:rPr>
          <w:rFonts w:hint="eastAsia" w:ascii="仿宋_GB2312" w:eastAsia="仿宋_GB2312"/>
          <w:sz w:val="32"/>
          <w:szCs w:val="32"/>
          <w:lang w:val="en-US" w:eastAsia="zh-CN"/>
        </w:rPr>
        <w:t>确保全乡职工工作生活安全，解决其后顾之忧，让他们全心全意投入到工作之中；</w:t>
      </w:r>
      <w:r>
        <w:rPr>
          <w:rFonts w:hint="eastAsia" w:ascii="仿宋_GB2312" w:eastAsia="仿宋_GB2312"/>
          <w:sz w:val="32"/>
          <w:szCs w:val="32"/>
        </w:rPr>
        <w:t>金川县庆宁乡庆宁村四组产业便道提升改善项目，庆宁乡庆宁村道路提升建设项目，计划投资98万元，用于庆宁乡四组产业道路890米进行维修，硬化路590米，堡坎450立方，资金来源为中央和省级衔接资金98万元</w:t>
      </w:r>
      <w:r>
        <w:rPr>
          <w:rFonts w:hint="eastAsia" w:ascii="仿宋_GB2312" w:eastAsia="仿宋_GB2312"/>
          <w:sz w:val="32"/>
          <w:szCs w:val="32"/>
          <w:lang w:eastAsia="zh-CN"/>
        </w:rPr>
        <w:t>；</w:t>
      </w:r>
      <w:r>
        <w:rPr>
          <w:rFonts w:hint="eastAsia" w:ascii="仿宋_GB2312" w:eastAsia="仿宋_GB2312"/>
          <w:sz w:val="32"/>
          <w:szCs w:val="32"/>
          <w:lang w:val="en-US" w:eastAsia="zh-CN"/>
        </w:rPr>
        <w:t>金川县庆宁乡雪梨提质增效产业基础设施建设项目</w:t>
      </w:r>
      <w:r>
        <w:rPr>
          <w:rFonts w:hint="eastAsia" w:ascii="仿宋_GB2312" w:eastAsia="仿宋_GB2312"/>
          <w:sz w:val="32"/>
          <w:szCs w:val="32"/>
        </w:rPr>
        <w:t>进一步完善庆宁乡基础设施建设，助力庆宁乡经济、社会统一发展，更好的提高老百姓生产生活水平，助力乡村振兴，以</w:t>
      </w:r>
      <w:r>
        <w:rPr>
          <w:rFonts w:hint="eastAsia" w:ascii="仿宋_GB2312" w:eastAsia="仿宋_GB2312"/>
          <w:sz w:val="32"/>
          <w:szCs w:val="32"/>
          <w:lang w:val="en-US" w:eastAsia="zh-CN"/>
        </w:rPr>
        <w:t>金川县庆宁乡雪梨提质增效产业基础设施建设项目</w:t>
      </w:r>
      <w:r>
        <w:rPr>
          <w:rFonts w:hint="eastAsia" w:ascii="仿宋_GB2312" w:eastAsia="仿宋_GB2312"/>
          <w:sz w:val="32"/>
          <w:szCs w:val="32"/>
        </w:rPr>
        <w:t>为契机，进一步完善庆宁乡基础设施建设、为深入挖掘庆宁乡优势旅游资源奠定坚实基础、拓展全乡群众增收渠道。</w:t>
      </w:r>
    </w:p>
    <w:p w14:paraId="29AABE8E">
      <w:pPr>
        <w:numPr>
          <w:ilvl w:val="0"/>
          <w:numId w:val="10"/>
        </w:numPr>
        <w:snapToGrid w:val="0"/>
        <w:spacing w:line="600" w:lineRule="exact"/>
        <w:ind w:left="0" w:firstLine="643" w:firstLineChars="200"/>
        <w:rPr>
          <w:rFonts w:ascii="Times New Roman" w:hAnsi="Times New Roman" w:eastAsia="楷体_GB2312" w:cs="Times New Roman"/>
          <w:b/>
          <w:color w:val="auto"/>
          <w:sz w:val="32"/>
          <w:szCs w:val="32"/>
          <w:highlight w:val="none"/>
          <w:u w:val="none"/>
          <w:lang w:val="en-US" w:eastAsia="zh-CN"/>
        </w:rPr>
      </w:pPr>
      <w:r>
        <w:rPr>
          <w:rFonts w:ascii="Times New Roman" w:hAnsi="Times New Roman" w:eastAsia="楷体_GB2312" w:cs="Times New Roman"/>
          <w:b/>
          <w:color w:val="auto"/>
          <w:sz w:val="32"/>
          <w:szCs w:val="32"/>
          <w:highlight w:val="none"/>
          <w:u w:val="none"/>
          <w:lang w:val="en-US" w:eastAsia="zh-CN"/>
        </w:rPr>
        <w:t>实施目的及支持方向。</w:t>
      </w:r>
    </w:p>
    <w:p w14:paraId="0502B996">
      <w:pPr>
        <w:ind w:firstLine="640" w:firstLineChars="200"/>
        <w:rPr>
          <w:rFonts w:hint="eastAsia" w:ascii="仿宋_GB2312" w:eastAsia="仿宋_GB2312"/>
          <w:sz w:val="32"/>
          <w:szCs w:val="32"/>
        </w:rPr>
      </w:pPr>
      <w:r>
        <w:rPr>
          <w:rFonts w:hint="eastAsia" w:ascii="仿宋_GB2312" w:eastAsia="仿宋_GB2312"/>
          <w:sz w:val="32"/>
          <w:szCs w:val="32"/>
        </w:rPr>
        <w:t>按照有关规定和工作安排，我单位</w:t>
      </w:r>
      <w:r>
        <w:rPr>
          <w:rFonts w:hint="eastAsia" w:ascii="仿宋_GB2312" w:eastAsia="仿宋_GB2312"/>
          <w:sz w:val="32"/>
          <w:szCs w:val="32"/>
          <w:lang w:eastAsia="zh-CN"/>
        </w:rPr>
        <w:t>对该</w:t>
      </w:r>
      <w:r>
        <w:rPr>
          <w:rFonts w:hint="eastAsia" w:ascii="仿宋_GB2312" w:eastAsia="仿宋_GB2312"/>
          <w:sz w:val="32"/>
          <w:szCs w:val="32"/>
          <w:lang w:val="en-US" w:eastAsia="zh-CN"/>
        </w:rPr>
        <w:t>3个</w:t>
      </w:r>
      <w:r>
        <w:rPr>
          <w:rFonts w:hint="eastAsia" w:ascii="仿宋_GB2312" w:eastAsia="仿宋_GB2312"/>
          <w:sz w:val="32"/>
          <w:szCs w:val="32"/>
          <w:lang w:eastAsia="zh-CN"/>
        </w:rPr>
        <w:t>项目</w:t>
      </w:r>
      <w:r>
        <w:rPr>
          <w:rFonts w:hint="eastAsia" w:ascii="仿宋_GB2312" w:eastAsia="仿宋_GB2312"/>
          <w:sz w:val="32"/>
          <w:szCs w:val="32"/>
        </w:rPr>
        <w:t>开展</w:t>
      </w:r>
      <w:r>
        <w:rPr>
          <w:rFonts w:hint="eastAsia" w:ascii="仿宋_GB2312" w:eastAsia="仿宋_GB2312"/>
          <w:sz w:val="32"/>
          <w:szCs w:val="32"/>
          <w:lang w:eastAsia="zh-CN"/>
        </w:rPr>
        <w:t>了</w:t>
      </w:r>
      <w:r>
        <w:rPr>
          <w:rFonts w:hint="eastAsia" w:ascii="仿宋_GB2312" w:eastAsia="仿宋_GB2312"/>
          <w:sz w:val="32"/>
          <w:szCs w:val="32"/>
        </w:rPr>
        <w:t>自行评估，通过召开</w:t>
      </w:r>
      <w:r>
        <w:rPr>
          <w:rFonts w:hint="eastAsia" w:ascii="仿宋_GB2312" w:eastAsia="仿宋_GB2312"/>
          <w:sz w:val="32"/>
          <w:szCs w:val="32"/>
          <w:lang w:eastAsia="zh-CN"/>
        </w:rPr>
        <w:t>会议</w:t>
      </w:r>
      <w:r>
        <w:rPr>
          <w:rFonts w:hint="eastAsia" w:ascii="仿宋_GB2312" w:eastAsia="仿宋_GB2312"/>
          <w:sz w:val="32"/>
          <w:szCs w:val="32"/>
          <w:lang w:val="en-US" w:eastAsia="zh-CN"/>
        </w:rPr>
        <w:t>、</w:t>
      </w:r>
      <w:r>
        <w:rPr>
          <w:rFonts w:hint="eastAsia" w:ascii="仿宋_GB2312" w:eastAsia="仿宋_GB2312"/>
          <w:sz w:val="32"/>
          <w:szCs w:val="32"/>
        </w:rPr>
        <w:t>问卷调查</w:t>
      </w:r>
      <w:r>
        <w:rPr>
          <w:rFonts w:hint="eastAsia" w:ascii="仿宋_GB2312" w:eastAsia="仿宋_GB2312"/>
          <w:sz w:val="32"/>
          <w:szCs w:val="32"/>
          <w:lang w:eastAsia="zh-CN"/>
        </w:rPr>
        <w:t>、</w:t>
      </w:r>
      <w:r>
        <w:rPr>
          <w:rFonts w:hint="eastAsia" w:ascii="仿宋_GB2312" w:eastAsia="仿宋_GB2312"/>
          <w:sz w:val="32"/>
          <w:szCs w:val="32"/>
        </w:rPr>
        <w:t>人大代表和政协委员参与等方式</w:t>
      </w:r>
      <w:r>
        <w:rPr>
          <w:rFonts w:hint="eastAsia" w:ascii="仿宋_GB2312" w:eastAsia="仿宋_GB2312"/>
          <w:sz w:val="32"/>
          <w:szCs w:val="32"/>
          <w:lang w:eastAsia="zh-CN"/>
        </w:rPr>
        <w:t>，</w:t>
      </w:r>
      <w:r>
        <w:rPr>
          <w:rFonts w:hint="eastAsia" w:ascii="仿宋_GB2312" w:eastAsia="仿宋_GB2312"/>
          <w:sz w:val="32"/>
          <w:szCs w:val="32"/>
        </w:rPr>
        <w:t>收集被评估项目相关基础资料，查阅资料、收集数据信息等，深入论证分析后，形成绩效评估报告。</w:t>
      </w:r>
    </w:p>
    <w:p w14:paraId="17221EC2">
      <w:pPr>
        <w:pStyle w:val="16"/>
        <w:keepNext w:val="0"/>
        <w:keepLines w:val="0"/>
        <w:widowControl/>
        <w:numPr>
          <w:ilvl w:val="0"/>
          <w:numId w:val="10"/>
        </w:numPr>
        <w:suppressLineNumbers w:val="0"/>
        <w:ind w:left="0" w:firstLine="643" w:firstLineChars="200"/>
        <w:jc w:val="left"/>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en-US" w:eastAsia="zh-CN"/>
        </w:rPr>
        <w:t>预算安排及分配管理</w:t>
      </w:r>
      <w:r>
        <w:rPr>
          <w:rFonts w:ascii="Times New Roman" w:hAnsi="Times New Roman" w:eastAsia="楷体_GB2312" w:cs="Times New Roman"/>
          <w:b/>
          <w:color w:val="auto"/>
          <w:sz w:val="32"/>
          <w:szCs w:val="32"/>
          <w:highlight w:val="none"/>
          <w:u w:val="none"/>
          <w:lang w:val="zh-CN" w:eastAsia="zh-CN"/>
        </w:rPr>
        <w:t>。</w:t>
      </w:r>
    </w:p>
    <w:p w14:paraId="07626F0E">
      <w:pPr>
        <w:ind w:firstLine="640" w:firstLineChars="200"/>
        <w:rPr>
          <w:rFonts w:ascii="Times New Roman" w:hAnsi="Times New Roman" w:cs="Times New Roman"/>
          <w:color w:val="auto"/>
          <w:kern w:val="0"/>
          <w:sz w:val="32"/>
          <w:szCs w:val="32"/>
          <w:highlight w:val="none"/>
          <w:u w:val="none"/>
          <w:shd w:val="clear" w:color="auto" w:fill="FFFFFF"/>
          <w:lang w:val="zh-CN"/>
        </w:rPr>
      </w:pPr>
      <w:r>
        <w:rPr>
          <w:rFonts w:hint="eastAsia" w:ascii="仿宋_GB2312" w:eastAsia="仿宋_GB2312"/>
          <w:sz w:val="32"/>
          <w:szCs w:val="32"/>
        </w:rPr>
        <w:t>项目申报预算</w:t>
      </w:r>
      <w:r>
        <w:rPr>
          <w:rFonts w:hint="eastAsia" w:ascii="仿宋_GB2312" w:eastAsia="仿宋_GB2312"/>
          <w:sz w:val="32"/>
          <w:szCs w:val="32"/>
          <w:lang w:val="en-US" w:eastAsia="zh-CN"/>
        </w:rPr>
        <w:t>128</w:t>
      </w:r>
      <w:r>
        <w:rPr>
          <w:rFonts w:hint="eastAsia" w:ascii="仿宋_GB2312" w:eastAsia="仿宋_GB2312"/>
          <w:sz w:val="32"/>
          <w:szCs w:val="32"/>
        </w:rPr>
        <w:t>万元，</w:t>
      </w:r>
      <w:r>
        <w:rPr>
          <w:rFonts w:hint="eastAsia" w:ascii="仿宋_GB2312" w:eastAsia="仿宋_GB2312"/>
          <w:sz w:val="32"/>
          <w:szCs w:val="32"/>
          <w:lang w:val="en-US" w:eastAsia="zh-CN"/>
        </w:rPr>
        <w:t>2024年度</w:t>
      </w:r>
      <w:r>
        <w:rPr>
          <w:rFonts w:hint="eastAsia" w:ascii="仿宋_GB2312" w:eastAsia="仿宋_GB2312"/>
          <w:sz w:val="32"/>
          <w:szCs w:val="32"/>
        </w:rPr>
        <w:t>申报金额为</w:t>
      </w:r>
      <w:r>
        <w:rPr>
          <w:rFonts w:hint="eastAsia" w:ascii="仿宋_GB2312" w:eastAsia="仿宋_GB2312"/>
          <w:sz w:val="32"/>
          <w:szCs w:val="32"/>
          <w:lang w:val="en-US" w:eastAsia="zh-CN"/>
        </w:rPr>
        <w:t>128</w:t>
      </w:r>
      <w:r>
        <w:rPr>
          <w:rFonts w:hint="eastAsia" w:ascii="仿宋_GB2312" w:eastAsia="仿宋_GB2312"/>
          <w:sz w:val="32"/>
          <w:szCs w:val="32"/>
        </w:rPr>
        <w:t>万元，资金来源为</w:t>
      </w:r>
      <w:r>
        <w:rPr>
          <w:rFonts w:hint="eastAsia" w:ascii="仿宋_GB2312" w:eastAsia="仿宋_GB2312"/>
          <w:sz w:val="32"/>
          <w:szCs w:val="32"/>
          <w:lang w:val="en-US" w:eastAsia="zh-CN"/>
        </w:rPr>
        <w:t>庆宁乡城乡环境卫生综合整治10万元项目、</w:t>
      </w:r>
      <w:r>
        <w:rPr>
          <w:rFonts w:hint="eastAsia" w:ascii="仿宋_GB2312" w:eastAsia="仿宋_GB2312"/>
          <w:sz w:val="32"/>
          <w:szCs w:val="32"/>
        </w:rPr>
        <w:t>资金来源为中央和省级衔接资金98万</w:t>
      </w:r>
      <w:r>
        <w:rPr>
          <w:rFonts w:hint="eastAsia" w:ascii="仿宋_GB2312" w:eastAsia="仿宋_GB2312"/>
          <w:sz w:val="32"/>
          <w:szCs w:val="32"/>
          <w:lang w:eastAsia="zh-CN"/>
        </w:rPr>
        <w:t>元、2024年度眉山市对口帮扶资金</w:t>
      </w:r>
      <w:r>
        <w:rPr>
          <w:rFonts w:hint="eastAsia" w:ascii="仿宋_GB2312" w:eastAsia="仿宋_GB2312"/>
          <w:sz w:val="32"/>
          <w:szCs w:val="32"/>
          <w:lang w:val="en-US" w:eastAsia="zh-CN"/>
        </w:rPr>
        <w:t>20万元。</w:t>
      </w:r>
      <w:r>
        <w:rPr>
          <w:rFonts w:hint="eastAsia" w:ascii="仿宋_GB2312" w:eastAsia="仿宋_GB2312"/>
          <w:sz w:val="32"/>
          <w:szCs w:val="32"/>
        </w:rPr>
        <w:t>本次对项目投入经济性的评估是在项目事前绩效评估、预算测算的基础上，按照厉行节约的要求，结合项目202</w:t>
      </w:r>
      <w:r>
        <w:rPr>
          <w:rFonts w:hint="eastAsia" w:ascii="仿宋_GB2312" w:eastAsia="仿宋_GB2312"/>
          <w:sz w:val="32"/>
          <w:szCs w:val="32"/>
          <w:lang w:val="en-US" w:eastAsia="zh-CN"/>
        </w:rPr>
        <w:t>4</w:t>
      </w:r>
      <w:r>
        <w:rPr>
          <w:rFonts w:hint="eastAsia" w:ascii="仿宋_GB2312" w:eastAsia="仿宋_GB2312"/>
          <w:sz w:val="32"/>
          <w:szCs w:val="32"/>
        </w:rPr>
        <w:t>年开支情况</w:t>
      </w:r>
      <w:r>
        <w:rPr>
          <w:rFonts w:hint="eastAsia" w:ascii="仿宋_GB2312" w:eastAsia="仿宋_GB2312"/>
          <w:sz w:val="32"/>
          <w:szCs w:val="32"/>
          <w:lang w:eastAsia="zh-CN"/>
        </w:rPr>
        <w:t>，</w:t>
      </w:r>
      <w:r>
        <w:rPr>
          <w:rFonts w:hint="eastAsia" w:ascii="仿宋_GB2312" w:eastAsia="仿宋_GB2312"/>
          <w:sz w:val="32"/>
          <w:szCs w:val="32"/>
        </w:rPr>
        <w:t>结合202</w:t>
      </w:r>
      <w:r>
        <w:rPr>
          <w:rFonts w:hint="eastAsia" w:ascii="仿宋_GB2312" w:eastAsia="仿宋_GB2312"/>
          <w:sz w:val="32"/>
          <w:szCs w:val="32"/>
          <w:lang w:val="en-US" w:eastAsia="zh-CN"/>
        </w:rPr>
        <w:t>4</w:t>
      </w:r>
      <w:r>
        <w:rPr>
          <w:rFonts w:hint="eastAsia" w:ascii="仿宋_GB2312" w:eastAsia="仿宋_GB2312"/>
          <w:sz w:val="32"/>
          <w:szCs w:val="32"/>
        </w:rPr>
        <w:t>年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45FD609F">
      <w:pPr>
        <w:keepNext w:val="0"/>
        <w:keepLines w:val="0"/>
        <w:pageBreakBefore w:val="0"/>
        <w:widowControl w:val="0"/>
        <w:numPr>
          <w:ilvl w:val="0"/>
          <w:numId w:val="10"/>
        </w:numPr>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项目绩效目标设置。</w:t>
      </w:r>
    </w:p>
    <w:p w14:paraId="581C4C8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rPr>
        <w:t>根据20</w:t>
      </w:r>
      <w:r>
        <w:rPr>
          <w:rFonts w:hint="eastAsia" w:ascii="仿宋_GB2312" w:eastAsia="仿宋_GB2312"/>
          <w:sz w:val="32"/>
          <w:szCs w:val="32"/>
          <w:lang w:val="en-US" w:eastAsia="zh-CN"/>
        </w:rPr>
        <w:t>24</w:t>
      </w:r>
      <w:r>
        <w:rPr>
          <w:rFonts w:hint="eastAsia" w:ascii="仿宋_GB2312" w:eastAsia="仿宋_GB2312"/>
          <w:sz w:val="32"/>
          <w:szCs w:val="32"/>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eastAsia="仿宋_GB2312"/>
          <w:sz w:val="32"/>
          <w:szCs w:val="32"/>
          <w:lang w:val="zh-CN" w:eastAsia="zh-CN"/>
        </w:rPr>
        <w:t>。</w:t>
      </w:r>
    </w:p>
    <w:p w14:paraId="318A57D8">
      <w:pPr>
        <w:keepNext w:val="0"/>
        <w:keepLines w:val="0"/>
        <w:pageBreakBefore w:val="0"/>
        <w:widowControl w:val="0"/>
        <w:kinsoku/>
        <w:wordWrap/>
        <w:overflowPunct/>
        <w:topLinePunct w:val="0"/>
        <w:autoSpaceDE/>
        <w:autoSpaceDN/>
        <w:bidi w:val="0"/>
        <w:adjustRightInd w:val="0"/>
        <w:snapToGrid w:val="0"/>
        <w:spacing w:line="578" w:lineRule="exact"/>
        <w:textAlignment w:val="auto"/>
        <w:rPr>
          <w:rFonts w:ascii="Times New Roman" w:hAnsi="Times New Roman" w:eastAsia="黑体"/>
          <w:sz w:val="32"/>
          <w:szCs w:val="32"/>
          <w:highlight w:val="none"/>
          <w:lang w:val="zh-CN" w:eastAsia="zh-CN"/>
        </w:rPr>
      </w:pPr>
      <w:r>
        <w:rPr>
          <w:rFonts w:ascii="Times New Roman" w:hAnsi="Times New Roman" w:eastAsia="黑体"/>
          <w:sz w:val="32"/>
          <w:szCs w:val="32"/>
          <w:highlight w:val="none"/>
          <w:lang w:val="zh-CN"/>
        </w:rPr>
        <w:t>二、</w:t>
      </w:r>
      <w:r>
        <w:rPr>
          <w:rFonts w:ascii="Times New Roman" w:hAnsi="Times New Roman" w:eastAsia="黑体"/>
          <w:sz w:val="32"/>
          <w:szCs w:val="32"/>
          <w:highlight w:val="none"/>
          <w:lang w:val="zh-CN" w:eastAsia="zh-CN"/>
        </w:rPr>
        <w:t>评价实施</w:t>
      </w:r>
    </w:p>
    <w:p w14:paraId="6AD4ED58">
      <w:pPr>
        <w:snapToGrid w:val="0"/>
        <w:spacing w:line="600" w:lineRule="exact"/>
        <w:ind w:firstLine="643" w:firstLineChars="2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（一）评价目的。</w:t>
      </w:r>
    </w:p>
    <w:p w14:paraId="705D537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58B40013">
      <w:pPr>
        <w:keepNext w:val="0"/>
        <w:keepLines w:val="0"/>
        <w:pageBreakBefore w:val="0"/>
        <w:widowControl w:val="0"/>
        <w:numPr>
          <w:ilvl w:val="0"/>
          <w:numId w:val="2"/>
        </w:numPr>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预设问题及评价重点。</w:t>
      </w:r>
    </w:p>
    <w:p w14:paraId="12C2313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val="zh-CN"/>
        </w:rPr>
      </w:pPr>
      <w:r>
        <w:rPr>
          <w:rFonts w:hint="eastAsia" w:ascii="仿宋_GB2312" w:eastAsia="仿宋_GB2312"/>
          <w:sz w:val="32"/>
          <w:szCs w:val="32"/>
          <w:lang w:val="en-US" w:eastAsia="zh-CN"/>
        </w:rPr>
        <w:t>1、项目决策：</w:t>
      </w:r>
      <w:r>
        <w:rPr>
          <w:rFonts w:hint="eastAsia" w:ascii="仿宋_GB2312" w:eastAsia="仿宋_GB2312"/>
          <w:sz w:val="32"/>
          <w:szCs w:val="32"/>
          <w:lang w:val="zh-CN"/>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7C897F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2、项目管理：</w:t>
      </w:r>
      <w:r>
        <w:rPr>
          <w:rFonts w:hint="eastAsia" w:ascii="仿宋_GB2312" w:eastAsia="仿宋_GB2312"/>
          <w:sz w:val="32"/>
          <w:szCs w:val="32"/>
          <w:lang w:val="zh-CN"/>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4E15653">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3、项目实施：</w:t>
      </w:r>
      <w:r>
        <w:rPr>
          <w:rFonts w:hint="eastAsia" w:ascii="仿宋_GB2312" w:eastAsia="仿宋_GB2312"/>
          <w:sz w:val="32"/>
          <w:szCs w:val="32"/>
          <w:lang w:val="zh-CN"/>
        </w:rPr>
        <w:t>项目资金财政拨付按时完成率</w:t>
      </w:r>
      <w:r>
        <w:rPr>
          <w:rFonts w:hint="eastAsia" w:ascii="仿宋_GB2312" w:eastAsia="仿宋_GB2312"/>
          <w:sz w:val="32"/>
          <w:szCs w:val="32"/>
          <w:lang w:val="en-US" w:eastAsia="zh-CN"/>
        </w:rPr>
        <w:t>100%</w:t>
      </w:r>
      <w:r>
        <w:rPr>
          <w:rFonts w:hint="eastAsia" w:ascii="仿宋_GB2312" w:eastAsia="仿宋_GB2312"/>
          <w:sz w:val="32"/>
          <w:szCs w:val="32"/>
          <w:lang w:val="zh-CN"/>
        </w:rPr>
        <w:t>、单位执行资金使用率为</w:t>
      </w:r>
      <w:r>
        <w:rPr>
          <w:rFonts w:hint="eastAsia" w:ascii="仿宋_GB2312" w:eastAsia="仿宋_GB2312"/>
          <w:sz w:val="32"/>
          <w:szCs w:val="32"/>
          <w:lang w:val="en-US" w:eastAsia="zh-CN"/>
        </w:rPr>
        <w:t>100%</w:t>
      </w:r>
      <w:r>
        <w:rPr>
          <w:rFonts w:hint="eastAsia" w:ascii="仿宋_GB2312" w:eastAsia="仿宋_GB2312"/>
          <w:sz w:val="32"/>
          <w:szCs w:val="32"/>
          <w:lang w:val="zh-CN"/>
        </w:rPr>
        <w:t>和地方配套资金到位率</w:t>
      </w:r>
      <w:r>
        <w:rPr>
          <w:rFonts w:hint="eastAsia" w:ascii="仿宋_GB2312" w:eastAsia="仿宋_GB2312"/>
          <w:sz w:val="32"/>
          <w:szCs w:val="32"/>
          <w:lang w:val="en-US" w:eastAsia="zh-CN"/>
        </w:rPr>
        <w:t>100%</w:t>
      </w:r>
      <w:r>
        <w:rPr>
          <w:rFonts w:hint="eastAsia" w:ascii="仿宋_GB2312" w:eastAsia="仿宋_GB2312"/>
          <w:sz w:val="32"/>
          <w:szCs w:val="32"/>
          <w:lang w:val="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6E8862EB">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eastAsia="zh-CN"/>
        </w:rPr>
      </w:pPr>
      <w:r>
        <w:rPr>
          <w:rFonts w:hint="eastAsia" w:ascii="仿宋_GB2312" w:eastAsia="仿宋_GB2312"/>
          <w:sz w:val="32"/>
          <w:szCs w:val="32"/>
          <w:lang w:val="en-US" w:eastAsia="zh-CN"/>
        </w:rPr>
        <w:t>4、项目结果：</w:t>
      </w:r>
      <w:r>
        <w:rPr>
          <w:rFonts w:hint="eastAsia" w:ascii="仿宋_GB2312" w:eastAsia="仿宋_GB2312"/>
          <w:sz w:val="32"/>
          <w:szCs w:val="32"/>
          <w:lang w:val="zh-CN"/>
        </w:rPr>
        <w:t>项目完成预期目标，实施结果与绩效目标相匹配，反映目标实现率</w:t>
      </w:r>
      <w:r>
        <w:rPr>
          <w:rFonts w:hint="eastAsia" w:ascii="仿宋_GB2312" w:eastAsia="仿宋_GB2312"/>
          <w:sz w:val="32"/>
          <w:szCs w:val="32"/>
          <w:lang w:val="en-US" w:eastAsia="zh-CN"/>
        </w:rPr>
        <w:t>100%</w:t>
      </w:r>
      <w:r>
        <w:rPr>
          <w:rFonts w:hint="eastAsia" w:ascii="仿宋_GB2312" w:eastAsia="仿宋_GB2312"/>
          <w:sz w:val="32"/>
          <w:szCs w:val="32"/>
          <w:lang w:val="zh-CN"/>
        </w:rPr>
        <w:t>，项目实际完成时间与计划完成时间的比较差异率为</w:t>
      </w:r>
      <w:r>
        <w:rPr>
          <w:rFonts w:hint="eastAsia" w:ascii="仿宋_GB2312" w:eastAsia="仿宋_GB2312"/>
          <w:sz w:val="32"/>
          <w:szCs w:val="32"/>
          <w:lang w:val="en-US" w:eastAsia="zh-CN"/>
        </w:rPr>
        <w:t>0%</w:t>
      </w:r>
      <w:r>
        <w:rPr>
          <w:rFonts w:hint="eastAsia" w:ascii="仿宋_GB2312" w:eastAsia="仿宋_GB2312"/>
          <w:sz w:val="32"/>
          <w:szCs w:val="32"/>
          <w:lang w:val="zh-CN" w:eastAsia="zh-CN"/>
        </w:rPr>
        <w:t>。</w:t>
      </w:r>
    </w:p>
    <w:p w14:paraId="6F39598A">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outlineLvl w:val="9"/>
        <w:rPr>
          <w:rFonts w:ascii="Times New Roman" w:hAnsi="Times New Roman" w:eastAsia="楷体_GB2312" w:cs="Times New Roman"/>
          <w:b/>
          <w:color w:val="000000"/>
          <w:sz w:val="32"/>
          <w:szCs w:val="32"/>
          <w:highlight w:val="none"/>
          <w:u w:val="none"/>
          <w:lang w:val="zh-CN"/>
        </w:rPr>
      </w:pPr>
      <w:r>
        <w:rPr>
          <w:rFonts w:ascii="Times New Roman" w:hAnsi="Times New Roman" w:eastAsia="楷体_GB2312" w:cs="Times New Roman"/>
          <w:b/>
          <w:color w:val="000000"/>
          <w:sz w:val="32"/>
          <w:szCs w:val="32"/>
          <w:highlight w:val="none"/>
          <w:u w:val="none"/>
          <w:lang w:val="zh-CN"/>
        </w:rPr>
        <w:t>（三）评价选点。</w:t>
      </w:r>
    </w:p>
    <w:p w14:paraId="57E2EF68">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ascii="仿宋_GB2312" w:eastAsia="仿宋_GB2312"/>
          <w:sz w:val="32"/>
          <w:szCs w:val="32"/>
          <w:lang w:val="zh-CN" w:eastAsia="zh-CN"/>
        </w:rPr>
        <w:t>项目绩效自评所抽样点位情况。每个专项预算项目</w:t>
      </w:r>
      <w:r>
        <w:rPr>
          <w:rFonts w:ascii="仿宋_GB2312" w:eastAsia="仿宋_GB2312"/>
          <w:sz w:val="32"/>
          <w:szCs w:val="32"/>
          <w:lang w:val="en-US" w:eastAsia="zh-CN"/>
        </w:rPr>
        <w:t>应选取</w:t>
      </w:r>
      <w:r>
        <w:rPr>
          <w:rFonts w:hint="eastAsia" w:ascii="仿宋_GB2312" w:eastAsia="仿宋_GB2312"/>
          <w:sz w:val="32"/>
          <w:szCs w:val="32"/>
          <w:lang w:val="en-US" w:eastAsia="zh-CN"/>
        </w:rPr>
        <w:t>专项资金分配涉及点位总数的20%</w:t>
      </w:r>
      <w:r>
        <w:rPr>
          <w:rFonts w:ascii="仿宋_GB2312" w:eastAsia="仿宋_GB2312"/>
          <w:sz w:val="32"/>
          <w:szCs w:val="32"/>
          <w:lang w:val="en-US" w:eastAsia="zh-CN"/>
        </w:rPr>
        <w:t>进行实地踏勘，且点位清单应作为自评附</w:t>
      </w:r>
      <w:r>
        <w:rPr>
          <w:rFonts w:hint="eastAsia" w:ascii="仿宋_GB2312" w:eastAsia="仿宋_GB2312"/>
          <w:sz w:val="32"/>
          <w:szCs w:val="32"/>
          <w:lang w:val="en-US" w:eastAsia="zh-CN"/>
        </w:rPr>
        <w:t>表</w:t>
      </w:r>
      <w:r>
        <w:rPr>
          <w:rFonts w:ascii="仿宋_GB2312" w:eastAsia="仿宋_GB2312"/>
          <w:sz w:val="32"/>
          <w:szCs w:val="32"/>
          <w:lang w:val="en-US" w:eastAsia="zh-CN"/>
        </w:rPr>
        <w:t>。</w:t>
      </w:r>
    </w:p>
    <w:p w14:paraId="15CE9674">
      <w:pPr>
        <w:numPr>
          <w:ilvl w:val="0"/>
          <w:numId w:val="2"/>
        </w:numPr>
        <w:snapToGrid w:val="0"/>
        <w:spacing w:line="600" w:lineRule="exact"/>
        <w:ind w:left="0" w:firstLine="643" w:firstLineChars="2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评价方法。</w:t>
      </w:r>
    </w:p>
    <w:p w14:paraId="55C0F904">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按照有关规定和工作安排，我单位对该项目开展了自行评估，通过召开会议</w:t>
      </w:r>
      <w:r>
        <w:rPr>
          <w:rFonts w:hint="eastAsia" w:ascii="仿宋_GB2312" w:eastAsia="仿宋_GB2312"/>
          <w:sz w:val="32"/>
          <w:szCs w:val="32"/>
          <w:lang w:val="en-US" w:eastAsia="zh-CN"/>
        </w:rPr>
        <w:t>、</w:t>
      </w:r>
      <w:r>
        <w:rPr>
          <w:rFonts w:hint="eastAsia" w:ascii="仿宋_GB2312" w:eastAsia="仿宋_GB2312"/>
          <w:sz w:val="32"/>
          <w:szCs w:val="32"/>
          <w:lang w:val="zh-CN" w:eastAsia="zh-CN"/>
        </w:rPr>
        <w:t>问卷调查、人大代表和政协委员参与等方式，收集被评估</w:t>
      </w:r>
      <w:r>
        <w:rPr>
          <w:rFonts w:ascii="仿宋_GB2312" w:eastAsia="仿宋_GB2312"/>
          <w:sz w:val="32"/>
          <w:szCs w:val="32"/>
          <w:lang w:val="zh-CN" w:eastAsia="zh-CN"/>
        </w:rPr>
        <w:t>项目</w:t>
      </w:r>
      <w:r>
        <w:rPr>
          <w:rFonts w:hint="eastAsia" w:ascii="仿宋_GB2312" w:eastAsia="仿宋_GB2312"/>
          <w:sz w:val="32"/>
          <w:szCs w:val="32"/>
          <w:lang w:val="zh-CN" w:eastAsia="zh-CN"/>
        </w:rPr>
        <w:t>相关</w:t>
      </w:r>
      <w:r>
        <w:rPr>
          <w:rFonts w:ascii="仿宋_GB2312" w:eastAsia="仿宋_GB2312"/>
          <w:sz w:val="32"/>
          <w:szCs w:val="32"/>
          <w:lang w:val="zh-CN" w:eastAsia="zh-CN"/>
        </w:rPr>
        <w:t>基础资料，查阅资料、</w:t>
      </w:r>
      <w:r>
        <w:rPr>
          <w:rFonts w:hint="eastAsia" w:ascii="仿宋_GB2312" w:eastAsia="仿宋_GB2312"/>
          <w:sz w:val="32"/>
          <w:szCs w:val="32"/>
          <w:lang w:val="zh-CN" w:eastAsia="zh-CN"/>
        </w:rPr>
        <w:t>收集数据信息</w:t>
      </w:r>
      <w:r>
        <w:rPr>
          <w:rFonts w:ascii="仿宋_GB2312" w:eastAsia="仿宋_GB2312"/>
          <w:sz w:val="32"/>
          <w:szCs w:val="32"/>
          <w:lang w:val="zh-CN" w:eastAsia="zh-CN"/>
        </w:rPr>
        <w:t>等</w:t>
      </w:r>
      <w:r>
        <w:rPr>
          <w:rFonts w:hint="eastAsia" w:ascii="仿宋_GB2312" w:eastAsia="仿宋_GB2312"/>
          <w:sz w:val="32"/>
          <w:szCs w:val="32"/>
          <w:lang w:val="zh-CN" w:eastAsia="zh-CN"/>
        </w:rPr>
        <w:t>，深入论证</w:t>
      </w:r>
      <w:r>
        <w:rPr>
          <w:rFonts w:ascii="仿宋_GB2312" w:eastAsia="仿宋_GB2312"/>
          <w:sz w:val="32"/>
          <w:szCs w:val="32"/>
          <w:lang w:val="zh-CN" w:eastAsia="zh-CN"/>
        </w:rPr>
        <w:t>分析后，形成绩效评估报告。</w:t>
      </w:r>
    </w:p>
    <w:p w14:paraId="41ECDAD9">
      <w:pPr>
        <w:keepNext w:val="0"/>
        <w:keepLines w:val="0"/>
        <w:pageBreakBefore w:val="0"/>
        <w:widowControl w:val="0"/>
        <w:numPr>
          <w:ilvl w:val="0"/>
          <w:numId w:val="2"/>
        </w:numPr>
        <w:kinsoku/>
        <w:wordWrap/>
        <w:overflowPunct/>
        <w:topLinePunct w:val="0"/>
        <w:autoSpaceDE/>
        <w:autoSpaceDN/>
        <w:bidi w:val="0"/>
        <w:spacing w:line="578" w:lineRule="exact"/>
        <w:ind w:left="0" w:firstLine="643" w:firstLineChars="200"/>
        <w:textAlignment w:val="auto"/>
        <w:outlineLvl w:val="9"/>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评价组织。</w:t>
      </w:r>
    </w:p>
    <w:p w14:paraId="28F105DA">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评价组人员由人大代表和政协委员共同进行。</w:t>
      </w:r>
    </w:p>
    <w:p w14:paraId="58F1FCD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s="Times New Roman"/>
          <w:color w:val="auto"/>
          <w:sz w:val="32"/>
          <w:szCs w:val="32"/>
          <w:highlight w:val="none"/>
          <w:u w:val="none"/>
          <w:lang w:val="zh-CN"/>
        </w:rPr>
      </w:pPr>
      <w:r>
        <w:rPr>
          <w:rFonts w:ascii="Times New Roman" w:hAnsi="Times New Roman" w:eastAsia="黑体" w:cs="Times New Roman"/>
          <w:color w:val="auto"/>
          <w:sz w:val="32"/>
          <w:szCs w:val="32"/>
          <w:highlight w:val="none"/>
          <w:u w:val="none"/>
        </w:rPr>
        <w:t>三、</w:t>
      </w:r>
      <w:r>
        <w:rPr>
          <w:rFonts w:ascii="Times New Roman" w:hAnsi="Times New Roman" w:eastAsia="黑体" w:cs="Times New Roman"/>
          <w:color w:val="auto"/>
          <w:sz w:val="32"/>
          <w:szCs w:val="32"/>
          <w:highlight w:val="none"/>
          <w:u w:val="none"/>
          <w:lang w:eastAsia="zh-CN"/>
        </w:rPr>
        <w:t>绩效分析</w:t>
      </w:r>
      <w:r>
        <w:rPr>
          <w:rFonts w:ascii="Times New Roman" w:hAnsi="Times New Roman" w:cs="Times New Roman"/>
          <w:color w:val="auto"/>
          <w:sz w:val="32"/>
          <w:szCs w:val="32"/>
          <w:highlight w:val="none"/>
          <w:u w:val="none"/>
          <w:lang w:val="zh-CN"/>
        </w:rPr>
        <w:tab/>
      </w:r>
    </w:p>
    <w:p w14:paraId="3D57C4C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该项目评估总得分90分、评估等级优</w:t>
      </w:r>
      <w:r>
        <w:rPr>
          <w:rFonts w:hint="eastAsia" w:ascii="仿宋_GB2312" w:hAnsi="仿宋_GB2312" w:cs="Times New Roman"/>
          <w:kern w:val="2"/>
          <w:sz w:val="32"/>
          <w:szCs w:val="32"/>
          <w:lang w:val="en-US" w:eastAsia="zh-CN" w:bidi="ar-SA"/>
        </w:rPr>
        <w:t>。</w:t>
      </w:r>
    </w:p>
    <w:p w14:paraId="765CC6E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eastAsia="楷体_GB2312" w:cs="Times New Roman"/>
          <w:b/>
          <w:color w:val="auto"/>
          <w:sz w:val="32"/>
          <w:szCs w:val="32"/>
          <w:highlight w:val="none"/>
          <w:u w:val="none"/>
          <w:lang w:val="en-US" w:eastAsia="zh-CN"/>
        </w:rPr>
      </w:pPr>
      <w:r>
        <w:rPr>
          <w:rFonts w:ascii="Times New Roman" w:hAnsi="Times New Roman" w:eastAsia="楷体_GB2312" w:cs="Times New Roman"/>
          <w:b/>
          <w:color w:val="auto"/>
          <w:sz w:val="32"/>
          <w:szCs w:val="32"/>
          <w:highlight w:val="none"/>
          <w:u w:val="none"/>
          <w:lang w:val="zh-CN" w:eastAsia="zh-CN"/>
        </w:rPr>
        <w:t>（一）</w:t>
      </w:r>
      <w:r>
        <w:rPr>
          <w:rFonts w:ascii="Times New Roman" w:hAnsi="Times New Roman" w:eastAsia="楷体_GB2312" w:cs="Times New Roman"/>
          <w:b/>
          <w:color w:val="auto"/>
          <w:sz w:val="32"/>
          <w:szCs w:val="32"/>
          <w:highlight w:val="none"/>
          <w:u w:val="none"/>
          <w:lang w:val="en-US" w:eastAsia="zh-CN"/>
        </w:rPr>
        <w:t>通用指标</w:t>
      </w:r>
      <w:r>
        <w:rPr>
          <w:rFonts w:ascii="Times New Roman" w:hAnsi="Times New Roman" w:eastAsia="楷体_GB2312" w:cs="Times New Roman"/>
          <w:b/>
          <w:color w:val="auto"/>
          <w:sz w:val="32"/>
          <w:szCs w:val="32"/>
          <w:highlight w:val="none"/>
          <w:u w:val="none"/>
          <w:lang w:val="zh-CN" w:eastAsia="zh-CN"/>
        </w:rPr>
        <w:t>绩效分析。</w:t>
      </w:r>
    </w:p>
    <w:p w14:paraId="59CAAD8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1.项目决策。</w:t>
      </w:r>
      <w:r>
        <w:rPr>
          <w:rFonts w:hint="eastAsia" w:ascii="仿宋_GB2312"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4FDFDCE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2.项目管理。</w:t>
      </w:r>
      <w:r>
        <w:rPr>
          <w:rFonts w:hint="eastAsia" w:ascii="仿宋_GB2312"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7D0EF3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3.项目实施。</w:t>
      </w:r>
      <w:r>
        <w:rPr>
          <w:rFonts w:hint="eastAsia" w:ascii="仿宋_GB2312" w:eastAsia="仿宋_GB2312" w:cs="Times New Roman"/>
          <w:kern w:val="2"/>
          <w:sz w:val="32"/>
          <w:szCs w:val="32"/>
          <w:lang w:val="zh-CN" w:eastAsia="zh-CN" w:bidi="ar-SA"/>
        </w:rPr>
        <w:t>项目资金财政拨付按时完成率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、单位执行资金使用率为</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和地方配套资金到位率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314157C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4.项目结果。</w:t>
      </w:r>
      <w:r>
        <w:rPr>
          <w:rFonts w:hint="eastAsia" w:ascii="仿宋_GB2312" w:eastAsia="仿宋_GB2312" w:cs="Times New Roman"/>
          <w:kern w:val="2"/>
          <w:sz w:val="32"/>
          <w:szCs w:val="32"/>
          <w:lang w:val="zh-CN" w:eastAsia="zh-CN" w:bidi="ar-SA"/>
        </w:rPr>
        <w:t>项目完成预期目标，实施结果与绩效目标相匹配，反映目标实现率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，项目实际完成时间与计划完成时间的比较差异率为</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val="zh-CN" w:eastAsia="zh-CN" w:bidi="ar-SA"/>
        </w:rPr>
        <w:t>。</w:t>
      </w:r>
    </w:p>
    <w:p w14:paraId="1E9D190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（二）</w:t>
      </w:r>
      <w:r>
        <w:rPr>
          <w:rFonts w:ascii="Times New Roman" w:hAnsi="Times New Roman" w:eastAsia="楷体_GB2312" w:cs="Times New Roman"/>
          <w:b/>
          <w:color w:val="auto"/>
          <w:sz w:val="32"/>
          <w:szCs w:val="32"/>
          <w:highlight w:val="none"/>
          <w:u w:val="none"/>
          <w:lang w:val="en-US" w:eastAsia="zh-CN"/>
        </w:rPr>
        <w:t>专用指标</w:t>
      </w:r>
      <w:r>
        <w:rPr>
          <w:rFonts w:ascii="Times New Roman" w:hAnsi="Times New Roman" w:eastAsia="楷体_GB2312" w:cs="Times New Roman"/>
          <w:b/>
          <w:color w:val="auto"/>
          <w:sz w:val="32"/>
          <w:szCs w:val="32"/>
          <w:highlight w:val="none"/>
          <w:u w:val="none"/>
          <w:lang w:val="zh-CN" w:eastAsia="zh-CN"/>
        </w:rPr>
        <w:t>绩效分析。</w:t>
      </w:r>
    </w:p>
    <w:p w14:paraId="0231600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146B328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1.产业发展类。</w:t>
      </w:r>
      <w:r>
        <w:rPr>
          <w:rFonts w:ascii="仿宋_GB2312" w:eastAsia="仿宋_GB2312" w:cs="Times New Roman"/>
          <w:kern w:val="2"/>
          <w:sz w:val="32"/>
          <w:szCs w:val="32"/>
          <w:lang w:val="zh-CN" w:eastAsia="zh-CN" w:bidi="ar-SA"/>
        </w:rPr>
        <w:t>围绕符合性、成长性、经济性进行绩效分析。</w:t>
      </w:r>
    </w:p>
    <w:p w14:paraId="32C87A1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2.</w:t>
      </w:r>
      <w:r>
        <w:rPr>
          <w:rFonts w:ascii="仿宋_GB2312" w:eastAsia="仿宋_GB2312" w:cs="Times New Roman"/>
          <w:kern w:val="2"/>
          <w:sz w:val="32"/>
          <w:szCs w:val="32"/>
          <w:lang w:val="zh-CN" w:eastAsia="zh-CN" w:bidi="ar-SA"/>
        </w:rPr>
        <w:t>民生保障</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。围绕区域均衡性、对象精准性、标准合理性、群众满意度进行绩效分析。</w:t>
      </w:r>
    </w:p>
    <w:p w14:paraId="210D620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3.基础设施类。</w:t>
      </w:r>
      <w:r>
        <w:rPr>
          <w:rFonts w:ascii="仿宋_GB2312" w:eastAsia="仿宋_GB2312" w:cs="Times New Roman"/>
          <w:kern w:val="2"/>
          <w:sz w:val="32"/>
          <w:szCs w:val="32"/>
          <w:lang w:val="zh-CN" w:eastAsia="zh-CN" w:bidi="ar-SA"/>
        </w:rPr>
        <w:t>在建项目围绕工程进度和资金拨付进行绩效分析；建成项目围绕项目验收、功能实现、后续管护进行绩效分析。</w:t>
      </w:r>
    </w:p>
    <w:p w14:paraId="65BCD53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4.</w:t>
      </w:r>
      <w:r>
        <w:rPr>
          <w:rFonts w:ascii="仿宋_GB2312" w:eastAsia="仿宋_GB2312" w:cs="Times New Roman"/>
          <w:kern w:val="2"/>
          <w:sz w:val="32"/>
          <w:szCs w:val="32"/>
          <w:lang w:val="zh-CN" w:eastAsia="zh-CN" w:bidi="ar-SA"/>
        </w:rPr>
        <w:t>行政运转</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。围绕用途合规性、程序合规性、标准合规性进行绩效分析。</w:t>
      </w:r>
    </w:p>
    <w:p w14:paraId="433E006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（三）</w:t>
      </w:r>
      <w:r>
        <w:rPr>
          <w:rFonts w:ascii="Times New Roman" w:hAnsi="Times New Roman" w:eastAsia="楷体_GB2312" w:cs="Times New Roman"/>
          <w:b/>
          <w:color w:val="auto"/>
          <w:sz w:val="32"/>
          <w:szCs w:val="32"/>
          <w:highlight w:val="none"/>
          <w:u w:val="none"/>
          <w:lang w:val="en-US" w:eastAsia="zh-CN"/>
        </w:rPr>
        <w:t>个性指标</w:t>
      </w:r>
      <w:r>
        <w:rPr>
          <w:rFonts w:ascii="Times New Roman" w:hAnsi="Times New Roman" w:eastAsia="楷体_GB2312" w:cs="Times New Roman"/>
          <w:b/>
          <w:color w:val="auto"/>
          <w:sz w:val="32"/>
          <w:szCs w:val="32"/>
          <w:highlight w:val="none"/>
          <w:u w:val="none"/>
          <w:lang w:val="zh-CN" w:eastAsia="zh-CN"/>
        </w:rPr>
        <w:t>绩效分析。</w:t>
      </w:r>
    </w:p>
    <w:p w14:paraId="0A64925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cs="Times New Roman"/>
          <w:color w:val="auto"/>
          <w:szCs w:val="32"/>
          <w:lang w:val="en-US" w:eastAsia="zh-CN"/>
        </w:rPr>
      </w:pPr>
      <w:r>
        <w:rPr>
          <w:rFonts w:hint="eastAsia" w:ascii="仿宋_GB2312" w:eastAsia="仿宋_GB2312"/>
          <w:sz w:val="32"/>
          <w:szCs w:val="32"/>
          <w:lang w:val="en-US" w:eastAsia="zh-CN"/>
        </w:rPr>
        <w:t>为庆宁</w:t>
      </w:r>
      <w:r>
        <w:rPr>
          <w:rFonts w:hint="eastAsia" w:ascii="仿宋_GB2312" w:hAnsi="仿宋_GB2312"/>
          <w:sz w:val="32"/>
          <w:szCs w:val="32"/>
          <w:lang w:val="en-US" w:eastAsia="zh-CN"/>
        </w:rPr>
        <w:t>乡</w:t>
      </w:r>
      <w:r>
        <w:rPr>
          <w:rFonts w:hint="eastAsia" w:ascii="仿宋_GB2312" w:eastAsia="仿宋_GB2312"/>
          <w:sz w:val="32"/>
          <w:szCs w:val="32"/>
          <w:lang w:val="en-US" w:eastAsia="zh-CN"/>
        </w:rPr>
        <w:t>旅游发展奠定坚实基础</w:t>
      </w:r>
      <w:r>
        <w:rPr>
          <w:rFonts w:ascii="Times New Roman" w:hAnsi="Times New Roman" w:cs="Times New Roman"/>
          <w:color w:val="auto"/>
          <w:szCs w:val="32"/>
          <w:lang w:val="zh-CN" w:eastAsia="zh-CN"/>
        </w:rPr>
        <w:t>。</w:t>
      </w:r>
    </w:p>
    <w:p w14:paraId="520A8E0D">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rPr>
      </w:pPr>
      <w:r>
        <w:rPr>
          <w:rFonts w:ascii="Times New Roman" w:hAnsi="Times New Roman" w:eastAsia="黑体" w:cs="Times New Roman"/>
          <w:color w:val="auto"/>
          <w:sz w:val="32"/>
          <w:szCs w:val="32"/>
          <w:highlight w:val="none"/>
          <w:u w:val="none"/>
          <w:lang w:eastAsia="zh-CN"/>
        </w:rPr>
        <w:t>四</w:t>
      </w:r>
      <w:r>
        <w:rPr>
          <w:rFonts w:ascii="Times New Roman" w:hAnsi="Times New Roman" w:eastAsia="黑体" w:cs="Times New Roman"/>
          <w:color w:val="auto"/>
          <w:sz w:val="32"/>
          <w:szCs w:val="32"/>
          <w:highlight w:val="none"/>
          <w:u w:val="none"/>
        </w:rPr>
        <w:t>、评价结论</w:t>
      </w:r>
    </w:p>
    <w:p w14:paraId="5CF23B05">
      <w:pPr>
        <w:snapToGrid w:val="0"/>
        <w:spacing w:line="600" w:lineRule="exact"/>
        <w:ind w:firstLine="640" w:firstLineChars="200"/>
        <w:rPr>
          <w:rFonts w:ascii="Times New Roman" w:hAnsi="Times New Roman" w:cs="Times New Roman"/>
          <w:b w:val="0"/>
          <w:bCs w:val="0"/>
          <w:kern w:val="2"/>
          <w:position w:val="0"/>
          <w:sz w:val="32"/>
          <w:szCs w:val="32"/>
          <w:highlight w:val="none"/>
          <w:lang w:val="en-US" w:eastAsia="zh-CN" w:bidi="ar-SA"/>
        </w:rPr>
      </w:pPr>
      <w:r>
        <w:rPr>
          <w:rFonts w:hint="eastAsia" w:ascii="仿宋" w:eastAsia="仿宋"/>
          <w:sz w:val="32"/>
          <w:szCs w:val="32"/>
        </w:rPr>
        <w:t>本项目的</w:t>
      </w:r>
      <w:r>
        <w:rPr>
          <w:rFonts w:hint="eastAsia" w:ascii="仿宋" w:eastAsia="仿宋"/>
          <w:sz w:val="32"/>
          <w:szCs w:val="32"/>
          <w:lang w:val="en-US" w:eastAsia="zh-CN"/>
        </w:rPr>
        <w:t>该项目总体</w:t>
      </w:r>
      <w:r>
        <w:rPr>
          <w:rFonts w:hint="eastAsia" w:ascii="Times New Roman" w:hAnsi="Times New Roman" w:eastAsia="仿宋_GB2312" w:cs="Times New Roman"/>
          <w:kern w:val="2"/>
          <w:position w:val="0"/>
          <w:sz w:val="32"/>
          <w:szCs w:val="32"/>
          <w:lang w:val="en-US" w:eastAsia="zh-CN" w:bidi="ar-SA"/>
        </w:rPr>
        <w:t>评分</w:t>
      </w:r>
      <w:r>
        <w:rPr>
          <w:rFonts w:hint="eastAsia" w:cs="Times New Roman"/>
          <w:kern w:val="2"/>
          <w:position w:val="0"/>
          <w:sz w:val="32"/>
          <w:szCs w:val="32"/>
          <w:lang w:val="en-US" w:eastAsia="zh-CN" w:bidi="ar-SA"/>
        </w:rPr>
        <w:t>90</w:t>
      </w:r>
      <w:r>
        <w:rPr>
          <w:rFonts w:hint="eastAsia" w:ascii="Times New Roman" w:hAnsi="Times New Roman" w:eastAsia="仿宋_GB2312" w:cs="Times New Roman"/>
          <w:kern w:val="2"/>
          <w:position w:val="0"/>
          <w:sz w:val="32"/>
          <w:szCs w:val="32"/>
          <w:lang w:val="en-US" w:eastAsia="zh-CN" w:bidi="ar-SA"/>
        </w:rPr>
        <w:t>分，</w:t>
      </w:r>
      <w:r>
        <w:rPr>
          <w:rFonts w:hint="eastAsia" w:ascii="仿宋_GB2312" w:hAnsi="仿宋_GB2312" w:cs="仿宋_GB2312"/>
          <w:bCs/>
          <w:color w:val="auto"/>
          <w:sz w:val="32"/>
          <w:szCs w:val="32"/>
          <w:lang w:val="en-US" w:eastAsia="zh-CN"/>
        </w:rPr>
        <w:t>项目</w:t>
      </w:r>
      <w:r>
        <w:rPr>
          <w:rFonts w:hint="eastAsia" w:ascii="仿宋_GB2312" w:eastAsia="仿宋_GB2312" w:cs="仿宋_GB2312"/>
          <w:bCs/>
          <w:color w:val="auto"/>
          <w:sz w:val="32"/>
          <w:szCs w:val="32"/>
        </w:rPr>
        <w:t>评</w:t>
      </w:r>
      <w:r>
        <w:rPr>
          <w:rFonts w:hint="eastAsia" w:ascii="仿宋_GB2312" w:eastAsia="仿宋_GB2312" w:cs="仿宋_GB2312"/>
          <w:bCs/>
          <w:color w:val="auto"/>
          <w:sz w:val="32"/>
          <w:szCs w:val="32"/>
          <w:lang w:eastAsia="zh-CN"/>
        </w:rPr>
        <w:t>估等级</w:t>
      </w:r>
      <w:r>
        <w:rPr>
          <w:rFonts w:hint="eastAsia" w:ascii="仿宋_GB2312" w:hAnsi="仿宋_GB2312" w:cs="仿宋_GB2312"/>
          <w:bCs/>
          <w:color w:val="auto"/>
          <w:sz w:val="32"/>
          <w:szCs w:val="32"/>
          <w:lang w:eastAsia="zh-CN"/>
        </w:rPr>
        <w:t>优秀</w:t>
      </w:r>
      <w:r>
        <w:rPr>
          <w:rFonts w:hint="eastAsia" w:ascii="仿宋_GB2312" w:eastAsia="仿宋_GB2312" w:cs="仿宋_GB2312"/>
          <w:bCs/>
          <w:color w:val="auto"/>
          <w:sz w:val="32"/>
          <w:szCs w:val="32"/>
          <w:lang w:eastAsia="zh-CN"/>
        </w:rPr>
        <w:t>、</w:t>
      </w:r>
      <w:r>
        <w:rPr>
          <w:rFonts w:hint="eastAsia" w:ascii="仿宋" w:eastAsia="仿宋"/>
          <w:sz w:val="32"/>
          <w:szCs w:val="32"/>
        </w:rPr>
        <w:t>结合庆宁乡乡村振兴发展目标。坚持统筹发展的原则，坚持因地制宜，科学规划的原则，坚持政府主导</w:t>
      </w:r>
      <w:r>
        <w:rPr>
          <w:rFonts w:hint="eastAsia" w:ascii="仿宋_GB2312" w:eastAsia="仿宋_GB2312" w:cs="仿宋_GB2312"/>
          <w:b/>
          <w:bCs/>
          <w:kern w:val="0"/>
          <w:szCs w:val="32"/>
        </w:rPr>
        <w:t>，</w:t>
      </w:r>
      <w:r>
        <w:rPr>
          <w:rFonts w:hint="eastAsia" w:ascii="仿宋" w:eastAsia="仿宋"/>
          <w:sz w:val="32"/>
          <w:szCs w:val="32"/>
        </w:rPr>
        <w:t>通过</w:t>
      </w:r>
      <w:r>
        <w:rPr>
          <w:rFonts w:hint="eastAsia" w:ascii="仿宋" w:eastAsia="仿宋" w:cs="Times New Roman"/>
          <w:sz w:val="32"/>
          <w:szCs w:val="32"/>
          <w:lang w:val="en-US" w:eastAsia="zh-CN"/>
        </w:rPr>
        <w:t>以上3个项目</w:t>
      </w:r>
      <w:r>
        <w:rPr>
          <w:rFonts w:hint="eastAsia" w:ascii="仿宋" w:eastAsia="仿宋"/>
          <w:sz w:val="32"/>
          <w:szCs w:val="32"/>
        </w:rPr>
        <w:t>进一步完善庆宁乡基础设施建设，助力庆宁乡经济、社会统一发展，更好的提高老百姓生产生活水平，助力乡村振兴，为深入挖掘庆宁乡优势旅游资源奠定坚实基础、拓展全乡群众增收渠道。</w:t>
      </w:r>
    </w:p>
    <w:p w14:paraId="77B42E15">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lang w:eastAsia="zh-CN"/>
        </w:rPr>
      </w:pPr>
      <w:r>
        <w:rPr>
          <w:rFonts w:ascii="Times New Roman" w:hAnsi="Times New Roman" w:eastAsia="黑体" w:cs="Times New Roman"/>
          <w:color w:val="auto"/>
          <w:sz w:val="32"/>
          <w:szCs w:val="32"/>
          <w:highlight w:val="none"/>
          <w:u w:val="none"/>
          <w:lang w:eastAsia="zh-CN"/>
        </w:rPr>
        <w:t>五、存在主要问题</w:t>
      </w:r>
    </w:p>
    <w:p w14:paraId="7EC42481">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cs="Times New Roman"/>
          <w:b w:val="0"/>
          <w:bCs w:val="0"/>
          <w:kern w:val="2"/>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无</w:t>
      </w:r>
      <w:r>
        <w:rPr>
          <w:rFonts w:ascii="Times New Roman" w:hAnsi="Times New Roman" w:eastAsia="仿宋_GB2312" w:cs="Times New Roman"/>
          <w:b w:val="0"/>
          <w:bCs w:val="0"/>
          <w:kern w:val="0"/>
          <w:position w:val="0"/>
          <w:sz w:val="32"/>
          <w:szCs w:val="32"/>
          <w:highlight w:val="none"/>
          <w:lang w:val="en-US" w:eastAsia="zh-CN" w:bidi="ar-SA"/>
        </w:rPr>
        <w:t>。</w:t>
      </w:r>
    </w:p>
    <w:p w14:paraId="49C16334">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kern w:val="0"/>
          <w:position w:val="3"/>
          <w:sz w:val="32"/>
          <w:szCs w:val="32"/>
          <w:highlight w:val="none"/>
          <w:u w:val="none"/>
          <w:lang w:val="zh-CN" w:eastAsia="zh-CN" w:bidi="ar-SA"/>
        </w:rPr>
      </w:pPr>
      <w:r>
        <w:rPr>
          <w:rFonts w:ascii="Times New Roman" w:hAnsi="Times New Roman" w:eastAsia="黑体" w:cs="Times New Roman"/>
          <w:color w:val="auto"/>
          <w:kern w:val="0"/>
          <w:position w:val="3"/>
          <w:sz w:val="32"/>
          <w:szCs w:val="32"/>
          <w:highlight w:val="none"/>
          <w:u w:val="none"/>
          <w:lang w:val="zh-CN" w:eastAsia="zh-CN" w:bidi="ar-SA"/>
        </w:rPr>
        <w:t>六、改进建议</w:t>
      </w:r>
    </w:p>
    <w:p w14:paraId="3A7E44BA">
      <w:pPr>
        <w:tabs>
          <w:tab w:val="left" w:pos="1911"/>
        </w:tabs>
        <w:jc w:val="left"/>
        <w:rPr>
          <w:rFonts w:ascii="Times New Roman" w:hAnsi="Times New Roman" w:eastAsia="仿宋_GB2312" w:cs="Times New Roman"/>
          <w:b w:val="0"/>
          <w:bCs w:val="0"/>
          <w:kern w:val="0"/>
          <w:position w:val="0"/>
          <w:sz w:val="32"/>
          <w:szCs w:val="32"/>
          <w:highlight w:val="none"/>
          <w:lang w:eastAsia="zh-CN" w:bidi="ar-SA"/>
        </w:rPr>
      </w:pPr>
      <w:r>
        <w:rPr>
          <w:rFonts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ascii="Times New Roman" w:hAnsi="Times New Roman" w:cs="Times New Roman"/>
          <w:b w:val="0"/>
          <w:bCs w:val="0"/>
          <w:kern w:val="0"/>
          <w:position w:val="0"/>
          <w:sz w:val="32"/>
          <w:szCs w:val="32"/>
          <w:highlight w:val="none"/>
          <w:lang w:val="en-US" w:eastAsia="zh-CN" w:bidi="ar-SA"/>
        </w:rPr>
        <w:t xml:space="preserve">   </w:t>
      </w:r>
      <w:r>
        <w:rPr>
          <w:rFonts w:hint="eastAsia" w:cs="Times New Roman"/>
          <w:b w:val="0"/>
          <w:bCs w:val="0"/>
          <w:kern w:val="0"/>
          <w:position w:val="0"/>
          <w:sz w:val="32"/>
          <w:szCs w:val="32"/>
          <w:highlight w:val="none"/>
          <w:lang w:val="en-US" w:eastAsia="zh-CN" w:bidi="ar-SA"/>
        </w:rPr>
        <w:t>无</w:t>
      </w:r>
      <w:r>
        <w:rPr>
          <w:rFonts w:ascii="Times New Roman" w:hAnsi="Times New Roman" w:cs="Times New Roman"/>
          <w:b w:val="0"/>
          <w:bCs w:val="0"/>
          <w:kern w:val="0"/>
          <w:position w:val="0"/>
          <w:sz w:val="32"/>
          <w:szCs w:val="32"/>
          <w:highlight w:val="none"/>
          <w:lang w:val="en-US" w:eastAsia="zh-CN" w:bidi="ar-SA"/>
        </w:rPr>
        <w:t>。</w:t>
      </w:r>
    </w:p>
    <w:p w14:paraId="681B8B69">
      <w:pPr>
        <w:pStyle w:val="9"/>
        <w:rPr>
          <w:rFonts w:ascii="Times New Roman" w:hAnsi="Times New Roman" w:eastAsia="方正小标宋简体" w:cs="方正小标宋简体"/>
          <w:color w:val="auto"/>
          <w:kern w:val="2"/>
          <w:sz w:val="44"/>
          <w:szCs w:val="44"/>
          <w:highlight w:val="none"/>
          <w:lang w:val="en-US" w:eastAsia="zh-CN"/>
        </w:rPr>
      </w:pPr>
    </w:p>
    <w:p w14:paraId="7FBB7D18">
      <w:pPr>
        <w:pStyle w:val="9"/>
        <w:rPr>
          <w:rFonts w:ascii="Times New Roman" w:hAnsi="Times New Roman" w:eastAsia="方正小标宋简体" w:cs="方正小标宋简体"/>
          <w:color w:val="auto"/>
          <w:kern w:val="2"/>
          <w:sz w:val="44"/>
          <w:szCs w:val="44"/>
          <w:highlight w:val="none"/>
          <w:lang w:val="en-US" w:eastAsia="zh-CN"/>
        </w:rPr>
      </w:pPr>
    </w:p>
    <w:p w14:paraId="3575CE80">
      <w:pPr>
        <w:pStyle w:val="9"/>
        <w:rPr>
          <w:rFonts w:ascii="Times New Roman" w:hAnsi="Times New Roman" w:eastAsia="方正小标宋简体" w:cs="方正小标宋简体"/>
          <w:color w:val="auto"/>
          <w:kern w:val="2"/>
          <w:sz w:val="44"/>
          <w:szCs w:val="44"/>
          <w:highlight w:val="none"/>
          <w:lang w:val="en-US" w:eastAsia="zh-CN"/>
        </w:rPr>
      </w:pPr>
    </w:p>
    <w:p w14:paraId="488AB748">
      <w:pPr>
        <w:pStyle w:val="9"/>
        <w:rPr>
          <w:rFonts w:ascii="Times New Roman" w:hAnsi="Times New Roman" w:eastAsia="方正小标宋简体" w:cs="方正小标宋简体"/>
          <w:color w:val="auto"/>
          <w:kern w:val="2"/>
          <w:sz w:val="44"/>
          <w:szCs w:val="44"/>
          <w:highlight w:val="none"/>
          <w:lang w:val="en-US" w:eastAsia="zh-CN"/>
        </w:rPr>
      </w:pPr>
    </w:p>
    <w:p w14:paraId="34269675">
      <w:pPr>
        <w:pStyle w:val="9"/>
        <w:rPr>
          <w:rFonts w:ascii="Times New Roman" w:hAnsi="Times New Roman" w:eastAsia="方正小标宋简体" w:cs="方正小标宋简体"/>
          <w:color w:val="auto"/>
          <w:kern w:val="2"/>
          <w:sz w:val="44"/>
          <w:szCs w:val="44"/>
          <w:highlight w:val="none"/>
          <w:lang w:val="en-US" w:eastAsia="zh-CN"/>
        </w:rPr>
      </w:pPr>
    </w:p>
    <w:p w14:paraId="002D689F">
      <w:pPr>
        <w:pStyle w:val="9"/>
        <w:rPr>
          <w:rFonts w:ascii="Times New Roman" w:hAnsi="Times New Roman" w:eastAsia="方正小标宋简体" w:cs="方正小标宋简体"/>
          <w:color w:val="auto"/>
          <w:kern w:val="2"/>
          <w:sz w:val="44"/>
          <w:szCs w:val="44"/>
          <w:highlight w:val="none"/>
          <w:lang w:val="en-US" w:eastAsia="zh-CN"/>
        </w:rPr>
      </w:pPr>
    </w:p>
    <w:p w14:paraId="75DF0BB3">
      <w:pPr>
        <w:pStyle w:val="9"/>
        <w:rPr>
          <w:rFonts w:ascii="Times New Roman" w:hAnsi="Times New Roman" w:eastAsia="方正小标宋简体" w:cs="方正小标宋简体"/>
          <w:color w:val="auto"/>
          <w:kern w:val="2"/>
          <w:sz w:val="44"/>
          <w:szCs w:val="44"/>
          <w:highlight w:val="none"/>
          <w:lang w:val="en-US" w:eastAsia="zh-CN"/>
        </w:rPr>
      </w:pPr>
    </w:p>
    <w:p w14:paraId="15EF08AD">
      <w:pPr>
        <w:pStyle w:val="9"/>
        <w:rPr>
          <w:rFonts w:ascii="Times New Roman" w:hAnsi="Times New Roman" w:eastAsia="方正小标宋简体" w:cs="方正小标宋简体"/>
          <w:color w:val="auto"/>
          <w:kern w:val="2"/>
          <w:sz w:val="44"/>
          <w:szCs w:val="44"/>
          <w:highlight w:val="none"/>
          <w:lang w:val="en-US" w:eastAsia="zh-CN"/>
        </w:rPr>
      </w:pPr>
    </w:p>
    <w:p w14:paraId="7184E48F">
      <w:pPr>
        <w:pStyle w:val="9"/>
        <w:rPr>
          <w:rFonts w:ascii="Times New Roman" w:hAnsi="Times New Roman" w:eastAsia="方正小标宋简体" w:cs="方正小标宋简体"/>
          <w:color w:val="auto"/>
          <w:kern w:val="2"/>
          <w:sz w:val="44"/>
          <w:szCs w:val="44"/>
          <w:highlight w:val="none"/>
          <w:lang w:val="en-US" w:eastAsia="zh-CN"/>
        </w:rPr>
      </w:pPr>
    </w:p>
    <w:p w14:paraId="16AAF9CA">
      <w:pPr>
        <w:pStyle w:val="9"/>
        <w:rPr>
          <w:rFonts w:ascii="Times New Roman" w:hAnsi="Times New Roman" w:eastAsia="方正小标宋简体" w:cs="方正小标宋简体"/>
          <w:color w:val="auto"/>
          <w:kern w:val="2"/>
          <w:sz w:val="44"/>
          <w:szCs w:val="44"/>
          <w:highlight w:val="none"/>
          <w:lang w:val="en-US" w:eastAsia="zh-CN"/>
        </w:rPr>
      </w:pPr>
    </w:p>
    <w:p w14:paraId="3B04347F">
      <w:pPr>
        <w:pStyle w:val="3"/>
        <w:jc w:val="center"/>
        <w:rPr>
          <w:rFonts w:hint="eastAsia" w:ascii="方正小标宋_GBK" w:eastAsia="方正小标宋_GBK" w:cs="方正小标宋_GBK"/>
          <w:b w:val="0"/>
        </w:rPr>
      </w:pPr>
      <w:r>
        <w:rPr>
          <w:rFonts w:hint="eastAsia" w:ascii="方正小标宋_GBK" w:eastAsia="方正小标宋_GBK" w:cs="方正小标宋_GBK"/>
          <w:b w:val="0"/>
        </w:rPr>
        <w:t>第五部分 附表</w:t>
      </w:r>
      <w:bookmarkStart w:id="60" w:name="_Toc15396619"/>
    </w:p>
    <w:p w14:paraId="674A0A73">
      <w:pPr>
        <w:pStyle w:val="15"/>
        <w:adjustRightInd w:val="0"/>
        <w:snapToGrid w:val="0"/>
        <w:spacing w:line="560" w:lineRule="exact"/>
        <w:jc w:val="left"/>
        <w:rPr>
          <w:rFonts w:eastAsia="仿宋_GB2312" w:cs="仿宋_GB2312"/>
          <w:sz w:val="32"/>
          <w:szCs w:val="32"/>
        </w:rPr>
      </w:pPr>
    </w:p>
    <w:p w14:paraId="2AC47FC2">
      <w:pPr>
        <w:pStyle w:val="15"/>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一、收入支出决算总表</w:t>
      </w:r>
      <w:bookmarkEnd w:id="60"/>
    </w:p>
    <w:p w14:paraId="0C7F8E51">
      <w:pPr>
        <w:pStyle w:val="15"/>
        <w:adjustRightInd w:val="0"/>
        <w:snapToGrid w:val="0"/>
        <w:spacing w:line="560" w:lineRule="exact"/>
        <w:jc w:val="left"/>
        <w:rPr>
          <w:rFonts w:ascii="Times New Roman" w:hAnsi="Times New Roman" w:eastAsia="方正仿宋_GBK" w:cs="Times New Roman"/>
          <w:sz w:val="32"/>
          <w:szCs w:val="32"/>
        </w:rPr>
      </w:pPr>
      <w:bookmarkStart w:id="61" w:name="_Toc15396620"/>
      <w:r>
        <w:rPr>
          <w:rFonts w:ascii="Times New Roman" w:hAnsi="Times New Roman" w:eastAsia="方正仿宋_GBK" w:cs="Times New Roman"/>
          <w:sz w:val="32"/>
          <w:szCs w:val="32"/>
        </w:rPr>
        <w:t>二、收入决算表</w:t>
      </w:r>
      <w:bookmarkEnd w:id="61"/>
    </w:p>
    <w:p w14:paraId="7EFEDD62">
      <w:pPr>
        <w:pStyle w:val="15"/>
        <w:adjustRightInd w:val="0"/>
        <w:snapToGrid w:val="0"/>
        <w:spacing w:line="560" w:lineRule="exact"/>
        <w:jc w:val="left"/>
        <w:rPr>
          <w:rFonts w:ascii="Times New Roman" w:hAnsi="Times New Roman" w:eastAsia="方正仿宋_GBK" w:cs="Times New Roman"/>
          <w:sz w:val="32"/>
          <w:szCs w:val="32"/>
        </w:rPr>
      </w:pPr>
      <w:bookmarkStart w:id="62" w:name="_Toc15396621"/>
      <w:r>
        <w:rPr>
          <w:rFonts w:ascii="Times New Roman" w:hAnsi="Times New Roman" w:eastAsia="方正仿宋_GBK" w:cs="Times New Roman"/>
          <w:sz w:val="32"/>
          <w:szCs w:val="32"/>
        </w:rPr>
        <w:t>三、支出决算表</w:t>
      </w:r>
      <w:bookmarkEnd w:id="62"/>
    </w:p>
    <w:p w14:paraId="34DF4BCF">
      <w:pPr>
        <w:pStyle w:val="15"/>
        <w:adjustRightInd w:val="0"/>
        <w:snapToGrid w:val="0"/>
        <w:spacing w:line="560" w:lineRule="exact"/>
        <w:jc w:val="left"/>
        <w:rPr>
          <w:rFonts w:ascii="Times New Roman" w:hAnsi="Times New Roman" w:eastAsia="方正仿宋_GBK" w:cs="Times New Roman"/>
          <w:sz w:val="32"/>
          <w:szCs w:val="32"/>
        </w:rPr>
      </w:pPr>
      <w:bookmarkStart w:id="63" w:name="_Toc15396622"/>
      <w:r>
        <w:rPr>
          <w:rFonts w:ascii="Times New Roman" w:hAnsi="Times New Roman" w:eastAsia="方正仿宋_GBK" w:cs="Times New Roman"/>
          <w:sz w:val="32"/>
          <w:szCs w:val="32"/>
        </w:rPr>
        <w:t>四、财政拨款收入支出决算总表</w:t>
      </w:r>
      <w:bookmarkEnd w:id="63"/>
    </w:p>
    <w:p w14:paraId="14197E19">
      <w:pPr>
        <w:pStyle w:val="15"/>
        <w:adjustRightInd w:val="0"/>
        <w:snapToGrid w:val="0"/>
        <w:spacing w:line="560" w:lineRule="exact"/>
        <w:jc w:val="left"/>
        <w:rPr>
          <w:rFonts w:ascii="Times New Roman" w:hAnsi="Times New Roman" w:eastAsia="方正仿宋_GBK" w:cs="Times New Roman"/>
          <w:sz w:val="32"/>
          <w:szCs w:val="32"/>
        </w:rPr>
      </w:pPr>
      <w:bookmarkStart w:id="64" w:name="_Toc15396623"/>
      <w:r>
        <w:rPr>
          <w:rFonts w:ascii="Times New Roman" w:hAnsi="Times New Roman" w:eastAsia="方正仿宋_GBK" w:cs="Times New Roman"/>
          <w:sz w:val="32"/>
          <w:szCs w:val="32"/>
        </w:rPr>
        <w:t>五、财政拨款支出决算明细表</w:t>
      </w:r>
      <w:bookmarkEnd w:id="64"/>
      <w:bookmarkStart w:id="65" w:name="_Toc15396624"/>
    </w:p>
    <w:p w14:paraId="6BD53AC8">
      <w:pPr>
        <w:pStyle w:val="15"/>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六、一般公共预算财政拨款支出决算表</w:t>
      </w:r>
      <w:bookmarkEnd w:id="65"/>
    </w:p>
    <w:p w14:paraId="3CF89DA4">
      <w:pPr>
        <w:pStyle w:val="15"/>
        <w:adjustRightInd w:val="0"/>
        <w:snapToGrid w:val="0"/>
        <w:spacing w:line="560" w:lineRule="exact"/>
        <w:jc w:val="left"/>
        <w:rPr>
          <w:rFonts w:ascii="Times New Roman" w:hAnsi="Times New Roman" w:eastAsia="方正仿宋_GBK" w:cs="Times New Roman"/>
          <w:sz w:val="32"/>
          <w:szCs w:val="32"/>
        </w:rPr>
      </w:pPr>
      <w:bookmarkStart w:id="66" w:name="_Toc15396625"/>
      <w:r>
        <w:rPr>
          <w:rFonts w:ascii="Times New Roman" w:hAnsi="Times New Roman" w:eastAsia="方正仿宋_GBK" w:cs="Times New Roman"/>
          <w:sz w:val="32"/>
          <w:szCs w:val="32"/>
        </w:rPr>
        <w:t>七、一般公共预算财政拨款支出决算明细表</w:t>
      </w:r>
      <w:bookmarkEnd w:id="66"/>
    </w:p>
    <w:p w14:paraId="183B193F">
      <w:pPr>
        <w:pStyle w:val="15"/>
        <w:adjustRightInd w:val="0"/>
        <w:snapToGrid w:val="0"/>
        <w:spacing w:line="560" w:lineRule="exact"/>
        <w:jc w:val="left"/>
        <w:rPr>
          <w:rFonts w:ascii="Times New Roman" w:hAnsi="Times New Roman" w:eastAsia="方正仿宋_GBK" w:cs="Times New Roman"/>
          <w:sz w:val="32"/>
          <w:szCs w:val="32"/>
        </w:rPr>
      </w:pPr>
      <w:bookmarkStart w:id="67" w:name="_Toc15396626"/>
      <w:r>
        <w:rPr>
          <w:rFonts w:ascii="Times New Roman" w:hAnsi="Times New Roman" w:eastAsia="方正仿宋_GBK" w:cs="Times New Roman"/>
          <w:sz w:val="32"/>
          <w:szCs w:val="32"/>
        </w:rPr>
        <w:t>八、一般公共预算财政拨款基本支出决算表</w:t>
      </w:r>
      <w:bookmarkEnd w:id="67"/>
    </w:p>
    <w:p w14:paraId="3D38C92F">
      <w:pPr>
        <w:pStyle w:val="15"/>
        <w:adjustRightInd w:val="0"/>
        <w:snapToGrid w:val="0"/>
        <w:spacing w:line="560" w:lineRule="exact"/>
        <w:jc w:val="left"/>
        <w:rPr>
          <w:rFonts w:ascii="Times New Roman" w:hAnsi="Times New Roman" w:eastAsia="方正仿宋_GBK" w:cs="Times New Roman"/>
          <w:sz w:val="32"/>
          <w:szCs w:val="32"/>
        </w:rPr>
      </w:pPr>
      <w:bookmarkStart w:id="68" w:name="_Toc15396627"/>
      <w:r>
        <w:rPr>
          <w:rFonts w:ascii="Times New Roman" w:hAnsi="Times New Roman" w:eastAsia="方正仿宋_GBK" w:cs="Times New Roman"/>
          <w:sz w:val="32"/>
          <w:szCs w:val="32"/>
        </w:rPr>
        <w:t>九、一般公共预算财政拨款项目支出决算表</w:t>
      </w:r>
      <w:bookmarkEnd w:id="68"/>
    </w:p>
    <w:p w14:paraId="2C264FA4">
      <w:pPr>
        <w:pStyle w:val="15"/>
        <w:adjustRightInd w:val="0"/>
        <w:snapToGrid w:val="0"/>
        <w:spacing w:line="560" w:lineRule="exact"/>
        <w:jc w:val="left"/>
        <w:rPr>
          <w:rFonts w:ascii="Times New Roman" w:hAnsi="Times New Roman" w:eastAsia="方正仿宋_GBK" w:cs="Times New Roman"/>
          <w:sz w:val="32"/>
          <w:szCs w:val="32"/>
        </w:rPr>
      </w:pPr>
      <w:bookmarkStart w:id="69" w:name="_Toc15396628"/>
      <w:r>
        <w:rPr>
          <w:rFonts w:ascii="Times New Roman" w:hAnsi="Times New Roman" w:eastAsia="方正仿宋_GBK" w:cs="Times New Roman"/>
          <w:sz w:val="32"/>
          <w:szCs w:val="32"/>
        </w:rPr>
        <w:t>十、</w:t>
      </w:r>
      <w:bookmarkEnd w:id="69"/>
      <w:r>
        <w:rPr>
          <w:rFonts w:ascii="Times New Roman" w:hAnsi="Times New Roman" w:eastAsia="方正仿宋_GBK" w:cs="Times New Roman"/>
          <w:sz w:val="32"/>
          <w:szCs w:val="32"/>
        </w:rPr>
        <w:t>政府性基金预算财政拨款收入支出决算表</w:t>
      </w:r>
    </w:p>
    <w:p w14:paraId="4A1F11B7">
      <w:pPr>
        <w:pStyle w:val="15"/>
        <w:adjustRightInd w:val="0"/>
        <w:snapToGrid w:val="0"/>
        <w:spacing w:line="560" w:lineRule="exact"/>
        <w:jc w:val="left"/>
        <w:rPr>
          <w:rFonts w:ascii="Times New Roman" w:hAnsi="Times New Roman" w:eastAsia="方正仿宋_GBK" w:cs="Times New Roman"/>
          <w:sz w:val="32"/>
          <w:szCs w:val="32"/>
        </w:rPr>
      </w:pPr>
      <w:bookmarkStart w:id="70" w:name="_Toc15396629"/>
      <w:r>
        <w:rPr>
          <w:rFonts w:ascii="Times New Roman" w:hAnsi="Times New Roman" w:eastAsia="方正仿宋_GBK" w:cs="Times New Roman"/>
          <w:sz w:val="32"/>
          <w:szCs w:val="32"/>
        </w:rPr>
        <w:t>十一、</w:t>
      </w:r>
      <w:bookmarkEnd w:id="70"/>
      <w:r>
        <w:rPr>
          <w:rFonts w:ascii="Times New Roman" w:hAnsi="Times New Roman" w:eastAsia="方正仿宋_GBK" w:cs="Times New Roman"/>
          <w:sz w:val="32"/>
          <w:szCs w:val="32"/>
        </w:rPr>
        <w:t>国有资本经营预算财政拨款收入支出决算表</w:t>
      </w:r>
    </w:p>
    <w:p w14:paraId="1D423DAD">
      <w:pPr>
        <w:pStyle w:val="15"/>
        <w:adjustRightInd w:val="0"/>
        <w:snapToGrid w:val="0"/>
        <w:spacing w:line="560" w:lineRule="exact"/>
        <w:jc w:val="left"/>
        <w:rPr>
          <w:rFonts w:ascii="Times New Roman" w:hAnsi="Times New Roman" w:eastAsia="方正仿宋_GBK" w:cs="Times New Roman"/>
          <w:sz w:val="32"/>
          <w:szCs w:val="32"/>
        </w:rPr>
      </w:pPr>
      <w:bookmarkStart w:id="71" w:name="_Toc15396630"/>
      <w:r>
        <w:rPr>
          <w:rFonts w:ascii="Times New Roman" w:hAnsi="Times New Roman" w:eastAsia="方正仿宋_GBK" w:cs="Times New Roman"/>
          <w:sz w:val="32"/>
          <w:szCs w:val="32"/>
        </w:rPr>
        <w:t>十二、</w:t>
      </w:r>
      <w:bookmarkEnd w:id="71"/>
      <w:r>
        <w:rPr>
          <w:rFonts w:ascii="Times New Roman" w:hAnsi="Times New Roman" w:eastAsia="方正仿宋_GBK" w:cs="Times New Roman"/>
          <w:sz w:val="32"/>
          <w:szCs w:val="32"/>
        </w:rPr>
        <w:t>国有资本经营预算财政拨款支出决算表</w:t>
      </w:r>
    </w:p>
    <w:p w14:paraId="2248E799">
      <w:pPr>
        <w:pStyle w:val="15"/>
        <w:adjustRightInd w:val="0"/>
        <w:snapToGrid w:val="0"/>
        <w:spacing w:line="560" w:lineRule="exact"/>
        <w:jc w:val="left"/>
        <w:rPr>
          <w:rFonts w:ascii="Times New Roman" w:hAnsi="Times New Roman" w:eastAsia="方正仿宋_GBK" w:cs="Times New Roman"/>
          <w:sz w:val="32"/>
          <w:szCs w:val="32"/>
        </w:rPr>
      </w:pPr>
      <w:bookmarkStart w:id="72" w:name="_Toc15396631"/>
      <w:r>
        <w:rPr>
          <w:rFonts w:ascii="Times New Roman" w:hAnsi="Times New Roman" w:eastAsia="方正仿宋_GBK" w:cs="Times New Roman"/>
          <w:sz w:val="32"/>
          <w:szCs w:val="32"/>
        </w:rPr>
        <w:t>十三、</w:t>
      </w:r>
      <w:bookmarkEnd w:id="72"/>
      <w:r>
        <w:rPr>
          <w:rFonts w:ascii="Times New Roman" w:hAnsi="Times New Roman" w:eastAsia="方正仿宋_GBK" w:cs="Times New Roman"/>
          <w:sz w:val="32"/>
          <w:szCs w:val="32"/>
        </w:rPr>
        <w:t>财政拨款“三公”经费支出决算表</w:t>
      </w:r>
    </w:p>
    <w:p w14:paraId="7B263C4D"/>
    <w:p w14:paraId="36275B9B">
      <w:pPr>
        <w:pStyle w:val="9"/>
        <w:rPr>
          <w:rFonts w:hint="eastAsia" w:ascii="Times New Roman" w:hAnsi="Times New Roman" w:eastAsia="方正小标宋简体" w:cs="方正小标宋简体"/>
          <w:color w:val="auto"/>
          <w:kern w:val="2"/>
          <w:sz w:val="44"/>
          <w:szCs w:val="4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RomanS"/>
    <w:panose1 w:val="00000000000000000000"/>
    <w:charset w:val="00"/>
    <w:family w:val="roman"/>
    <w:pitch w:val="default"/>
    <w:sig w:usb0="00000000" w:usb1="00000000" w:usb2="00000000" w:usb3="00000000" w:csb0="00000000" w:csb1="00000000"/>
  </w:font>
  <w:font w:name="DejaVu Sans">
    <w:altName w:val="RomanS"/>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 PL UKai CN">
    <w:altName w:val="RomanS"/>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RomanS">
    <w:panose1 w:val="02000400000000000000"/>
    <w:charset w:val="00"/>
    <w:family w:val="auto"/>
    <w:pitch w:val="default"/>
    <w:sig w:usb0="00000207" w:usb1="00000000" w:usb2="00000000"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F2E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1DC5B6"/>
    <w:multiLevelType w:val="singleLevel"/>
    <w:tmpl w:val="D41DC5B6"/>
    <w:lvl w:ilvl="0" w:tentative="0">
      <w:start w:val="3"/>
      <w:numFmt w:val="decimal"/>
      <w:lvlText w:val="%1."/>
      <w:lvlJc w:val="left"/>
      <w:pPr>
        <w:tabs>
          <w:tab w:val="left" w:pos="0"/>
        </w:tabs>
        <w:ind w:left="0" w:firstLine="0"/>
      </w:pPr>
    </w:lvl>
  </w:abstractNum>
  <w:abstractNum w:abstractNumId="1">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3">
    <w:nsid w:val="1A05F136"/>
    <w:multiLevelType w:val="singleLevel"/>
    <w:tmpl w:val="1A05F136"/>
    <w:lvl w:ilvl="0" w:tentative="0">
      <w:start w:val="4"/>
      <w:numFmt w:val="chineseCounting"/>
      <w:suff w:val="space"/>
      <w:lvlText w:val="第%1部分"/>
      <w:lvlJc w:val="left"/>
      <w:pPr>
        <w:tabs>
          <w:tab w:val="left" w:pos="0"/>
        </w:tabs>
        <w:ind w:left="0" w:firstLine="0"/>
      </w:pPr>
      <w:rPr>
        <w:rFonts w:hint="eastAsia"/>
      </w:rPr>
    </w:lvl>
  </w:abstractNum>
  <w:abstractNum w:abstractNumId="4">
    <w:nsid w:val="1FF3B277"/>
    <w:multiLevelType w:val="singleLevel"/>
    <w:tmpl w:val="1FF3B277"/>
    <w:lvl w:ilvl="0" w:tentative="0">
      <w:start w:val="2"/>
      <w:numFmt w:val="chineseCounting"/>
      <w:suff w:val="nothing"/>
      <w:lvlText w:val="（%1）"/>
      <w:lvlJc w:val="left"/>
      <w:pPr>
        <w:tabs>
          <w:tab w:val="left" w:pos="0"/>
        </w:tabs>
        <w:ind w:left="0" w:firstLine="0"/>
      </w:pPr>
      <w:rPr>
        <w:rFonts w:hint="eastAsia"/>
      </w:rPr>
    </w:lvl>
  </w:abstractNum>
  <w:abstractNum w:abstractNumId="5">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6">
    <w:nsid w:val="2F8588C4"/>
    <w:multiLevelType w:val="singleLevel"/>
    <w:tmpl w:val="2F8588C4"/>
    <w:lvl w:ilvl="0" w:tentative="0">
      <w:start w:val="2"/>
      <w:numFmt w:val="chineseCounting"/>
      <w:suff w:val="nothing"/>
      <w:lvlText w:val="（%1）"/>
      <w:lvlJc w:val="left"/>
      <w:pPr>
        <w:tabs>
          <w:tab w:val="left" w:pos="0"/>
        </w:tabs>
        <w:ind w:left="0" w:firstLine="0"/>
      </w:pPr>
      <w:rPr>
        <w:rFonts w:hint="eastAsia"/>
      </w:rPr>
    </w:lvl>
  </w:abstractNum>
  <w:abstractNum w:abstractNumId="7">
    <w:nsid w:val="4F4784CD"/>
    <w:multiLevelType w:val="singleLevel"/>
    <w:tmpl w:val="4F4784CD"/>
    <w:lvl w:ilvl="0" w:tentative="0">
      <w:start w:val="3"/>
      <w:numFmt w:val="chineseCounting"/>
      <w:suff w:val="nothing"/>
      <w:lvlText w:val="（%1）"/>
      <w:lvlJc w:val="left"/>
      <w:pPr>
        <w:tabs>
          <w:tab w:val="left" w:pos="0"/>
        </w:tabs>
        <w:ind w:left="0" w:firstLine="0"/>
      </w:pPr>
      <w:rPr>
        <w:rFonts w:hint="eastAsia"/>
      </w:rPr>
    </w:lvl>
  </w:abstractNum>
  <w:abstractNum w:abstractNumId="8">
    <w:nsid w:val="615F0E73"/>
    <w:multiLevelType w:val="singleLevel"/>
    <w:tmpl w:val="615F0E73"/>
    <w:lvl w:ilvl="0" w:tentative="0">
      <w:start w:val="2"/>
      <w:numFmt w:val="chineseCounting"/>
      <w:suff w:val="nothing"/>
      <w:lvlText w:val="（%1）"/>
      <w:lvlJc w:val="left"/>
      <w:pPr>
        <w:tabs>
          <w:tab w:val="left" w:pos="0"/>
        </w:tabs>
        <w:ind w:left="0" w:firstLine="0"/>
      </w:pPr>
      <w:rPr>
        <w:rFonts w:hint="eastAsia"/>
      </w:rPr>
    </w:lvl>
  </w:abstractNum>
  <w:abstractNum w:abstractNumId="9">
    <w:nsid w:val="621EAD22"/>
    <w:multiLevelType w:val="singleLevel"/>
    <w:tmpl w:val="621EAD22"/>
    <w:lvl w:ilvl="0" w:tentative="0">
      <w:start w:val="24"/>
      <w:numFmt w:val="decimal"/>
      <w:lvlText w:val="%1."/>
      <w:lvlJc w:val="left"/>
      <w:pPr>
        <w:tabs>
          <w:tab w:val="left" w:pos="312"/>
        </w:tabs>
      </w:p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ZjVhNGJiMWVmZTg4ZjFhYWZhYWFiMzBkODkwYWRkZmUifQ=="/>
  </w:docVars>
  <w:rsids>
    <w:rsidRoot w:val="00000000"/>
    <w:rsid w:val="4F0F45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Arial"/>
      <w:kern w:val="2"/>
      <w:sz w:val="21"/>
      <w:szCs w:val="24"/>
      <w:lang w:val="en-US" w:eastAsia="zh-CN" w:bidi="ar-SA"/>
    </w:rPr>
  </w:style>
  <w:style w:type="paragraph" w:styleId="3">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8">
    <w:name w:val="Default Paragraph Font"/>
    <w:qFormat/>
    <w:uiPriority w:val="0"/>
  </w:style>
  <w:style w:type="table" w:default="1" w:styleId="17">
    <w:name w:val="Normal Table"/>
    <w:semiHidden/>
    <w:uiPriority w:val="0"/>
    <w:tblPr>
      <w:tblCellMar>
        <w:top w:w="0" w:type="dxa"/>
        <w:left w:w="108" w:type="dxa"/>
        <w:bottom w:w="0" w:type="dxa"/>
        <w:right w:w="108" w:type="dxa"/>
      </w:tblCellMar>
    </w:tblPr>
  </w:style>
  <w:style w:type="paragraph" w:customStyle="1" w:styleId="2">
    <w:name w:val="table of figures1"/>
    <w:basedOn w:val="1"/>
    <w:next w:val="1"/>
    <w:uiPriority w:val="0"/>
    <w:pPr>
      <w:spacing w:before="100" w:beforeAutospacing="1" w:after="100" w:afterAutospacing="1"/>
      <w:ind w:left="400" w:leftChars="200" w:hanging="200" w:hangingChars="200"/>
    </w:pPr>
  </w:style>
  <w:style w:type="paragraph" w:styleId="6">
    <w:name w:val="Body Text"/>
    <w:basedOn w:val="1"/>
    <w:next w:val="7"/>
    <w:qFormat/>
    <w:uiPriority w:val="0"/>
    <w:pPr>
      <w:spacing w:before="30" w:beforeLines="30"/>
    </w:pPr>
    <w:rPr>
      <w:rFonts w:ascii="仿宋_GB2312" w:eastAsia="仿宋_GB2312"/>
      <w:kern w:val="0"/>
      <w:sz w:val="30"/>
    </w:rPr>
  </w:style>
  <w:style w:type="paragraph" w:styleId="7">
    <w:name w:val="Subtitle"/>
    <w:basedOn w:val="1"/>
    <w:next w:val="1"/>
    <w:uiPriority w:val="0"/>
    <w:pPr>
      <w:spacing w:before="240" w:after="60" w:line="312" w:lineRule="auto"/>
      <w:jc w:val="center"/>
      <w:outlineLvl w:val="1"/>
    </w:pPr>
    <w:rPr>
      <w:rFonts w:ascii="Cambria" w:hAnsi="Cambria" w:eastAsia="宋体" w:cs="Times New Roman"/>
      <w:b/>
      <w:kern w:val="28"/>
      <w:sz w:val="32"/>
      <w:szCs w:val="2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uiPriority w:val="0"/>
    <w:pPr>
      <w:ind w:firstLine="200" w:firstLine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iPriority w:val="0"/>
    <w:pPr>
      <w:tabs>
        <w:tab w:val="right" w:leader="dot" w:pos="8296"/>
      </w:tabs>
      <w:spacing w:before="93"/>
      <w:jc w:val="center"/>
    </w:pPr>
    <w:rPr>
      <w:rFonts w:ascii="仿宋" w:eastAsia="仿宋"/>
      <w:sz w:val="28"/>
      <w:szCs w:val="28"/>
    </w:rPr>
  </w:style>
  <w:style w:type="paragraph" w:styleId="13">
    <w:name w:val="footnote text"/>
    <w:basedOn w:val="1"/>
    <w:next w:val="9"/>
    <w:qFormat/>
    <w:uiPriority w:val="0"/>
    <w:pPr>
      <w:snapToGrid w:val="0"/>
      <w:jc w:val="left"/>
    </w:pPr>
    <w:rPr>
      <w:sz w:val="18"/>
      <w:szCs w:val="18"/>
    </w:rPr>
  </w:style>
  <w:style w:type="paragraph" w:styleId="14">
    <w:name w:val="table of figures"/>
    <w:basedOn w:val="1"/>
    <w:next w:val="1"/>
    <w:qFormat/>
    <w:uiPriority w:val="0"/>
    <w:pPr>
      <w:ind w:left="400" w:leftChars="200" w:hanging="200" w:hangingChars="200"/>
    </w:pPr>
  </w:style>
  <w:style w:type="paragraph" w:styleId="15">
    <w:name w:val="toc 2"/>
    <w:basedOn w:val="1"/>
    <w:next w:val="1"/>
    <w:qFormat/>
    <w:uiPriority w:val="0"/>
    <w:pPr>
      <w:tabs>
        <w:tab w:val="right" w:leader="dot" w:pos="8296"/>
      </w:tabs>
      <w:ind w:left="20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19">
    <w:name w:val="Strong"/>
    <w:basedOn w:val="18"/>
    <w:uiPriority w:val="0"/>
    <w:rPr>
      <w:b/>
    </w:rPr>
  </w:style>
  <w:style w:type="character" w:styleId="20">
    <w:name w:val="Hyperlink"/>
    <w:basedOn w:val="18"/>
    <w:qFormat/>
    <w:uiPriority w:val="0"/>
    <w:rPr>
      <w:color w:val="0000FF"/>
      <w:u w:val="single"/>
    </w:rPr>
  </w:style>
  <w:style w:type="character" w:customStyle="1" w:styleId="21">
    <w:name w:val="heading 1 Char"/>
    <w:basedOn w:val="18"/>
    <w:link w:val="3"/>
    <w:qFormat/>
    <w:uiPriority w:val="0"/>
    <w:rPr>
      <w:rFonts w:ascii="Times New Roman" w:hAnsi="Times New Roman" w:eastAsia="宋体" w:cs="Arial"/>
      <w:b/>
      <w:bCs/>
      <w:kern w:val="44"/>
      <w:sz w:val="44"/>
      <w:szCs w:val="44"/>
      <w:lang w:val="en-US" w:eastAsia="zh-CN" w:bidi="ar-SA"/>
    </w:rPr>
  </w:style>
  <w:style w:type="character" w:customStyle="1" w:styleId="22">
    <w:name w:val="heading 2 Char"/>
    <w:basedOn w:val="18"/>
    <w:link w:val="4"/>
    <w:qFormat/>
    <w:uiPriority w:val="0"/>
    <w:rPr>
      <w:rFonts w:ascii="Cambria" w:hAnsi="Cambria" w:eastAsia="宋体" w:cs="Arial"/>
      <w:b/>
      <w:bCs/>
      <w:kern w:val="2"/>
      <w:sz w:val="32"/>
      <w:szCs w:val="32"/>
      <w:lang w:val="en-US" w:eastAsia="zh-CN" w:bidi="ar-SA"/>
    </w:rPr>
  </w:style>
  <w:style w:type="paragraph" w:customStyle="1" w:styleId="23">
    <w:name w:val="table of figures"/>
    <w:basedOn w:val="1"/>
    <w:next w:val="1"/>
    <w:qFormat/>
    <w:uiPriority w:val="0"/>
    <w:pPr>
      <w:spacing w:before="100" w:beforeAutospacing="1" w:after="100" w:afterAutospacing="1"/>
      <w:ind w:left="400" w:leftChars="200" w:hanging="200" w:hangingChars="200"/>
    </w:pPr>
  </w:style>
  <w:style w:type="paragraph" w:styleId="24">
    <w:name w:val="List Paragraph"/>
    <w:basedOn w:val="1"/>
    <w:uiPriority w:val="0"/>
    <w:pPr>
      <w:ind w:firstLine="200" w:firstLineChars="200"/>
    </w:p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6">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100%</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'Sheet1 (2)'!$B$2:$B$3</c:f>
              <c:numCache>
                <c:formatCode>General</c:formatCode>
                <c:ptCount val="2"/>
                <c:pt idx="0">
                  <c:v>1336.51</c:v>
                </c:pt>
                <c:pt idx="1">
                  <c:v>0</c:v>
                </c:pt>
              </c:numCache>
            </c:numRef>
          </c:val>
        </c:ser>
        <c:dLbls>
          <c:showLegendKey val="0"/>
          <c:showVal val="1"/>
          <c:showCatName val="0"/>
          <c:showSerName val="0"/>
          <c:showPercent val="0"/>
          <c:showBubbleSize val="0"/>
          <c:showLeaderLines val="1"/>
        </c:dLbls>
        <c:firstSliceAng val="0"/>
      </c:pieChart>
      <c:spPr>
        <a:noFill/>
        <a:ln>
          <a:noFill/>
        </a:ln>
      </c:spPr>
    </c:plotArea>
    <c:plotVisOnly val="1"/>
    <c:dispBlanksAs val="zero"/>
    <c:showDLblsOverMax val="0"/>
    <c:extLst>
      <c:ext uri="{0b15fc19-7d7d-44ad-8c2d-2c3a37ce22c3}">
        <chartProps xmlns="https://web.wps.cn/et/2018/main" chartId="{bf03f688-6436-452c-bd7b-b48e281d5ea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基本支出</c:v>
                </c:pt>
                <c:pt idx="1">
                  <c:v>项目支出</c:v>
                </c:pt>
              </c:strCache>
            </c:strRef>
          </c:cat>
          <c:val>
            <c:numRef>
              <c:f>'Sheet1 (3)'!$B$2:$B$3</c:f>
              <c:numCache>
                <c:formatCode>General</c:formatCode>
                <c:ptCount val="2"/>
                <c:pt idx="0">
                  <c:v>713.61</c:v>
                </c:pt>
                <c:pt idx="1">
                  <c:v>622.9</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fea2537a-1607-4b84-8ae0-9b81476e5cb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5B9BD5"/>
              </a:solidFill>
              <a:ln>
                <a:noFill/>
              </a:ln>
            </c:spPr>
          </c:dPt>
          <c:dPt>
            <c:idx val="5"/>
            <c:bubble3D val="0"/>
            <c:spPr>
              <a:solidFill>
                <a:srgbClr val="5B9BD5"/>
              </a:solidFill>
              <a:ln>
                <a:noFill/>
              </a:ln>
            </c:spPr>
          </c:dPt>
          <c:dPt>
            <c:idx val="6"/>
            <c:bubble3D val="0"/>
            <c:spPr>
              <a:solidFill>
                <a:srgbClr val="5B9BD5"/>
              </a:solidFill>
              <a:ln>
                <a:noFill/>
              </a:ln>
            </c:spPr>
          </c:dPt>
          <c:dPt>
            <c:idx val="7"/>
            <c:bubble3D val="0"/>
            <c:spPr>
              <a:solidFill>
                <a:srgbClr val="5B9BD5"/>
              </a:solidFill>
              <a:ln>
                <a:noFill/>
              </a:ln>
            </c:spPr>
          </c:dPt>
          <c:dLbls>
            <c:dLbl>
              <c:idx val="3"/>
              <c:layout>
                <c:manualLayout>
                  <c:x val="-0.056333438"/>
                  <c:y val="-0.0452152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(5)'!$A$2:$A$9</c:f>
              <c:strCache>
                <c:ptCount val="8"/>
                <c:pt idx="0">
                  <c:v>一般公共服务支出</c:v>
                </c:pt>
                <c:pt idx="1">
                  <c:v>社会保障和就业支出</c:v>
                </c:pt>
                <c:pt idx="2">
                  <c:v>卫生健康支出</c:v>
                </c:pt>
                <c:pt idx="3">
                  <c:v>节能环保支出</c:v>
                </c:pt>
                <c:pt idx="4">
                  <c:v>农林水支出</c:v>
                </c:pt>
                <c:pt idx="5">
                  <c:v>住房保障支出</c:v>
                </c:pt>
                <c:pt idx="6">
                  <c:v>灾害防治及应急管理支出</c:v>
                </c:pt>
                <c:pt idx="7">
                  <c:v>城乡社区</c:v>
                </c:pt>
              </c:strCache>
            </c:strRef>
          </c:cat>
          <c:val>
            <c:numRef>
              <c:f>'Sheet1 (5)'!$B$2:$B$9</c:f>
              <c:numCache>
                <c:formatCode>General</c:formatCode>
                <c:ptCount val="8"/>
                <c:pt idx="0">
                  <c:v>341.43</c:v>
                </c:pt>
                <c:pt idx="1">
                  <c:v>121.34</c:v>
                </c:pt>
                <c:pt idx="2">
                  <c:v>40.12</c:v>
                </c:pt>
                <c:pt idx="3">
                  <c:v>5</c:v>
                </c:pt>
                <c:pt idx="4">
                  <c:v>419.86</c:v>
                </c:pt>
                <c:pt idx="5">
                  <c:v>53.74</c:v>
                </c:pt>
                <c:pt idx="6">
                  <c:v>0</c:v>
                </c:pt>
                <c:pt idx="7">
                  <c:v>10</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e60672ba-52bc-4000-be82-9026dc3dd5e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38</Pages>
  <Words>978</Words>
  <Characters>1852</Characters>
  <Lines>1151</Lines>
  <Paragraphs>490</Paragraphs>
  <TotalTime>2</TotalTime>
  <ScaleCrop>false</ScaleCrop>
  <LinksUpToDate>false</LinksUpToDate>
  <CharactersWithSpaces>1864</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2024-01-17T09:00:00Z</dcterms:created>
  <dc:creator>Administrator</dc:creator>
  <cp:lastModifiedBy>沈哥</cp:lastModifiedBy>
  <dcterms:modified xsi:type="dcterms:W3CDTF">2025-08-26T07:44:17Z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4EEBE1628FDB4CB4BA2ED12C5E60519A_13</vt:lpwstr>
  </property>
  <property fmtid="{D5CDD505-2E9C-101B-9397-08002B2CF9AE}" pid="4" name="KSOTemplateDocerSaveRecord">
    <vt:lpwstr>eyJoZGlkIjoiNDFmMjE2NzAxMjZhNTQwNGMyMmM5MmYyZjI0Njk2NTUiLCJ1c2VySWQiOiI1NzQ5NTYxNDQifQ==</vt:lpwstr>
  </property>
</Properties>
</file>