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hint="eastAsia"/>
          <w:color w:val="000000"/>
          <w:sz w:val="72"/>
          <w:szCs w:val="72"/>
          <w:lang w:eastAsia="zh-CN"/>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sz w:val="72"/>
          <w:szCs w:val="72"/>
        </w:rPr>
      </w:pPr>
      <w:bookmarkStart w:id="1" w:name="_Toc15396599"/>
      <w:bookmarkStart w:id="2" w:name="_Toc15377196"/>
      <w:bookmarkEnd w:id="0"/>
    </w:p>
    <w:p>
      <w:pPr>
        <w:spacing w:line="360" w:lineRule="auto"/>
        <w:jc w:val="center"/>
        <w:outlineLvl w:val="0"/>
        <w:rPr>
          <w:rFonts w:ascii="方正小标宋简体" w:eastAsia="方正小标宋简体"/>
          <w:sz w:val="52"/>
          <w:szCs w:val="52"/>
        </w:rPr>
      </w:pPr>
      <w:bookmarkStart w:id="3" w:name="_Toc15377425"/>
      <w:bookmarkStart w:id="4" w:name="_Toc15378441"/>
      <w:bookmarkStart w:id="5" w:name="_Toc15377193"/>
      <w:bookmarkStart w:id="6" w:name="_Toc15396475"/>
      <w:bookmarkStart w:id="7" w:name="_Toc15396597"/>
      <w:bookmarkEnd w:id="3"/>
      <w:bookmarkEnd w:id="4"/>
      <w:bookmarkEnd w:id="5"/>
      <w:bookmarkEnd w:id="6"/>
      <w:bookmarkEnd w:id="7"/>
      <w:r>
        <w:rPr>
          <w:rFonts w:ascii="黑体" w:eastAsia="黑体"/>
          <w:sz w:val="52"/>
          <w:szCs w:val="52"/>
        </w:rPr>
        <w:t>20</w:t>
      </w:r>
      <w:r>
        <w:rPr>
          <w:rFonts w:ascii="黑体" w:eastAsia="黑体" w:hint="eastAsia"/>
          <w:sz w:val="52"/>
          <w:szCs w:val="52"/>
        </w:rPr>
        <w:t>22</w:t>
      </w:r>
      <w:r>
        <w:rPr>
          <w:rFonts w:ascii="方正小标宋简体" w:eastAsia="方正小标宋简体" w:hint="eastAsia"/>
          <w:sz w:val="52"/>
          <w:szCs w:val="52"/>
        </w:rPr>
        <w:t>年度</w:t>
      </w:r>
    </w:p>
    <w:p>
      <w:pPr>
        <w:spacing w:line="360" w:lineRule="auto"/>
        <w:jc w:val="center"/>
        <w:outlineLvl w:val="0"/>
        <w:rPr>
          <w:rFonts w:ascii="方正小标宋简体" w:eastAsia="方正小标宋简体" w:hint="eastAsia"/>
          <w:sz w:val="52"/>
          <w:szCs w:val="52"/>
        </w:rPr>
      </w:pPr>
      <w:bookmarkStart w:id="8" w:name="_Toc15377426"/>
      <w:bookmarkStart w:id="9" w:name="_Toc15377194"/>
      <w:bookmarkStart w:id="10" w:name="_Toc15378442"/>
      <w:bookmarkStart w:id="11" w:name="_Toc15396598"/>
      <w:bookmarkStart w:id="12" w:name="_Toc15396476"/>
      <w:bookmarkStart w:id="13" w:name="_Toc15306268"/>
      <w:bookmarkEnd w:id="8"/>
      <w:bookmarkEnd w:id="9"/>
      <w:bookmarkEnd w:id="10"/>
      <w:bookmarkEnd w:id="11"/>
      <w:bookmarkEnd w:id="12"/>
      <w:bookmarkEnd w:id="13"/>
      <w:r>
        <w:rPr>
          <w:rFonts w:ascii="方正小标宋简体" w:eastAsia="方正小标宋简体" w:hint="eastAsia"/>
          <w:sz w:val="52"/>
          <w:szCs w:val="52"/>
        </w:rPr>
        <w:t>金川县庆宁乡人民政府</w:t>
      </w:r>
    </w:p>
    <w:p>
      <w:pPr>
        <w:spacing w:line="360" w:lineRule="auto"/>
        <w:jc w:val="center"/>
        <w:outlineLvl w:val="0"/>
        <w:rPr>
          <w:rFonts w:ascii="方正小标宋简体" w:eastAsia="方正小标宋简体"/>
          <w:sz w:val="52"/>
          <w:szCs w:val="52"/>
        </w:rPr>
      </w:pPr>
      <w:r>
        <w:rPr>
          <w:rFonts w:ascii="方正小标宋简体" w:eastAsia="方正小标宋简体" w:hint="eastAsia"/>
          <w:sz w:val="52"/>
          <w:szCs w:val="52"/>
        </w:rPr>
        <w:t>部门决算</w:t>
      </w:r>
    </w:p>
    <w:p>
      <w:pPr>
        <w:widowControl/>
        <w:jc w:val="center"/>
        <w:rPr>
          <w:rFonts w:ascii="方正小标宋简体" w:eastAsia="方正小标宋简体"/>
          <w:sz w:val="36"/>
          <w:szCs w:val="36"/>
        </w:rPr>
      </w:pPr>
    </w:p>
    <w:p>
      <w:pPr>
        <w:widowControl/>
        <w:jc w:val="center"/>
        <w:rPr>
          <w:rFonts w:ascii="方正小标宋简体" w:eastAsia="方正小标宋简体"/>
          <w:sz w:val="36"/>
          <w:szCs w:val="36"/>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both"/>
        <w:rPr>
          <w:rFonts w:ascii="Times New Roman" w:eastAsia="仿宋_GB2312" w:cs="Times New Roman" w:hAnsi="Times New Roman"/>
          <w:sz w:val="32"/>
          <w:szCs w:val="32"/>
        </w:rPr>
      </w:pPr>
    </w:p>
    <w:p>
      <w:pPr>
        <w:widowControl/>
        <w:jc w:val="center"/>
        <w:rPr>
          <w:rFonts w:ascii="Times New Roman" w:eastAsia="仿宋_GB2312" w:cs="Times New Roman" w:hAnsi="Times New Roman"/>
          <w:sz w:val="32"/>
          <w:szCs w:val="32"/>
        </w:rPr>
      </w:pPr>
    </w:p>
    <w:p>
      <w:pPr>
        <w:widowControl/>
        <w:jc w:val="center"/>
        <w:rPr>
          <w:rFonts w:ascii="黑体" w:eastAsia="黑体"/>
          <w:sz w:val="48"/>
          <w:szCs w:val="48"/>
        </w:rPr>
      </w:pPr>
      <w:r>
        <w:rPr>
          <w:rFonts w:ascii="Times New Roman" w:eastAsia="仿宋_GB2312" w:cs="Times New Roman" w:hAnsi="Times New Roman"/>
          <w:sz w:val="32"/>
          <w:szCs w:val="32"/>
        </w:rPr>
        <w:t>已经保密审查、内容审定，同意对外公开</w:t>
      </w:r>
      <w:r>
        <w:rPr>
          <w:rFonts w:ascii="Times New Roman" w:eastAsia="方正小标宋简体" w:cs="Times New Roman" w:hAnsi="Times New Roman"/>
          <w:sz w:val="36"/>
          <w:szCs w:val="36"/>
        </w:rPr>
        <w:br w:type="page"/>
      </w:r>
    </w:p>
    <w:p>
      <w:pPr>
        <w:widowControl/>
        <w:jc w:val="center"/>
        <w:rPr>
          <w:rFonts w:ascii="Times New Roman" w:eastAsia="黑体" w:cs="Times New Roman" w:hAnsi="Times New Roman"/>
          <w:sz w:val="48"/>
          <w:szCs w:val="48"/>
        </w:rPr>
      </w:pPr>
      <w:r>
        <w:rPr>
          <w:rFonts w:ascii="Times New Roman" w:eastAsia="黑体" w:cs="Times New Roman" w:hAnsi="Times New Roman"/>
          <w:sz w:val="48"/>
          <w:szCs w:val="48"/>
        </w:rPr>
        <w:t>目录</w:t>
      </w:r>
    </w:p>
    <w:p>
      <w:pPr>
        <w:widowControl/>
        <w:jc w:val="center"/>
        <w:rPr>
          <w:rFonts w:ascii="Times New Roman" w:eastAsia="黑体" w:cs="Times New Roman" w:hAnsi="Times New Roman"/>
          <w:sz w:val="28"/>
          <w:szCs w:val="28"/>
        </w:rPr>
      </w:pPr>
    </w:p>
    <w:p>
      <w:pPr>
        <w:pStyle w:val="21"/>
        <w:tabs>
          <w:tab w:val="right" w:leader="dot" w:pos="8296"/>
        </w:tabs>
        <w:rPr>
          <w:rFonts w:ascii="Times New Roman" w:cs="Times New Roman" w:hAnsi="Times New Roman"/>
        </w:rPr>
      </w:pPr>
      <w:r>
        <w:rPr>
          <w:rFonts w:ascii="Times New Roman" w:cs="Times New Roman" w:hAnsi="Times New Roman"/>
        </w:rPr>
        <w:t>公开时间：202</w:t>
      </w:r>
      <w:r>
        <w:rPr>
          <w:rFonts w:ascii="Times New Roman" w:cs="Times New Roman" w:hAnsi="Times New Roman" w:hint="eastAsia"/>
          <w:lang w:val="en-US" w:eastAsia="zh-CN"/>
        </w:rPr>
        <w:t>3</w:t>
      </w:r>
      <w:r>
        <w:rPr>
          <w:rFonts w:ascii="Times New Roman" w:cs="Times New Roman" w:hAnsi="Times New Roman"/>
        </w:rPr>
        <w:t>年</w:t>
      </w:r>
      <w:r>
        <w:rPr>
          <w:rFonts w:ascii="Times New Roman" w:cs="Times New Roman" w:hAnsi="Times New Roman" w:hint="eastAsia"/>
          <w:lang w:val="en-US" w:eastAsia="zh-CN"/>
        </w:rPr>
        <w:t>8</w:t>
      </w:r>
      <w:r>
        <w:rPr>
          <w:rFonts w:ascii="Times New Roman" w:cs="Times New Roman" w:hAnsi="Times New Roman"/>
        </w:rPr>
        <w:t>月</w:t>
      </w:r>
      <w:r>
        <w:rPr>
          <w:rFonts w:ascii="Times New Roman" w:cs="Times New Roman" w:hAnsi="Times New Roman" w:hint="eastAsia"/>
          <w:lang w:val="en-US" w:eastAsia="zh-CN"/>
        </w:rPr>
        <w:t>30</w:t>
      </w:r>
      <w:r>
        <w:rPr>
          <w:rFonts w:ascii="Times New Roman" w:cs="Times New Roman" w:hAnsi="Times New Roman"/>
        </w:rPr>
        <w:t>日</w:t>
      </w:r>
    </w:p>
    <w:p>
      <w:pPr>
        <w:pStyle w:val="21"/>
        <w:tabs>
          <w:tab w:val="right" w:leader="dot" w:pos="8296"/>
        </w:tabs>
        <w:rPr>
          <w:rFonts w:ascii="Times New Roman" w:cs="Times New Roman" w:hAnsi="Times New Roman"/>
        </w:rPr>
      </w:pPr>
      <w:r>
        <w:rPr>
          <w:rFonts w:ascii="Times New Roman" w:cs="Times New Roman" w:hAnsi="Times New Roman"/>
        </w:rPr>
        <w:fldChar w:fldCharType="begin"/>
      </w:r>
      <w:r>
        <w:rPr>
          <w:rFonts w:ascii="Times New Roman" w:cs="Times New Roman" w:hAnsi="Times New Roman"/>
        </w:rPr>
        <w:instrText xml:space="preserve"> TOC \o "1-2" \h \u </w:instrText>
      </w:r>
      <w:r>
        <w:rPr>
          <w:rFonts w:ascii="Times New Roman" w:cs="Times New Roman" w:hAnsi="Times New Roman"/>
        </w:rPr>
        <w:fldChar w:fldCharType="separate"/>
      </w:r>
      <w:r>
        <w:rPr>
          <w:rFonts w:ascii="Times New Roman" w:eastAsia="仿宋" w:cs="Times New Roman" w:hAnsi="Times New Roman"/>
          <w:sz w:val="24"/>
          <w:szCs w:val="28"/>
        </w:rPr>
        <w:fldChar w:fldCharType="begin"/>
      </w:r>
      <w:r>
        <w:rPr>
          <w:rFonts w:ascii="Times New Roman" w:eastAsia="仿宋" w:cs="Times New Roman" w:hAnsi="Times New Roman"/>
          <w:sz w:val="24"/>
          <w:szCs w:val="28"/>
        </w:rPr>
        <w:instrText>Hyperlink \l "_Toc26843604"</w:instrText>
      </w:r>
      <w:r>
        <w:rPr>
          <w:rFonts w:ascii="Times New Roman" w:eastAsia="仿宋" w:cs="Times New Roman" w:hAnsi="Times New Roman"/>
          <w:sz w:val="24"/>
          <w:szCs w:val="28"/>
        </w:rPr>
        <w:fldChar w:fldCharType="separate"/>
      </w:r>
      <w:r>
        <w:rPr>
          <w:rFonts w:ascii="Times New Roman" w:eastAsia="仿宋" w:cs="Times New Roman" w:hAnsi="Times New Roman"/>
          <w:sz w:val="24"/>
          <w:szCs w:val="28"/>
        </w:rPr>
        <w:t xml:space="preserve">第一部分 </w:t>
      </w:r>
      <w:r>
        <w:rPr>
          <w:rFonts w:ascii="Times New Roman" w:eastAsia="仿宋" w:cs="Times New Roman" w:hAnsi="Times New Roman"/>
          <w:bCs/>
          <w:sz w:val="24"/>
          <w:szCs w:val="28"/>
          <w:lang w:val="en-US" w:eastAsia="zh-CN" w:bidi="ar-SA"/>
        </w:rPr>
        <w:t>部门概况</w:t>
      </w:r>
      <w:r>
        <w:rPr>
          <w:rFonts w:ascii="Times New Roman" w:eastAsia="仿宋" w:cs="Times New Roman" w:hAnsi="Times New Roman"/>
          <w:sz w:val="24"/>
          <w:szCs w:val="28"/>
        </w:rPr>
        <w:tab/>
      </w:r>
      <w:r>
        <w:rPr>
          <w:rFonts w:ascii="Times New Roman" w:cs="Times New Roman" w:hAnsi="Times New Roman" w:hint="eastAsia"/>
          <w:sz w:val="24"/>
          <w:szCs w:val="28"/>
          <w:lang w:val="en-US" w:eastAsia="zh-CN"/>
        </w:rPr>
        <w:t>4</w:t>
      </w:r>
      <w:r>
        <w:rPr>
          <w:rFonts w:ascii="Times New Roman" w:eastAsia="仿宋" w:cs="Times New Roman" w:hAnsi="Times New Roman"/>
          <w:sz w:val="24"/>
          <w:szCs w:val="28"/>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"_Toc26843605"</w:instrText>
      </w:r>
      <w:r>
        <w:rPr>
          <w:rFonts w:ascii="Times New Roman" w:cs="Times New Roman" w:hAnsi="Times New Roman"/>
          <w:sz w:val="24"/>
        </w:rPr>
        <w:fldChar w:fldCharType="separate"/>
      </w:r>
      <w:r>
        <w:rPr>
          <w:rFonts w:ascii="Times New Roman" w:cs="Times New Roman" w:hAnsi="Times New Roman"/>
          <w:sz w:val="24"/>
        </w:rPr>
        <w:t>一、基</w:t>
      </w:r>
      <w:r>
        <w:rPr>
          <w:rFonts w:ascii="Times New Roman" w:cs="Times New Roman" w:hAnsi="Times New Roman"/>
          <w:bCs/>
          <w:sz w:val="24"/>
          <w:lang w:val="en-US" w:eastAsia="zh-CN" w:bidi="ar-SA"/>
        </w:rPr>
        <w:t>本职能及主要工作</w:t>
      </w:r>
      <w:r>
        <w:rPr>
          <w:rFonts w:ascii="Times New Roman" w:cs="Times New Roman" w:hAnsi="Times New Roman"/>
          <w:sz w:val="24"/>
        </w:rPr>
        <w:tab/>
      </w:r>
      <w:r>
        <w:rPr>
          <w:rFonts w:cs="Times New Roman" w:hint="eastAsia"/>
          <w:sz w:val="24"/>
          <w:lang w:val="en-US" w:eastAsia="zh-CN"/>
        </w:rPr>
        <w:t>4</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"_Toc26843606"</w:instrText>
      </w:r>
      <w:r>
        <w:rPr>
          <w:rFonts w:ascii="Times New Roman" w:cs="Times New Roman" w:hAnsi="Times New Roman"/>
          <w:sz w:val="24"/>
        </w:rPr>
        <w:fldChar w:fldCharType="separate"/>
      </w:r>
      <w:r>
        <w:rPr>
          <w:rFonts w:ascii="Times New Roman" w:cs="Times New Roman" w:hAnsi="Times New Roman"/>
          <w:sz w:val="24"/>
        </w:rPr>
        <w:t>二、机</w:t>
      </w:r>
      <w:r>
        <w:rPr>
          <w:rFonts w:ascii="Times New Roman" w:cs="Times New Roman" w:hAnsi="Times New Roman"/>
          <w:bCs/>
          <w:sz w:val="24"/>
          <w:lang w:val="en-US" w:eastAsia="zh-CN" w:bidi="ar-SA"/>
        </w:rPr>
        <w:t>构设置</w:t>
      </w:r>
      <w:r>
        <w:rPr>
          <w:rFonts w:ascii="Times New Roman" w:cs="Times New Roman" w:hAnsi="Times New Roman"/>
          <w:sz w:val="24"/>
        </w:rPr>
        <w:tab/>
      </w:r>
      <w:r>
        <w:rPr>
          <w:rFonts w:cs="Times New Roman" w:hint="eastAsia"/>
          <w:sz w:val="24"/>
          <w:lang w:val="en-US" w:eastAsia="zh-CN"/>
        </w:rPr>
        <w:t>7</w:t>
      </w:r>
      <w:r>
        <w:rPr>
          <w:rFonts w:ascii="Times New Roman" w:cs="Times New Roman" w:hAnsi="Times New Roman"/>
          <w:sz w:val="24"/>
        </w:rPr>
        <w:fldChar w:fldCharType="end"/>
      </w:r>
    </w:p>
    <w:p>
      <w:pPr>
        <w:pStyle w:val="21"/>
        <w:tabs>
          <w:tab w:val="right" w:leader="dot" w:pos="8296"/>
        </w:tabs>
        <w:adjustRightInd w:val="0"/>
        <w:snapToGrid w:val="0"/>
        <w:spacing w:before="0"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"_Toc26843607"</w:instrText>
      </w:r>
      <w:r>
        <w:rPr>
          <w:rFonts w:ascii="Times New Roman" w:cs="Times New Roman" w:hAnsi="Times New Roman"/>
          <w:sz w:val="24"/>
        </w:rPr>
        <w:fldChar w:fldCharType="separate"/>
      </w:r>
      <w:r>
        <w:rPr>
          <w:rFonts w:ascii="Times New Roman" w:cs="Times New Roman" w:hAnsi="Times New Roman"/>
          <w:sz w:val="24"/>
        </w:rPr>
        <w:t>第二部分 202</w:t>
      </w:r>
      <w:r>
        <w:rPr>
          <w:rFonts w:ascii="Times New Roman" w:cs="Times New Roman" w:hAnsi="Times New Roman" w:hint="eastAsia"/>
          <w:sz w:val="24"/>
          <w:lang w:val="en-US" w:eastAsia="zh-CN"/>
        </w:rPr>
        <w:t>2</w:t>
      </w:r>
      <w:r>
        <w:rPr>
          <w:rFonts w:ascii="Times New Roman" w:cs="Times New Roman" w:hAnsi="Times New Roman"/>
          <w:sz w:val="24"/>
        </w:rPr>
        <w:t>年度</w:t>
      </w:r>
      <w:r>
        <w:rPr>
          <w:rFonts w:ascii="Times New Roman" w:eastAsia="仿宋" w:cs="Times New Roman" w:hAnsi="Times New Roman"/>
          <w:bCs/>
          <w:sz w:val="24"/>
          <w:szCs w:val="28"/>
          <w:lang w:val="en-US" w:eastAsia="zh-CN" w:bidi="ar-SA"/>
        </w:rPr>
        <w:t>部门决算情况说明</w:t>
      </w:r>
      <w:r>
        <w:rPr>
          <w:rFonts w:ascii="Times New Roman" w:cs="Times New Roman" w:hAnsi="Times New Roman"/>
          <w:sz w:val="24"/>
        </w:rPr>
        <w:tab/>
      </w:r>
      <w:r>
        <w:rPr>
          <w:rFonts w:ascii="Times New Roman" w:cs="Times New Roman" w:hAnsi="Times New Roman" w:hint="eastAsia"/>
          <w:sz w:val="24"/>
          <w:lang w:val="en-US" w:eastAsia="zh-CN"/>
        </w:rPr>
        <w:t>7</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一、</w:t>
      </w:r>
      <w:r>
        <w:rPr>
          <w:rFonts w:ascii="Times New Roman" w:cs="Times New Roman" w:hAnsi="Times New Roman"/>
          <w:sz w:val="24"/>
        </w:rPr>
        <w:t xml:space="preserve">  收</w:t>
      </w:r>
      <w:r>
        <w:rPr>
          <w:rFonts w:ascii="Times New Roman" w:cs="Times New Roman" w:hAnsi="Times New Roman"/>
          <w:bCs/>
          <w:sz w:val="24"/>
          <w:lang w:val="en-US" w:eastAsia="zh-CN" w:bidi="ar-SA"/>
        </w:rPr>
        <w:t>入支出决算总体情况说明</w:t>
      </w:r>
      <w:r>
        <w:rPr>
          <w:rFonts w:ascii="Times New Roman" w:cs="Times New Roman" w:hAnsi="Times New Roman"/>
          <w:sz w:val="24"/>
        </w:rPr>
        <w:tab/>
      </w:r>
      <w:r>
        <w:rPr>
          <w:rFonts w:cs="Times New Roman" w:hint="eastAsia"/>
          <w:sz w:val="24"/>
          <w:lang w:val="en-US" w:eastAsia="zh-CN"/>
        </w:rPr>
        <w:t>7</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"_Toc26843609"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二、</w:t>
      </w:r>
      <w:r>
        <w:rPr>
          <w:rFonts w:ascii="Times New Roman" w:cs="Times New Roman" w:hAnsi="Times New Roman"/>
          <w:sz w:val="24"/>
        </w:rPr>
        <w:t xml:space="preserve">  收</w:t>
      </w:r>
      <w:r>
        <w:rPr>
          <w:rFonts w:ascii="Times New Roman" w:cs="Times New Roman" w:hAnsi="Times New Roman"/>
          <w:bCs/>
          <w:sz w:val="24"/>
          <w:lang w:val="en-US" w:eastAsia="zh-CN" w:bidi="ar-SA"/>
        </w:rPr>
        <w:t>入决算情况说明</w:t>
      </w:r>
      <w:r>
        <w:rPr>
          <w:rFonts w:ascii="Times New Roman" w:cs="Times New Roman" w:hAnsi="Times New Roman"/>
          <w:sz w:val="24"/>
        </w:rPr>
        <w:tab/>
      </w:r>
      <w:r>
        <w:rPr>
          <w:rFonts w:cs="Times New Roman" w:hint="eastAsia"/>
          <w:sz w:val="24"/>
          <w:lang w:val="en-US" w:eastAsia="zh-CN"/>
        </w:rPr>
        <w:t>8</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 xml:space="preserve">  支</w:t>
      </w:r>
      <w:r>
        <w:rPr>
          <w:rFonts w:ascii="Times New Roman" w:cs="Times New Roman" w:hAnsi="Times New Roman"/>
          <w:bCs/>
          <w:sz w:val="24"/>
          <w:lang w:val="en-US" w:eastAsia="zh-CN" w:bidi="ar-SA"/>
        </w:rPr>
        <w:t>出决算情况说明</w:t>
      </w:r>
      <w:r>
        <w:rPr>
          <w:rFonts w:ascii="Times New Roman" w:cs="Times New Roman" w:hAnsi="Times New Roman"/>
          <w:sz w:val="24"/>
        </w:rPr>
        <w:tab/>
      </w:r>
      <w:r>
        <w:rPr>
          <w:rFonts w:cs="Times New Roman" w:hint="eastAsia"/>
          <w:sz w:val="24"/>
          <w:lang w:val="en-US" w:eastAsia="zh-CN"/>
        </w:rPr>
        <w:t>9</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"_Toc26843615"</w:instrText>
      </w:r>
      <w:r>
        <w:rPr>
          <w:rFonts w:ascii="Times New Roman" w:cs="Times New Roman" w:hAnsi="Times New Roman"/>
          <w:sz w:val="24"/>
        </w:rPr>
        <w:fldChar w:fldCharType="separate"/>
      </w:r>
      <w:r>
        <w:rPr>
          <w:rFonts w:ascii="Times New Roman" w:cs="Times New Roman" w:hAnsi="Times New Roman"/>
          <w:sz w:val="24"/>
        </w:rPr>
        <w:t>四、财</w:t>
      </w:r>
      <w:r>
        <w:rPr>
          <w:rFonts w:ascii="Times New Roman" w:cs="Times New Roman" w:hAnsi="Times New Roman"/>
          <w:bCs/>
          <w:sz w:val="24"/>
          <w:lang w:val="en-US" w:eastAsia="zh-CN" w:bidi="ar-SA"/>
        </w:rPr>
        <w:t>政拨款收入支出决算总体情况说明</w:t>
      </w:r>
      <w:r>
        <w:rPr>
          <w:rFonts w:ascii="Times New Roman" w:cs="Times New Roman" w:hAnsi="Times New Roman"/>
          <w:sz w:val="24"/>
        </w:rPr>
        <w:tab/>
      </w:r>
      <w:r>
        <w:rPr>
          <w:rFonts w:cs="Times New Roman" w:hint="eastAsia"/>
          <w:sz w:val="24"/>
          <w:lang w:val="en-US" w:eastAsia="zh-CN"/>
        </w:rPr>
        <w:t>9</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"_Toc26843616"</w:instrText>
      </w:r>
      <w:r>
        <w:rPr>
          <w:rFonts w:ascii="Times New Roman" w:cs="Times New Roman" w:hAnsi="Times New Roman"/>
          <w:sz w:val="24"/>
        </w:rPr>
        <w:fldChar w:fldCharType="separate"/>
      </w:r>
      <w:r>
        <w:rPr>
          <w:rFonts w:ascii="Times New Roman" w:cs="Times New Roman" w:hAnsi="Times New Roman"/>
          <w:sz w:val="24"/>
        </w:rPr>
        <w:t>五、一</w:t>
      </w:r>
      <w:r>
        <w:rPr>
          <w:rFonts w:ascii="Times New Roman" w:cs="Times New Roman" w:hAnsi="Times New Roman"/>
          <w:bCs/>
          <w:sz w:val="24"/>
          <w:lang w:val="en-US" w:eastAsia="zh-CN" w:bidi="ar-SA"/>
        </w:rPr>
        <w:t>般公共预算财政拨款支出决算情况说明</w:t>
      </w:r>
      <w:r>
        <w:rPr>
          <w:rFonts w:ascii="Times New Roman" w:cs="Times New Roman" w:hAnsi="Times New Roman"/>
          <w:sz w:val="24"/>
        </w:rPr>
        <w:tab/>
      </w:r>
      <w:r>
        <w:rPr>
          <w:rFonts w:cs="Times New Roman" w:hint="eastAsia"/>
          <w:sz w:val="24"/>
          <w:lang w:val="en-US" w:eastAsia="zh-CN"/>
        </w:rPr>
        <w:t>9</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"_Toc26843617"</w:instrText>
      </w:r>
      <w:r>
        <w:rPr>
          <w:rFonts w:ascii="Times New Roman" w:cs="Times New Roman" w:hAnsi="Times New Roman"/>
          <w:sz w:val="24"/>
        </w:rPr>
        <w:fldChar w:fldCharType="separate"/>
      </w:r>
      <w:r>
        <w:rPr>
          <w:rFonts w:ascii="Times New Roman" w:cs="Times New Roman" w:hAnsi="Times New Roman"/>
          <w:sz w:val="24"/>
        </w:rPr>
        <w:t>六、一</w:t>
      </w:r>
      <w:r>
        <w:rPr>
          <w:rFonts w:ascii="Times New Roman" w:cs="Times New Roman" w:hAnsi="Times New Roman"/>
          <w:bCs/>
          <w:sz w:val="24"/>
          <w:lang w:val="en-US" w:eastAsia="zh-CN" w:bidi="ar-SA"/>
        </w:rPr>
        <w:t>般公共预算财政拨款基本支出决算情况说明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0</w:t>
      </w:r>
    </w:p>
    <w:p>
      <w:pPr>
        <w:pStyle w:val="22"/>
        <w:tabs>
          <w:tab w:val="right" w:leader="dot" w:pos="8296"/>
        </w:tabs>
        <w:adjustRightInd w:val="0"/>
        <w:snapToGrid w:val="0"/>
        <w:spacing w:line="440" w:lineRule="exact"/>
        <w:jc w:val="left"/>
        <w:rPr>
          <w:rFonts w:ascii="Times New Roman" w:cs="Times New Roman" w:hAnsi="Times New Roman"/>
          <w:sz w:val="24"/>
        </w:rPr>
      </w:pPr>
      <w:r>
        <w:rPr>
          <w:rFonts w:ascii="Times New Roman" w:cs="Times New Roman" w:hAnsi="Times New Roman"/>
          <w:sz w:val="24"/>
        </w:rPr>
        <w:fldChar w:fldCharType="begin"/>
      </w:r>
      <w:r>
        <w:rPr>
          <w:rFonts w:ascii="Times New Roman" w:cs="Times New Roman" w:hAnsi="Times New Roman"/>
          <w:sz w:val="24"/>
        </w:rPr>
        <w:instrText>Hyperlink \l "_Toc26843618"</w:instrText>
      </w:r>
      <w:r>
        <w:rPr>
          <w:rFonts w:ascii="Times New Roman" w:cs="Times New Roman" w:hAnsi="Times New Roman"/>
          <w:sz w:val="24"/>
        </w:rPr>
        <w:fldChar w:fldCharType="separate"/>
      </w:r>
      <w:r>
        <w:rPr>
          <w:rFonts w:ascii="Times New Roman" w:cs="Times New Roman" w:hAnsi="Times New Roman"/>
          <w:sz w:val="24"/>
        </w:rPr>
        <w:t>七、</w:t>
      </w:r>
      <w:r>
        <w:rPr>
          <w:rFonts w:ascii="Times New Roman" w:cs="Times New Roman" w:hAnsi="Times New Roman"/>
          <w:bCs/>
          <w:sz w:val="24"/>
          <w:lang w:val="en-US" w:eastAsia="zh-CN" w:bidi="ar-SA"/>
        </w:rPr>
        <w:t>“三公”经费财政拨款支出决算情况说明</w:t>
      </w:r>
      <w:r>
        <w:rPr>
          <w:rFonts w:ascii="Times New Roman" w:cs="Times New Roman" w:hAnsi="Times New Roman"/>
          <w:sz w:val="24"/>
        </w:rPr>
        <w:tab/>
      </w:r>
      <w:r>
        <w:rPr>
          <w:rFonts w:cs="Times New Roman" w:hint="eastAsia"/>
          <w:sz w:val="24"/>
          <w:lang w:val="en-US" w:eastAsia="zh-CN"/>
        </w:rPr>
        <w:t>13</w:t>
      </w:r>
      <w:r>
        <w:rPr>
          <w:rFonts w:ascii="Times New Roman" w:cs="Times New Roman" w:hAnsi="Times New Roman"/>
          <w:sz w:val="24"/>
        </w:rPr>
        <w:fldChar w:fldCharType="end"/>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"_Toc26843619"</w:instrText>
      </w:r>
      <w:r>
        <w:rPr>
          <w:rFonts w:ascii="Times New Roman" w:cs="Times New Roman" w:hAnsi="Times New Roman"/>
          <w:sz w:val="24"/>
        </w:rPr>
        <w:fldChar w:fldCharType="separate"/>
      </w:r>
      <w:r>
        <w:rPr>
          <w:rFonts w:ascii="Times New Roman" w:cs="Times New Roman" w:hAnsi="Times New Roman"/>
          <w:sz w:val="24"/>
        </w:rPr>
        <w:t>八、</w:t>
      </w:r>
      <w:r>
        <w:rPr>
          <w:rFonts w:ascii="Times New Roman" w:cs="Times New Roman" w:hAnsi="Times New Roman"/>
          <w:bCs/>
          <w:sz w:val="24"/>
          <w:lang w:val="en-US" w:eastAsia="zh-CN" w:bidi="ar-SA"/>
        </w:rPr>
        <w:t>政府性基金预算支出决算情况说明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 xml:space="preserve">  </w:t>
      </w:r>
      <w:r>
        <w:rPr>
          <w:rFonts w:ascii="Times New Roman" w:cs="Times New Roman" w:hAnsi="Times New Roman"/>
          <w:bCs/>
          <w:sz w:val="24"/>
          <w:lang w:val="en-US" w:eastAsia="zh-CN" w:bidi="ar-SA"/>
        </w:rPr>
        <w:t>国有资本经营预算支出决算情况说明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ascii="Times New Roman" w:cs="Times New Roman" w:hAnsi="Times New Roman"/>
          <w:sz w:val="24"/>
        </w:rPr>
        <w:t xml:space="preserve">  </w:t>
      </w:r>
      <w:r>
        <w:rPr>
          <w:rFonts w:ascii="Times New Roman" w:cs="Times New Roman" w:hAnsi="Times New Roman"/>
          <w:bCs/>
          <w:sz w:val="24"/>
          <w:lang w:val="en-US" w:eastAsia="zh-CN" w:bidi="ar-SA"/>
        </w:rPr>
        <w:t>其他重要事项的情况说明</w:t>
      </w:r>
      <w:r>
        <w:rPr>
          <w:rFonts w:ascii="Times New Roman" w:cs="Times New Roman" w:hAnsi="Times New Roman"/>
          <w:sz w:val="24"/>
        </w:rPr>
        <w:tab/>
      </w:r>
      <w:r>
        <w:rPr>
          <w:rFonts w:cs="Times New Roman" w:hint="eastAsia"/>
          <w:sz w:val="24"/>
          <w:lang w:val="en-US" w:eastAsia="zh-CN"/>
        </w:rPr>
        <w:t>1</w:t>
      </w:r>
      <w:r>
        <w:rPr>
          <w:rFonts w:ascii="Times New Roman" w:cs="Times New Roman" w:hAnsi="Times New Roman"/>
          <w:sz w:val="24"/>
        </w:rPr>
        <w:fldChar w:fldCharType="end"/>
      </w:r>
      <w:r>
        <w:rPr>
          <w:rFonts w:cs="Times New Roman" w:hint="eastAsia"/>
          <w:sz w:val="24"/>
          <w:lang w:val="en-US" w:eastAsia="zh-CN"/>
        </w:rPr>
        <w:t>5</w:t>
      </w:r>
    </w:p>
    <w:p>
      <w:pPr>
        <w:pStyle w:val="21"/>
        <w:tabs>
          <w:tab w:val="right" w:leader="dot" w:pos="8296"/>
        </w:tabs>
        <w:adjustRightInd w:val="0"/>
        <w:snapToGrid w:val="0"/>
        <w:spacing w:before="0" w:line="440" w:lineRule="exact"/>
        <w:jc w:val="left"/>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"_Toc26843622"</w:instrText>
      </w:r>
      <w:r>
        <w:rPr>
          <w:rFonts w:ascii="Times New Roman" w:cs="Times New Roman" w:hAnsi="Times New Roman"/>
          <w:sz w:val="24"/>
        </w:rPr>
        <w:fldChar w:fldCharType="separate"/>
      </w:r>
      <w:r>
        <w:rPr>
          <w:rFonts w:ascii="Times New Roman" w:eastAsia="仿宋" w:cs="Times New Roman" w:hAnsi="Times New Roman"/>
          <w:bCs/>
          <w:sz w:val="24"/>
          <w:szCs w:val="28"/>
          <w:lang w:val="en-US" w:eastAsia="zh-CN" w:bidi="ar-SA"/>
        </w:rPr>
        <w:t>第三部分</w:t>
      </w:r>
      <w:r>
        <w:rPr>
          <w:rFonts w:ascii="Times New Roman" w:cs="Times New Roman" w:hAnsi="Times New Roman"/>
          <w:sz w:val="24"/>
        </w:rPr>
        <w:t xml:space="preserve">  名</w:t>
      </w:r>
      <w:r>
        <w:rPr>
          <w:rFonts w:ascii="Times New Roman" w:eastAsia="仿宋" w:cs="Times New Roman" w:hAnsi="Times New Roman"/>
          <w:bCs/>
          <w:sz w:val="24"/>
          <w:szCs w:val="28"/>
          <w:lang w:val="en-US" w:eastAsia="zh-CN" w:bidi="ar-SA"/>
        </w:rPr>
        <w:t>词解释</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5</w:t>
      </w:r>
    </w:p>
    <w:p>
      <w:pPr>
        <w:pStyle w:val="21"/>
        <w:tabs>
          <w:tab w:val="right" w:leader="dot" w:pos="8296"/>
        </w:tabs>
        <w:adjustRightInd w:val="0"/>
        <w:snapToGrid w:val="0"/>
        <w:spacing w:before="0" w:line="440" w:lineRule="exact"/>
        <w:jc w:val="left"/>
        <w:rPr>
          <w:rFonts w:ascii="Times New Roman" w:eastAsia="仿宋"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"_Toc26843623"</w:instrText>
      </w:r>
      <w:r>
        <w:rPr>
          <w:rFonts w:ascii="Times New Roman" w:cs="Times New Roman" w:hAnsi="Times New Roman"/>
          <w:sz w:val="24"/>
        </w:rPr>
        <w:fldChar w:fldCharType="separate"/>
      </w:r>
      <w:r>
        <w:rPr>
          <w:rFonts w:ascii="Times New Roman" w:cs="Times New Roman" w:hAnsi="Times New Roman"/>
          <w:sz w:val="24"/>
        </w:rPr>
        <w:t>第</w:t>
      </w:r>
      <w:r>
        <w:rPr>
          <w:rFonts w:ascii="Times New Roman" w:eastAsia="仿宋" w:cs="Times New Roman" w:hAnsi="Times New Roman"/>
          <w:bCs/>
          <w:sz w:val="24"/>
          <w:szCs w:val="28"/>
          <w:lang w:val="en-US" w:eastAsia="zh-CN" w:bidi="ar-SA"/>
        </w:rPr>
        <w:t>四部分 附件</w:t>
      </w:r>
      <w:r>
        <w:rPr>
          <w:rFonts w:ascii="Times New Roman" w:cs="Times New Roman" w:hAnsi="Times New Roman"/>
          <w:sz w:val="24"/>
        </w:rPr>
        <w:tab/>
      </w:r>
      <w:r>
        <w:rPr>
          <w:rFonts w:ascii="Times New Roman" w:cs="Times New Roman" w:hAnsi="Times New Roman" w:hint="eastAsia"/>
          <w:sz w:val="24"/>
          <w:lang w:val="en-US" w:eastAsia="zh-CN"/>
        </w:rPr>
        <w:t>1</w:t>
      </w:r>
      <w:r>
        <w:rPr>
          <w:rFonts w:ascii="Times New Roman" w:cs="Times New Roman" w:hAnsi="Times New Roman"/>
          <w:sz w:val="24"/>
        </w:rPr>
        <w:fldChar w:fldCharType="end"/>
      </w:r>
      <w:r>
        <w:rPr>
          <w:rFonts w:ascii="Times New Roman" w:cs="Times New Roman" w:hAnsi="Times New Roman" w:hint="eastAsia"/>
          <w:sz w:val="24"/>
          <w:lang w:val="en-US" w:eastAsia="zh-CN"/>
        </w:rPr>
        <w:t>9</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"_Toc26843626"</w:instrText>
      </w:r>
      <w:r>
        <w:rPr>
          <w:rFonts w:ascii="Times New Roman" w:cs="Times New Roman" w:hAnsi="Times New Roman"/>
          <w:sz w:val="24"/>
        </w:rPr>
        <w:fldChar w:fldCharType="separate"/>
      </w:r>
      <w:r>
        <w:rPr>
          <w:rFonts w:ascii="Times New Roman" w:cs="Times New Roman" w:hAnsi="Times New Roman"/>
          <w:sz w:val="24"/>
        </w:rPr>
        <w:t>一、收</w:t>
      </w:r>
      <w:r>
        <w:rPr>
          <w:rFonts w:ascii="Times New Roman" w:cs="Times New Roman" w:hAnsi="Times New Roman"/>
          <w:bCs/>
          <w:sz w:val="24"/>
          <w:lang w:val="en-US" w:eastAsia="zh-CN" w:bidi="ar-SA"/>
        </w:rPr>
        <w:t>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"_Toc26843627"</w:instrText>
      </w:r>
      <w:r>
        <w:rPr>
          <w:rFonts w:ascii="Times New Roman" w:cs="Times New Roman" w:hAnsi="Times New Roman"/>
          <w:sz w:val="24"/>
        </w:rPr>
        <w:fldChar w:fldCharType="separate"/>
      </w:r>
      <w:r>
        <w:rPr>
          <w:rFonts w:ascii="Times New Roman" w:cs="Times New Roman" w:hAnsi="Times New Roman"/>
          <w:sz w:val="24"/>
        </w:rPr>
        <w:t>二、收</w:t>
      </w:r>
      <w:r>
        <w:rPr>
          <w:rFonts w:ascii="Times New Roman" w:cs="Times New Roman" w:hAnsi="Times New Roman"/>
          <w:bCs/>
          <w:sz w:val="24"/>
          <w:lang w:val="en-US" w:eastAsia="zh-CN" w:bidi="ar-SA"/>
        </w:rPr>
        <w:t>入决算表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三、</w:t>
      </w:r>
      <w:r>
        <w:rPr>
          <w:rFonts w:ascii="Times New Roman" w:cs="Times New Roman" w:hAnsi="Times New Roman"/>
          <w:sz w:val="24"/>
        </w:rPr>
        <w:t>支</w:t>
      </w:r>
      <w:r>
        <w:rPr>
          <w:rFonts w:ascii="Times New Roman" w:cs="Times New Roman" w:hAnsi="Times New Roman"/>
          <w:bCs/>
          <w:sz w:val="24"/>
          <w:lang w:val="en-US" w:eastAsia="zh-CN" w:bidi="ar-SA"/>
        </w:rPr>
        <w:t>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"_Toc26843629"</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四、</w:t>
      </w:r>
      <w:r>
        <w:rPr>
          <w:rFonts w:ascii="Times New Roman" w:cs="Times New Roman" w:hAnsi="Times New Roman"/>
          <w:sz w:val="24"/>
        </w:rPr>
        <w:t>财</w:t>
      </w:r>
      <w:r>
        <w:rPr>
          <w:rFonts w:ascii="Times New Roman" w:cs="Times New Roman" w:hAnsi="Times New Roman"/>
          <w:bCs/>
          <w:sz w:val="24"/>
          <w:lang w:val="en-US" w:eastAsia="zh-CN" w:bidi="ar-SA"/>
        </w:rPr>
        <w:t>政拨款收入支出决算总表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"_Toc26843630"</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五、</w:t>
      </w:r>
      <w:r>
        <w:rPr>
          <w:rFonts w:ascii="Times New Roman" w:cs="Times New Roman" w:hAnsi="Times New Roman"/>
          <w:sz w:val="24"/>
        </w:rPr>
        <w:t>财</w:t>
      </w:r>
      <w:r>
        <w:rPr>
          <w:rFonts w:ascii="Times New Roman" w:cs="Times New Roman" w:hAnsi="Times New Roman"/>
          <w:bCs/>
          <w:sz w:val="24"/>
          <w:lang w:val="en-US" w:eastAsia="zh-CN" w:bidi="ar-SA"/>
        </w:rPr>
        <w:t>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"_Toc26843631"</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六、</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"_Toc26843632"</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七、</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般公共预算财政拨款支出决算明细表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"_Toc26843633"</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八、</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般公共预算财政拨款基本支出决算</w:t>
      </w:r>
      <w:r>
        <w:rPr>
          <w:rFonts w:cs="Times New Roman" w:hint="eastAsia"/>
          <w:bCs/>
          <w:sz w:val="24"/>
          <w:lang w:val="en-US" w:eastAsia="zh-CN" w:bidi="ar-SA"/>
        </w:rPr>
        <w:t>明细</w:t>
      </w:r>
      <w:r>
        <w:rPr>
          <w:rFonts w:ascii="Times New Roman" w:cs="Times New Roman" w:hAnsi="Times New Roman"/>
          <w:bCs/>
          <w:sz w:val="24"/>
          <w:lang w:val="en-US" w:eastAsia="zh-CN" w:bidi="ar-SA"/>
        </w:rPr>
        <w:t>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"_Toc26843634"</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九、</w:t>
      </w:r>
      <w:r>
        <w:rPr>
          <w:rFonts w:ascii="Times New Roman" w:cs="Times New Roman" w:hAnsi="Times New Roman"/>
          <w:sz w:val="24"/>
        </w:rPr>
        <w:t>一</w:t>
      </w:r>
      <w:r>
        <w:rPr>
          <w:rFonts w:ascii="Times New Roman" w:cs="Times New Roman" w:hAnsi="Times New Roman"/>
          <w:bCs/>
          <w:sz w:val="24"/>
          <w:lang w:val="en-US" w:eastAsia="zh-CN" w:bidi="ar-SA"/>
        </w:rPr>
        <w:t>般公共预算财政拨款项目支出决算表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"_Toc26843636"</w:instrText>
      </w:r>
      <w:r>
        <w:rPr>
          <w:rFonts w:ascii="Times New Roman" w:cs="Times New Roman" w:hAnsi="Times New Roman"/>
          <w:sz w:val="24"/>
        </w:rPr>
        <w:fldChar w:fldCharType="separate"/>
      </w:r>
      <w:r>
        <w:rPr>
          <w:rFonts w:cs="Times New Roman" w:hint="eastAsia"/>
          <w:bCs/>
          <w:sz w:val="24"/>
          <w:lang w:val="en-US" w:eastAsia="zh-CN" w:bidi="ar-SA"/>
        </w:rPr>
        <w:t>十</w:t>
      </w:r>
      <w:r>
        <w:rPr>
          <w:rFonts w:ascii="Times New Roman" w:cs="Times New Roman" w:hAnsi="Times New Roman"/>
          <w:bCs/>
          <w:sz w:val="24"/>
          <w:lang w:val="en-US" w:eastAsia="zh-CN" w:bidi="ar-SA"/>
        </w:rPr>
        <w:t>、</w:t>
      </w:r>
      <w:r>
        <w:rPr>
          <w:rFonts w:ascii="Times New Roman" w:cs="Times New Roman" w:hAnsi="Times New Roman"/>
          <w:sz w:val="24"/>
        </w:rPr>
        <w:t>政</w:t>
      </w:r>
      <w:r>
        <w:rPr>
          <w:rFonts w:ascii="Times New Roman" w:cs="Times New Roman" w:hAnsi="Times New Roman"/>
          <w:bCs/>
          <w:sz w:val="24"/>
          <w:lang w:val="en-US" w:eastAsia="zh-CN" w:bidi="ar-SA"/>
        </w:rPr>
        <w:t>府性基金预算财政拨款收入支出决算表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"_Toc26843638"</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cs="Times New Roman" w:hint="eastAsia"/>
          <w:bCs/>
          <w:sz w:val="24"/>
          <w:lang w:val="en-US" w:eastAsia="zh-CN" w:bidi="ar-SA"/>
        </w:rPr>
        <w:t>一</w:t>
      </w:r>
      <w:r>
        <w:rPr>
          <w:rFonts w:ascii="Times New Roman" w:cs="Times New Roman" w:hAnsi="Times New Roman"/>
          <w:bCs/>
          <w:sz w:val="24"/>
          <w:lang w:val="en-US" w:eastAsia="zh-CN" w:bidi="ar-SA"/>
        </w:rPr>
        <w:t>、</w:t>
      </w:r>
      <w:r>
        <w:rPr>
          <w:rFonts w:ascii="Times New Roman" w:cs="Times New Roman" w:hAnsi="Times New Roman"/>
          <w:sz w:val="24"/>
        </w:rPr>
        <w:t>国</w:t>
      </w:r>
      <w:r>
        <w:rPr>
          <w:rFonts w:ascii="Times New Roman" w:cs="Times New Roman" w:hAnsi="Times New Roman"/>
          <w:bCs/>
          <w:sz w:val="24"/>
          <w:lang w:val="en-US" w:eastAsia="zh-CN" w:bidi="ar-SA"/>
        </w:rPr>
        <w:t>有资本经营预算财政拨款收入支出决算表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jc w:val="left"/>
        <w:rPr>
          <w:rFonts w:ascii="Times New Roman" w:eastAsia="宋体" w:cs="Times New Roman" w:hAnsi="Times New Roman"/>
          <w:sz w:val="24"/>
          <w:lang w:val="en-US" w:eastAsia="zh-CN"/>
        </w:rPr>
      </w:pPr>
      <w:r>
        <w:rPr>
          <w:rFonts w:ascii="Times New Roman" w:cs="Times New Roman" w:hAnsi="Times New Roman"/>
          <w:sz w:val="24"/>
          <w:lang w:val="en-US" w:eastAsia="zh-CN" w:bidi="ar-SA"/>
        </w:rPr>
        <w:t>十</w:t>
      </w:r>
      <w:r>
        <w:rPr>
          <w:rFonts w:cs="Times New Roman" w:hint="eastAsia"/>
          <w:sz w:val="24"/>
          <w:lang w:val="en-US" w:eastAsia="zh-CN" w:bidi="ar-SA"/>
        </w:rPr>
        <w:t>二</w:t>
      </w:r>
      <w:r>
        <w:rPr>
          <w:rFonts w:ascii="Times New Roman" w:cs="Times New Roman" w:hAnsi="Times New Roman"/>
          <w:sz w:val="24"/>
          <w:lang w:val="en-US" w:eastAsia="zh-CN" w:bidi="ar-SA"/>
        </w:rPr>
        <w:t>、国有资本经营预算财政拨款支出决算表</w:t>
      </w:r>
      <w:r>
        <w:rPr>
          <w:rFonts w:ascii="Times New Roman" w:cs="Times New Roman" w:hAnsi="Times New Roman" w:hint="eastAsia"/>
          <w:sz w:val="24"/>
          <w:lang w:val="en-US" w:eastAsia="zh-CN" w:bidi="ar-SA"/>
        </w:rPr>
        <w:t>...........................................</w:t>
      </w:r>
      <w:r>
        <w:rPr>
          <w:rFonts w:cs="Times New Roman" w:hint="eastAsia"/>
          <w:sz w:val="24"/>
          <w:lang w:val="en-US" w:eastAsia="zh-CN" w:bidi="ar-SA"/>
        </w:rPr>
        <w:t>24</w:t>
      </w:r>
    </w:p>
    <w:p>
      <w:pPr>
        <w:pStyle w:val="22"/>
        <w:tabs>
          <w:tab w:val="right" w:leader="dot" w:pos="8296"/>
        </w:tabs>
        <w:adjustRightInd w:val="0"/>
        <w:snapToGrid w:val="0"/>
        <w:spacing w:line="440" w:lineRule="exact"/>
        <w:jc w:val="left"/>
        <w:rPr>
          <w:rFonts w:ascii="Times New Roman" w:eastAsia="宋体" w:cs="Times New Roman" w:hAnsi="Times New Roman" w:hint="eastAsia"/>
          <w:sz w:val="24"/>
          <w:lang w:val="en-US" w:eastAsia="zh-CN"/>
        </w:rPr>
      </w:pPr>
      <w:r>
        <w:rPr>
          <w:rFonts w:ascii="Times New Roman" w:cs="Times New Roman" w:hAnsi="Times New Roman"/>
          <w:sz w:val="24"/>
        </w:rPr>
        <w:fldChar w:fldCharType="begin"/>
      </w:r>
      <w:r>
        <w:rPr>
          <w:rFonts w:ascii="Times New Roman" w:cs="Times New Roman" w:hAnsi="Times New Roman"/>
          <w:sz w:val="24"/>
        </w:rPr>
        <w:instrText>Hyperlink \l "_Toc26843635"</w:instrText>
      </w:r>
      <w:r>
        <w:rPr>
          <w:rFonts w:ascii="Times New Roman" w:cs="Times New Roman" w:hAnsi="Times New Roman"/>
          <w:sz w:val="24"/>
        </w:rPr>
        <w:fldChar w:fldCharType="separate"/>
      </w:r>
      <w:r>
        <w:rPr>
          <w:rFonts w:ascii="Times New Roman" w:cs="Times New Roman" w:hAnsi="Times New Roman"/>
          <w:bCs/>
          <w:sz w:val="24"/>
          <w:lang w:val="en-US" w:eastAsia="zh-CN" w:bidi="ar-SA"/>
        </w:rPr>
        <w:t>十</w:t>
      </w:r>
      <w:r>
        <w:rPr>
          <w:rFonts w:cs="Times New Roman" w:hint="eastAsia"/>
          <w:bCs/>
          <w:sz w:val="24"/>
          <w:lang w:val="en-US" w:eastAsia="zh-CN" w:bidi="ar-SA"/>
        </w:rPr>
        <w:t>三</w:t>
      </w:r>
      <w:r>
        <w:rPr>
          <w:rFonts w:ascii="Times New Roman" w:cs="Times New Roman" w:hAnsi="Times New Roman"/>
          <w:bCs/>
          <w:sz w:val="24"/>
          <w:lang w:val="en-US" w:eastAsia="zh-CN" w:bidi="ar-SA"/>
        </w:rPr>
        <w:t>、财政拨款“三公”经费支出决算表</w:t>
      </w:r>
      <w:r>
        <w:rPr>
          <w:rFonts w:ascii="Times New Roman" w:cs="Times New Roman" w:hAnsi="Times New Roman"/>
          <w:sz w:val="24"/>
        </w:rPr>
        <w:tab/>
      </w:r>
      <w:r>
        <w:rPr>
          <w:rFonts w:cs="Times New Roman" w:hint="eastAsia"/>
          <w:sz w:val="24"/>
          <w:lang w:val="en-US" w:eastAsia="zh-CN"/>
        </w:rPr>
        <w:t>2</w:t>
      </w:r>
      <w:r>
        <w:rPr>
          <w:rFonts w:ascii="Times New Roman" w:cs="Times New Roman" w:hAnsi="Times New Roman"/>
          <w:sz w:val="24"/>
        </w:rPr>
        <w:fldChar w:fldCharType="end"/>
      </w:r>
      <w:r>
        <w:rPr>
          <w:rFonts w:cs="Times New Roman" w:hint="eastAsia"/>
          <w:sz w:val="24"/>
          <w:lang w:val="en-US" w:eastAsia="zh-CN"/>
        </w:rPr>
        <w:t>4</w:t>
      </w:r>
    </w:p>
    <w:p>
      <w:pPr>
        <w:pStyle w:val="22"/>
        <w:tabs>
          <w:tab w:val="right" w:leader="dot" w:pos="8296"/>
        </w:tabs>
        <w:adjustRightInd w:val="0"/>
        <w:snapToGrid w:val="0"/>
        <w:spacing w:line="440" w:lineRule="exact"/>
        <w:ind w:leftChars="0" w:left="0" w:firstLineChars="200" w:firstLine="420"/>
        <w:jc w:val="left"/>
        <w:rPr>
          <w:rFonts w:ascii="Times New Roman" w:eastAsia="宋体" w:cs="Times New Roman" w:hAnsi="Times New Roman" w:hint="eastAsia"/>
          <w:lang w:val="en-US" w:eastAsia="zh-CN"/>
        </w:rPr>
      </w:pPr>
      <w:r>
        <w:rPr>
          <w:rFonts w:ascii="Times New Roman" w:cs="Times New Roman" w:hAnsi="Times New Roman"/>
        </w:rPr>
        <w:fldChar w:fldCharType="end"/>
      </w:r>
    </w:p>
    <w:p>
      <w:pPr>
        <w:pStyle w:val="1"/>
        <w:jc w:val="center"/>
        <w:rPr>
          <w:rFonts w:ascii="Times New Roman" w:cs="Times New Roman" w:hAnsi="Times New Roman"/>
        </w:rPr>
      </w:pPr>
    </w:p>
    <w:p>
      <w:pPr>
        <w:pStyle w:val="1"/>
        <w:jc w:val="center"/>
        <w:rPr>
          <w:rFonts w:ascii="Times New Roman" w:cs="Times New Roman" w:hAnsi="Times New Roman"/>
        </w:rPr>
      </w:pPr>
    </w:p>
    <w:p>
      <w:pPr>
        <w:pStyle w:val="1"/>
        <w:jc w:val="center"/>
        <w:rPr>
          <w:rFonts w:ascii="Times New Roman" w:cs="Times New Roman" w:hAnsi="Times New Roman"/>
        </w:rPr>
      </w:pPr>
    </w:p>
    <w:p>
      <w:pPr>
        <w:pStyle w:val="1"/>
        <w:jc w:val="center"/>
        <w:rPr>
          <w:rFonts w:ascii="Times New Roman" w:cs="Times New Roman" w:hAnsi="Times New Roman"/>
        </w:rPr>
      </w:pPr>
    </w:p>
    <w:p>
      <w:pPr>
        <w:pStyle w:val="1"/>
        <w:jc w:val="both"/>
        <w:rPr>
          <w:rFonts w:ascii="Times New Roman" w:cs="Times New Roman" w:hAnsi="Times New Roman"/>
        </w:rPr>
      </w:pPr>
    </w:p>
    <w:p>
      <w:pPr>
        <w:rPr>
          <w:rFonts w:ascii="Times New Roman" w:cs="Times New Roman" w:hAnsi="Times New Roman"/>
        </w:rPr>
      </w:pPr>
    </w:p>
    <w:p>
      <w:pPr>
        <w:pStyle w:val="16"/>
        <w:rPr>
          <w:rFonts w:ascii="Times New Roman" w:cs="Times New Roman" w:hAnsi="Times New Roman"/>
        </w:rPr>
      </w:pPr>
    </w:p>
    <w:p>
      <w:pPr>
        <w:pStyle w:val="16"/>
        <w:rPr>
          <w:rFonts w:ascii="Times New Roman" w:cs="Times New Roman" w:hAnsi="Times New Roman"/>
        </w:rPr>
      </w:pPr>
    </w:p>
    <w:p>
      <w:pPr>
        <w:pStyle w:val="16"/>
        <w:rPr>
          <w:rFonts w:ascii="Times New Roman" w:cs="Times New Roman" w:hAnsi="Times New Roman"/>
        </w:rPr>
      </w:pPr>
    </w:p>
    <w:p>
      <w:pPr>
        <w:pStyle w:val="16"/>
        <w:rPr>
          <w:rFonts w:ascii="Times New Roman" w:cs="Times New Roman" w:hAnsi="Times New Roman"/>
        </w:rPr>
      </w:pPr>
    </w:p>
    <w:p>
      <w:pPr>
        <w:pStyle w:val="16"/>
        <w:rPr>
          <w:rFonts w:ascii="Times New Roman" w:cs="Times New Roman" w:hAnsi="Times New Roman"/>
        </w:rPr>
      </w:pP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
      <w:bookmarkEnd w:id="2"/>
    </w:p>
    <w:p>
      <w:pPr>
        <w:pStyle w:val="2"/>
        <w:keepNext/>
        <w:keepLines/>
        <w:widowControl w:val="0"/>
        <w:wordWrap/>
        <w:adjustRightInd/>
        <w:snapToGrid/>
        <w:spacing w:before="0" w:after="0" w:line="240" w:lineRule="auto"/>
        <w:ind w:left="640" w:hangingChars="200" w:hanging="640"/>
        <w:textAlignment w:val="auto"/>
        <w:rPr>
          <w:rStyle w:val="2Char"/>
          <w:rFonts w:ascii="黑体" w:eastAsia="黑体" w:hint="eastAsia"/>
          <w:b w:val="0"/>
          <w:bCs w:val="0"/>
        </w:rPr>
      </w:pPr>
      <w:bookmarkStart w:id="14" w:name="_Toc15396600"/>
      <w:bookmarkStart w:id="15" w:name="_Toc15377197"/>
      <w:bookmarkStart w:id="16" w:name="_Toc15377200"/>
      <w:bookmarkStart w:id="17" w:name="_Toc15396601"/>
      <w:r>
        <w:rPr>
          <w:rFonts w:ascii="黑体" w:eastAsia="黑体" w:hint="eastAsia"/>
          <w:b w:val="0"/>
          <w:color w:val="000000"/>
        </w:rPr>
        <w:t>一、基</w:t>
      </w:r>
      <w:r>
        <w:rPr>
          <w:rStyle w:val="2Char"/>
          <w:rFonts w:ascii="黑体" w:eastAsia="黑体" w:hint="eastAsia"/>
          <w:b w:val="0"/>
          <w:bCs w:val="0"/>
        </w:rPr>
        <w:t>本职能及主要工作</w:t>
      </w:r>
      <w:bookmarkStart w:id="18" w:name="_Toc15377198"/>
      <w:bookmarkStart w:id="19" w:name="_Toc15378445"/>
      <w:bookmarkEnd w:id="14"/>
      <w:bookmarkEnd w:id="15"/>
    </w:p>
    <w:p>
      <w:pPr>
        <w:pStyle w:val="2"/>
        <w:keepNext/>
        <w:keepLines/>
        <w:widowControl w:val="0"/>
        <w:wordWrap/>
        <w:adjustRightInd/>
        <w:snapToGrid/>
        <w:spacing w:before="0" w:after="0" w:line="240" w:lineRule="auto"/>
        <w:ind w:leftChars="153" w:left="641" w:hangingChars="100" w:hanging="320"/>
        <w:textAlignment w:val="auto"/>
        <w:rPr>
          <w:rFonts w:ascii="楷体" w:eastAsia="楷体" w:cs="楷体" w:hint="eastAsia"/>
          <w:bCs/>
          <w:color w:val="000000"/>
          <w:sz w:val="32"/>
          <w:szCs w:val="32"/>
        </w:rPr>
      </w:pPr>
      <w:r>
        <w:rPr>
          <w:rFonts w:ascii="楷体" w:eastAsia="楷体" w:cs="楷体" w:hint="eastAsia"/>
          <w:bCs/>
          <w:color w:val="000000"/>
          <w:sz w:val="32"/>
          <w:szCs w:val="32"/>
        </w:rPr>
        <w:t>（一）主要职能</w:t>
      </w:r>
      <w:bookmarkStart w:id="20" w:name="_Toc15377199"/>
      <w:bookmarkStart w:id="21" w:name="_Toc15378446"/>
      <w:bookmarkEnd w:id="18"/>
      <w:bookmarkEnd w:id="19"/>
    </w:p>
    <w:p>
      <w:pPr>
        <w:numPr>
          <w:ilvl w:val="0"/>
          <w:numId w:val="1"/>
        </w:numPr>
        <w:spacing w:line="576" w:lineRule="exact"/>
        <w:ind w:left="0" w:firstLine="640"/>
        <w:rPr>
          <w:rFonts w:ascii="仿宋" w:eastAsia="仿宋" w:cs="仿宋" w:hint="eastAsia"/>
          <w:sz w:val="32"/>
          <w:szCs w:val="32"/>
          <w:shd w:val="clear" w:color="auto" w:fill="FFFFFF"/>
        </w:rPr>
      </w:pPr>
      <w:r>
        <w:rPr>
          <w:rFonts w:ascii="仿宋" w:eastAsia="仿宋" w:cs="仿宋" w:hint="eastAsia"/>
          <w:sz w:val="32"/>
          <w:szCs w:val="32"/>
          <w:shd w:val="clear" w:color="auto" w:fill="FFFFFF"/>
        </w:rPr>
        <w:t>兴产业强项目，经济发展取得新成效。一是抓好巩固衔接。严格落实“四个不摘”的要求，健全防止返贫监测帮扶机制，确保149户贫困户稳定脱贫不返贫。继续做好脱贫动态数据调整，做实档案资料，做强帮扶举措，确保帮扶政策、责任、工作“三落实”到位。二是优化产业结构。3个村采取入股分红、发展种养殖产业、土地租赁等模式发展集体经济，脱贫成果进一步巩固。扎实开展雪梨振兴，完成300余亩林下种植，积极打造民宿、农家乐产业，努力培育致富新引擎。三是抓实重点项目。完善世外梨园景区核心旅游基础设施建设项目，倒排工期，挂图作战。今年全乡共有项目15个，总投资1000余万元，现已完工10个，剩余5个正在按项目既定进度要求</w:t>
      </w:r>
      <w:r>
        <w:rPr>
          <w:rFonts w:ascii="仿宋" w:eastAsia="仿宋" w:cs="仿宋" w:hint="eastAsia"/>
          <w:spacing w:val="-6"/>
          <w:sz w:val="32"/>
          <w:szCs w:val="32"/>
          <w:shd w:val="clear" w:color="auto" w:fill="FFFFFF"/>
        </w:rPr>
        <w:t>稳步推进。</w:t>
      </w:r>
    </w:p>
    <w:p>
      <w:pPr>
        <w:numPr>
          <w:ilvl w:val="0"/>
          <w:numId w:val="1"/>
        </w:numPr>
        <w:spacing w:line="576" w:lineRule="exact"/>
        <w:ind w:left="0" w:firstLine="640"/>
        <w:rPr>
          <w:rFonts w:ascii="仿宋" w:eastAsia="仿宋" w:cs="仿宋" w:hint="eastAsia"/>
          <w:sz w:val="32"/>
          <w:szCs w:val="32"/>
          <w:shd w:val="clear" w:color="auto" w:fill="FFFFFF"/>
        </w:rPr>
      </w:pPr>
      <w:r>
        <w:rPr>
          <w:rFonts w:ascii="仿宋" w:eastAsia="仿宋" w:cs="仿宋" w:hint="eastAsia"/>
          <w:sz w:val="32"/>
          <w:szCs w:val="32"/>
          <w:shd w:val="clear" w:color="auto" w:fill="FFFFFF"/>
        </w:rPr>
        <w:t>重建设优环境，乡村风貌实现新提升。一是强化生态保护。积极配合办结各级督查组交办环保信访问题，严格落实种养殖环评申报制度，加强农村面源污染防治。强化75633亩森林管护，采取乡党委政府、村两委双考勤制度，明确管护责任区域，进一步加强生态管护员监管。二是开展环境整治。深入实施十乱治理，常态化开展“周五卫生大扫除”活动，整治卫生死角及垃圾堆放点100余处，清除乱堆乱放乱占等60余处，签订门前三包责任书500余份。三是强化宣传引导。借助村民大会、党员会等契机，加大对农村垃圾处理、农业废弃物、禁止露天焚烧秸秆等工作的宣传力度，截至目前，发放各类宣传资料5000余份，悬挂标语横幅40余条，通过QQ、微信群、短信等方式，转发环保信息1000余条。</w:t>
      </w:r>
    </w:p>
    <w:p>
      <w:pPr>
        <w:spacing w:line="576" w:lineRule="exact"/>
        <w:ind w:firstLine="640"/>
        <w:rPr>
          <w:rFonts w:ascii="仿宋" w:eastAsia="仿宋" w:cs="仿宋" w:hint="eastAsia"/>
          <w:sz w:val="32"/>
          <w:szCs w:val="32"/>
          <w:shd w:val="clear" w:color="auto" w:fill="FFFFFF"/>
        </w:rPr>
      </w:pPr>
      <w:r>
        <w:rPr>
          <w:rFonts w:ascii="仿宋" w:eastAsia="仿宋" w:cs="仿宋" w:hint="eastAsia"/>
          <w:sz w:val="32"/>
          <w:szCs w:val="32"/>
          <w:shd w:val="clear" w:color="auto" w:fill="FFFFFF"/>
        </w:rPr>
        <w:t>三、抓治理保稳定，社会大局开创新局面。一是防灾减灾常抓不懈。针对全乡20处地质灾害隐患点，逐一制定应急预案。严格监测员管理，定时不定时进行查岗，全年开展应急演练20次，发放地质灾害、防汛明白卡170余张，群众参与200余人次</w:t>
      </w:r>
      <w:r>
        <w:rPr>
          <w:rFonts w:ascii="仿宋" w:eastAsia="仿宋" w:cs="仿宋" w:hint="eastAsia"/>
          <w:sz w:val="32"/>
          <w:szCs w:val="32"/>
        </w:rPr>
        <w:t>。二是森林草原防灭火扎实推进。清理变压台区28台、高低压线路50公里，签订护林防火户主、坟主、五类人员等责任书800余份。发放各类宣传资料3000余份，刷制固定标语10幅，组建3支应急救援队，开展教育培训10次。三是安全生产警钟长鸣。与各村、学校、乡内施工单位签订责任书35份，辖区内13处安全隐患已全部整改到位。开展安全生产相关法律法规宣传教育，发放宣传资料400余份，开展宣讲活动10余次。四是和谐大局持续稳定。制定“八五”普法实施方案，开展法治宣传6场次，发放宣传资料600余份。扎实做好三月、七月敏感期暨庆祝建党100周年各项安保维稳工作，建立乡、村、网格三级防范网络，加大矛盾纠纷排查调处力度，全年接待群众来信来访20余件，目前办结率98%。调处矛盾纠纷8起，调处率达100%。</w:t>
      </w:r>
    </w:p>
    <w:p>
      <w:pPr>
        <w:spacing w:line="576" w:lineRule="exact"/>
        <w:ind w:firstLine="640"/>
        <w:rPr>
          <w:rFonts w:ascii="仿宋" w:eastAsia="仿宋" w:cs="仿宋" w:hint="eastAsia"/>
          <w:sz w:val="32"/>
          <w:szCs w:val="32"/>
        </w:rPr>
      </w:pPr>
      <w:r>
        <w:rPr>
          <w:rFonts w:ascii="仿宋" w:eastAsia="仿宋" w:cs="仿宋" w:hint="eastAsia"/>
          <w:sz w:val="32"/>
          <w:szCs w:val="32"/>
        </w:rPr>
        <w:t>四、办实事惠民生，群众福祉谱写新篇章。一是教育文化旅游事业全面开花。完成14名贫困学生教育救助基金申报工作。成功举办庆祝建党100周年庆祝活动，组织各村开展文艺活动10余次，切实做好世外梨园核心景区各项服务工作。二是社会保障水平不断提升。完成养老保险缴费854人。加大群众临时困难和病灾救助的帮扶力度，做好低保分类施保工作，发放各类救助资金共计30余万元，确保困难群众得到有效救助。三是医疗卫生工作有序推进。落实“五有一网格”农村疫情防控要求，加强疫情研判，各类物资储备可满足1月用量，精心组织3-11岁儿童疫苗和常规疫苗接种工作，截至目前全乡接种1600余人。加强人口生育服务管理，组织200余名育龄妇女进行“两癌筛查”。</w:t>
      </w:r>
    </w:p>
    <w:p>
      <w:pPr>
        <w:spacing w:line="576" w:lineRule="exact"/>
        <w:ind w:firstLine="640"/>
        <w:rPr>
          <w:rFonts w:ascii="仿宋" w:eastAsia="仿宋" w:cs="仿宋" w:hint="eastAsia"/>
          <w:sz w:val="32"/>
          <w:szCs w:val="32"/>
        </w:rPr>
      </w:pPr>
      <w:r>
        <w:rPr>
          <w:rFonts w:ascii="仿宋" w:eastAsia="仿宋" w:cs="仿宋" w:hint="eastAsia"/>
          <w:sz w:val="32"/>
          <w:szCs w:val="32"/>
        </w:rPr>
        <w:t>五、管队伍改作风，政府建设展现新面貌。一是严守纪律红线。严明政治纪律和政治规矩，认真抓好县委巡察反馈意见整改。持续开展三大行动，深化不作为及“懒散拖”问题专项整治，狠刹不正之风。二是强化作风建设。优化为民服务中心窗口设置、充实工作人员，确保件件有回音、见实效。全年公开信息400余条，自觉接受人大监督和社会各界监督，收集社情民意200余条，逐一处理销号。三加强廉政建设。全面落实“一岗双责”，切实履行党风廉政建设主体责任。进一步规范农村集体“三资”管理，严格执行“一定两议三监督”等议事制度，深化村“三务”公开，坚持用制度管人管事，不断加强村级财务管理。</w:t>
      </w:r>
    </w:p>
    <w:p>
      <w:pPr>
        <w:pStyle w:val="2"/>
        <w:spacing w:before="0" w:after="0" w:line="240" w:lineRule="auto"/>
        <w:ind w:firstLineChars="100" w:firstLine="320"/>
        <w:rPr>
          <w:rFonts w:ascii="楷体" w:eastAsia="楷体" w:cs="楷体" w:hint="eastAsia"/>
          <w:bCs/>
          <w:color w:val="000000"/>
          <w:sz w:val="32"/>
          <w:szCs w:val="32"/>
        </w:rPr>
      </w:pPr>
      <w:r>
        <w:rPr>
          <w:rFonts w:ascii="楷体" w:eastAsia="楷体" w:cs="楷体" w:hint="eastAsia"/>
          <w:bCs/>
          <w:color w:val="000000"/>
          <w:sz w:val="32"/>
          <w:szCs w:val="32"/>
        </w:rPr>
        <w:t>（二）20</w:t>
      </w:r>
      <w:r>
        <w:rPr>
          <w:rFonts w:ascii="楷体" w:eastAsia="楷体" w:cs="楷体" w:hint="eastAsia"/>
          <w:bCs/>
          <w:color w:val="000000"/>
          <w:sz w:val="32"/>
          <w:szCs w:val="32"/>
          <w:lang w:val="en-US" w:eastAsia="zh-CN"/>
        </w:rPr>
        <w:t>22</w:t>
      </w:r>
      <w:r>
        <w:rPr>
          <w:rFonts w:ascii="楷体" w:eastAsia="楷体" w:cs="楷体" w:hint="eastAsia"/>
          <w:bCs/>
          <w:color w:val="000000"/>
          <w:sz w:val="32"/>
          <w:szCs w:val="32"/>
        </w:rPr>
        <w:t>年重点工作完成情况</w:t>
      </w:r>
      <w:bookmarkEnd w:id="20"/>
      <w:bookmarkEnd w:id="21"/>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1、乡党委围绕“</w:t>
      </w:r>
      <w:r>
        <w:rPr>
          <w:rFonts w:ascii="仿宋_GB2312" w:eastAsia="仿宋_GB2312" w:hint="eastAsia"/>
          <w:sz w:val="32"/>
          <w:szCs w:val="32"/>
          <w:lang w:val="en-US" w:eastAsia="zh-CN"/>
        </w:rPr>
        <w:t>不忘初心、牢记使命</w:t>
      </w:r>
      <w:r>
        <w:rPr>
          <w:rFonts w:ascii="仿宋_GB2312" w:eastAsia="仿宋_GB2312" w:hint="eastAsia"/>
          <w:sz w:val="32"/>
          <w:szCs w:val="32"/>
        </w:rPr>
        <w:t>”</w:t>
      </w:r>
      <w:r>
        <w:rPr>
          <w:rFonts w:ascii="仿宋_GB2312" w:eastAsia="仿宋_GB2312" w:hint="eastAsia"/>
          <w:sz w:val="32"/>
          <w:szCs w:val="32"/>
          <w:lang w:val="en-US" w:eastAsia="zh-CN"/>
        </w:rPr>
        <w:t>主题教育</w:t>
      </w:r>
      <w:r>
        <w:rPr>
          <w:rFonts w:ascii="仿宋_GB2312" w:eastAsia="仿宋_GB2312" w:hint="eastAsia"/>
          <w:sz w:val="32"/>
          <w:szCs w:val="32"/>
        </w:rPr>
        <w:t>开展党建工作，提高乡村党员素质。</w:t>
      </w:r>
    </w:p>
    <w:p>
      <w:pPr>
        <w:snapToGrid w:val="0"/>
        <w:spacing w:line="520" w:lineRule="exact"/>
        <w:ind w:firstLineChars="200" w:firstLine="640"/>
        <w:rPr>
          <w:rFonts w:ascii="仿宋_GB2312" w:eastAsia="仿宋_GB2312" w:hint="eastAsia"/>
          <w:sz w:val="32"/>
          <w:szCs w:val="32"/>
        </w:rPr>
      </w:pPr>
      <w:r>
        <w:rPr>
          <w:rFonts w:ascii="仿宋_GB2312" w:eastAsia="仿宋_GB2312" w:hint="eastAsia"/>
          <w:sz w:val="32"/>
          <w:szCs w:val="32"/>
        </w:rPr>
        <w:t>2、本年度全乡</w:t>
      </w:r>
      <w:r>
        <w:rPr>
          <w:rFonts w:ascii="仿宋_GB2312" w:eastAsia="仿宋_GB2312" w:hint="eastAsia"/>
          <w:sz w:val="32"/>
          <w:szCs w:val="32"/>
          <w:lang w:val="en-US" w:eastAsia="zh-CN"/>
        </w:rPr>
        <w:t>认真开展</w:t>
      </w:r>
      <w:r>
        <w:rPr>
          <w:rFonts w:ascii="仿宋_GB2312" w:eastAsia="仿宋_GB2312" w:hint="eastAsia"/>
          <w:sz w:val="32"/>
          <w:szCs w:val="32"/>
        </w:rPr>
        <w:t>脱贫攻坚工作，</w:t>
      </w:r>
      <w:r>
        <w:rPr>
          <w:rFonts w:ascii="仿宋_GB2312" w:eastAsia="仿宋_GB2312" w:hint="eastAsia"/>
          <w:sz w:val="32"/>
          <w:szCs w:val="32"/>
          <w:lang w:val="en-US" w:eastAsia="zh-CN"/>
        </w:rPr>
        <w:t>巩固了</w:t>
      </w:r>
      <w:r>
        <w:rPr>
          <w:rFonts w:ascii="仿宋_GB2312" w:eastAsia="仿宋_GB2312" w:hint="eastAsia"/>
          <w:sz w:val="32"/>
          <w:szCs w:val="32"/>
        </w:rPr>
        <w:t>全乡贫困户精准帮扶</w:t>
      </w:r>
      <w:r>
        <w:rPr>
          <w:rFonts w:ascii="仿宋_GB2312" w:eastAsia="仿宋_GB2312" w:hint="eastAsia"/>
          <w:sz w:val="32"/>
          <w:szCs w:val="32"/>
          <w:lang w:val="en-US" w:eastAsia="zh-CN"/>
        </w:rPr>
        <w:t>成果</w:t>
      </w:r>
      <w:r>
        <w:rPr>
          <w:rFonts w:ascii="仿宋_GB2312" w:eastAsia="仿宋_GB2312" w:hint="eastAsia"/>
          <w:sz w:val="32"/>
          <w:szCs w:val="32"/>
        </w:rPr>
        <w:t>，并</w:t>
      </w:r>
      <w:r>
        <w:rPr>
          <w:rFonts w:ascii="仿宋_GB2312" w:eastAsia="仿宋_GB2312" w:hint="eastAsia"/>
          <w:sz w:val="32"/>
          <w:szCs w:val="32"/>
          <w:lang w:val="en-US" w:eastAsia="zh-CN"/>
        </w:rPr>
        <w:t>顺利通过一系列验收检查</w:t>
      </w:r>
      <w:r>
        <w:rPr>
          <w:rFonts w:ascii="仿宋_GB2312" w:eastAsia="仿宋_GB2312" w:hint="eastAsia"/>
          <w:sz w:val="32"/>
          <w:szCs w:val="32"/>
        </w:rPr>
        <w:t>。</w:t>
      </w:r>
    </w:p>
    <w:p>
      <w:pPr>
        <w:snapToGrid w:val="0"/>
        <w:spacing w:line="520" w:lineRule="exact"/>
        <w:ind w:firstLineChars="200" w:firstLine="640"/>
        <w:rPr>
          <w:rFonts w:ascii="仿宋_GB2312" w:eastAsia="仿宋_GB2312" w:hint="eastAsia"/>
          <w:sz w:val="32"/>
          <w:szCs w:val="32"/>
          <w:lang w:val="en-US" w:eastAsia="zh-CN"/>
        </w:rPr>
      </w:pPr>
      <w:r>
        <w:rPr>
          <w:rFonts w:ascii="仿宋_GB2312" w:eastAsia="仿宋_GB2312" w:hint="eastAsia"/>
          <w:sz w:val="32"/>
          <w:szCs w:val="32"/>
          <w:lang w:val="en-US" w:eastAsia="zh-CN"/>
        </w:rPr>
        <w:t>3、乡村振兴有力推进，乡村面貌明显改善。</w:t>
      </w:r>
    </w:p>
    <w:p>
      <w:pPr>
        <w:spacing w:line="578" w:lineRule="exact"/>
        <w:ind w:left="0" w:firstLineChars="200" w:firstLine="640"/>
        <w:rPr>
          <w:rFonts w:ascii="仿宋_GB2312" w:eastAsia="仿宋_GB2312" w:hint="eastAsia"/>
          <w:sz w:val="32"/>
          <w:szCs w:val="32"/>
        </w:rPr>
      </w:pPr>
      <w:r>
        <w:rPr>
          <w:rFonts w:ascii="仿宋_GB2312" w:eastAsia="仿宋_GB2312" w:hint="eastAsia"/>
          <w:sz w:val="32"/>
          <w:szCs w:val="32"/>
          <w:lang w:val="en-US" w:eastAsia="zh-CN"/>
        </w:rPr>
        <w:t>4</w:t>
      </w:r>
      <w:r>
        <w:rPr>
          <w:rFonts w:ascii="仿宋_GB2312" w:eastAsia="仿宋_GB2312" w:hint="eastAsia"/>
          <w:sz w:val="32"/>
          <w:szCs w:val="32"/>
        </w:rPr>
        <w:t>、圆满完成了其他各项工作，并经验收合格。</w:t>
      </w:r>
    </w:p>
    <w:p>
      <w:pPr>
        <w:spacing w:line="578" w:lineRule="exact"/>
        <w:ind w:left="0" w:firstLineChars="200" w:firstLine="640"/>
        <w:rPr>
          <w:rStyle w:val="2Char"/>
          <w:b w:val="0"/>
          <w:bCs w:val="0"/>
        </w:rPr>
      </w:pPr>
      <w:bookmarkStart w:id="22" w:name="_Toc15396602"/>
      <w:bookmarkStart w:id="23" w:name="_Toc15377204"/>
      <w:bookmarkEnd w:id="16"/>
      <w:bookmarkEnd w:id="17"/>
      <w:r>
        <w:rPr>
          <w:rStyle w:val="2Char"/>
          <w:rFonts w:ascii="黑体" w:eastAsia="黑体" w:hint="eastAsia"/>
          <w:b w:val="0"/>
          <w:bCs w:val="0"/>
        </w:rPr>
        <w:t>二、机构设置</w:t>
      </w:r>
    </w:p>
    <w:p>
      <w:pPr>
        <w:snapToGrid w:val="0"/>
        <w:spacing w:line="360" w:lineRule="auto"/>
        <w:outlineLvl w:val="1"/>
        <w:rPr>
          <w:rFonts w:ascii="仿宋_GB2312" w:eastAsia="仿宋_GB2312" w:hint="eastAsia"/>
          <w:sz w:val="30"/>
          <w:szCs w:val="30"/>
        </w:rPr>
      </w:pPr>
      <w:bookmarkStart w:id="24" w:name="_Toc1399"/>
      <w:r>
        <w:rPr>
          <w:rFonts w:ascii="楷体" w:eastAsia="楷体" w:cs="楷体" w:hint="eastAsia"/>
          <w:b/>
          <w:bCs/>
          <w:sz w:val="32"/>
          <w:szCs w:val="32"/>
        </w:rPr>
        <w:t>（</w:t>
      </w:r>
      <w:r>
        <w:rPr>
          <w:rFonts w:ascii="楷体" w:eastAsia="楷体" w:cs="楷体" w:hint="eastAsia"/>
          <w:b/>
          <w:bCs/>
          <w:sz w:val="32"/>
          <w:szCs w:val="32"/>
          <w:lang w:eastAsia="zh-CN"/>
        </w:rPr>
        <w:t>一</w:t>
      </w:r>
      <w:r>
        <w:rPr>
          <w:rFonts w:ascii="楷体" w:eastAsia="楷体" w:cs="楷体" w:hint="eastAsia"/>
          <w:b/>
          <w:bCs/>
          <w:sz w:val="32"/>
          <w:szCs w:val="32"/>
        </w:rPr>
        <w:t>）机构和人员情况</w:t>
      </w:r>
      <w:bookmarkEnd w:id="24"/>
    </w:p>
    <w:p>
      <w:pPr>
        <w:widowControl w:val="0"/>
        <w:wordWrap/>
        <w:adjustRightInd/>
        <w:snapToGrid w:val="0"/>
        <w:spacing w:line="240" w:lineRule="auto"/>
        <w:ind w:right="0" w:firstLineChars="200" w:firstLine="600"/>
        <w:jc w:val="both"/>
        <w:textAlignment w:val="auto"/>
        <w:outlineLvl w:val="9"/>
        <w:rPr>
          <w:rFonts w:ascii="仿宋_GB2312" w:eastAsia="仿宋_GB2312" w:hint="eastAsia"/>
          <w:sz w:val="30"/>
          <w:szCs w:val="30"/>
        </w:rPr>
      </w:pPr>
      <w:r>
        <w:rPr>
          <w:rFonts w:ascii="仿宋_GB2312" w:eastAsia="仿宋_GB2312" w:hint="eastAsia"/>
          <w:sz w:val="30"/>
          <w:szCs w:val="30"/>
        </w:rPr>
        <w:t>1、机构情况：</w:t>
      </w:r>
      <w:r>
        <w:rPr>
          <w:rFonts w:ascii="仿宋_GB2312" w:eastAsia="仿宋_GB2312" w:hint="eastAsia"/>
          <w:b w:val="0"/>
          <w:bCs/>
          <w:sz w:val="32"/>
        </w:rPr>
        <w:t>我</w:t>
      </w:r>
      <w:r>
        <w:rPr>
          <w:rFonts w:ascii="仿宋_GB2312" w:eastAsia="仿宋_GB2312" w:hint="eastAsia"/>
          <w:b w:val="0"/>
          <w:bCs/>
          <w:sz w:val="32"/>
          <w:lang w:eastAsia="zh-CN"/>
        </w:rPr>
        <w:t>乡</w:t>
      </w:r>
      <w:r>
        <w:rPr>
          <w:rFonts w:ascii="仿宋_GB2312" w:eastAsia="仿宋_GB2312" w:hint="eastAsia"/>
          <w:b w:val="0"/>
          <w:bCs/>
          <w:sz w:val="32"/>
          <w:lang w:val="en-US" w:eastAsia="zh-CN"/>
        </w:rPr>
        <w:t>2022</w:t>
      </w:r>
      <w:r>
        <w:rPr>
          <w:rFonts w:ascii="仿宋_GB2312" w:eastAsia="仿宋_GB2312" w:hint="eastAsia"/>
          <w:b w:val="0"/>
          <w:bCs/>
          <w:sz w:val="32"/>
        </w:rPr>
        <w:t>年有2个机构，无增减变动</w:t>
      </w:r>
      <w:r>
        <w:rPr>
          <w:rFonts w:ascii="仿宋_GB2312" w:eastAsia="仿宋_GB2312" w:hint="eastAsia"/>
          <w:b w:val="0"/>
          <w:bCs/>
          <w:sz w:val="32"/>
          <w:lang w:eastAsia="zh-CN"/>
        </w:rPr>
        <w:t>。</w:t>
      </w:r>
    </w:p>
    <w:p>
      <w:pPr>
        <w:snapToGrid w:val="0"/>
        <w:spacing w:line="360" w:lineRule="auto"/>
        <w:rPr>
          <w:rFonts w:ascii="楷体" w:eastAsia="楷体" w:cs="楷体" w:hint="eastAsia"/>
          <w:b/>
          <w:bCs/>
          <w:sz w:val="30"/>
          <w:szCs w:val="30"/>
        </w:rPr>
      </w:pPr>
      <w:r>
        <w:rPr>
          <w:rFonts w:ascii="仿宋_GB2312" w:eastAsia="仿宋_GB2312" w:hint="eastAsia"/>
          <w:sz w:val="30"/>
          <w:szCs w:val="30"/>
        </w:rPr>
        <w:t>　　2</w:t>
      </w:r>
      <w:r>
        <w:rPr>
          <w:rFonts w:ascii="仿宋_GB2312" w:eastAsia="仿宋_GB2312" w:hint="eastAsia"/>
          <w:sz w:val="30"/>
          <w:szCs w:val="30"/>
          <w:lang w:eastAsia="zh-CN"/>
        </w:rPr>
        <w:t>、</w:t>
      </w:r>
      <w:r>
        <w:rPr>
          <w:rFonts w:ascii="仿宋_GB2312" w:eastAsia="仿宋_GB2312" w:hint="eastAsia"/>
          <w:sz w:val="30"/>
          <w:szCs w:val="30"/>
        </w:rPr>
        <w:t>人员情况：我</w:t>
      </w:r>
      <w:r>
        <w:rPr>
          <w:rFonts w:ascii="仿宋_GB2312" w:eastAsia="仿宋_GB2312" w:hint="eastAsia"/>
          <w:sz w:val="30"/>
          <w:szCs w:val="30"/>
          <w:lang w:val="en-US" w:eastAsia="zh-CN"/>
        </w:rPr>
        <w:t>乡</w:t>
      </w:r>
      <w:r>
        <w:rPr>
          <w:rFonts w:ascii="仿宋_GB2312" w:eastAsia="仿宋_GB2312" w:hint="eastAsia"/>
          <w:sz w:val="30"/>
          <w:szCs w:val="30"/>
          <w:lang w:eastAsia="zh-CN"/>
        </w:rPr>
        <w:t>202</w:t>
      </w:r>
      <w:r>
        <w:rPr>
          <w:rFonts w:ascii="仿宋_GB2312" w:eastAsia="仿宋_GB2312" w:hint="eastAsia"/>
          <w:sz w:val="30"/>
          <w:szCs w:val="30"/>
          <w:lang w:val="en-US" w:eastAsia="zh-CN"/>
        </w:rPr>
        <w:t>2</w:t>
      </w:r>
      <w:r>
        <w:rPr>
          <w:rFonts w:ascii="仿宋_GB2312" w:eastAsia="仿宋_GB2312" w:hint="eastAsia"/>
          <w:sz w:val="30"/>
          <w:szCs w:val="30"/>
        </w:rPr>
        <w:t>年年末在职</w:t>
      </w:r>
      <w:r>
        <w:rPr>
          <w:rFonts w:ascii="仿宋_GB2312" w:eastAsia="仿宋_GB2312" w:hint="eastAsia"/>
          <w:sz w:val="30"/>
          <w:szCs w:val="30"/>
          <w:lang w:val="en-US" w:eastAsia="zh-CN"/>
        </w:rPr>
        <w:t>32</w:t>
      </w:r>
      <w:r>
        <w:rPr>
          <w:rFonts w:ascii="仿宋_GB2312" w:eastAsia="仿宋_GB2312" w:hint="eastAsia"/>
          <w:sz w:val="30"/>
          <w:szCs w:val="30"/>
        </w:rPr>
        <w:t>人，</w:t>
      </w:r>
      <w:r>
        <w:rPr>
          <w:rFonts w:ascii="仿宋_GB2312" w:eastAsia="仿宋_GB2312" w:hint="eastAsia"/>
          <w:sz w:val="30"/>
          <w:szCs w:val="30"/>
          <w:lang w:val="en-US" w:eastAsia="zh-CN"/>
        </w:rPr>
        <w:t>退</w:t>
      </w:r>
      <w:r>
        <w:rPr>
          <w:rFonts w:ascii="仿宋_GB2312" w:eastAsia="仿宋_GB2312" w:hint="eastAsia"/>
          <w:sz w:val="30"/>
          <w:szCs w:val="30"/>
        </w:rPr>
        <w:t>休</w:t>
      </w:r>
      <w:r>
        <w:rPr>
          <w:rFonts w:ascii="仿宋_GB2312" w:eastAsia="仿宋_GB2312" w:hint="eastAsia"/>
          <w:sz w:val="30"/>
          <w:szCs w:val="30"/>
          <w:lang w:val="en-US" w:eastAsia="zh-CN"/>
        </w:rPr>
        <w:t>5</w:t>
      </w:r>
      <w:r>
        <w:rPr>
          <w:rFonts w:ascii="仿宋_GB2312" w:eastAsia="仿宋_GB2312" w:hint="eastAsia"/>
          <w:sz w:val="30"/>
          <w:szCs w:val="30"/>
        </w:rPr>
        <w:t>人，遗嘱1人。总编制数</w:t>
      </w:r>
      <w:r>
        <w:rPr>
          <w:rFonts w:ascii="仿宋_GB2312" w:eastAsia="仿宋_GB2312" w:hint="eastAsia"/>
          <w:sz w:val="30"/>
          <w:szCs w:val="30"/>
          <w:lang w:val="en-US" w:eastAsia="zh-CN"/>
        </w:rPr>
        <w:t>32</w:t>
      </w:r>
      <w:r>
        <w:rPr>
          <w:rFonts w:ascii="仿宋_GB2312" w:eastAsia="仿宋_GB2312" w:hint="eastAsia"/>
          <w:sz w:val="30"/>
          <w:szCs w:val="30"/>
        </w:rPr>
        <w:t>人（其中:行政编制</w:t>
      </w:r>
      <w:r>
        <w:rPr>
          <w:rFonts w:ascii="仿宋_GB2312" w:eastAsia="仿宋_GB2312" w:hint="eastAsia"/>
          <w:sz w:val="30"/>
          <w:szCs w:val="30"/>
          <w:lang w:val="en-US" w:eastAsia="zh-CN"/>
        </w:rPr>
        <w:t>18</w:t>
      </w:r>
      <w:r>
        <w:rPr>
          <w:rFonts w:ascii="仿宋_GB2312" w:eastAsia="仿宋_GB2312" w:hint="eastAsia"/>
          <w:sz w:val="30"/>
          <w:szCs w:val="30"/>
        </w:rPr>
        <w:t>人，工勤编制</w:t>
      </w:r>
      <w:r>
        <w:rPr>
          <w:rFonts w:ascii="仿宋_GB2312" w:eastAsia="仿宋_GB2312" w:hint="eastAsia"/>
          <w:sz w:val="30"/>
          <w:szCs w:val="30"/>
          <w:lang w:val="en-US" w:eastAsia="zh-CN"/>
        </w:rPr>
        <w:t>2</w:t>
      </w:r>
      <w:r>
        <w:rPr>
          <w:rFonts w:ascii="仿宋_GB2312" w:eastAsia="仿宋_GB2312" w:hint="eastAsia"/>
          <w:sz w:val="30"/>
          <w:szCs w:val="30"/>
        </w:rPr>
        <w:t>人、事业</w:t>
      </w:r>
      <w:r>
        <w:rPr>
          <w:rFonts w:ascii="仿宋_GB2312" w:eastAsia="仿宋_GB2312" w:hint="eastAsia"/>
          <w:bCs/>
          <w:sz w:val="30"/>
          <w:szCs w:val="30"/>
        </w:rPr>
        <w:t>编制</w:t>
      </w:r>
      <w:r>
        <w:rPr>
          <w:rFonts w:ascii="仿宋_GB2312" w:eastAsia="仿宋_GB2312" w:hint="eastAsia"/>
          <w:bCs/>
          <w:sz w:val="30"/>
          <w:szCs w:val="30"/>
          <w:lang w:val="en-US" w:eastAsia="zh-CN"/>
        </w:rPr>
        <w:t>12</w:t>
      </w:r>
      <w:r>
        <w:rPr>
          <w:rFonts w:ascii="仿宋_GB2312" w:eastAsia="仿宋_GB2312" w:hint="eastAsia"/>
          <w:bCs/>
          <w:sz w:val="30"/>
          <w:szCs w:val="30"/>
        </w:rPr>
        <w:t>人</w:t>
      </w:r>
      <w:r>
        <w:rPr>
          <w:rFonts w:ascii="仿宋_GB2312" w:eastAsia="仿宋_GB2312" w:hint="eastAsia"/>
          <w:sz w:val="30"/>
          <w:szCs w:val="30"/>
        </w:rPr>
        <w:t>）。</w:t>
      </w:r>
    </w:p>
    <w:p>
      <w:pPr>
        <w:pStyle w:val="1"/>
        <w:ind w:right="440"/>
        <w:jc w:val="right"/>
      </w:pPr>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w:t>
      </w:r>
      <w:r>
        <w:rPr>
          <w:rStyle w:val="1Char"/>
          <w:rFonts w:ascii="黑体" w:eastAsia="黑体" w:hint="eastAsia"/>
          <w:b w:val="0"/>
          <w:bCs w:val="0"/>
          <w:lang w:val="en-US"/>
        </w:rPr>
        <w:t>22</w:t>
      </w:r>
      <w:r>
        <w:rPr>
          <w:rStyle w:val="1Char"/>
          <w:rFonts w:ascii="黑体" w:eastAsia="黑体" w:hint="eastAsia"/>
          <w:b w:val="0"/>
          <w:bCs w:val="0"/>
        </w:rPr>
        <w:t>年度部门决算情况说明</w:t>
      </w:r>
      <w:bookmarkEnd w:id="22"/>
      <w:bookmarkEnd w:id="23"/>
    </w:p>
    <w:p>
      <w:pPr>
        <w:pStyle w:val="31"/>
        <w:numPr>
          <w:ilvl w:val="0"/>
          <w:numId w:val="2"/>
        </w:numPr>
        <w:spacing w:line="240" w:lineRule="auto"/>
        <w:ind w:left="0" w:firstLineChars="0" w:firstLine="0"/>
        <w:outlineLvl w:val="1"/>
        <w:rPr>
          <w:rStyle w:val="2Char"/>
          <w:rFonts w:ascii="黑体" w:eastAsia="黑体"/>
          <w:b w:val="0"/>
        </w:rPr>
      </w:pPr>
      <w:bookmarkStart w:id="25" w:name="_Toc15377205"/>
      <w:bookmarkStart w:id="26"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5"/>
      <w:bookmarkEnd w:id="26"/>
    </w:p>
    <w:p>
      <w:pPr>
        <w:snapToGrid w:val="0"/>
        <w:spacing w:line="520" w:lineRule="exact"/>
        <w:ind w:firstLineChars="200" w:firstLine="632"/>
        <w:rPr>
          <w:rFonts w:ascii="仿宋_GB2312" w:eastAsia="仿宋_GB2312"/>
          <w:color w:val="auto"/>
          <w:spacing w:val="-2"/>
          <w:kern w:val="2"/>
          <w:sz w:val="32"/>
          <w:szCs w:val="32"/>
          <w:lang w:val="en-US" w:eastAsia="zh-CN" w:bidi="ar-SA"/>
        </w:rPr>
      </w:pPr>
      <w:r>
        <w:rPr>
          <w:rFonts w:ascii="仿宋_GB2312" w:eastAsia="仿宋_GB2312" w:hint="eastAsia"/>
          <w:color w:val="000000"/>
          <w:spacing w:val="-2"/>
          <w:kern w:val="2"/>
          <w:sz w:val="32"/>
          <w:szCs w:val="32"/>
          <w:lang w:val="en-US" w:eastAsia="zh-CN" w:bidi="ar-SA"/>
        </w:rPr>
        <w:t>2022年度总收入1225.72万元，较上年收入增加452.45万元，增加58%。增加的主要原因是增加的主要原因是2022年我乡人员工资增资及项目增加。</w:t>
      </w:r>
      <w:r>
        <w:rPr>
          <w:rFonts w:ascii="仿宋_GB2312" w:eastAsia="仿宋_GB2312" w:hint="eastAsia"/>
          <w:color w:val="auto"/>
          <w:spacing w:val="-2"/>
          <w:kern w:val="2"/>
          <w:sz w:val="32"/>
          <w:szCs w:val="32"/>
          <w:lang w:val="en-US" w:eastAsia="zh-CN" w:bidi="ar-SA"/>
        </w:rPr>
        <w:t>2022年总支出</w:t>
      </w:r>
      <w:r>
        <w:rPr>
          <w:rFonts w:ascii="仿宋_GB2312" w:eastAsia="仿宋_GB2312" w:hint="eastAsia"/>
          <w:color w:val="000000"/>
          <w:spacing w:val="-2"/>
          <w:kern w:val="2"/>
          <w:sz w:val="32"/>
          <w:szCs w:val="32"/>
          <w:lang w:val="en-US" w:eastAsia="zh-CN" w:bidi="ar-SA"/>
        </w:rPr>
        <w:t>1225.72</w:t>
      </w:r>
      <w:r>
        <w:rPr>
          <w:rFonts w:ascii="仿宋_GB2312" w:eastAsia="仿宋_GB2312" w:hint="eastAsia"/>
          <w:color w:val="auto"/>
          <w:spacing w:val="-2"/>
          <w:kern w:val="2"/>
          <w:sz w:val="32"/>
          <w:szCs w:val="32"/>
          <w:lang w:val="en-US" w:eastAsia="zh-CN" w:bidi="ar-SA"/>
        </w:rPr>
        <w:t>万元，较上年支出增加</w:t>
      </w:r>
      <w:r>
        <w:rPr>
          <w:rFonts w:ascii="仿宋_GB2312" w:eastAsia="仿宋_GB2312" w:hint="eastAsia"/>
          <w:color w:val="000000"/>
          <w:spacing w:val="-2"/>
          <w:kern w:val="2"/>
          <w:sz w:val="32"/>
          <w:szCs w:val="32"/>
          <w:lang w:val="en-US" w:eastAsia="zh-CN" w:bidi="ar-SA"/>
        </w:rPr>
        <w:t>452.45</w:t>
      </w:r>
      <w:r>
        <w:rPr>
          <w:rFonts w:ascii="仿宋_GB2312" w:eastAsia="仿宋_GB2312" w:hint="eastAsia"/>
          <w:color w:val="auto"/>
          <w:spacing w:val="-2"/>
          <w:kern w:val="2"/>
          <w:sz w:val="32"/>
          <w:szCs w:val="32"/>
          <w:lang w:val="en-US" w:eastAsia="zh-CN" w:bidi="ar-SA"/>
        </w:rPr>
        <w:t>万元，增加58%</w:t>
      </w:r>
      <w:r>
        <w:rPr>
          <w:rFonts w:ascii="仿宋_GB2312" w:eastAsia="仿宋_GB2312" w:hint="eastAsia"/>
          <w:color w:val="000000"/>
          <w:spacing w:val="-2"/>
          <w:kern w:val="2"/>
          <w:sz w:val="32"/>
          <w:szCs w:val="32"/>
          <w:lang w:val="en-US" w:eastAsia="zh-CN" w:bidi="ar-SA"/>
        </w:rPr>
        <w:t>增加的主要原因是增加的主要原因是2022年我乡人员工资增资及项目增加。</w:t>
      </w:r>
    </w:p>
    <w:p>
      <w:pPr>
        <w:snapToGrid w:val="0"/>
        <w:spacing w:line="520" w:lineRule="exact"/>
        <w:rPr>
          <w:rFonts w:ascii="黑体" w:eastAsia="黑体" w:cs="Times New Roman" w:hint="eastAsia"/>
          <w:color w:val="000000"/>
          <w:kern w:val="2"/>
          <w:sz w:val="32"/>
          <w:szCs w:val="32"/>
          <w:lang w:val="en-US" w:eastAsia="zh-CN" w:bidi="ar-SA"/>
        </w:rPr>
      </w:pPr>
      <w:bookmarkStart w:id="27" w:name="_Toc15377206"/>
      <w:bookmarkStart w:id="28" w:name="_Toc15396604"/>
    </w:p>
    <w:p>
      <w:pPr>
        <w:snapToGrid w:val="0"/>
        <w:spacing w:line="520" w:lineRule="exact"/>
        <w:ind w:firstLineChars="200" w:firstLine="640"/>
        <w:rPr>
          <w:rFonts w:ascii="黑体" w:eastAsia="黑体" w:cs="Times New Roman" w:hint="eastAsia"/>
          <w:color w:val="000000"/>
          <w:kern w:val="2"/>
          <w:sz w:val="32"/>
          <w:szCs w:val="32"/>
          <w:lang w:val="en-US" w:eastAsia="zh-CN" w:bidi="ar-SA"/>
        </w:rPr>
      </w:pPr>
    </w:p>
    <w:p>
      <w:pPr>
        <w:snapToGrid w:val="0"/>
        <w:spacing w:line="520" w:lineRule="exact"/>
        <w:ind w:firstLineChars="200" w:firstLine="640"/>
        <w:rPr>
          <w:rFonts w:ascii="黑体" w:eastAsia="黑体" w:cs="Times New Roman" w:hint="eastAsia"/>
          <w:color w:val="000000"/>
          <w:kern w:val="2"/>
          <w:sz w:val="32"/>
          <w:szCs w:val="32"/>
          <w:lang w:val="en-US" w:eastAsia="zh-CN" w:bidi="ar-SA"/>
        </w:rPr>
      </w:pPr>
    </w:p>
    <w:p>
      <w:pPr>
        <w:snapToGrid w:val="0"/>
        <w:spacing w:line="520" w:lineRule="exact"/>
        <w:ind w:firstLineChars="200" w:firstLine="640"/>
        <w:rPr>
          <w:rFonts w:ascii="黑体" w:eastAsia="黑体" w:cs="Times New Roman" w:hint="eastAsia"/>
          <w:color w:val="000000"/>
          <w:kern w:val="2"/>
          <w:sz w:val="32"/>
          <w:szCs w:val="32"/>
          <w:lang w:val="en-US" w:eastAsia="zh-CN" w:bidi="ar-SA"/>
        </w:rPr>
      </w:pPr>
    </w:p>
    <w:p>
      <w:pPr>
        <w:pStyle w:val="26"/>
        <w:rPr>
          <w:rFonts w:ascii="黑体" w:eastAsia="黑体" w:cs="Times New Roman" w:hint="eastAsia"/>
          <w:color w:val="000000"/>
          <w:kern w:val="2"/>
          <w:sz w:val="32"/>
          <w:szCs w:val="32"/>
          <w:lang w:val="en-US" w:eastAsia="zh-CN" w:bidi="ar-SA"/>
        </w:rPr>
      </w:pPr>
      <w:r>
        <w:drawing>
          <wp:inline distT="0" distB="0" distL="114300" distR="114300">
            <wp:extent cx="4381500" cy="2819400"/>
            <wp:effectExtent l="0" t="0" r="0" b="0"/>
            <wp:docPr id="1" name="图表 7"/>
            <wp:cNvGraphicFramePr>
              <a:graphicFrameLocks noChangeAspect="0"/>
            </wp:cNvGraphicFramePr>
            <a:graphic>
              <a:graphicData uri="http://schemas.openxmlformats.org/drawingml/2006/chart">
                <c:chart xmlns:c="http://schemas.openxmlformats.org/drawingml/2006/chart" r:id="rId4"/>
              </a:graphicData>
            </a:graphic>
          </wp:inline>
        </w:drawing>
      </w:r>
    </w:p>
    <w:p>
      <w:pPr>
        <w:rPr>
          <w:rFonts w:ascii="黑体" w:eastAsia="黑体" w:cs="Times New Roman" w:hint="eastAsia"/>
          <w:color w:val="000000"/>
          <w:kern w:val="2"/>
          <w:sz w:val="32"/>
          <w:szCs w:val="32"/>
          <w:lang w:val="en-US" w:eastAsia="zh-CN" w:bidi="ar-SA"/>
        </w:rPr>
      </w:pPr>
    </w:p>
    <w:p>
      <w:pPr>
        <w:pStyle w:val="26"/>
        <w:rPr>
          <w:rFonts w:hint="eastAsia"/>
          <w:lang w:val="en-US" w:eastAsia="zh-CN"/>
        </w:rPr>
      </w:pPr>
    </w:p>
    <w:p>
      <w:pPr>
        <w:snapToGrid w:val="0"/>
        <w:spacing w:line="520" w:lineRule="exact"/>
        <w:ind w:firstLineChars="200" w:firstLine="640"/>
        <w:rPr>
          <w:rFonts w:ascii="黑体" w:eastAsia="黑体" w:cs="Times New Roman" w:hint="eastAsia"/>
          <w:color w:val="000000"/>
          <w:kern w:val="2"/>
          <w:sz w:val="32"/>
          <w:szCs w:val="32"/>
          <w:lang w:val="en-US" w:eastAsia="zh-CN" w:bidi="ar-SA"/>
        </w:rPr>
      </w:pPr>
    </w:p>
    <w:p>
      <w:pPr>
        <w:pStyle w:val="26"/>
        <w:rPr>
          <w:rFonts w:ascii="黑体" w:eastAsia="黑体" w:cs="Times New Roman" w:hint="eastAsia"/>
          <w:color w:val="000000"/>
          <w:kern w:val="2"/>
          <w:sz w:val="32"/>
          <w:szCs w:val="32"/>
          <w:lang w:val="en-US" w:eastAsia="zh-CN" w:bidi="ar-SA"/>
        </w:rPr>
      </w:pPr>
    </w:p>
    <w:p>
      <w:pPr>
        <w:rPr>
          <w:rFonts w:ascii="黑体" w:eastAsia="黑体" w:cs="Times New Roman" w:hint="eastAsia"/>
          <w:color w:val="000000"/>
          <w:kern w:val="2"/>
          <w:sz w:val="32"/>
          <w:szCs w:val="32"/>
          <w:lang w:val="en-US" w:eastAsia="zh-CN" w:bidi="ar-SA"/>
        </w:rPr>
      </w:pPr>
    </w:p>
    <w:p>
      <w:pPr>
        <w:pStyle w:val="26"/>
        <w:rPr>
          <w:rFonts w:hint="eastAsia"/>
          <w:lang w:val="en-US" w:eastAsia="zh-CN"/>
        </w:rPr>
      </w:pPr>
    </w:p>
    <w:p>
      <w:pPr>
        <w:numPr>
          <w:ilvl w:val="0"/>
          <w:numId w:val="2"/>
        </w:numPr>
        <w:snapToGrid w:val="0"/>
        <w:spacing w:line="520" w:lineRule="exact"/>
        <w:ind w:left="0" w:firstLine="0"/>
        <w:rPr>
          <w:rStyle w:val="2Char"/>
          <w:rFonts w:ascii="黑体" w:eastAsia="黑体" w:hint="eastAsia"/>
          <w:b w:val="0"/>
        </w:rPr>
      </w:pPr>
      <w:r>
        <w:rPr>
          <w:rFonts w:ascii="黑体" w:eastAsia="黑体" w:cs="Times New Roman" w:hint="eastAsia"/>
          <w:color w:val="000000"/>
          <w:kern w:val="2"/>
          <w:sz w:val="32"/>
          <w:szCs w:val="32"/>
          <w:lang w:val="en-US" w:eastAsia="zh-CN" w:bidi="ar-SA"/>
        </w:rPr>
        <w:t>收入决</w:t>
      </w:r>
      <w:r>
        <w:rPr>
          <w:rStyle w:val="2Char"/>
          <w:rFonts w:ascii="黑体" w:eastAsia="黑体" w:hint="eastAsia"/>
          <w:b w:val="0"/>
        </w:rPr>
        <w:t>算情况说明</w:t>
      </w:r>
    </w:p>
    <w:p>
      <w:pPr>
        <w:spacing w:line="600" w:lineRule="exact"/>
        <w:ind w:firstLineChars="200" w:firstLine="640"/>
        <w:outlineLvl w:val="1"/>
        <w:rPr>
          <w:rFonts w:ascii="仿宋" w:eastAsia="仿宋" w:hint="eastAsia"/>
          <w:color w:val="000000"/>
          <w:sz w:val="32"/>
          <w:szCs w:val="32"/>
          <w:lang w:val="en-US" w:eastAsia="zh-CN"/>
        </w:rPr>
      </w:pPr>
      <w:bookmarkEnd w:id="27"/>
      <w:bookmarkEnd w:id="28"/>
      <w:r>
        <w:rPr>
          <w:rFonts w:ascii="黑体" w:eastAsia="黑体" w:cs="Times New Roman" w:hint="eastAsia"/>
          <w:color w:val="000000"/>
          <w:kern w:val="2"/>
          <w:sz w:val="32"/>
          <w:szCs w:val="32"/>
          <w:lang w:val="en-US" w:eastAsia="zh-CN" w:bidi="ar-SA"/>
        </w:rPr>
        <w:drawing>
          <wp:anchor distT="0" distB="0" distL="114300" distR="114300" simplePos="0" relativeHeight="19" behindDoc="0" locked="0" layoutInCell="1" hidden="0" allowOverlap="1">
            <wp:simplePos x="0" y="0"/>
            <wp:positionH relativeFrom="column">
              <wp:posOffset>614044</wp:posOffset>
            </wp:positionH>
            <wp:positionV relativeFrom="paragraph">
              <wp:posOffset>2265045</wp:posOffset>
            </wp:positionV>
            <wp:extent cx="3587750" cy="1697355"/>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 w:eastAsia="仿宋" w:hint="eastAsia"/>
          <w:color w:val="000000"/>
          <w:sz w:val="32"/>
          <w:szCs w:val="32"/>
          <w:lang w:val="en-US" w:eastAsia="zh-CN"/>
        </w:rPr>
        <w:t>总</w:t>
      </w:r>
      <w:r>
        <w:rPr>
          <w:rFonts w:ascii="仿宋" w:eastAsia="仿宋" w:hint="eastAsia"/>
          <w:color w:val="000000"/>
          <w:sz w:val="32"/>
          <w:szCs w:val="32"/>
        </w:rPr>
        <w:t>收入</w:t>
      </w:r>
      <w:r>
        <w:rPr>
          <w:rFonts w:ascii="仿宋_GB2312" w:eastAsia="仿宋_GB2312" w:hint="eastAsia"/>
          <w:color w:val="000000"/>
          <w:spacing w:val="-2"/>
          <w:kern w:val="2"/>
          <w:sz w:val="32"/>
          <w:szCs w:val="32"/>
          <w:lang w:val="en-US" w:eastAsia="zh-CN" w:bidi="ar-SA"/>
        </w:rPr>
        <w:t>1225.72</w:t>
      </w:r>
      <w:r>
        <w:rPr>
          <w:rFonts w:ascii="仿宋" w:eastAsia="仿宋" w:hint="eastAsia"/>
          <w:color w:val="000000"/>
          <w:sz w:val="32"/>
          <w:szCs w:val="32"/>
        </w:rPr>
        <w:t>万元，其中：一般公共预算财政拨款收入</w:t>
      </w:r>
      <w:r>
        <w:rPr>
          <w:rFonts w:ascii="仿宋_GB2312" w:eastAsia="仿宋_GB2312" w:hint="eastAsia"/>
          <w:color w:val="000000"/>
          <w:spacing w:val="-2"/>
          <w:kern w:val="2"/>
          <w:sz w:val="32"/>
          <w:szCs w:val="32"/>
          <w:lang w:val="en-US" w:eastAsia="zh-CN" w:bidi="ar-SA"/>
        </w:rPr>
        <w:t>1225.72</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；事业收入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；经营收入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；附属单位上缴收入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p>
    <w:p>
      <w:pPr>
        <w:spacing w:line="600" w:lineRule="exact"/>
        <w:ind w:firstLineChars="200" w:firstLine="640"/>
        <w:outlineLvl w:val="1"/>
        <w:rPr>
          <w:rStyle w:val="2Char"/>
          <w:rFonts w:ascii="黑体" w:eastAsia="黑体"/>
          <w:b w:val="0"/>
        </w:rPr>
      </w:pPr>
      <w:bookmarkStart w:id="29" w:name="_Toc15396605"/>
      <w:bookmarkStart w:id="30" w:name="_Toc15377207"/>
      <w:r>
        <w:rPr>
          <w:rFonts w:ascii="黑体" w:eastAsia="黑体" w:cs="Times New Roman" w:hint="eastAsia"/>
          <w:color w:val="000000"/>
          <w:kern w:val="2"/>
          <w:sz w:val="32"/>
          <w:szCs w:val="32"/>
          <w:lang w:val="en-US" w:eastAsia="zh-CN" w:bidi="ar-SA"/>
        </w:rPr>
        <w:t>三、支出决</w:t>
      </w:r>
      <w:r>
        <w:rPr>
          <w:rStyle w:val="2Char"/>
          <w:rFonts w:ascii="黑体" w:eastAsia="黑体" w:hint="eastAsia"/>
          <w:b w:val="0"/>
        </w:rPr>
        <w:t>算情况说明</w:t>
      </w:r>
      <w:bookmarkEnd w:id="29"/>
      <w:bookmarkEnd w:id="30"/>
    </w:p>
    <w:p>
      <w:pPr>
        <w:spacing w:line="600" w:lineRule="exact"/>
        <w:ind w:firstLine="640"/>
        <w:rPr>
          <w:rFonts w:ascii="仿宋_GB2312" w:eastAsia="仿宋_GB2312" w:hint="eastAsia"/>
          <w:color w:val="FF0000"/>
          <w:sz w:val="32"/>
          <w:szCs w:val="32"/>
          <w:lang w:eastAsia="zh-CN"/>
        </w:rPr>
      </w:pPr>
      <w:r>
        <w:rPr>
          <w:rFonts w:ascii="仿宋" w:eastAsia="仿宋" w:hint="eastAsia"/>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_GB2312" w:eastAsia="仿宋_GB2312" w:hint="eastAsia"/>
          <w:color w:val="000000"/>
          <w:spacing w:val="-2"/>
          <w:kern w:val="2"/>
          <w:sz w:val="32"/>
          <w:szCs w:val="32"/>
          <w:lang w:val="en-US" w:eastAsia="zh-CN" w:bidi="ar-SA"/>
        </w:rPr>
        <w:t>1225.72</w:t>
      </w:r>
      <w:r>
        <w:rPr>
          <w:rFonts w:ascii="仿宋" w:eastAsia="仿宋" w:hint="eastAsia"/>
          <w:color w:val="000000"/>
          <w:sz w:val="32"/>
          <w:szCs w:val="32"/>
        </w:rPr>
        <w:t>万元，其中：基本支出</w:t>
      </w:r>
      <w:r>
        <w:rPr>
          <w:rFonts w:ascii="仿宋" w:eastAsia="仿宋" w:hint="eastAsia"/>
          <w:color w:val="000000"/>
          <w:sz w:val="32"/>
          <w:szCs w:val="32"/>
          <w:lang w:val="en-US" w:eastAsia="zh-CN"/>
        </w:rPr>
        <w:t>723.29</w:t>
      </w:r>
      <w:r>
        <w:rPr>
          <w:rFonts w:ascii="仿宋" w:eastAsia="仿宋" w:hint="eastAsia"/>
          <w:color w:val="000000"/>
          <w:sz w:val="32"/>
          <w:szCs w:val="32"/>
        </w:rPr>
        <w:t>万元，占</w:t>
      </w:r>
      <w:r>
        <w:rPr>
          <w:rFonts w:ascii="仿宋" w:eastAsia="仿宋" w:hint="eastAsia"/>
          <w:color w:val="000000"/>
          <w:sz w:val="32"/>
          <w:szCs w:val="32"/>
          <w:lang w:val="en-US" w:eastAsia="zh-CN"/>
        </w:rPr>
        <w:t>59</w:t>
      </w:r>
      <w:r>
        <w:rPr>
          <w:rFonts w:ascii="仿宋" w:eastAsia="仿宋" w:hint="eastAsia"/>
          <w:color w:val="000000"/>
          <w:sz w:val="32"/>
          <w:szCs w:val="32"/>
        </w:rPr>
        <w:t>%；项目支出</w:t>
      </w:r>
      <w:r>
        <w:rPr>
          <w:rFonts w:ascii="仿宋_GB2312" w:eastAsia="仿宋_GB2312" w:hint="eastAsia"/>
          <w:sz w:val="32"/>
          <w:szCs w:val="32"/>
          <w:lang w:val="en-US" w:eastAsia="zh-CN"/>
        </w:rPr>
        <w:t>502.43</w:t>
      </w:r>
      <w:r>
        <w:rPr>
          <w:rFonts w:ascii="仿宋" w:eastAsia="仿宋" w:hint="eastAsia"/>
          <w:color w:val="000000"/>
          <w:sz w:val="32"/>
          <w:szCs w:val="32"/>
        </w:rPr>
        <w:t>万元，占</w:t>
      </w:r>
      <w:r>
        <w:rPr>
          <w:rFonts w:ascii="仿宋" w:eastAsia="仿宋" w:hint="eastAsia"/>
          <w:color w:val="000000"/>
          <w:sz w:val="32"/>
          <w:szCs w:val="32"/>
          <w:lang w:val="en-US" w:eastAsia="zh-CN"/>
        </w:rPr>
        <w:t>41</w:t>
      </w:r>
      <w:r>
        <w:rPr>
          <w:rFonts w:ascii="仿宋" w:eastAsia="仿宋" w:hint="eastAsia"/>
          <w:color w:val="000000"/>
          <w:sz w:val="32"/>
          <w:szCs w:val="32"/>
        </w:rPr>
        <w:t>%；上缴上级支出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%；经营支出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51</w:t>
      </w:r>
      <w:r>
        <w:rPr>
          <w:rFonts w:ascii="仿宋" w:eastAsia="仿宋"/>
          <w:color w:val="000000"/>
          <w:sz w:val="32"/>
          <w:szCs w:val="32"/>
        </w:rPr>
        <w:t>%</w:t>
      </w:r>
      <w:r>
        <w:rPr>
          <w:rFonts w:ascii="仿宋" w:eastAsia="仿宋" w:hint="eastAsia"/>
          <w:color w:val="000000"/>
          <w:sz w:val="32"/>
          <w:szCs w:val="32"/>
        </w:rPr>
        <w:t>；对附属单位补助支出</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w:t>
      </w:r>
    </w:p>
    <w:p>
      <w:pPr>
        <w:spacing w:line="600" w:lineRule="exact"/>
        <w:ind w:firstLineChars="200" w:firstLine="640"/>
        <w:outlineLvl w:val="1"/>
        <w:rPr>
          <w:rStyle w:val="2Char"/>
          <w:rFonts w:ascii="黑体" w:eastAsia="黑体"/>
          <w:b w:val="0"/>
        </w:rPr>
      </w:pPr>
      <w:bookmarkStart w:id="31" w:name="_Toc15396606"/>
      <w:bookmarkStart w:id="32" w:name="_Toc15377208"/>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1"/>
      <w:bookmarkEnd w:id="32"/>
    </w:p>
    <w:p>
      <w:pPr>
        <w:snapToGrid w:val="0"/>
        <w:spacing w:line="520" w:lineRule="exact"/>
        <w:ind w:firstLineChars="200" w:firstLine="640"/>
        <w:rPr>
          <w:rFonts w:ascii="仿宋_GB2312" w:eastAsia="仿宋_GB2312" w:hint="eastAsia"/>
          <w:color w:val="000000"/>
          <w:spacing w:val="-2"/>
          <w:kern w:val="2"/>
          <w:sz w:val="32"/>
          <w:szCs w:val="32"/>
          <w:lang w:val="en-US" w:eastAsia="zh-CN" w:bidi="ar-SA"/>
        </w:rPr>
      </w:pPr>
      <w:r>
        <w:rPr>
          <w:rFonts w:ascii="仿宋" w:eastAsia="仿宋" w:hint="eastAsia"/>
          <w:color w:val="000000"/>
          <w:sz w:val="32"/>
          <w:szCs w:val="32"/>
          <w:lang w:val="en-US" w:eastAsia="zh-CN"/>
        </w:rPr>
        <w:t>2022年财政拨款收入</w:t>
      </w:r>
      <w:r>
        <w:rPr>
          <w:rFonts w:ascii="仿宋_GB2312" w:eastAsia="仿宋_GB2312" w:hint="eastAsia"/>
          <w:color w:val="000000"/>
          <w:spacing w:val="-2"/>
          <w:kern w:val="2"/>
          <w:sz w:val="32"/>
          <w:szCs w:val="32"/>
          <w:lang w:val="en-US" w:eastAsia="zh-CN" w:bidi="ar-SA"/>
        </w:rPr>
        <w:t>1225.72</w:t>
      </w:r>
      <w:r>
        <w:rPr>
          <w:rFonts w:ascii="仿宋" w:eastAsia="仿宋" w:hint="eastAsia"/>
          <w:color w:val="000000"/>
          <w:sz w:val="32"/>
          <w:szCs w:val="32"/>
          <w:lang w:val="en-US" w:eastAsia="zh-CN"/>
        </w:rPr>
        <w:t>万元。</w:t>
      </w:r>
      <w:r>
        <w:rPr>
          <w:rFonts w:ascii="仿宋_GB2312" w:eastAsia="仿宋_GB2312" w:hint="eastAsia"/>
          <w:color w:val="000000"/>
          <w:spacing w:val="-2"/>
          <w:kern w:val="2"/>
          <w:sz w:val="32"/>
          <w:szCs w:val="32"/>
          <w:lang w:val="en-US" w:eastAsia="zh-CN" w:bidi="ar-SA"/>
        </w:rPr>
        <w:t>较上年收入增加452.45万元，增加58%。增加的主要原因是增加的主要原因是2022年我乡人员工资增资及项目增加。</w:t>
      </w:r>
    </w:p>
    <w:p>
      <w:pPr>
        <w:snapToGrid w:val="0"/>
        <w:spacing w:line="520" w:lineRule="exact"/>
        <w:ind w:firstLineChars="200" w:firstLine="632"/>
        <w:rPr>
          <w:rFonts w:ascii="仿宋_GB2312" w:eastAsia="仿宋_GB2312" w:hint="eastAsia"/>
          <w:color w:val="000000"/>
          <w:spacing w:val="-2"/>
          <w:kern w:val="2"/>
          <w:sz w:val="32"/>
          <w:szCs w:val="32"/>
          <w:lang w:val="en-US" w:eastAsia="zh-CN" w:bidi="ar-SA"/>
        </w:rPr>
      </w:pPr>
    </w:p>
    <w:p>
      <w:pPr>
        <w:snapToGrid w:val="0"/>
        <w:spacing w:line="520" w:lineRule="exact"/>
        <w:ind w:firstLineChars="200" w:firstLine="640"/>
        <w:rPr>
          <w:rFonts w:ascii="仿宋_GB2312" w:eastAsia="仿宋_GB2312" w:hint="eastAsia"/>
          <w:color w:val="000000"/>
          <w:spacing w:val="-2"/>
          <w:kern w:val="2"/>
          <w:sz w:val="32"/>
          <w:szCs w:val="32"/>
          <w:lang w:val="en-US" w:eastAsia="zh-CN" w:bidi="ar-SA"/>
        </w:rPr>
      </w:pPr>
      <w:r>
        <w:rPr>
          <w:rFonts w:ascii="仿宋" w:eastAsia="仿宋" w:hint="eastAsia"/>
          <w:color w:val="000000"/>
          <w:sz w:val="32"/>
          <w:szCs w:val="32"/>
        </w:rPr>
        <w:drawing>
          <wp:anchor distT="0" distB="0" distL="114300" distR="114300" simplePos="0" relativeHeight="21" behindDoc="0" locked="0" layoutInCell="1" hidden="0" allowOverlap="1">
            <wp:simplePos x="0" y="0"/>
            <wp:positionH relativeFrom="column">
              <wp:posOffset>480060</wp:posOffset>
            </wp:positionH>
            <wp:positionV relativeFrom="paragraph">
              <wp:posOffset>102870</wp:posOffset>
            </wp:positionV>
            <wp:extent cx="4036695" cy="2310764"/>
            <wp:effectExtent l="0" t="0" r="0" b="0"/>
            <wp:wrapTopAndBottom/>
            <wp:docPr id="3" name="图表 7"/>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rPr>
          <w:rStyle w:val="2Char"/>
          <w:rFonts w:ascii="黑体" w:eastAsia="黑体"/>
          <w:b w:val="0"/>
        </w:rPr>
      </w:pPr>
      <w:bookmarkStart w:id="33" w:name="_Toc15396607"/>
      <w:bookmarkStart w:id="34"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3"/>
      <w:bookmarkEnd w:id="34"/>
    </w:p>
    <w:p>
      <w:pPr>
        <w:spacing w:line="600" w:lineRule="exact"/>
        <w:ind w:firstLineChars="200" w:firstLine="640"/>
        <w:outlineLvl w:val="2"/>
        <w:rPr>
          <w:rFonts w:ascii="仿宋" w:eastAsia="仿宋"/>
          <w:b/>
          <w:color w:val="000000"/>
          <w:sz w:val="32"/>
          <w:szCs w:val="32"/>
        </w:rPr>
      </w:pPr>
      <w:bookmarkStart w:id="35" w:name="_Toc15377210"/>
      <w:r>
        <w:rPr>
          <w:rFonts w:ascii="仿宋" w:eastAsia="仿宋" w:hint="eastAsia"/>
          <w:b/>
          <w:color w:val="000000"/>
          <w:sz w:val="32"/>
          <w:szCs w:val="32"/>
        </w:rPr>
        <w:t>（一）一般公共预算财政拨款支出决算总体情况</w:t>
      </w:r>
      <w:bookmarkEnd w:id="35"/>
    </w:p>
    <w:p>
      <w:pPr>
        <w:snapToGrid w:val="0"/>
        <w:spacing w:line="520" w:lineRule="exact"/>
        <w:ind w:firstLineChars="200" w:firstLine="640"/>
        <w:rPr>
          <w:rFonts w:ascii="仿宋_GB2312" w:eastAsia="仿宋_GB2312" w:hint="eastAsia"/>
          <w:color w:val="000000"/>
          <w:spacing w:val="-2"/>
          <w:kern w:val="2"/>
          <w:sz w:val="32"/>
          <w:szCs w:val="32"/>
          <w:lang w:val="en-US" w:eastAsia="zh-CN" w:bidi="ar-SA"/>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w:t>
      </w:r>
      <w:r>
        <w:rPr>
          <w:rFonts w:ascii="仿宋_GB2312" w:eastAsia="仿宋_GB2312" w:hint="eastAsia"/>
          <w:spacing w:val="-2"/>
          <w:kern w:val="2"/>
          <w:sz w:val="32"/>
          <w:szCs w:val="32"/>
          <w:lang w:val="en-US" w:eastAsia="zh-CN" w:bidi="ar-SA"/>
        </w:rPr>
        <w:t>一般公共预算财政拨款支出</w:t>
      </w:r>
      <w:r>
        <w:rPr>
          <w:rFonts w:ascii="仿宋_GB2312" w:eastAsia="仿宋_GB2312" w:hint="eastAsia"/>
          <w:color w:val="000000"/>
          <w:spacing w:val="-2"/>
          <w:kern w:val="2"/>
          <w:sz w:val="32"/>
          <w:szCs w:val="32"/>
          <w:lang w:val="en-US" w:eastAsia="zh-CN" w:bidi="ar-SA"/>
        </w:rPr>
        <w:t>1225.72</w:t>
      </w:r>
      <w:r>
        <w:rPr>
          <w:rFonts w:ascii="仿宋_GB2312" w:eastAsia="仿宋_GB2312" w:hint="eastAsia"/>
          <w:spacing w:val="-2"/>
          <w:kern w:val="2"/>
          <w:sz w:val="32"/>
          <w:szCs w:val="32"/>
          <w:lang w:val="en-US" w:eastAsia="zh-CN" w:bidi="ar-SA"/>
        </w:rPr>
        <w:t>万元，</w:t>
      </w:r>
      <w:r>
        <w:rPr>
          <w:rFonts w:ascii="仿宋" w:eastAsia="仿宋" w:hint="eastAsia"/>
          <w:color w:val="000000"/>
          <w:sz w:val="32"/>
          <w:szCs w:val="32"/>
        </w:rPr>
        <w:t>占本年</w:t>
      </w:r>
      <w:r>
        <w:rPr>
          <w:rFonts w:ascii="仿宋" w:eastAsia="仿宋" w:hint="eastAsia"/>
          <w:color w:val="000000"/>
          <w:sz w:val="32"/>
          <w:szCs w:val="32"/>
          <w:lang w:val="en-US" w:eastAsia="zh-CN"/>
        </w:rPr>
        <w:t>总</w:t>
      </w:r>
      <w:r>
        <w:rPr>
          <w:rFonts w:ascii="仿宋" w:eastAsia="仿宋" w:hint="eastAsia"/>
          <w:color w:val="000000"/>
          <w:sz w:val="32"/>
          <w:szCs w:val="32"/>
        </w:rPr>
        <w:t>支出</w:t>
      </w:r>
      <w:r>
        <w:rPr>
          <w:rFonts w:ascii="仿宋" w:eastAsia="仿宋" w:hint="eastAsia"/>
          <w:color w:val="000000"/>
          <w:sz w:val="32"/>
          <w:szCs w:val="32"/>
          <w:lang w:val="en-US" w:eastAsia="zh-CN"/>
        </w:rPr>
        <w:t>的100</w:t>
      </w:r>
      <w:r>
        <w:rPr>
          <w:rFonts w:ascii="仿宋" w:eastAsia="仿宋"/>
          <w:color w:val="000000"/>
          <w:sz w:val="32"/>
          <w:szCs w:val="32"/>
        </w:rPr>
        <w:t>%</w:t>
      </w:r>
      <w:r>
        <w:rPr>
          <w:rFonts w:ascii="仿宋" w:eastAsia="仿宋" w:hint="eastAsia"/>
          <w:color w:val="000000"/>
          <w:sz w:val="32"/>
          <w:szCs w:val="32"/>
          <w:lang w:eastAsia="zh-CN"/>
        </w:rPr>
        <w:t>。</w:t>
      </w:r>
      <w:r>
        <w:rPr>
          <w:rFonts w:ascii="仿宋_GB2312" w:eastAsia="仿宋_GB2312" w:hint="eastAsia"/>
          <w:color w:val="000000"/>
          <w:spacing w:val="-2"/>
          <w:kern w:val="2"/>
          <w:sz w:val="32"/>
          <w:szCs w:val="32"/>
          <w:lang w:val="en-US" w:eastAsia="zh-CN" w:bidi="ar-SA"/>
        </w:rPr>
        <w:t>较上年收入增加452.45万元，增加58%。增加的主要原因是增加的主要原因是2022年我乡人员工资增资及项目增加。</w:t>
      </w: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3"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4" name="图表 8"/>
            <wp:cNvGraphicFramePr>
              <a:graphicFrameLocks noChangeAspect="0"/>
            </wp:cNvGraphicFramePr>
            <a:graphic>
              <a:graphicData uri="http://schemas.openxmlformats.org/drawingml/2006/chart">
                <c:chart xmlns:c="http://schemas.openxmlformats.org/drawingml/2006/chart" r:id="rId7"/>
              </a:graphicData>
            </a:graphic>
          </wp:anchor>
        </w:drawing>
      </w:r>
      <w:bookmarkStart w:id="36" w:name="_Toc15377211"/>
      <w:r>
        <w:rPr>
          <w:rFonts w:ascii="仿宋" w:eastAsia="仿宋" w:hint="eastAsia"/>
          <w:b/>
          <w:color w:val="000000"/>
          <w:sz w:val="32"/>
          <w:szCs w:val="32"/>
        </w:rPr>
        <w:t>（二）一般公共预算财政拨款支出决算结构情况</w:t>
      </w:r>
      <w:bookmarkEnd w:id="36"/>
    </w:p>
    <w:p>
      <w:pPr>
        <w:spacing w:line="600" w:lineRule="exact"/>
        <w:ind w:firstLine="640"/>
        <w:rPr>
          <w:rFonts w:ascii="仿宋" w:eastAsia="仿宋"/>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年一般公共预算财政拨款支出</w:t>
      </w:r>
      <w:r>
        <w:rPr>
          <w:rFonts w:ascii="仿宋_GB2312" w:eastAsia="仿宋_GB2312" w:hint="eastAsia"/>
          <w:color w:val="000000"/>
          <w:spacing w:val="-2"/>
          <w:kern w:val="2"/>
          <w:sz w:val="32"/>
          <w:szCs w:val="32"/>
          <w:lang w:val="en-US" w:eastAsia="zh-CN" w:bidi="ar-SA"/>
        </w:rPr>
        <w:t>1225.72</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一般公共服务（类）</w:t>
      </w:r>
      <w:r>
        <w:rPr>
          <w:rFonts w:ascii="仿宋" w:eastAsia="仿宋" w:hint="eastAsia"/>
          <w:color w:val="000000"/>
          <w:sz w:val="32"/>
          <w:szCs w:val="32"/>
        </w:rPr>
        <w:t>支出</w:t>
      </w:r>
      <w:r>
        <w:rPr>
          <w:rFonts w:ascii="仿宋" w:eastAsia="仿宋" w:hint="eastAsia"/>
          <w:color w:val="000000"/>
          <w:sz w:val="32"/>
          <w:szCs w:val="32"/>
          <w:lang w:val="en-US" w:eastAsia="zh-CN"/>
        </w:rPr>
        <w:t>358.43</w:t>
      </w:r>
      <w:r>
        <w:rPr>
          <w:rFonts w:ascii="仿宋" w:eastAsia="仿宋" w:hint="eastAsia"/>
          <w:color w:val="000000"/>
          <w:sz w:val="32"/>
          <w:szCs w:val="32"/>
        </w:rPr>
        <w:t>万元，占</w:t>
      </w:r>
      <w:r>
        <w:rPr>
          <w:rFonts w:ascii="仿宋" w:eastAsia="仿宋" w:hint="eastAsia"/>
          <w:color w:val="000000"/>
          <w:sz w:val="32"/>
          <w:szCs w:val="32"/>
          <w:lang w:val="en-US" w:eastAsia="zh-CN"/>
        </w:rPr>
        <w:t>29</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84.39</w:t>
      </w:r>
      <w:r>
        <w:rPr>
          <w:rFonts w:ascii="仿宋" w:eastAsia="仿宋" w:hint="eastAsia"/>
          <w:color w:val="000000"/>
          <w:sz w:val="32"/>
          <w:szCs w:val="32"/>
        </w:rPr>
        <w:t>万元，占</w:t>
      </w:r>
      <w:r>
        <w:rPr>
          <w:rFonts w:ascii="仿宋" w:eastAsia="仿宋" w:hint="eastAsia"/>
          <w:color w:val="000000"/>
          <w:sz w:val="32"/>
          <w:szCs w:val="32"/>
          <w:lang w:val="en-US" w:eastAsia="zh-CN"/>
        </w:rPr>
        <w:t>0.68</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w:t>
      </w:r>
      <w:r>
        <w:rPr>
          <w:rFonts w:ascii="仿宋" w:eastAsia="仿宋" w:hint="eastAsia"/>
          <w:b/>
          <w:bCs/>
          <w:color w:val="000000"/>
          <w:sz w:val="32"/>
          <w:szCs w:val="32"/>
          <w:lang w:eastAsia="zh-CN"/>
        </w:rPr>
        <w:t>健康</w:t>
      </w:r>
      <w:r>
        <w:rPr>
          <w:rFonts w:ascii="仿宋" w:eastAsia="仿宋" w:hint="eastAsia"/>
          <w:b/>
          <w:bCs/>
          <w:color w:val="000000"/>
          <w:sz w:val="32"/>
          <w:szCs w:val="32"/>
        </w:rPr>
        <w:t>支出</w:t>
      </w:r>
      <w:r>
        <w:rPr>
          <w:rFonts w:ascii="仿宋" w:eastAsia="仿宋" w:hint="eastAsia"/>
          <w:color w:val="000000"/>
          <w:sz w:val="32"/>
          <w:szCs w:val="32"/>
          <w:lang w:val="en-US" w:eastAsia="zh-CN"/>
        </w:rPr>
        <w:t>37.76</w:t>
      </w:r>
      <w:r>
        <w:rPr>
          <w:rFonts w:ascii="仿宋" w:eastAsia="仿宋" w:hint="eastAsia"/>
          <w:color w:val="000000"/>
          <w:sz w:val="32"/>
          <w:szCs w:val="32"/>
        </w:rPr>
        <w:t>万元，占</w:t>
      </w:r>
      <w:r>
        <w:rPr>
          <w:rFonts w:ascii="仿宋" w:eastAsia="仿宋" w:hint="eastAsia"/>
          <w:color w:val="000000"/>
          <w:sz w:val="32"/>
          <w:szCs w:val="32"/>
          <w:lang w:val="en-US" w:eastAsia="zh-CN"/>
        </w:rPr>
        <w:t>0.3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lang w:val="en-US" w:eastAsia="zh-CN"/>
        </w:rPr>
        <w:t>农林水支出</w:t>
      </w:r>
      <w:r>
        <w:rPr>
          <w:rFonts w:ascii="仿宋" w:eastAsia="仿宋" w:hint="eastAsia"/>
          <w:color w:val="000000"/>
          <w:sz w:val="32"/>
          <w:szCs w:val="32"/>
          <w:lang w:val="en-US" w:eastAsia="zh-CN"/>
        </w:rPr>
        <w:t>346.07万元，</w:t>
      </w:r>
      <w:r>
        <w:rPr>
          <w:rFonts w:ascii="仿宋" w:eastAsia="仿宋" w:hint="eastAsia"/>
          <w:color w:val="000000"/>
          <w:sz w:val="32"/>
          <w:szCs w:val="32"/>
        </w:rPr>
        <w:t>占</w:t>
      </w:r>
      <w:r>
        <w:rPr>
          <w:rFonts w:ascii="仿宋" w:eastAsia="仿宋" w:hint="eastAsia"/>
          <w:color w:val="000000"/>
          <w:sz w:val="32"/>
          <w:szCs w:val="32"/>
          <w:lang w:val="en-US" w:eastAsia="zh-CN"/>
        </w:rPr>
        <w:t>28</w:t>
      </w:r>
      <w:r>
        <w:rPr>
          <w:rFonts w:ascii="仿宋" w:eastAsia="仿宋"/>
          <w:color w:val="000000"/>
          <w:sz w:val="32"/>
          <w:szCs w:val="32"/>
        </w:rPr>
        <w:t>%</w:t>
      </w:r>
      <w:r>
        <w:rPr>
          <w:rFonts w:ascii="仿宋" w:eastAsia="仿宋" w:hint="eastAsia"/>
          <w:color w:val="000000"/>
          <w:sz w:val="32"/>
          <w:szCs w:val="32"/>
          <w:lang w:eastAsia="zh-CN"/>
        </w:rPr>
        <w:t>。</w:t>
      </w:r>
      <w:r>
        <w:rPr>
          <w:rFonts w:ascii="仿宋" w:eastAsia="仿宋" w:hint="eastAsia"/>
          <w:b/>
          <w:bCs/>
          <w:color w:val="000000"/>
          <w:sz w:val="32"/>
          <w:szCs w:val="32"/>
        </w:rPr>
        <w:t>住房保障支出</w:t>
      </w:r>
      <w:r>
        <w:rPr>
          <w:rFonts w:ascii="仿宋" w:eastAsia="仿宋" w:hint="eastAsia"/>
          <w:color w:val="000000"/>
          <w:sz w:val="32"/>
          <w:szCs w:val="32"/>
          <w:lang w:val="en-US" w:eastAsia="zh-CN"/>
        </w:rPr>
        <w:t>49.41</w:t>
      </w:r>
      <w:r>
        <w:rPr>
          <w:rFonts w:ascii="仿宋" w:eastAsia="仿宋" w:hint="eastAsia"/>
          <w:color w:val="000000"/>
          <w:sz w:val="32"/>
          <w:szCs w:val="32"/>
        </w:rPr>
        <w:t>万元，占</w:t>
      </w:r>
      <w:r>
        <w:rPr>
          <w:rFonts w:ascii="仿宋" w:eastAsia="仿宋" w:hint="eastAsia"/>
          <w:color w:val="000000"/>
          <w:sz w:val="32"/>
          <w:szCs w:val="32"/>
          <w:lang w:val="en-US" w:eastAsia="zh-CN"/>
        </w:rPr>
        <w:t>0.4</w:t>
      </w:r>
      <w:r>
        <w:rPr>
          <w:rFonts w:ascii="仿宋" w:eastAsia="仿宋"/>
          <w:color w:val="000000"/>
          <w:sz w:val="32"/>
          <w:szCs w:val="32"/>
        </w:rPr>
        <w:t>%</w:t>
      </w:r>
      <w:r>
        <w:rPr>
          <w:rFonts w:ascii="仿宋" w:eastAsia="仿宋" w:hint="eastAsia"/>
          <w:color w:val="000000"/>
          <w:sz w:val="32"/>
          <w:szCs w:val="32"/>
          <w:lang w:eastAsia="zh-CN"/>
        </w:rPr>
        <w:t>。其他支出</w:t>
      </w:r>
      <w:r>
        <w:rPr>
          <w:rFonts w:ascii="仿宋" w:eastAsia="仿宋" w:hint="eastAsia"/>
          <w:color w:val="000000"/>
          <w:sz w:val="32"/>
          <w:szCs w:val="32"/>
          <w:lang w:val="en-US" w:eastAsia="zh-CN"/>
        </w:rPr>
        <w:t>349.66万元，</w:t>
      </w:r>
      <w:r>
        <w:rPr>
          <w:rFonts w:ascii="仿宋" w:eastAsia="仿宋" w:hint="eastAsia"/>
          <w:color w:val="000000"/>
          <w:sz w:val="32"/>
          <w:szCs w:val="32"/>
        </w:rPr>
        <w:t>占</w:t>
      </w:r>
      <w:r>
        <w:rPr>
          <w:rFonts w:ascii="仿宋" w:eastAsia="仿宋" w:hint="eastAsia"/>
          <w:color w:val="000000"/>
          <w:sz w:val="32"/>
          <w:szCs w:val="32"/>
          <w:lang w:val="en-US" w:eastAsia="zh-CN"/>
        </w:rPr>
        <w:t>29</w:t>
      </w:r>
      <w:r>
        <w:rPr>
          <w:rFonts w:ascii="仿宋" w:eastAsia="仿宋"/>
          <w:color w:val="000000"/>
          <w:sz w:val="32"/>
          <w:szCs w:val="32"/>
        </w:rPr>
        <w:t>%</w:t>
      </w:r>
      <w:r>
        <w:rPr>
          <w:rFonts w:ascii="仿宋" w:eastAsia="仿宋" w:hint="eastAsia"/>
          <w:color w:val="000000"/>
          <w:sz w:val="32"/>
          <w:szCs w:val="32"/>
          <w:lang w:eastAsia="zh-CN"/>
        </w:rPr>
        <w:t>。</w:t>
      </w:r>
    </w:p>
    <w:p>
      <w:pPr>
        <w:spacing w:line="600" w:lineRule="exact"/>
        <w:ind w:firstLineChars="2600" w:firstLine="8320"/>
        <w:outlineLvl w:val="2"/>
        <w:rPr>
          <w:rFonts w:ascii="仿宋" w:eastAsia="仿宋" w:hint="eastAsia"/>
          <w:b/>
          <w:color w:val="000000"/>
          <w:sz w:val="32"/>
          <w:szCs w:val="32"/>
          <w:lang w:val="en-US" w:eastAsia="zh-CN"/>
        </w:rPr>
      </w:pPr>
      <w:bookmarkStart w:id="37" w:name="_Toc15378460"/>
      <w:bookmarkStart w:id="38" w:name="_Toc15377444"/>
      <w:bookmarkStart w:id="39" w:name="_Toc15377213"/>
      <w:r>
        <w:rPr>
          <w:rFonts w:ascii="仿宋" w:eastAsia="仿宋" w:hint="eastAsia"/>
          <w:color w:val="000000"/>
          <w:sz w:val="32"/>
          <w:szCs w:val="32"/>
          <w:lang w:eastAsia="zh-CN"/>
        </w:rPr>
        <w:drawing>
          <wp:anchor distT="0" distB="0" distL="114300" distR="114300" simplePos="0" relativeHeight="25" behindDoc="0" locked="0" layoutInCell="1" hidden="0" allowOverlap="1">
            <wp:simplePos x="0" y="0"/>
            <wp:positionH relativeFrom="column">
              <wp:posOffset>540385</wp:posOffset>
            </wp:positionH>
            <wp:positionV relativeFrom="paragraph">
              <wp:posOffset>99695</wp:posOffset>
            </wp:positionV>
            <wp:extent cx="5161915" cy="2541270"/>
            <wp:effectExtent l="0" t="0" r="0" b="0"/>
            <wp:wrapTopAndBottom/>
            <wp:docPr id="5" name="图表 1"/>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600" w:lineRule="exact"/>
        <w:ind w:firstLineChars="2600" w:firstLine="8320"/>
        <w:outlineLvl w:val="2"/>
        <w:rPr>
          <w:rFonts w:ascii="仿宋" w:eastAsia="仿宋" w:hint="eastAsia"/>
          <w:b/>
          <w:color w:val="000000"/>
          <w:sz w:val="32"/>
          <w:szCs w:val="32"/>
          <w:lang w:val="en-US" w:eastAsia="zh-CN"/>
        </w:rPr>
      </w:pPr>
    </w:p>
    <w:p>
      <w:pPr>
        <w:spacing w:line="600" w:lineRule="exact"/>
        <w:ind w:firstLineChars="200" w:firstLine="640"/>
        <w:outlineLvl w:val="2"/>
        <w:rPr>
          <w:rFonts w:ascii="仿宋" w:eastAsia="仿宋" w:hint="eastAsia"/>
          <w:b/>
          <w:color w:val="000000"/>
          <w:sz w:val="32"/>
          <w:szCs w:val="32"/>
          <w:lang w:val="en-US" w:eastAsia="zh-CN"/>
          <w:highlight w:val="auto"/>
        </w:rPr>
      </w:pPr>
      <w:bookmarkStart w:id="40" w:name="_Toc15377212"/>
      <w:r>
        <w:rPr>
          <w:rFonts w:ascii="仿宋" w:eastAsia="仿宋" w:hint="eastAsia"/>
          <w:b/>
          <w:color w:val="000000"/>
          <w:sz w:val="32"/>
          <w:szCs w:val="32"/>
          <w:highlight w:val="auto"/>
        </w:rPr>
        <w:t>（三）一般公共预算财政拨款支出决算具体情况</w:t>
      </w:r>
      <w:bookmarkEnd w:id="40"/>
    </w:p>
    <w:p>
      <w:pPr>
        <w:spacing w:line="600" w:lineRule="exact"/>
        <w:outlineLvl w:val="2"/>
        <w:rPr>
          <w:rFonts w:ascii="仿宋" w:eastAsia="仿宋"/>
          <w:b w:val="0"/>
          <w:bCs/>
          <w:color w:val="FF0000"/>
          <w:sz w:val="32"/>
          <w:szCs w:val="32"/>
          <w:highlight w:val="auto"/>
        </w:rPr>
      </w:pPr>
      <w:r>
        <w:rPr>
          <w:rFonts w:ascii="仿宋" w:eastAsia="仿宋" w:hint="eastAsia"/>
          <w:b w:val="0"/>
          <w:bCs/>
          <w:color w:val="000000"/>
          <w:sz w:val="32"/>
          <w:szCs w:val="32"/>
          <w:lang w:val="en-US" w:eastAsia="zh-CN"/>
          <w:highlight w:val="auto"/>
        </w:rPr>
        <w:t xml:space="preserve">    </w:t>
      </w:r>
      <w:r>
        <w:rPr>
          <w:rFonts w:ascii="仿宋" w:eastAsia="仿宋" w:hint="eastAsia"/>
          <w:b w:val="0"/>
          <w:bCs/>
          <w:color w:val="000000"/>
          <w:sz w:val="32"/>
          <w:szCs w:val="32"/>
          <w:highlight w:val="auto"/>
        </w:rPr>
        <w:t>20</w:t>
      </w:r>
      <w:r>
        <w:rPr>
          <w:rFonts w:ascii="仿宋" w:eastAsia="仿宋" w:hint="eastAsia"/>
          <w:b w:val="0"/>
          <w:bCs/>
          <w:color w:val="000000"/>
          <w:sz w:val="32"/>
          <w:szCs w:val="32"/>
          <w:lang w:val="en-US" w:eastAsia="zh-CN"/>
          <w:highlight w:val="auto"/>
        </w:rPr>
        <w:t>22</w:t>
      </w:r>
      <w:r>
        <w:rPr>
          <w:rFonts w:ascii="仿宋" w:eastAsia="仿宋" w:hint="eastAsia"/>
          <w:b w:val="0"/>
          <w:bCs/>
          <w:color w:val="000000"/>
          <w:sz w:val="32"/>
          <w:szCs w:val="32"/>
          <w:highlight w:val="auto"/>
        </w:rPr>
        <w:t>年</w:t>
      </w:r>
      <w:r>
        <w:rPr>
          <w:rFonts w:ascii="仿宋" w:eastAsia="仿宋" w:hint="eastAsia"/>
          <w:b w:val="0"/>
          <w:bCs/>
          <w:color w:val="000000"/>
          <w:sz w:val="32"/>
          <w:szCs w:val="32"/>
          <w:lang w:eastAsia="zh-CN"/>
          <w:highlight w:val="auto"/>
        </w:rPr>
        <w:t>一</w:t>
      </w:r>
      <w:r>
        <w:rPr>
          <w:rFonts w:ascii="仿宋" w:eastAsia="仿宋" w:hint="eastAsia"/>
          <w:b w:val="0"/>
          <w:bCs/>
          <w:color w:val="000000"/>
          <w:sz w:val="32"/>
          <w:szCs w:val="32"/>
          <w:highlight w:val="auto"/>
        </w:rPr>
        <w:t>般公共预算</w:t>
      </w:r>
      <w:r>
        <w:rPr>
          <w:rFonts w:ascii="仿宋" w:eastAsia="仿宋" w:hint="eastAsia"/>
          <w:b w:val="0"/>
          <w:bCs/>
          <w:color w:val="000000"/>
          <w:sz w:val="32"/>
          <w:szCs w:val="32"/>
          <w:lang w:val="en-US" w:eastAsia="zh-CN"/>
          <w:highlight w:val="auto"/>
        </w:rPr>
        <w:t>数为</w:t>
      </w:r>
      <w:r>
        <w:rPr>
          <w:rFonts w:ascii="仿宋_GB2312" w:eastAsia="仿宋_GB2312" w:hint="eastAsia"/>
          <w:color w:val="000000"/>
          <w:spacing w:val="-2"/>
          <w:kern w:val="2"/>
          <w:sz w:val="32"/>
          <w:szCs w:val="32"/>
          <w:lang w:val="en-US" w:eastAsia="zh-CN" w:bidi="ar-SA"/>
        </w:rPr>
        <w:t>1225.72</w:t>
      </w:r>
      <w:r>
        <w:rPr>
          <w:rFonts w:ascii="仿宋" w:eastAsia="仿宋" w:hint="eastAsia"/>
          <w:b w:val="0"/>
          <w:bCs/>
          <w:color w:val="000000"/>
          <w:sz w:val="32"/>
          <w:szCs w:val="32"/>
          <w:lang w:val="en-US" w:eastAsia="zh-CN"/>
          <w:highlight w:val="auto"/>
        </w:rPr>
        <w:t>万元，</w:t>
      </w:r>
      <w:r>
        <w:rPr>
          <w:rFonts w:ascii="仿宋" w:eastAsia="仿宋" w:hint="eastAsia"/>
          <w:b w:val="0"/>
          <w:bCs/>
          <w:color w:val="000000"/>
          <w:sz w:val="32"/>
          <w:szCs w:val="32"/>
          <w:highlight w:val="auto"/>
        </w:rPr>
        <w:t>支出决算数为</w:t>
      </w:r>
      <w:r>
        <w:rPr>
          <w:rFonts w:ascii="仿宋_GB2312" w:eastAsia="仿宋_GB2312" w:hint="eastAsia"/>
          <w:color w:val="000000"/>
          <w:spacing w:val="-2"/>
          <w:kern w:val="2"/>
          <w:sz w:val="32"/>
          <w:szCs w:val="32"/>
          <w:lang w:val="en-US" w:eastAsia="zh-CN" w:bidi="ar-SA"/>
        </w:rPr>
        <w:t>1225.72</w:t>
      </w:r>
      <w:r>
        <w:rPr>
          <w:rFonts w:ascii="仿宋" w:eastAsia="仿宋" w:hint="eastAsia"/>
          <w:b w:val="0"/>
          <w:bCs/>
          <w:color w:val="000000"/>
          <w:sz w:val="32"/>
          <w:szCs w:val="32"/>
          <w:lang w:val="en-US" w:eastAsia="zh-CN"/>
          <w:highlight w:val="auto"/>
        </w:rPr>
        <w:t>万元</w:t>
      </w:r>
      <w:r>
        <w:rPr>
          <w:rFonts w:ascii="仿宋" w:eastAsia="仿宋" w:hint="eastAsia"/>
          <w:b w:val="0"/>
          <w:bCs/>
          <w:color w:val="000000"/>
          <w:sz w:val="32"/>
          <w:szCs w:val="32"/>
          <w:highlight w:val="auto"/>
        </w:rPr>
        <w:t>，完</w:t>
      </w:r>
      <w:r>
        <w:rPr>
          <w:rStyle w:val="24"/>
          <w:rFonts w:ascii="仿宋" w:eastAsia="仿宋" w:hint="eastAsia"/>
          <w:b w:val="0"/>
          <w:bCs/>
          <w:color w:val="000000"/>
          <w:sz w:val="32"/>
          <w:szCs w:val="32"/>
          <w:highlight w:val="auto"/>
        </w:rPr>
        <w:t>成预算</w:t>
      </w:r>
      <w:r>
        <w:rPr>
          <w:rStyle w:val="24"/>
          <w:rFonts w:ascii="仿宋" w:eastAsia="仿宋" w:hint="eastAsia"/>
          <w:b w:val="0"/>
          <w:bCs/>
          <w:color w:val="000000"/>
          <w:sz w:val="32"/>
          <w:szCs w:val="32"/>
          <w:lang w:val="en-US" w:eastAsia="zh-CN"/>
          <w:highlight w:val="auto"/>
        </w:rPr>
        <w:t>100</w:t>
      </w:r>
      <w:r>
        <w:rPr>
          <w:rStyle w:val="24"/>
          <w:rFonts w:ascii="仿宋" w:eastAsia="仿宋"/>
          <w:b w:val="0"/>
          <w:bCs/>
          <w:color w:val="000000"/>
          <w:sz w:val="32"/>
          <w:szCs w:val="32"/>
          <w:highlight w:val="auto"/>
        </w:rPr>
        <w:t>%</w:t>
      </w:r>
      <w:r>
        <w:rPr>
          <w:rStyle w:val="24"/>
          <w:rFonts w:ascii="仿宋" w:eastAsia="仿宋" w:hint="eastAsia"/>
          <w:b w:val="0"/>
          <w:bCs/>
          <w:color w:val="000000"/>
          <w:sz w:val="32"/>
          <w:szCs w:val="32"/>
          <w:highlight w:val="auto"/>
        </w:rPr>
        <w:t>。</w:t>
      </w:r>
      <w:r>
        <w:rPr>
          <w:rStyle w:val="24"/>
          <w:rFonts w:ascii="仿宋" w:eastAsia="仿宋" w:hint="eastAsia"/>
          <w:b w:val="0"/>
          <w:bCs/>
          <w:color w:val="000000"/>
          <w:sz w:val="32"/>
          <w:szCs w:val="32"/>
          <w:lang w:val="en-US" w:eastAsia="zh-CN"/>
          <w:highlight w:val="auto"/>
        </w:rPr>
        <w:t>结转下年0万元。</w:t>
      </w:r>
      <w:r>
        <w:rPr>
          <w:rStyle w:val="24"/>
          <w:rFonts w:ascii="仿宋" w:eastAsia="仿宋" w:hint="eastAsia"/>
          <w:b w:val="0"/>
          <w:bCs/>
          <w:color w:val="000000"/>
          <w:sz w:val="32"/>
          <w:szCs w:val="32"/>
          <w:highlight w:val="auto"/>
        </w:rPr>
        <w:t>其中：</w:t>
      </w:r>
      <w:bookmarkEnd w:id="37"/>
      <w:bookmarkEnd w:id="38"/>
      <w:bookmarkEnd w:id="39"/>
    </w:p>
    <w:p>
      <w:pPr>
        <w:spacing w:line="600" w:lineRule="exact"/>
        <w:ind w:left="0"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1.</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人大事务</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20.7</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bCs/>
          <w:color w:val="000000"/>
          <w:sz w:val="32"/>
          <w:szCs w:val="32"/>
        </w:rPr>
        <w:t>2.</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政府办公厅（室）及相关机构事务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一般行政管理事务</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251.44</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3</w:t>
      </w:r>
      <w:r>
        <w:rPr>
          <w:rStyle w:val="24"/>
          <w:rFonts w:ascii="仿宋" w:eastAsia="仿宋"/>
          <w:bCs/>
          <w:color w:val="000000"/>
          <w:sz w:val="32"/>
          <w:szCs w:val="32"/>
        </w:rPr>
        <w:t>.</w:t>
      </w:r>
      <w:r>
        <w:rPr>
          <w:rStyle w:val="24"/>
          <w:rFonts w:ascii="仿宋" w:eastAsia="仿宋" w:hint="eastAsia"/>
          <w:bCs/>
          <w:color w:val="000000"/>
          <w:sz w:val="32"/>
          <w:szCs w:val="32"/>
        </w:rPr>
        <w:t>一般公共服务（类）</w:t>
      </w:r>
      <w:r>
        <w:rPr>
          <w:rStyle w:val="24"/>
          <w:rFonts w:ascii="仿宋" w:eastAsia="仿宋" w:hint="eastAsia"/>
          <w:bCs/>
          <w:color w:val="000000"/>
          <w:sz w:val="32"/>
          <w:szCs w:val="32"/>
          <w:lang w:val="en-US" w:eastAsia="zh-CN"/>
        </w:rPr>
        <w:t>党委办公厅（室）及相关机构事务</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一般行政管理事务</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86.79</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Fonts w:ascii="仿宋" w:eastAsia="仿宋"/>
          <w:b/>
          <w:color w:val="000000"/>
          <w:sz w:val="32"/>
          <w:szCs w:val="32"/>
        </w:rPr>
      </w:pPr>
      <w:r>
        <w:rPr>
          <w:rStyle w:val="24"/>
          <w:rFonts w:ascii="仿宋" w:eastAsia="仿宋" w:hint="eastAsia"/>
          <w:bCs/>
          <w:color w:val="000000"/>
          <w:sz w:val="32"/>
          <w:szCs w:val="32"/>
          <w:lang w:val="en-US" w:eastAsia="zh-CN"/>
        </w:rPr>
        <w:t>4</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机关事业单位基本养老保险缴费支出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b w:val="0"/>
          <w:bCs/>
          <w:color w:val="000000"/>
          <w:sz w:val="32"/>
          <w:szCs w:val="32"/>
        </w:rPr>
        <w:t xml:space="preserve"> </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52.26</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5</w:t>
      </w:r>
      <w:r>
        <w:rPr>
          <w:rStyle w:val="24"/>
          <w:rFonts w:ascii="仿宋" w:eastAsia="仿宋"/>
          <w:bCs/>
          <w:color w:val="000000"/>
          <w:sz w:val="32"/>
          <w:szCs w:val="32"/>
        </w:rPr>
        <w:t>.</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机关事业单位基本职业年金缴费支出</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26.13</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4.卫生健康支出（类）公共卫生</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突发公共卫生事件应急处理（</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5</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5.卫生健康支出（类）行政事业单位医疗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行政单位医疗</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17.84</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6.</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公务员医疗补助</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6.8</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7.农林水支出（类）农业农村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农村道路建设</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0</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rPr>
        <w:t>8.农林水支出（类）农村综合改革</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对村民委员会和党支部补助</w:t>
      </w:r>
      <w:r>
        <w:rPr>
          <w:rStyle w:val="24"/>
          <w:rFonts w:ascii="仿宋" w:eastAsia="仿宋" w:hint="eastAsia"/>
          <w:bCs/>
          <w:color w:val="000000"/>
          <w:sz w:val="32"/>
          <w:szCs w:val="32"/>
        </w:rPr>
        <w:t>（项）</w:t>
      </w:r>
      <w:r>
        <w:rPr>
          <w:rStyle w:val="24"/>
          <w:rFonts w:ascii="仿宋" w:eastAsia="仿宋"/>
          <w:bCs/>
          <w:color w:val="000000"/>
          <w:sz w:val="32"/>
          <w:szCs w:val="32"/>
        </w:rPr>
        <w:t>:</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349.07</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highlight w:val="auto"/>
        </w:rPr>
      </w:pPr>
      <w:bookmarkStart w:id="41" w:name="_Toc15396608"/>
      <w:bookmarkStart w:id="42" w:name="_Toc15377214"/>
      <w:r>
        <w:rPr>
          <w:rStyle w:val="24"/>
          <w:rFonts w:ascii="仿宋" w:eastAsia="仿宋" w:hint="eastAsia"/>
          <w:bCs/>
          <w:color w:val="000000"/>
          <w:sz w:val="32"/>
          <w:szCs w:val="32"/>
          <w:lang w:val="en-US" w:eastAsia="zh-CN"/>
          <w:highlight w:val="auto"/>
        </w:rPr>
        <w:t>9.住房保障（类）住房改革支出（款）住房公积金（项）：</w:t>
      </w:r>
      <w:r>
        <w:rPr>
          <w:rStyle w:val="24"/>
          <w:rFonts w:ascii="仿宋" w:eastAsia="仿宋" w:hint="eastAsia"/>
          <w:b w:val="0"/>
          <w:bCs/>
          <w:color w:val="000000"/>
          <w:sz w:val="32"/>
          <w:szCs w:val="32"/>
          <w:highlight w:val="auto"/>
        </w:rPr>
        <w:t>支出决算为</w:t>
      </w:r>
      <w:r>
        <w:rPr>
          <w:rStyle w:val="24"/>
          <w:rFonts w:ascii="仿宋" w:eastAsia="仿宋" w:hint="eastAsia"/>
          <w:b w:val="0"/>
          <w:bCs/>
          <w:color w:val="000000"/>
          <w:sz w:val="32"/>
          <w:szCs w:val="32"/>
          <w:lang w:val="en-US" w:eastAsia="zh-CN"/>
          <w:highlight w:val="auto"/>
        </w:rPr>
        <w:t>49.41</w:t>
      </w:r>
      <w:r>
        <w:rPr>
          <w:rStyle w:val="24"/>
          <w:rFonts w:ascii="仿宋" w:eastAsia="仿宋" w:hint="eastAsia"/>
          <w:b w:val="0"/>
          <w:bCs/>
          <w:color w:val="000000"/>
          <w:sz w:val="32"/>
          <w:szCs w:val="32"/>
          <w:highlight w:val="auto"/>
        </w:rPr>
        <w:t>万元</w:t>
      </w:r>
      <w:r>
        <w:rPr>
          <w:rStyle w:val="24"/>
          <w:rFonts w:ascii="仿宋" w:eastAsia="仿宋" w:hint="eastAsia"/>
          <w:b w:val="0"/>
          <w:bCs/>
          <w:color w:val="000000"/>
          <w:sz w:val="32"/>
          <w:szCs w:val="32"/>
          <w:lang w:eastAsia="zh-CN"/>
          <w:highlight w:val="auto"/>
        </w:rPr>
        <w:t>，</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lang w:val="en-US" w:eastAsia="zh-CN"/>
          <w:highlight w:val="auto"/>
        </w:rPr>
        <w:t>10.其他支出（类）其他支出（款）其他支出（项）：</w:t>
      </w:r>
      <w:r>
        <w:rPr>
          <w:rStyle w:val="24"/>
          <w:rFonts w:ascii="仿宋" w:eastAsia="仿宋" w:hint="eastAsia"/>
          <w:b w:val="0"/>
          <w:bCs/>
          <w:color w:val="000000"/>
          <w:sz w:val="32"/>
          <w:szCs w:val="32"/>
          <w:highlight w:val="auto"/>
        </w:rPr>
        <w:t>支出决算为</w:t>
      </w:r>
      <w:r>
        <w:rPr>
          <w:rStyle w:val="24"/>
          <w:rFonts w:ascii="仿宋" w:eastAsia="仿宋" w:hint="eastAsia"/>
          <w:b w:val="0"/>
          <w:bCs/>
          <w:color w:val="000000"/>
          <w:sz w:val="32"/>
          <w:szCs w:val="32"/>
          <w:lang w:val="en-US" w:eastAsia="zh-CN"/>
          <w:highlight w:val="auto"/>
        </w:rPr>
        <w:t>349.66</w:t>
      </w:r>
      <w:r>
        <w:rPr>
          <w:rStyle w:val="24"/>
          <w:rFonts w:ascii="仿宋" w:eastAsia="仿宋" w:hint="eastAsia"/>
          <w:b w:val="0"/>
          <w:bCs/>
          <w:color w:val="000000"/>
          <w:sz w:val="32"/>
          <w:szCs w:val="32"/>
          <w:highlight w:val="auto"/>
        </w:rPr>
        <w:t>万元</w:t>
      </w:r>
      <w:r>
        <w:rPr>
          <w:rStyle w:val="24"/>
          <w:rFonts w:ascii="仿宋" w:eastAsia="仿宋" w:hint="eastAsia"/>
          <w:b w:val="0"/>
          <w:bCs/>
          <w:color w:val="000000"/>
          <w:sz w:val="32"/>
          <w:szCs w:val="32"/>
          <w:lang w:eastAsia="zh-CN"/>
          <w:highlight w:val="auto"/>
        </w:rPr>
        <w:t>，</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lang w:eastAsia="zh-CN"/>
        </w:rPr>
        <w:t>。</w:t>
      </w:r>
    </w:p>
    <w:p>
      <w:pPr>
        <w:spacing w:line="600" w:lineRule="exact"/>
        <w:ind w:firstLineChars="100" w:firstLine="320"/>
        <w:rPr>
          <w:rStyle w:val="2Char"/>
        </w:rPr>
      </w:pPr>
      <w:r>
        <w:rPr>
          <w:rFonts w:ascii="黑体" w:eastAsia="黑体" w:hint="eastAsia"/>
          <w:color w:val="000000"/>
          <w:sz w:val="32"/>
          <w:szCs w:val="32"/>
          <w:highlight w:val="auto"/>
        </w:rPr>
        <w:t>六</w:t>
      </w:r>
      <w:r>
        <w:rPr>
          <w:rFonts w:ascii="黑体" w:eastAsia="黑体" w:hint="eastAsia"/>
          <w:b/>
          <w:color w:val="000000"/>
          <w:sz w:val="32"/>
          <w:szCs w:val="32"/>
          <w:highlight w:val="auto"/>
        </w:rPr>
        <w:t>、一</w:t>
      </w:r>
      <w:r>
        <w:rPr>
          <w:rStyle w:val="2Char"/>
          <w:rFonts w:ascii="黑体" w:eastAsia="黑体" w:hint="eastAsia"/>
          <w:b w:val="0"/>
          <w:highlight w:val="auto"/>
        </w:rPr>
        <w:t>般公共</w:t>
      </w:r>
      <w:r>
        <w:rPr>
          <w:rStyle w:val="2Char"/>
          <w:rFonts w:ascii="黑体" w:eastAsia="黑体" w:hint="eastAsia"/>
          <w:b w:val="0"/>
        </w:rPr>
        <w:t>预算财政拨款基本支出决算情况说明</w:t>
      </w:r>
      <w:bookmarkEnd w:id="41"/>
      <w:bookmarkEnd w:id="42"/>
      <w:r>
        <w:rPr>
          <w:rStyle w:val="2Char"/>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年一般公共预算财政拨款基本支出</w:t>
      </w:r>
      <w:r>
        <w:rPr>
          <w:rFonts w:ascii="仿宋_GB2312" w:eastAsia="仿宋_GB2312" w:hint="eastAsia"/>
          <w:color w:val="000000"/>
          <w:spacing w:val="-2"/>
          <w:kern w:val="2"/>
          <w:sz w:val="32"/>
          <w:szCs w:val="32"/>
          <w:lang w:val="en-US" w:eastAsia="zh-CN" w:bidi="ar-SA"/>
        </w:rPr>
        <w:t>723.29</w:t>
      </w:r>
      <w:r>
        <w:rPr>
          <w:rFonts w:ascii="仿宋" w:eastAsia="仿宋" w:hint="eastAsia"/>
          <w:color w:val="000000"/>
          <w:sz w:val="32"/>
          <w:szCs w:val="32"/>
        </w:rPr>
        <w:t>万元，其中：</w:t>
      </w:r>
    </w:p>
    <w:p>
      <w:pPr>
        <w:spacing w:line="60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692.51</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131.05万元</w:t>
      </w:r>
      <w:r>
        <w:rPr>
          <w:rFonts w:ascii="仿宋" w:eastAsia="仿宋" w:hint="eastAsia"/>
          <w:color w:val="000000"/>
          <w:sz w:val="32"/>
          <w:szCs w:val="32"/>
        </w:rPr>
        <w:t>、津贴补</w:t>
      </w:r>
      <w:r>
        <w:rPr>
          <w:rFonts w:ascii="仿宋" w:eastAsia="仿宋" w:hint="eastAsia"/>
          <w:color w:val="000000"/>
          <w:sz w:val="32"/>
          <w:szCs w:val="32"/>
          <w:lang w:val="en-US" w:eastAsia="zh-CN"/>
        </w:rPr>
        <w:t>155.33万元</w:t>
      </w:r>
      <w:r>
        <w:rPr>
          <w:rFonts w:ascii="仿宋" w:eastAsia="仿宋" w:hint="eastAsia"/>
          <w:color w:val="000000"/>
          <w:sz w:val="32"/>
          <w:szCs w:val="32"/>
        </w:rPr>
        <w:t>、奖金</w:t>
      </w:r>
      <w:r>
        <w:rPr>
          <w:rFonts w:ascii="仿宋" w:eastAsia="仿宋" w:hint="eastAsia"/>
          <w:color w:val="000000"/>
          <w:sz w:val="32"/>
          <w:szCs w:val="32"/>
          <w:lang w:val="en-US" w:eastAsia="zh-CN"/>
        </w:rPr>
        <w:t>123.34万元，</w:t>
      </w:r>
      <w:r>
        <w:rPr>
          <w:rFonts w:ascii="仿宋" w:eastAsia="仿宋" w:hint="eastAsia"/>
          <w:color w:val="000000"/>
          <w:sz w:val="32"/>
          <w:szCs w:val="32"/>
          <w:lang w:eastAsia="zh-CN"/>
        </w:rPr>
        <w:t>绩效工资</w:t>
      </w:r>
      <w:r>
        <w:rPr>
          <w:rFonts w:ascii="仿宋" w:eastAsia="仿宋" w:hint="eastAsia"/>
          <w:color w:val="000000"/>
          <w:sz w:val="32"/>
          <w:szCs w:val="32"/>
          <w:lang w:val="en-US" w:eastAsia="zh-CN"/>
        </w:rPr>
        <w:t>37.86万元、其他社会保险缴费8.4万元，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52.26万元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26.13万元</w:t>
      </w:r>
      <w:r>
        <w:rPr>
          <w:rFonts w:ascii="仿宋" w:eastAsia="仿宋" w:hint="eastAsia"/>
          <w:color w:val="000000"/>
          <w:sz w:val="32"/>
          <w:szCs w:val="32"/>
        </w:rPr>
        <w:t>、</w:t>
      </w:r>
      <w:r>
        <w:rPr>
          <w:rFonts w:ascii="仿宋" w:eastAsia="仿宋" w:hint="eastAsia"/>
          <w:color w:val="000000"/>
          <w:sz w:val="32"/>
          <w:szCs w:val="32"/>
          <w:lang w:val="en-US" w:eastAsia="zh-CN"/>
        </w:rPr>
        <w:t>职工基本医疗保险缴费25.97万元、公务员医疗补助缴费4.41万元、</w:t>
      </w:r>
      <w:r>
        <w:rPr>
          <w:rFonts w:ascii="仿宋" w:eastAsia="仿宋" w:hint="eastAsia"/>
          <w:color w:val="000000"/>
          <w:sz w:val="32"/>
          <w:szCs w:val="32"/>
        </w:rPr>
        <w:t>住房公积金</w:t>
      </w:r>
      <w:r>
        <w:rPr>
          <w:rFonts w:ascii="仿宋" w:eastAsia="仿宋" w:hint="eastAsia"/>
          <w:color w:val="000000"/>
          <w:sz w:val="32"/>
          <w:szCs w:val="32"/>
          <w:lang w:val="en-US" w:eastAsia="zh-CN"/>
        </w:rPr>
        <w:t>49.41万元.生活补助5.37万元、奖励金72.94万元</w:t>
      </w:r>
      <w:r>
        <w:rPr>
          <w:rFonts w:ascii="仿宋" w:eastAsia="仿宋" w:hint="eastAsia"/>
          <w:color w:val="000000"/>
          <w:sz w:val="32"/>
          <w:szCs w:val="32"/>
        </w:rPr>
        <w:t>等。</w:t>
      </w:r>
    </w:p>
    <w:p>
      <w:pPr>
        <w:spacing w:line="600" w:lineRule="exact"/>
        <w:ind w:firstLineChars="100" w:firstLine="320"/>
        <w:rPr>
          <w:rFonts w:ascii="仿宋" w:eastAsia="仿宋"/>
          <w:color w:val="000000"/>
          <w:sz w:val="32"/>
          <w:szCs w:val="32"/>
          <w:lang w:val="en-US" w:eastAsia="zh-CN"/>
        </w:rPr>
      </w:pPr>
      <w:r>
        <w:rPr>
          <w:rFonts w:ascii="仿宋" w:eastAsia="仿宋" w:hint="eastAsia"/>
          <w:color w:val="000000"/>
          <w:sz w:val="32"/>
          <w:szCs w:val="32"/>
        </w:rPr>
        <w:t>公用经费</w:t>
      </w:r>
      <w:r>
        <w:rPr>
          <w:rFonts w:ascii="仿宋" w:eastAsia="仿宋" w:hint="eastAsia"/>
          <w:color w:val="000000"/>
          <w:sz w:val="32"/>
          <w:szCs w:val="32"/>
          <w:lang w:val="en-US" w:eastAsia="zh-CN"/>
        </w:rPr>
        <w:t>30.78</w:t>
      </w:r>
      <w:r>
        <w:rPr>
          <w:rFonts w:ascii="仿宋" w:eastAsia="仿宋" w:hint="eastAsia"/>
          <w:color w:val="000000"/>
          <w:sz w:val="32"/>
          <w:szCs w:val="32"/>
        </w:rPr>
        <w:t>万元，主要包括：</w:t>
      </w:r>
      <w:r>
        <w:rPr>
          <w:rFonts w:ascii="仿宋" w:eastAsia="仿宋" w:hint="eastAsia"/>
          <w:color w:val="000000"/>
          <w:sz w:val="32"/>
          <w:szCs w:val="32"/>
          <w:lang w:val="en-US" w:eastAsia="zh-CN"/>
        </w:rPr>
        <w:t>办公费4.92万元、印刷费3万元、</w:t>
      </w:r>
      <w:r>
        <w:rPr>
          <w:rFonts w:ascii="仿宋" w:eastAsia="仿宋" w:hint="eastAsia"/>
          <w:color w:val="000000"/>
          <w:sz w:val="32"/>
          <w:szCs w:val="32"/>
          <w:lang w:eastAsia="zh-CN"/>
        </w:rPr>
        <w:t>手续费</w:t>
      </w:r>
      <w:r>
        <w:rPr>
          <w:rFonts w:ascii="仿宋" w:eastAsia="仿宋" w:hint="eastAsia"/>
          <w:color w:val="000000"/>
          <w:sz w:val="32"/>
          <w:szCs w:val="32"/>
          <w:lang w:val="en-US" w:eastAsia="zh-CN"/>
        </w:rPr>
        <w:t>0.2万元、电费3万元、邮电费1.5万元吧、差旅费5.99万元、劳务费1.8万元、公务用车运行维护费6.85万元、其他交通费2.31万元等，</w:t>
      </w:r>
    </w:p>
    <w:p>
      <w:pPr>
        <w:spacing w:line="600" w:lineRule="exact"/>
        <w:ind w:firstLineChars="200" w:firstLine="640"/>
        <w:outlineLvl w:val="1"/>
        <w:rPr>
          <w:rStyle w:val="2Char"/>
          <w:rFonts w:ascii="黑体" w:eastAsia="黑体"/>
          <w:b w:val="0"/>
        </w:rPr>
      </w:pPr>
      <w:bookmarkStart w:id="43" w:name="_Toc15396609"/>
      <w:bookmarkStart w:id="44"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ascii="仿宋" w:eastAsia="仿宋" w:hint="eastAsia"/>
          <w:b/>
          <w:color w:val="000000"/>
          <w:sz w:val="32"/>
          <w:szCs w:val="32"/>
        </w:rPr>
        <w:t>（一）“三公”经费财政拨款支出决算总体情况说明</w:t>
      </w:r>
      <w:bookmarkEnd w:id="45"/>
    </w:p>
    <w:p>
      <w:pPr>
        <w:spacing w:line="600" w:lineRule="exact"/>
        <w:ind w:firstLine="640"/>
        <w:rPr>
          <w:rFonts w:ascii="仿宋" w:eastAsia="仿宋" w:hint="eastAsia"/>
          <w:color w:val="000000"/>
          <w:sz w:val="32"/>
          <w:szCs w:val="32"/>
          <w:lang w:val="en-US"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6.85</w:t>
      </w:r>
      <w:r>
        <w:rPr>
          <w:rFonts w:ascii="仿宋" w:eastAsia="仿宋" w:hint="eastAsia"/>
          <w:color w:val="000000"/>
          <w:sz w:val="32"/>
          <w:szCs w:val="32"/>
        </w:rPr>
        <w:t>万元，完成预算</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lang w:val="en-US" w:eastAsia="zh-CN"/>
        </w:rPr>
        <w:t>.</w:t>
      </w:r>
    </w:p>
    <w:p>
      <w:pPr>
        <w:spacing w:line="600" w:lineRule="exact"/>
        <w:ind w:firstLine="640"/>
        <w:outlineLvl w:val="2"/>
        <w:rPr>
          <w:rFonts w:ascii="仿宋" w:eastAsia="仿宋"/>
          <w:b/>
          <w:color w:val="000000"/>
          <w:sz w:val="32"/>
          <w:szCs w:val="32"/>
        </w:rPr>
      </w:pPr>
      <w:bookmarkStart w:id="46" w:name="_Toc15377217"/>
      <w:r>
        <w:rPr>
          <w:rFonts w:ascii="仿宋" w:eastAsia="仿宋" w:hint="eastAsia"/>
          <w:b/>
          <w:color w:val="000000"/>
          <w:sz w:val="32"/>
          <w:szCs w:val="32"/>
        </w:rPr>
        <w:t>（二）“三公”经费财政拨款支出决算具体情况说明</w:t>
      </w:r>
      <w:bookmarkEnd w:id="46"/>
    </w:p>
    <w:p>
      <w:pPr>
        <w:spacing w:line="600" w:lineRule="exact"/>
        <w:ind w:firstLine="640"/>
        <w:rPr>
          <w:rFonts w:ascii="仿宋" w:eastAsia="仿宋" w:hint="eastAsia"/>
          <w:color w:val="000000"/>
          <w:sz w:val="32"/>
          <w:szCs w:val="32"/>
          <w:lang w:eastAsia="zh-CN"/>
        </w:rPr>
      </w:pPr>
      <w:r>
        <w:rPr>
          <w:rFonts w:ascii="仿宋" w:eastAsia="仿宋"/>
          <w:color w:val="000000"/>
          <w:sz w:val="32"/>
          <w:szCs w:val="32"/>
        </w:rPr>
        <w:t>20</w:t>
      </w:r>
      <w:r>
        <w:rPr>
          <w:rFonts w:ascii="仿宋" w:eastAsia="仿宋" w:hint="eastAsia"/>
          <w:color w:val="000000"/>
          <w:sz w:val="32"/>
          <w:szCs w:val="32"/>
          <w:lang w:val="en-US" w:eastAsia="zh-CN"/>
        </w:rPr>
        <w:t>22</w:t>
      </w:r>
      <w:r>
        <w:rPr>
          <w:rFonts w:ascii="仿宋" w:eastAsia="仿宋" w:hint="eastAsia"/>
          <w:color w:val="000000"/>
          <w:sz w:val="32"/>
          <w:szCs w:val="32"/>
        </w:rPr>
        <w:t>年“三公”经费财政拨款支出</w:t>
      </w:r>
      <w:r>
        <w:rPr>
          <w:rFonts w:ascii="仿宋" w:eastAsia="仿宋" w:hint="eastAsia"/>
          <w:color w:val="auto"/>
          <w:sz w:val="32"/>
          <w:szCs w:val="32"/>
        </w:rPr>
        <w:t>决算</w:t>
      </w:r>
      <w:r>
        <w:rPr>
          <w:rFonts w:ascii="仿宋" w:eastAsia="仿宋" w:hint="eastAsia"/>
          <w:color w:val="000000"/>
          <w:sz w:val="32"/>
          <w:szCs w:val="32"/>
          <w:lang w:val="en-US" w:eastAsia="zh-CN"/>
        </w:rPr>
        <w:t>6.853</w:t>
      </w:r>
      <w:r>
        <w:rPr>
          <w:rFonts w:ascii="仿宋" w:eastAsia="仿宋" w:hint="eastAsia"/>
          <w:color w:val="auto"/>
          <w:sz w:val="32"/>
          <w:szCs w:val="32"/>
          <w:lang w:val="en-US" w:eastAsia="zh-CN"/>
        </w:rPr>
        <w:t>万元</w:t>
      </w:r>
      <w:r>
        <w:rPr>
          <w:rFonts w:ascii="仿宋" w:eastAsia="仿宋" w:hint="eastAsia"/>
          <w:color w:val="000000"/>
          <w:sz w:val="32"/>
          <w:szCs w:val="32"/>
        </w:rPr>
        <w:t>，</w:t>
      </w:r>
      <w:r>
        <w:rPr>
          <w:rFonts w:ascii="仿宋" w:eastAsia="仿宋" w:hint="eastAsia"/>
          <w:color w:val="000000"/>
          <w:sz w:val="32"/>
          <w:szCs w:val="32"/>
          <w:lang w:val="en-US" w:eastAsia="zh-CN"/>
        </w:rPr>
        <w:t>其中：</w:t>
      </w:r>
      <w:r>
        <w:rPr>
          <w:rFonts w:ascii="仿宋" w:eastAsia="仿宋" w:hint="eastAsia"/>
          <w:color w:val="000000"/>
          <w:sz w:val="32"/>
          <w:szCs w:val="32"/>
        </w:rPr>
        <w:t>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6.85</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。具体情况如下：</w:t>
      </w:r>
      <w:r>
        <w:rPr>
          <w:rFonts w:ascii="仿宋" w:eastAsia="仿宋" w:hint="eastAsia"/>
          <w:color w:val="000000"/>
          <w:sz w:val="32"/>
          <w:szCs w:val="32"/>
          <w:lang w:eastAsia="zh-CN"/>
        </w:rPr>
        <w:drawing>
          <wp:anchor distT="0" distB="0" distL="114300" distR="114300" simplePos="0" relativeHeight="27" behindDoc="0" locked="0" layoutInCell="1" hidden="0" allowOverlap="1">
            <wp:simplePos x="0" y="0"/>
            <wp:positionH relativeFrom="column">
              <wp:posOffset>210184</wp:posOffset>
            </wp:positionH>
            <wp:positionV relativeFrom="paragraph">
              <wp:posOffset>205740</wp:posOffset>
            </wp:positionV>
            <wp:extent cx="4309109" cy="2223135"/>
            <wp:effectExtent l="0" t="0" r="0" b="0"/>
            <wp:wrapTopAndBottom/>
            <wp:docPr id="6" name="图表 2"/>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auto"/>
          <w:sz w:val="32"/>
          <w:szCs w:val="32"/>
        </w:rPr>
        <w:t>全年安排因公出国（境）团组</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次，出国（境）</w:t>
      </w:r>
      <w:r>
        <w:rPr>
          <w:rFonts w:ascii="仿宋_GB2312" w:eastAsia="仿宋_GB2312" w:hint="eastAsia"/>
          <w:color w:val="auto"/>
          <w:sz w:val="32"/>
          <w:szCs w:val="32"/>
          <w:lang w:val="en-US" w:eastAsia="zh-CN"/>
        </w:rPr>
        <w:t>0</w:t>
      </w:r>
      <w:r>
        <w:rPr>
          <w:rFonts w:ascii="仿宋_GB2312" w:eastAsia="仿宋_GB2312" w:hint="eastAsia"/>
          <w:color w:val="auto"/>
          <w:sz w:val="32"/>
          <w:szCs w:val="32"/>
        </w:rPr>
        <w:t>人。因</w:t>
      </w:r>
      <w:r>
        <w:rPr>
          <w:rFonts w:ascii="仿宋_GB2312" w:eastAsia="仿宋_GB2312" w:hint="eastAsia"/>
          <w:color w:val="000000"/>
          <w:sz w:val="32"/>
          <w:szCs w:val="32"/>
        </w:rPr>
        <w:t>公出国（境）支出决算</w:t>
      </w:r>
      <w:r>
        <w:rPr>
          <w:rFonts w:ascii="仿宋_GB2312" w:eastAsia="仿宋_GB2312" w:hint="eastAsia"/>
          <w:color w:val="000000"/>
          <w:sz w:val="32"/>
          <w:szCs w:val="32"/>
          <w:lang w:eastAsia="zh-CN"/>
        </w:rPr>
        <w:t>与</w:t>
      </w:r>
      <w:r>
        <w:rPr>
          <w:rFonts w:ascii="仿宋_GB2312" w:eastAsia="仿宋_GB2312"/>
          <w:color w:val="000000"/>
          <w:sz w:val="32"/>
          <w:szCs w:val="32"/>
        </w:rPr>
        <w:t>20</w:t>
      </w:r>
      <w:r>
        <w:rPr>
          <w:rFonts w:ascii="仿宋_GB2312" w:eastAsia="仿宋_GB2312" w:hint="eastAsia"/>
          <w:color w:val="000000"/>
          <w:sz w:val="32"/>
          <w:szCs w:val="32"/>
          <w:lang w:val="en-US" w:eastAsia="zh-CN"/>
        </w:rPr>
        <w:t>21</w:t>
      </w:r>
      <w:r>
        <w:rPr>
          <w:rFonts w:ascii="仿宋_GB2312" w:eastAsia="仿宋_GB2312" w:hint="eastAsia"/>
          <w:color w:val="000000"/>
          <w:sz w:val="32"/>
          <w:szCs w:val="32"/>
        </w:rPr>
        <w:t>年</w:t>
      </w:r>
      <w:r>
        <w:rPr>
          <w:rFonts w:ascii="仿宋_GB2312" w:eastAsia="仿宋_GB2312" w:cs="仿宋" w:hint="eastAsia"/>
          <w:color w:val="000000"/>
          <w:sz w:val="32"/>
          <w:szCs w:val="32"/>
          <w:lang w:val="en-US" w:eastAsia="zh-CN"/>
        </w:rPr>
        <w:t>持平。</w:t>
      </w:r>
    </w:p>
    <w:p>
      <w:pPr>
        <w:snapToGrid w:val="0"/>
        <w:spacing w:line="520" w:lineRule="exact"/>
        <w:ind w:firstLineChars="200" w:firstLine="640"/>
        <w:rPr>
          <w:rFonts w:ascii="仿宋_GB2312" w:eastAsia="仿宋_GB2312"/>
          <w:b/>
          <w:color w:val="auto"/>
          <w:sz w:val="32"/>
          <w:szCs w:val="32"/>
          <w:lang w:val="en-US"/>
        </w:rPr>
      </w:pPr>
      <w:r>
        <w:rPr>
          <w:rFonts w:ascii="仿宋_GB2312" w:eastAsia="仿宋_GB2312"/>
          <w:b/>
          <w:color w:val="000000"/>
          <w:sz w:val="32"/>
          <w:szCs w:val="32"/>
        </w:rPr>
        <w:t>2.</w:t>
      </w:r>
      <w:r>
        <w:rPr>
          <w:rFonts w:ascii="仿宋_GB2312" w:eastAsia="仿宋_GB2312" w:hint="eastAsia"/>
          <w:b/>
          <w:color w:val="000000"/>
          <w:sz w:val="32"/>
          <w:szCs w:val="32"/>
          <w:lang w:val="en-US" w:eastAsia="zh-CN"/>
        </w:rPr>
        <w:t>公务</w:t>
      </w:r>
      <w:r>
        <w:rPr>
          <w:rFonts w:ascii="仿宋_GB2312" w:eastAsia="仿宋_GB2312" w:hint="eastAsia"/>
          <w:b/>
          <w:color w:val="auto"/>
          <w:sz w:val="32"/>
          <w:szCs w:val="32"/>
          <w:shd w:val="clear" w:color="auto" w:fill="auto"/>
        </w:rPr>
        <w:t>用车</w:t>
      </w:r>
      <w:r>
        <w:rPr>
          <w:rFonts w:ascii="仿宋_GB2312" w:eastAsia="仿宋_GB2312" w:hint="eastAsia"/>
          <w:b/>
          <w:color w:val="000000"/>
          <w:sz w:val="32"/>
          <w:szCs w:val="32"/>
          <w:shd w:val="clear" w:color="auto" w:fill="auto"/>
        </w:rPr>
        <w:t>购置</w:t>
      </w:r>
      <w:r>
        <w:rPr>
          <w:rFonts w:ascii="仿宋_GB2312" w:eastAsia="仿宋_GB2312" w:hint="eastAsia"/>
          <w:b/>
          <w:color w:val="000000"/>
          <w:sz w:val="32"/>
          <w:szCs w:val="32"/>
        </w:rPr>
        <w:t>及运行维护费支出</w:t>
      </w:r>
      <w:r>
        <w:rPr>
          <w:rFonts w:ascii="仿宋" w:eastAsia="仿宋" w:hint="eastAsia"/>
          <w:color w:val="000000"/>
          <w:sz w:val="32"/>
          <w:szCs w:val="32"/>
          <w:lang w:val="en-US" w:eastAsia="zh-CN"/>
        </w:rPr>
        <w:t>6.85</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w:t>
      </w:r>
      <w:r>
        <w:rPr>
          <w:rFonts w:ascii="仿宋_GB2312" w:eastAsia="仿宋_GB2312" w:hint="eastAsia"/>
          <w:color w:val="000000"/>
          <w:sz w:val="32"/>
          <w:szCs w:val="32"/>
          <w:lang w:val="en-US" w:eastAsia="zh-CN"/>
        </w:rPr>
        <w:t>021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增加</w:t>
      </w:r>
      <w:r>
        <w:rPr>
          <w:rFonts w:ascii="仿宋_GB2312" w:eastAsia="仿宋_GB2312" w:hint="eastAsia"/>
          <w:color w:val="000000"/>
          <w:sz w:val="32"/>
          <w:szCs w:val="32"/>
          <w:lang w:val="en-US" w:eastAsia="zh-CN"/>
        </w:rPr>
        <w:t>减少</w:t>
      </w:r>
      <w:r>
        <w:rPr>
          <w:rFonts w:ascii="仿宋" w:eastAsia="仿宋" w:hint="eastAsia"/>
          <w:color w:val="000000"/>
          <w:sz w:val="32"/>
          <w:szCs w:val="32"/>
          <w:lang w:val="en-US" w:eastAsia="zh-CN"/>
        </w:rPr>
        <w:t>0.13</w:t>
      </w:r>
      <w:r>
        <w:rPr>
          <w:rFonts w:ascii="仿宋_GB2312" w:eastAsia="仿宋_GB2312" w:hint="eastAsia"/>
          <w:color w:val="000000"/>
          <w:sz w:val="32"/>
          <w:szCs w:val="32"/>
        </w:rPr>
        <w:t>万元</w:t>
      </w:r>
      <w:r>
        <w:rPr>
          <w:rFonts w:ascii="仿宋_GB2312" w:eastAsia="仿宋_GB2312" w:hint="eastAsia"/>
          <w:color w:val="auto"/>
          <w:sz w:val="32"/>
          <w:szCs w:val="32"/>
        </w:rPr>
        <w:t>。</w:t>
      </w:r>
      <w:r>
        <w:rPr>
          <w:rFonts w:ascii="仿宋_GB2312" w:eastAsia="仿宋_GB2312" w:cs="仿宋" w:hint="eastAsia"/>
          <w:color w:val="000000"/>
          <w:sz w:val="32"/>
          <w:szCs w:val="32"/>
          <w:lang w:val="en-US" w:eastAsia="zh-CN"/>
        </w:rPr>
        <w:t>因厉行节约。</w:t>
      </w:r>
    </w:p>
    <w:p>
      <w:pPr>
        <w:autoSpaceDE w:val="0"/>
        <w:autoSpaceDN w:val="0"/>
        <w:adjustRightInd w:val="0"/>
        <w:spacing w:line="600" w:lineRule="exact"/>
        <w:ind w:firstLineChars="200" w:firstLine="640"/>
        <w:jc w:val="left"/>
        <w:rPr>
          <w:rFonts w:ascii="仿宋_GB2312" w:eastAsia="仿宋_GB2312" w:hint="eastAsia"/>
          <w:b/>
          <w:color w:val="000000"/>
          <w:sz w:val="32"/>
          <w:szCs w:val="32"/>
          <w:lang w:val="en-US" w:eastAsia="zh-CN"/>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辆。截至</w:t>
      </w:r>
      <w:r>
        <w:rPr>
          <w:rFonts w:ascii="仿宋_GB2312" w:eastAsia="仿宋_GB2312" w:hint="eastAsia"/>
          <w:color w:val="000000"/>
          <w:sz w:val="32"/>
          <w:szCs w:val="32"/>
          <w:lang w:val="en-US" w:eastAsia="zh-CN"/>
        </w:rPr>
        <w:t>2022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辆，其中：部级领导干部用车0辆、主要领导干部用车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辆、机要通信用车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辆、应急保障用车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辆、执法执勤用车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辆、特种专业技术用车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辆、离退休干部用车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辆、其他用车</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p>
    <w:p>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 w:eastAsia="仿宋" w:hint="eastAsia"/>
          <w:color w:val="000000"/>
          <w:sz w:val="32"/>
          <w:szCs w:val="32"/>
          <w:lang w:val="en-US" w:eastAsia="zh-CN"/>
        </w:rPr>
        <w:t>6.85</w:t>
      </w:r>
      <w:r>
        <w:rPr>
          <w:rFonts w:ascii="仿宋_GB2312" w:eastAsia="仿宋_GB2312" w:hint="eastAsia"/>
          <w:color w:val="auto"/>
          <w:sz w:val="32"/>
          <w:szCs w:val="32"/>
        </w:rPr>
        <w:t>万元。</w:t>
      </w:r>
      <w:r>
        <w:rPr>
          <w:rFonts w:ascii="仿宋_GB2312" w:eastAsia="仿宋_GB2312" w:hint="eastAsia"/>
          <w:color w:val="000000"/>
          <w:sz w:val="32"/>
          <w:szCs w:val="32"/>
        </w:rPr>
        <w:t>主要用</w:t>
      </w:r>
      <w:r>
        <w:rPr>
          <w:rFonts w:ascii="仿宋_GB2312" w:eastAsia="仿宋_GB2312" w:hint="eastAsia"/>
          <w:color w:val="000000"/>
          <w:sz w:val="32"/>
          <w:szCs w:val="32"/>
          <w:lang w:val="en-US" w:eastAsia="zh-CN"/>
        </w:rPr>
        <w:t>我乡</w:t>
      </w:r>
      <w:r>
        <w:rPr>
          <w:rFonts w:ascii="仿宋_GB2312" w:eastAsia="仿宋_GB2312" w:hint="eastAsia"/>
          <w:color w:val="000000"/>
          <w:sz w:val="32"/>
          <w:szCs w:val="32"/>
        </w:rPr>
        <w:t>所需的公务用车燃料费、维修费、过路过桥费、保险费等支出。</w:t>
      </w:r>
    </w:p>
    <w:p>
      <w:pPr>
        <w:numPr>
          <w:ilvl w:val="0"/>
          <w:numId w:val="3"/>
        </w:numPr>
        <w:spacing w:line="600" w:lineRule="exact"/>
        <w:ind w:left="0" w:firstLine="640"/>
        <w:rPr>
          <w:rFonts w:ascii="仿宋_GB2312" w:eastAsia="仿宋_GB2312" w:cs="仿宋" w:hint="eastAsia"/>
          <w:color w:val="000000"/>
          <w:sz w:val="32"/>
          <w:szCs w:val="32"/>
          <w:lang w:val="en-US" w:eastAsia="zh-CN"/>
        </w:rPr>
      </w:pP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b w:val="0"/>
          <w:bCs/>
          <w:color w:val="000000"/>
          <w:sz w:val="32"/>
          <w:szCs w:val="32"/>
        </w:rPr>
        <w:t>%</w:t>
      </w:r>
      <w:r>
        <w:rPr>
          <w:rStyle w:val="24"/>
          <w:rFonts w:ascii="仿宋" w:eastAsia="仿宋" w:hint="eastAsia"/>
          <w:b w:val="0"/>
          <w:bCs/>
          <w:color w:val="000000"/>
          <w:sz w:val="32"/>
          <w:szCs w:val="32"/>
        </w:rPr>
        <w:t>。</w:t>
      </w:r>
      <w:r>
        <w:rPr>
          <w:rFonts w:ascii="仿宋_GB2312" w:eastAsia="仿宋_GB2312" w:cs="仿宋" w:hint="eastAsia"/>
          <w:color w:val="000000"/>
          <w:sz w:val="32"/>
          <w:szCs w:val="32"/>
          <w:lang w:val="en-US" w:eastAsia="zh-CN"/>
        </w:rPr>
        <w:t>公务接待费0万元，与上年持平。</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bookmarkStart w:id="47" w:name="_Toc15396610"/>
      <w:bookmarkStart w:id="48" w:name="_Toc15377218"/>
    </w:p>
    <w:p>
      <w:pPr>
        <w:spacing w:line="600" w:lineRule="exact"/>
        <w:ind w:firstLine="640"/>
        <w:outlineLvl w:val="1"/>
        <w:rPr>
          <w:rStyle w:val="2Char"/>
          <w:rFonts w:ascii="黑体" w:eastAsia="黑体"/>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4"/>
        </w:numPr>
        <w:spacing w:line="600" w:lineRule="exact"/>
        <w:ind w:left="0" w:firstLine="640"/>
        <w:outlineLvl w:val="1"/>
        <w:rPr>
          <w:rStyle w:val="2Char"/>
          <w:rFonts w:ascii="黑体" w:eastAsia="黑体"/>
          <w:b w:val="0"/>
        </w:rPr>
      </w:pPr>
      <w:bookmarkStart w:id="49" w:name="_Toc15377219"/>
      <w:bookmarkStart w:id="50" w:name="_Toc15396611"/>
      <w:r>
        <w:rPr>
          <w:rStyle w:val="2Char"/>
          <w:rFonts w:ascii="黑体" w:eastAsia="黑体" w:hint="eastAsia"/>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pStyle w:val="31"/>
        <w:numPr>
          <w:ilvl w:val="0"/>
          <w:numId w:val="5"/>
        </w:numPr>
        <w:spacing w:line="580" w:lineRule="exact"/>
        <w:ind w:firstLineChars="0"/>
        <w:rPr>
          <w:rStyle w:val="2Char"/>
          <w:rFonts w:ascii="黑体" w:eastAsia="黑体"/>
          <w:b w:val="0"/>
        </w:rPr>
      </w:pPr>
      <w:r>
        <w:rPr>
          <w:rStyle w:val="2Char"/>
          <w:rFonts w:ascii="黑体" w:eastAsia="黑体" w:hint="eastAsia"/>
          <w:b w:val="0"/>
        </w:rPr>
        <w:t>预算绩效情况说明</w:t>
      </w:r>
    </w:p>
    <w:p>
      <w:pPr>
        <w:tabs>
          <w:tab w:val="left" w:pos="0"/>
        </w:tabs>
        <w:spacing w:line="580" w:lineRule="exact"/>
        <w:ind w:left="1050"/>
        <w:rPr>
          <w:rFonts w:ascii="仿宋" w:eastAsia="仿宋" w:cs="楷体_GB2312"/>
          <w:b/>
          <w:bCs/>
          <w:sz w:val="32"/>
          <w:szCs w:val="32"/>
        </w:rPr>
      </w:pPr>
      <w:r>
        <w:rPr>
          <w:rFonts w:ascii="仿宋" w:eastAsia="仿宋" w:cs="楷体_GB2312" w:hint="eastAsia"/>
          <w:b/>
          <w:bCs/>
          <w:sz w:val="32"/>
          <w:szCs w:val="32"/>
        </w:rPr>
        <w:t>预算绩效管理工作开展情况。</w:t>
      </w:r>
    </w:p>
    <w:p>
      <w:pPr>
        <w:spacing w:line="580" w:lineRule="exact"/>
        <w:ind w:firstLineChars="200" w:firstLine="640"/>
        <w:rPr>
          <w:rFonts w:ascii="仿宋_GB2312" w:eastAsia="仿宋_GB2312" w:cs="仿宋_GB2312"/>
          <w:sz w:val="32"/>
          <w:szCs w:val="32"/>
          <w:lang w:val="en-US" w:eastAsia="zh-CN"/>
          <w:highlight w:val="auto"/>
        </w:rPr>
      </w:pPr>
      <w:r>
        <w:rPr>
          <w:rFonts w:ascii="仿宋_GB2312" w:eastAsia="仿宋_GB2312" w:cs="仿宋_GB2312" w:hint="eastAsia"/>
          <w:sz w:val="32"/>
          <w:szCs w:val="32"/>
        </w:rPr>
        <w:t>按要求对20</w:t>
      </w:r>
      <w:r>
        <w:rPr>
          <w:rFonts w:ascii="仿宋_GB2312" w:eastAsia="仿宋_GB2312" w:cs="仿宋_GB2312" w:hint="eastAsia"/>
          <w:sz w:val="32"/>
          <w:szCs w:val="32"/>
          <w:lang w:val="en-US" w:eastAsia="zh-CN"/>
        </w:rPr>
        <w:t>22</w:t>
      </w:r>
      <w:r>
        <w:rPr>
          <w:rFonts w:ascii="仿宋_GB2312" w:eastAsia="仿宋_GB2312" w:cs="仿宋_GB2312" w:hint="eastAsia"/>
          <w:sz w:val="32"/>
          <w:szCs w:val="32"/>
        </w:rPr>
        <w:t>年部门整体支出开展绩效自评，</w:t>
      </w:r>
      <w:r>
        <w:rPr>
          <w:rFonts w:ascii="仿宋_GB2312" w:eastAsia="仿宋_GB2312" w:hint="eastAsia"/>
          <w:sz w:val="32"/>
          <w:szCs w:val="32"/>
        </w:rPr>
        <w:t>经全面综合评价，</w:t>
      </w:r>
      <w:r>
        <w:rPr>
          <w:rFonts w:ascii="仿宋_GB2312" w:eastAsia="仿宋_GB2312" w:hint="eastAsia"/>
          <w:sz w:val="32"/>
          <w:szCs w:val="32"/>
          <w:lang w:eastAsia="zh-CN"/>
        </w:rPr>
        <w:t>我乡预算</w:t>
      </w:r>
      <w:r>
        <w:rPr>
          <w:rFonts w:ascii="仿宋_GB2312" w:eastAsia="仿宋_GB2312" w:hint="eastAsia"/>
          <w:sz w:val="32"/>
          <w:szCs w:val="32"/>
        </w:rPr>
        <w:t>支出绩效自评得分</w:t>
      </w:r>
      <w:r>
        <w:rPr>
          <w:rFonts w:ascii="仿宋_GB2312" w:eastAsia="仿宋_GB2312" w:hint="eastAsia"/>
          <w:sz w:val="32"/>
          <w:szCs w:val="32"/>
          <w:lang w:val="en-US" w:eastAsia="zh-CN"/>
        </w:rPr>
        <w:t>85</w:t>
      </w:r>
      <w:r>
        <w:rPr>
          <w:rFonts w:ascii="仿宋_GB2312" w:eastAsia="仿宋_GB2312" w:hint="eastAsia"/>
          <w:color w:val="000000"/>
          <w:sz w:val="32"/>
          <w:szCs w:val="32"/>
        </w:rPr>
        <w:t>分</w:t>
      </w:r>
      <w:r>
        <w:rPr>
          <w:rFonts w:ascii="仿宋_GB2312" w:eastAsia="仿宋_GB2312" w:hint="eastAsia"/>
          <w:sz w:val="32"/>
          <w:szCs w:val="32"/>
        </w:rPr>
        <w:t>。</w:t>
      </w:r>
      <w:r>
        <w:rPr>
          <w:rFonts w:ascii="仿宋_GB2312" w:eastAsia="仿宋_GB2312" w:hint="eastAsia"/>
          <w:sz w:val="32"/>
          <w:szCs w:val="32"/>
          <w:lang w:eastAsia="zh-CN"/>
        </w:rPr>
        <w:t>我乡深入贯彻落实</w:t>
      </w:r>
      <w:r>
        <w:rPr>
          <w:rFonts w:ascii="仿宋_GB2312" w:eastAsia="仿宋_GB2312"/>
          <w:sz w:val="32"/>
          <w:szCs w:val="32"/>
          <w:lang w:eastAsia="zh-CN"/>
        </w:rPr>
        <w:t>党的</w:t>
      </w:r>
      <w:r>
        <w:rPr>
          <w:rFonts w:ascii="仿宋_GB2312" w:eastAsia="仿宋_GB2312" w:hint="eastAsia"/>
          <w:sz w:val="32"/>
          <w:szCs w:val="32"/>
          <w:lang w:eastAsia="zh-CN"/>
        </w:rPr>
        <w:t>十九大关于“全面实施绩效管理”的要求，努力提升本单位绩效预算管理业务水平。主动公开绩效结果，加大资金使用效率，提升政府管理水平。</w:t>
      </w:r>
      <w:r>
        <w:rPr>
          <w:rFonts w:ascii="仿宋_GB2312" w:eastAsia="仿宋_GB2312" w:cs="仿宋_GB2312" w:hint="eastAsia"/>
          <w:sz w:val="32"/>
          <w:szCs w:val="32"/>
        </w:rPr>
        <w:t>还自行组织了</w:t>
      </w:r>
      <w:r>
        <w:rPr>
          <w:rFonts w:ascii="仿宋_GB2312" w:eastAsia="仿宋_GB2312" w:cs="仿宋_GB2312" w:hint="eastAsia"/>
          <w:sz w:val="32"/>
          <w:szCs w:val="32"/>
          <w:lang w:val="en-US" w:eastAsia="zh-CN"/>
        </w:rPr>
        <w:t>4</w:t>
      </w:r>
      <w:r>
        <w:rPr>
          <w:rFonts w:ascii="仿宋_GB2312" w:eastAsia="仿宋_GB2312" w:cs="仿宋_GB2312" w:hint="eastAsia"/>
          <w:sz w:val="32"/>
          <w:szCs w:val="32"/>
        </w:rPr>
        <w:t>个项目绩效评价，从评价情况来看</w:t>
      </w:r>
      <w:r>
        <w:rPr>
          <w:rFonts w:ascii="仿宋_GB2312" w:eastAsia="仿宋_GB2312" w:cs="仿宋_GB2312" w:hint="eastAsia"/>
          <w:sz w:val="32"/>
          <w:szCs w:val="32"/>
          <w:lang w:val="en-US" w:eastAsia="zh-CN"/>
        </w:rPr>
        <w:t>我乡年初预算项目基本按照绩效目标完成支付，有部分项目结转质保金在下年质保期后进行支付。</w:t>
      </w:r>
    </w:p>
    <w:p>
      <w:pPr>
        <w:rPr>
          <w:rFonts w:ascii="Calibri" w:hAnsi="Calibri"/>
        </w:rPr>
      </w:pPr>
    </w:p>
    <w:p>
      <w:pPr>
        <w:spacing w:line="600" w:lineRule="exact"/>
        <w:outlineLvl w:val="1"/>
        <w:rPr>
          <w:rStyle w:val="2Char"/>
          <w:rFonts w:ascii="黑体" w:eastAsia="黑体"/>
        </w:rPr>
      </w:pPr>
      <w:bookmarkStart w:id="51" w:name="_Toc15396612"/>
      <w:bookmarkStart w:id="52" w:name="_Toc15377221"/>
      <w:r>
        <w:rPr>
          <w:rFonts w:ascii="黑体" w:eastAsia="黑体" w:hint="eastAsia"/>
          <w:color w:val="000000"/>
          <w:sz w:val="32"/>
          <w:szCs w:val="32"/>
        </w:rPr>
        <w:t>十</w:t>
      </w:r>
      <w:r>
        <w:rPr>
          <w:rStyle w:val="2Char"/>
          <w:rFonts w:ascii="黑体" w:eastAsia="黑体" w:hint="eastAsia"/>
        </w:rPr>
        <w:t>一、</w:t>
      </w:r>
      <w:r>
        <w:rPr>
          <w:rStyle w:val="2Char"/>
          <w:rFonts w:ascii="黑体" w:eastAsia="黑体" w:hint="eastAsia"/>
          <w:b w:val="0"/>
        </w:rPr>
        <w:t>其他重要事项的情况说明</w:t>
      </w:r>
      <w:bookmarkEnd w:id="51"/>
      <w:bookmarkEnd w:id="52"/>
    </w:p>
    <w:p>
      <w:pPr>
        <w:spacing w:line="600" w:lineRule="exact"/>
        <w:ind w:firstLineChars="200" w:firstLine="640"/>
        <w:outlineLvl w:val="2"/>
        <w:rPr>
          <w:rFonts w:ascii="仿宋" w:eastAsia="仿宋"/>
          <w:color w:val="000000"/>
          <w:sz w:val="32"/>
          <w:szCs w:val="32"/>
        </w:rPr>
      </w:pPr>
      <w:bookmarkStart w:id="53" w:name="_Toc15377222"/>
      <w:r>
        <w:rPr>
          <w:rFonts w:ascii="仿宋" w:eastAsia="仿宋" w:hint="eastAsia"/>
          <w:b/>
          <w:color w:val="000000"/>
          <w:sz w:val="32"/>
          <w:szCs w:val="32"/>
        </w:rPr>
        <w:t>（一）机关运行经费支出情况</w:t>
      </w:r>
      <w:bookmarkEnd w:id="53"/>
    </w:p>
    <w:p>
      <w:pPr>
        <w:spacing w:line="600" w:lineRule="exact"/>
        <w:ind w:firstLineChars="200" w:firstLine="640"/>
        <w:rPr>
          <w:rFonts w:ascii="仿宋_GB2312" w:eastAsia="仿宋_GB2312" w:hint="eastAsia"/>
          <w:color w:val="auto"/>
          <w:sz w:val="32"/>
          <w:szCs w:val="32"/>
          <w:lang w:val="en-US" w:eastAsia="zh-CN"/>
          <w:highlight w:val="auto"/>
        </w:rPr>
      </w:pPr>
      <w:r>
        <w:rPr>
          <w:rFonts w:ascii="仿宋_GB2312" w:eastAsia="仿宋_GB2312"/>
          <w:color w:val="000000"/>
          <w:sz w:val="32"/>
          <w:szCs w:val="32"/>
          <w:highlight w:val="auto"/>
        </w:rPr>
        <w:t>20</w:t>
      </w:r>
      <w:r>
        <w:rPr>
          <w:rFonts w:ascii="仿宋_GB2312" w:eastAsia="仿宋_GB2312" w:hint="eastAsia"/>
          <w:color w:val="000000"/>
          <w:sz w:val="32"/>
          <w:szCs w:val="32"/>
          <w:lang w:val="en-US" w:eastAsia="zh-CN"/>
          <w:highlight w:val="auto"/>
        </w:rPr>
        <w:t>22</w:t>
      </w:r>
      <w:r>
        <w:rPr>
          <w:rFonts w:ascii="仿宋_GB2312" w:eastAsia="仿宋_GB2312" w:hint="eastAsia"/>
          <w:color w:val="000000"/>
          <w:sz w:val="32"/>
          <w:szCs w:val="32"/>
          <w:highlight w:val="auto"/>
        </w:rPr>
        <w:t>年，</w:t>
      </w:r>
      <w:r>
        <w:rPr>
          <w:rFonts w:ascii="仿宋_GB2312" w:eastAsia="仿宋_GB2312" w:hint="eastAsia"/>
          <w:color w:val="000000"/>
          <w:sz w:val="32"/>
          <w:szCs w:val="32"/>
          <w:lang w:val="en-US" w:eastAsia="zh-CN"/>
          <w:highlight w:val="auto"/>
        </w:rPr>
        <w:t>我乡</w:t>
      </w:r>
      <w:r>
        <w:rPr>
          <w:rFonts w:ascii="仿宋_GB2312" w:eastAsia="仿宋_GB2312" w:hint="eastAsia"/>
          <w:color w:val="000000"/>
          <w:sz w:val="32"/>
          <w:szCs w:val="32"/>
          <w:highlight w:val="auto"/>
        </w:rPr>
        <w:t>运行经费支出</w:t>
      </w:r>
      <w:r>
        <w:rPr>
          <w:rFonts w:ascii="仿宋_GB2312" w:eastAsia="仿宋_GB2312" w:hint="eastAsia"/>
          <w:color w:val="000000"/>
          <w:sz w:val="32"/>
          <w:szCs w:val="32"/>
          <w:lang w:val="en-US" w:eastAsia="zh-CN"/>
          <w:highlight w:val="auto"/>
        </w:rPr>
        <w:t>21.07</w:t>
      </w:r>
      <w:r>
        <w:rPr>
          <w:rFonts w:ascii="仿宋_GB2312" w:eastAsia="仿宋_GB2312" w:hint="eastAsia"/>
          <w:color w:val="000000"/>
          <w:sz w:val="32"/>
          <w:szCs w:val="32"/>
          <w:highlight w:val="auto"/>
        </w:rPr>
        <w:t>万元</w:t>
      </w:r>
      <w:r>
        <w:rPr>
          <w:rFonts w:ascii="仿宋_GB2312" w:eastAsia="仿宋_GB2312" w:hint="eastAsia"/>
          <w:color w:val="000000"/>
          <w:sz w:val="32"/>
          <w:szCs w:val="32"/>
          <w:lang w:eastAsia="zh-CN"/>
          <w:highlight w:val="auto"/>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4" w:name="_Toc15377223"/>
      <w:r>
        <w:rPr>
          <w:rFonts w:ascii="仿宋" w:eastAsia="仿宋" w:hint="eastAsia"/>
          <w:b/>
          <w:color w:val="000000"/>
          <w:sz w:val="32"/>
          <w:szCs w:val="32"/>
        </w:rPr>
        <w:t>（二）政府采购支出情况</w:t>
      </w:r>
      <w:bookmarkEnd w:id="54"/>
    </w:p>
    <w:p>
      <w:pPr>
        <w:spacing w:line="600" w:lineRule="exact"/>
        <w:ind w:firstLineChars="200" w:firstLine="640"/>
        <w:rPr>
          <w:rFonts w:ascii="仿宋" w:eastAsia="仿宋"/>
          <w:b/>
          <w:color w:val="auto"/>
          <w:sz w:val="32"/>
          <w:szCs w:val="32"/>
          <w:lang w:val="en-US" w:eastAsia="zh-CN"/>
        </w:rPr>
      </w:pP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auto"/>
          <w:sz w:val="32"/>
          <w:szCs w:val="32"/>
        </w:rPr>
        <w:t>主要用于</w:t>
      </w:r>
      <w:r>
        <w:rPr>
          <w:rFonts w:ascii="仿宋_GB2312" w:eastAsia="仿宋_GB2312" w:hint="eastAsia"/>
          <w:color w:val="auto"/>
          <w:sz w:val="32"/>
          <w:szCs w:val="32"/>
          <w:lang w:val="en-US" w:eastAsia="zh-CN"/>
        </w:rPr>
        <w:t>办公设备购置、口岸物流办可研报告编制服务费。</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5" w:name="_Toc15377224"/>
      <w:r>
        <w:rPr>
          <w:rFonts w:ascii="仿宋" w:eastAsia="仿宋" w:hint="eastAsia"/>
          <w:b/>
          <w:color w:val="000000"/>
          <w:sz w:val="32"/>
          <w:szCs w:val="32"/>
        </w:rPr>
        <w:t>（三）国有资产占有使用情况</w:t>
      </w:r>
      <w:bookmarkEnd w:id="55"/>
    </w:p>
    <w:p>
      <w:pPr>
        <w:widowControl/>
        <w:ind w:firstLineChars="200" w:firstLine="640"/>
        <w:jc w:val="left"/>
        <w:rPr>
          <w:rFonts w:ascii="仿宋_GB2312" w:eastAsia="仿宋_GB2312"/>
          <w:b/>
          <w:color w:val="000000"/>
          <w:sz w:val="32"/>
          <w:szCs w:val="32"/>
          <w:lang w:val="en-US" w:eastAsia="zh-CN"/>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lang w:val="en-US" w:eastAsia="zh-CN"/>
        </w:rPr>
        <w:t>22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日，共有车辆</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辆</w:t>
      </w:r>
      <w:r>
        <w:rPr>
          <w:rFonts w:ascii="仿宋_GB2312" w:eastAsia="仿宋_GB2312" w:hint="eastAsia"/>
          <w:color w:val="000000"/>
          <w:sz w:val="32"/>
          <w:szCs w:val="32"/>
          <w:lang w:eastAsia="zh-CN"/>
        </w:rPr>
        <w:t>，</w:t>
      </w:r>
      <w:r>
        <w:rPr>
          <w:rFonts w:ascii="仿宋_GB2312" w:eastAsia="仿宋_GB2312" w:hint="eastAsia"/>
          <w:color w:val="000000"/>
          <w:sz w:val="32"/>
          <w:szCs w:val="32"/>
          <w:lang w:val="en-US" w:eastAsia="zh-CN"/>
        </w:rPr>
        <w:t>为日常工作及</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r>
        <w:rPr>
          <w:rFonts w:ascii="仿宋_GB2312" w:eastAsia="仿宋_GB2312" w:hint="eastAsia"/>
          <w:b/>
          <w:color w:val="000000"/>
          <w:sz w:val="32"/>
          <w:szCs w:val="32"/>
          <w:lang w:val="en-US" w:eastAsia="zh-CN"/>
        </w:rPr>
        <w:t xml:space="preserve">    </w:t>
      </w:r>
    </w:p>
    <w:p>
      <w:pPr>
        <w:numPr>
          <w:ilvl w:val="0"/>
          <w:numId w:val="6"/>
        </w:numPr>
        <w:spacing w:line="600" w:lineRule="exact"/>
        <w:ind w:left="0" w:firstLineChars="150" w:firstLine="660"/>
        <w:jc w:val="center"/>
        <w:outlineLvl w:val="0"/>
        <w:rPr>
          <w:rStyle w:val="1Char"/>
          <w:rFonts w:ascii="黑体" w:eastAsia="黑体"/>
          <w:b w:val="0"/>
        </w:rPr>
      </w:pPr>
      <w:bookmarkStart w:id="56" w:name="_Toc15396613"/>
      <w:bookmarkStart w:id="57" w:name="_Toc15377225"/>
      <w:r>
        <w:rPr>
          <w:rFonts w:ascii="黑体" w:eastAsia="黑体" w:hint="eastAsia"/>
          <w:b/>
          <w:color w:val="000000"/>
          <w:sz w:val="44"/>
          <w:szCs w:val="44"/>
        </w:rPr>
        <w:t>名</w:t>
      </w:r>
      <w:r>
        <w:rPr>
          <w:rStyle w:val="1Char"/>
          <w:rFonts w:ascii="黑体" w:eastAsia="黑体" w:hint="eastAsia"/>
          <w:b w:val="0"/>
        </w:rPr>
        <w:t>词解释</w:t>
      </w:r>
      <w:bookmarkEnd w:id="56"/>
      <w:bookmarkEnd w:id="57"/>
    </w:p>
    <w:p>
      <w:pPr>
        <w:pStyle w:val="30"/>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30"/>
        <w:spacing w:line="560" w:lineRule="exact"/>
        <w:ind w:firstLineChars="200" w:firstLine="640"/>
        <w:rPr>
          <w:rFonts w:ascii="仿宋_GB2312" w:eastAsia="仿宋_GB2312" w:hint="eastAsia"/>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w:t>
      </w:r>
      <w:r>
        <w:rPr>
          <w:rFonts w:ascii="仿宋_GB2312" w:eastAsia="仿宋_GB2312" w:hint="eastAsia"/>
          <w:sz w:val="32"/>
          <w:szCs w:val="32"/>
          <w:lang w:val="en-US" w:eastAsia="zh-CN"/>
        </w:rPr>
        <w:t>银行存款利息和伙食团缴费</w:t>
      </w:r>
      <w:r>
        <w:rPr>
          <w:rFonts w:ascii="仿宋_GB2312" w:eastAsia="仿宋_GB2312" w:hint="eastAsia"/>
          <w:sz w:val="32"/>
          <w:szCs w:val="32"/>
        </w:rPr>
        <w:t>等。</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7</w:t>
      </w:r>
      <w:r>
        <w:rPr>
          <w:rFonts w:ascii="仿宋_GB2312" w:eastAsia="仿宋_GB2312" w:hint="eastAsia"/>
          <w:sz w:val="32"/>
          <w:szCs w:val="32"/>
        </w:rPr>
        <w:t>、年末结转和结余：指单位按有关规定结转到下年或以后年度继续使用的资金。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8</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9</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一般公共服务（类）政府办公厅（室）及相关机构事务（款）一般行政管理事务（项）：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反映行政单位未单独设置顶级科目的其他项目支出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10</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教育（类）其他教育支出（款）其他教育支出（项）：</w:t>
      </w:r>
      <w:r>
        <w:rPr>
          <w:rFonts w:ascii="仿宋_GB2312" w:eastAsia="仿宋_GB2312" w:hint="eastAsia"/>
          <w:color w:val="000000"/>
          <w:sz w:val="32"/>
          <w:szCs w:val="32"/>
          <w:lang w:val="en-US" w:eastAsia="zh-CN"/>
        </w:rPr>
        <w:t>除上诉项目以外用于教育管理事务方面的支出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11</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12</w:t>
      </w:r>
      <w:r>
        <w:rPr>
          <w:rFonts w:ascii="仿宋_GB2312" w:eastAsia="仿宋_GB2312"/>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13</w:t>
      </w:r>
      <w:r>
        <w:rPr>
          <w:rFonts w:ascii="仿宋_GB2312" w:eastAsia="仿宋_GB2312"/>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15</w:t>
      </w:r>
      <w:r>
        <w:rPr>
          <w:rFonts w:ascii="仿宋_GB2312" w:eastAsia="仿宋_GB2312"/>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lang w:val="en-US" w:eastAsia="zh-CN"/>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30"/>
        <w:spacing w:line="560" w:lineRule="exact"/>
        <w:ind w:firstLineChars="200" w:firstLine="640"/>
        <w:rPr>
          <w:rFonts w:ascii="仿宋_GB2312" w:eastAsia="仿宋_GB2312"/>
          <w:sz w:val="32"/>
          <w:szCs w:val="32"/>
        </w:rPr>
      </w:pPr>
      <w:r>
        <w:rPr>
          <w:rFonts w:ascii="仿宋_GB2312" w:eastAsia="仿宋_GB2312" w:hint="eastAsia"/>
          <w:sz w:val="32"/>
          <w:szCs w:val="32"/>
          <w:lang w:val="en-US" w:eastAsia="zh-CN"/>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0"/>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ageBreakBefore w:val="0"/>
        <w:widowControl w:val="0"/>
        <w:kinsoku/>
        <w:wordWrap/>
        <w:overflowPunct/>
        <w:topLinePunct w:val="0"/>
        <w:bidi w:val="0"/>
        <w:spacing w:line="576" w:lineRule="exact"/>
        <w:jc w:val="center"/>
        <w:outlineLvl w:val="0"/>
        <w:rPr>
          <w:rStyle w:val="1Char"/>
          <w:rFonts w:ascii="Times New Roman" w:eastAsia="黑体" w:cs="Times New Roman" w:hAnsi="Times New Roman"/>
          <w:b w:val="0"/>
        </w:rPr>
      </w:pPr>
      <w:bookmarkStart w:id="58" w:name="_Toc26843623"/>
      <w:bookmarkStart w:id="59" w:name="_Toc15396614"/>
      <w:r>
        <w:rPr>
          <w:rFonts w:ascii="Times New Roman" w:eastAsia="黑体" w:cs="Times New Roman" w:hAnsi="Times New Roman"/>
          <w:sz w:val="44"/>
          <w:szCs w:val="44"/>
        </w:rPr>
        <w:t>第</w:t>
      </w:r>
      <w:r>
        <w:rPr>
          <w:rStyle w:val="1Char"/>
          <w:rFonts w:ascii="Times New Roman" w:eastAsia="黑体" w:cs="Times New Roman" w:hAnsi="Times New Roman"/>
          <w:b w:val="0"/>
        </w:rPr>
        <w:t>四部分 附件</w:t>
      </w:r>
      <w:bookmarkEnd w:id="58"/>
      <w:bookmarkEnd w:id="59"/>
    </w:p>
    <w:p>
      <w:pPr>
        <w:pageBreakBefore w:val="0"/>
        <w:widowControl w:val="0"/>
        <w:kinsoku/>
        <w:wordWrap/>
        <w:overflowPunct/>
        <w:topLinePunct w:val="0"/>
        <w:bidi w:val="0"/>
        <w:spacing w:line="576" w:lineRule="exact"/>
        <w:jc w:val="left"/>
        <w:outlineLvl w:val="0"/>
        <w:rPr>
          <w:rFonts w:ascii="Times New Roman" w:eastAsia="方正小标宋简体" w:cs="Times New Roman" w:hAnsi="Times New Roman"/>
          <w:sz w:val="44"/>
          <w:szCs w:val="44"/>
        </w:rPr>
      </w:pPr>
      <w:bookmarkStart w:id="60" w:name="_Toc26843624"/>
      <w:r>
        <w:rPr>
          <w:rFonts w:ascii="Times New Roman" w:eastAsia="黑体" w:cs="Times New Roman" w:hAnsi="Times New Roman"/>
          <w:sz w:val="32"/>
          <w:szCs w:val="32"/>
        </w:rPr>
        <w:t>附件</w:t>
      </w:r>
      <w:bookmarkEnd w:id="60"/>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eastAsia="zh-CN"/>
        </w:rPr>
      </w:pPr>
      <w:r>
        <w:rPr>
          <w:rFonts w:ascii="方正小标宋_GBK" w:eastAsia="方正小标宋_GBK" w:cs="方正小标宋_GBK" w:hint="eastAsia"/>
          <w:sz w:val="44"/>
          <w:szCs w:val="44"/>
          <w:lang w:eastAsia="zh-CN"/>
        </w:rPr>
        <w:t>金川县</w:t>
      </w:r>
      <w:r>
        <w:rPr>
          <w:rFonts w:ascii="方正小标宋_GBK" w:eastAsia="方正小标宋_GBK" w:cs="方正小标宋_GBK" w:hint="eastAsia"/>
          <w:sz w:val="44"/>
          <w:szCs w:val="44"/>
          <w:lang w:val="en-US" w:eastAsia="zh-CN"/>
        </w:rPr>
        <w:t>庆宁</w:t>
      </w:r>
      <w:r>
        <w:rPr>
          <w:rFonts w:ascii="方正小标宋_GBK" w:eastAsia="方正小标宋_GBK" w:cs="方正小标宋_GBK" w:hint="eastAsia"/>
          <w:sz w:val="44"/>
          <w:szCs w:val="44"/>
          <w:lang w:eastAsia="zh-CN"/>
        </w:rPr>
        <w:t>乡人民政府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ascii="方正小标宋_GBK" w:eastAsia="方正小标宋_GBK" w:cs="方正小标宋_GBK" w:hint="eastAsia"/>
          <w:sz w:val="44"/>
          <w:szCs w:val="44"/>
          <w:lang w:val="en-US"/>
        </w:rPr>
      </w:pPr>
      <w:r>
        <w:rPr>
          <w:rFonts w:ascii="方正小标宋_GBK" w:eastAsia="方正小标宋_GBK" w:cs="方正小标宋_GBK" w:hint="eastAsia"/>
          <w:sz w:val="44"/>
          <w:szCs w:val="44"/>
          <w:lang w:val="en-US" w:eastAsia="zh-CN"/>
        </w:rPr>
        <w:t>2022年</w:t>
      </w:r>
      <w:r>
        <w:rPr>
          <w:rFonts w:ascii="方正小标宋_GBK" w:eastAsia="方正小标宋_GBK" w:cs="方正小标宋_GBK" w:hint="eastAsia"/>
          <w:sz w:val="44"/>
          <w:szCs w:val="44"/>
        </w:rPr>
        <w:t>部门整体支出绩效评价报告</w:t>
      </w:r>
    </w:p>
    <w:p>
      <w:pPr>
        <w:widowControl/>
        <w:spacing w:line="560" w:lineRule="exact"/>
        <w:ind w:firstLineChars="250" w:firstLine="775"/>
        <w:jc w:val="left"/>
        <w:rPr>
          <w:rFonts w:ascii="仿宋_GB2312" w:eastAsia="仿宋_GB2312" w:cs="仿宋_GB2312"/>
          <w:color w:val="000000"/>
          <w:kern w:val="0"/>
          <w:sz w:val="31"/>
          <w:szCs w:val="31"/>
          <w:lang w:val="zh-CN" w:eastAsia="zh-CN"/>
        </w:rPr>
      </w:pPr>
      <w:r>
        <w:rPr>
          <w:rFonts w:ascii="仿宋_GB2312" w:eastAsia="仿宋_GB2312" w:cs="仿宋_GB2312"/>
          <w:color w:val="000000"/>
          <w:kern w:val="0"/>
          <w:sz w:val="31"/>
          <w:szCs w:val="31"/>
          <w:lang w:val="en-US" w:eastAsia="zh-CN"/>
        </w:rPr>
        <w:t>为深入贯彻落实为深入贯彻落实党中央、国务院和省委、省政府关于全面实施预算绩效管理决策部署，</w:t>
      </w:r>
      <w:r>
        <w:rPr>
          <w:rFonts w:ascii="仿宋_GB2312" w:eastAsia="仿宋_GB2312" w:cs="仿宋_GB2312" w:hint="eastAsia"/>
          <w:color w:val="000000"/>
          <w:kern w:val="0"/>
          <w:sz w:val="31"/>
          <w:szCs w:val="31"/>
          <w:lang w:val="zh-CN" w:eastAsia="zh-CN"/>
        </w:rPr>
        <w:t>按照</w:t>
      </w:r>
      <w:r>
        <w:rPr>
          <w:rFonts w:ascii="仿宋_GB2312" w:eastAsia="仿宋_GB2312" w:cs="仿宋_GB2312"/>
          <w:color w:val="000000"/>
          <w:kern w:val="0"/>
          <w:sz w:val="31"/>
          <w:szCs w:val="31"/>
          <w:lang w:val="zh-CN" w:eastAsia="zh-CN"/>
        </w:rPr>
        <w:t>《中共四川省委办公厅</w:t>
      </w:r>
      <w:r>
        <w:rPr>
          <w:rFonts w:ascii="仿宋_GB2312" w:eastAsia="仿宋_GB2312" w:cs="仿宋_GB2312" w:hint="eastAsia"/>
          <w:color w:val="000000"/>
          <w:kern w:val="0"/>
          <w:sz w:val="31"/>
          <w:szCs w:val="31"/>
          <w:lang w:val="en-US" w:eastAsia="zh-CN"/>
        </w:rPr>
        <w:t xml:space="preserve"> </w:t>
      </w:r>
      <w:r>
        <w:rPr>
          <w:rFonts w:ascii="仿宋_GB2312" w:eastAsia="仿宋_GB2312" w:cs="仿宋_GB2312"/>
          <w:color w:val="000000"/>
          <w:kern w:val="0"/>
          <w:sz w:val="31"/>
          <w:szCs w:val="31"/>
          <w:lang w:val="zh-CN" w:eastAsia="zh-CN"/>
        </w:rPr>
        <w:t>四川省人民政府办公厅关于深入实施预算绩效管理的通知</w:t>
      </w:r>
      <w:r>
        <w:rPr>
          <w:rFonts w:ascii="仿宋_GB2312" w:eastAsia="仿宋_GB2312" w:cs="仿宋_GB2312" w:hint="eastAsia"/>
          <w:color w:val="000000"/>
          <w:kern w:val="0"/>
          <w:sz w:val="31"/>
          <w:szCs w:val="31"/>
          <w:lang w:val="zh-CN" w:eastAsia="zh-CN"/>
        </w:rPr>
        <w:t>》</w:t>
      </w:r>
      <w:r>
        <w:rPr>
          <w:rFonts w:ascii="仿宋_GB2312" w:eastAsia="仿宋_GB2312" w:cs="仿宋_GB2312"/>
          <w:color w:val="000000"/>
          <w:kern w:val="0"/>
          <w:sz w:val="31"/>
          <w:szCs w:val="31"/>
          <w:lang w:val="zh-CN" w:eastAsia="zh-CN"/>
        </w:rPr>
        <w:t>（川委厅〔2022〕5号）</w:t>
      </w:r>
      <w:r>
        <w:rPr>
          <w:rFonts w:ascii="仿宋_GB2312" w:eastAsia="仿宋_GB2312" w:cs="仿宋_GB2312" w:hint="eastAsia"/>
          <w:color w:val="000000"/>
          <w:kern w:val="0"/>
          <w:sz w:val="31"/>
          <w:szCs w:val="31"/>
          <w:lang w:val="zh-CN" w:eastAsia="zh-CN"/>
        </w:rPr>
        <w:t>、《四川省省级财政预算管理办法》（省政府令第</w:t>
      </w:r>
      <w:r>
        <w:rPr>
          <w:rFonts w:ascii="仿宋_GB2312" w:eastAsia="仿宋_GB2312" w:cs="仿宋_GB2312" w:hint="eastAsia"/>
          <w:color w:val="000000"/>
          <w:kern w:val="0"/>
          <w:sz w:val="31"/>
          <w:szCs w:val="31"/>
          <w:lang w:val="en-US" w:eastAsia="zh-CN"/>
        </w:rPr>
        <w:t>356号</w:t>
      </w:r>
      <w:r>
        <w:rPr>
          <w:rFonts w:ascii="仿宋_GB2312" w:eastAsia="仿宋_GB2312" w:cs="仿宋_GB2312" w:hint="eastAsia"/>
          <w:color w:val="000000"/>
          <w:kern w:val="0"/>
          <w:sz w:val="31"/>
          <w:szCs w:val="31"/>
          <w:lang w:val="zh-CN" w:eastAsia="zh-CN"/>
        </w:rPr>
        <w:t>）</w:t>
      </w:r>
      <w:r>
        <w:rPr>
          <w:rFonts w:ascii="仿宋_GB2312" w:eastAsia="仿宋_GB2312" w:cs="仿宋_GB2312" w:hint="eastAsia"/>
          <w:color w:val="000000"/>
          <w:kern w:val="0"/>
          <w:sz w:val="31"/>
          <w:szCs w:val="31"/>
          <w:lang w:val="en-US" w:eastAsia="zh-CN"/>
        </w:rPr>
        <w:t>、《</w:t>
      </w:r>
      <w:r>
        <w:rPr>
          <w:rFonts w:ascii="仿宋_GB2312" w:eastAsia="仿宋_GB2312" w:cs="仿宋_GB2312"/>
          <w:color w:val="000000"/>
          <w:kern w:val="0"/>
          <w:sz w:val="31"/>
          <w:szCs w:val="31"/>
          <w:lang w:val="en-US" w:eastAsia="zh-CN"/>
        </w:rPr>
        <w:t>关于开展202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w:t>
      </w:r>
      <w:r>
        <w:rPr>
          <w:rFonts w:ascii="仿宋_GB2312" w:eastAsia="仿宋_GB2312" w:cs="仿宋_GB2312" w:hint="eastAsia"/>
          <w:color w:val="000000"/>
          <w:kern w:val="0"/>
          <w:sz w:val="31"/>
          <w:szCs w:val="31"/>
          <w:lang w:val="en-US" w:eastAsia="zh-CN"/>
        </w:rPr>
        <w:t>财政重点</w:t>
      </w:r>
      <w:r>
        <w:rPr>
          <w:rFonts w:ascii="仿宋_GB2312" w:eastAsia="仿宋_GB2312" w:cs="仿宋_GB2312"/>
          <w:color w:val="000000"/>
          <w:kern w:val="0"/>
          <w:sz w:val="31"/>
          <w:szCs w:val="31"/>
          <w:lang w:val="en-US" w:eastAsia="zh-CN"/>
        </w:rPr>
        <w:t>绩效</w:t>
      </w:r>
      <w:r>
        <w:rPr>
          <w:rFonts w:ascii="仿宋_GB2312" w:eastAsia="仿宋_GB2312" w:cs="仿宋_GB2312" w:hint="eastAsia"/>
          <w:color w:val="000000"/>
          <w:kern w:val="0"/>
          <w:sz w:val="31"/>
          <w:szCs w:val="31"/>
          <w:lang w:val="en-US" w:eastAsia="zh-CN"/>
        </w:rPr>
        <w:t>评价</w:t>
      </w:r>
      <w:r>
        <w:rPr>
          <w:rFonts w:ascii="仿宋_GB2312" w:eastAsia="仿宋_GB2312" w:cs="仿宋_GB2312"/>
          <w:color w:val="000000"/>
          <w:kern w:val="0"/>
          <w:sz w:val="31"/>
          <w:szCs w:val="31"/>
          <w:lang w:val="en-US" w:eastAsia="zh-CN"/>
        </w:rPr>
        <w:t>工作的通知》（</w:t>
      </w:r>
      <w:r>
        <w:rPr>
          <w:rFonts w:ascii="仿宋_GB2312" w:eastAsia="仿宋_GB2312" w:cs="仿宋_GB2312" w:hint="eastAsia"/>
          <w:color w:val="000000"/>
          <w:kern w:val="0"/>
          <w:sz w:val="31"/>
          <w:szCs w:val="31"/>
          <w:lang w:val="en-US" w:eastAsia="zh-CN"/>
        </w:rPr>
        <w:t>川财</w:t>
      </w:r>
      <w:r>
        <w:rPr>
          <w:rFonts w:ascii="仿宋_GB2312" w:eastAsia="仿宋_GB2312" w:cs="仿宋_GB2312"/>
          <w:color w:val="000000"/>
          <w:kern w:val="0"/>
          <w:sz w:val="31"/>
          <w:szCs w:val="31"/>
          <w:lang w:val="en-US" w:eastAsia="zh-CN"/>
        </w:rPr>
        <w:t>绩〔202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w:t>
      </w:r>
      <w:r>
        <w:rPr>
          <w:rFonts w:ascii="仿宋_GB2312" w:eastAsia="仿宋_GB2312" w:cs="仿宋_GB2312" w:hint="eastAsia"/>
          <w:color w:val="000000"/>
          <w:kern w:val="0"/>
          <w:sz w:val="31"/>
          <w:szCs w:val="31"/>
          <w:lang w:val="en-US" w:eastAsia="zh-CN"/>
        </w:rPr>
        <w:t>9</w:t>
      </w:r>
      <w:r>
        <w:rPr>
          <w:rFonts w:ascii="仿宋_GB2312" w:eastAsia="仿宋_GB2312" w:cs="仿宋_GB2312"/>
          <w:color w:val="000000"/>
          <w:kern w:val="0"/>
          <w:sz w:val="31"/>
          <w:szCs w:val="31"/>
          <w:lang w:val="en-US" w:eastAsia="zh-CN"/>
        </w:rPr>
        <w:t>号）</w:t>
      </w:r>
      <w:r>
        <w:rPr>
          <w:rFonts w:ascii="仿宋_GB2312" w:eastAsia="仿宋_GB2312" w:cs="仿宋_GB2312" w:hint="eastAsia"/>
          <w:color w:val="000000"/>
          <w:kern w:val="0"/>
          <w:sz w:val="31"/>
          <w:szCs w:val="31"/>
          <w:lang w:val="en-US" w:eastAsia="zh-CN"/>
        </w:rPr>
        <w:t>等</w:t>
      </w:r>
      <w:r>
        <w:rPr>
          <w:rFonts w:ascii="仿宋_GB2312" w:eastAsia="仿宋_GB2312" w:cs="仿宋_GB2312"/>
          <w:color w:val="000000"/>
          <w:kern w:val="0"/>
          <w:sz w:val="31"/>
          <w:szCs w:val="31"/>
          <w:lang w:val="en-US" w:eastAsia="zh-CN"/>
        </w:rPr>
        <w:t>文件要求、以及</w:t>
      </w:r>
      <w:r>
        <w:rPr>
          <w:rFonts w:ascii="仿宋_GB2312" w:eastAsia="仿宋_GB2312" w:cs="仿宋_GB2312" w:hint="eastAsia"/>
          <w:color w:val="000000"/>
          <w:kern w:val="0"/>
          <w:sz w:val="31"/>
          <w:szCs w:val="31"/>
          <w:lang w:val="en-US" w:eastAsia="zh-CN"/>
        </w:rPr>
        <w:t>金川县财政局</w:t>
      </w:r>
      <w:r>
        <w:rPr>
          <w:rFonts w:ascii="仿宋_GB2312" w:eastAsia="仿宋_GB2312" w:cs="仿宋_GB2312"/>
          <w:color w:val="000000"/>
          <w:kern w:val="0"/>
          <w:sz w:val="31"/>
          <w:szCs w:val="31"/>
          <w:lang w:val="en-US" w:eastAsia="zh-CN"/>
        </w:rPr>
        <w:t>《关于开展202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年度</w:t>
      </w:r>
      <w:r>
        <w:rPr>
          <w:rFonts w:ascii="仿宋_GB2312" w:eastAsia="仿宋_GB2312" w:cs="仿宋_GB2312" w:hint="eastAsia"/>
          <w:color w:val="000000"/>
          <w:kern w:val="0"/>
          <w:sz w:val="31"/>
          <w:szCs w:val="31"/>
          <w:lang w:val="en-US" w:eastAsia="zh-CN"/>
        </w:rPr>
        <w:t>部门、政策和项目支出绩效评价的</w:t>
      </w:r>
      <w:r>
        <w:rPr>
          <w:rFonts w:ascii="仿宋_GB2312" w:eastAsia="仿宋_GB2312" w:cs="仿宋_GB2312"/>
          <w:color w:val="000000"/>
          <w:kern w:val="0"/>
          <w:sz w:val="31"/>
          <w:szCs w:val="31"/>
          <w:lang w:val="en-US" w:eastAsia="zh-CN"/>
        </w:rPr>
        <w:t>通知》（金财监绩〔202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w:t>
      </w:r>
      <w:r>
        <w:rPr>
          <w:rFonts w:ascii="仿宋_GB2312" w:eastAsia="仿宋_GB2312" w:cs="仿宋_GB2312" w:hint="eastAsia"/>
          <w:color w:val="000000"/>
          <w:kern w:val="0"/>
          <w:sz w:val="31"/>
          <w:szCs w:val="31"/>
          <w:lang w:val="en-US" w:eastAsia="zh-CN"/>
        </w:rPr>
        <w:t>32</w:t>
      </w:r>
      <w:r>
        <w:rPr>
          <w:rFonts w:ascii="仿宋_GB2312" w:eastAsia="仿宋_GB2312" w:cs="仿宋_GB2312"/>
          <w:color w:val="000000"/>
          <w:kern w:val="0"/>
          <w:sz w:val="31"/>
          <w:szCs w:val="31"/>
          <w:lang w:val="en-US" w:eastAsia="zh-CN"/>
        </w:rPr>
        <w:t>号）文件安排部署，</w:t>
      </w:r>
      <w:r>
        <w:rPr>
          <w:rFonts w:ascii="仿宋_GB2312" w:eastAsia="仿宋_GB2312" w:cs="仿宋_GB2312"/>
          <w:color w:val="000000"/>
          <w:kern w:val="0"/>
          <w:sz w:val="31"/>
          <w:szCs w:val="31"/>
          <w:lang w:val="zh-CN" w:eastAsia="zh-CN"/>
        </w:rPr>
        <w:t>我</w:t>
      </w:r>
      <w:r>
        <w:rPr>
          <w:rFonts w:ascii="仿宋_GB2312" w:eastAsia="仿宋_GB2312" w:cs="仿宋_GB2312" w:hint="eastAsia"/>
          <w:color w:val="000000"/>
          <w:kern w:val="0"/>
          <w:sz w:val="31"/>
          <w:szCs w:val="31"/>
          <w:lang w:val="en-US" w:eastAsia="zh-CN"/>
        </w:rPr>
        <w:t>乡</w:t>
      </w:r>
      <w:r>
        <w:rPr>
          <w:rFonts w:ascii="仿宋_GB2312" w:eastAsia="仿宋_GB2312" w:cs="仿宋_GB2312"/>
          <w:color w:val="000000"/>
          <w:kern w:val="0"/>
          <w:sz w:val="31"/>
          <w:szCs w:val="31"/>
          <w:lang w:val="zh-CN" w:eastAsia="zh-CN"/>
        </w:rPr>
        <w:t>高度重视，赓即开展</w:t>
      </w:r>
      <w:r>
        <w:rPr>
          <w:rFonts w:ascii="仿宋_GB2312" w:eastAsia="仿宋_GB2312" w:cs="仿宋_GB2312"/>
          <w:color w:val="000000"/>
          <w:kern w:val="0"/>
          <w:sz w:val="31"/>
          <w:szCs w:val="31"/>
          <w:lang w:val="en-US" w:eastAsia="zh-CN"/>
        </w:rPr>
        <w:t>202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en-US" w:eastAsia="zh-CN"/>
        </w:rPr>
        <w:t>年度绩效</w:t>
      </w:r>
      <w:r>
        <w:rPr>
          <w:rFonts w:ascii="仿宋_GB2312" w:eastAsia="仿宋_GB2312" w:cs="仿宋_GB2312" w:hint="eastAsia"/>
          <w:color w:val="000000"/>
          <w:kern w:val="0"/>
          <w:sz w:val="31"/>
          <w:szCs w:val="31"/>
          <w:lang w:val="en-US" w:eastAsia="zh-CN"/>
        </w:rPr>
        <w:t>评价</w:t>
      </w:r>
      <w:r>
        <w:rPr>
          <w:rFonts w:ascii="仿宋_GB2312" w:eastAsia="仿宋_GB2312" w:cs="仿宋_GB2312"/>
          <w:color w:val="000000"/>
          <w:kern w:val="0"/>
          <w:sz w:val="31"/>
          <w:szCs w:val="31"/>
          <w:lang w:val="en-US" w:eastAsia="zh-CN"/>
        </w:rPr>
        <w:t>工作，</w:t>
      </w:r>
      <w:r>
        <w:rPr>
          <w:rFonts w:ascii="仿宋_GB2312" w:eastAsia="仿宋_GB2312" w:cs="仿宋_GB2312" w:hint="eastAsia"/>
          <w:color w:val="000000"/>
          <w:kern w:val="0"/>
          <w:sz w:val="31"/>
          <w:szCs w:val="31"/>
          <w:lang w:val="en-US" w:eastAsia="zh-CN"/>
        </w:rPr>
        <w:t>决定由</w:t>
      </w:r>
      <w:r>
        <w:rPr>
          <w:rFonts w:ascii="仿宋_GB2312" w:eastAsia="仿宋_GB2312" w:cs="仿宋_GB2312"/>
          <w:color w:val="000000"/>
          <w:kern w:val="0"/>
          <w:sz w:val="31"/>
          <w:szCs w:val="31"/>
          <w:lang w:val="zh-CN" w:eastAsia="zh-CN"/>
        </w:rPr>
        <w:t>财务室负责评价工作组织、开展、资料收集、评价报告的撰写及上报等日常工作。</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一、部门（单位）概况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（一）机构组成。</w:t>
      </w:r>
      <w:bookmarkStart w:id="61" w:name="_GoBack"/>
      <w:bookmarkEnd w:id="61"/>
    </w:p>
    <w:p>
      <w:pPr>
        <w:keepNext w:val="0"/>
        <w:keepLines w:val="0"/>
        <w:pageBreakBefore w:val="0"/>
        <w:widowControl w:val="0"/>
        <w:kinsoku/>
        <w:wordWrap w:val="0"/>
        <w:overflowPunct/>
        <w:autoSpaceDE/>
        <w:autoSpaceDN/>
        <w:bidi w:val="0"/>
        <w:spacing w:line="576" w:lineRule="exact"/>
        <w:ind w:firstLineChars="200" w:firstLine="620"/>
        <w:jc w:val="left"/>
        <w:textAlignment w:val="auto"/>
        <w:rPr>
          <w:rFonts w:ascii="仿宋_GB2312" w:eastAsia="仿宋_GB2312" w:cs="仿宋_GB2312"/>
          <w:color w:val="000000"/>
          <w:kern w:val="0"/>
          <w:sz w:val="31"/>
          <w:szCs w:val="31"/>
          <w:lang w:val="zh-CN" w:eastAsia="zh-CN"/>
        </w:rPr>
      </w:pPr>
      <w:r>
        <w:rPr>
          <w:rFonts w:ascii="仿宋_GB2312" w:eastAsia="仿宋_GB2312" w:cs="仿宋_GB2312"/>
          <w:color w:val="000000"/>
          <w:kern w:val="0"/>
          <w:sz w:val="31"/>
          <w:szCs w:val="31"/>
          <w:lang w:val="zh-CN" w:eastAsia="zh-CN"/>
        </w:rPr>
        <w:t>本部门预算单位</w:t>
      </w:r>
      <w:r>
        <w:rPr>
          <w:rFonts w:ascii="仿宋_GB2312" w:eastAsia="仿宋_GB2312" w:cs="仿宋_GB2312" w:hint="eastAsia"/>
          <w:color w:val="000000"/>
          <w:kern w:val="0"/>
          <w:sz w:val="31"/>
          <w:szCs w:val="31"/>
          <w:lang w:val="en-US" w:eastAsia="zh-CN"/>
        </w:rPr>
        <w:t>1</w:t>
      </w:r>
      <w:r>
        <w:rPr>
          <w:rFonts w:ascii="仿宋_GB2312" w:eastAsia="仿宋_GB2312" w:cs="仿宋_GB2312"/>
          <w:color w:val="000000"/>
          <w:kern w:val="0"/>
          <w:sz w:val="31"/>
          <w:szCs w:val="31"/>
          <w:lang w:val="zh-CN" w:eastAsia="zh-CN"/>
        </w:rPr>
        <w:t>个，其中内设机构</w:t>
      </w:r>
      <w:r>
        <w:rPr>
          <w:rFonts w:ascii="仿宋_GB2312" w:eastAsia="仿宋_GB2312" w:cs="仿宋_GB2312" w:hint="eastAsia"/>
          <w:color w:val="000000"/>
          <w:kern w:val="0"/>
          <w:sz w:val="31"/>
          <w:szCs w:val="31"/>
          <w:lang w:val="en-US" w:eastAsia="zh-CN"/>
        </w:rPr>
        <w:t>4</w:t>
      </w:r>
      <w:r>
        <w:rPr>
          <w:rFonts w:ascii="仿宋_GB2312" w:eastAsia="仿宋_GB2312" w:cs="仿宋_GB2312"/>
          <w:color w:val="000000"/>
          <w:kern w:val="0"/>
          <w:sz w:val="31"/>
          <w:szCs w:val="31"/>
          <w:lang w:val="zh-CN" w:eastAsia="zh-CN"/>
        </w:rPr>
        <w:t>个。</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color w:val="000000"/>
          <w:kern w:val="0"/>
          <w:sz w:val="31"/>
          <w:szCs w:val="31"/>
          <w:lang w:val="zh-CN" w:eastAsia="zh-CN"/>
        </w:rPr>
      </w:pPr>
      <w:r>
        <w:rPr>
          <w:rFonts w:ascii="仿宋_GB2312" w:eastAsia="仿宋_GB2312" w:cs="仿宋_GB2312" w:hint="eastAsia"/>
          <w:color w:val="000000"/>
          <w:kern w:val="0"/>
          <w:sz w:val="31"/>
          <w:szCs w:val="31"/>
          <w:lang w:val="en-US" w:eastAsia="zh-CN"/>
        </w:rPr>
        <w:t>（二）机构职能。</w:t>
      </w:r>
    </w:p>
    <w:p>
      <w:pPr>
        <w:widowControl/>
        <w:spacing w:line="560" w:lineRule="exact"/>
        <w:ind w:firstLineChars="250" w:firstLine="775"/>
        <w:jc w:val="left"/>
        <w:rPr>
          <w:rFonts w:ascii="仿宋_GB2312" w:eastAsia="仿宋_GB2312" w:cs="仿宋_GB2312" w:hint="eastAsia"/>
          <w:color w:val="000000"/>
          <w:kern w:val="0"/>
          <w:sz w:val="31"/>
          <w:szCs w:val="31"/>
          <w:lang w:val="en-US" w:eastAsia="zh-CN"/>
        </w:rPr>
      </w:pPr>
      <w:r>
        <w:rPr>
          <w:rFonts w:ascii="仿宋_GB2312" w:eastAsia="仿宋_GB2312" w:cs="仿宋_GB2312"/>
          <w:color w:val="000000"/>
          <w:kern w:val="0"/>
          <w:sz w:val="31"/>
          <w:szCs w:val="31"/>
          <w:lang w:val="zh-CN" w:eastAsia="zh-CN"/>
        </w:rPr>
        <w:t>主要职能职责：</w:t>
      </w:r>
      <w:r>
        <w:rPr>
          <w:rFonts w:ascii="仿宋_GB2312" w:eastAsia="仿宋_GB2312" w:cs="仿宋_GB2312" w:hint="eastAsia"/>
          <w:color w:val="000000"/>
          <w:kern w:val="0"/>
          <w:sz w:val="31"/>
          <w:szCs w:val="31"/>
          <w:lang w:val="en-US" w:eastAsia="zh-CN"/>
        </w:rPr>
        <w:t>1．根据党章和《地方组织法》的规定，乡党委、政府承担辖区内促进经济发展、提供公共服务、加强社会管理、维护社会稳定，推动物质文明、政治文明、精神文明及和谐社会建设等任务。其主要职能是：</w:t>
      </w:r>
    </w:p>
    <w:p>
      <w:pPr>
        <w:snapToGrid w:val="0"/>
        <w:spacing w:line="56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（1）、贯彻落实党和政府各项路线方针政策。深入贯彻党的二十大、十八届四中、五中全会精神，宣传和贯彻执行党的路线、方针、政策和国家的</w:t>
      </w:r>
    </w:p>
    <w:p>
      <w:pPr>
        <w:snapToGrid w:val="0"/>
        <w:spacing w:line="56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法律、法令；宣传和贯彻上级机关的政策、法规、规章、决定等；执行本级党代会和人代会的决定、决议；研究决定辖区内政治、经济、文化等重大问题。</w:t>
      </w:r>
    </w:p>
    <w:p>
      <w:pPr>
        <w:snapToGrid w:val="0"/>
        <w:spacing w:line="560" w:lineRule="exact"/>
        <w:ind w:firstLineChars="150" w:firstLine="465"/>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2）、为经济发展提供服务。加强和改进党和政府对经济工作的领导，重点是加强发展规划并为各类经济主体进行示范引导、提供政策服务以及营造发展环境。指导农业生产结构调整，完善农村经济承包责任制，因地制宜组织发展特色工业、农业经济，促进农业增效、农民增收；推进农村富余劳动力转移，加快农村城镇化建设步伐；引导和促进农民专业合作经济组织发展，提高农民进入市场的组织化程度。</w:t>
      </w:r>
    </w:p>
    <w:p>
      <w:pPr>
        <w:snapToGrid w:val="0"/>
        <w:spacing w:line="560" w:lineRule="exact"/>
        <w:ind w:firstLineChars="150" w:firstLine="465"/>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3）、建立和健全农村社会化服务体系，为群众提供各项公共服务。建立和完善农村社会保障体系，做好农村最低生活保障、“五保”对象集中供养、低保家庭子女基础教育免费入学、失地农民基本生活保障、城镇医疗保障及就业培训、救济救助、民政优抚等工作；加强集卫生监督、疫病防控、医疗卫生服务为一体的卫生服务体系建设；切实抓好和完善教育、科技、文化、卫生、体育、农田水利、村镇、生态环境、农村公路管理等基础设施建设，不断改善群众的生产生活条件。</w:t>
      </w:r>
    </w:p>
    <w:p>
      <w:pPr>
        <w:snapToGrid w:val="0"/>
        <w:spacing w:line="560" w:lineRule="exact"/>
        <w:ind w:firstLineChars="200" w:firstLine="62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4）、进一步强化社会管理职能，加强辖区内的社会治安综合管理。建立村、企业及单位治安综合治理网络，实行群防群治。加强法制宣传教育，积极做好平安镇镇、平安校园、平安单位等创建活动；加快构建公共安全防控体制，建立应对突发紧急事件的处理预案，做好安全生产、防汛、防火、防疫、食品药品安全等工作；落实社会矛盾纠纷排查调处机制，做好基层信访调解工作，及时化解农村社会矛盾，确保社会稳定。</w:t>
      </w:r>
    </w:p>
    <w:p>
      <w:pPr>
        <w:keepNext w:val="0"/>
        <w:keepLines w:val="0"/>
        <w:pageBreakBefore w:val="0"/>
        <w:widowControl/>
        <w:kinsoku/>
        <w:overflowPunct/>
        <w:autoSpaceDE/>
        <w:bidi w:val="0"/>
        <w:adjustRightInd w:val="0"/>
        <w:snapToGrid w:val="0"/>
        <w:spacing w:line="576" w:lineRule="exact"/>
        <w:ind w:firstLine="720"/>
        <w:jc w:val="left"/>
        <w:textAlignment w:val="auto"/>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5）、进一步加强基层组织管理，加强基层领导班子、干部队伍和党员队伍的建设。切实加强和改进对村级党组织的领导和对村民委员会的指导，健全村级党组织领导下的村民自治机制，扩大和健全农村基层民主，引导农民运用“一事一议”等办法有序参与村级事务管理，推进社会主义新农村建设</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kern w:val="0"/>
          <w:sz w:val="31"/>
          <w:szCs w:val="31"/>
          <w:lang w:val="en-US" w:eastAsia="zh-CN"/>
        </w:rPr>
      </w:pPr>
      <w:r>
        <w:rPr>
          <w:rFonts w:ascii="仿宋_GB2312" w:eastAsia="仿宋_GB2312" w:cs="仿宋_GB2312" w:hint="eastAsia"/>
          <w:color w:val="000000"/>
          <w:kern w:val="0"/>
          <w:sz w:val="31"/>
          <w:szCs w:val="31"/>
          <w:lang w:val="en-US" w:eastAsia="zh-CN"/>
        </w:rPr>
        <w:t>（三）人员概况。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color w:val="000000"/>
          <w:kern w:val="0"/>
          <w:sz w:val="31"/>
          <w:szCs w:val="31"/>
          <w:lang w:val="en-US" w:eastAsia="zh-CN"/>
        </w:rPr>
      </w:pPr>
      <w:r>
        <w:rPr>
          <w:rFonts w:ascii="仿宋_GB2312" w:eastAsia="仿宋_GB2312" w:cs="仿宋_GB2312" w:hint="eastAsia"/>
          <w:color w:val="000000"/>
          <w:kern w:val="0"/>
          <w:sz w:val="31"/>
          <w:szCs w:val="31"/>
          <w:lang w:val="en-US" w:eastAsia="zh-CN"/>
        </w:rPr>
        <w:t>我乡</w:t>
      </w:r>
      <w:r>
        <w:rPr>
          <w:rFonts w:ascii="仿宋_GB2312" w:eastAsia="仿宋_GB2312" w:cs="仿宋_GB2312"/>
          <w:color w:val="000000"/>
          <w:kern w:val="0"/>
          <w:sz w:val="31"/>
          <w:szCs w:val="31"/>
          <w:lang w:val="zh-CN" w:eastAsia="zh-CN"/>
        </w:rPr>
        <w:t>单位编制数</w:t>
      </w:r>
      <w:r>
        <w:rPr>
          <w:rFonts w:ascii="仿宋_GB2312" w:eastAsia="仿宋_GB2312" w:cs="仿宋_GB2312" w:hint="eastAsia"/>
          <w:color w:val="000000"/>
          <w:kern w:val="0"/>
          <w:sz w:val="31"/>
          <w:szCs w:val="31"/>
          <w:lang w:val="en-US" w:eastAsia="zh-CN"/>
        </w:rPr>
        <w:t>32</w:t>
      </w:r>
      <w:r>
        <w:rPr>
          <w:rFonts w:ascii="仿宋_GB2312" w:eastAsia="仿宋_GB2312" w:cs="仿宋_GB2312"/>
          <w:color w:val="000000"/>
          <w:kern w:val="0"/>
          <w:sz w:val="31"/>
          <w:szCs w:val="31"/>
          <w:lang w:val="zh-CN" w:eastAsia="zh-CN"/>
        </w:rPr>
        <w:t>个，其中：公务员编制</w:t>
      </w:r>
      <w:r>
        <w:rPr>
          <w:rFonts w:ascii="仿宋_GB2312" w:eastAsia="仿宋_GB2312" w:cs="仿宋_GB2312" w:hint="eastAsia"/>
          <w:color w:val="000000"/>
          <w:kern w:val="0"/>
          <w:sz w:val="31"/>
          <w:szCs w:val="31"/>
          <w:lang w:val="en-US" w:eastAsia="zh-CN"/>
        </w:rPr>
        <w:t>18</w:t>
      </w:r>
      <w:r>
        <w:rPr>
          <w:rFonts w:ascii="仿宋_GB2312" w:eastAsia="仿宋_GB2312" w:cs="仿宋_GB2312"/>
          <w:color w:val="000000"/>
          <w:kern w:val="0"/>
          <w:sz w:val="31"/>
          <w:szCs w:val="31"/>
          <w:lang w:val="en-US" w:eastAsia="zh-CN"/>
        </w:rPr>
        <w:t>个</w:t>
      </w:r>
      <w:r>
        <w:rPr>
          <w:rFonts w:ascii="仿宋_GB2312" w:eastAsia="仿宋_GB2312" w:cs="仿宋_GB2312"/>
          <w:color w:val="000000"/>
          <w:kern w:val="0"/>
          <w:sz w:val="31"/>
          <w:szCs w:val="31"/>
          <w:lang w:val="zh-CN" w:eastAsia="zh-CN"/>
        </w:rPr>
        <w:t>、行政工勤编制</w:t>
      </w:r>
      <w:r>
        <w:rPr>
          <w:rFonts w:ascii="仿宋_GB2312" w:eastAsia="仿宋_GB2312" w:cs="仿宋_GB2312" w:hint="eastAsia"/>
          <w:color w:val="000000"/>
          <w:kern w:val="0"/>
          <w:sz w:val="31"/>
          <w:szCs w:val="31"/>
          <w:lang w:val="en-US" w:eastAsia="zh-CN"/>
        </w:rPr>
        <w:t>2</w:t>
      </w:r>
      <w:r>
        <w:rPr>
          <w:rFonts w:ascii="仿宋_GB2312" w:eastAsia="仿宋_GB2312" w:cs="仿宋_GB2312"/>
          <w:color w:val="000000"/>
          <w:kern w:val="0"/>
          <w:sz w:val="31"/>
          <w:szCs w:val="31"/>
          <w:lang w:val="zh-CN" w:eastAsia="zh-CN"/>
        </w:rPr>
        <w:t>个，</w:t>
      </w:r>
      <w:r>
        <w:rPr>
          <w:rFonts w:ascii="仿宋_GB2312" w:eastAsia="仿宋_GB2312" w:cs="仿宋_GB2312" w:hint="eastAsia"/>
          <w:color w:val="000000"/>
          <w:kern w:val="0"/>
          <w:sz w:val="31"/>
          <w:szCs w:val="31"/>
          <w:lang w:val="en-US" w:eastAsia="zh-CN"/>
        </w:rPr>
        <w:t>财政补助事业编制12名</w:t>
      </w:r>
      <w:r>
        <w:rPr>
          <w:rFonts w:ascii="仿宋_GB2312" w:eastAsia="仿宋_GB2312" w:cs="仿宋_GB2312"/>
          <w:color w:val="000000"/>
          <w:kern w:val="0"/>
          <w:sz w:val="31"/>
          <w:szCs w:val="31"/>
          <w:lang w:val="zh-CN" w:eastAsia="zh-CN"/>
        </w:rPr>
        <w:t>。截止20</w:t>
      </w:r>
      <w:r>
        <w:rPr>
          <w:rFonts w:ascii="仿宋_GB2312" w:eastAsia="仿宋_GB2312" w:cs="仿宋_GB2312"/>
          <w:color w:val="000000"/>
          <w:kern w:val="0"/>
          <w:sz w:val="31"/>
          <w:szCs w:val="31"/>
          <w:lang w:val="en-US" w:eastAsia="zh-CN"/>
        </w:rPr>
        <w:t>2</w:t>
      </w:r>
      <w:r>
        <w:rPr>
          <w:rFonts w:ascii="仿宋_GB2312" w:eastAsia="仿宋_GB2312" w:cs="仿宋_GB2312" w:hint="eastAsia"/>
          <w:color w:val="000000"/>
          <w:kern w:val="0"/>
          <w:sz w:val="31"/>
          <w:szCs w:val="31"/>
          <w:lang w:val="en-US" w:eastAsia="zh-CN"/>
        </w:rPr>
        <w:t>3</w:t>
      </w:r>
      <w:r>
        <w:rPr>
          <w:rFonts w:ascii="仿宋_GB2312" w:eastAsia="仿宋_GB2312" w:cs="仿宋_GB2312"/>
          <w:color w:val="000000"/>
          <w:kern w:val="0"/>
          <w:sz w:val="31"/>
          <w:szCs w:val="31"/>
          <w:lang w:val="zh-CN" w:eastAsia="zh-CN"/>
        </w:rPr>
        <w:t>年</w:t>
      </w:r>
      <w:r>
        <w:rPr>
          <w:rFonts w:ascii="仿宋_GB2312" w:eastAsia="仿宋_GB2312" w:cs="仿宋_GB2312" w:hint="eastAsia"/>
          <w:color w:val="000000"/>
          <w:kern w:val="0"/>
          <w:sz w:val="31"/>
          <w:szCs w:val="31"/>
          <w:lang w:val="en-US" w:eastAsia="zh-CN"/>
        </w:rPr>
        <w:t>6</w:t>
      </w:r>
      <w:r>
        <w:rPr>
          <w:rFonts w:ascii="仿宋_GB2312" w:eastAsia="仿宋_GB2312" w:cs="仿宋_GB2312"/>
          <w:color w:val="000000"/>
          <w:kern w:val="0"/>
          <w:sz w:val="31"/>
          <w:szCs w:val="31"/>
          <w:lang w:val="en-US" w:eastAsia="zh-CN"/>
        </w:rPr>
        <w:t>月</w:t>
      </w:r>
      <w:r>
        <w:rPr>
          <w:rFonts w:ascii="仿宋_GB2312" w:eastAsia="仿宋_GB2312" w:cs="仿宋_GB2312"/>
          <w:color w:val="000000"/>
          <w:kern w:val="0"/>
          <w:sz w:val="31"/>
          <w:szCs w:val="31"/>
          <w:lang w:val="zh-CN" w:eastAsia="zh-CN"/>
        </w:rPr>
        <w:t>，单位实有人数</w:t>
      </w:r>
      <w:r>
        <w:rPr>
          <w:rFonts w:ascii="仿宋_GB2312" w:eastAsia="仿宋_GB2312" w:cs="仿宋_GB2312" w:hint="eastAsia"/>
          <w:color w:val="000000"/>
          <w:kern w:val="0"/>
          <w:sz w:val="31"/>
          <w:szCs w:val="31"/>
          <w:lang w:val="en-US" w:eastAsia="zh-CN"/>
        </w:rPr>
        <w:t>31</w:t>
      </w:r>
      <w:r>
        <w:rPr>
          <w:rFonts w:ascii="仿宋_GB2312" w:eastAsia="仿宋_GB2312" w:cs="仿宋_GB2312"/>
          <w:color w:val="000000"/>
          <w:kern w:val="0"/>
          <w:sz w:val="31"/>
          <w:szCs w:val="31"/>
          <w:lang w:val="zh-CN" w:eastAsia="zh-CN"/>
        </w:rPr>
        <w:t>人，其中：在职</w:t>
      </w:r>
      <w:r>
        <w:rPr>
          <w:rFonts w:ascii="仿宋_GB2312" w:eastAsia="仿宋_GB2312" w:cs="仿宋_GB2312" w:hint="eastAsia"/>
          <w:color w:val="000000"/>
          <w:kern w:val="0"/>
          <w:sz w:val="31"/>
          <w:szCs w:val="31"/>
          <w:lang w:val="en-US" w:eastAsia="zh-CN"/>
        </w:rPr>
        <w:t>31</w:t>
      </w:r>
      <w:r>
        <w:rPr>
          <w:rFonts w:ascii="仿宋_GB2312" w:eastAsia="仿宋_GB2312" w:cs="仿宋_GB2312"/>
          <w:color w:val="000000"/>
          <w:kern w:val="0"/>
          <w:sz w:val="31"/>
          <w:szCs w:val="31"/>
          <w:lang w:val="zh-CN" w:eastAsia="zh-CN"/>
        </w:rPr>
        <w:t>人（公务员</w:t>
      </w:r>
      <w:r>
        <w:rPr>
          <w:rFonts w:ascii="仿宋_GB2312" w:eastAsia="仿宋_GB2312" w:cs="仿宋_GB2312" w:hint="eastAsia"/>
          <w:color w:val="000000"/>
          <w:kern w:val="0"/>
          <w:sz w:val="31"/>
          <w:szCs w:val="31"/>
          <w:lang w:val="en-US" w:eastAsia="zh-CN"/>
        </w:rPr>
        <w:t>17</w:t>
      </w:r>
      <w:r>
        <w:rPr>
          <w:rFonts w:ascii="仿宋_GB2312" w:eastAsia="仿宋_GB2312" w:cs="仿宋_GB2312"/>
          <w:color w:val="000000"/>
          <w:kern w:val="0"/>
          <w:sz w:val="31"/>
          <w:szCs w:val="31"/>
          <w:lang w:val="en-US" w:eastAsia="zh-CN"/>
        </w:rPr>
        <w:t>个</w:t>
      </w:r>
      <w:r>
        <w:rPr>
          <w:rFonts w:ascii="仿宋_GB2312" w:eastAsia="仿宋_GB2312" w:cs="仿宋_GB2312"/>
          <w:color w:val="000000"/>
          <w:kern w:val="0"/>
          <w:sz w:val="31"/>
          <w:szCs w:val="31"/>
          <w:lang w:val="zh-CN" w:eastAsia="zh-CN"/>
        </w:rPr>
        <w:t>、行政工勤</w:t>
      </w:r>
      <w:r>
        <w:rPr>
          <w:rFonts w:ascii="仿宋_GB2312" w:eastAsia="仿宋_GB2312" w:cs="仿宋_GB2312" w:hint="eastAsia"/>
          <w:color w:val="000000"/>
          <w:kern w:val="0"/>
          <w:sz w:val="31"/>
          <w:szCs w:val="31"/>
          <w:lang w:val="en-US" w:eastAsia="zh-CN"/>
        </w:rPr>
        <w:t>2</w:t>
      </w:r>
      <w:r>
        <w:rPr>
          <w:rFonts w:ascii="仿宋_GB2312" w:eastAsia="仿宋_GB2312" w:cs="仿宋_GB2312"/>
          <w:color w:val="000000"/>
          <w:kern w:val="0"/>
          <w:sz w:val="31"/>
          <w:szCs w:val="31"/>
          <w:lang w:val="zh-CN" w:eastAsia="zh-CN"/>
        </w:rPr>
        <w:t>个，</w:t>
      </w:r>
      <w:r>
        <w:rPr>
          <w:rFonts w:ascii="仿宋_GB2312" w:eastAsia="仿宋_GB2312" w:cs="仿宋_GB2312" w:hint="eastAsia"/>
          <w:color w:val="000000"/>
          <w:kern w:val="0"/>
          <w:sz w:val="31"/>
          <w:szCs w:val="31"/>
          <w:lang w:val="zh-CN" w:eastAsia="zh-CN"/>
        </w:rPr>
        <w:t>事业</w:t>
      </w:r>
      <w:r>
        <w:rPr>
          <w:rFonts w:ascii="仿宋_GB2312" w:eastAsia="仿宋_GB2312" w:cs="仿宋_GB2312" w:hint="eastAsia"/>
          <w:color w:val="000000"/>
          <w:kern w:val="0"/>
          <w:sz w:val="31"/>
          <w:szCs w:val="31"/>
          <w:lang w:val="en-US" w:eastAsia="zh-CN"/>
        </w:rPr>
        <w:t>12</w:t>
      </w:r>
      <w:r>
        <w:rPr>
          <w:rFonts w:ascii="仿宋_GB2312" w:eastAsia="仿宋_GB2312" w:cs="仿宋_GB2312" w:hint="eastAsia"/>
          <w:color w:val="000000"/>
          <w:kern w:val="0"/>
          <w:sz w:val="31"/>
          <w:szCs w:val="31"/>
          <w:lang w:val="zh-CN" w:eastAsia="zh-CN"/>
        </w:rPr>
        <w:t>名</w:t>
      </w:r>
      <w:r>
        <w:rPr>
          <w:rFonts w:ascii="仿宋_GB2312" w:eastAsia="仿宋_GB2312" w:cs="仿宋_GB2312"/>
          <w:color w:val="000000"/>
          <w:kern w:val="0"/>
          <w:sz w:val="31"/>
          <w:szCs w:val="31"/>
          <w:lang w:val="zh-CN" w:eastAsia="zh-CN"/>
        </w:rPr>
        <w:t>），退休</w:t>
      </w:r>
      <w:r>
        <w:rPr>
          <w:rFonts w:ascii="仿宋_GB2312" w:eastAsia="仿宋_GB2312" w:cs="仿宋_GB2312" w:hint="eastAsia"/>
          <w:color w:val="000000"/>
          <w:kern w:val="0"/>
          <w:sz w:val="31"/>
          <w:szCs w:val="31"/>
          <w:lang w:val="en-US" w:eastAsia="zh-CN"/>
        </w:rPr>
        <w:t>5</w:t>
      </w:r>
      <w:r>
        <w:rPr>
          <w:rFonts w:ascii="仿宋_GB2312" w:eastAsia="仿宋_GB2312" w:cs="仿宋_GB2312"/>
          <w:color w:val="000000"/>
          <w:kern w:val="0"/>
          <w:sz w:val="31"/>
          <w:szCs w:val="31"/>
          <w:lang w:val="zh-CN" w:eastAsia="zh-CN"/>
        </w:rPr>
        <w:t>人，（退休人员工资转由社保部门发放）</w:t>
      </w:r>
      <w:r>
        <w:rPr>
          <w:rFonts w:ascii="仿宋_GB2312" w:eastAsia="仿宋_GB2312" w:cs="仿宋_GB2312" w:hint="eastAsia"/>
          <w:color w:val="000000"/>
          <w:kern w:val="0"/>
          <w:sz w:val="31"/>
          <w:szCs w:val="31"/>
          <w:lang w:val="zh-CN" w:eastAsia="zh-CN"/>
        </w:rPr>
        <w:t>。</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黑体" w:eastAsia="黑体" w:cs="黑体" w:hint="eastAsia"/>
          <w:color w:val="000000"/>
          <w:sz w:val="31"/>
          <w:szCs w:val="31"/>
          <w:lang w:val="en-US" w:eastAsia="zh-CN"/>
        </w:rPr>
      </w:pPr>
      <w:r>
        <w:rPr>
          <w:rFonts w:ascii="黑体" w:eastAsia="黑体" w:cs="黑体" w:hint="eastAsia"/>
          <w:color w:val="000000"/>
          <w:sz w:val="31"/>
          <w:szCs w:val="31"/>
          <w:lang w:val="en-US" w:eastAsia="zh-CN"/>
        </w:rPr>
        <w:t>二、部门财政资金收支情况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（一）部门财政资金收入情况。</w:t>
      </w:r>
    </w:p>
    <w:p>
      <w:pPr>
        <w:ind w:firstLineChars="200" w:firstLine="640"/>
        <w:rPr>
          <w:rFonts w:ascii="仿宋" w:eastAsia="仿宋" w:hint="eastAsia"/>
          <w:sz w:val="32"/>
          <w:szCs w:val="32"/>
        </w:rPr>
      </w:pPr>
      <w:r>
        <w:rPr>
          <w:rFonts w:ascii="??_GB2312" w:eastAsia="Times New Roman" w:cs="宋体" w:hAnsi="??_GB2312"/>
          <w:color w:val="000000"/>
          <w:kern w:val="0"/>
          <w:sz w:val="32"/>
          <w:lang w:val="zh-CN"/>
        </w:rPr>
        <w:t>部门财政资金</w:t>
      </w:r>
      <w:r>
        <w:rPr>
          <w:rFonts w:ascii="仿宋_GB2312" w:eastAsia="仿宋_GB2312" w:hint="eastAsia"/>
          <w:spacing w:val="-2"/>
          <w:sz w:val="32"/>
          <w:szCs w:val="32"/>
        </w:rPr>
        <w:t>1225.72</w:t>
      </w:r>
      <w:r>
        <w:rPr>
          <w:rFonts w:ascii="仿宋" w:eastAsia="仿宋" w:hint="eastAsia"/>
          <w:sz w:val="32"/>
          <w:szCs w:val="32"/>
        </w:rPr>
        <w:t>万元，其中：人员经费692.51万元，主要包括：基本工资131.05万元、津贴补155.33万元、奖金123.34万元，绩效工资37.86万元、其他社会保险缴费8.4万元，机关事业单位基本养老保险缴费52.26万元、职业年金缴费26.13万元、职工基本医疗保险缴费25.97万元、公务员医疗补助缴费4.41万元、住房公积金49.41万元.生活补助5.37万元、奖励金72.94万元等。</w:t>
      </w:r>
    </w:p>
    <w:p>
      <w:pPr>
        <w:spacing w:line="600" w:lineRule="exact"/>
        <w:ind w:firstLine="320"/>
        <w:rPr>
          <w:rFonts w:ascii="仿宋" w:eastAsia="仿宋"/>
          <w:sz w:val="32"/>
          <w:szCs w:val="32"/>
        </w:rPr>
      </w:pPr>
      <w:r>
        <w:rPr>
          <w:rFonts w:ascii="仿宋" w:eastAsia="仿宋" w:hint="eastAsia"/>
          <w:sz w:val="32"/>
          <w:szCs w:val="32"/>
        </w:rPr>
        <w:t>公用经费30.78万元，主要包括：办公费4.92万元、印刷费3万元、手续费0.2万元、电费3万元、邮电费1.5万元吧、差旅费5.99万元、劳务费1.8万元、公务用车运行维护费6.85万元、其他交通费2.31万元等，</w:t>
      </w:r>
    </w:p>
    <w:p>
      <w:pPr>
        <w:spacing w:line="600" w:lineRule="exact"/>
        <w:ind w:firstLine="645"/>
        <w:rPr>
          <w:rFonts w:ascii="仿宋_GB2312" w:eastAsia="仿宋_GB2312" w:cs="仿宋_GB2312" w:hint="eastAsia"/>
          <w:color w:val="000000"/>
          <w:sz w:val="31"/>
          <w:szCs w:val="31"/>
        </w:rPr>
      </w:pPr>
      <w:r>
        <w:rPr>
          <w:rFonts w:ascii="仿宋" w:eastAsia="仿宋"/>
          <w:sz w:val="32"/>
          <w:szCs w:val="32"/>
        </w:rPr>
        <w:t>20</w:t>
      </w:r>
      <w:r>
        <w:rPr>
          <w:rFonts w:ascii="仿宋" w:eastAsia="仿宋" w:hint="eastAsia"/>
          <w:sz w:val="32"/>
          <w:szCs w:val="32"/>
        </w:rPr>
        <w:t>22年一般公共预算财政拨款项目支出</w:t>
      </w:r>
      <w:r>
        <w:rPr>
          <w:rFonts w:ascii="仿宋_GB2312" w:eastAsia="仿宋_GB2312" w:hint="eastAsia"/>
          <w:sz w:val="32"/>
          <w:szCs w:val="32"/>
        </w:rPr>
        <w:t>502.43</w:t>
      </w:r>
      <w:r>
        <w:rPr>
          <w:rFonts w:ascii="仿宋" w:eastAsia="仿宋" w:hint="eastAsia"/>
          <w:sz w:val="32"/>
          <w:szCs w:val="32"/>
        </w:rPr>
        <w:t>万元， 庆宁乡人民政府维修维护费6万元，  2022年新冠防疫工作经费5万元， 对村民委员会和村党支部的补助（意外保险、村干部社保补助、村级办公费、党建费、村干部工资）141.77万元、 金川县庆宁乡庆宁村（原松坪村）活动中心提升改造建设项目（15200000元）、金川县庆宁乡团结村集体果园生产便道硬化及灌溉水渠维修维护建设项目（947350元）、乡村振兴示范村综合提升建设项目（995649.38元）三老干部工资（33600元）。349.66万元。</w:t>
      </w:r>
    </w:p>
    <w:p>
      <w:pPr>
        <w:pStyle w:val="23"/>
        <w:keepNext w:val="0"/>
        <w:keepLines w:val="0"/>
        <w:widowControl/>
        <w:numPr>
          <w:ilvl w:val="0"/>
          <w:numId w:val="7"/>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_GB2312" w:eastAsia="仿宋_GB2312" w:cs="仿宋_GB2312" w:hint="eastAsia"/>
          <w:color w:val="000000"/>
          <w:sz w:val="31"/>
          <w:szCs w:val="31"/>
        </w:rPr>
      </w:pPr>
      <w:r>
        <w:rPr>
          <w:rFonts w:ascii="仿宋_GB2312" w:eastAsia="仿宋_GB2312" w:cs="仿宋_GB2312" w:hint="eastAsia"/>
          <w:color w:val="000000"/>
          <w:sz w:val="31"/>
          <w:szCs w:val="31"/>
        </w:rPr>
        <w:t>部门财政资金支出情况。</w:t>
      </w:r>
    </w:p>
    <w:p>
      <w:pPr>
        <w:spacing w:line="600" w:lineRule="exact"/>
        <w:ind w:firstLine="645"/>
        <w:rPr>
          <w:rFonts w:ascii="仿宋" w:eastAsia="仿宋" w:hint="eastAsia"/>
          <w:sz w:val="32"/>
          <w:szCs w:val="32"/>
        </w:rPr>
      </w:pPr>
      <w:r>
        <w:rPr>
          <w:rFonts w:ascii="仿宋_GB2312" w:eastAsia="仿宋_GB2312" w:cs="仿宋_GB2312" w:hint="eastAsia"/>
          <w:color w:val="000000"/>
          <w:kern w:val="0"/>
          <w:sz w:val="31"/>
          <w:szCs w:val="31"/>
          <w:lang w:val="en-US" w:eastAsia="zh-CN"/>
        </w:rPr>
        <w:t>　　</w:t>
      </w:r>
      <w:r>
        <w:rPr>
          <w:rFonts w:ascii="??_GB2312" w:eastAsia="Times New Roman" w:cs="宋体" w:hAnsi="??_GB2312"/>
          <w:color w:val="000000"/>
          <w:kern w:val="0"/>
          <w:sz w:val="32"/>
          <w:lang w:val="zh-CN"/>
        </w:rPr>
        <w:t>部门财政资金</w:t>
      </w:r>
      <w:r>
        <w:rPr>
          <w:rFonts w:ascii="仿宋_GB2312" w:eastAsia="仿宋_GB2312" w:hint="eastAsia"/>
          <w:spacing w:val="-2"/>
          <w:sz w:val="32"/>
          <w:szCs w:val="32"/>
        </w:rPr>
        <w:t>1225.72</w:t>
      </w:r>
      <w:r>
        <w:rPr>
          <w:rFonts w:ascii="仿宋" w:eastAsia="仿宋" w:hint="eastAsia"/>
          <w:sz w:val="32"/>
          <w:szCs w:val="32"/>
        </w:rPr>
        <w:t>万元，其中：人员经费692.51万元，主要包括：基本工资131.05万元、津贴补155.33万元、奖金123.34万元，绩效工资37.86万元、其他社会保险缴费8.4万元，机关事业单位基本养老保险缴费52.26万元、职业年金缴费26.13万元、职工基本医疗保险缴费25.97万元、公务员医疗补助缴费4.41万元、住房公积金49.41万元.生活补助5.37万元、奖励金72.94万元等。</w:t>
      </w:r>
    </w:p>
    <w:p>
      <w:pPr>
        <w:spacing w:line="600" w:lineRule="exact"/>
        <w:ind w:firstLine="320"/>
        <w:rPr>
          <w:rFonts w:ascii="仿宋" w:eastAsia="仿宋"/>
          <w:sz w:val="32"/>
          <w:szCs w:val="32"/>
        </w:rPr>
      </w:pPr>
      <w:r>
        <w:rPr>
          <w:rFonts w:ascii="仿宋" w:eastAsia="仿宋" w:hint="eastAsia"/>
          <w:sz w:val="32"/>
          <w:szCs w:val="32"/>
        </w:rPr>
        <w:t>公用经费30.78万元，主要包括：办公费4.92万元、印刷费3万元、手续费0.2万元、电费3万元、邮电费1.5万元吧、差旅费5.99万元、劳务费1.8万元、公务用车运行维护费6.85万元、其他交通费2.31万元等，</w:t>
      </w:r>
    </w:p>
    <w:p>
      <w:pPr>
        <w:spacing w:line="600" w:lineRule="exact"/>
        <w:ind w:firstLine="645"/>
        <w:rPr>
          <w:rFonts w:ascii="仿宋_GB2312" w:eastAsia="仿宋_GB2312" w:cs="仿宋_GB2312" w:hint="eastAsia"/>
          <w:color w:val="000000"/>
          <w:kern w:val="0"/>
          <w:sz w:val="31"/>
          <w:szCs w:val="31"/>
          <w:lang w:val="en-US" w:eastAsia="zh-CN"/>
        </w:rPr>
      </w:pPr>
      <w:r>
        <w:rPr>
          <w:rFonts w:ascii="仿宋" w:eastAsia="仿宋"/>
          <w:sz w:val="32"/>
          <w:szCs w:val="32"/>
        </w:rPr>
        <w:t>20</w:t>
      </w:r>
      <w:r>
        <w:rPr>
          <w:rFonts w:ascii="仿宋" w:eastAsia="仿宋" w:hint="eastAsia"/>
          <w:sz w:val="32"/>
          <w:szCs w:val="32"/>
        </w:rPr>
        <w:t>22年一般公共预算财政拨款项目支出</w:t>
      </w:r>
      <w:r>
        <w:rPr>
          <w:rFonts w:ascii="仿宋_GB2312" w:eastAsia="仿宋_GB2312" w:hint="eastAsia"/>
          <w:sz w:val="32"/>
          <w:szCs w:val="32"/>
        </w:rPr>
        <w:t>502.43</w:t>
      </w:r>
      <w:r>
        <w:rPr>
          <w:rFonts w:ascii="仿宋" w:eastAsia="仿宋" w:hint="eastAsia"/>
          <w:sz w:val="32"/>
          <w:szCs w:val="32"/>
        </w:rPr>
        <w:t>万元， 庆宁乡人民政府维修维护费6万元，  2022年新冠防疫工作经费5万元， 对村民委员会和村党支部的补助（意外保险、村干部社保补助、村级办公费、党建费、村干部工资）141.77万元、 金川县庆宁乡庆宁村（原松坪村）活动中心提升改造建设项目（15200000元）、金川县庆宁乡团结村集体果园生产便道硬化及灌溉水渠维修维护建设项目（947350元）、乡村振兴示范村综合提升建设项目（995649.38元）三老干部工资（33600元）。349.66万元。</w:t>
      </w:r>
    </w:p>
    <w:p>
      <w:pPr>
        <w:pStyle w:val="23"/>
        <w:keepNext w:val="0"/>
        <w:keepLines w:val="0"/>
        <w:widowControl/>
        <w:numPr>
          <w:ilvl w:val="0"/>
          <w:numId w:val="8"/>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 w:eastAsia="仿宋" w:cs="Times New Roman" w:hint="eastAsia"/>
          <w:kern w:val="2"/>
          <w:sz w:val="32"/>
          <w:szCs w:val="32"/>
          <w:lang w:val="en-US" w:eastAsia="zh-CN" w:bidi="ar-SA"/>
        </w:rPr>
      </w:pPr>
      <w:r>
        <w:rPr>
          <w:rFonts w:ascii="仿宋" w:eastAsia="仿宋" w:cs="Times New Roman" w:hint="eastAsia"/>
          <w:kern w:val="2"/>
          <w:sz w:val="32"/>
          <w:szCs w:val="32"/>
          <w:lang w:val="en-US" w:eastAsia="zh-CN" w:bidi="ar-SA"/>
        </w:rPr>
        <w:t>部门整体预算绩效管理情况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仿宋" w:eastAsia="仿宋" w:cs="Times New Roman" w:hint="eastAsia"/>
          <w:kern w:val="2"/>
          <w:sz w:val="32"/>
          <w:szCs w:val="32"/>
          <w:lang w:val="en-US" w:eastAsia="zh-CN" w:bidi="ar-SA"/>
        </w:rPr>
      </w:pPr>
      <w:r>
        <w:rPr>
          <w:rFonts w:ascii="仿宋" w:eastAsia="仿宋" w:cs="Times New Roman" w:hint="eastAsia"/>
          <w:kern w:val="2"/>
          <w:sz w:val="32"/>
          <w:szCs w:val="32"/>
          <w:lang w:val="en-US" w:eastAsia="zh-CN" w:bidi="ar-SA"/>
        </w:rPr>
        <w:t>（一）部门预算管理。</w:t>
      </w:r>
    </w:p>
    <w:p>
      <w:pPr>
        <w:keepNext w:val="0"/>
        <w:keepLines w:val="0"/>
        <w:widowControl/>
        <w:suppressLineNumbers w:val="0"/>
        <w:ind w:left="0" w:firstLineChars="200" w:firstLine="640"/>
        <w:jc w:val="left"/>
        <w:rPr>
          <w:rFonts w:ascii="仿宋" w:eastAsia="仿宋" w:cs="Times New Roman" w:hint="eastAsia"/>
          <w:kern w:val="2"/>
          <w:sz w:val="32"/>
          <w:szCs w:val="32"/>
          <w:lang w:val="en-US" w:eastAsia="zh-CN" w:bidi="ar-SA"/>
        </w:rPr>
      </w:pPr>
      <w:r>
        <w:rPr>
          <w:rFonts w:ascii="仿宋" w:eastAsia="仿宋" w:cs="Times New Roman" w:hint="eastAsia"/>
          <w:kern w:val="2"/>
          <w:sz w:val="32"/>
          <w:szCs w:val="32"/>
          <w:lang w:val="en-US" w:eastAsia="zh-CN" w:bidi="ar-SA"/>
        </w:rPr>
        <w:t>2023年我乡按照统筹兼顾、厉行节约、讲求绩效、收支平衡等原则编制了部门预算，制定的绩效目标制定、目标完成、预决算编制等均按照县财政局下达的相关文件指标进行了编制，均按相关要求严格执行预算范围内开支，并完成所有预定目标，全年无违规记录</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 w:eastAsia="仿宋" w:cs="Times New Roman" w:hint="eastAsia"/>
          <w:kern w:val="2"/>
          <w:sz w:val="32"/>
          <w:szCs w:val="32"/>
          <w:lang w:val="en-US" w:eastAsia="zh-CN" w:bidi="ar-SA"/>
        </w:rPr>
      </w:pPr>
      <w:r>
        <w:rPr>
          <w:rFonts w:ascii="仿宋" w:eastAsia="仿宋" w:cs="Times New Roman" w:hint="eastAsia"/>
          <w:kern w:val="2"/>
          <w:sz w:val="32"/>
          <w:szCs w:val="32"/>
          <w:lang w:val="en-US" w:eastAsia="zh-CN" w:bidi="ar-SA"/>
        </w:rPr>
        <w:t>（二）结果应用情况。</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 w:eastAsia="仿宋" w:cs="Times New Roman" w:hint="eastAsia"/>
          <w:kern w:val="2"/>
          <w:sz w:val="32"/>
          <w:szCs w:val="32"/>
          <w:lang w:val="en-US" w:eastAsia="zh-CN" w:bidi="ar-SA"/>
        </w:rPr>
      </w:pPr>
      <w:r>
        <w:rPr>
          <w:rFonts w:ascii="仿宋" w:eastAsia="仿宋" w:cs="Times New Roman" w:hint="eastAsia"/>
          <w:kern w:val="2"/>
          <w:sz w:val="32"/>
          <w:szCs w:val="32"/>
          <w:lang w:val="zh-CN" w:eastAsia="zh-CN" w:bidi="ar-SA"/>
        </w:rPr>
        <w:t>评价得分</w:t>
      </w:r>
      <w:r>
        <w:rPr>
          <w:rFonts w:ascii="仿宋" w:eastAsia="仿宋" w:cs="Times New Roman" w:hint="eastAsia"/>
          <w:kern w:val="2"/>
          <w:sz w:val="32"/>
          <w:szCs w:val="32"/>
          <w:lang w:val="en-US" w:eastAsia="zh-CN" w:bidi="ar-SA"/>
        </w:rPr>
        <w:t>87分，整体评价良好，预算支出和决算支出情况相符。</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 w:eastAsia="仿宋" w:cs="Times New Roman"/>
          <w:kern w:val="2"/>
          <w:sz w:val="32"/>
          <w:szCs w:val="32"/>
          <w:lang w:val="en-US" w:eastAsia="zh-CN" w:bidi="ar-SA"/>
        </w:rPr>
      </w:pPr>
      <w:r>
        <w:rPr>
          <w:rFonts w:ascii="仿宋" w:eastAsia="仿宋" w:cs="Times New Roman" w:hint="eastAsia"/>
          <w:kern w:val="2"/>
          <w:sz w:val="32"/>
          <w:szCs w:val="32"/>
          <w:lang w:val="en-US" w:eastAsia="zh-CN" w:bidi="ar-SA"/>
        </w:rPr>
        <w:t>通过绩效自评结果，对指标完成号的工作要在下一年度继续更鼓加强，对未完成的指标深入分析，找出问题。</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 w:eastAsia="仿宋" w:cs="Times New Roman" w:hint="eastAsia"/>
          <w:kern w:val="2"/>
          <w:sz w:val="32"/>
          <w:szCs w:val="32"/>
          <w:lang w:val="en-US" w:eastAsia="zh-CN" w:bidi="ar-SA"/>
        </w:rPr>
      </w:pPr>
      <w:r>
        <w:rPr>
          <w:rFonts w:ascii="仿宋" w:eastAsia="仿宋" w:cs="Times New Roman" w:hint="eastAsia"/>
          <w:kern w:val="2"/>
          <w:sz w:val="32"/>
          <w:szCs w:val="32"/>
          <w:lang w:val="en-US" w:eastAsia="zh-CN" w:bidi="ar-SA"/>
        </w:rPr>
        <w:t>四、评价结论及建议</w:t>
      </w:r>
    </w:p>
    <w:p>
      <w:pPr>
        <w:ind w:firstLineChars="200" w:firstLine="640"/>
        <w:rPr>
          <w:rFonts w:ascii="仿宋" w:eastAsia="仿宋" w:cs="Times New Roman" w:hint="eastAsia"/>
          <w:kern w:val="2"/>
          <w:sz w:val="32"/>
          <w:szCs w:val="32"/>
          <w:lang w:val="zh-CN" w:eastAsia="zh-CN" w:bidi="ar-SA"/>
        </w:rPr>
      </w:pPr>
      <w:r>
        <w:rPr>
          <w:rFonts w:ascii="仿宋" w:eastAsia="仿宋" w:cs="Times New Roman" w:hint="eastAsia"/>
          <w:kern w:val="2"/>
          <w:sz w:val="32"/>
          <w:szCs w:val="32"/>
          <w:lang w:val="zh-CN" w:eastAsia="zh-CN" w:bidi="ar-SA"/>
        </w:rPr>
        <w:t>（一）评价结论。</w:t>
      </w:r>
    </w:p>
    <w:p>
      <w:pPr>
        <w:ind w:firstLineChars="200" w:firstLine="640"/>
        <w:rPr>
          <w:rFonts w:ascii="仿宋" w:eastAsia="仿宋" w:cs="Times New Roman" w:hint="eastAsia"/>
          <w:kern w:val="2"/>
          <w:sz w:val="32"/>
          <w:szCs w:val="32"/>
          <w:lang w:val="zh-CN" w:eastAsia="zh-CN" w:bidi="ar-SA"/>
        </w:rPr>
      </w:pPr>
      <w:r>
        <w:rPr>
          <w:rFonts w:ascii="仿宋" w:eastAsia="仿宋" w:cs="Times New Roman" w:hint="eastAsia"/>
          <w:kern w:val="2"/>
          <w:sz w:val="32"/>
          <w:szCs w:val="32"/>
          <w:lang w:val="zh-CN" w:eastAsia="zh-CN" w:bidi="ar-SA"/>
        </w:rPr>
        <w:t>评价得分</w:t>
      </w:r>
      <w:r>
        <w:rPr>
          <w:rFonts w:ascii="仿宋" w:eastAsia="仿宋" w:cs="Times New Roman" w:hint="eastAsia"/>
          <w:kern w:val="2"/>
          <w:sz w:val="32"/>
          <w:szCs w:val="32"/>
          <w:lang w:val="en-US" w:eastAsia="zh-CN" w:bidi="ar-SA"/>
        </w:rPr>
        <w:t>87分，整体评价良好，预算支出和决算支出情况相符。</w:t>
      </w:r>
    </w:p>
    <w:p>
      <w:pPr>
        <w:pStyle w:val="23"/>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仿宋" w:eastAsia="仿宋" w:cs="Times New Roman" w:hint="eastAsia"/>
          <w:kern w:val="2"/>
          <w:sz w:val="32"/>
          <w:szCs w:val="32"/>
          <w:lang w:val="en-US" w:eastAsia="zh-CN" w:bidi="ar-SA"/>
        </w:rPr>
      </w:pPr>
      <w:r>
        <w:rPr>
          <w:rFonts w:ascii="仿宋" w:eastAsia="仿宋" w:cs="Times New Roman" w:hint="eastAsia"/>
          <w:kern w:val="2"/>
          <w:sz w:val="32"/>
          <w:szCs w:val="32"/>
          <w:lang w:val="en-US" w:eastAsia="zh-CN" w:bidi="ar-SA"/>
        </w:rPr>
        <w:t>（二）存在问题。</w:t>
      </w:r>
    </w:p>
    <w:p>
      <w:pPr>
        <w:ind w:firstLineChars="200" w:firstLine="640"/>
        <w:rPr>
          <w:rFonts w:ascii="仿宋" w:eastAsia="仿宋" w:cs="Times New Roman" w:hint="eastAsia"/>
          <w:kern w:val="2"/>
          <w:sz w:val="32"/>
          <w:szCs w:val="32"/>
          <w:lang w:val="zh-CN" w:eastAsia="zh-CN" w:bidi="ar-SA"/>
        </w:rPr>
      </w:pPr>
      <w:r>
        <w:rPr>
          <w:rFonts w:ascii="仿宋" w:eastAsia="仿宋" w:cs="Times New Roman" w:hint="eastAsia"/>
          <w:kern w:val="2"/>
          <w:sz w:val="32"/>
          <w:szCs w:val="32"/>
          <w:lang w:val="zh-CN" w:eastAsia="zh-CN" w:bidi="ar-SA"/>
        </w:rPr>
        <w:t>我乡财政预算资金支付大部分集中在下半年，上半年资金支付力度较小。</w:t>
      </w:r>
    </w:p>
    <w:p>
      <w:pPr>
        <w:ind w:firstLineChars="100" w:firstLine="320"/>
        <w:rPr>
          <w:rFonts w:ascii="仿宋" w:eastAsia="仿宋" w:cs="Times New Roman" w:hint="eastAsia"/>
          <w:kern w:val="2"/>
          <w:sz w:val="32"/>
          <w:szCs w:val="32"/>
          <w:lang w:val="en-US" w:eastAsia="zh-CN" w:bidi="ar-SA"/>
        </w:rPr>
      </w:pPr>
      <w:r>
        <w:rPr>
          <w:rFonts w:ascii="仿宋" w:eastAsia="仿宋" w:cs="Times New Roman" w:hint="eastAsia"/>
          <w:kern w:val="2"/>
          <w:sz w:val="32"/>
          <w:szCs w:val="32"/>
          <w:lang w:val="en-US" w:eastAsia="zh-CN" w:bidi="ar-SA"/>
        </w:rPr>
        <w:t>（三）改进建议</w:t>
      </w:r>
    </w:p>
    <w:p>
      <w:pPr>
        <w:ind w:firstLineChars="200" w:firstLine="640"/>
        <w:rPr>
          <w:rFonts w:ascii="仿宋" w:eastAsia="仿宋" w:cs="Times New Roman" w:hint="eastAsia"/>
          <w:kern w:val="2"/>
          <w:sz w:val="32"/>
          <w:szCs w:val="32"/>
          <w:lang w:val="en-US" w:eastAsia="zh-CN" w:bidi="ar-SA"/>
        </w:rPr>
      </w:pPr>
      <w:r>
        <w:rPr>
          <w:rFonts w:ascii="仿宋" w:eastAsia="仿宋" w:cs="Times New Roman" w:hint="eastAsia"/>
          <w:kern w:val="2"/>
          <w:sz w:val="32"/>
          <w:szCs w:val="32"/>
          <w:lang w:val="en-US" w:eastAsia="zh-CN" w:bidi="ar-SA"/>
        </w:rPr>
        <w:t>加大上半年资金支付力度，加强会计核算的规范化。</w:t>
      </w: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16"/>
        <w:pageBreakBefore w:val="0"/>
        <w:widowControl w:val="0"/>
        <w:kinsoku/>
        <w:wordWrap/>
        <w:overflowPunct/>
        <w:topLinePunct w:val="0"/>
        <w:bidi w:val="0"/>
        <w:spacing w:beforeLines="0" w:before="93" w:line="576" w:lineRule="exact"/>
        <w:rPr>
          <w:rFonts w:ascii="Times New Roman" w:cs="Times New Roman" w:hAnsi="Times New Roman"/>
          <w:sz w:val="32"/>
          <w:szCs w:val="32"/>
          <w:shd w:val="clear" w:color="auto" w:fill="FFFFFF"/>
          <w:lang w:val="zh-CN"/>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Style w:val="30"/>
        <w:spacing w:line="560" w:lineRule="exact"/>
        <w:ind w:firstLineChars="200" w:firstLine="640"/>
        <w:rPr>
          <w:rFonts w:ascii="仿宋_GB2312" w:eastAsia="仿宋_GB2312" w:hint="eastAsia"/>
          <w:sz w:val="32"/>
          <w:szCs w:val="32"/>
        </w:rPr>
      </w:pPr>
    </w:p>
    <w:p>
      <w:pPr>
        <w:pageBreakBefore w:val="0"/>
        <w:widowControl w:val="0"/>
        <w:kinsoku/>
        <w:wordWrap/>
        <w:overflowPunct/>
        <w:topLinePunct w:val="0"/>
        <w:bidi w:val="0"/>
        <w:spacing w:line="576" w:lineRule="exact"/>
        <w:ind w:firstLineChars="600" w:firstLine="2640"/>
        <w:jc w:val="both"/>
        <w:outlineLvl w:val="0"/>
        <w:rPr>
          <w:rFonts w:ascii="Times New Roman" w:eastAsia="仿宋" w:cs="Times New Roman" w:hAnsi="Times New Roman"/>
        </w:rPr>
      </w:pPr>
      <w:bookmarkStart w:id="62" w:name="_Toc15396618"/>
      <w:bookmarkStart w:id="63" w:name="_Toc26843625"/>
      <w:r>
        <w:rPr>
          <w:rFonts w:ascii="Times New Roman" w:eastAsia="黑体" w:cs="Times New Roman" w:hAnsi="Times New Roman"/>
          <w:sz w:val="44"/>
          <w:szCs w:val="44"/>
        </w:rPr>
        <w:t>第</w:t>
      </w:r>
      <w:r>
        <w:rPr>
          <w:rStyle w:val="1Char"/>
          <w:rFonts w:ascii="Times New Roman" w:eastAsia="黑体" w:cs="Times New Roman" w:hAnsi="Times New Roman"/>
          <w:b w:val="0"/>
        </w:rPr>
        <w:t>五部分 附表</w:t>
      </w:r>
      <w:bookmarkStart w:id="64" w:name="_Toc15396619"/>
      <w:bookmarkEnd w:id="62"/>
      <w:bookmarkEnd w:id="6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5" w:name="_Toc26843626"/>
      <w:r>
        <w:rPr>
          <w:rFonts w:ascii="Times New Roman" w:eastAsia="仿宋" w:cs="Times New Roman" w:hAnsi="Times New Roman"/>
          <w:b w:val="0"/>
        </w:rPr>
        <w:t>一、收</w:t>
      </w:r>
      <w:r>
        <w:rPr>
          <w:rStyle w:val="2Char"/>
          <w:rFonts w:ascii="Times New Roman" w:eastAsia="仿宋" w:cs="Times New Roman" w:hAnsi="Times New Roman"/>
          <w:b w:val="0"/>
          <w:bCs w:val="0"/>
        </w:rPr>
        <w:t>入支出决算总表</w:t>
      </w:r>
      <w:bookmarkEnd w:id="64"/>
      <w:bookmarkEnd w:id="6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6" w:name="_Toc26843627"/>
      <w:bookmarkStart w:id="67" w:name="_Toc15396620"/>
      <w:r>
        <w:rPr>
          <w:rFonts w:ascii="Times New Roman" w:eastAsia="仿宋" w:cs="Times New Roman" w:hAnsi="Times New Roman"/>
          <w:b w:val="0"/>
        </w:rPr>
        <w:t>二、收</w:t>
      </w:r>
      <w:r>
        <w:rPr>
          <w:rStyle w:val="2Char"/>
          <w:rFonts w:ascii="Times New Roman" w:eastAsia="仿宋" w:cs="Times New Roman" w:hAnsi="Times New Roman"/>
          <w:b w:val="0"/>
          <w:bCs w:val="0"/>
        </w:rPr>
        <w:t>入决算表</w:t>
      </w:r>
      <w:bookmarkEnd w:id="66"/>
      <w:bookmarkEnd w:id="6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68" w:name="_Toc26843628"/>
      <w:bookmarkStart w:id="69" w:name="_Toc15396621"/>
      <w:r>
        <w:rPr>
          <w:rStyle w:val="2Char"/>
          <w:rFonts w:ascii="Times New Roman" w:eastAsia="仿宋" w:cs="Times New Roman" w:hAnsi="Times New Roman"/>
          <w:b w:val="0"/>
          <w:bCs w:val="0"/>
        </w:rPr>
        <w:t>三、</w:t>
      </w:r>
      <w:r>
        <w:rPr>
          <w:rFonts w:ascii="Times New Roman" w:eastAsia="仿宋" w:cs="Times New Roman" w:hAnsi="Times New Roman"/>
          <w:b w:val="0"/>
        </w:rPr>
        <w:t>支</w:t>
      </w:r>
      <w:r>
        <w:rPr>
          <w:rStyle w:val="2Char"/>
          <w:rFonts w:ascii="Times New Roman" w:eastAsia="仿宋" w:cs="Times New Roman" w:hAnsi="Times New Roman"/>
          <w:b w:val="0"/>
          <w:bCs w:val="0"/>
        </w:rPr>
        <w:t>出决算表</w:t>
      </w:r>
      <w:bookmarkEnd w:id="68"/>
      <w:bookmarkEnd w:id="6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b w:val="0"/>
        </w:rPr>
      </w:pPr>
      <w:bookmarkStart w:id="70" w:name="_Toc15396622"/>
      <w:bookmarkStart w:id="71" w:name="_Toc26843629"/>
      <w:r>
        <w:rPr>
          <w:rStyle w:val="2Char"/>
          <w:rFonts w:ascii="Times New Roman" w:eastAsia="仿宋" w:cs="Times New Roman" w:hAnsi="Times New Roman"/>
          <w:b w:val="0"/>
          <w:bCs w:val="0"/>
        </w:rPr>
        <w:t>四、</w:t>
      </w:r>
      <w:r>
        <w:rPr>
          <w:rFonts w:ascii="Times New Roman" w:eastAsia="仿宋" w:cs="Times New Roman" w:hAnsi="Times New Roman"/>
          <w:b w:val="0"/>
        </w:rPr>
        <w:t>财</w:t>
      </w:r>
      <w:r>
        <w:rPr>
          <w:rStyle w:val="2Char"/>
          <w:rFonts w:ascii="Times New Roman" w:eastAsia="仿宋" w:cs="Times New Roman" w:hAnsi="Times New Roman"/>
          <w:b w:val="0"/>
          <w:bCs w:val="0"/>
        </w:rPr>
        <w:t>政拨款收入支出决算总表</w:t>
      </w:r>
      <w:bookmarkEnd w:id="70"/>
      <w:bookmarkEnd w:id="71"/>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bookmarkStart w:id="72" w:name="_Toc26843630"/>
      <w:bookmarkStart w:id="73" w:name="_Toc15396623"/>
      <w:r>
        <w:rPr>
          <w:rStyle w:val="2Char"/>
          <w:rFonts w:ascii="Times New Roman" w:eastAsia="仿宋" w:cs="Times New Roman" w:hAnsi="Times New Roman"/>
          <w:b w:val="0"/>
          <w:bCs w:val="0"/>
        </w:rPr>
        <w:t>五、</w:t>
      </w:r>
      <w:r>
        <w:rPr>
          <w:rFonts w:ascii="Times New Roman" w:eastAsia="仿宋" w:cs="Times New Roman" w:hAnsi="Times New Roman"/>
          <w:b w:val="0"/>
        </w:rPr>
        <w:t>财</w:t>
      </w:r>
      <w:r>
        <w:rPr>
          <w:rStyle w:val="2Char"/>
          <w:rFonts w:ascii="Times New Roman" w:eastAsia="仿宋" w:cs="Times New Roman" w:hAnsi="Times New Roman"/>
          <w:b w:val="0"/>
          <w:bCs w:val="0"/>
        </w:rPr>
        <w:t>政拨款支出决算明细表</w:t>
      </w:r>
      <w:bookmarkStart w:id="74" w:name="_Toc15396624"/>
      <w:bookmarkEnd w:id="72"/>
      <w:bookmarkEnd w:id="73"/>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5" w:name="_Toc26843631"/>
      <w:r>
        <w:rPr>
          <w:rStyle w:val="2Char"/>
          <w:rFonts w:ascii="Times New Roman" w:eastAsia="仿宋" w:cs="Times New Roman" w:hAnsi="Times New Roman"/>
          <w:b w:val="0"/>
          <w:bCs w:val="0"/>
        </w:rPr>
        <w:t>六、</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般公共预算财政拨款支出决算表</w:t>
      </w:r>
      <w:bookmarkEnd w:id="74"/>
      <w:bookmarkEnd w:id="75"/>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6" w:name="_Toc15396625"/>
      <w:bookmarkStart w:id="77" w:name="_Toc26843632"/>
      <w:r>
        <w:rPr>
          <w:rStyle w:val="2Char"/>
          <w:rFonts w:ascii="Times New Roman" w:eastAsia="仿宋" w:cs="Times New Roman" w:hAnsi="Times New Roman"/>
          <w:b w:val="0"/>
          <w:bCs w:val="0"/>
        </w:rPr>
        <w:t>七、</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般公共预算财政拨款支出决算明细表</w:t>
      </w:r>
      <w:bookmarkEnd w:id="76"/>
      <w:bookmarkEnd w:id="77"/>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78" w:name="_Toc26843633"/>
      <w:bookmarkStart w:id="79" w:name="_Toc15396626"/>
      <w:r>
        <w:rPr>
          <w:rStyle w:val="2Char"/>
          <w:rFonts w:ascii="Times New Roman" w:eastAsia="仿宋" w:cs="Times New Roman" w:hAnsi="Times New Roman"/>
          <w:b w:val="0"/>
          <w:bCs w:val="0"/>
        </w:rPr>
        <w:t>八、</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般公共预算财政拨款基本支出决算表</w:t>
      </w:r>
      <w:bookmarkEnd w:id="78"/>
      <w:bookmarkEnd w:id="79"/>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bookmarkStart w:id="80" w:name="_Toc15396627"/>
      <w:bookmarkStart w:id="81" w:name="_Toc26843634"/>
      <w:r>
        <w:rPr>
          <w:rStyle w:val="2Char"/>
          <w:rFonts w:ascii="Times New Roman" w:eastAsia="仿宋" w:cs="Times New Roman" w:hAnsi="Times New Roman"/>
          <w:b w:val="0"/>
          <w:bCs w:val="0"/>
        </w:rPr>
        <w:t>九、</w:t>
      </w:r>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般公共预算财政拨款项目支出决算表</w:t>
      </w:r>
      <w:bookmarkEnd w:id="80"/>
      <w:bookmarkEnd w:id="81"/>
    </w:p>
    <w:p>
      <w:pPr>
        <w:pStyle w:val="2"/>
        <w:keepNext/>
        <w:keepLines/>
        <w:pageBreakBefore w:val="0"/>
        <w:widowControl w:val="0"/>
        <w:kinsoku/>
        <w:wordWrap/>
        <w:overflowPunct/>
        <w:topLinePunct w:val="0"/>
        <w:bidi w:val="0"/>
        <w:spacing w:line="576" w:lineRule="exact"/>
        <w:rPr>
          <w:rFonts w:ascii="Times New Roman" w:eastAsia="仿宋" w:hAnsi="Times New Roman"/>
        </w:rPr>
      </w:pPr>
      <w:bookmarkStart w:id="82" w:name="_Toc15396628"/>
      <w:bookmarkStart w:id="83" w:name="_Toc26843635"/>
      <w:r>
        <w:rPr>
          <w:rStyle w:val="2Char"/>
          <w:rFonts w:ascii="Times New Roman" w:eastAsia="仿宋" w:cs="Times New Roman" w:hAnsi="Times New Roman"/>
          <w:b w:val="0"/>
          <w:bCs w:val="0"/>
        </w:rPr>
        <w:t>十、</w:t>
      </w:r>
      <w:bookmarkStart w:id="84" w:name="_Toc15396629"/>
      <w:bookmarkStart w:id="85" w:name="_Toc26843636"/>
      <w:bookmarkEnd w:id="82"/>
      <w:bookmarkEnd w:id="83"/>
      <w:r>
        <w:rPr>
          <w:rFonts w:ascii="Times New Roman" w:eastAsia="仿宋" w:cs="Times New Roman" w:hAnsi="Times New Roman"/>
          <w:b w:val="0"/>
        </w:rPr>
        <w:t>政</w:t>
      </w:r>
      <w:r>
        <w:rPr>
          <w:rStyle w:val="2Char"/>
          <w:rFonts w:ascii="Times New Roman" w:eastAsia="仿宋" w:cs="Times New Roman" w:hAnsi="Times New Roman"/>
          <w:b w:val="0"/>
          <w:bCs w:val="0"/>
        </w:rPr>
        <w:t>府性基金预算财政拨款收入支出决算表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十一、</w:t>
      </w:r>
      <w:bookmarkStart w:id="86" w:name="_Toc26843637"/>
      <w:bookmarkStart w:id="87" w:name="_Toc15396630"/>
      <w:bookmarkEnd w:id="84"/>
      <w:bookmarkEnd w:id="85"/>
      <w:r>
        <w:rPr>
          <w:rFonts w:ascii="Times New Roman" w:eastAsia="仿宋" w:cs="Times New Roman" w:hAnsi="Times New Roman"/>
          <w:b w:val="0"/>
        </w:rPr>
        <w:t>国</w:t>
      </w:r>
      <w:r>
        <w:rPr>
          <w:rStyle w:val="2Char"/>
          <w:rFonts w:ascii="Times New Roman" w:eastAsia="仿宋" w:cs="Times New Roman" w:hAnsi="Times New Roman"/>
          <w:b w:val="0"/>
          <w:bCs w:val="0"/>
        </w:rPr>
        <w:t>有资本经营预算财政拨款收入支出决算表</w:t>
      </w:r>
    </w:p>
    <w:p>
      <w:pPr>
        <w:pStyle w:val="2"/>
        <w:keepNext/>
        <w:keepLines/>
        <w:pageBreakBefore w:val="0"/>
        <w:widowControl w:val="0"/>
        <w:kinsoku/>
        <w:wordWrap/>
        <w:overflowPunct/>
        <w:topLinePunct w:val="0"/>
        <w:bidi w:val="0"/>
        <w:spacing w:line="576" w:lineRule="exact"/>
        <w:rPr>
          <w:rStyle w:val="2Char"/>
          <w:rFonts w:ascii="Times New Roman" w:eastAsia="仿宋" w:cs="Times New Roman" w:hAnsi="Times New Roman"/>
          <w:b w:val="0"/>
          <w:bCs w:val="0"/>
        </w:rPr>
      </w:pPr>
      <w:r>
        <w:rPr>
          <w:rStyle w:val="2Char"/>
          <w:rFonts w:ascii="Times New Roman" w:eastAsia="仿宋" w:cs="Times New Roman" w:hAnsi="Times New Roman"/>
          <w:b w:val="0"/>
          <w:bCs w:val="0"/>
        </w:rPr>
        <w:t>十二、</w:t>
      </w:r>
      <w:bookmarkStart w:id="88" w:name="_Toc15396631"/>
      <w:bookmarkStart w:id="89" w:name="_Toc26843638"/>
      <w:bookmarkEnd w:id="86"/>
      <w:bookmarkEnd w:id="87"/>
      <w:r>
        <w:rPr>
          <w:rStyle w:val="2Char"/>
          <w:rFonts w:ascii="Times New Roman" w:eastAsia="仿宋" w:cs="Times New Roman" w:hAnsi="Times New Roman"/>
          <w:b w:val="0"/>
          <w:bCs w:val="0"/>
        </w:rPr>
        <w:t>国有资本经营预算财政拨款支出决算</w:t>
      </w:r>
    </w:p>
    <w:p>
      <w:pPr>
        <w:pStyle w:val="2"/>
        <w:keepNext/>
        <w:keepLines/>
        <w:pageBreakBefore w:val="0"/>
        <w:widowControl w:val="0"/>
        <w:kinsoku/>
        <w:wordWrap/>
        <w:overflowPunct/>
        <w:topLinePunct w:val="0"/>
        <w:bidi w:val="0"/>
        <w:spacing w:line="576" w:lineRule="exact"/>
        <w:rPr>
          <w:rFonts w:ascii="Times New Roman" w:eastAsia="仿宋" w:cs="Times New Roman" w:hAnsi="Times New Roman"/>
        </w:rPr>
      </w:pPr>
      <w:r>
        <w:rPr>
          <w:rStyle w:val="2Char"/>
          <w:rFonts w:ascii="Times New Roman" w:eastAsia="仿宋" w:cs="Times New Roman" w:hAnsi="Times New Roman"/>
          <w:b w:val="0"/>
          <w:bCs w:val="0"/>
        </w:rPr>
        <w:t>十三、</w:t>
      </w:r>
      <w:bookmarkStart w:id="90" w:name="_Toc26843639"/>
      <w:bookmarkEnd w:id="88"/>
      <w:bookmarkEnd w:id="89"/>
      <w:bookmarkEnd w:id="90"/>
      <w:r>
        <w:rPr>
          <w:rFonts w:ascii="Times New Roman" w:eastAsia="仿宋" w:cs="Times New Roman" w:hAnsi="Times New Roman"/>
          <w:b w:val="0"/>
        </w:rPr>
        <w:t>一</w:t>
      </w:r>
      <w:r>
        <w:rPr>
          <w:rStyle w:val="2Char"/>
          <w:rFonts w:ascii="Times New Roman" w:eastAsia="仿宋" w:cs="Times New Roman" w:hAnsi="Times New Roman"/>
          <w:b w:val="0"/>
          <w:bCs w:val="0"/>
        </w:rPr>
        <w:t>般公共预算财政拨款“三公”经费支出决算表</w:t>
      </w:r>
    </w:p>
    <w:p>
      <w:pPr>
        <w:pStyle w:val="30"/>
        <w:spacing w:line="560" w:lineRule="exact"/>
        <w:ind w:firstLineChars="200" w:firstLine="640"/>
        <w:rPr>
          <w:rFonts w:ascii="仿宋_GB2312" w:eastAsia="仿宋_GB2312" w:hint="eastAsia"/>
          <w:sz w:val="32"/>
          <w:szCs w:val="32"/>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panose1 w:val="03000509000000000000"/>
    <w:charset w:val="86"/>
    <w:family w:val="script"/>
    <w:pitch w:val="variable"/>
    <w:sig w:usb0="00000001" w:usb1="080E0000" w:usb2="00000000" w:usb3="00000000" w:csb0="00040000"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宋体">
    <w:panose1 w:val="02010600030101010101"/>
    <w:charset w:val="50"/>
    <w:family w:val="auto"/>
    <w:pitch w:val="variable"/>
    <w:sig w:usb0="00000003" w:usb1="288F0000" w:usb2="00000006" w:usb3="00000000" w:csb0="00040001" w:csb1="00000000"/>
  </w:font>
  <w:font w:name="楷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Calibri">
    <w:panose1 w:val="020F0502020204030204"/>
    <w:charset w:val="00"/>
    <w:family w:val="swiss"/>
    <w:pitch w:val="variable"/>
    <w:sig w:usb0="E4002EFF" w:usb1="C000247B" w:usb2="00000009" w:usb3="00000000" w:csb0="200001FF" w:csb1="00000000"/>
  </w:font>
  <w:font w:name="方正小标宋_GBK">
    <w:panose1 w:val="03000509000000000000"/>
    <w:charset w:val="86"/>
    <w:family w:val="auto"/>
    <w:pitch w:val="variable"/>
    <w:sig w:usb0="00000001" w:usb1="080E0000" w:usb2="00000000" w:usb3="00000000" w:csb0="00040000" w:csb1="00000000"/>
  </w:font>
  <w:font w:name="??_GB2312">
    <w:altName w:val="Times New Roman"/>
    <w:panose1 w:val="00000000000000000000"/>
    <w:charset w:val="00"/>
    <w:family w:val="auto"/>
    <w:pitch w:val="variable"/>
    <w:sig w:usb0="00000000" w:usb1="00000000" w:usb2="00000000" w:usb3="00000000" w:csb0="00000001" w:csb1="00000000"/>
  </w:font>
  <w:font w:name="Cambria">
    <w:panose1 w:val="02040503050406030204"/>
    <w:charset w:val="00"/>
    <w:family w:val="roman"/>
    <w:pitch w:val="variable"/>
    <w:sig w:usb0="E00006FF" w:usb1="420024FF" w:usb2="02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89455376"/>
      <w:docPartList>
        <w:docPartGallery w:val="autotext"/>
      </w:docPartList>
    </w:sdtPr>
    <w:sdtContent>
      <w:p>
        <w:pPr>
          <w:pStyle w:val="19"/>
          <w:tabs>
            <w:tab w:val="center" w:pos="4153"/>
            <w:tab w:val="right" w:pos="8306"/>
          </w:tabs>
          <w:jc w:val="center"/>
        </w:pPr>
        <w:r>
          <w:fldChar w:fldCharType="begin"/>
        </w:r>
        <w:r>
          <w:instrText>PAGE   \* MERGEFORMAT</w:instrText>
        </w:r>
        <w:r>
          <w:fldChar w:fldCharType="separate"/>
        </w:r>
        <w:r>
          <w:rPr>
            <w:lang w:val="zh-CN"/>
          </w:rPr>
          <w:t>10</w:t>
        </w:r>
        <w:r>
          <w:fldChar w:fldCharType="end"/>
        </w:r>
      </w:p>
    </w:sdtContent>
  </w:sdt>
  <w:p>
    <w:pPr>
      <w:pStyle w:val="19"/>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53208E"/>
    <w:multiLevelType w:val="singleLevel"/>
    <w:tmpl w:val="0053208E"/>
    <w:lvl w:ilvl="0">
      <w:start w:val="1"/>
      <w:numFmt w:val="chineseCounting"/>
      <w:lvlRestart w:val="0"/>
      <w:suff w:val="nothing"/>
      <w:lvlText w:val="%1、"/>
      <w:lvlJc w:val="left"/>
      <w:pPr>
        <w:ind w:left="0" w:hanging="0"/>
      </w:pPr>
    </w:lvl>
  </w:abstractNum>
  <w:abstractNum w:abstractNumId="1">
    <w:nsid w:val="1272550B"/>
    <w:multiLevelType w:val="multilevel"/>
    <w:tmpl w:val="1272550B"/>
    <w:lvl w:ilvl="0">
      <w:start w:val="1"/>
      <w:numFmt w:val="japaneseCounting"/>
      <w:lvlRestart w:val="0"/>
      <w:lvlText w:val="%1、"/>
      <w:lvlJc w:val="left"/>
      <w:pPr>
        <w:ind w:left="1360" w:hanging="720"/>
      </w:pPr>
      <w:rPr>
        <w:rFonts w:hint="default"/>
        <w:b w:val="0"/>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nsid w:val="78D72DD4"/>
    <w:multiLevelType w:val="singleLevel"/>
    <w:tmpl w:val="78D72DD4"/>
    <w:lvl w:ilvl="0">
      <w:start w:val="3"/>
      <w:numFmt w:val="decimal"/>
      <w:lvlRestart w:val="0"/>
      <w:lvlText w:val="%1."/>
      <w:lvlJc w:val="left"/>
      <w:pPr>
        <w:ind w:left="0" w:hanging="0"/>
      </w:pPr>
    </w:lvl>
  </w:abstractNum>
  <w:abstractNum w:abstractNumId="3">
    <w:nsid w:val="CF652CEC"/>
    <w:multiLevelType w:val="singleLevel"/>
    <w:tmpl w:val="CF652CEC"/>
    <w:lvl w:ilvl="0">
      <w:start w:val="9"/>
      <w:numFmt w:val="chineseCounting"/>
      <w:lvlRestart w:val="0"/>
      <w:suff w:val="nothing"/>
      <w:lvlText w:val="%1、"/>
      <w:lvlJc w:val="left"/>
      <w:pPr>
        <w:ind w:left="0" w:hanging="0"/>
      </w:pPr>
      <w:rPr>
        <w:rFonts w:hint="eastAsia"/>
      </w:rPr>
    </w:lvl>
  </w:abstractNum>
  <w:abstractNum w:abstractNumId="4">
    <w:nsid w:val="17F426B7"/>
    <w:multiLevelType w:val="multilevel"/>
    <w:tmpl w:val="17F426B7"/>
    <w:lvl w:ilvl="0">
      <w:start w:val="10"/>
      <w:numFmt w:val="japaneseCounting"/>
      <w:lvlRestart w:val="0"/>
      <w:lvlText w:val="%1、"/>
      <w:lvlJc w:val="left"/>
      <w:pPr>
        <w:ind w:left="1429" w:hanging="720"/>
      </w:pPr>
      <w:rPr>
        <w:rFonts w:hint="default"/>
      </w:rPr>
    </w:lvl>
    <w:lvl w:ilvl="1">
      <w:start w:val="1"/>
      <w:numFmt w:val="lowerLetter"/>
      <w:lvlText w:val="%2)"/>
      <w:lvlJc w:val="left"/>
      <w:pPr>
        <w:ind w:left="1549" w:hanging="420"/>
      </w:pPr>
    </w:lvl>
    <w:lvl w:ilvl="2">
      <w:start w:val="1"/>
      <w:numFmt w:val="lowerRoman"/>
      <w:lvlText w:val="%3."/>
      <w:lvlJc w:val="right"/>
      <w:pPr>
        <w:ind w:left="1969" w:hanging="420"/>
      </w:pPr>
    </w:lvl>
    <w:lvl w:ilvl="3">
      <w:start w:val="1"/>
      <w:numFmt w:val="decimal"/>
      <w:lvlText w:val="%4."/>
      <w:lvlJc w:val="left"/>
      <w:pPr>
        <w:ind w:left="2389" w:hanging="420"/>
      </w:pPr>
    </w:lvl>
    <w:lvl w:ilvl="4">
      <w:start w:val="1"/>
      <w:numFmt w:val="lowerLetter"/>
      <w:lvlText w:val="%5)"/>
      <w:lvlJc w:val="left"/>
      <w:pPr>
        <w:ind w:left="2809" w:hanging="420"/>
      </w:pPr>
    </w:lvl>
    <w:lvl w:ilvl="5">
      <w:start w:val="1"/>
      <w:numFmt w:val="lowerRoman"/>
      <w:lvlText w:val="%6."/>
      <w:lvlJc w:val="right"/>
      <w:pPr>
        <w:ind w:left="3229" w:hanging="420"/>
      </w:pPr>
    </w:lvl>
    <w:lvl w:ilvl="6">
      <w:start w:val="1"/>
      <w:numFmt w:val="decimal"/>
      <w:lvlText w:val="%7."/>
      <w:lvlJc w:val="left"/>
      <w:pPr>
        <w:ind w:left="3649" w:hanging="420"/>
      </w:pPr>
    </w:lvl>
    <w:lvl w:ilvl="7">
      <w:start w:val="1"/>
      <w:numFmt w:val="lowerLetter"/>
      <w:lvlText w:val="%8)"/>
      <w:lvlJc w:val="left"/>
      <w:pPr>
        <w:ind w:left="4069" w:hanging="420"/>
      </w:pPr>
    </w:lvl>
    <w:lvl w:ilvl="8">
      <w:start w:val="1"/>
      <w:numFmt w:val="lowerRoman"/>
      <w:lvlText w:val="%9."/>
      <w:lvlJc w:val="right"/>
      <w:pPr>
        <w:ind w:left="4489" w:hanging="420"/>
      </w:pPr>
    </w:lvl>
  </w:abstractNum>
  <w:abstractNum w:abstractNumId="5">
    <w:nsid w:val="E2FA047D"/>
    <w:multiLevelType w:val="singleLevel"/>
    <w:tmpl w:val="E2FA047D"/>
    <w:lvl w:ilvl="0">
      <w:start w:val="3"/>
      <w:numFmt w:val="chineseCounting"/>
      <w:lvlRestart w:val="0"/>
      <w:suff w:val="space"/>
      <w:lvlText w:val="第%1部分"/>
      <w:lvlJc w:val="left"/>
      <w:pPr>
        <w:ind w:left="0" w:hanging="0"/>
      </w:pPr>
      <w:rPr>
        <w:rFonts w:hint="eastAsia"/>
      </w:rPr>
    </w:lvl>
  </w:abstractNum>
  <w:abstractNum w:abstractNumId="6">
    <w:nsid w:val="10335F0B"/>
    <w:multiLevelType w:val="singleLevel"/>
    <w:tmpl w:val="10335F0B"/>
    <w:lvl w:ilvl="0">
      <w:start w:val="2"/>
      <w:numFmt w:val="chineseCounting"/>
      <w:lvlRestart w:val="0"/>
      <w:suff w:val="nothing"/>
      <w:lvlText w:val="（%1）"/>
      <w:lvlJc w:val="left"/>
      <w:pPr>
        <w:ind w:left="0" w:hanging="0"/>
      </w:pPr>
      <w:rPr>
        <w:rFonts w:hint="eastAsia"/>
      </w:rPr>
    </w:lvl>
  </w:abstractNum>
  <w:abstractNum w:abstractNumId="7">
    <w:nsid w:val="A563E448"/>
    <w:multiLevelType w:val="singleLevel"/>
    <w:tmpl w:val="A563E448"/>
    <w:lvl w:ilvl="0">
      <w:start w:val="3"/>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MmY5MWM4NWJhZGMyNWVhZDBmNTBjYWFlNTNlYzBiNzg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customStyle="1" w:styleId="15">
    <w:name w:val="table of figures1"/>
    <w:basedOn w:val="0"/>
    <w:next w:val="0"/>
    <w:pPr>
      <w:spacing w:before="100" w:beforeAutospacing="1" w:after="100" w:afterAutospacing="1"/>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toc 3"/>
    <w:basedOn w:val="0"/>
    <w:next w:val="0"/>
    <w:pPr>
      <w:tabs>
        <w:tab w:val="right" w:leader="dot" w:pos="8296"/>
      </w:tabs>
      <w:ind w:leftChars="400" w:left="40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rFonts w:ascii="Calibri" w:hAnsi="Calibri"/>
      <w:kern w:val="0"/>
      <w:sz w:val="18"/>
      <w:szCs w:val="18"/>
    </w:rPr>
  </w:style>
  <w:style w:type="paragraph" w:styleId="20">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1">
    <w:name w:val="toc 1"/>
    <w:basedOn w:val="0"/>
    <w:next w:val="0"/>
    <w:pPr>
      <w:tabs>
        <w:tab w:val="right" w:leader="dot" w:pos="8296"/>
      </w:tabs>
      <w:spacing w:before="93"/>
      <w:jc w:val="center"/>
    </w:pPr>
    <w:rPr>
      <w:rFonts w:ascii="仿宋" w:eastAsia="仿宋"/>
      <w:sz w:val="28"/>
      <w:szCs w:val="28"/>
    </w:rPr>
  </w:style>
  <w:style w:type="paragraph" w:styleId="22">
    <w:name w:val="toc 2"/>
    <w:basedOn w:val="0"/>
    <w:next w:val="0"/>
    <w:pPr>
      <w:tabs>
        <w:tab w:val="right" w:leader="dot" w:pos="8296"/>
      </w:tabs>
      <w:ind w:leftChars="200" w:left="200"/>
    </w:pPr>
  </w:style>
  <w:style w:type="paragraph" w:styleId="23">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rPr>
  </w:style>
  <w:style w:type="character" w:styleId="24">
    <w:name w:val="Strong"/>
    <w:basedOn w:val="10"/>
    <w:rPr>
      <w:b/>
    </w:rPr>
  </w:style>
  <w:style w:type="character" w:styleId="25">
    <w:name w:val="Hyperlink"/>
    <w:basedOn w:val="10"/>
    <w:rPr>
      <w:color w:val="0000FF"/>
      <w:u w:val="single"/>
    </w:rPr>
  </w:style>
  <w:style w:type="paragraph" w:customStyle="1" w:styleId="26">
    <w:name w:val="图表目录1"/>
    <w:basedOn w:val="0"/>
    <w:next w:val="0"/>
    <w:pPr>
      <w:spacing w:beforeAutospacing="1" w:afterAutospacing="1"/>
      <w:ind w:leftChars="200" w:left="400" w:hangingChars="200" w:hanging="200"/>
    </w:pPr>
  </w:style>
  <w:style w:type="character" w:customStyle="1" w:styleId="27">
    <w:name w:val="Header Char"/>
    <w:basedOn w:val="10"/>
    <w:rPr>
      <w:rFonts w:ascii="Times New Roman" w:hAnsi="Times New Roman"/>
      <w:sz w:val="18"/>
      <w:szCs w:val="18"/>
    </w:rPr>
  </w:style>
  <w:style w:type="character" w:customStyle="1" w:styleId="28">
    <w:name w:val="Footer Char"/>
    <w:basedOn w:val="10"/>
    <w:rPr>
      <w:rFonts w:ascii="Times New Roman" w:hAnsi="Times New Roman"/>
      <w:sz w:val="18"/>
      <w:szCs w:val="18"/>
    </w:rPr>
  </w:style>
  <w:style w:type="character" w:customStyle="1" w:styleId="29">
    <w:name w:val="Body Text Char"/>
    <w:basedOn w:val="10"/>
    <w:rPr>
      <w:rFonts w:ascii="Times New Roman" w:hAnsi="Times New Roman"/>
      <w:szCs w:val="24"/>
    </w:rPr>
  </w:style>
  <w:style w:type="paragraph" w:customStyle="1" w:styleId="30">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31">
    <w:name w:val="List Paragraph"/>
    <w:basedOn w:val="0"/>
    <w:pPr>
      <w:ind w:firstLineChars="200" w:firstLine="200"/>
    </w:pPr>
  </w:style>
  <w:style w:type="paragraph" w:customStyle="1" w:styleId="32">
    <w:name w:val="TOC Heading"/>
    <w:basedOn w:val="1"/>
    <w:next w:val="0"/>
    <w:pPr>
      <w:keepNext/>
      <w:keepLines/>
      <w:widowControl/>
      <w:spacing w:before="480" w:after="0" w:line="276" w:lineRule="auto"/>
      <w:jc w:val="left"/>
      <w:outlineLvl w:val="9"/>
    </w:pPr>
    <w:rPr>
      <w:rFonts w:ascii="Cambria" w:eastAsia="宋体" w:cs="Times New Roman" w:hAnsi="Cambria"/>
      <w:color w:val="376092"/>
      <w:kern w:val="0"/>
      <w:sz w:val="28"/>
      <w:szCs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宋体"/>
                <a:ea typeface="宋体"/>
                <a:cs typeface="Arial"/>
              </a:defRPr>
            </a:pPr>
            <a:r>
              <a:rPr lang="zh-CN"/>
              <a:t>收入支出对比表</a:t>
            </a:r>
          </a:p>
        </c:rich>
      </c:tx>
      <c:layout/>
      <c:overlay val="0"/>
      <c:spPr>
        <a:ln>
          <a:noFill/>
        </a:ln>
      </c:spPr>
    </c:title>
    <c:autoTitleDeleted val="1"/>
    <c:plotArea>
      <c:layout>
        <c:manualLayout>
          <c:layoutTarget val="inner"/>
          <c:xMode val="edge"/>
          <c:yMode val="edge"/>
          <c:x val="0.10551619"/>
          <c:y val="0.16899315"/>
          <c:w val="0.749888"/>
          <c:h val="0.6789392"/>
        </c:manualLayout>
      </c:layout>
      <c:barChart>
        <c:barDir val="col"/>
        <c:grouping val="clustered"/>
        <c:varyColors val="0"/>
        <c:ser>
          <c:idx val="0"/>
          <c:order val="0"/>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773.27</c:v>
                </c:pt>
                <c:pt idx="1">
                  <c:v>1225.72</c:v>
                </c:pt>
              </c:numCache>
            </c:numRef>
          </c:val>
        </c:ser>
        <c:ser>
          <c:idx val="1"/>
          <c:order val="1"/>
          <c:spPr>
            <a:solidFill>
              <a:srgbClr val="C0504D"/>
            </a:solidFill>
            <a:ln>
              <a:noFill/>
            </a:ln>
          </c:spPr>
          <c:invertIfNegative val="0"/>
          <c:dLbls>
            <c:spPr>
              <a:noFill/>
              <a:ln>
                <a:noFill/>
              </a:ln>
            </c:spPr>
            <c:txPr>
              <a:bodyPr vert="horz"/>
              <a:lstStyle/>
              <a:p>
                <a:pPr>
                  <a:defRPr sz="1000" b="0" i="0" u="none" strike="noStrike" baseline="0">
                    <a:solidFill>
                      <a:srgbClr val="000000"/>
                    </a:solidFill>
                    <a:latin typeface="宋体"/>
                    <a:ea typeface="宋体"/>
                    <a:cs typeface="Arial"/>
                  </a:defRPr>
                </a:pPr>
                <a:endParaRPr lang="zh-CN"/>
              </a:p>
            </c:txPr>
            <c:numFmt formatCode="General" sourceLinked="0"/>
            <c:dLblPos val="outEnd"/>
            <c:showLegendKey val="0"/>
            <c:showVal val="1"/>
            <c:showCatName val="0"/>
            <c:showSerName val="0"/>
            <c:showPercent val="0"/>
            <c:showBubbleSize val="0"/>
            <c:showLeaderLines val="0"/>
          </c:dLbls>
          <c:cat>
            <c:strLit>
              <c:ptCount val="2"/>
              <c:pt idx="0">
                <c:v>2021年</c:v>
              </c:pt>
              <c:pt idx="1">
                <c:v>2022年</c:v>
              </c:pt>
            </c:strLit>
          </c:cat>
          <c:val>
            <c:numRef>
              <c:f/>
              <c:numCache>
                <c:formatCode>General</c:formatCode>
                <c:ptCount val="2"/>
                <c:pt idx="0">
                  <c:v>773.27</c:v>
                </c:pt>
                <c:pt idx="1">
                  <c:v>1225.72</c:v>
                </c:pt>
              </c:numCache>
            </c:numRef>
          </c:val>
        </c:ser>
        <c:gapWidth val="150"/>
        <c:axId val="0"/>
        <c:axId val="1"/>
      </c:barChart>
      <c:catAx>
        <c:axId val="0"/>
        <c:scaling>
          <c:orientation val="minMax"/>
        </c:scaling>
        <c:delete val="0"/>
        <c:axPos val="b"/>
        <c:numFmt formatCode="General" sourceLinked="0"/>
        <c:majorTickMark val="out"/>
        <c:minorTickMark val="none"/>
        <c:tickLblPos val="nextTo"/>
        <c:txPr>
          <a:bodyPr rot="0" vert="horz" anchor="t" anchorCtr="0"/>
          <a:lstStyle/>
          <a:p>
            <a:pPr>
              <a:defRPr sz="1000" b="0" i="0" u="none" strike="noStrike" baseline="0">
                <a:solidFill>
                  <a:srgbClr val="000000"/>
                </a:solidFill>
                <a:latin typeface="宋体"/>
                <a:ea typeface="宋体"/>
                <a:cs typeface="Arial"/>
              </a:defRPr>
            </a:pPr>
            <a:endParaRPr lang="zh-CN"/>
          </a:p>
        </c:txPr>
        <c:crosses val="autoZero"/>
        <c:auto val="1"/>
        <c:lblOffset val="100"/>
        <c:lblAlgn val="ctr"/>
        <c:noMultiLvlLbl val="0"/>
        <c:crossAx val="1"/>
      </c:catAx>
      <c:valAx>
        <c:axId val="1"/>
        <c:scaling>
          <c:orientation val="minMax"/>
        </c:scaling>
        <c:delete val="0"/>
        <c:axPos val="l"/>
        <c:numFmt formatCode="General" sourceLinked="1"/>
        <c:majorTickMark val="out"/>
        <c:minorTickMark val="none"/>
        <c:tickLblPos val="nextTo"/>
        <c:txPr>
          <a:bodyPr rot="0" vert="horz" anchor="t" anchorCtr="0"/>
          <a:lstStyle/>
          <a:p>
            <a:pPr>
              <a:defRPr sz="1000" b="0" i="0" u="none" strike="noStrike" baseline="0">
                <a:solidFill>
                  <a:srgbClr val="000000"/>
                </a:solidFill>
                <a:latin typeface="宋体"/>
                <a:ea typeface="宋体"/>
                <a:cs typeface="Arial"/>
              </a:defRPr>
            </a:pPr>
            <a:endParaRPr lang="zh-CN"/>
          </a:p>
        </c:txPr>
        <c:crossesAt val="1.0"/>
        <c:crossBetween val="between"/>
        <c:crossAx val="0"/>
      </c:valAx>
      <c:spPr>
        <a:noFill/>
        <a:ln>
          <a:noFill/>
        </a:ln>
      </c:spPr>
    </c:plotArea>
    <c:plotVisOnly val="1"/>
    <c:dispBlanksAs val="gap"/>
    <c:showDLblsOverMax val="0"/>
  </c:chart>
  <c:spPr/>
  <c:txPr>
    <a:bodyPr/>
    <a:lstStyle/>
    <a:p>
      <a:pPr>
        <a:defRPr sz="1000" b="0" i="0" u="none" strike="noStrike" baseline="0">
          <a:solidFill>
            <a:srgbClr val="000000"/>
          </a:solidFill>
          <a:latin typeface="宋体"/>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ln>
              <a:noFill/>
            </a:ln>
          </c:spPr>
          <c:dPt>
            <c:idx val="0"/>
            <c:bubble3D val="0"/>
            <c:explosion val="0"/>
            <c:spPr>
              <a:solidFill>
                <a:srgbClr val="4F81BD"/>
              </a:solidFill>
              <a:ln>
                <a:noFill/>
              </a:ln>
            </c:spPr>
          </c:dPt>
          <c:dPt>
            <c:idx val="1"/>
            <c:bubble3D val="0"/>
            <c:spPr>
              <a:solidFill>
                <a:srgbClr val="C0504D"/>
              </a:solidFill>
              <a:ln>
                <a:noFill/>
              </a:ln>
            </c:spPr>
          </c:dPt>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General" sourceLinked="1"/>
            <c:dLblPos val="inEnd"/>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1225.72</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财政拨款收、支决算总计变动情况</a:t>
            </a:r>
          </a:p>
        </c:rich>
      </c:tx>
      <c:layout/>
      <c:overlay val="0"/>
      <c:spPr>
        <a:noFill/>
        <a:ln>
          <a:noFill/>
        </a:ln>
      </c:spPr>
    </c:title>
    <c:autoTitleDeleted val="1"/>
    <c:plotArea>
      <c:layout>
        <c:manualLayout>
          <c:layoutTarget val="inner"/>
          <c:xMode val="edge"/>
          <c:yMode val="edge"/>
          <c:x val="0.12553091"/>
          <c:y val="0.048777137"/>
          <c:w val="0.86427146"/>
          <c:h val="0.6187702"/>
        </c:manualLayout>
      </c:layout>
      <c:barChart>
        <c:barDir val="col"/>
        <c:grouping val="clustered"/>
        <c:varyColors val="0"/>
        <c:ser>
          <c:idx val="0"/>
          <c:order val="0"/>
          <c:tx>
            <c:strRef>
              <c:f>'Sheet1 (4)'!$A$2</c:f>
              <c:strCache>
                <c:ptCount val="1"/>
                <c:pt idx="0">
                  <c:v/>
                </c:pt>
              </c:strCache>
            </c:strRef>
          </c:tx>
          <c:spPr>
            <a:solidFill>
              <a:srgbClr val="4F81BD"/>
            </a:solidFill>
            <a:ln>
              <a:noFill/>
            </a:ln>
          </c:spPr>
          <c:invertIfNegative val="0"/>
          <c:dLbls>
            <c:spPr>
              <a:noFill/>
              <a:ln>
                <a:noFill/>
              </a:ln>
            </c:spPr>
            <c:txPr>
              <a:bodyPr vert="horz"/>
              <a:lstStyle/>
              <a:p>
                <a:pPr>
                  <a:defRPr sz="1000" b="0" i="0" u="none" strike="noStrike" baseline="0">
                    <a:solidFill>
                      <a:srgbClr val="00000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(4)'!$B$2:$C$2</c:f>
              <c:numCache>
                <c:formatCode>General</c:formatCode>
                <c:ptCount val="2"/>
                <c:pt idx="0">
                  <c:v>0.0</c:v>
                </c:pt>
                <c:pt idx="1">
                  <c:v>0.0</c:v>
                </c:pt>
              </c:numCache>
            </c:numRef>
          </c:val>
        </c:ser>
        <c:ser>
          <c:idx val="1"/>
          <c:order val="1"/>
          <c:tx>
            <c:strRef>
              <c:f>'Sheet1 (4)'!$A$3</c:f>
              <c:strCache>
                <c:ptCount val="1"/>
                <c:pt idx="0">
                  <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'Sheet1 (4)'!$B$3:$C$3</c:f>
              <c:numCache>
                <c:formatCode>General</c:formatCode>
                <c:ptCount val="2"/>
                <c:pt idx="0">
                  <c:v>0.0</c:v>
                </c:pt>
                <c:pt idx="1">
                  <c:v>0.0</c:v>
                </c:pt>
              </c:numCache>
            </c:numRef>
          </c:val>
        </c:ser>
        <c:overlap val="-27"/>
        <c:gapWidth val="219"/>
        <c:axId val="0"/>
        <c:axId val="1"/>
      </c:barChart>
      <c:dateAx>
        <c:axId val="0"/>
        <c:scaling>
          <c:orientation val="minMax"/>
        </c:scaling>
        <c:delete val="0"/>
        <c:axPos val="b"/>
        <c:numFmt formatCode="General" sourceLinked="0"/>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0"/>
        <c:lblOffset val="100"/>
        <c:baseTimeUnit val="days"/>
        <c:crossAx val="1"/>
      </c:dateAx>
      <c:valAx>
        <c:axId val="1"/>
        <c:scaling>
          <c:orientation val="minMax"/>
          <c:min val="0.0"/>
          <c:max val="1400.0"/>
        </c:scaling>
        <c:delete val="0"/>
        <c:axPos val="l"/>
        <c:majorGridlines/>
        <c:numFmt formatCode="@" sourceLinked="1"/>
        <c:majorTickMark val="out"/>
        <c:minorTickMark val="none"/>
        <c:tickLblPos val="nextTo"/>
        <c:txPr>
          <a:bodyPr/>
          <a:lstStyle/>
          <a:p>
            <a:pPr>
              <a:defRPr sz="1000" b="0" i="0" u="none" strike="noStrike" baseline="0">
                <a:solidFill>
                  <a:srgbClr val="000000"/>
                </a:solidFill>
                <a:latin typeface="AR PL UKai CN"/>
                <a:ea typeface="AR PL UKai CN"/>
                <a:cs typeface="Arial"/>
              </a:defRPr>
            </a:pPr>
            <a:endParaRPr lang="zh-CN"/>
          </a:p>
        </c:txPr>
        <c:crosses val="autoZero"/>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numRef>
              <c:f>'Sheet1 (5)'!$A$2:$A$3</c:f>
              <c:numCache>
                <c:ptCount val="2"/>
              </c:numCache>
            </c:numRef>
          </c:cat>
          <c:val>
            <c:numRef>
              <c:f>'Sheet1 (5)'!$B$2:$B$3</c:f>
              <c:numCache>
                <c:formatCode>General</c:formatCode>
                <c:ptCount val="2"/>
                <c:pt idx="0">
                  <c:v>773.27</c:v>
                </c:pt>
                <c:pt idx="1">
                  <c:v>1225.72</c:v>
                </c:pt>
              </c:numCache>
            </c:numRef>
          </c:val>
        </c:ser>
        <c:overlap val="-27"/>
        <c:gapWidth val="219"/>
        <c:axId val="0"/>
        <c:axId val="1"/>
      </c:barChart>
      <c:catAx>
        <c:axId val="0"/>
        <c:scaling>
          <c:orientation val="minMax"/>
        </c:scaling>
        <c:delete val="0"/>
        <c:axPos val="b"/>
        <c:numFmt formatCode="General" sourceLinked="1"/>
        <c:majorTickMark val="out"/>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in val="0.0"/>
          <c:max val="1400.0"/>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Pt>
            <c:idx val="4"/>
            <c:bubble3D val="0"/>
            <c:spPr>
              <a:solidFill>
                <a:srgbClr val="4F81BD"/>
              </a:solidFill>
              <a:ln>
                <a:noFill/>
              </a:ln>
            </c:spPr>
          </c:dPt>
          <c:dPt>
            <c:idx val="5"/>
            <c:bubble3D val="0"/>
            <c:spPr>
              <a:solidFill>
                <a:srgbClr val="4F81BD"/>
              </a:solidFill>
              <a:ln>
                <a:noFill/>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1"/>
              <c:layout>
                <c:manualLayout>
                  <c:x val="-0.020973645"/>
                  <c:y val="0.04419082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2"/>
              <c:layout>
                <c:manualLayout>
                  <c:x val="-0.003778876"/>
                  <c:y val="0.004965708"/>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3"/>
              <c:layout>
                <c:manualLayout>
                  <c:x val="0.027582776"/>
                  <c:y val="-0.04169033"/>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(6)'!$A$2:$A$7</c:f>
              <c:strCache>
                <c:ptCount val="6"/>
                <c:pt idx="0">
                  <c:v>一般公共服务</c:v>
                </c:pt>
                <c:pt idx="1">
                  <c:v>社会保障和就业</c:v>
                </c:pt>
                <c:pt idx="2">
                  <c:v>医疗卫生支出</c:v>
                </c:pt>
                <c:pt idx="3">
                  <c:v>农林水支出</c:v>
                </c:pt>
                <c:pt idx="4">
                  <c:v>其他支出</c:v>
                </c:pt>
                <c:pt idx="5">
                  <c:v>住房保障支出</c:v>
                </c:pt>
              </c:strCache>
            </c:strRef>
          </c:cat>
          <c:val>
            <c:numRef>
              <c:f>'Sheet1 (6)'!$B$2:$B$7</c:f>
              <c:numCache>
                <c:formatCode>General</c:formatCode>
                <c:ptCount val="6"/>
                <c:pt idx="0">
                  <c:v>358.43</c:v>
                </c:pt>
                <c:pt idx="1">
                  <c:v>84.39</c:v>
                </c:pt>
                <c:pt idx="2">
                  <c:v>37.76</c:v>
                </c:pt>
                <c:pt idx="3">
                  <c:v>346.07</c:v>
                </c:pt>
                <c:pt idx="4">
                  <c:v>349.66</c:v>
                </c:pt>
                <c:pt idx="5">
                  <c:v>49.41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explosion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explosion val="0"/>
            <c:spPr>
              <a:solidFill>
                <a:srgbClr val="4F81BD"/>
              </a:solidFill>
              <a:ln w="19050">
                <a:solidFill>
                  <a:srgbClr val="FFFFFF"/>
                </a:solidFill>
                <a:prstDash val="solid"/>
              </a:ln>
            </c:spPr>
          </c:dPt>
          <c:dPt>
            <c:idx val="2"/>
            <c:bubble3D val="0"/>
            <c:explosion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2"/>
              <c:layout>
                <c:manualLayout>
                  <c:x val="-0.07035216"/>
                  <c:y val="0.0052022664"/>
                </c:manualLayout>
              </c:layout>
              <c:numFmt formatCode="General" sourceLinked="0"/>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6.85</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25</TotalTime>
  <Application>Yozo_Office27021597764231179</Application>
  <Pages>24</Pages>
  <Words>8883</Words>
  <Characters>9817</Characters>
  <Lines>504</Lines>
  <Paragraphs>183</Paragraphs>
  <CharactersWithSpaces>9902</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Administrator</cp:lastModifiedBy>
  <cp:revision>24</cp:revision>
  <cp:lastPrinted>2023-08-28T03:52:43Z</cp:lastPrinted>
  <dcterms:created xsi:type="dcterms:W3CDTF">2019-08-01T01:14:00Z</dcterms:created>
  <dcterms:modified xsi:type="dcterms:W3CDTF">2023-08-30T02:03:54Z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469BE0E21FDF46E9856D07DDF541580E_13</vt:lpwstr>
  </property>
</Properties>
</file>