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96597"/>
      <w:bookmarkStart w:id="3" w:name="_Toc15377193"/>
      <w:bookmarkStart w:id="4" w:name="_Toc15396475"/>
      <w:bookmarkStart w:id="5" w:name="_Toc15378441"/>
      <w:bookmarkStart w:id="6" w:name="_Toc15377425"/>
      <w:r>
        <w:rPr>
          <w:rFonts w:ascii="黑体" w:eastAsia="黑体"/>
          <w:color w:val="000000"/>
          <w:sz w:val="72"/>
          <w:szCs w:val="72"/>
        </w:rPr>
        <w:t>20</w:t>
      </w:r>
      <w:r>
        <w:rPr>
          <w:rFonts w:ascii="黑体" w:eastAsia="黑体" w:hint="eastAsia"/>
          <w:color w:val="000000"/>
          <w:sz w:val="72"/>
          <w:szCs w:val="72"/>
          <w:lang w:val="en-US" w:eastAsia="zh-CN"/>
        </w:rPr>
        <w:t>21</w:t>
      </w:r>
      <w:r>
        <w:rPr>
          <w:rFonts w:ascii="方正小标宋简体" w:eastAsia="方正小标宋简体" w:hint="eastAsia"/>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hint="eastAsia"/>
          <w:color w:val="000000"/>
          <w:sz w:val="72"/>
          <w:szCs w:val="72"/>
          <w:lang w:val="en-US" w:eastAsia="zh-CN"/>
        </w:rPr>
      </w:pPr>
      <w:bookmarkStart w:id="7" w:name="_Toc15396598"/>
      <w:bookmarkStart w:id="8" w:name="_Toc15377194"/>
      <w:bookmarkStart w:id="9" w:name="_Toc15378442"/>
      <w:bookmarkStart w:id="10" w:name="_Toc15306268"/>
      <w:bookmarkStart w:id="11" w:name="_Toc15377426"/>
      <w:bookmarkStart w:id="12" w:name="_Toc15396476"/>
      <w:bookmarkEnd w:id="0"/>
      <w:r>
        <w:rPr>
          <w:rFonts w:ascii="方正小标宋简体" w:eastAsia="方正小标宋简体" w:hint="eastAsia"/>
          <w:color w:val="000000"/>
          <w:sz w:val="72"/>
          <w:szCs w:val="72"/>
          <w:lang w:val="en-US" w:eastAsia="zh-CN"/>
        </w:rPr>
        <w:t>金川县庆宁乡人民政府</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right" w:leader="dot" w:pos="8296"/>
        </w:tabs>
        <w:rPr>
          <w:rFonts w:hint="eastAsia"/>
        </w:rPr>
      </w:pPr>
      <w:r>
        <w:rPr>
          <w:rFonts w:hint="eastAsia"/>
        </w:rPr>
        <w:t>公开时间：</w:t>
      </w:r>
      <w:r>
        <w:rPr>
          <w:rFonts w:hint="eastAsia"/>
          <w:lang w:val="en-US" w:eastAsia="zh-CN"/>
        </w:rPr>
        <w:t xml:space="preserve">2022 </w:t>
      </w:r>
      <w:r>
        <w:rPr>
          <w:rFonts w:hint="eastAsia"/>
        </w:rPr>
        <w:t>年</w:t>
      </w:r>
      <w:r>
        <w:rPr>
          <w:rFonts w:hint="eastAsia"/>
          <w:lang w:val="en-US" w:eastAsia="zh-CN"/>
        </w:rPr>
        <w:t xml:space="preserve"> 8 </w:t>
      </w:r>
      <w:r>
        <w:rPr>
          <w:rFonts w:hint="eastAsia"/>
        </w:rPr>
        <w:t>月</w:t>
      </w:r>
      <w:r>
        <w:rPr>
          <w:rFonts w:hint="eastAsia"/>
          <w:lang w:val="en-US" w:eastAsia="zh-CN"/>
        </w:rPr>
        <w:t xml:space="preserve"> 19 </w:t>
      </w:r>
      <w:r>
        <w:rPr>
          <w:rFonts w:hint="eastAsia"/>
        </w:rPr>
        <w:t>日</w:t>
      </w:r>
    </w:p>
    <w:p>
      <w:pPr>
        <w:rPr>
          <w:rFonts w:hint="eastAsia"/>
        </w:rPr>
      </w:pPr>
    </w:p>
    <w:p>
      <w:pPr>
        <w:rPr>
          <w:rFonts w:hint="eastAsia"/>
        </w:rPr>
      </w:pPr>
    </w:p>
    <w:p>
      <w:pPr>
        <w:rPr>
          <w:rFonts w:hint="eastAsia"/>
        </w:rPr>
      </w:pP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4</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6</w:t>
      </w:r>
      <w:r>
        <w:rPr>
          <w:rFonts w:ascii="仿宋" w:eastAsia="仿宋"/>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22"/>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hint="eastAsia"/>
          <w:sz w:val="28"/>
          <w:szCs w:val="28"/>
          <w:lang w:val="en-US" w:eastAsia="zh-CN"/>
        </w:rPr>
        <w:t>7</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hint="eastAsia"/>
          <w:sz w:val="28"/>
          <w:szCs w:val="28"/>
          <w:lang w:val="en-US" w:eastAsia="zh-CN"/>
        </w:rPr>
        <w:t>8</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9</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9</w:t>
      </w:r>
      <w:r>
        <w:rPr>
          <w:rFonts w:ascii="仿宋" w:eastAsia="仿宋"/>
          <w:sz w:val="28"/>
          <w:szCs w:val="28"/>
        </w:rPr>
        <w:fldChar w:fldCharType="end"/>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3</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2"/>
        <w:tabs>
          <w:tab w:val="right" w:leader="dot" w:pos="8296"/>
        </w:tabs>
        <w:rPr>
          <w:rFonts w:ascii="仿宋" w:eastAsia="仿宋"/>
          <w:sz w:val="28"/>
          <w:szCs w:val="28"/>
          <w:lang w:val="en-US" w:eastAsia="zh-CN"/>
        </w:rPr>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2"/>
        <w:tabs>
          <w:tab w:val="right" w:leader="dot" w:pos="8296"/>
        </w:tabs>
        <w:rPr>
          <w:rFonts w:ascii="仿宋" w:eastAsia="仿宋" w:hint="eastAsia"/>
          <w:sz w:val="28"/>
          <w:szCs w:val="28"/>
        </w:rPr>
      </w:pPr>
      <w:r>
        <w:rPr>
          <w:rStyle w:val="24"/>
          <w:rFonts w:ascii="仿宋" w:eastAsia="仿宋" w:cs="Times New Roman" w:hint="eastAsia"/>
          <w:bCs/>
          <w:kern w:val="2"/>
          <w:sz w:val="28"/>
          <w:szCs w:val="28"/>
          <w:lang w:val="en-US" w:eastAsia="zh-CN" w:bidi="ar-SA"/>
        </w:rPr>
        <w:t xml:space="preserve"> 十、预算绩效情况说明..................................15</w:t>
      </w:r>
    </w:p>
    <w:p>
      <w:pPr>
        <w:rPr>
          <w:lang w:val="en-US" w:eastAsia="zh-CN"/>
        </w:rPr>
      </w:pP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3</w:t>
      </w:r>
    </w:p>
    <w:p>
      <w:pPr>
        <w:pStyle w:val="21"/>
        <w:tabs>
          <w:tab w:val="right" w:leader="dot" w:pos="8296"/>
        </w:tabs>
        <w:rPr>
          <w:rFonts w:ascii="仿宋" w:eastAsia="仿宋"/>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r>
        <w:rPr>
          <w:rFonts w:ascii="仿宋" w:eastAsia="仿宋"/>
          <w:color w:val="000000"/>
          <w:sz w:val="24"/>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b/>
          <w:bCs/>
          <w:shd w:val="clear" w:color="FFFFFF" w:fill="D9D9D9"/>
        </w:rPr>
        <w:fldChar w:fldCharType="begin"/>
      </w:r>
      <w:r>
        <w:instrText>HYPERLINK  \l "_Toc15396614"</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rPr>
        <w:t>6</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ind w:firstLineChars="100" w:firstLine="210"/>
        <w:textAlignment w:val="auto"/>
        <w:rPr>
          <w:rFonts w:ascii="仿宋" w:eastAsia="仿宋" w:cs="Arial"/>
          <w:sz w:val="28"/>
          <w:szCs w:val="28"/>
          <w:shd w:val="clear" w:color="FFFFFF" w:fill="D9D9D9"/>
        </w:rPr>
      </w:pPr>
      <w:r>
        <w:rPr>
          <w:rFonts w:ascii="仿宋_GB2312" w:eastAsia="仿宋_GB2312" w:cs="仿宋_GB2312" w:hint="eastAsia"/>
          <w:b w:val="0"/>
          <w:bCs w:val="0"/>
          <w:color w:val="auto"/>
          <w:lang w:val="en-US" w:eastAsia="zh-CN" w:bidi="ar-SA"/>
        </w:rPr>
        <w:fldChar w:fldCharType="begin"/>
      </w:r>
      <w:r>
        <w:instrText>HYPERLINK  \l "_Toc15396615"</w:instrText>
      </w:r>
      <w:r>
        <w:rPr>
          <w:rFonts w:ascii="仿宋_GB2312" w:eastAsia="仿宋_GB2312" w:cs="仿宋_GB2312" w:hint="eastAsia"/>
          <w:b w:val="0"/>
          <w:bCs w:val="0"/>
          <w:color w:val="auto"/>
          <w:lang w:val="en-US" w:eastAsia="zh-CN" w:bidi="ar-SA"/>
        </w:rPr>
        <w:fldChar w:fldCharType="separate"/>
      </w:r>
      <w:r>
        <w:rPr>
          <w:rFonts w:ascii="仿宋_GB2312" w:eastAsia="仿宋_GB2312" w:cs="仿宋_GB2312" w:hint="eastAsia"/>
          <w:b w:val="0"/>
          <w:bCs w:val="0"/>
          <w:color w:val="auto"/>
          <w:lang w:val="en-US" w:eastAsia="zh-CN" w:bidi="ar-SA"/>
        </w:rPr>
        <w:t>阿坝州金川县</w:t>
      </w:r>
      <w:r>
        <w:rPr>
          <w:rFonts w:ascii="仿宋_GB2312" w:eastAsia="仿宋_GB2312" w:cs="仿宋_GB2312" w:hint="eastAsia"/>
          <w:b w:val="0"/>
          <w:bCs w:val="0"/>
          <w:color w:val="auto"/>
          <w:lang w:eastAsia="zh-CN" w:bidi="ar-SA"/>
        </w:rPr>
        <w:t>庆宁</w:t>
      </w:r>
      <w:r>
        <w:rPr>
          <w:rFonts w:ascii="仿宋_GB2312" w:eastAsia="仿宋_GB2312" w:cs="仿宋_GB2312"/>
          <w:b w:val="0"/>
          <w:bCs w:val="0"/>
          <w:color w:val="auto"/>
          <w:lang w:eastAsia="zh-CN" w:bidi="ar-SA"/>
        </w:rPr>
        <w:t>乡人民政府</w:t>
      </w:r>
      <w:r>
        <w:rPr>
          <w:rFonts w:ascii="仿宋_GB2312" w:eastAsia="仿宋_GB2312" w:cs="仿宋_GB2312" w:hint="eastAsia"/>
          <w:b w:val="0"/>
          <w:bCs w:val="0"/>
          <w:color w:val="auto"/>
          <w:lang w:bidi="ar-SA"/>
        </w:rPr>
        <w:t>202</w:t>
      </w:r>
      <w:r>
        <w:rPr>
          <w:rFonts w:ascii="仿宋_GB2312" w:eastAsia="仿宋_GB2312" w:cs="仿宋_GB2312" w:hint="eastAsia"/>
          <w:b w:val="0"/>
          <w:bCs w:val="0"/>
          <w:color w:val="auto"/>
          <w:lang w:val="en-US" w:eastAsia="zh-CN" w:bidi="ar-SA"/>
        </w:rPr>
        <w:t>1</w:t>
      </w:r>
      <w:r>
        <w:rPr>
          <w:rFonts w:ascii="仿宋_GB2312" w:eastAsia="仿宋_GB2312" w:cs="仿宋_GB2312" w:hint="eastAsia"/>
          <w:b w:val="0"/>
          <w:bCs w:val="0"/>
          <w:color w:val="auto"/>
          <w:lang w:bidi="ar-SA"/>
        </w:rPr>
        <w:t>年部门整体支出绩效评价报告</w:t>
      </w:r>
      <w:r>
        <w:rPr>
          <w:rFonts w:ascii="仿宋" w:eastAsia="仿宋"/>
          <w:sz w:val="28"/>
          <w:szCs w:val="28"/>
          <w:shd w:val="clear" w:color="FFFFFF" w:fill="D9D9D9"/>
        </w:rPr>
        <w:tab/>
      </w:r>
      <w:r>
        <w:rPr>
          <w:rFonts w:ascii="仿宋" w:eastAsia="仿宋" w:hint="eastAsia"/>
          <w:sz w:val="28"/>
          <w:szCs w:val="28"/>
          <w:shd w:val="clear" w:color="FFFFFF" w:fill="D9D9D9"/>
        </w:rPr>
        <w:t>1</w:t>
      </w:r>
      <w:r>
        <w:rPr>
          <w:rFonts w:ascii="仿宋_GB2312" w:eastAsia="仿宋_GB2312" w:cs="仿宋_GB2312" w:hint="eastAsia"/>
          <w:b w:val="0"/>
          <w:bCs w:val="0"/>
          <w:color w:val="auto"/>
          <w:lang w:val="en-US" w:eastAsia="zh-CN" w:bidi="ar-SA"/>
        </w:rPr>
        <w:fldChar w:fldCharType="end"/>
      </w:r>
      <w:r>
        <w:rPr>
          <w:rFonts w:ascii="仿宋" w:eastAsia="仿宋" w:hint="eastAsia"/>
          <w:sz w:val="28"/>
          <w:szCs w:val="28"/>
          <w:shd w:val="clear" w:color="FFFFFF" w:fill="D9D9D9"/>
        </w:rPr>
        <w:t>6</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b/>
          <w:bCs/>
          <w:shd w:val="clear" w:color="FFFFFF" w:fill="D9D9D9"/>
        </w:rPr>
        <w:fldChar w:fldCharType="begin"/>
      </w:r>
      <w:r>
        <w:instrText>HYPERLINK  \l "_Toc15396618"</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instrText>HYPERLINK  \l "_Toc15396614"</w:instrText>
      </w:r>
      <w:r>
        <w:rPr>
          <w:b/>
          <w:bCs/>
          <w:shd w:val="clear" w:color="FFFFFF" w:fill="D9D9D9"/>
        </w:rPr>
        <w:fldChar w:fldCharType="separate"/>
      </w:r>
      <w:r>
        <w:rPr>
          <w:b/>
          <w:bCs/>
          <w:shd w:val="clear" w:color="FFFFFF" w:fill="D9D9D9"/>
        </w:rPr>
        <w:tab/>
      </w:r>
      <w:r>
        <w:rPr>
          <w:rFonts w:hint="eastAsia"/>
          <w:b/>
          <w:bCs/>
          <w:shd w:val="clear" w:color="FFFFFF" w:fill="D9D9D9"/>
        </w:rPr>
        <w:t>1</w:t>
      </w:r>
      <w:r>
        <w:rPr>
          <w:b/>
          <w:bCs/>
          <w:shd w:val="clear" w:color="FFFFFF" w:fill="D9D9D9"/>
        </w:rPr>
        <w:fldChar w:fldCharType="end"/>
      </w:r>
      <w:r>
        <w:rPr>
          <w:rFonts w:hint="eastAsia"/>
          <w:b/>
          <w:bCs/>
          <w:shd w:val="clear" w:color="FFFFFF" w:fill="D9D9D9"/>
          <w:lang w:val="en-US" w:eastAsia="zh-CN"/>
        </w:rPr>
        <w:t>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cs="Arial" w:hint="eastAsia"/>
          <w:sz w:val="28"/>
          <w:szCs w:val="28"/>
          <w:shd w:val="clear" w:color="FFFFFF" w:fill="D9D9D9"/>
          <w:lang w:val="en-US" w:eastAsia="zh-CN"/>
        </w:rPr>
      </w:pPr>
      <w:r>
        <w:rPr>
          <w:rFonts w:ascii="仿宋" w:eastAsia="仿宋" w:hint="eastAsia"/>
          <w:sz w:val="28"/>
          <w:szCs w:val="28"/>
          <w:shd w:val="clear" w:color="FFFFFF" w:fill="D9D9D9"/>
        </w:rPr>
        <w:t>一、</w:t>
      </w:r>
      <w:r>
        <w:rPr>
          <w:rFonts w:ascii="仿宋" w:eastAsia="仿宋" w:hint="eastAsia"/>
          <w:sz w:val="28"/>
          <w:szCs w:val="28"/>
          <w:shd w:val="clear" w:color="FFFFFF" w:fill="D9D9D9"/>
        </w:rPr>
        <w:fldChar w:fldCharType="begin"/>
      </w:r>
      <w:r>
        <w:instrText>HYPERLINK  \l "_Toc15396619"</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收入支出决算总表</w:t>
      </w:r>
      <w:r>
        <w:rPr>
          <w:rFonts w:ascii="仿宋" w:eastAsia="仿宋"/>
          <w:sz w:val="28"/>
          <w:szCs w:val="28"/>
          <w:shd w:val="clear" w:color="FFFFFF" w:fill="D9D9D9"/>
        </w:rPr>
        <w:tab/>
      </w:r>
      <w:r>
        <w:rPr>
          <w:rFonts w:ascii="仿宋" w:eastAsia="仿宋" w:hint="eastAsia"/>
          <w:sz w:val="28"/>
          <w:szCs w:val="28"/>
          <w:shd w:val="clear" w:color="FFFFFF" w:fill="D9D9D9"/>
          <w:lang w:val="en-US" w:eastAsia="zh-CN"/>
        </w:rPr>
        <w:t>1</w:t>
      </w:r>
      <w:r>
        <w:rPr>
          <w:rFonts w:ascii="仿宋" w:eastAsia="仿宋" w:hint="eastAsia"/>
          <w:sz w:val="28"/>
          <w:szCs w:val="28"/>
          <w:shd w:val="clear" w:color="FFFFFF" w:fill="D9D9D9"/>
        </w:rPr>
        <w:fldChar w:fldCharType="end"/>
      </w:r>
      <w:r>
        <w:rPr>
          <w:rFonts w:ascii="仿宋" w:eastAsia="仿宋" w:hint="eastAsia"/>
          <w:sz w:val="28"/>
          <w:szCs w:val="28"/>
          <w:shd w:val="clear" w:color="FFFFFF" w:fill="D9D9D9"/>
          <w:lang w:val="en-US" w:eastAsia="zh-CN"/>
        </w:rPr>
        <w:t>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cs="Arial" w:hint="eastAsia"/>
          <w:sz w:val="28"/>
          <w:szCs w:val="28"/>
          <w:shd w:val="clear" w:color="FFFFFF" w:fill="D9D9D9"/>
          <w:lang w:val="en-US" w:eastAsia="zh-CN"/>
        </w:rPr>
      </w:pPr>
      <w:r>
        <w:rPr>
          <w:rFonts w:ascii="仿宋" w:eastAsia="仿宋" w:hint="eastAsia"/>
          <w:sz w:val="28"/>
          <w:szCs w:val="28"/>
          <w:shd w:val="clear" w:color="FFFFFF" w:fill="D9D9D9"/>
        </w:rPr>
        <w:t>二、</w:t>
      </w:r>
      <w:r>
        <w:rPr>
          <w:rFonts w:ascii="仿宋" w:eastAsia="仿宋" w:hint="eastAsia"/>
          <w:sz w:val="28"/>
          <w:szCs w:val="28"/>
          <w:shd w:val="clear" w:color="FFFFFF" w:fill="D9D9D9"/>
        </w:rPr>
        <w:fldChar w:fldCharType="begin"/>
      </w:r>
      <w:r>
        <w:instrText>HYPERLINK  \l "_Toc15396620"</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收入总表</w:t>
      </w:r>
      <w:r>
        <w:rPr>
          <w:rFonts w:ascii="仿宋" w:eastAsia="仿宋"/>
          <w:sz w:val="28"/>
          <w:szCs w:val="28"/>
          <w:shd w:val="clear" w:color="FFFFFF" w:fill="D9D9D9"/>
        </w:rPr>
        <w:tab/>
      </w:r>
      <w:r>
        <w:rPr>
          <w:rFonts w:ascii="仿宋" w:eastAsia="仿宋" w:hint="eastAsia"/>
          <w:sz w:val="28"/>
          <w:szCs w:val="28"/>
          <w:shd w:val="clear" w:color="FFFFFF" w:fill="D9D9D9"/>
          <w:lang w:val="en-US" w:eastAsia="zh-CN"/>
        </w:rPr>
        <w:t>1</w:t>
      </w:r>
      <w:r>
        <w:rPr>
          <w:rFonts w:ascii="仿宋" w:eastAsia="仿宋" w:hint="eastAsia"/>
          <w:sz w:val="28"/>
          <w:szCs w:val="28"/>
          <w:shd w:val="clear" w:color="FFFFFF" w:fill="D9D9D9"/>
        </w:rPr>
        <w:fldChar w:fldCharType="end"/>
      </w:r>
      <w:r>
        <w:rPr>
          <w:rFonts w:ascii="仿宋" w:eastAsia="仿宋" w:hint="eastAsia"/>
          <w:sz w:val="28"/>
          <w:szCs w:val="28"/>
          <w:shd w:val="clear" w:color="FFFFFF" w:fill="D9D9D9"/>
          <w:lang w:val="en-US" w:eastAsia="zh-CN"/>
        </w:rPr>
        <w:t>7</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sz w:val="28"/>
          <w:szCs w:val="28"/>
          <w:shd w:val="clear" w:color="FFFFFF" w:fill="D9D9D9"/>
          <w:lang w:val="en-US" w:eastAsia="zh-CN"/>
        </w:rPr>
        <w:t xml:space="preserve">   </w:t>
      </w:r>
      <w:r>
        <w:rPr>
          <w:rFonts w:ascii="仿宋" w:eastAsia="仿宋" w:hint="eastAsia"/>
          <w:sz w:val="28"/>
          <w:szCs w:val="28"/>
          <w:shd w:val="clear" w:color="FFFFFF" w:fill="D9D9D9"/>
        </w:rPr>
        <w:t>三、</w:t>
      </w:r>
      <w:r>
        <w:rPr>
          <w:rFonts w:ascii="仿宋" w:eastAsia="仿宋" w:hint="eastAsia"/>
          <w:sz w:val="28"/>
          <w:szCs w:val="28"/>
          <w:shd w:val="clear" w:color="FFFFFF" w:fill="D9D9D9"/>
        </w:rPr>
        <w:fldChar w:fldCharType="begin"/>
      </w:r>
      <w:r>
        <w:instrText>HYPERLINK  \l "_Toc15396621"</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支出总表</w:t>
      </w:r>
      <w:r>
        <w:rPr>
          <w:rFonts w:ascii="仿宋" w:eastAsia="仿宋" w:hint="eastAsia"/>
          <w:sz w:val="28"/>
          <w:szCs w:val="28"/>
          <w:shd w:val="clear" w:color="FFFFFF" w:fill="D9D9D9"/>
        </w:rPr>
        <w:fldChar w:fldCharType="end"/>
      </w:r>
      <w:r>
        <w:rPr>
          <w:b/>
          <w:bCs/>
          <w:shd w:val="clear" w:color="FFFFFF" w:fill="D9D9D9"/>
        </w:rPr>
        <w:fldChar w:fldCharType="begin"/>
      </w:r>
      <w:r>
        <w:instrText>HYPERLINK  \l "_Toc15396614"</w:instrText>
      </w:r>
      <w:r>
        <w:rPr>
          <w:b/>
          <w:bCs/>
          <w:shd w:val="clear" w:color="FFFFFF" w:fill="D9D9D9"/>
        </w:rPr>
        <w:fldChar w:fldCharType="separate"/>
      </w:r>
      <w:r>
        <w:rPr>
          <w:b/>
          <w:bCs/>
          <w:shd w:val="clear" w:color="FFFFFF" w:fill="D9D9D9"/>
        </w:rPr>
        <w:tab/>
      </w:r>
      <w:r>
        <w:rPr>
          <w:rFonts w:hint="eastAsia"/>
          <w:b/>
          <w:bCs/>
          <w:shd w:val="clear" w:color="FFFFFF" w:fill="D9D9D9"/>
        </w:rPr>
        <w:t>1</w:t>
      </w:r>
      <w:r>
        <w:rPr>
          <w:b/>
          <w:bCs/>
          <w:shd w:val="clear" w:color="FFFFFF" w:fill="D9D9D9"/>
        </w:rPr>
        <w:fldChar w:fldCharType="end"/>
      </w:r>
      <w:r>
        <w:rPr>
          <w:rFonts w:hint="eastAsia"/>
          <w:b/>
          <w:bCs/>
          <w:shd w:val="clear" w:color="FFFFFF" w:fill="D9D9D9"/>
          <w:lang w:val="en-US" w:eastAsia="zh-CN"/>
        </w:rPr>
        <w:fldChar w:fldCharType="begin"/>
      </w:r>
      <w:r>
        <w:instrText>HYPERLINK  \l "_Toc15396621"</w:instrText>
      </w:r>
      <w:r>
        <w:rPr>
          <w:rFonts w:hint="eastAsia"/>
          <w:b/>
          <w:bCs/>
          <w:shd w:val="clear" w:color="FFFFFF" w:fill="D9D9D9"/>
          <w:lang w:val="en-US" w:eastAsia="zh-CN"/>
        </w:rPr>
        <w:fldChar w:fldCharType="separate"/>
      </w:r>
      <w:r>
        <w:rPr>
          <w:rFonts w:hint="eastAsia"/>
          <w:b/>
          <w:bCs/>
          <w:shd w:val="clear" w:color="FFFFFF" w:fill="D9D9D9"/>
          <w:lang w:val="en-US" w:eastAsia="zh-CN"/>
        </w:rPr>
        <w:t>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lang w:val="en-US" w:eastAsia="zh-CN"/>
        </w:rPr>
      </w:pPr>
      <w:r>
        <w:rPr>
          <w:rFonts w:hint="eastAsia"/>
          <w:b/>
          <w:bCs/>
          <w:shd w:val="clear" w:color="FFFFFF" w:fill="D9D9D9"/>
          <w:lang w:val="en-US" w:eastAsia="zh-CN"/>
        </w:rPr>
        <w:fldChar w:fldCharType="end"/>
      </w:r>
      <w:r>
        <w:rPr>
          <w:rFonts w:ascii="仿宋" w:eastAsia="仿宋" w:hint="eastAsia"/>
          <w:sz w:val="28"/>
          <w:szCs w:val="28"/>
          <w:shd w:val="clear" w:color="FFFFFF" w:fill="D9D9D9"/>
          <w:lang w:val="en-US" w:eastAsia="zh-CN"/>
        </w:rPr>
        <w:t xml:space="preserve"> </w:t>
      </w:r>
      <w:r>
        <w:rPr>
          <w:rFonts w:ascii="仿宋" w:eastAsia="仿宋" w:hint="eastAsia"/>
          <w:sz w:val="28"/>
          <w:szCs w:val="28"/>
          <w:shd w:val="clear" w:color="FFFFFF" w:fill="D9D9D9"/>
        </w:rPr>
        <w:t>四、财政拨款收入支出决算总表</w:t>
        <w:tab/>
      </w:r>
      <w:r>
        <w:rPr>
          <w:rFonts w:ascii="仿宋" w:eastAsia="仿宋" w:hint="eastAsia"/>
          <w:sz w:val="28"/>
          <w:szCs w:val="28"/>
          <w:shd w:val="clear" w:color="FFFFFF" w:fill="D9D9D9"/>
          <w:lang w:val="en-US" w:eastAsia="zh-CN"/>
        </w:rPr>
        <w:t>17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五、财政拨款支出决算明细表</w:t>
        <w:tab/>
      </w:r>
      <w:r>
        <w:rPr>
          <w:rFonts w:ascii="仿宋" w:eastAsia="仿宋" w:hint="eastAsia"/>
          <w:sz w:val="28"/>
          <w:szCs w:val="28"/>
          <w:shd w:val="clear" w:color="FFFFFF" w:fill="D9D9D9"/>
          <w:lang w:val="en-US" w:eastAsia="zh-CN"/>
        </w:rPr>
        <w:t>17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六、一般公共预算财政拨款支出决算表</w:t>
        <w:tab/>
      </w:r>
      <w:r>
        <w:rPr>
          <w:rFonts w:ascii="仿宋" w:eastAsia="仿宋" w:hint="eastAsia"/>
          <w:sz w:val="28"/>
          <w:szCs w:val="28"/>
          <w:shd w:val="clear" w:color="FFFFFF" w:fill="D9D9D9"/>
          <w:lang w:val="en-US" w:eastAsia="zh-CN"/>
        </w:rPr>
        <w:t>17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七、一般公共预算财政拨款支出决算明细表</w:t>
        <w:tab/>
      </w:r>
      <w:r>
        <w:rPr>
          <w:rFonts w:ascii="仿宋" w:eastAsia="仿宋" w:hint="eastAsia"/>
          <w:sz w:val="28"/>
          <w:szCs w:val="28"/>
          <w:shd w:val="clear" w:color="FFFFFF" w:fill="D9D9D9"/>
          <w:lang w:val="en-US" w:eastAsia="zh-CN"/>
        </w:rPr>
        <w:t>17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rPr>
      </w:pPr>
      <w:r>
        <w:rPr>
          <w:rFonts w:ascii="仿宋" w:eastAsia="仿宋" w:hint="eastAsia"/>
          <w:sz w:val="28"/>
          <w:szCs w:val="28"/>
          <w:shd w:val="clear" w:color="FFFFFF" w:fill="D9D9D9"/>
        </w:rPr>
        <w:t>八、一般公共预算财政拨款基本支出决算表</w:t>
        <w:tab/>
      </w:r>
      <w:r>
        <w:rPr>
          <w:rFonts w:ascii="仿宋" w:eastAsia="仿宋" w:hint="eastAsia"/>
          <w:sz w:val="28"/>
          <w:szCs w:val="28"/>
          <w:shd w:val="clear" w:color="FFFFFF" w:fill="D9D9D9"/>
          <w:lang w:val="en-US" w:eastAsia="zh-CN"/>
        </w:rPr>
        <w:t>17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lang w:val="en-US" w:eastAsia="zh-CN"/>
        </w:rPr>
      </w:pPr>
      <w:r>
        <w:rPr>
          <w:rFonts w:ascii="仿宋" w:eastAsia="仿宋" w:hint="eastAsia"/>
          <w:sz w:val="28"/>
          <w:szCs w:val="28"/>
          <w:shd w:val="clear" w:color="FFFFFF" w:fill="D9D9D9"/>
        </w:rPr>
        <w:t>九、一般公共预算财政拨款项目支出决算表</w:t>
        <w:tab/>
      </w:r>
      <w:r>
        <w:rPr>
          <w:rFonts w:ascii="仿宋" w:eastAsia="仿宋" w:hint="eastAsia"/>
          <w:sz w:val="28"/>
          <w:szCs w:val="28"/>
          <w:shd w:val="clear" w:color="FFFFFF" w:fill="D9D9D9"/>
          <w:lang w:val="en-US" w:eastAsia="zh-CN"/>
        </w:rPr>
        <w:t>21</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十、一般公共预算财政拨款“三公”经费支出决算表</w:t>
        <w:tab/>
      </w:r>
      <w:r>
        <w:rPr>
          <w:rFonts w:ascii="仿宋" w:eastAsia="仿宋" w:hint="eastAsia"/>
          <w:sz w:val="28"/>
          <w:szCs w:val="28"/>
          <w:shd w:val="clear" w:color="FFFFFF" w:fill="D9D9D9"/>
          <w:lang w:val="en-US" w:eastAsia="zh-CN"/>
        </w:rPr>
        <w:t>21</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十一、政府性基金预算财政拨款收入支出决算表</w:t>
        <w:tab/>
      </w:r>
      <w:r>
        <w:rPr>
          <w:rFonts w:ascii="仿宋" w:eastAsia="仿宋" w:hint="eastAsia"/>
          <w:sz w:val="28"/>
          <w:szCs w:val="28"/>
          <w:shd w:val="clear" w:color="FFFFFF" w:fill="D9D9D9"/>
          <w:lang w:val="en-US" w:eastAsia="zh-CN"/>
        </w:rPr>
        <w:t>21</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lang w:val="en-US" w:eastAsia="zh-CN"/>
        </w:rPr>
      </w:pPr>
      <w:r>
        <w:rPr>
          <w:rFonts w:ascii="仿宋" w:eastAsia="仿宋" w:hint="eastAsia"/>
          <w:sz w:val="28"/>
          <w:szCs w:val="28"/>
          <w:shd w:val="clear" w:color="FFFFFF" w:fill="D9D9D9"/>
        </w:rPr>
        <w:t>十二、政府性基金预算财政拨款“三公”经费支出决算表</w:t>
        <w:tab/>
      </w:r>
      <w:r>
        <w:rPr>
          <w:rFonts w:ascii="仿宋" w:eastAsia="仿宋" w:hint="eastAsia"/>
          <w:sz w:val="28"/>
          <w:szCs w:val="28"/>
          <w:shd w:val="clear" w:color="FFFFFF" w:fill="D9D9D9"/>
          <w:lang w:val="en-US" w:eastAsia="zh-CN"/>
        </w:rPr>
        <w:t>21</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十三、国有资本经营预算财政拨款支出决算表</w:t>
        <w:tab/>
      </w:r>
      <w:r>
        <w:rPr>
          <w:rFonts w:ascii="仿宋" w:eastAsia="仿宋" w:hint="eastAsia"/>
          <w:sz w:val="28"/>
          <w:szCs w:val="28"/>
          <w:shd w:val="clear" w:color="FFFFFF" w:fill="D9D9D9"/>
          <w:lang w:val="en-US" w:eastAsia="zh-CN"/>
        </w:rPr>
        <w:t>21</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十四、国有资本经营预算财政拨款支出决算表</w:t>
        <w:tab/>
      </w:r>
      <w:r>
        <w:rPr>
          <w:rFonts w:ascii="仿宋" w:eastAsia="仿宋" w:hint="eastAsia"/>
          <w:sz w:val="28"/>
          <w:szCs w:val="28"/>
          <w:shd w:val="clear" w:color="FFFFFF" w:fill="D9D9D9"/>
          <w:lang w:val="en-US" w:eastAsia="zh-CN"/>
        </w:rPr>
        <w:t>21</w:t>
      </w:r>
    </w:p>
    <w:p>
      <w:pPr>
        <w:rPr>
          <w:rFonts w:hint="eastAsia"/>
          <w:lang w:val="en-US" w:eastAsia="zh-CN"/>
        </w:rPr>
      </w:pPr>
    </w:p>
    <w:p/>
    <w:p>
      <w:pPr>
        <w:widowControl/>
        <w:jc w:val="left"/>
        <w:rPr>
          <w:rFonts w:ascii="黑体" w:eastAsia="黑体"/>
          <w:bCs/>
          <w:kern w:val="44"/>
          <w:sz w:val="44"/>
          <w:szCs w:val="44"/>
        </w:rPr>
      </w:pPr>
      <w:bookmarkStart w:id="13" w:name="_Toc15396599"/>
      <w:bookmarkStart w:id="14" w:name="_Toc15377196"/>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3"/>
      <w:bookmarkEnd w:id="14"/>
    </w:p>
    <w:p>
      <w:pPr>
        <w:pStyle w:val="2"/>
        <w:keepNext/>
        <w:keepLines/>
        <w:widowControl w:val="0"/>
        <w:wordWrap/>
        <w:adjustRightInd/>
        <w:snapToGrid/>
        <w:spacing w:before="0" w:after="0" w:line="240" w:lineRule="auto"/>
        <w:ind w:left="640" w:hangingChars="200" w:hanging="640"/>
        <w:textAlignment w:val="auto"/>
        <w:rPr>
          <w:rStyle w:val="2Char"/>
          <w:rFonts w:ascii="黑体" w:eastAsia="黑体" w:hint="eastAsia"/>
          <w:b w:val="0"/>
          <w:bCs w:val="0"/>
        </w:rPr>
      </w:pPr>
      <w:bookmarkStart w:id="15" w:name="_Toc15377197"/>
      <w:bookmarkStart w:id="16" w:name="_Toc15396600"/>
      <w:r>
        <w:rPr>
          <w:rFonts w:ascii="黑体" w:eastAsia="黑体" w:hint="eastAsia"/>
          <w:b w:val="0"/>
          <w:color w:val="000000"/>
        </w:rPr>
        <w:t>一、基</w:t>
      </w:r>
      <w:r>
        <w:rPr>
          <w:rStyle w:val="2Char"/>
          <w:rFonts w:ascii="黑体" w:eastAsia="黑体" w:hint="eastAsia"/>
          <w:b w:val="0"/>
          <w:bCs w:val="0"/>
        </w:rPr>
        <w:t>本职能及主要工作</w:t>
      </w:r>
      <w:bookmarkStart w:id="17" w:name="_Toc15377198"/>
      <w:bookmarkStart w:id="18" w:name="_Toc15378445"/>
      <w:bookmarkEnd w:id="15"/>
      <w:bookmarkEnd w:id="16"/>
    </w:p>
    <w:p>
      <w:pPr>
        <w:pStyle w:val="2"/>
        <w:keepNext/>
        <w:keepLines/>
        <w:widowControl w:val="0"/>
        <w:wordWrap/>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9" w:name="_Toc15378446"/>
      <w:bookmarkStart w:id="20" w:name="_Toc15377199"/>
      <w:bookmarkEnd w:id="17"/>
      <w:bookmarkEnd w:id="18"/>
    </w:p>
    <w:p>
      <w:pPr>
        <w:widowControl w:val="0"/>
        <w:numPr>
          <w:ilvl w:val="0"/>
          <w:numId w:val="1"/>
        </w:numPr>
        <w:wordWrap/>
        <w:adjustRightInd/>
        <w:spacing w:line="576" w:lineRule="exact"/>
        <w:ind w:left="0" w:firstLineChars="200" w:firstLine="640"/>
        <w:jc w:val="both"/>
        <w:textAlignment w:val="auto"/>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pPr>
      <w:r>
        <w:rPr>
          <w:rFonts w:ascii="仿宋" w:eastAsia="仿宋" w:cs="仿宋" w:hint="eastAsia"/>
          <w:b w:val="0"/>
          <w:bCs w:val="0"/>
          <w:i w:val="0"/>
          <w:iCs w:val="0"/>
          <w:caps w:val="0"/>
          <w:smallCaps w:val="0"/>
          <w:color w:val="000000"/>
          <w:spacing w:val="0"/>
          <w:sz w:val="32"/>
          <w:szCs w:val="32"/>
          <w:shd w:val="clear" w:color="0A0000" w:fill="FFFFFF"/>
          <w:lang w:val="en-US" w:eastAsia="zh-CN"/>
        </w:rPr>
        <w:t>兴产业强项目，经济发展取得新成效。一是抓好巩固衔接。</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严格落实“四个不摘”的要求，健全防止返贫监测帮扶机制，确保149户贫困户稳定脱贫不返贫。继续做好脱贫动态数据调整，做实档案资料，做强帮扶举措，确保帮扶政策、责任、工作“三落实”到位。</w:t>
      </w:r>
      <w:r>
        <w:rPr>
          <w:rFonts w:ascii="仿宋" w:eastAsia="仿宋" w:cs="仿宋" w:hint="eastAsia"/>
          <w:b w:val="0"/>
          <w:bCs w:val="0"/>
          <w:i w:val="0"/>
          <w:iCs w:val="0"/>
          <w:caps w:val="0"/>
          <w:smallCaps w:val="0"/>
          <w:color w:val="000000"/>
          <w:spacing w:val="0"/>
          <w:sz w:val="32"/>
          <w:szCs w:val="32"/>
          <w:shd w:val="clear" w:color="0A0000" w:fill="FFFFFF"/>
          <w:lang w:val="en-US" w:eastAsia="zh-CN"/>
        </w:rPr>
        <w:t>二是优化产业结构。</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3个村采取入股分红、发展种养殖产业、土地租赁等模式发展集体经济，脱贫成果进一步巩固。扎实开展雪梨振兴，完成300余亩林下种植，积极打造民宿、农家乐产业，努力培育致富新引擎。</w:t>
      </w:r>
      <w:r>
        <w:rPr>
          <w:rFonts w:ascii="仿宋" w:eastAsia="仿宋" w:cs="仿宋" w:hint="eastAsia"/>
          <w:b w:val="0"/>
          <w:bCs w:val="0"/>
          <w:i w:val="0"/>
          <w:iCs w:val="0"/>
          <w:caps w:val="0"/>
          <w:smallCaps w:val="0"/>
          <w:color w:val="000000"/>
          <w:spacing w:val="0"/>
          <w:sz w:val="32"/>
          <w:szCs w:val="32"/>
          <w:shd w:val="clear" w:color="0A0000" w:fill="FFFFFF"/>
          <w:lang w:val="en-US" w:eastAsia="zh-CN"/>
        </w:rPr>
        <w:t>三是抓实重点项目。</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完善世外梨园景区核心旅游基础设施建设项目，倒排工期，挂图作战。今年全乡共有项目15个，总投资1000余万元，现已完工10个，剩余5个正在按项目既定进度要求</w:t>
      </w:r>
      <w:r>
        <w:rPr>
          <w:rFonts w:ascii="仿宋" w:eastAsia="仿宋" w:cs="仿宋" w:hint="eastAsia"/>
          <w:b w:val="0"/>
          <w:bCs w:val="0"/>
          <w:i w:val="0"/>
          <w:iCs w:val="0"/>
          <w:caps w:val="0"/>
          <w:smallCaps w:val="0"/>
          <w:color w:val="000000"/>
          <w:spacing w:val="-6"/>
          <w:kern w:val="2"/>
          <w:sz w:val="32"/>
          <w:szCs w:val="32"/>
          <w:shd w:val="clear" w:color="0B0000" w:fill="FFFFFF"/>
          <w:lang w:val="en-US" w:eastAsia="zh-CN" w:bidi="ar-SA"/>
        </w:rPr>
        <w:t>稳步推进。</w:t>
      </w:r>
    </w:p>
    <w:p>
      <w:pPr>
        <w:widowControl w:val="0"/>
        <w:numPr>
          <w:ilvl w:val="0"/>
          <w:numId w:val="1"/>
        </w:numPr>
        <w:wordWrap/>
        <w:adjustRightInd/>
        <w:snapToGrid/>
        <w:spacing w:line="576" w:lineRule="exact"/>
        <w:ind w:left="0" w:firstLineChars="200" w:firstLine="640"/>
        <w:textAlignment w:val="auto"/>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pPr>
      <w:r>
        <w:rPr>
          <w:rFonts w:ascii="仿宋" w:eastAsia="仿宋" w:cs="仿宋" w:hint="eastAsia"/>
          <w:b w:val="0"/>
          <w:bCs w:val="0"/>
          <w:i w:val="0"/>
          <w:iCs w:val="0"/>
          <w:caps w:val="0"/>
          <w:smallCaps w:val="0"/>
          <w:color w:val="000000"/>
          <w:spacing w:val="0"/>
          <w:sz w:val="32"/>
          <w:szCs w:val="32"/>
          <w:shd w:val="clear" w:color="0A0000" w:fill="FFFFFF"/>
          <w:lang w:val="en-US" w:eastAsia="zh-CN"/>
        </w:rPr>
        <w:t>重建设优环境，乡村风貌实现新提升。一是强化生态保护。</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积极配合办结各级督查组交办环保信访问题，严格落实种养殖环评申报制度，加强农村面源污染防治。强化75633亩森林管护，采取乡党委政府、村两委双考勤制度，明确管护责任区域，进一步加强生态管护员监管。</w:t>
      </w:r>
      <w:r>
        <w:rPr>
          <w:rFonts w:ascii="仿宋" w:eastAsia="仿宋" w:cs="仿宋" w:hint="eastAsia"/>
          <w:b w:val="0"/>
          <w:bCs w:val="0"/>
          <w:i w:val="0"/>
          <w:iCs w:val="0"/>
          <w:caps w:val="0"/>
          <w:smallCaps w:val="0"/>
          <w:color w:val="000000"/>
          <w:spacing w:val="0"/>
          <w:sz w:val="32"/>
          <w:szCs w:val="32"/>
          <w:shd w:val="clear" w:color="0A0000" w:fill="FFFFFF"/>
          <w:lang w:val="en-US" w:eastAsia="zh-CN"/>
        </w:rPr>
        <w:t>二是开展环境整治。</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深入实施十乱治理，常态化开展“周五卫生大扫除”活动，整治卫生死角及垃圾堆放点100余处，清除乱堆乱放乱占等60余处，签订门前三包责任书500余份。</w:t>
      </w:r>
      <w:r>
        <w:rPr>
          <w:rFonts w:ascii="仿宋" w:eastAsia="仿宋" w:cs="仿宋" w:hint="eastAsia"/>
          <w:b w:val="0"/>
          <w:bCs w:val="0"/>
          <w:i w:val="0"/>
          <w:iCs w:val="0"/>
          <w:caps w:val="0"/>
          <w:smallCaps w:val="0"/>
          <w:color w:val="000000"/>
          <w:spacing w:val="0"/>
          <w:sz w:val="32"/>
          <w:szCs w:val="32"/>
          <w:shd w:val="clear" w:color="0A0000" w:fill="FFFFFF"/>
          <w:lang w:val="en-US" w:eastAsia="zh-CN"/>
        </w:rPr>
        <w:t>三是强化宣传引导。</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借助村民大会、党员会等契机，加大对农村垃圾处理、农业废弃物、禁止露天焚烧秸秆等工作的宣传力度，截至目前，发放各类宣传资料5000余份，悬挂标语横幅40余条，通过QQ、微信群、短信等方式，转发环保信息1000余条。</w:t>
      </w:r>
    </w:p>
    <w:p>
      <w:pPr>
        <w:widowControl w:val="0"/>
        <w:wordWrap/>
        <w:adjustRightInd/>
        <w:spacing w:line="576" w:lineRule="exact"/>
        <w:ind w:left="0" w:firstLineChars="200" w:firstLine="640"/>
        <w:jc w:val="both"/>
        <w:textAlignment w:val="auto"/>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pPr>
      <w:r>
        <w:rPr>
          <w:rFonts w:ascii="仿宋" w:eastAsia="仿宋" w:cs="仿宋" w:hint="eastAsia"/>
          <w:b w:val="0"/>
          <w:bCs w:val="0"/>
          <w:i w:val="0"/>
          <w:iCs w:val="0"/>
          <w:caps w:val="0"/>
          <w:smallCaps w:val="0"/>
          <w:color w:val="000000"/>
          <w:spacing w:val="0"/>
          <w:sz w:val="32"/>
          <w:szCs w:val="32"/>
          <w:shd w:val="clear" w:color="0A0000" w:fill="FFFFFF"/>
          <w:lang w:val="en-US" w:eastAsia="zh-CN"/>
        </w:rPr>
        <w:t>三、抓治理保稳定，社会大局开创新局面。一是防灾减灾常抓不懈。</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针对全乡20处地质灾害隐患点，逐一制定应急预案。严格监测员管理，定时不定时进行查岗，全年开展应急演练20次，发放地质灾害、防汛明白卡170余张，群众参与200余人次</w:t>
      </w:r>
      <w:r>
        <w:rPr>
          <w:rFonts w:ascii="仿宋" w:eastAsia="仿宋" w:cs="仿宋" w:hint="eastAsia"/>
          <w:b w:val="0"/>
          <w:bCs w:val="0"/>
          <w:color w:val="000000"/>
          <w:sz w:val="32"/>
          <w:szCs w:val="32"/>
          <w:lang w:val="en-US" w:eastAsia="zh-CN"/>
          <w:highlight w:val="auto"/>
        </w:rPr>
        <w:t>。</w:t>
      </w:r>
      <w:r>
        <w:rPr>
          <w:rFonts w:ascii="仿宋" w:eastAsia="仿宋" w:cs="仿宋" w:hint="eastAsia"/>
          <w:b w:val="0"/>
          <w:bCs w:val="0"/>
          <w:i w:val="0"/>
          <w:iCs w:val="0"/>
          <w:caps w:val="0"/>
          <w:smallCaps w:val="0"/>
          <w:color w:val="000000"/>
          <w:spacing w:val="0"/>
          <w:sz w:val="32"/>
          <w:szCs w:val="32"/>
          <w:shd w:val="clear" w:color="0A0000" w:fill="FFFFFF"/>
          <w:lang w:val="en-US" w:eastAsia="zh-CN"/>
        </w:rPr>
        <w:t>二是森林草原防灭火扎实推进。</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清理变压台区28台、高低压线路50公里，签订护林防火户主、坟主、五类人员等责任书800余份。发放各类宣传资料3000余份，刷制固定标语10幅，组建3支应急救援队，开展教育培训10次。</w:t>
      </w:r>
      <w:r>
        <w:rPr>
          <w:rFonts w:ascii="仿宋" w:eastAsia="仿宋" w:cs="仿宋" w:hint="eastAsia"/>
          <w:b w:val="0"/>
          <w:bCs w:val="0"/>
          <w:i w:val="0"/>
          <w:iCs w:val="0"/>
          <w:caps w:val="0"/>
          <w:smallCaps w:val="0"/>
          <w:color w:val="000000"/>
          <w:spacing w:val="0"/>
          <w:sz w:val="32"/>
          <w:szCs w:val="32"/>
          <w:shd w:val="clear" w:color="0A0000" w:fill="FFFFFF"/>
          <w:lang w:val="en-US" w:eastAsia="zh-CN"/>
        </w:rPr>
        <w:t>三是安全生产警钟长鸣。</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与各村、学校、乡内施工单位签订责任书35份，辖区内13处安全隐患已全部整改到位。开展安全生产相关法律法规宣传教育，发放宣传资料400余份，开展宣讲活动10余次。</w:t>
      </w:r>
      <w:r>
        <w:rPr>
          <w:rFonts w:ascii="仿宋" w:eastAsia="仿宋" w:cs="仿宋" w:hint="eastAsia"/>
          <w:b w:val="0"/>
          <w:bCs w:val="0"/>
          <w:i w:val="0"/>
          <w:iCs w:val="0"/>
          <w:caps w:val="0"/>
          <w:smallCaps w:val="0"/>
          <w:color w:val="000000"/>
          <w:spacing w:val="0"/>
          <w:sz w:val="32"/>
          <w:szCs w:val="32"/>
          <w:shd w:val="clear" w:color="0A0000" w:fill="FFFFFF"/>
          <w:lang w:val="en-US" w:eastAsia="zh-CN"/>
        </w:rPr>
        <w:t>四是和谐大局持续稳定。</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制定“八五”普法实施方案，开展法治宣传6场次，发放宣传资料600余份。扎实做好三月、七月敏感期暨庆祝建党100周年各项安保维稳工作，建立乡、村、网格三级防范网络，加大矛盾纠纷排查调处力度，全年接待群众来信来访20余件，目前办结率98%。调处矛盾纠纷8起，调处率达100%。</w:t>
      </w:r>
    </w:p>
    <w:p>
      <w:pPr>
        <w:widowControl w:val="0"/>
        <w:wordWrap/>
        <w:adjustRightInd/>
        <w:spacing w:line="576" w:lineRule="exact"/>
        <w:ind w:left="0" w:firstLineChars="200" w:firstLine="640"/>
        <w:jc w:val="both"/>
        <w:textAlignment w:val="auto"/>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pPr>
      <w:r>
        <w:rPr>
          <w:rFonts w:ascii="仿宋" w:eastAsia="仿宋" w:cs="仿宋" w:hint="eastAsia"/>
          <w:b w:val="0"/>
          <w:bCs w:val="0"/>
          <w:i w:val="0"/>
          <w:iCs w:val="0"/>
          <w:caps w:val="0"/>
          <w:smallCaps w:val="0"/>
          <w:color w:val="000000"/>
          <w:spacing w:val="0"/>
          <w:sz w:val="32"/>
          <w:szCs w:val="32"/>
          <w:shd w:val="clear" w:color="0A0000" w:fill="FFFFFF"/>
          <w:lang w:val="en-US" w:eastAsia="zh-CN"/>
        </w:rPr>
        <w:t>四、办实事惠民生，群众福祉谱写新篇章。一是教育文化旅游事业全面开花。</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完成14名贫困学生教育救助基金申报工作。成功举办庆祝建党100周年庆祝活动，组织各村开展文艺活动10余次，切实做好世外梨园核心景区各项服务工作。</w:t>
      </w:r>
      <w:r>
        <w:rPr>
          <w:rFonts w:ascii="仿宋" w:eastAsia="仿宋" w:cs="仿宋" w:hint="eastAsia"/>
          <w:b w:val="0"/>
          <w:bCs w:val="0"/>
          <w:i w:val="0"/>
          <w:iCs w:val="0"/>
          <w:caps w:val="0"/>
          <w:smallCaps w:val="0"/>
          <w:color w:val="000000"/>
          <w:spacing w:val="0"/>
          <w:sz w:val="32"/>
          <w:szCs w:val="32"/>
          <w:shd w:val="clear" w:color="0A0000" w:fill="FFFFFF"/>
          <w:lang w:val="en-US" w:eastAsia="zh-CN"/>
        </w:rPr>
        <w:t>二是社会保障水平不断提升</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。完成养老保险缴费854人。加大群众临时困难和病灾救助的帮扶力度，做好低保分类施保工作，发放各类救助资金共计30余万元，确保困难群众得到有效救助。</w:t>
      </w:r>
      <w:r>
        <w:rPr>
          <w:rFonts w:ascii="仿宋" w:eastAsia="仿宋" w:cs="仿宋" w:hint="eastAsia"/>
          <w:b w:val="0"/>
          <w:bCs w:val="0"/>
          <w:i w:val="0"/>
          <w:iCs w:val="0"/>
          <w:caps w:val="0"/>
          <w:smallCaps w:val="0"/>
          <w:color w:val="000000"/>
          <w:spacing w:val="0"/>
          <w:sz w:val="32"/>
          <w:szCs w:val="32"/>
          <w:shd w:val="clear" w:color="0A0000" w:fill="FFFFFF"/>
          <w:lang w:val="en-US" w:eastAsia="zh-CN"/>
        </w:rPr>
        <w:t>三是医疗卫生工作有序推进。</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落实“五有一网格”农村疫情防控要求，加强疫情研判，各类物资储备可满足1月用量，精心组织3-11岁儿童疫苗和常规疫苗接种工作，截至目前全乡接种1600余人。加强人口生育服务管理，组织200余名育龄妇女进行“两癌筛查”。</w:t>
      </w:r>
    </w:p>
    <w:p>
      <w:pPr>
        <w:widowControl w:val="0"/>
        <w:wordWrap/>
        <w:adjustRightInd/>
        <w:snapToGrid/>
        <w:spacing w:line="576" w:lineRule="exact"/>
        <w:ind w:firstLineChars="200" w:firstLine="640"/>
        <w:jc w:val="both"/>
        <w:textAlignment w:val="auto"/>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pPr>
      <w:r>
        <w:rPr>
          <w:rFonts w:ascii="仿宋" w:eastAsia="仿宋" w:cs="仿宋" w:hint="eastAsia"/>
          <w:b w:val="0"/>
          <w:bCs w:val="0"/>
          <w:i w:val="0"/>
          <w:iCs w:val="0"/>
          <w:caps w:val="0"/>
          <w:smallCaps w:val="0"/>
          <w:color w:val="000000"/>
          <w:spacing w:val="0"/>
          <w:sz w:val="32"/>
          <w:szCs w:val="32"/>
          <w:shd w:val="clear" w:color="0A0000" w:fill="FFFFFF"/>
          <w:lang w:val="en-US" w:eastAsia="zh-CN"/>
        </w:rPr>
        <w:t>五、管队伍改作风，政府建设展现新面貌。一是严守纪律红线。</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严明政治纪律和政治规矩，认真抓好县委巡察反馈意见整改。持续开展三大行动，深化不作为及“懒散拖”问题专项整治，狠刹不正之风。</w:t>
      </w:r>
      <w:r>
        <w:rPr>
          <w:rFonts w:ascii="仿宋" w:eastAsia="仿宋" w:cs="仿宋" w:hint="eastAsia"/>
          <w:b w:val="0"/>
          <w:bCs w:val="0"/>
          <w:i w:val="0"/>
          <w:iCs w:val="0"/>
          <w:caps w:val="0"/>
          <w:smallCaps w:val="0"/>
          <w:color w:val="000000"/>
          <w:spacing w:val="0"/>
          <w:sz w:val="32"/>
          <w:szCs w:val="32"/>
          <w:shd w:val="clear" w:color="0A0000" w:fill="FFFFFF"/>
          <w:lang w:val="en-US" w:eastAsia="zh-CN"/>
        </w:rPr>
        <w:t>二是强化作风建设。</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优化为民服务中心窗口设置、充实工作人员，确保件件有回音、见实效。全年公开信息400余条，自觉接受人大监督和社会各界监督，收集社情民意200余条，逐一处理销号。</w:t>
      </w:r>
      <w:r>
        <w:rPr>
          <w:rFonts w:ascii="仿宋" w:eastAsia="仿宋" w:cs="仿宋" w:hint="eastAsia"/>
          <w:b w:val="0"/>
          <w:bCs w:val="0"/>
          <w:i w:val="0"/>
          <w:iCs w:val="0"/>
          <w:caps w:val="0"/>
          <w:smallCaps w:val="0"/>
          <w:color w:val="000000"/>
          <w:spacing w:val="0"/>
          <w:sz w:val="32"/>
          <w:szCs w:val="32"/>
          <w:shd w:val="clear" w:color="0A0000" w:fill="FFFFFF"/>
          <w:lang w:val="en-US" w:eastAsia="zh-CN"/>
        </w:rPr>
        <w:t>三加强廉政建设。</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全面落实“一岗双责”，切实履行党风廉政建设主体责任。进一步规范</w:t>
      </w:r>
      <w:r>
        <w:rPr>
          <w:rFonts w:ascii="仿宋" w:eastAsia="仿宋" w:cs="仿宋" w:hint="eastAsia"/>
          <w:b w:val="0"/>
          <w:bCs w:val="0"/>
          <w:i w:val="0"/>
          <w:iCs w:val="0"/>
          <w:caps w:val="0"/>
          <w:smallCaps w:val="0"/>
          <w:color w:val="000000"/>
          <w:spacing w:val="0"/>
          <w:kern w:val="2"/>
          <w:sz w:val="32"/>
          <w:szCs w:val="32"/>
          <w:shd w:val="clear" w:color="0B0000" w:fill="FFFFFF"/>
          <w:lang w:val="zh-CN" w:eastAsia="zh-CN" w:bidi="ar-SA"/>
        </w:rPr>
        <w:t>农村集体“三资”管理，严格执行“一定两议三监督”等议事制度，深化村“三务”</w:t>
      </w:r>
      <w:r>
        <w:rPr>
          <w:rFonts w:ascii="仿宋" w:eastAsia="仿宋" w:cs="仿宋" w:hint="eastAsia"/>
          <w:b w:val="0"/>
          <w:bCs w:val="0"/>
          <w:i w:val="0"/>
          <w:iCs w:val="0"/>
          <w:caps w:val="0"/>
          <w:smallCaps w:val="0"/>
          <w:color w:val="000000"/>
          <w:spacing w:val="0"/>
          <w:kern w:val="2"/>
          <w:sz w:val="32"/>
          <w:szCs w:val="32"/>
          <w:shd w:val="clear" w:color="0B0000" w:fill="FFFFFF"/>
          <w:lang w:val="en-US" w:eastAsia="zh-CN" w:bidi="ar-SA"/>
        </w:rPr>
        <w:t>公开，坚持用制度管人管事，不断加强村级财务管理。</w:t>
      </w:r>
    </w:p>
    <w:p>
      <w:pPr>
        <w:snapToGrid w:val="0"/>
        <w:spacing w:line="360" w:lineRule="auto"/>
        <w:rPr>
          <w:rFonts w:ascii="楷体" w:eastAsia="楷体" w:cs="楷体" w:hint="eastAsia"/>
          <w:b/>
          <w:bCs/>
          <w:sz w:val="30"/>
          <w:szCs w:val="30"/>
        </w:rPr>
      </w:pPr>
      <w:r>
        <w:rPr>
          <w:rFonts w:ascii="仿宋_GB2312" w:eastAsia="仿宋_GB2312" w:hint="eastAsia"/>
          <w:sz w:val="30"/>
          <w:szCs w:val="30"/>
        </w:rPr>
        <w:t>　　</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21</w:t>
      </w:r>
      <w:r>
        <w:rPr>
          <w:rFonts w:ascii="楷体" w:eastAsia="楷体" w:cs="楷体" w:hint="eastAsia"/>
          <w:bCs/>
          <w:color w:val="000000"/>
          <w:sz w:val="32"/>
          <w:szCs w:val="32"/>
        </w:rPr>
        <w:t>年重点工作完成情况</w:t>
      </w:r>
      <w:bookmarkEnd w:id="19"/>
      <w:bookmarkEnd w:id="20"/>
    </w:p>
    <w:p>
      <w:pPr>
        <w:snapToGrid w:val="0"/>
        <w:spacing w:line="520" w:lineRule="exact"/>
        <w:ind w:firstLineChars="200" w:firstLine="640"/>
        <w:rPr>
          <w:rFonts w:ascii="仿宋_GB2312" w:eastAsia="仿宋_GB2312" w:hint="eastAsia"/>
          <w:sz w:val="32"/>
          <w:szCs w:val="32"/>
        </w:rPr>
      </w:pPr>
      <w:bookmarkStart w:id="21" w:name="_Toc15396601"/>
      <w:bookmarkStart w:id="22" w:name="_Toc15377200"/>
      <w:r>
        <w:rPr>
          <w:rFonts w:ascii="仿宋_GB2312" w:eastAsia="仿宋_GB2312" w:hint="eastAsia"/>
          <w:sz w:val="32"/>
          <w:szCs w:val="32"/>
        </w:rPr>
        <w:t>1、乡党委围绕“</w:t>
      </w:r>
      <w:r>
        <w:rPr>
          <w:rFonts w:ascii="仿宋_GB2312" w:eastAsia="仿宋_GB2312" w:hint="eastAsia"/>
          <w:sz w:val="32"/>
          <w:szCs w:val="32"/>
          <w:lang w:val="en-US" w:eastAsia="zh-CN"/>
        </w:rPr>
        <w:t>不忘初心、牢记使命</w:t>
      </w:r>
      <w:r>
        <w:rPr>
          <w:rFonts w:ascii="仿宋_GB2312" w:eastAsia="仿宋_GB2312" w:hint="eastAsia"/>
          <w:sz w:val="32"/>
          <w:szCs w:val="32"/>
        </w:rPr>
        <w:t>”</w:t>
      </w:r>
      <w:r>
        <w:rPr>
          <w:rFonts w:ascii="仿宋_GB2312" w:eastAsia="仿宋_GB2312" w:hint="eastAsia"/>
          <w:sz w:val="32"/>
          <w:szCs w:val="32"/>
          <w:lang w:val="en-US" w:eastAsia="zh-CN"/>
        </w:rPr>
        <w:t>主题教育活动</w:t>
      </w:r>
      <w:r>
        <w:rPr>
          <w:rFonts w:ascii="仿宋_GB2312" w:eastAsia="仿宋_GB2312" w:hint="eastAsia"/>
          <w:sz w:val="32"/>
          <w:szCs w:val="32"/>
        </w:rPr>
        <w:t>开展党建工作，提高乡村党员素质。</w: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2、本年度全乡</w:t>
      </w:r>
      <w:r>
        <w:rPr>
          <w:rFonts w:ascii="仿宋_GB2312" w:eastAsia="仿宋_GB2312" w:hint="eastAsia"/>
          <w:sz w:val="32"/>
          <w:szCs w:val="32"/>
          <w:lang w:val="en-US" w:eastAsia="zh-CN"/>
        </w:rPr>
        <w:t>认真开展</w:t>
      </w:r>
      <w:r>
        <w:rPr>
          <w:rFonts w:ascii="仿宋_GB2312" w:eastAsia="仿宋_GB2312" w:hint="eastAsia"/>
          <w:sz w:val="32"/>
          <w:szCs w:val="32"/>
        </w:rPr>
        <w:t>脱贫攻坚工作，</w:t>
      </w:r>
      <w:r>
        <w:rPr>
          <w:rFonts w:ascii="仿宋_GB2312" w:eastAsia="仿宋_GB2312" w:hint="eastAsia"/>
          <w:sz w:val="32"/>
          <w:szCs w:val="32"/>
          <w:lang w:val="en-US" w:eastAsia="zh-CN"/>
        </w:rPr>
        <w:t>巩固了</w:t>
      </w:r>
      <w:r>
        <w:rPr>
          <w:rFonts w:ascii="仿宋_GB2312" w:eastAsia="仿宋_GB2312" w:hint="eastAsia"/>
          <w:sz w:val="32"/>
          <w:szCs w:val="32"/>
        </w:rPr>
        <w:t>全乡贫困户精准帮扶</w:t>
      </w:r>
      <w:r>
        <w:rPr>
          <w:rFonts w:ascii="仿宋_GB2312" w:eastAsia="仿宋_GB2312" w:hint="eastAsia"/>
          <w:sz w:val="32"/>
          <w:szCs w:val="32"/>
          <w:lang w:val="en-US" w:eastAsia="zh-CN"/>
        </w:rPr>
        <w:t>成果</w:t>
      </w:r>
      <w:r>
        <w:rPr>
          <w:rFonts w:ascii="仿宋_GB2312" w:eastAsia="仿宋_GB2312" w:hint="eastAsia"/>
          <w:sz w:val="32"/>
          <w:szCs w:val="32"/>
        </w:rPr>
        <w:t>，并</w:t>
      </w:r>
      <w:r>
        <w:rPr>
          <w:rFonts w:ascii="仿宋_GB2312" w:eastAsia="仿宋_GB2312" w:hint="eastAsia"/>
          <w:sz w:val="32"/>
          <w:szCs w:val="32"/>
          <w:lang w:val="en-US" w:eastAsia="zh-CN"/>
        </w:rPr>
        <w:t>顺利通过一系列验收检查</w:t>
      </w:r>
      <w:r>
        <w:rPr>
          <w:rFonts w:ascii="仿宋_GB2312" w:eastAsia="仿宋_GB2312" w:hint="eastAsia"/>
          <w:sz w:val="32"/>
          <w:szCs w:val="32"/>
        </w:rPr>
        <w:t>。</w:t>
      </w:r>
    </w:p>
    <w:p>
      <w:pPr>
        <w:snapToGrid w:val="0"/>
        <w:spacing w:line="52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3、乡村振兴有力推进，乡村面貌明显改善。</w:t>
      </w:r>
    </w:p>
    <w:p>
      <w:pPr>
        <w:spacing w:line="578" w:lineRule="exact"/>
        <w:ind w:left="0" w:firstLineChars="200" w:firstLine="640"/>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、圆满完成了其他各项工作，并经验收合格。</w:t>
      </w:r>
    </w:p>
    <w:p>
      <w:pPr>
        <w:spacing w:line="578" w:lineRule="exact"/>
        <w:ind w:left="0" w:firstLineChars="200" w:firstLine="640"/>
        <w:rPr>
          <w:rStyle w:val="2Char"/>
          <w:b w:val="0"/>
          <w:bCs w:val="0"/>
        </w:rPr>
      </w:pPr>
      <w:r>
        <w:rPr>
          <w:rStyle w:val="2Char"/>
          <w:rFonts w:ascii="黑体" w:eastAsia="黑体" w:hint="eastAsia"/>
          <w:b w:val="0"/>
          <w:bCs w:val="0"/>
        </w:rPr>
        <w:t>二、机构设置</w:t>
      </w:r>
      <w:bookmarkEnd w:id="21"/>
      <w:bookmarkEnd w:id="22"/>
    </w:p>
    <w:p>
      <w:pPr>
        <w:snapToGrid w:val="0"/>
        <w:spacing w:line="360" w:lineRule="auto"/>
        <w:outlineLvl w:val="1"/>
        <w:rPr>
          <w:rFonts w:ascii="仿宋_GB2312" w:eastAsia="仿宋_GB2312" w:hint="eastAsia"/>
          <w:sz w:val="30"/>
          <w:szCs w:val="30"/>
        </w:rPr>
      </w:pPr>
      <w:bookmarkStart w:id="23" w:name="_Toc1399"/>
      <w:bookmarkStart w:id="24" w:name="_Toc15396602"/>
      <w:bookmarkStart w:id="25" w:name="_Toc15377204"/>
      <w:r>
        <w:rPr>
          <w:rFonts w:ascii="楷体" w:eastAsia="楷体" w:cs="楷体" w:hint="eastAsia"/>
          <w:b/>
          <w:bCs/>
          <w:sz w:val="32"/>
          <w:szCs w:val="32"/>
        </w:rPr>
        <w:t>（</w:t>
      </w:r>
      <w:r>
        <w:rPr>
          <w:rFonts w:ascii="楷体" w:eastAsia="楷体" w:cs="楷体" w:hint="eastAsia"/>
          <w:b/>
          <w:bCs/>
          <w:sz w:val="32"/>
          <w:szCs w:val="32"/>
          <w:lang w:eastAsia="zh-CN"/>
        </w:rPr>
        <w:t>一</w:t>
      </w:r>
      <w:r>
        <w:rPr>
          <w:rFonts w:ascii="楷体" w:eastAsia="楷体" w:cs="楷体" w:hint="eastAsia"/>
          <w:b/>
          <w:bCs/>
          <w:sz w:val="32"/>
          <w:szCs w:val="32"/>
        </w:rPr>
        <w:t>）机构和人员情况</w:t>
      </w:r>
      <w:bookmarkEnd w:id="23"/>
    </w:p>
    <w:p>
      <w:pPr>
        <w:widowControl w:val="0"/>
        <w:wordWrap/>
        <w:adjustRightInd/>
        <w:snapToGrid w:val="0"/>
        <w:spacing w:line="240" w:lineRule="auto"/>
        <w:ind w:right="0" w:firstLineChars="200" w:firstLine="600"/>
        <w:jc w:val="both"/>
        <w:textAlignment w:val="auto"/>
        <w:outlineLvl w:val="9"/>
        <w:rPr>
          <w:rFonts w:ascii="仿宋_GB2312" w:eastAsia="仿宋_GB2312" w:hint="eastAsia"/>
          <w:sz w:val="30"/>
          <w:szCs w:val="30"/>
        </w:rPr>
      </w:pPr>
      <w:r>
        <w:rPr>
          <w:rFonts w:ascii="仿宋_GB2312" w:eastAsia="仿宋_GB2312" w:hint="eastAsia"/>
          <w:sz w:val="30"/>
          <w:szCs w:val="30"/>
        </w:rPr>
        <w:t>1、机构情况：</w:t>
      </w:r>
      <w:r>
        <w:rPr>
          <w:rFonts w:ascii="仿宋_GB2312" w:eastAsia="仿宋_GB2312" w:hint="eastAsia"/>
          <w:b w:val="0"/>
          <w:bCs/>
          <w:sz w:val="32"/>
        </w:rPr>
        <w:t>我</w:t>
      </w:r>
      <w:r>
        <w:rPr>
          <w:rFonts w:ascii="仿宋_GB2312" w:eastAsia="仿宋_GB2312" w:hint="eastAsia"/>
          <w:b w:val="0"/>
          <w:bCs/>
          <w:sz w:val="32"/>
          <w:lang w:eastAsia="zh-CN"/>
        </w:rPr>
        <w:t>乡</w:t>
      </w:r>
      <w:r>
        <w:rPr>
          <w:rFonts w:ascii="仿宋_GB2312" w:eastAsia="仿宋_GB2312" w:hint="eastAsia"/>
          <w:b w:val="0"/>
          <w:bCs/>
          <w:sz w:val="32"/>
          <w:lang w:val="en-US" w:eastAsia="zh-CN"/>
        </w:rPr>
        <w:t>2021</w:t>
      </w:r>
      <w:r>
        <w:rPr>
          <w:rFonts w:ascii="仿宋_GB2312" w:eastAsia="仿宋_GB2312" w:hint="eastAsia"/>
          <w:b w:val="0"/>
          <w:bCs/>
          <w:sz w:val="32"/>
        </w:rPr>
        <w:t>年有2个机构，无增减变动</w:t>
      </w:r>
      <w:r>
        <w:rPr>
          <w:rFonts w:ascii="仿宋_GB2312" w:eastAsia="仿宋_GB2312" w:hint="eastAsia"/>
          <w:b w:val="0"/>
          <w:bCs/>
          <w:sz w:val="32"/>
          <w:lang w:eastAsia="zh-CN"/>
        </w:rPr>
        <w:t>。</w:t>
      </w:r>
    </w:p>
    <w:p>
      <w:pPr>
        <w:snapToGrid w:val="0"/>
        <w:spacing w:line="360" w:lineRule="auto"/>
        <w:rPr>
          <w:rFonts w:ascii="楷体" w:eastAsia="楷体" w:cs="楷体" w:hint="eastAsia"/>
          <w:b/>
          <w:bCs/>
          <w:sz w:val="30"/>
          <w:szCs w:val="30"/>
        </w:rPr>
      </w:pPr>
      <w:r>
        <w:rPr>
          <w:rFonts w:ascii="仿宋_GB2312" w:eastAsia="仿宋_GB2312" w:hint="eastAsia"/>
          <w:sz w:val="30"/>
          <w:szCs w:val="30"/>
        </w:rPr>
        <w:t>　　2</w:t>
      </w:r>
      <w:r>
        <w:rPr>
          <w:rFonts w:ascii="仿宋_GB2312" w:eastAsia="仿宋_GB2312" w:hint="eastAsia"/>
          <w:sz w:val="30"/>
          <w:szCs w:val="30"/>
          <w:lang w:eastAsia="zh-CN"/>
        </w:rPr>
        <w:t>、</w:t>
      </w:r>
      <w:r>
        <w:rPr>
          <w:rFonts w:ascii="仿宋_GB2312" w:eastAsia="仿宋_GB2312" w:hint="eastAsia"/>
          <w:sz w:val="30"/>
          <w:szCs w:val="30"/>
        </w:rPr>
        <w:t>人员情况：我</w:t>
      </w:r>
      <w:r>
        <w:rPr>
          <w:rFonts w:ascii="仿宋_GB2312" w:eastAsia="仿宋_GB2312" w:hint="eastAsia"/>
          <w:sz w:val="30"/>
          <w:szCs w:val="30"/>
          <w:lang w:val="en-US" w:eastAsia="zh-CN"/>
        </w:rPr>
        <w:t>乡</w:t>
      </w:r>
      <w:r>
        <w:rPr>
          <w:rFonts w:ascii="仿宋_GB2312" w:eastAsia="仿宋_GB2312" w:hint="eastAsia"/>
          <w:sz w:val="30"/>
          <w:szCs w:val="30"/>
          <w:lang w:eastAsia="zh-CN"/>
        </w:rPr>
        <w:t>2021</w:t>
      </w:r>
      <w:r>
        <w:rPr>
          <w:rFonts w:ascii="仿宋_GB2312" w:eastAsia="仿宋_GB2312" w:hint="eastAsia"/>
          <w:sz w:val="30"/>
          <w:szCs w:val="30"/>
        </w:rPr>
        <w:t>年年末在职</w:t>
      </w:r>
      <w:r>
        <w:rPr>
          <w:rFonts w:ascii="仿宋_GB2312" w:eastAsia="仿宋_GB2312" w:hint="eastAsia"/>
          <w:sz w:val="30"/>
          <w:szCs w:val="30"/>
          <w:lang w:val="en-US" w:eastAsia="zh-CN"/>
        </w:rPr>
        <w:t>32</w:t>
      </w:r>
      <w:r>
        <w:rPr>
          <w:rFonts w:ascii="仿宋_GB2312" w:eastAsia="仿宋_GB2312" w:hint="eastAsia"/>
          <w:sz w:val="30"/>
          <w:szCs w:val="30"/>
        </w:rPr>
        <w:t>人，</w:t>
      </w:r>
      <w:r>
        <w:rPr>
          <w:rFonts w:ascii="仿宋_GB2312" w:eastAsia="仿宋_GB2312" w:hint="eastAsia"/>
          <w:sz w:val="30"/>
          <w:szCs w:val="30"/>
          <w:lang w:val="en-US" w:eastAsia="zh-CN"/>
        </w:rPr>
        <w:t>退</w:t>
      </w:r>
      <w:r>
        <w:rPr>
          <w:rFonts w:ascii="仿宋_GB2312" w:eastAsia="仿宋_GB2312" w:hint="eastAsia"/>
          <w:sz w:val="30"/>
          <w:szCs w:val="30"/>
        </w:rPr>
        <w:t>休</w:t>
      </w:r>
      <w:r>
        <w:rPr>
          <w:rFonts w:ascii="仿宋_GB2312" w:eastAsia="仿宋_GB2312" w:hint="eastAsia"/>
          <w:sz w:val="30"/>
          <w:szCs w:val="30"/>
          <w:lang w:val="en-US" w:eastAsia="zh-CN"/>
        </w:rPr>
        <w:t>5</w:t>
      </w:r>
      <w:r>
        <w:rPr>
          <w:rFonts w:ascii="仿宋_GB2312" w:eastAsia="仿宋_GB2312" w:hint="eastAsia"/>
          <w:sz w:val="30"/>
          <w:szCs w:val="30"/>
        </w:rPr>
        <w:t>人，遗嘱1人。总编制数</w:t>
      </w:r>
      <w:r>
        <w:rPr>
          <w:rFonts w:ascii="仿宋_GB2312" w:eastAsia="仿宋_GB2312" w:hint="eastAsia"/>
          <w:sz w:val="30"/>
          <w:szCs w:val="30"/>
          <w:lang w:val="en-US" w:eastAsia="zh-CN"/>
        </w:rPr>
        <w:t>32</w:t>
      </w:r>
      <w:r>
        <w:rPr>
          <w:rFonts w:ascii="仿宋_GB2312" w:eastAsia="仿宋_GB2312" w:hint="eastAsia"/>
          <w:sz w:val="30"/>
          <w:szCs w:val="30"/>
        </w:rPr>
        <w:t>人（其中:行政编制</w:t>
      </w:r>
      <w:r>
        <w:rPr>
          <w:rFonts w:ascii="仿宋_GB2312" w:eastAsia="仿宋_GB2312" w:hint="eastAsia"/>
          <w:sz w:val="30"/>
          <w:szCs w:val="30"/>
          <w:lang w:val="en-US" w:eastAsia="zh-CN"/>
        </w:rPr>
        <w:t>18</w:t>
      </w:r>
      <w:r>
        <w:rPr>
          <w:rFonts w:ascii="仿宋_GB2312" w:eastAsia="仿宋_GB2312" w:hint="eastAsia"/>
          <w:sz w:val="30"/>
          <w:szCs w:val="30"/>
        </w:rPr>
        <w:t>人，工勤编制</w:t>
      </w:r>
      <w:r>
        <w:rPr>
          <w:rFonts w:ascii="仿宋_GB2312" w:eastAsia="仿宋_GB2312" w:hint="eastAsia"/>
          <w:sz w:val="30"/>
          <w:szCs w:val="30"/>
          <w:lang w:val="en-US" w:eastAsia="zh-CN"/>
        </w:rPr>
        <w:t>2</w:t>
      </w:r>
      <w:r>
        <w:rPr>
          <w:rFonts w:ascii="仿宋_GB2312" w:eastAsia="仿宋_GB2312" w:hint="eastAsia"/>
          <w:sz w:val="30"/>
          <w:szCs w:val="30"/>
        </w:rPr>
        <w:t>人、事业</w:t>
      </w:r>
      <w:r>
        <w:rPr>
          <w:rFonts w:ascii="仿宋_GB2312" w:eastAsia="仿宋_GB2312" w:hint="eastAsia"/>
          <w:bCs/>
          <w:sz w:val="30"/>
          <w:szCs w:val="30"/>
        </w:rPr>
        <w:t>编制</w:t>
      </w:r>
      <w:r>
        <w:rPr>
          <w:rFonts w:ascii="仿宋_GB2312" w:eastAsia="仿宋_GB2312" w:hint="eastAsia"/>
          <w:bCs/>
          <w:sz w:val="30"/>
          <w:szCs w:val="30"/>
          <w:lang w:val="en-US" w:eastAsia="zh-CN"/>
        </w:rPr>
        <w:t>12</w:t>
      </w:r>
      <w:r>
        <w:rPr>
          <w:rFonts w:ascii="仿宋_GB2312" w:eastAsia="仿宋_GB2312" w:hint="eastAsia"/>
          <w:bCs/>
          <w:sz w:val="30"/>
          <w:szCs w:val="30"/>
        </w:rPr>
        <w:t>人</w:t>
      </w:r>
      <w:r>
        <w:rPr>
          <w:rFonts w:ascii="仿宋_GB2312" w:eastAsia="仿宋_GB2312" w:hint="eastAsia"/>
          <w:sz w:val="30"/>
          <w:szCs w:val="30"/>
        </w:rPr>
        <w:t>）。</w:t>
      </w:r>
    </w:p>
    <w:p>
      <w:pPr>
        <w:pStyle w:val="26"/>
        <w:rPr>
          <w:rFonts w:ascii="仿宋_GB2312" w:eastAsia="仿宋_GB2312" w:hint="eastAsia"/>
          <w:bCs/>
          <w:sz w:val="30"/>
          <w:szCs w:val="30"/>
        </w:rPr>
      </w:pP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21</w:t>
      </w:r>
      <w:r>
        <w:rPr>
          <w:rStyle w:val="1Char"/>
          <w:rFonts w:ascii="黑体" w:eastAsia="黑体" w:hint="eastAsia"/>
          <w:b w:val="0"/>
          <w:bCs w:val="0"/>
        </w:rPr>
        <w:t>年度部门决算情况说明</w:t>
      </w:r>
      <w:bookmarkEnd w:id="24"/>
      <w:bookmarkEnd w:id="25"/>
    </w:p>
    <w:p>
      <w:pPr>
        <w:pStyle w:val="30"/>
        <w:numPr>
          <w:ilvl w:val="0"/>
          <w:numId w:val="2"/>
        </w:numPr>
        <w:spacing w:line="240" w:lineRule="auto"/>
        <w:ind w:left="0" w:firstLineChars="0" w:firstLine="0"/>
        <w:outlineLvl w:val="1"/>
        <w:rPr>
          <w:rStyle w:val="2Char"/>
          <w:rFonts w:ascii="黑体" w:eastAsia="黑体"/>
          <w:b w:val="0"/>
        </w:rPr>
      </w:pPr>
      <w:bookmarkStart w:id="26" w:name="_Toc15377205"/>
      <w:bookmarkStart w:id="27"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6"/>
      <w:bookmarkEnd w:id="27"/>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2021年度总收入773.27万元，较上年收入增加175.74万元，增加29.41%。增加的主要原因是2021年我乡人员增加。</w:t>
      </w:r>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auto"/>
          <w:spacing w:val="-2"/>
          <w:kern w:val="2"/>
          <w:sz w:val="32"/>
          <w:szCs w:val="32"/>
          <w:lang w:val="en-US" w:eastAsia="zh-CN" w:bidi="ar-SA"/>
        </w:rPr>
        <w:t>2021年总支出773.27万元，较上年支出增加133.47万元，增加20.86%。主要原因一是当年部门预算安排项目经费较上年有所增加；二是</w:t>
      </w:r>
      <w:r>
        <w:rPr>
          <w:rFonts w:ascii="仿宋_GB2312" w:eastAsia="仿宋_GB2312" w:hint="eastAsia"/>
          <w:color w:val="000000"/>
          <w:spacing w:val="-2"/>
          <w:kern w:val="2"/>
          <w:sz w:val="32"/>
          <w:szCs w:val="32"/>
          <w:lang w:val="en-US" w:eastAsia="zh-CN" w:bidi="ar-SA"/>
        </w:rPr>
        <w:t>2021年我乡人员增加。</w:t>
      </w:r>
    </w:p>
    <w:p>
      <w:pPr>
        <w:pStyle w:val="26"/>
        <w:rPr>
          <w:rFonts w:ascii="仿宋_GB2312" w:eastAsia="仿宋_GB2312" w:hint="eastAsia"/>
          <w:color w:val="000000"/>
          <w:spacing w:val="-2"/>
          <w:kern w:val="2"/>
          <w:sz w:val="32"/>
          <w:szCs w:val="32"/>
          <w:lang w:val="en-US" w:eastAsia="zh-CN" w:bidi="ar-SA"/>
        </w:rPr>
      </w:pPr>
    </w:p>
    <w:p>
      <w:pPr>
        <w:pStyle w:val="26"/>
        <w:rPr>
          <w:rFonts w:ascii="仿宋_GB2312" w:eastAsia="仿宋_GB2312" w:hint="eastAsia"/>
          <w:color w:val="000000"/>
          <w:spacing w:val="-2"/>
          <w:kern w:val="2"/>
          <w:sz w:val="32"/>
          <w:szCs w:val="32"/>
          <w:lang w:val="en-US" w:eastAsia="zh-CN" w:bidi="ar-SA"/>
        </w:rPr>
      </w:pPr>
    </w:p>
    <w:p>
      <w:pPr>
        <w:pStyle w:val="26"/>
        <w:rPr>
          <w:rFonts w:ascii="仿宋_GB2312" w:eastAsia="仿宋_GB2312" w:hint="eastAsia"/>
          <w:color w:val="000000"/>
          <w:spacing w:val="-2"/>
          <w:kern w:val="2"/>
          <w:sz w:val="32"/>
          <w:szCs w:val="32"/>
          <w:lang w:val="en-US" w:eastAsia="zh-CN" w:bidi="ar-SA"/>
        </w:rPr>
      </w:pPr>
      <w:r>
        <w:drawing>
          <wp:inline distT="0" distB="0" distL="114300" distR="114300">
            <wp:extent cx="4381500" cy="2894965"/>
            <wp:effectExtent l="0" t="0" r="0" b="0"/>
            <wp:docPr id="1" name="图表 7"/>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6"/>
        <w:rPr>
          <w:rFonts w:ascii="仿宋_GB2312" w:eastAsia="仿宋_GB2312"/>
          <w:color w:val="000000"/>
          <w:spacing w:val="-2"/>
          <w:kern w:val="2"/>
          <w:sz w:val="32"/>
          <w:szCs w:val="32"/>
          <w:lang w:val="en-US" w:eastAsia="zh-CN" w:bidi="ar-SA"/>
        </w:rPr>
      </w:pPr>
    </w:p>
    <w:p>
      <w:pPr>
        <w:snapToGrid w:val="0"/>
        <w:spacing w:line="520" w:lineRule="exact"/>
        <w:ind w:firstLineChars="200" w:firstLine="640"/>
        <w:rPr>
          <w:rFonts w:ascii="黑体" w:eastAsia="黑体" w:cs="Times New Roman" w:hint="eastAsia"/>
          <w:color w:val="000000"/>
          <w:kern w:val="2"/>
          <w:sz w:val="32"/>
          <w:szCs w:val="32"/>
          <w:lang w:val="en-US" w:eastAsia="zh-CN" w:bidi="ar-SA"/>
        </w:rPr>
      </w:pPr>
    </w:p>
    <w:p>
      <w:pPr>
        <w:snapToGrid w:val="0"/>
        <w:spacing w:line="520" w:lineRule="exact"/>
        <w:ind w:firstLineChars="200" w:firstLine="640"/>
        <w:rPr>
          <w:rFonts w:ascii="黑体" w:eastAsia="黑体" w:cs="Times New Roman" w:hint="eastAsia"/>
          <w:color w:val="000000"/>
          <w:kern w:val="2"/>
          <w:sz w:val="32"/>
          <w:szCs w:val="32"/>
          <w:lang w:val="en-US" w:eastAsia="zh-CN" w:bidi="ar-SA"/>
        </w:rPr>
      </w:pPr>
    </w:p>
    <w:p>
      <w:pPr>
        <w:snapToGrid w:val="0"/>
        <w:spacing w:line="520" w:lineRule="exact"/>
        <w:ind w:firstLineChars="200" w:firstLine="640"/>
        <w:rPr>
          <w:rFonts w:ascii="黑体" w:eastAsia="黑体" w:cs="Times New Roman" w:hint="eastAsia"/>
          <w:color w:val="000000"/>
          <w:kern w:val="2"/>
          <w:sz w:val="32"/>
          <w:szCs w:val="32"/>
          <w:lang w:val="en-US" w:eastAsia="zh-CN" w:bidi="ar-SA"/>
        </w:rPr>
      </w:pPr>
    </w:p>
    <w:p>
      <w:pPr>
        <w:snapToGrid w:val="0"/>
        <w:spacing w:line="520" w:lineRule="exact"/>
        <w:rPr>
          <w:rFonts w:ascii="黑体" w:eastAsia="黑体" w:cs="Times New Roman" w:hint="eastAsia"/>
          <w:color w:val="000000"/>
          <w:kern w:val="2"/>
          <w:sz w:val="32"/>
          <w:szCs w:val="32"/>
          <w:lang w:val="en-US" w:eastAsia="zh-CN" w:bidi="ar-SA"/>
        </w:rPr>
      </w:pPr>
    </w:p>
    <w:p>
      <w:pPr>
        <w:snapToGrid w:val="0"/>
        <w:spacing w:line="520" w:lineRule="exact"/>
        <w:rPr>
          <w:rStyle w:val="2Char"/>
          <w:rFonts w:ascii="黑体" w:eastAsia="黑体"/>
          <w:b w:val="0"/>
        </w:rPr>
      </w:pPr>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_GB2312" w:eastAsia="仿宋_GB2312" w:hint="eastAsia"/>
          <w:color w:val="auto"/>
          <w:spacing w:val="-2"/>
          <w:kern w:val="2"/>
          <w:sz w:val="32"/>
          <w:szCs w:val="32"/>
          <w:lang w:val="en-US" w:eastAsia="zh-CN" w:bidi="ar-SA"/>
        </w:rPr>
        <w:t>773.27</w:t>
      </w:r>
      <w:r>
        <w:rPr>
          <w:rFonts w:ascii="仿宋" w:eastAsia="仿宋" w:hint="eastAsia"/>
          <w:color w:val="000000"/>
          <w:sz w:val="32"/>
          <w:szCs w:val="32"/>
        </w:rPr>
        <w:t>万元，其中：一般公共预算财政拨款收入</w:t>
      </w:r>
      <w:r>
        <w:rPr>
          <w:rFonts w:ascii="仿宋_GB2312" w:eastAsia="仿宋_GB2312" w:hint="eastAsia"/>
          <w:color w:val="auto"/>
          <w:spacing w:val="-2"/>
          <w:kern w:val="2"/>
          <w:sz w:val="32"/>
          <w:szCs w:val="32"/>
          <w:lang w:val="en-US" w:eastAsia="zh-CN" w:bidi="ar-SA"/>
        </w:rPr>
        <w:t>773.27</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eastAsia="zh-CN"/>
        </w:rPr>
        <w:t>。</w:t>
      </w:r>
    </w:p>
    <w:p>
      <w:pPr>
        <w:spacing w:line="600" w:lineRule="exact"/>
        <w:ind w:firstLineChars="200" w:firstLine="640"/>
        <w:rPr>
          <w:rFonts w:ascii="仿宋_GB2312" w:eastAsia="仿宋_GB2312" w:hint="eastAsia"/>
          <w:color w:val="FF0000"/>
          <w:sz w:val="32"/>
          <w:szCs w:val="32"/>
          <w:lang w:eastAsia="zh-CN"/>
        </w:rPr>
      </w:pPr>
      <w:r>
        <w:rPr>
          <w:rFonts w:ascii="仿宋_GB2312" w:eastAsia="仿宋_GB2312" w:hint="eastAsia"/>
          <w:color w:val="FF0000"/>
          <w:sz w:val="32"/>
          <w:szCs w:val="32"/>
          <w:lang w:eastAsia="zh-CN"/>
        </w:rPr>
        <w:drawing>
          <wp:anchor distT="0" distB="0" distL="114300" distR="114300" simplePos="0" relativeHeight="19"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2" name="图表 6"/>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Style w:val="2Char"/>
          <w:rFonts w:ascii="黑体" w:eastAsia="黑体"/>
          <w:b w:val="0"/>
        </w:rPr>
      </w:pPr>
      <w:bookmarkStart w:id="28" w:name="_Toc15396606"/>
      <w:bookmarkStart w:id="29"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28"/>
      <w:bookmarkEnd w:id="29"/>
    </w:p>
    <w:p>
      <w:pPr>
        <w:snapToGrid w:val="0"/>
        <w:spacing w:line="520" w:lineRule="exact"/>
        <w:ind w:firstLineChars="200" w:firstLine="640"/>
        <w:rPr>
          <w:rFonts w:ascii="仿宋_GB2312" w:eastAsia="仿宋_GB2312" w:hint="eastAsia"/>
          <w:color w:val="000000"/>
          <w:spacing w:val="-2"/>
          <w:kern w:val="2"/>
          <w:sz w:val="32"/>
          <w:szCs w:val="32"/>
          <w:lang w:val="en-US" w:eastAsia="zh-CN" w:bidi="ar-SA"/>
        </w:rPr>
      </w:pPr>
      <w:r>
        <w:rPr>
          <w:rFonts w:ascii="仿宋" w:eastAsia="仿宋" w:hint="eastAsia"/>
          <w:color w:val="000000"/>
          <w:sz w:val="32"/>
          <w:szCs w:val="32"/>
          <w:lang w:val="en-US" w:eastAsia="zh-CN"/>
        </w:rPr>
        <w:t>2021年财政拨款收入773.27万元。</w:t>
      </w:r>
      <w:r>
        <w:rPr>
          <w:rFonts w:ascii="仿宋_GB2312" w:eastAsia="仿宋_GB2312" w:hint="eastAsia"/>
          <w:color w:val="000000"/>
          <w:spacing w:val="-2"/>
          <w:kern w:val="2"/>
          <w:sz w:val="32"/>
          <w:szCs w:val="32"/>
          <w:lang w:val="en-US" w:eastAsia="zh-CN" w:bidi="ar-SA"/>
        </w:rPr>
        <w:t>较上年收入增加175.74万元，增加29.41%。增加的主要原因是2021年我乡人员增加。</w:t>
      </w:r>
    </w:p>
    <w:p>
      <w:pPr>
        <w:spacing w:line="600" w:lineRule="exact"/>
        <w:ind w:firstLineChars="200" w:firstLine="640"/>
        <w:rPr>
          <w:rStyle w:val="2Char"/>
          <w:rFonts w:ascii="黑体" w:eastAsia="黑体"/>
          <w:b w:val="0"/>
        </w:rPr>
      </w:pPr>
      <w:bookmarkStart w:id="30" w:name="_Toc15396607"/>
      <w:bookmarkStart w:id="31"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0"/>
      <w:bookmarkEnd w:id="31"/>
    </w:p>
    <w:p>
      <w:pPr>
        <w:spacing w:line="600" w:lineRule="exact"/>
        <w:ind w:firstLineChars="200" w:firstLine="640"/>
        <w:outlineLvl w:val="2"/>
        <w:rPr>
          <w:rFonts w:ascii="仿宋" w:eastAsia="仿宋"/>
          <w:b/>
          <w:color w:val="000000"/>
          <w:sz w:val="32"/>
          <w:szCs w:val="32"/>
        </w:rPr>
      </w:pPr>
      <w:bookmarkStart w:id="32" w:name="_Toc15377210"/>
      <w:r>
        <w:rPr>
          <w:rFonts w:ascii="仿宋" w:eastAsia="仿宋" w:hint="eastAsia"/>
          <w:b/>
          <w:color w:val="000000"/>
          <w:sz w:val="32"/>
          <w:szCs w:val="32"/>
        </w:rPr>
        <w:t>（一）一般公共预算财政拨款支出决算总体情况</w:t>
      </w:r>
      <w:bookmarkEnd w:id="32"/>
    </w:p>
    <w:p>
      <w:pPr>
        <w:snapToGrid w:val="0"/>
        <w:spacing w:line="520" w:lineRule="exact"/>
        <w:ind w:firstLineChars="200" w:firstLine="640"/>
        <w:rPr>
          <w:rFonts w:ascii="仿宋_GB2312" w:eastAsia="仿宋_GB2312" w:hint="eastAsia"/>
          <w:color w:val="000000"/>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一般公共预算财政拨款支出773.27万元，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val="en-US" w:eastAsia="zh-CN"/>
        </w:rPr>
        <w:t>,</w:t>
      </w:r>
      <w:r>
        <w:rPr>
          <w:rFonts w:ascii="仿宋_GB2312" w:eastAsia="仿宋_GB2312" w:hint="eastAsia"/>
          <w:color w:val="auto"/>
          <w:spacing w:val="-2"/>
          <w:kern w:val="2"/>
          <w:sz w:val="32"/>
          <w:szCs w:val="32"/>
          <w:lang w:val="en-US" w:eastAsia="zh-CN" w:bidi="ar-SA"/>
        </w:rPr>
        <w:t>较上年支出增加133.47万元，增加20.86%。主要原因一是当年部门预算安排项目经费较上年有所增加；二是</w:t>
      </w:r>
      <w:r>
        <w:rPr>
          <w:rFonts w:ascii="仿宋_GB2312" w:eastAsia="仿宋_GB2312" w:hint="eastAsia"/>
          <w:color w:val="000000"/>
          <w:spacing w:val="-2"/>
          <w:kern w:val="2"/>
          <w:sz w:val="32"/>
          <w:szCs w:val="32"/>
          <w:lang w:val="en-US" w:eastAsia="zh-CN" w:bidi="ar-SA"/>
        </w:rPr>
        <w:t>2021年我乡人员增加。</w:t>
      </w:r>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p>
    <w:p>
      <w:pPr>
        <w:snapToGrid w:val="0"/>
        <w:spacing w:line="520" w:lineRule="exact"/>
        <w:ind w:firstLineChars="200" w:firstLine="420"/>
        <w:rPr>
          <w:rFonts w:ascii="仿宋_GB2312" w:eastAsia="仿宋_GB2312" w:hint="eastAsia"/>
          <w:spacing w:val="-2"/>
          <w:kern w:val="2"/>
          <w:sz w:val="32"/>
          <w:szCs w:val="32"/>
          <w:lang w:val="en-US" w:eastAsia="zh-CN" w:bidi="ar-SA"/>
        </w:rPr>
      </w:pPr>
      <w:r>
        <w:drawing>
          <wp:anchor distT="0" distB="0" distL="114300" distR="114300" simplePos="0" relativeHeight="27" behindDoc="0" locked="0" layoutInCell="1" hidden="0" allowOverlap="1">
            <wp:simplePos x="0" y="0"/>
            <wp:positionH relativeFrom="column">
              <wp:posOffset>271145</wp:posOffset>
            </wp:positionH>
            <wp:positionV relativeFrom="paragraph">
              <wp:posOffset>-2639695</wp:posOffset>
            </wp:positionV>
            <wp:extent cx="4381500" cy="2894965"/>
            <wp:effectExtent l="0" t="0" r="0" b="0"/>
            <wp:wrapTopAndBottom/>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1"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4" name="图表 8"/>
            <wp:cNvGraphicFramePr>
              <a:graphicFrameLocks noChangeAspect="0"/>
            </wp:cNvGraphicFramePr>
            <a:graphic>
              <a:graphicData uri="http://schemas.openxmlformats.org/drawingml/2006/chart">
                <c:chart xmlns:c="http://schemas.openxmlformats.org/drawingml/2006/chart" r:id="rId7"/>
              </a:graphicData>
            </a:graphic>
          </wp:anchor>
        </w:drawing>
      </w:r>
      <w:bookmarkStart w:id="33" w:name="_Toc15377211"/>
      <w:r>
        <w:rPr>
          <w:rFonts w:ascii="仿宋" w:eastAsia="仿宋" w:hint="eastAsia"/>
          <w:b/>
          <w:color w:val="000000"/>
          <w:sz w:val="32"/>
          <w:szCs w:val="32"/>
        </w:rPr>
        <w:t>（二）一般公共预算财政拨款支出决算结构情况</w:t>
      </w:r>
      <w:bookmarkEnd w:id="33"/>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773.27</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347.95</w:t>
      </w:r>
      <w:r>
        <w:rPr>
          <w:rFonts w:ascii="仿宋" w:eastAsia="仿宋" w:hint="eastAsia"/>
          <w:color w:val="000000"/>
          <w:sz w:val="32"/>
          <w:szCs w:val="32"/>
        </w:rPr>
        <w:t>万元，占</w:t>
      </w:r>
      <w:r>
        <w:rPr>
          <w:rFonts w:ascii="仿宋" w:eastAsia="仿宋" w:hint="eastAsia"/>
          <w:color w:val="000000"/>
          <w:sz w:val="32"/>
          <w:szCs w:val="32"/>
          <w:lang w:val="en-US" w:eastAsia="zh-CN"/>
        </w:rPr>
        <w:t>45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eastAsia="zh-CN"/>
        </w:rPr>
        <w:t>文化旅游体育与传媒支出（类）</w:t>
      </w:r>
      <w:r>
        <w:rPr>
          <w:rFonts w:ascii="仿宋" w:eastAsia="仿宋" w:hint="eastAsia"/>
          <w:b w:val="0"/>
          <w:bCs w:val="0"/>
          <w:color w:val="000000"/>
          <w:sz w:val="32"/>
          <w:szCs w:val="32"/>
          <w:lang w:eastAsia="zh-CN"/>
        </w:rPr>
        <w:t>支出</w:t>
      </w:r>
      <w:r>
        <w:rPr>
          <w:rFonts w:ascii="仿宋" w:eastAsia="仿宋" w:hint="eastAsia"/>
          <w:b w:val="0"/>
          <w:bCs w:val="0"/>
          <w:color w:val="000000"/>
          <w:sz w:val="32"/>
          <w:szCs w:val="32"/>
          <w:lang w:val="en-US" w:eastAsia="zh-CN"/>
        </w:rPr>
        <w:t>0万元，占0%，</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64.26</w:t>
      </w:r>
      <w:r>
        <w:rPr>
          <w:rFonts w:ascii="仿宋" w:eastAsia="仿宋" w:hint="eastAsia"/>
          <w:color w:val="000000"/>
          <w:sz w:val="32"/>
          <w:szCs w:val="32"/>
        </w:rPr>
        <w:t>万元，占</w:t>
      </w:r>
      <w:r>
        <w:rPr>
          <w:rFonts w:ascii="仿宋" w:eastAsia="仿宋" w:hint="eastAsia"/>
          <w:color w:val="000000"/>
          <w:sz w:val="32"/>
          <w:szCs w:val="32"/>
          <w:lang w:val="en-US" w:eastAsia="zh-CN"/>
        </w:rPr>
        <w:t>8.31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27.73</w:t>
      </w:r>
      <w:r>
        <w:rPr>
          <w:rFonts w:ascii="仿宋" w:eastAsia="仿宋" w:hint="eastAsia"/>
          <w:color w:val="000000"/>
          <w:sz w:val="32"/>
          <w:szCs w:val="32"/>
        </w:rPr>
        <w:t>万元，占</w:t>
      </w:r>
      <w:r>
        <w:rPr>
          <w:rFonts w:ascii="仿宋" w:eastAsia="仿宋" w:hint="eastAsia"/>
          <w:color w:val="000000"/>
          <w:sz w:val="32"/>
          <w:szCs w:val="32"/>
          <w:lang w:val="en-US" w:eastAsia="zh-CN"/>
        </w:rPr>
        <w:t>3.5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eastAsia="zh-CN"/>
        </w:rPr>
        <w:t>城乡社区支出（类）</w:t>
      </w:r>
      <w:r>
        <w:rPr>
          <w:rFonts w:ascii="仿宋" w:eastAsia="仿宋" w:hint="eastAsia"/>
          <w:color w:val="000000"/>
          <w:sz w:val="32"/>
          <w:szCs w:val="32"/>
        </w:rPr>
        <w:t>支出</w:t>
      </w:r>
      <w:r>
        <w:rPr>
          <w:rFonts w:ascii="仿宋" w:eastAsia="仿宋" w:hint="eastAsia"/>
          <w:color w:val="000000"/>
          <w:sz w:val="32"/>
          <w:szCs w:val="32"/>
          <w:lang w:val="en-US" w:eastAsia="zh-CN"/>
        </w:rPr>
        <w:t>10</w:t>
      </w:r>
      <w:r>
        <w:rPr>
          <w:rFonts w:ascii="仿宋" w:eastAsia="仿宋" w:hint="eastAsia"/>
          <w:color w:val="000000"/>
          <w:sz w:val="32"/>
          <w:szCs w:val="32"/>
        </w:rPr>
        <w:t>万元，占</w:t>
      </w:r>
      <w:r>
        <w:rPr>
          <w:rFonts w:ascii="仿宋" w:eastAsia="仿宋" w:hint="eastAsia"/>
          <w:color w:val="000000"/>
          <w:sz w:val="32"/>
          <w:szCs w:val="32"/>
          <w:lang w:val="en-US" w:eastAsia="zh-CN"/>
        </w:rPr>
        <w:t xml:space="preserve"> 1.3 </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农林水支出</w:t>
      </w:r>
      <w:r>
        <w:rPr>
          <w:rFonts w:ascii="仿宋" w:eastAsia="仿宋" w:hint="eastAsia"/>
          <w:color w:val="000000"/>
          <w:sz w:val="32"/>
          <w:szCs w:val="32"/>
          <w:lang w:val="en-US" w:eastAsia="zh-CN"/>
        </w:rPr>
        <w:t>263.97</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占</w:t>
      </w:r>
      <w:r>
        <w:rPr>
          <w:rFonts w:ascii="仿宋" w:eastAsia="仿宋" w:hint="eastAsia"/>
          <w:color w:val="000000"/>
          <w:sz w:val="32"/>
          <w:szCs w:val="32"/>
          <w:lang w:val="en-US" w:eastAsia="zh-CN"/>
        </w:rPr>
        <w:t xml:space="preserve">34.13  </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47.73</w:t>
      </w:r>
      <w:r>
        <w:rPr>
          <w:rFonts w:ascii="仿宋" w:eastAsia="仿宋" w:hint="eastAsia"/>
          <w:color w:val="000000"/>
          <w:sz w:val="32"/>
          <w:szCs w:val="32"/>
        </w:rPr>
        <w:t>万元，占</w:t>
      </w:r>
      <w:r>
        <w:rPr>
          <w:rFonts w:ascii="仿宋" w:eastAsia="仿宋" w:hint="eastAsia"/>
          <w:color w:val="000000"/>
          <w:sz w:val="32"/>
          <w:szCs w:val="32"/>
          <w:lang w:val="en-US" w:eastAsia="zh-CN"/>
        </w:rPr>
        <w:t xml:space="preserve"> 6.17 </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灾害防治与应急管理</w:t>
      </w:r>
      <w:r>
        <w:rPr>
          <w:rFonts w:ascii="仿宋" w:eastAsia="仿宋" w:hint="eastAsia"/>
          <w:color w:val="000000"/>
          <w:sz w:val="32"/>
          <w:szCs w:val="32"/>
        </w:rPr>
        <w:t>支出</w:t>
      </w:r>
      <w:r>
        <w:rPr>
          <w:rFonts w:ascii="仿宋" w:eastAsia="仿宋" w:hint="eastAsia"/>
          <w:color w:val="000000"/>
          <w:sz w:val="32"/>
          <w:szCs w:val="32"/>
          <w:lang w:val="en-US" w:eastAsia="zh-CN"/>
        </w:rPr>
        <w:t>7</w:t>
      </w:r>
      <w:r>
        <w:rPr>
          <w:rFonts w:ascii="仿宋" w:eastAsia="仿宋" w:hint="eastAsia"/>
          <w:color w:val="000000"/>
          <w:sz w:val="32"/>
          <w:szCs w:val="32"/>
        </w:rPr>
        <w:t>万元，占</w:t>
      </w:r>
      <w:r>
        <w:rPr>
          <w:rFonts w:ascii="仿宋" w:eastAsia="仿宋" w:hint="eastAsia"/>
          <w:color w:val="000000"/>
          <w:sz w:val="32"/>
          <w:szCs w:val="32"/>
          <w:lang w:val="en-US" w:eastAsia="zh-CN"/>
        </w:rPr>
        <w:t xml:space="preserve"> 0.9 </w:t>
      </w:r>
      <w:r>
        <w:rPr>
          <w:rFonts w:ascii="仿宋" w:eastAsia="仿宋"/>
          <w:color w:val="000000"/>
          <w:sz w:val="32"/>
          <w:szCs w:val="32"/>
        </w:rPr>
        <w:t>%</w:t>
      </w:r>
      <w:r>
        <w:rPr>
          <w:rFonts w:ascii="仿宋" w:eastAsia="仿宋" w:hint="eastAsia"/>
          <w:b/>
          <w:bCs/>
          <w:color w:val="000000"/>
          <w:sz w:val="32"/>
          <w:szCs w:val="32"/>
          <w:lang w:eastAsia="zh-CN"/>
        </w:rPr>
        <w:t>其他支出</w:t>
      </w:r>
      <w:r>
        <w:rPr>
          <w:rFonts w:ascii="仿宋" w:eastAsia="仿宋" w:hint="eastAsia"/>
          <w:color w:val="000000"/>
          <w:sz w:val="32"/>
          <w:szCs w:val="32"/>
          <w:lang w:val="en-US" w:eastAsia="zh-CN"/>
        </w:rPr>
        <w:t>4.64</w:t>
      </w:r>
      <w:r>
        <w:rPr>
          <w:rFonts w:ascii="仿宋" w:eastAsia="仿宋" w:hint="eastAsia"/>
          <w:color w:val="000000"/>
          <w:sz w:val="32"/>
          <w:szCs w:val="32"/>
        </w:rPr>
        <w:t>万元</w:t>
      </w:r>
      <w:r>
        <w:rPr>
          <w:rFonts w:ascii="仿宋" w:eastAsia="仿宋" w:hint="eastAsia"/>
          <w:color w:val="000000"/>
          <w:sz w:val="32"/>
          <w:szCs w:val="32"/>
          <w:lang w:val="en-US" w:eastAsia="zh-CN"/>
        </w:rPr>
        <w:t>，</w:t>
      </w:r>
      <w:r>
        <w:rPr>
          <w:rFonts w:ascii="仿宋" w:eastAsia="仿宋" w:hint="eastAsia"/>
          <w:color w:val="000000"/>
          <w:sz w:val="32"/>
          <w:szCs w:val="32"/>
        </w:rPr>
        <w:t>占</w:t>
      </w:r>
      <w:r>
        <w:rPr>
          <w:rFonts w:ascii="仿宋" w:eastAsia="仿宋" w:hint="eastAsia"/>
          <w:color w:val="000000"/>
          <w:sz w:val="32"/>
          <w:szCs w:val="32"/>
          <w:lang w:val="en-US" w:eastAsia="zh-CN"/>
        </w:rPr>
        <w:t>0.6</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lang w:val="en-US" w:eastAsia="zh-CN"/>
        </w:rPr>
        <w:t xml:space="preserve">  </w:t>
      </w:r>
    </w:p>
    <w:p>
      <w:pPr>
        <w:spacing w:line="600" w:lineRule="exact"/>
        <w:ind w:firstLineChars="2600" w:firstLine="8320"/>
        <w:outlineLvl w:val="2"/>
        <w:rPr>
          <w:rFonts w:ascii="仿宋" w:eastAsia="仿宋" w:hint="eastAsia"/>
          <w:b/>
          <w:color w:val="000000"/>
          <w:sz w:val="32"/>
          <w:szCs w:val="32"/>
          <w:lang w:val="en-US" w:eastAsia="zh-CN"/>
        </w:rPr>
      </w:pPr>
      <w:bookmarkStart w:id="34" w:name="_Toc15378460"/>
      <w:bookmarkStart w:id="35" w:name="_Toc15377213"/>
      <w:bookmarkStart w:id="36" w:name="_Toc15377444"/>
      <w:r>
        <w:rPr>
          <w:rFonts w:ascii="仿宋" w:eastAsia="仿宋" w:hint="eastAsia"/>
          <w:color w:val="000000"/>
          <w:sz w:val="32"/>
          <w:szCs w:val="32"/>
          <w:lang w:eastAsia="zh-CN"/>
        </w:rPr>
        <w:drawing>
          <wp:anchor distT="0" distB="0" distL="114300" distR="114300" simplePos="0" relativeHeight="23" behindDoc="0" locked="0" layoutInCell="1" hidden="0" allowOverlap="1">
            <wp:simplePos x="0" y="0"/>
            <wp:positionH relativeFrom="column">
              <wp:posOffset>540385</wp:posOffset>
            </wp:positionH>
            <wp:positionV relativeFrom="paragraph">
              <wp:posOffset>99695</wp:posOffset>
            </wp:positionV>
            <wp:extent cx="5161915" cy="2541270"/>
            <wp:effectExtent l="0" t="0" r="0" b="0"/>
            <wp:wrapTopAndBottom/>
            <wp:docPr id="5" name="图表 1"/>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00" w:firstLine="640"/>
        <w:outlineLvl w:val="2"/>
        <w:rPr>
          <w:rFonts w:ascii="仿宋" w:eastAsia="仿宋" w:hint="eastAsia"/>
          <w:b/>
          <w:color w:val="000000"/>
          <w:sz w:val="32"/>
          <w:szCs w:val="32"/>
          <w:lang w:val="en-US" w:eastAsia="zh-CN"/>
          <w:highlight w:val="auto"/>
        </w:rPr>
      </w:pPr>
      <w:bookmarkStart w:id="37" w:name="_Toc15377212"/>
      <w:r>
        <w:rPr>
          <w:rFonts w:ascii="仿宋" w:eastAsia="仿宋" w:hint="eastAsia"/>
          <w:b/>
          <w:color w:val="000000"/>
          <w:sz w:val="32"/>
          <w:szCs w:val="32"/>
          <w:highlight w:val="auto"/>
        </w:rPr>
        <w:t>（三）一般公共预算财政拨款支出决算具体情况</w:t>
      </w:r>
      <w:bookmarkEnd w:id="37"/>
    </w:p>
    <w:p>
      <w:pPr>
        <w:spacing w:line="600" w:lineRule="exact"/>
        <w:outlineLvl w:val="2"/>
        <w:rPr>
          <w:rFonts w:ascii="仿宋" w:eastAsia="仿宋"/>
          <w:b w:val="0"/>
          <w:bCs/>
          <w:color w:val="FF0000"/>
          <w:sz w:val="32"/>
          <w:szCs w:val="32"/>
          <w:highlight w:val="auto"/>
        </w:rPr>
      </w:pPr>
      <w:r>
        <w:rPr>
          <w:rFonts w:ascii="仿宋" w:eastAsia="仿宋" w:hint="eastAsia"/>
          <w:b w:val="0"/>
          <w:bCs/>
          <w:color w:val="000000"/>
          <w:sz w:val="32"/>
          <w:szCs w:val="32"/>
          <w:lang w:val="en-US" w:eastAsia="zh-CN"/>
          <w:highlight w:val="auto"/>
        </w:rPr>
        <w:t xml:space="preserve">    </w:t>
      </w:r>
      <w:r>
        <w:rPr>
          <w:rFonts w:ascii="仿宋" w:eastAsia="仿宋" w:hint="eastAsia"/>
          <w:b w:val="0"/>
          <w:bCs/>
          <w:color w:val="000000"/>
          <w:sz w:val="32"/>
          <w:szCs w:val="32"/>
          <w:highlight w:val="auto"/>
        </w:rPr>
        <w:t>20</w:t>
      </w:r>
      <w:r>
        <w:rPr>
          <w:rFonts w:ascii="仿宋" w:eastAsia="仿宋" w:hint="eastAsia"/>
          <w:b w:val="0"/>
          <w:bCs/>
          <w:color w:val="000000"/>
          <w:sz w:val="32"/>
          <w:szCs w:val="32"/>
          <w:lang w:val="en-US" w:eastAsia="zh-CN"/>
          <w:highlight w:val="auto"/>
        </w:rPr>
        <w:t>21</w:t>
      </w:r>
      <w:r>
        <w:rPr>
          <w:rFonts w:ascii="仿宋" w:eastAsia="仿宋" w:hint="eastAsia"/>
          <w:b w:val="0"/>
          <w:bCs/>
          <w:color w:val="000000"/>
          <w:sz w:val="32"/>
          <w:szCs w:val="32"/>
          <w:highlight w:val="auto"/>
        </w:rPr>
        <w:t>年</w:t>
      </w:r>
      <w:r>
        <w:rPr>
          <w:rFonts w:ascii="仿宋" w:eastAsia="仿宋" w:hint="eastAsia"/>
          <w:b w:val="0"/>
          <w:bCs/>
          <w:color w:val="000000"/>
          <w:sz w:val="32"/>
          <w:szCs w:val="32"/>
          <w:lang w:eastAsia="zh-CN"/>
          <w:highlight w:val="auto"/>
        </w:rPr>
        <w:t>一</w:t>
      </w:r>
      <w:r>
        <w:rPr>
          <w:rFonts w:ascii="仿宋" w:eastAsia="仿宋" w:hint="eastAsia"/>
          <w:b w:val="0"/>
          <w:bCs/>
          <w:color w:val="000000"/>
          <w:sz w:val="32"/>
          <w:szCs w:val="32"/>
          <w:highlight w:val="auto"/>
        </w:rPr>
        <w:t>般公共预算</w:t>
      </w:r>
      <w:r>
        <w:rPr>
          <w:rFonts w:ascii="仿宋" w:eastAsia="仿宋" w:hint="eastAsia"/>
          <w:b w:val="0"/>
          <w:bCs/>
          <w:color w:val="000000"/>
          <w:sz w:val="32"/>
          <w:szCs w:val="32"/>
          <w:lang w:val="en-US" w:eastAsia="zh-CN"/>
          <w:highlight w:val="auto"/>
        </w:rPr>
        <w:t>数为601.98万元，</w:t>
      </w:r>
      <w:r>
        <w:rPr>
          <w:rFonts w:ascii="仿宋" w:eastAsia="仿宋" w:hint="eastAsia"/>
          <w:b w:val="0"/>
          <w:bCs/>
          <w:color w:val="000000"/>
          <w:sz w:val="32"/>
          <w:szCs w:val="32"/>
          <w:highlight w:val="auto"/>
        </w:rPr>
        <w:t>支出决算数为</w:t>
      </w:r>
      <w:r>
        <w:rPr>
          <w:rFonts w:ascii="仿宋" w:eastAsia="仿宋" w:hint="eastAsia"/>
          <w:b w:val="0"/>
          <w:bCs/>
          <w:color w:val="000000"/>
          <w:sz w:val="32"/>
          <w:szCs w:val="32"/>
          <w:lang w:val="en-US" w:eastAsia="zh-CN"/>
          <w:highlight w:val="auto"/>
        </w:rPr>
        <w:t>773.27万元</w:t>
      </w:r>
      <w:r>
        <w:rPr>
          <w:rFonts w:ascii="仿宋" w:eastAsia="仿宋" w:hint="eastAsia"/>
          <w:b w:val="0"/>
          <w:bCs/>
          <w:color w:val="000000"/>
          <w:sz w:val="32"/>
          <w:szCs w:val="32"/>
          <w:highlight w:val="auto"/>
        </w:rPr>
        <w:t>，完</w:t>
      </w:r>
      <w:r>
        <w:rPr>
          <w:rStyle w:val="23"/>
          <w:rFonts w:ascii="仿宋" w:eastAsia="仿宋" w:hint="eastAsia"/>
          <w:b w:val="0"/>
          <w:bCs/>
          <w:color w:val="000000"/>
          <w:sz w:val="32"/>
          <w:szCs w:val="32"/>
          <w:highlight w:val="auto"/>
        </w:rPr>
        <w:t>成预算</w:t>
      </w:r>
      <w:r>
        <w:rPr>
          <w:rStyle w:val="23"/>
          <w:rFonts w:ascii="仿宋" w:eastAsia="仿宋" w:hint="eastAsia"/>
          <w:b w:val="0"/>
          <w:bCs/>
          <w:color w:val="000000"/>
          <w:sz w:val="32"/>
          <w:szCs w:val="32"/>
          <w:lang w:val="en-US" w:eastAsia="zh-CN"/>
          <w:highlight w:val="auto"/>
        </w:rPr>
        <w:t>100</w:t>
      </w:r>
      <w:r>
        <w:rPr>
          <w:rStyle w:val="23"/>
          <w:rFonts w:ascii="仿宋" w:eastAsia="仿宋"/>
          <w:b w:val="0"/>
          <w:bCs/>
          <w:color w:val="000000"/>
          <w:sz w:val="32"/>
          <w:szCs w:val="32"/>
          <w:highlight w:val="auto"/>
        </w:rPr>
        <w:t>%</w:t>
      </w:r>
      <w:r>
        <w:rPr>
          <w:rStyle w:val="23"/>
          <w:rFonts w:ascii="仿宋" w:eastAsia="仿宋" w:hint="eastAsia"/>
          <w:b w:val="0"/>
          <w:bCs/>
          <w:color w:val="000000"/>
          <w:sz w:val="32"/>
          <w:szCs w:val="32"/>
          <w:highlight w:val="auto"/>
        </w:rPr>
        <w:t>。</w:t>
      </w:r>
      <w:r>
        <w:rPr>
          <w:rStyle w:val="23"/>
          <w:rFonts w:ascii="仿宋" w:eastAsia="仿宋" w:hint="eastAsia"/>
          <w:b w:val="0"/>
          <w:bCs/>
          <w:color w:val="000000"/>
          <w:sz w:val="32"/>
          <w:szCs w:val="32"/>
          <w:lang w:val="en-US" w:eastAsia="zh-CN"/>
          <w:highlight w:val="auto"/>
        </w:rPr>
        <w:t>结转下年0万元。</w:t>
      </w:r>
      <w:r>
        <w:rPr>
          <w:rStyle w:val="23"/>
          <w:rFonts w:ascii="仿宋" w:eastAsia="仿宋" w:hint="eastAsia"/>
          <w:b w:val="0"/>
          <w:bCs/>
          <w:color w:val="000000"/>
          <w:sz w:val="32"/>
          <w:szCs w:val="32"/>
          <w:highlight w:val="auto"/>
        </w:rPr>
        <w:t>其中：</w:t>
      </w:r>
      <w:bookmarkEnd w:id="34"/>
      <w:bookmarkEnd w:id="35"/>
      <w:bookmarkEnd w:id="36"/>
    </w:p>
    <w:p>
      <w:pPr>
        <w:spacing w:line="600" w:lineRule="exact"/>
        <w:ind w:left="0"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人大事务</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11.7</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bCs/>
          <w:color w:val="000000"/>
          <w:sz w:val="32"/>
          <w:szCs w:val="32"/>
        </w:rPr>
        <w:t>2.</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政府办公厅（室）及相关机构事务</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一般行政管理事务</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325.58</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3</w:t>
      </w:r>
      <w:r>
        <w:rPr>
          <w:rStyle w:val="23"/>
          <w:rFonts w:ascii="仿宋" w:eastAsia="仿宋"/>
          <w:bCs/>
          <w:color w:val="000000"/>
          <w:sz w:val="32"/>
          <w:szCs w:val="32"/>
        </w:rPr>
        <w:t>.</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党委办公厅（室）及相关机构事务</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一般行政管理事务</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10.67</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val="en-US" w:eastAsia="zh-CN"/>
        </w:rPr>
      </w:pPr>
      <w:r>
        <w:rPr>
          <w:rStyle w:val="23"/>
          <w:rFonts w:ascii="仿宋" w:eastAsia="仿宋" w:hint="eastAsia"/>
          <w:bCs/>
          <w:color w:val="000000"/>
          <w:sz w:val="32"/>
          <w:szCs w:val="32"/>
          <w:lang w:val="en-US" w:eastAsia="zh-CN"/>
        </w:rPr>
        <w:t>4</w:t>
      </w:r>
      <w:r>
        <w:rPr>
          <w:rStyle w:val="23"/>
          <w:rFonts w:ascii="仿宋" w:eastAsia="仿宋"/>
          <w:bCs/>
          <w:color w:val="000000"/>
          <w:sz w:val="32"/>
          <w:szCs w:val="32"/>
        </w:rPr>
        <w:t>.</w:t>
      </w:r>
      <w:r>
        <w:rPr>
          <w:rStyle w:val="23"/>
          <w:rFonts w:ascii="仿宋" w:eastAsia="仿宋" w:hint="eastAsia"/>
          <w:bCs/>
          <w:color w:val="000000"/>
          <w:sz w:val="32"/>
          <w:szCs w:val="32"/>
          <w:lang w:eastAsia="zh-CN"/>
        </w:rPr>
        <w:t>文化体育与传媒支出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新闻出版电影</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电影</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5</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w:t>
      </w:r>
      <w:r>
        <w:rPr>
          <w:rStyle w:val="23"/>
          <w:rFonts w:ascii="仿宋" w:eastAsia="仿宋" w:hint="eastAsia"/>
          <w:bCs/>
          <w:color w:val="000000"/>
          <w:sz w:val="32"/>
          <w:szCs w:val="32"/>
          <w:lang w:val="en-US" w:eastAsia="zh-CN"/>
        </w:rPr>
        <w:t>行政事业单位离退休</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机关事业单位基本养老保险缴费支出</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42.29</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hint="eastAsia"/>
          <w:b/>
          <w:color w:val="000000"/>
          <w:sz w:val="32"/>
          <w:szCs w:val="32"/>
          <w:lang w:eastAsia="zh-CN"/>
        </w:rPr>
      </w:pPr>
      <w:r>
        <w:rPr>
          <w:rStyle w:val="23"/>
          <w:rFonts w:ascii="仿宋" w:eastAsia="仿宋" w:hint="eastAsia"/>
          <w:bCs/>
          <w:color w:val="000000"/>
          <w:sz w:val="32"/>
          <w:szCs w:val="32"/>
          <w:lang w:val="en-US" w:eastAsia="zh-CN"/>
        </w:rPr>
        <w:t>6</w:t>
      </w:r>
      <w:r>
        <w:rPr>
          <w:rStyle w:val="23"/>
          <w:rFonts w:ascii="仿宋" w:eastAsia="仿宋"/>
          <w:bCs/>
          <w:color w:val="000000"/>
          <w:sz w:val="32"/>
          <w:szCs w:val="32"/>
        </w:rPr>
        <w:t>.</w:t>
      </w:r>
      <w:r>
        <w:rPr>
          <w:rStyle w:val="23"/>
          <w:rFonts w:ascii="仿宋" w:eastAsia="仿宋" w:hint="eastAsia"/>
          <w:bCs/>
          <w:color w:val="000000"/>
          <w:sz w:val="32"/>
          <w:szCs w:val="32"/>
        </w:rPr>
        <w:t>社会保障和就业（类）</w:t>
      </w:r>
      <w:r>
        <w:rPr>
          <w:rStyle w:val="23"/>
          <w:rFonts w:ascii="仿宋" w:eastAsia="仿宋" w:hint="eastAsia"/>
          <w:bCs/>
          <w:color w:val="000000"/>
          <w:sz w:val="32"/>
          <w:szCs w:val="32"/>
          <w:lang w:val="en-US" w:eastAsia="zh-CN"/>
        </w:rPr>
        <w:t>行政事业单位离退休</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机关事业单位基本职业年金缴费支出</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21.96</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7.卫生健康支出（类）行政事业单位医疗</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行政单位医疗</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21.13</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8.</w:t>
      </w:r>
      <w:r>
        <w:rPr>
          <w:rStyle w:val="23"/>
          <w:rFonts w:ascii="仿宋" w:eastAsia="仿宋" w:hint="eastAsia"/>
          <w:bCs/>
          <w:color w:val="000000"/>
          <w:sz w:val="32"/>
          <w:szCs w:val="32"/>
          <w:lang w:eastAsia="zh-CN"/>
        </w:rPr>
        <w:t>卫生健康支出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行政事业单位医疗</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公务员医疗补助</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6.59</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9.城乡社区支出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城乡社区环境卫生</w:t>
      </w:r>
      <w:r>
        <w:rPr>
          <w:rStyle w:val="23"/>
          <w:rFonts w:ascii="仿宋" w:eastAsia="仿宋" w:hint="eastAsia"/>
          <w:bCs/>
          <w:color w:val="000000"/>
          <w:sz w:val="32"/>
          <w:szCs w:val="32"/>
        </w:rPr>
        <w:t>（款）</w:t>
      </w:r>
      <w:r>
        <w:rPr>
          <w:rStyle w:val="2Char"/>
          <w:rFonts w:hint="eastAsia"/>
          <w:lang w:val="en-US" w:eastAsia="zh-CN"/>
        </w:rPr>
        <w:t>事</w:t>
      </w:r>
      <w:r>
        <w:rPr>
          <w:rStyle w:val="23"/>
          <w:rFonts w:ascii="仿宋" w:eastAsia="仿宋" w:hint="eastAsia"/>
          <w:bCs/>
          <w:color w:val="000000"/>
          <w:sz w:val="32"/>
          <w:szCs w:val="32"/>
          <w:lang w:val="en-US" w:eastAsia="zh-CN"/>
        </w:rPr>
        <w:t>城乡社区环境卫生</w:t>
      </w:r>
      <w:r>
        <w:rPr>
          <w:rStyle w:val="2Char"/>
          <w:rFonts w:hint="eastAsia"/>
        </w:rPr>
        <w:t>（</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10</w:t>
      </w:r>
      <w:r>
        <w:rPr>
          <w:rStyle w:val="23"/>
          <w:rFonts w:ascii="仿宋" w:eastAsia="仿宋" w:hint="eastAsia"/>
          <w:b w:val="0"/>
          <w:bCs/>
          <w:color w:val="000000"/>
          <w:sz w:val="32"/>
          <w:szCs w:val="32"/>
        </w:rPr>
        <w:t>万元</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10.农林水</w:t>
      </w:r>
      <w:r>
        <w:rPr>
          <w:rStyle w:val="23"/>
          <w:rFonts w:ascii="仿宋" w:eastAsia="仿宋" w:hint="eastAsia"/>
          <w:bCs/>
          <w:color w:val="000000"/>
          <w:sz w:val="32"/>
          <w:szCs w:val="32"/>
          <w:lang w:eastAsia="zh-CN"/>
        </w:rPr>
        <w:t>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农业农村</w:t>
      </w:r>
      <w:r>
        <w:rPr>
          <w:rStyle w:val="23"/>
          <w:rFonts w:ascii="仿宋" w:eastAsia="仿宋" w:hint="eastAsia"/>
          <w:bCs/>
          <w:color w:val="000000"/>
          <w:sz w:val="32"/>
          <w:szCs w:val="32"/>
        </w:rPr>
        <w:t>（款）</w:t>
      </w:r>
      <w:r>
        <w:rPr>
          <w:rStyle w:val="2Char"/>
          <w:rFonts w:hint="eastAsia"/>
          <w:lang w:val="en-US" w:eastAsia="zh-CN"/>
        </w:rPr>
        <w:t>农村道路建设</w:t>
      </w:r>
      <w:r>
        <w:rPr>
          <w:rStyle w:val="2Char"/>
          <w:rFonts w:hint="eastAsia"/>
        </w:rPr>
        <w:t>（</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1.3</w:t>
      </w:r>
      <w:r>
        <w:rPr>
          <w:rStyle w:val="23"/>
          <w:rFonts w:ascii="仿宋" w:eastAsia="仿宋" w:hint="eastAsia"/>
          <w:b w:val="0"/>
          <w:bCs/>
          <w:color w:val="000000"/>
          <w:sz w:val="32"/>
          <w:szCs w:val="32"/>
        </w:rPr>
        <w:t>万元</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11.农林水</w:t>
      </w:r>
      <w:r>
        <w:rPr>
          <w:rStyle w:val="23"/>
          <w:rFonts w:ascii="仿宋" w:eastAsia="仿宋" w:hint="eastAsia"/>
          <w:bCs/>
          <w:color w:val="000000"/>
          <w:sz w:val="32"/>
          <w:szCs w:val="32"/>
          <w:lang w:eastAsia="zh-CN"/>
        </w:rPr>
        <w:t>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林业和草原</w:t>
      </w:r>
      <w:r>
        <w:rPr>
          <w:rStyle w:val="23"/>
          <w:rFonts w:ascii="仿宋" w:eastAsia="仿宋" w:hint="eastAsia"/>
          <w:bCs/>
          <w:color w:val="000000"/>
          <w:sz w:val="32"/>
          <w:szCs w:val="32"/>
        </w:rPr>
        <w:t>（款）</w:t>
      </w:r>
      <w:r>
        <w:rPr>
          <w:rStyle w:val="2Char"/>
          <w:rFonts w:hint="eastAsia"/>
          <w:lang w:val="en-US" w:eastAsia="zh-CN"/>
        </w:rPr>
        <w:t>事业机构</w:t>
      </w:r>
      <w:r>
        <w:rPr>
          <w:rStyle w:val="2Char"/>
          <w:rFonts w:hint="eastAsia"/>
        </w:rPr>
        <w:t>（</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118.53</w:t>
      </w:r>
      <w:r>
        <w:rPr>
          <w:rStyle w:val="23"/>
          <w:rFonts w:ascii="仿宋" w:eastAsia="仿宋" w:hint="eastAsia"/>
          <w:b w:val="0"/>
          <w:bCs/>
          <w:color w:val="000000"/>
          <w:sz w:val="32"/>
          <w:szCs w:val="32"/>
        </w:rPr>
        <w:t>万元</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12.农林水</w:t>
      </w:r>
      <w:r>
        <w:rPr>
          <w:rStyle w:val="23"/>
          <w:rFonts w:ascii="仿宋" w:eastAsia="仿宋" w:hint="eastAsia"/>
          <w:bCs/>
          <w:color w:val="000000"/>
          <w:sz w:val="32"/>
          <w:szCs w:val="32"/>
          <w:lang w:eastAsia="zh-CN"/>
        </w:rPr>
        <w:t>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扶贫</w:t>
      </w:r>
      <w:r>
        <w:rPr>
          <w:rStyle w:val="23"/>
          <w:rFonts w:ascii="仿宋" w:eastAsia="仿宋" w:hint="eastAsia"/>
          <w:bCs/>
          <w:color w:val="000000"/>
          <w:sz w:val="32"/>
          <w:szCs w:val="32"/>
        </w:rPr>
        <w:t>（款）</w:t>
      </w:r>
      <w:r>
        <w:rPr>
          <w:rStyle w:val="2Char"/>
          <w:rFonts w:hint="eastAsia"/>
          <w:lang w:val="en-US" w:eastAsia="zh-CN"/>
        </w:rPr>
        <w:t>其他扶贫支出</w:t>
      </w:r>
      <w:r>
        <w:rPr>
          <w:rStyle w:val="2Char"/>
          <w:rFonts w:hint="eastAsia"/>
        </w:rPr>
        <w:t>（</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w:t>
      </w:r>
      <w:r>
        <w:rPr>
          <w:rStyle w:val="23"/>
          <w:rFonts w:ascii="仿宋" w:eastAsia="仿宋" w:hint="eastAsia"/>
          <w:b w:val="0"/>
          <w:bCs/>
          <w:color w:val="000000"/>
          <w:sz w:val="32"/>
          <w:szCs w:val="32"/>
        </w:rPr>
        <w:t>万元</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13.农林水</w:t>
      </w:r>
      <w:r>
        <w:rPr>
          <w:rStyle w:val="23"/>
          <w:rFonts w:ascii="仿宋" w:eastAsia="仿宋" w:hint="eastAsia"/>
          <w:bCs/>
          <w:color w:val="000000"/>
          <w:sz w:val="32"/>
          <w:szCs w:val="32"/>
          <w:lang w:eastAsia="zh-CN"/>
        </w:rPr>
        <w:t>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农村综合事务改革</w:t>
      </w:r>
      <w:r>
        <w:rPr>
          <w:rStyle w:val="23"/>
          <w:rFonts w:ascii="仿宋" w:eastAsia="仿宋" w:hint="eastAsia"/>
          <w:bCs/>
          <w:color w:val="000000"/>
          <w:sz w:val="32"/>
          <w:szCs w:val="32"/>
        </w:rPr>
        <w:t>（款）</w:t>
      </w:r>
      <w:r>
        <w:rPr>
          <w:rStyle w:val="2Char"/>
          <w:rFonts w:hint="eastAsia"/>
          <w:lang w:val="en-US" w:eastAsia="zh-CN"/>
        </w:rPr>
        <w:t>对村民委员会和党支部的支行</w:t>
      </w:r>
      <w:r>
        <w:rPr>
          <w:rStyle w:val="2Char"/>
          <w:rFonts w:hint="eastAsia"/>
        </w:rPr>
        <w:t>（</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144.14</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bookmarkStart w:id="38" w:name="_Toc15396608"/>
      <w:bookmarkStart w:id="39" w:name="_Toc15377214"/>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highlight w:val="auto"/>
        </w:rPr>
      </w:pPr>
      <w:r>
        <w:rPr>
          <w:rStyle w:val="23"/>
          <w:rFonts w:ascii="仿宋" w:eastAsia="仿宋" w:hint="eastAsia"/>
          <w:bCs/>
          <w:color w:val="000000"/>
          <w:sz w:val="32"/>
          <w:szCs w:val="32"/>
          <w:lang w:val="en-US" w:eastAsia="zh-CN"/>
          <w:highlight w:val="auto"/>
        </w:rPr>
        <w:t>14.住房保障（类）住房改革支出（款）住房公积金（项）：</w:t>
      </w:r>
      <w:r>
        <w:rPr>
          <w:rStyle w:val="23"/>
          <w:rFonts w:ascii="仿宋" w:eastAsia="仿宋" w:hint="eastAsia"/>
          <w:b w:val="0"/>
          <w:bCs/>
          <w:color w:val="000000"/>
          <w:sz w:val="32"/>
          <w:szCs w:val="32"/>
          <w:highlight w:val="auto"/>
        </w:rPr>
        <w:t>支出决算为</w:t>
      </w:r>
      <w:r>
        <w:rPr>
          <w:rStyle w:val="23"/>
          <w:rFonts w:ascii="仿宋" w:eastAsia="仿宋" w:hint="eastAsia"/>
          <w:b w:val="0"/>
          <w:bCs/>
          <w:color w:val="000000"/>
          <w:sz w:val="32"/>
          <w:szCs w:val="32"/>
          <w:lang w:val="en-US" w:eastAsia="zh-CN"/>
          <w:highlight w:val="auto"/>
        </w:rPr>
        <w:t>47.73</w:t>
      </w:r>
      <w:r>
        <w:rPr>
          <w:rStyle w:val="23"/>
          <w:rFonts w:ascii="仿宋" w:eastAsia="仿宋" w:hint="eastAsia"/>
          <w:b w:val="0"/>
          <w:bCs/>
          <w:color w:val="000000"/>
          <w:sz w:val="32"/>
          <w:szCs w:val="32"/>
          <w:highlight w:val="auto"/>
        </w:rPr>
        <w:t>万元</w:t>
      </w:r>
      <w:r>
        <w:rPr>
          <w:rStyle w:val="23"/>
          <w:rFonts w:ascii="仿宋" w:eastAsia="仿宋" w:hint="eastAsia"/>
          <w:b w:val="0"/>
          <w:bCs/>
          <w:color w:val="000000"/>
          <w:sz w:val="32"/>
          <w:szCs w:val="32"/>
          <w:lang w:eastAsia="zh-CN"/>
          <w:highlight w:val="auto"/>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15.灾害防治与应急管理支出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应急管理事务</w:t>
      </w:r>
      <w:r>
        <w:rPr>
          <w:rStyle w:val="23"/>
          <w:rFonts w:ascii="仿宋" w:eastAsia="仿宋" w:hint="eastAsia"/>
          <w:bCs/>
          <w:color w:val="000000"/>
          <w:sz w:val="32"/>
          <w:szCs w:val="32"/>
        </w:rPr>
        <w:t>（款）</w:t>
      </w:r>
      <w:r>
        <w:rPr>
          <w:rStyle w:val="2Char"/>
          <w:rFonts w:hint="eastAsia"/>
          <w:lang w:val="en-US" w:eastAsia="zh-CN"/>
        </w:rPr>
        <w:t>应急救援</w:t>
      </w:r>
      <w:r>
        <w:rPr>
          <w:rStyle w:val="2Char"/>
          <w:rFonts w:hint="eastAsia"/>
        </w:rPr>
        <w:t>（</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7</w:t>
      </w:r>
      <w:r>
        <w:rPr>
          <w:rStyle w:val="23"/>
          <w:rFonts w:ascii="仿宋" w:eastAsia="仿宋" w:hint="eastAsia"/>
          <w:b w:val="0"/>
          <w:bCs/>
          <w:color w:val="000000"/>
          <w:sz w:val="32"/>
          <w:szCs w:val="32"/>
        </w:rPr>
        <w:t>万元</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16.购房补贴支出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购房补贴事务</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购房补贴</w:t>
      </w:r>
      <w:r>
        <w:rPr>
          <w:rStyle w:val="2Char"/>
          <w:rFonts w:hint="eastAsia"/>
        </w:rPr>
        <w:t>（</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1.03</w:t>
      </w:r>
      <w:r>
        <w:rPr>
          <w:rStyle w:val="23"/>
          <w:rFonts w:ascii="仿宋" w:eastAsia="仿宋" w:hint="eastAsia"/>
          <w:b w:val="0"/>
          <w:bCs/>
          <w:color w:val="000000"/>
          <w:sz w:val="32"/>
          <w:szCs w:val="32"/>
        </w:rPr>
        <w:t>万元</w:t>
      </w:r>
      <w:r>
        <w:rPr>
          <w:rStyle w:val="23"/>
          <w:rFonts w:ascii="仿宋" w:eastAsia="仿宋" w:hint="eastAsia"/>
          <w:b w:val="0"/>
          <w:bCs/>
          <w:color w:val="000000"/>
          <w:sz w:val="32"/>
          <w:szCs w:val="32"/>
          <w:lang w:eastAsia="zh-CN"/>
        </w:rPr>
        <w:t>。</w:t>
      </w:r>
    </w:p>
    <w:p>
      <w:pPr>
        <w:pStyle w:val="26"/>
        <w:rPr>
          <w:rFonts w:hint="eastAsia"/>
          <w:lang w:val="en-US" w:eastAsia="zh-CN"/>
        </w:rPr>
      </w:pPr>
    </w:p>
    <w:p>
      <w:pPr>
        <w:spacing w:line="600" w:lineRule="exact"/>
        <w:ind w:firstLineChars="200" w:firstLine="640"/>
        <w:rPr>
          <w:rStyle w:val="23"/>
          <w:rFonts w:ascii="仿宋" w:eastAsia="仿宋" w:hint="eastAsia"/>
          <w:b w:val="0"/>
          <w:bCs/>
          <w:color w:val="000000"/>
          <w:sz w:val="32"/>
          <w:szCs w:val="32"/>
          <w:lang w:eastAsia="zh-CN"/>
          <w:highlight w:val="auto"/>
        </w:rPr>
      </w:pPr>
      <w:r>
        <w:rPr>
          <w:rStyle w:val="23"/>
          <w:rFonts w:ascii="仿宋" w:eastAsia="仿宋" w:hint="eastAsia"/>
          <w:bCs/>
          <w:color w:val="000000"/>
          <w:sz w:val="32"/>
          <w:szCs w:val="32"/>
          <w:lang w:val="en-US" w:eastAsia="zh-CN"/>
          <w:highlight w:val="auto"/>
        </w:rPr>
        <w:t>17.其他支出（类）其他支出（款）其他支出（项）：</w:t>
      </w:r>
      <w:r>
        <w:rPr>
          <w:rStyle w:val="23"/>
          <w:rFonts w:ascii="仿宋" w:eastAsia="仿宋" w:hint="eastAsia"/>
          <w:b w:val="0"/>
          <w:bCs/>
          <w:color w:val="000000"/>
          <w:sz w:val="32"/>
          <w:szCs w:val="32"/>
          <w:highlight w:val="auto"/>
        </w:rPr>
        <w:t>支出决算为</w:t>
      </w:r>
      <w:r>
        <w:rPr>
          <w:rStyle w:val="23"/>
          <w:rFonts w:ascii="仿宋" w:eastAsia="仿宋" w:hint="eastAsia"/>
          <w:b w:val="0"/>
          <w:bCs/>
          <w:color w:val="000000"/>
          <w:sz w:val="32"/>
          <w:szCs w:val="32"/>
          <w:lang w:val="en-US" w:eastAsia="zh-CN"/>
          <w:highlight w:val="auto"/>
        </w:rPr>
        <w:t>4.64</w:t>
      </w:r>
      <w:r>
        <w:rPr>
          <w:rStyle w:val="23"/>
          <w:rFonts w:ascii="仿宋" w:eastAsia="仿宋" w:hint="eastAsia"/>
          <w:b w:val="0"/>
          <w:bCs/>
          <w:color w:val="000000"/>
          <w:sz w:val="32"/>
          <w:szCs w:val="32"/>
          <w:highlight w:val="auto"/>
        </w:rPr>
        <w:t>万元</w:t>
      </w:r>
      <w:r>
        <w:rPr>
          <w:rStyle w:val="23"/>
          <w:rFonts w:ascii="仿宋" w:eastAsia="仿宋" w:hint="eastAsia"/>
          <w:b w:val="0"/>
          <w:bCs/>
          <w:color w:val="000000"/>
          <w:sz w:val="32"/>
          <w:szCs w:val="32"/>
          <w:lang w:eastAsia="zh-CN"/>
          <w:highlight w:val="auto"/>
        </w:rPr>
        <w:t>。</w:t>
      </w:r>
    </w:p>
    <w:p>
      <w:pPr>
        <w:pStyle w:val="26"/>
        <w:rPr>
          <w:rFonts w:hint="eastAsia"/>
          <w:lang w:val="en-US" w:eastAsia="zh-CN"/>
        </w:rPr>
      </w:pPr>
    </w:p>
    <w:p>
      <w:pPr>
        <w:spacing w:line="600" w:lineRule="exact"/>
        <w:ind w:firstLine="640"/>
        <w:rPr>
          <w:rStyle w:val="2Char"/>
        </w:rPr>
      </w:pPr>
      <w:r>
        <w:rPr>
          <w:rFonts w:ascii="黑体" w:eastAsia="黑体" w:hint="eastAsia"/>
          <w:color w:val="000000"/>
          <w:sz w:val="32"/>
          <w:szCs w:val="32"/>
          <w:highlight w:val="auto"/>
        </w:rPr>
        <w:t>六</w:t>
      </w:r>
      <w:r>
        <w:rPr>
          <w:rFonts w:ascii="黑体" w:eastAsia="黑体" w:hint="eastAsia"/>
          <w:b/>
          <w:color w:val="000000"/>
          <w:sz w:val="32"/>
          <w:szCs w:val="32"/>
          <w:highlight w:val="auto"/>
        </w:rPr>
        <w:t>、一</w:t>
      </w:r>
      <w:r>
        <w:rPr>
          <w:rStyle w:val="2Char"/>
          <w:rFonts w:ascii="黑体" w:eastAsia="黑体" w:hint="eastAsia"/>
          <w:b w:val="0"/>
          <w:highlight w:val="auto"/>
        </w:rPr>
        <w:t>般公共</w:t>
      </w:r>
      <w:r>
        <w:rPr>
          <w:rStyle w:val="2Char"/>
          <w:rFonts w:ascii="黑体" w:eastAsia="黑体" w:hint="eastAsia"/>
          <w:b w:val="0"/>
        </w:rPr>
        <w:t>预算财政拨款基本支出决算情况说明</w:t>
      </w:r>
      <w:bookmarkEnd w:id="38"/>
      <w:bookmarkEnd w:id="39"/>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606.1</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450.97</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113.26万元</w:t>
      </w:r>
      <w:r>
        <w:rPr>
          <w:rFonts w:ascii="仿宋" w:eastAsia="仿宋" w:hint="eastAsia"/>
          <w:color w:val="000000"/>
          <w:sz w:val="32"/>
          <w:szCs w:val="32"/>
        </w:rPr>
        <w:t>、津贴补贴</w:t>
      </w:r>
      <w:r>
        <w:rPr>
          <w:rFonts w:ascii="仿宋" w:eastAsia="仿宋" w:hint="eastAsia"/>
          <w:color w:val="000000"/>
          <w:sz w:val="32"/>
          <w:szCs w:val="32"/>
          <w:lang w:val="en-US" w:eastAsia="zh-CN"/>
        </w:rPr>
        <w:t>145.95万元</w:t>
      </w:r>
      <w:r>
        <w:rPr>
          <w:rFonts w:ascii="仿宋" w:eastAsia="仿宋" w:hint="eastAsia"/>
          <w:color w:val="000000"/>
          <w:sz w:val="32"/>
          <w:szCs w:val="32"/>
        </w:rPr>
        <w:t>、奖金</w:t>
      </w:r>
      <w:r>
        <w:rPr>
          <w:rFonts w:ascii="仿宋" w:eastAsia="仿宋" w:hint="eastAsia"/>
          <w:color w:val="000000"/>
          <w:sz w:val="32"/>
          <w:szCs w:val="32"/>
          <w:lang w:val="en-US" w:eastAsia="zh-CN"/>
        </w:rPr>
        <w:t>9.61万元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40.2万元，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42.29万元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21.96万元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职工基本医疗保险缴费21.14万元、公务员医疗补助缴费6.59万元、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3.27万元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、生活补助</w:t>
      </w:r>
      <w:r>
        <w:rPr>
          <w:rFonts w:ascii="仿宋" w:eastAsia="仿宋" w:hint="eastAsia"/>
          <w:color w:val="000000"/>
          <w:sz w:val="32"/>
          <w:szCs w:val="32"/>
          <w:lang w:val="en-US" w:eastAsia="zh-CN"/>
        </w:rPr>
        <w:t>84.08万元</w:t>
      </w:r>
      <w:r>
        <w:rPr>
          <w:rFonts w:ascii="仿宋" w:eastAsia="仿宋" w:hint="eastAsia"/>
          <w:color w:val="000000"/>
          <w:sz w:val="32"/>
          <w:szCs w:val="32"/>
        </w:rPr>
        <w:t>、</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0万元、</w:t>
      </w:r>
      <w:r>
        <w:rPr>
          <w:rFonts w:ascii="仿宋" w:eastAsia="仿宋" w:hint="eastAsia"/>
          <w:color w:val="000000"/>
          <w:sz w:val="32"/>
          <w:szCs w:val="32"/>
        </w:rPr>
        <w:t>住房公积金</w:t>
      </w:r>
      <w:r>
        <w:rPr>
          <w:rFonts w:ascii="仿宋" w:eastAsia="仿宋" w:hint="eastAsia"/>
          <w:color w:val="000000"/>
          <w:sz w:val="32"/>
          <w:szCs w:val="32"/>
          <w:lang w:val="en-US" w:eastAsia="zh-CN"/>
        </w:rPr>
        <w:t>46.70万元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0万元、奖励金121.12万元购房补贴1.03万元</w:t>
      </w:r>
      <w:r>
        <w:rPr>
          <w:rFonts w:ascii="仿宋" w:eastAsia="仿宋" w:hint="eastAsia"/>
          <w:color w:val="000000"/>
          <w:sz w:val="32"/>
          <w:szCs w:val="32"/>
        </w:rPr>
        <w:t>等。</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　　公用经费</w:t>
      </w:r>
      <w:r>
        <w:rPr>
          <w:rFonts w:ascii="仿宋" w:eastAsia="仿宋" w:hint="eastAsia"/>
          <w:color w:val="000000"/>
          <w:sz w:val="32"/>
          <w:szCs w:val="32"/>
          <w:lang w:val="en-US" w:eastAsia="zh-CN"/>
        </w:rPr>
        <w:t>32.71</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2.92万元</w:t>
      </w:r>
      <w:r>
        <w:rPr>
          <w:rFonts w:ascii="仿宋" w:eastAsia="仿宋" w:hint="eastAsia"/>
          <w:color w:val="000000"/>
          <w:sz w:val="32"/>
          <w:szCs w:val="32"/>
        </w:rPr>
        <w:t>、</w:t>
      </w:r>
      <w:r>
        <w:rPr>
          <w:rFonts w:ascii="仿宋" w:eastAsia="仿宋" w:hint="eastAsia"/>
          <w:color w:val="000000"/>
          <w:sz w:val="32"/>
          <w:szCs w:val="32"/>
          <w:lang w:eastAsia="zh-CN"/>
        </w:rPr>
        <w:t>印刷费</w:t>
      </w:r>
      <w:r>
        <w:rPr>
          <w:rFonts w:ascii="仿宋" w:eastAsia="仿宋" w:hint="eastAsia"/>
          <w:color w:val="000000"/>
          <w:sz w:val="32"/>
          <w:szCs w:val="32"/>
          <w:lang w:val="en-US" w:eastAsia="zh-CN"/>
        </w:rPr>
        <w:t>5.42万元、</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0.02万元、</w:t>
      </w:r>
      <w:r>
        <w:rPr>
          <w:rFonts w:ascii="仿宋" w:eastAsia="仿宋" w:hint="eastAsia"/>
          <w:color w:val="000000"/>
          <w:sz w:val="32"/>
          <w:szCs w:val="32"/>
        </w:rPr>
        <w:t>水费</w:t>
      </w:r>
      <w:r>
        <w:rPr>
          <w:rFonts w:ascii="仿宋" w:eastAsia="仿宋" w:hint="eastAsia"/>
          <w:color w:val="000000"/>
          <w:sz w:val="32"/>
          <w:szCs w:val="32"/>
          <w:lang w:val="en-US" w:eastAsia="zh-CN"/>
        </w:rPr>
        <w:t>0万元</w:t>
      </w:r>
      <w:r>
        <w:rPr>
          <w:rFonts w:ascii="仿宋" w:eastAsia="仿宋" w:hint="eastAsia"/>
          <w:color w:val="000000"/>
          <w:sz w:val="32"/>
          <w:szCs w:val="32"/>
        </w:rPr>
        <w:t>、电费</w:t>
      </w:r>
      <w:r>
        <w:rPr>
          <w:rFonts w:ascii="仿宋" w:eastAsia="仿宋" w:hint="eastAsia"/>
          <w:color w:val="000000"/>
          <w:sz w:val="32"/>
          <w:szCs w:val="32"/>
          <w:lang w:val="en-US" w:eastAsia="zh-CN"/>
        </w:rPr>
        <w:t>1万元</w:t>
      </w:r>
      <w:r>
        <w:rPr>
          <w:rFonts w:ascii="仿宋" w:eastAsia="仿宋" w:hint="eastAsia"/>
          <w:color w:val="000000"/>
          <w:sz w:val="32"/>
          <w:szCs w:val="32"/>
        </w:rPr>
        <w:t>、邮电费</w:t>
      </w:r>
      <w:r>
        <w:rPr>
          <w:rFonts w:ascii="仿宋" w:eastAsia="仿宋" w:hint="eastAsia"/>
          <w:color w:val="000000"/>
          <w:sz w:val="32"/>
          <w:szCs w:val="32"/>
          <w:lang w:val="en-US" w:eastAsia="zh-CN"/>
        </w:rPr>
        <w:t>1.5万元</w:t>
      </w:r>
      <w:r>
        <w:rPr>
          <w:rFonts w:ascii="仿宋" w:eastAsia="仿宋" w:hint="eastAsia"/>
          <w:color w:val="000000"/>
          <w:sz w:val="32"/>
          <w:szCs w:val="32"/>
        </w:rPr>
        <w:t>、</w:t>
      </w:r>
      <w:r>
        <w:rPr>
          <w:rFonts w:ascii="仿宋" w:eastAsia="仿宋" w:hint="eastAsia"/>
          <w:color w:val="000000"/>
          <w:sz w:val="32"/>
          <w:szCs w:val="32"/>
          <w:lang w:eastAsia="zh-CN"/>
        </w:rPr>
        <w:t>取暖费</w:t>
      </w:r>
      <w:r>
        <w:rPr>
          <w:rFonts w:ascii="仿宋" w:eastAsia="仿宋" w:hint="eastAsia"/>
          <w:color w:val="000000"/>
          <w:sz w:val="32"/>
          <w:szCs w:val="32"/>
          <w:lang w:val="en-US" w:eastAsia="zh-CN"/>
        </w:rPr>
        <w:t>0.5万元、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4。6万元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0万元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4万元、</w:t>
      </w:r>
      <w:r>
        <w:rPr>
          <w:rFonts w:ascii="仿宋" w:eastAsia="仿宋" w:hint="eastAsia"/>
          <w:color w:val="000000"/>
          <w:sz w:val="32"/>
          <w:szCs w:val="32"/>
        </w:rPr>
        <w:t>福利费</w:t>
      </w:r>
      <w:r>
        <w:rPr>
          <w:rFonts w:ascii="仿宋" w:eastAsia="仿宋" w:hint="eastAsia"/>
          <w:color w:val="000000"/>
          <w:sz w:val="32"/>
          <w:szCs w:val="32"/>
          <w:lang w:val="en-US" w:eastAsia="zh-CN"/>
        </w:rPr>
        <w:t>1.5万元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6.98万元、其他交通费3.4万元、其他商品和服务支出0.084万元、办公设备购置0万元、无形资产购置0万元</w:t>
      </w:r>
      <w:r>
        <w:rPr>
          <w:rFonts w:ascii="仿宋" w:eastAsia="仿宋" w:hint="eastAsia"/>
          <w:color w:val="000000"/>
          <w:sz w:val="32"/>
          <w:szCs w:val="32"/>
        </w:rPr>
        <w:t>等。</w:t>
      </w:r>
    </w:p>
    <w:p>
      <w:pPr>
        <w:snapToGrid w:val="0"/>
        <w:spacing w:line="520" w:lineRule="exact"/>
        <w:ind w:firstLineChars="200" w:firstLine="640"/>
        <w:rPr>
          <w:rFonts w:eastAsia="仿宋_GB2312"/>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167.18</w:t>
      </w:r>
      <w:r>
        <w:rPr>
          <w:rFonts w:ascii="仿宋_GB2312" w:eastAsia="仿宋_GB2312" w:hint="eastAsia"/>
          <w:color w:val="000000"/>
          <w:sz w:val="32"/>
          <w:szCs w:val="32"/>
        </w:rPr>
        <w:t>万元，主要包括：人大会议费</w:t>
      </w:r>
      <w:r>
        <w:rPr>
          <w:rFonts w:ascii="仿宋_GB2312" w:eastAsia="仿宋_GB2312" w:hint="eastAsia"/>
          <w:color w:val="000000"/>
          <w:sz w:val="32"/>
          <w:szCs w:val="32"/>
          <w:lang w:val="en-US" w:eastAsia="zh-CN"/>
        </w:rPr>
        <w:t>0.01</w:t>
      </w:r>
      <w:r>
        <w:rPr>
          <w:rFonts w:ascii="仿宋_GB2312" w:eastAsia="仿宋_GB2312" w:hint="eastAsia"/>
          <w:color w:val="000000"/>
          <w:sz w:val="32"/>
          <w:szCs w:val="32"/>
        </w:rPr>
        <w:t xml:space="preserve">万元，  </w:t>
      </w:r>
      <w:r>
        <w:rPr>
          <w:rFonts w:ascii="仿宋_GB2312" w:eastAsia="仿宋_GB2312" w:hint="eastAsia"/>
          <w:color w:val="000000"/>
          <w:sz w:val="32"/>
          <w:szCs w:val="32"/>
          <w:lang w:eastAsia="zh-CN"/>
        </w:rPr>
        <w:t>村级</w:t>
      </w:r>
      <w:r>
        <w:rPr>
          <w:rFonts w:ascii="仿宋_GB2312" w:eastAsia="仿宋_GB2312" w:hint="eastAsia"/>
          <w:color w:val="000000"/>
          <w:sz w:val="32"/>
          <w:szCs w:val="32"/>
        </w:rPr>
        <w:t>办公费、维修维护费、村干部工资及意外险支出</w:t>
      </w:r>
      <w:r>
        <w:rPr>
          <w:rFonts w:ascii="仿宋_GB2312" w:eastAsia="仿宋_GB2312" w:hint="eastAsia"/>
          <w:color w:val="000000"/>
          <w:sz w:val="32"/>
          <w:szCs w:val="32"/>
          <w:lang w:val="en-US" w:eastAsia="zh-CN"/>
        </w:rPr>
        <w:t>144.14</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城乡社区环境卫生维修维护</w:t>
      </w:r>
      <w:r>
        <w:rPr>
          <w:rFonts w:ascii="仿宋_GB2312" w:eastAsia="仿宋_GB2312" w:hint="eastAsia"/>
          <w:color w:val="000000"/>
          <w:sz w:val="32"/>
          <w:szCs w:val="32"/>
          <w:lang w:val="en-US" w:eastAsia="zh-CN"/>
        </w:rPr>
        <w:t>5万元、  劳务费1万元、 其他交通费4万元。  防汛基础设施建设1.3万元。  汛期应急抢险7万元。  三老干部补助、春节慰问金、农民工慰问金4.64万元。</w:t>
      </w:r>
    </w:p>
    <w:p>
      <w:pPr>
        <w:pStyle w:val="26"/>
      </w:pPr>
    </w:p>
    <w:p>
      <w:pPr>
        <w:spacing w:line="600" w:lineRule="exact"/>
        <w:ind w:firstLineChars="200" w:firstLine="640"/>
        <w:outlineLvl w:val="1"/>
        <w:rPr>
          <w:rStyle w:val="2Char"/>
          <w:rFonts w:ascii="黑体" w:eastAsia="黑体"/>
          <w:b w:val="0"/>
        </w:rPr>
      </w:pPr>
      <w:bookmarkStart w:id="40" w:name="_Toc15377215"/>
      <w:bookmarkStart w:id="41"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0"/>
      <w:bookmarkEnd w:id="41"/>
    </w:p>
    <w:p>
      <w:pPr>
        <w:spacing w:line="600" w:lineRule="exact"/>
        <w:ind w:firstLine="640"/>
        <w:outlineLvl w:val="2"/>
        <w:rPr>
          <w:rFonts w:ascii="仿宋" w:eastAsia="仿宋"/>
          <w:b/>
          <w:color w:val="000000"/>
          <w:sz w:val="32"/>
          <w:szCs w:val="32"/>
        </w:rPr>
      </w:pPr>
      <w:bookmarkStart w:id="42" w:name="_Toc15377216"/>
      <w:r>
        <w:rPr>
          <w:rFonts w:ascii="仿宋" w:eastAsia="仿宋" w:hint="eastAsia"/>
          <w:b/>
          <w:color w:val="000000"/>
          <w:sz w:val="32"/>
          <w:szCs w:val="32"/>
        </w:rPr>
        <w:t>（一）“三公”经费财政拨款支出决算总体情况说明</w:t>
      </w:r>
      <w:bookmarkEnd w:id="42"/>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6.98</w:t>
      </w:r>
      <w:r>
        <w:rPr>
          <w:rFonts w:ascii="仿宋" w:eastAsia="仿宋" w:hint="eastAsia"/>
          <w:color w:val="000000"/>
          <w:sz w:val="32"/>
          <w:szCs w:val="32"/>
        </w:rPr>
        <w:t>万元，</w:t>
      </w:r>
      <w:r>
        <w:rPr>
          <w:rFonts w:ascii="仿宋" w:eastAsia="仿宋" w:hint="eastAsia"/>
          <w:color w:val="000000"/>
          <w:sz w:val="32"/>
          <w:szCs w:val="32"/>
          <w:lang w:eastAsia="zh-CN"/>
        </w:rPr>
        <w:t>预算为</w:t>
      </w:r>
      <w:r>
        <w:rPr>
          <w:rFonts w:ascii="仿宋" w:eastAsia="仿宋" w:hint="eastAsia"/>
          <w:color w:val="000000"/>
          <w:sz w:val="32"/>
          <w:szCs w:val="32"/>
          <w:lang w:val="en-US" w:eastAsia="zh-CN"/>
        </w:rPr>
        <w:t>7万元，</w:t>
      </w:r>
      <w:r>
        <w:rPr>
          <w:rFonts w:ascii="仿宋" w:eastAsia="仿宋" w:hint="eastAsia"/>
          <w:color w:val="000000"/>
          <w:sz w:val="32"/>
          <w:szCs w:val="32"/>
        </w:rPr>
        <w:t>完成预算</w:t>
      </w:r>
      <w:r>
        <w:rPr>
          <w:rFonts w:ascii="仿宋" w:eastAsia="仿宋" w:hint="eastAsia"/>
          <w:color w:val="000000"/>
          <w:sz w:val="32"/>
          <w:szCs w:val="32"/>
          <w:lang w:val="en-US" w:eastAsia="zh-CN"/>
        </w:rPr>
        <w:t>99.7</w:t>
      </w:r>
      <w:r>
        <w:rPr>
          <w:rFonts w:ascii="仿宋" w:eastAsia="仿宋"/>
          <w:color w:val="000000"/>
          <w:sz w:val="32"/>
          <w:szCs w:val="32"/>
        </w:rPr>
        <w:t>%</w:t>
      </w:r>
      <w:r>
        <w:rPr>
          <w:rFonts w:ascii="仿宋" w:eastAsia="仿宋" w:hint="eastAsia"/>
          <w:color w:val="000000"/>
          <w:sz w:val="32"/>
          <w:szCs w:val="32"/>
          <w:lang w:eastAsia="zh-CN"/>
        </w:rPr>
        <w:t>，未完成</w:t>
      </w:r>
      <w:r>
        <w:rPr>
          <w:rFonts w:ascii="仿宋" w:eastAsia="仿宋" w:hint="eastAsia"/>
          <w:color w:val="000000"/>
          <w:sz w:val="32"/>
          <w:szCs w:val="32"/>
          <w:lang w:val="en-US" w:eastAsia="zh-CN"/>
        </w:rPr>
        <w:t>的</w:t>
      </w:r>
      <w:r>
        <w:rPr>
          <w:rFonts w:ascii="仿宋" w:eastAsia="仿宋" w:hint="eastAsia"/>
          <w:color w:val="000000"/>
          <w:sz w:val="32"/>
          <w:szCs w:val="32"/>
          <w:lang w:eastAsia="zh-CN"/>
        </w:rPr>
        <w:t>原因：我乡一直本着厉行节约的</w:t>
      </w:r>
      <w:r>
        <w:rPr>
          <w:rFonts w:ascii="仿宋" w:eastAsia="仿宋" w:hint="eastAsia"/>
          <w:color w:val="000000"/>
          <w:sz w:val="32"/>
          <w:szCs w:val="32"/>
          <w:lang w:val="en-US" w:eastAsia="zh-CN"/>
        </w:rPr>
        <w:t>原则。</w:t>
      </w:r>
    </w:p>
    <w:p>
      <w:pPr>
        <w:spacing w:line="600" w:lineRule="exact"/>
        <w:ind w:firstLine="640"/>
        <w:outlineLvl w:val="2"/>
        <w:rPr>
          <w:rFonts w:ascii="仿宋" w:eastAsia="仿宋"/>
          <w:b/>
          <w:color w:val="000000"/>
          <w:sz w:val="32"/>
          <w:szCs w:val="32"/>
        </w:rPr>
      </w:pPr>
      <w:bookmarkStart w:id="43" w:name="_Toc15377217"/>
      <w:r>
        <w:rPr>
          <w:rFonts w:ascii="仿宋" w:eastAsia="仿宋" w:hint="eastAsia"/>
          <w:b/>
          <w:color w:val="000000"/>
          <w:sz w:val="32"/>
          <w:szCs w:val="32"/>
        </w:rPr>
        <w:t>（二）“三公”经费财政拨款支出决算具体情况说明</w:t>
      </w:r>
      <w:bookmarkEnd w:id="43"/>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6.98万元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10</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lang w:eastAsia="zh-CN"/>
        </w:rPr>
        <w:drawing>
          <wp:anchor distT="0" distB="0" distL="114300" distR="114300" simplePos="0" relativeHeight="25" behindDoc="0" locked="0" layoutInCell="1" hidden="0" allowOverlap="1">
            <wp:simplePos x="0" y="0"/>
            <wp:positionH relativeFrom="column">
              <wp:posOffset>239395</wp:posOffset>
            </wp:positionH>
            <wp:positionV relativeFrom="paragraph">
              <wp:posOffset>147320</wp:posOffset>
            </wp:positionV>
            <wp:extent cx="5071109" cy="2591435"/>
            <wp:effectExtent l="0" t="0" r="0" b="0"/>
            <wp:wrapTopAndBottom/>
            <wp:docPr id="6" name="图表 2"/>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3"/>
          <w:rFonts w:ascii="仿宋" w:eastAsia="仿宋" w:hint="eastAsia"/>
          <w:b w:val="0"/>
          <w:bCs/>
          <w:color w:val="000000"/>
          <w:sz w:val="32"/>
          <w:szCs w:val="32"/>
        </w:rPr>
        <w:t>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auto"/>
          <w:sz w:val="32"/>
          <w:szCs w:val="32"/>
        </w:rPr>
        <w:t>全年安排因公出国（境）团组</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次，出国（境）</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人。因</w:t>
      </w:r>
      <w:r>
        <w:rPr>
          <w:rFonts w:ascii="仿宋_GB2312" w:eastAsia="仿宋_GB2312" w:hint="eastAsia"/>
          <w:color w:val="000000"/>
          <w:sz w:val="32"/>
          <w:szCs w:val="32"/>
        </w:rPr>
        <w:t>公出国（境）支出决算</w:t>
      </w:r>
      <w:r>
        <w:rPr>
          <w:rFonts w:ascii="仿宋_GB2312" w:eastAsia="仿宋_GB2312" w:hint="eastAsia"/>
          <w:color w:val="000000"/>
          <w:sz w:val="32"/>
          <w:szCs w:val="32"/>
          <w:lang w:eastAsia="zh-CN"/>
        </w:rPr>
        <w:t>与</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cs="仿宋" w:hint="eastAsia"/>
          <w:color w:val="000000"/>
          <w:sz w:val="32"/>
          <w:szCs w:val="32"/>
          <w:lang w:val="en-US" w:eastAsia="zh-CN"/>
        </w:rPr>
        <w:t>持平。</w:t>
      </w:r>
    </w:p>
    <w:p>
      <w:pPr>
        <w:spacing w:line="600" w:lineRule="exact"/>
        <w:ind w:firstLine="640"/>
        <w:rPr>
          <w:rFonts w:ascii="仿宋_GB2312" w:eastAsia="仿宋_GB2312"/>
          <w:b/>
          <w:color w:val="auto"/>
          <w:sz w:val="32"/>
          <w:szCs w:val="32"/>
          <w:lang w:val="en-US"/>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6.98</w:t>
      </w:r>
      <w:r>
        <w:rPr>
          <w:rFonts w:ascii="仿宋_GB2312" w:eastAsia="仿宋_GB2312" w:hint="eastAsia"/>
          <w:color w:val="000000"/>
          <w:sz w:val="32"/>
          <w:szCs w:val="32"/>
        </w:rPr>
        <w:t>万元,</w:t>
      </w:r>
      <w:r>
        <w:rPr>
          <w:rStyle w:val="23"/>
          <w:rFonts w:ascii="仿宋" w:eastAsia="仿宋" w:hint="eastAsia"/>
          <w:b w:val="0"/>
          <w:bCs/>
          <w:color w:val="000000"/>
          <w:sz w:val="32"/>
          <w:szCs w:val="32"/>
        </w:rPr>
        <w:t>完成预算</w:t>
      </w:r>
      <w:r>
        <w:rPr>
          <w:rStyle w:val="23"/>
          <w:rFonts w:ascii="仿宋" w:eastAsia="仿宋" w:hint="eastAsia"/>
          <w:b w:val="0"/>
          <w:bCs/>
          <w:color w:val="000000"/>
          <w:sz w:val="32"/>
          <w:szCs w:val="32"/>
          <w:lang w:val="en-US" w:eastAsia="zh-CN"/>
        </w:rPr>
        <w:t>99.7</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w:t>
      </w:r>
      <w:r>
        <w:rPr>
          <w:rFonts w:ascii="仿宋_GB2312" w:eastAsia="仿宋_GB2312" w:hint="eastAsia"/>
          <w:color w:val="000000"/>
          <w:sz w:val="32"/>
          <w:szCs w:val="32"/>
          <w:lang w:val="en-US" w:eastAsia="zh-CN"/>
        </w:rPr>
        <w:t>020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增加</w:t>
      </w:r>
      <w:r>
        <w:rPr>
          <w:rFonts w:ascii="仿宋_GB2312" w:eastAsia="仿宋_GB2312" w:hint="eastAsia"/>
          <w:color w:val="000000"/>
          <w:sz w:val="32"/>
          <w:szCs w:val="32"/>
          <w:lang w:val="en-US" w:eastAsia="zh-CN"/>
        </w:rPr>
        <w:t>增加1.66</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,增加</w:t>
      </w:r>
      <w:r>
        <w:rPr>
          <w:rFonts w:ascii="仿宋_GB2312" w:eastAsia="仿宋_GB2312" w:hint="eastAsia"/>
          <w:color w:val="auto"/>
          <w:sz w:val="32"/>
          <w:szCs w:val="32"/>
          <w:lang w:val="en-US" w:eastAsia="zh-CN"/>
        </w:rPr>
        <w:t>31.2</w:t>
      </w:r>
      <w:r>
        <w:rPr>
          <w:rFonts w:ascii="仿宋_GB2312" w:eastAsia="仿宋_GB2312"/>
          <w:color w:val="auto"/>
          <w:sz w:val="32"/>
          <w:szCs w:val="32"/>
        </w:rPr>
        <w:t>%</w:t>
      </w:r>
      <w:r>
        <w:rPr>
          <w:rFonts w:ascii="仿宋_GB2312" w:eastAsia="仿宋_GB2312" w:hint="eastAsia"/>
          <w:color w:val="auto"/>
          <w:sz w:val="32"/>
          <w:szCs w:val="32"/>
        </w:rPr>
        <w:t>。</w:t>
      </w:r>
      <w:r>
        <w:rPr>
          <w:rFonts w:ascii="仿宋_GB2312" w:eastAsia="仿宋_GB2312" w:cs="仿宋" w:hint="eastAsia"/>
          <w:color w:val="000000"/>
          <w:sz w:val="32"/>
          <w:szCs w:val="32"/>
          <w:lang w:val="en-US" w:eastAsia="zh-CN"/>
        </w:rPr>
        <w:t>增加原因我乡2021年新增一辆公务用车，公务用车运行维护费增加。</w:t>
      </w:r>
    </w:p>
    <w:p>
      <w:pPr>
        <w:autoSpaceDE w:val="0"/>
        <w:autoSpaceDN w:val="0"/>
        <w:adjustRightInd w:val="0"/>
        <w:spacing w:line="600" w:lineRule="exact"/>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6.98</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我乡</w:t>
      </w:r>
      <w:r>
        <w:rPr>
          <w:rFonts w:ascii="仿宋_GB2312" w:eastAsia="仿宋_GB2312" w:hint="eastAsia"/>
          <w:color w:val="000000"/>
          <w:sz w:val="32"/>
          <w:szCs w:val="32"/>
        </w:rPr>
        <w:t>所需的公务用车燃料费、维修费、过路过桥费、保险费等支出。</w:t>
      </w:r>
    </w:p>
    <w:p>
      <w:pPr>
        <w:numPr>
          <w:ilvl w:val="0"/>
          <w:numId w:val="3"/>
        </w:numPr>
        <w:spacing w:line="600" w:lineRule="exact"/>
        <w:ind w:left="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3"/>
          <w:rFonts w:ascii="仿宋" w:eastAsia="仿宋" w:hint="eastAsia"/>
          <w:b w:val="0"/>
          <w:bCs/>
          <w:color w:val="000000"/>
          <w:sz w:val="32"/>
          <w:szCs w:val="32"/>
        </w:rPr>
        <w:t>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公务接待费0万元，与上年持平。</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4" w:name="_Toc15396610"/>
      <w:bookmarkStart w:id="45" w:name="_Toc15377218"/>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4"/>
        </w:numPr>
        <w:spacing w:line="600" w:lineRule="exact"/>
        <w:ind w:left="0" w:firstLine="640"/>
        <w:outlineLvl w:val="1"/>
        <w:rPr>
          <w:rStyle w:val="2Char"/>
          <w:rFonts w:ascii="黑体" w:eastAsia="黑体"/>
          <w:b w:val="0"/>
        </w:rPr>
      </w:pPr>
      <w:bookmarkStart w:id="46" w:name="_Toc15396611"/>
      <w:bookmarkStart w:id="47" w:name="_Toc15377219"/>
      <w:r>
        <w:rPr>
          <w:rStyle w:val="2Char"/>
          <w:rFonts w:ascii="黑体" w:eastAsia="黑体" w:hint="eastAsia"/>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30"/>
        <w:numPr>
          <w:ilvl w:val="0"/>
          <w:numId w:val="5"/>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6"/>
        </w:numPr>
        <w:spacing w:line="580" w:lineRule="exact"/>
        <w:ind w:left="407" w:firstLine="643"/>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按要求对20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w:t>
      </w:r>
      <w:r>
        <w:rPr>
          <w:rFonts w:ascii="仿宋_GB2312" w:eastAsia="仿宋_GB2312" w:hint="eastAsia"/>
          <w:sz w:val="32"/>
          <w:szCs w:val="32"/>
          <w:lang w:eastAsia="zh-CN"/>
        </w:rPr>
        <w:t>我乡预算</w:t>
      </w:r>
      <w:r>
        <w:rPr>
          <w:rFonts w:ascii="仿宋_GB2312" w:eastAsia="仿宋_GB2312" w:hint="eastAsia"/>
          <w:sz w:val="32"/>
          <w:szCs w:val="32"/>
        </w:rPr>
        <w:t>支出绩效自评得分</w:t>
      </w:r>
      <w:r>
        <w:rPr>
          <w:rFonts w:ascii="仿宋_GB2312" w:eastAsia="仿宋_GB2312" w:hint="eastAsia"/>
          <w:sz w:val="32"/>
          <w:szCs w:val="32"/>
          <w:lang w:val="en-US" w:eastAsia="zh-CN"/>
        </w:rPr>
        <w:t>85</w:t>
      </w:r>
      <w:r>
        <w:rPr>
          <w:rFonts w:ascii="仿宋_GB2312" w:eastAsia="仿宋_GB2312" w:hint="eastAsia"/>
          <w:color w:val="000000"/>
          <w:sz w:val="32"/>
          <w:szCs w:val="32"/>
        </w:rPr>
        <w:t>分</w:t>
      </w:r>
      <w:r>
        <w:rPr>
          <w:rFonts w:ascii="仿宋_GB2312" w:eastAsia="仿宋_GB2312" w:hint="eastAsia"/>
          <w:sz w:val="32"/>
          <w:szCs w:val="32"/>
        </w:rPr>
        <w:t>。</w:t>
      </w:r>
      <w:r>
        <w:rPr>
          <w:rFonts w:ascii="仿宋_GB2312" w:eastAsia="仿宋_GB2312" w:hint="eastAsia"/>
          <w:sz w:val="32"/>
          <w:szCs w:val="32"/>
          <w:lang w:eastAsia="zh-CN"/>
        </w:rPr>
        <w:t>我乡深入贯彻落实十九大关于“全面实施绩效管理”的要求，努力提升本单位绩效预算管理业务水平。主动公开绩效结果，加大资金使用效率，提升政府管理水平。</w:t>
      </w:r>
      <w:r>
        <w:rPr>
          <w:rFonts w:ascii="仿宋_GB2312" w:eastAsia="仿宋_GB2312" w:cs="仿宋_GB2312" w:hint="eastAsia"/>
          <w:sz w:val="32"/>
          <w:szCs w:val="32"/>
        </w:rPr>
        <w:t>还自行组织了项目绩效评价，从评价情况来看</w:t>
      </w:r>
      <w:r>
        <w:rPr>
          <w:rFonts w:ascii="仿宋_GB2312" w:eastAsia="仿宋_GB2312" w:cs="仿宋_GB2312" w:hint="eastAsia"/>
          <w:sz w:val="32"/>
          <w:szCs w:val="32"/>
          <w:lang w:val="en-US" w:eastAsia="zh-CN"/>
        </w:rPr>
        <w:t>我乡年初预算项目基本按照绩效目标完成支付，有部分项目结转质保金在下年质保期后进行支付。</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hint="eastAsia"/>
          <w:color w:val="000000"/>
          <w:sz w:val="32"/>
          <w:szCs w:val="32"/>
          <w:lang w:eastAsia="zh-CN"/>
        </w:rPr>
        <w:t>城乡社区环境卫生维修维护</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0"/>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eastAsia="zh-CN"/>
              </w:rPr>
              <w:t>城乡社区环境卫生维修维护</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庆宁</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eastAsia="zh-CN"/>
              </w:rPr>
              <w:t>庆宁乡顺利完成城乡社区环境卫生维修维护</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kern w:val="0"/>
                <w:sz w:val="24"/>
                <w:lang w:val="en-US" w:eastAsia="zh-CN"/>
              </w:rPr>
              <w:t>拨付</w:t>
            </w:r>
            <w:r>
              <w:rPr>
                <w:rFonts w:ascii="宋体" w:cs="宋体" w:hint="eastAsia"/>
                <w:color w:val="000000"/>
                <w:kern w:val="0"/>
                <w:sz w:val="24"/>
                <w:lang w:eastAsia="zh-CN"/>
              </w:rPr>
              <w:t>城乡社区环境卫生维修维护费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5万元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5万元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eastAsia="zh-CN"/>
              </w:rPr>
              <w:t>城乡社区环境卫生维修维护费</w:t>
            </w:r>
            <w:r>
              <w:rPr>
                <w:rFonts w:ascii="宋体" w:cs="宋体" w:hint="eastAsia"/>
                <w:color w:val="000000"/>
                <w:sz w:val="24"/>
              </w:rPr>
              <w:t>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eastAsia="zh-CN"/>
              </w:rPr>
              <w:t>城乡社区环境卫生维修维护费</w:t>
            </w:r>
            <w:r>
              <w:rPr>
                <w:rFonts w:ascii="宋体" w:cs="宋体" w:hint="eastAsia"/>
                <w:color w:val="000000"/>
                <w:sz w:val="24"/>
              </w:rPr>
              <w:t>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w:t>
      </w:r>
      <w:r>
        <w:rPr>
          <w:rFonts w:ascii="仿宋_GB2312" w:eastAsia="仿宋_GB2312" w:hint="eastAsia"/>
          <w:color w:val="000000"/>
          <w:sz w:val="32"/>
          <w:szCs w:val="32"/>
          <w:lang w:eastAsia="zh-CN"/>
        </w:rPr>
        <w:t>城乡社区环境卫生</w:t>
      </w:r>
      <w:r>
        <w:rPr>
          <w:rFonts w:ascii="仿宋_GB2312" w:eastAsia="仿宋_GB2312" w:hint="eastAsia"/>
          <w:color w:val="000000"/>
          <w:sz w:val="32"/>
          <w:szCs w:val="32"/>
          <w:lang w:val="en-US" w:eastAsia="zh-CN"/>
        </w:rPr>
        <w:t>劳务费</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0"/>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eastAsia="zh-CN"/>
              </w:rPr>
              <w:t>城乡社区环境卫生</w:t>
            </w:r>
            <w:r>
              <w:rPr>
                <w:rFonts w:ascii="仿宋_GB2312" w:eastAsia="仿宋_GB2312" w:hint="eastAsia"/>
                <w:color w:val="000000"/>
                <w:sz w:val="32"/>
                <w:szCs w:val="32"/>
                <w:lang w:val="en-US" w:eastAsia="zh-CN"/>
              </w:rPr>
              <w:t>劳务费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庆宁</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eastAsia="zh-CN"/>
              </w:rPr>
              <w:t>庆宁乡顺利完成城乡社区环境卫生</w:t>
            </w:r>
            <w:r>
              <w:rPr>
                <w:rFonts w:ascii="仿宋_GB2312" w:eastAsia="仿宋_GB2312" w:hint="eastAsia"/>
                <w:color w:val="000000"/>
                <w:sz w:val="32"/>
                <w:szCs w:val="32"/>
                <w:lang w:val="en-US" w:eastAsia="zh-CN"/>
              </w:rPr>
              <w:t>劳务费</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kern w:val="0"/>
                <w:sz w:val="24"/>
                <w:lang w:val="en-US" w:eastAsia="zh-CN"/>
              </w:rPr>
              <w:t>拨付城乡社区环境卫生劳务费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城乡社区环境卫生劳务费拨付到位及时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98</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w:t>
            </w:r>
            <w:r>
              <w:rPr>
                <w:rFonts w:ascii="宋体" w:cs="宋体" w:hint="eastAsia"/>
                <w:color w:val="000000"/>
                <w:sz w:val="24"/>
                <w:lang w:val="en-US" w:eastAsia="zh-CN"/>
              </w:rPr>
              <w:t>8</w:t>
            </w:r>
            <w:r>
              <w:rPr>
                <w:rFonts w:ascii="宋体" w:cs="宋体" w:hint="eastAsia"/>
                <w:color w:val="000000"/>
                <w:sz w:val="24"/>
              </w:rPr>
              <w:t>%</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城乡社区环境卫生劳务费</w:t>
            </w:r>
            <w:r>
              <w:rPr>
                <w:rFonts w:ascii="宋体" w:cs="宋体" w:hint="eastAsia"/>
                <w:color w:val="000000"/>
                <w:sz w:val="24"/>
              </w:rPr>
              <w:t>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25"/>
        <w:rPr>
          <w:lang w:val="en-US" w:eastAsia="zh-CN"/>
        </w:rPr>
      </w:pP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w:t>
      </w:r>
      <w:r>
        <w:rPr>
          <w:rFonts w:ascii="仿宋_GB2312" w:eastAsia="仿宋_GB2312" w:hint="eastAsia"/>
          <w:color w:val="000000"/>
          <w:sz w:val="32"/>
          <w:szCs w:val="32"/>
          <w:lang w:eastAsia="zh-CN"/>
        </w:rPr>
        <w:t>城乡社区环境卫生</w:t>
      </w:r>
      <w:r>
        <w:rPr>
          <w:rFonts w:ascii="仿宋_GB2312" w:eastAsia="仿宋_GB2312" w:hint="eastAsia"/>
          <w:color w:val="000000"/>
          <w:sz w:val="32"/>
          <w:szCs w:val="32"/>
          <w:lang w:val="en-US" w:eastAsia="zh-CN"/>
        </w:rPr>
        <w:t>其他交通费</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0"/>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eastAsia="zh-CN"/>
              </w:rPr>
              <w:t>城乡社区环境卫生</w:t>
            </w:r>
            <w:r>
              <w:rPr>
                <w:rFonts w:ascii="仿宋_GB2312" w:eastAsia="仿宋_GB2312" w:hint="eastAsia"/>
                <w:color w:val="000000"/>
                <w:sz w:val="32"/>
                <w:szCs w:val="32"/>
                <w:lang w:val="en-US" w:eastAsia="zh-CN"/>
              </w:rPr>
              <w:t>其他交通费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庆宁</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hint="eastAsia"/>
                <w:color w:val="000000"/>
                <w:sz w:val="32"/>
                <w:szCs w:val="32"/>
                <w:lang w:eastAsia="zh-CN"/>
              </w:rPr>
              <w:t>庆宁乡顺利完成城乡社区环境卫生</w:t>
            </w:r>
            <w:r>
              <w:rPr>
                <w:rFonts w:ascii="仿宋_GB2312" w:eastAsia="仿宋_GB2312" w:hint="eastAsia"/>
                <w:color w:val="000000"/>
                <w:sz w:val="32"/>
                <w:szCs w:val="32"/>
                <w:lang w:val="en-US" w:eastAsia="zh-CN"/>
              </w:rPr>
              <w:t>其他交通费</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kern w:val="0"/>
                <w:sz w:val="24"/>
                <w:lang w:val="en-US" w:eastAsia="zh-CN"/>
              </w:rPr>
              <w:t>拨付城乡社区环境卫生其他交通费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4万元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4万元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城乡社区环境卫生其他交通费拨付到位及时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98</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w:t>
            </w:r>
            <w:r>
              <w:rPr>
                <w:rFonts w:ascii="宋体" w:cs="宋体" w:hint="eastAsia"/>
                <w:color w:val="000000"/>
                <w:sz w:val="24"/>
                <w:lang w:val="en-US" w:eastAsia="zh-CN"/>
              </w:rPr>
              <w:t>8</w:t>
            </w:r>
            <w:r>
              <w:rPr>
                <w:rFonts w:ascii="宋体" w:cs="宋体" w:hint="eastAsia"/>
                <w:color w:val="000000"/>
                <w:sz w:val="24"/>
              </w:rPr>
              <w:t>%</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城乡社区环境卫生其他交通费</w:t>
            </w:r>
            <w:r>
              <w:rPr>
                <w:rFonts w:ascii="宋体" w:cs="宋体" w:hint="eastAsia"/>
                <w:color w:val="000000"/>
                <w:sz w:val="24"/>
              </w:rPr>
              <w:t>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25"/>
        <w:rPr>
          <w:lang w:val="en-US" w:eastAsia="zh-CN"/>
        </w:rPr>
      </w:pPr>
    </w:p>
    <w:p>
      <w:pPr>
        <w:spacing w:line="580" w:lineRule="exact"/>
        <w:ind w:left="630"/>
        <w:rPr>
          <w:rFonts w:ascii="仿宋_GB2312" w:eastAsia="仿宋_GB2312" w:cs="仿宋_GB2312"/>
          <w:sz w:val="32"/>
          <w:szCs w:val="32"/>
        </w:rPr>
      </w:pP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hint="eastAsia"/>
          <w:color w:val="000000"/>
          <w:sz w:val="32"/>
          <w:szCs w:val="32"/>
          <w:lang w:val="en-US" w:eastAsia="zh-CN"/>
        </w:rPr>
        <w:t>防汛基础设施建设</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1.3</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1.3</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br/>
            </w: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2021年庆宁乡</w:t>
            </w:r>
            <w:r>
              <w:rPr>
                <w:rFonts w:ascii="仿宋_GB2312" w:eastAsia="仿宋_GB2312" w:hint="eastAsia"/>
                <w:color w:val="000000"/>
                <w:sz w:val="32"/>
                <w:szCs w:val="32"/>
                <w:lang w:val="en-US" w:eastAsia="zh-CN"/>
              </w:rPr>
              <w:t>防汛基础设施建设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庆宁</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1.3</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1.3</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1.3</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1.3</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清理我乡地质灾害点废方</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完成我乡地质灾害点废方清理</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color w:val="000000"/>
                <w:sz w:val="24"/>
                <w:lang w:val="en-US" w:eastAsia="zh-CN"/>
              </w:rPr>
              <w:t>拨防汛基础设施建设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1.3万元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1.3万元</w:t>
            </w:r>
          </w:p>
        </w:tc>
      </w:tr>
      <w:tr>
        <w:trPr>
          <w:trHeight w:val="1042"/>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cs="宋体"/>
                <w:color w:val="000000"/>
                <w:sz w:val="24"/>
              </w:rPr>
            </w:pPr>
            <w:r>
              <w:rPr>
                <w:rFonts w:ascii="宋体" w:cs="宋体" w:hint="eastAsia"/>
                <w:color w:val="000000"/>
                <w:sz w:val="24"/>
              </w:rPr>
              <w:t xml:space="preserve">              清理废方按时完工率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清理废方租赁机械费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1.3</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1.3</w:t>
            </w:r>
            <w:r>
              <w:rPr>
                <w:rFonts w:ascii="宋体" w:cs="宋体" w:hint="eastAsia"/>
                <w:color w:val="000000"/>
                <w:sz w:val="24"/>
              </w:rPr>
              <w:t>万元</w:t>
            </w:r>
          </w:p>
        </w:tc>
      </w:tr>
      <w:tr>
        <w:trPr>
          <w:trHeight w:val="1050"/>
        </w:trPr>
        <w:tc>
          <w:tcPr>
            <w:tcW w:w="390" w:type="dxa"/>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改善交通道路环境、防汛减灾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25"/>
        <w:rPr>
          <w:lang w:val="en-US" w:eastAsia="zh-CN"/>
        </w:rPr>
      </w:pPr>
    </w:p>
    <w:p>
      <w:pPr>
        <w:spacing w:line="580" w:lineRule="exact"/>
        <w:ind w:left="630"/>
        <w:rPr>
          <w:rFonts w:ascii="仿宋_GB2312" w:eastAsia="仿宋_GB2312" w:cs="仿宋_GB2312"/>
          <w:sz w:val="32"/>
          <w:szCs w:val="32"/>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w:t>
      </w:r>
      <w:r>
        <w:rPr>
          <w:rFonts w:ascii="仿宋_GB2312" w:eastAsia="仿宋_GB2312" w:hint="eastAsia"/>
          <w:color w:val="000000"/>
          <w:sz w:val="32"/>
          <w:szCs w:val="32"/>
          <w:lang w:val="en-US" w:eastAsia="zh-CN"/>
        </w:rPr>
        <w:t>汛期应急抢险</w:t>
      </w:r>
      <w:r>
        <w:rPr>
          <w:rFonts w:ascii="仿宋_GB2312" w:eastAsia="仿宋_GB2312" w:cs="仿宋_GB2312" w:hint="eastAsia"/>
          <w:sz w:val="32"/>
          <w:szCs w:val="32"/>
        </w:rPr>
        <w:t>”项目绩效目标完成情况综述。项目全年预算</w:t>
      </w: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br/>
            </w: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2021年庆宁乡</w:t>
            </w:r>
            <w:r>
              <w:rPr>
                <w:rFonts w:ascii="仿宋_GB2312" w:eastAsia="仿宋_GB2312" w:hint="eastAsia"/>
                <w:color w:val="000000"/>
                <w:sz w:val="32"/>
                <w:szCs w:val="32"/>
                <w:lang w:val="en-US" w:eastAsia="zh-CN"/>
              </w:rPr>
              <w:t>汛期应急抢险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庆宁</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w:t>
            </w:r>
            <w:r>
              <w:rPr>
                <w:rFonts w:ascii="宋体" w:cs="宋体" w:hint="eastAsia"/>
                <w:color w:val="000000"/>
                <w:sz w:val="24"/>
              </w:rPr>
              <w:t>万元</w:t>
            </w:r>
          </w:p>
        </w:tc>
      </w:tr>
      <w:tr>
        <w:trPr>
          <w:trHeight w:val="362"/>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清理我乡地质灾害点废方</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完成我乡地质灾害点废方清理</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color w:val="000000"/>
                <w:sz w:val="24"/>
                <w:lang w:val="en-US" w:eastAsia="zh-CN"/>
              </w:rPr>
              <w:t>拨</w:t>
            </w:r>
            <w:r>
              <w:rPr>
                <w:rFonts w:hint="eastAsia"/>
                <w:lang w:val="en-US" w:eastAsia="zh-CN"/>
              </w:rPr>
              <w:t>汛期应急抢险</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7万元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7万元</w:t>
            </w:r>
          </w:p>
        </w:tc>
      </w:tr>
      <w:tr>
        <w:trPr>
          <w:trHeight w:val="1042"/>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cs="宋体"/>
                <w:color w:val="000000"/>
                <w:sz w:val="24"/>
              </w:rPr>
            </w:pPr>
            <w:r>
              <w:rPr>
                <w:rFonts w:ascii="宋体" w:cs="宋体" w:hint="eastAsia"/>
                <w:color w:val="000000"/>
                <w:sz w:val="24"/>
              </w:rPr>
              <w:t xml:space="preserve">              清理废方按时完工率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清理废方租赁机械费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7</w:t>
            </w:r>
            <w:r>
              <w:rPr>
                <w:rFonts w:ascii="宋体" w:cs="宋体" w:hint="eastAsia"/>
                <w:color w:val="000000"/>
                <w:sz w:val="24"/>
              </w:rPr>
              <w:t>万元</w:t>
            </w:r>
          </w:p>
        </w:tc>
      </w:tr>
      <w:tr>
        <w:trPr>
          <w:trHeight w:val="1050"/>
        </w:trPr>
        <w:tc>
          <w:tcPr>
            <w:tcW w:w="390" w:type="dxa"/>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改善交通道路环境、防汛减灾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25"/>
        <w:rPr>
          <w:lang w:val="en-US" w:eastAsia="zh-CN"/>
        </w:rPr>
      </w:pPr>
    </w:p>
    <w:p>
      <w:pPr>
        <w:spacing w:line="240" w:lineRule="auto"/>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lang w:val="en-US" w:eastAsia="zh-CN"/>
        </w:rPr>
        <w:t xml:space="preserve">                                                                                                                                                                     </w:t>
      </w:r>
    </w:p>
    <w:p>
      <w:pPr>
        <w:rPr>
          <w:rFonts w:ascii="Calibri" w:hAnsi="Calibri"/>
        </w:rPr>
      </w:pPr>
    </w:p>
    <w:p>
      <w:pPr>
        <w:spacing w:line="600" w:lineRule="exact"/>
        <w:outlineLvl w:val="1"/>
        <w:rPr>
          <w:rStyle w:val="2Char"/>
          <w:rFonts w:ascii="黑体" w:eastAsia="黑体"/>
        </w:rPr>
      </w:pPr>
      <w:bookmarkStart w:id="48" w:name="_Toc15377221"/>
      <w:bookmarkStart w:id="49" w:name="_Toc15396612"/>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48"/>
      <w:bookmarkEnd w:id="49"/>
    </w:p>
    <w:p>
      <w:pPr>
        <w:spacing w:line="600" w:lineRule="exact"/>
        <w:ind w:firstLineChars="200" w:firstLine="640"/>
        <w:outlineLvl w:val="2"/>
        <w:rPr>
          <w:rFonts w:ascii="仿宋" w:eastAsia="仿宋"/>
          <w:color w:val="000000"/>
          <w:sz w:val="32"/>
          <w:szCs w:val="32"/>
        </w:rPr>
      </w:pPr>
      <w:bookmarkStart w:id="50" w:name="_Toc15377222"/>
      <w:r>
        <w:rPr>
          <w:rFonts w:ascii="仿宋" w:eastAsia="仿宋" w:hint="eastAsia"/>
          <w:b/>
          <w:color w:val="000000"/>
          <w:sz w:val="32"/>
          <w:szCs w:val="32"/>
        </w:rPr>
        <w:t>（一）机关运行经费支出情况</w:t>
      </w:r>
      <w:bookmarkEnd w:id="50"/>
    </w:p>
    <w:p>
      <w:pPr>
        <w:spacing w:line="600" w:lineRule="exact"/>
        <w:ind w:firstLineChars="200" w:firstLine="640"/>
        <w:rPr>
          <w:rFonts w:ascii="仿宋_GB2312" w:eastAsia="仿宋_GB2312" w:hint="eastAsia"/>
          <w:color w:val="auto"/>
          <w:sz w:val="32"/>
          <w:szCs w:val="32"/>
          <w:lang w:val="en-US" w:eastAsia="zh-CN"/>
          <w:highlight w:val="auto"/>
        </w:rPr>
      </w:pP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21</w:t>
      </w:r>
      <w:r>
        <w:rPr>
          <w:rFonts w:ascii="仿宋_GB2312" w:eastAsia="仿宋_GB2312" w:hint="eastAsia"/>
          <w:color w:val="000000"/>
          <w:sz w:val="32"/>
          <w:szCs w:val="32"/>
          <w:highlight w:val="auto"/>
        </w:rPr>
        <w:t>年，</w:t>
      </w:r>
      <w:r>
        <w:rPr>
          <w:rFonts w:ascii="仿宋_GB2312" w:eastAsia="仿宋_GB2312" w:hint="eastAsia"/>
          <w:color w:val="000000"/>
          <w:sz w:val="32"/>
          <w:szCs w:val="32"/>
          <w:lang w:val="en-US" w:eastAsia="zh-CN"/>
          <w:highlight w:val="auto"/>
        </w:rPr>
        <w:t>我乡</w:t>
      </w:r>
      <w:r>
        <w:rPr>
          <w:rFonts w:ascii="仿宋_GB2312" w:eastAsia="仿宋_GB2312" w:hint="eastAsia"/>
          <w:color w:val="000000"/>
          <w:sz w:val="32"/>
          <w:szCs w:val="32"/>
          <w:highlight w:val="auto"/>
        </w:rPr>
        <w:t>运行经费支出</w:t>
      </w:r>
      <w:r>
        <w:rPr>
          <w:rFonts w:ascii="仿宋_GB2312" w:eastAsia="仿宋_GB2312" w:hint="eastAsia"/>
          <w:color w:val="000000"/>
          <w:sz w:val="32"/>
          <w:szCs w:val="32"/>
          <w:lang w:val="en-US" w:eastAsia="zh-CN"/>
          <w:highlight w:val="auto"/>
        </w:rPr>
        <w:t>0</w:t>
      </w:r>
      <w:r>
        <w:rPr>
          <w:rFonts w:ascii="仿宋_GB2312" w:eastAsia="仿宋_GB2312" w:hint="eastAsia"/>
          <w:color w:val="000000"/>
          <w:sz w:val="32"/>
          <w:szCs w:val="32"/>
          <w:highlight w:val="auto"/>
        </w:rPr>
        <w:t>万元</w:t>
      </w:r>
      <w:r>
        <w:rPr>
          <w:rFonts w:ascii="仿宋_GB2312" w:eastAsia="仿宋_GB2312" w:hint="eastAsia"/>
          <w:color w:val="000000"/>
          <w:sz w:val="32"/>
          <w:szCs w:val="32"/>
          <w:lang w:eastAsia="zh-CN"/>
          <w:highlight w:val="auto"/>
        </w:rPr>
        <w:t>与</w:t>
      </w: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20</w:t>
      </w:r>
      <w:r>
        <w:rPr>
          <w:rFonts w:ascii="仿宋_GB2312" w:eastAsia="仿宋_GB2312" w:hint="eastAsia"/>
          <w:color w:val="000000"/>
          <w:sz w:val="32"/>
          <w:szCs w:val="32"/>
          <w:highlight w:val="auto"/>
        </w:rPr>
        <w:t>年</w:t>
      </w:r>
      <w:r>
        <w:rPr>
          <w:rFonts w:ascii="仿宋_GB2312" w:eastAsia="仿宋_GB2312" w:hint="eastAsia"/>
          <w:color w:val="000000"/>
          <w:sz w:val="32"/>
          <w:szCs w:val="32"/>
          <w:lang w:eastAsia="zh-CN"/>
          <w:highlight w:val="auto"/>
        </w:rPr>
        <w:t>持平</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1" w:name="_Toc15377223"/>
      <w:r>
        <w:rPr>
          <w:rFonts w:ascii="仿宋" w:eastAsia="仿宋" w:hint="eastAsia"/>
          <w:b/>
          <w:color w:val="000000"/>
          <w:sz w:val="32"/>
          <w:szCs w:val="32"/>
        </w:rPr>
        <w:t>（二）政府采购支出情况</w:t>
      </w:r>
      <w:bookmarkEnd w:id="51"/>
    </w:p>
    <w:p>
      <w:pPr>
        <w:spacing w:line="600" w:lineRule="exact"/>
        <w:ind w:firstLineChars="200" w:firstLine="640"/>
        <w:rPr>
          <w:rFonts w:ascii="仿宋" w:eastAsia="仿宋"/>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auto"/>
          <w:sz w:val="32"/>
          <w:szCs w:val="32"/>
        </w:rPr>
        <w:t>主要用于</w:t>
      </w:r>
      <w:r>
        <w:rPr>
          <w:rFonts w:ascii="仿宋_GB2312" w:eastAsia="仿宋_GB2312" w:hint="eastAsia"/>
          <w:color w:val="auto"/>
          <w:sz w:val="32"/>
          <w:szCs w:val="32"/>
          <w:lang w:val="en-US" w:eastAsia="zh-CN"/>
        </w:rPr>
        <w:t>办公设备购置、口岸物流办可研报告编制服务费。</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2" w:name="_Toc15377224"/>
      <w:r>
        <w:rPr>
          <w:rFonts w:ascii="仿宋" w:eastAsia="仿宋" w:hint="eastAsia"/>
          <w:b/>
          <w:color w:val="000000"/>
          <w:sz w:val="32"/>
          <w:szCs w:val="32"/>
        </w:rPr>
        <w:t>（三）国有资产占有使用情况</w:t>
      </w:r>
      <w:bookmarkEnd w:id="52"/>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b/>
          <w:color w:val="000000"/>
          <w:sz w:val="32"/>
          <w:szCs w:val="32"/>
          <w:lang w:val="en-US" w:eastAsia="zh-CN"/>
        </w:rPr>
        <w:t xml:space="preserve">    </w:t>
      </w:r>
    </w:p>
    <w:p>
      <w:pPr>
        <w:numPr>
          <w:ilvl w:val="0"/>
          <w:numId w:val="7"/>
        </w:numPr>
        <w:spacing w:line="600" w:lineRule="exact"/>
        <w:ind w:left="0" w:firstLineChars="150" w:firstLine="660"/>
        <w:jc w:val="center"/>
        <w:outlineLvl w:val="0"/>
        <w:rPr>
          <w:rStyle w:val="1Char"/>
          <w:rFonts w:ascii="黑体" w:eastAsia="黑体"/>
          <w:b w:val="0"/>
        </w:rPr>
      </w:pPr>
      <w:bookmarkStart w:id="53" w:name="_Toc15396613"/>
      <w:bookmarkStart w:id="54" w:name="_Toc15377225"/>
      <w:r>
        <w:rPr>
          <w:rFonts w:ascii="黑体" w:eastAsia="黑体" w:hint="eastAsia"/>
          <w:b/>
          <w:color w:val="000000"/>
          <w:sz w:val="44"/>
          <w:szCs w:val="44"/>
        </w:rPr>
        <w:t>名</w:t>
      </w:r>
      <w:r>
        <w:rPr>
          <w:rStyle w:val="1Char"/>
          <w:rFonts w:ascii="黑体" w:eastAsia="黑体" w:hint="eastAsia"/>
          <w:b w:val="0"/>
        </w:rPr>
        <w:t>词解释</w:t>
      </w:r>
      <w:bookmarkEnd w:id="53"/>
      <w:bookmarkEnd w:id="54"/>
    </w:p>
    <w:p>
      <w:pPr>
        <w:pStyle w:val="26"/>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6"/>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6"/>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一般公共服务（类）政府办公厅（室）及相关机构事务（款）一般行政管理事务（项）：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反映行政单位未单独设置顶级科目的其他项目支出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
      <w:pPr>
        <w:pStyle w:val="2"/>
        <w:rPr>
          <w:rStyle w:val="1Char"/>
          <w:rFonts w:ascii="仿宋" w:eastAsia="仿宋" w:hint="eastAsia"/>
          <w:b w:val="0"/>
          <w:bCs w:val="0"/>
          <w:sz w:val="32"/>
          <w:szCs w:val="32"/>
          <w:lang w:val="en-US"/>
        </w:rPr>
      </w:pPr>
      <w:r>
        <w:rPr>
          <w:rStyle w:val="1Char"/>
          <w:rFonts w:ascii="仿宋" w:eastAsia="仿宋" w:hint="eastAsia"/>
          <w:b w:val="0"/>
          <w:bCs w:val="0"/>
          <w:sz w:val="32"/>
          <w:szCs w:val="32"/>
        </w:rPr>
        <w:t>附件1</w:t>
      </w:r>
      <w:r>
        <w:rPr>
          <w:rStyle w:val="1Char"/>
          <w:rFonts w:ascii="仿宋" w:eastAsia="仿宋" w:hint="eastAsia"/>
          <w:b w:val="0"/>
          <w:bCs w:val="0"/>
          <w:sz w:val="32"/>
          <w:szCs w:val="32"/>
          <w:lang w:val="en-US"/>
        </w:rPr>
        <w:t xml:space="preserve"> </w:t>
      </w:r>
    </w:p>
    <w:p>
      <w:pPr>
        <w:rPr>
          <w:lang w:val="en-US"/>
        </w:rPr>
      </w:pPr>
    </w:p>
    <w:p>
      <w:pPr>
        <w:pStyle w:val="15"/>
        <w:rPr>
          <w:rFonts w:ascii="方正小标宋简体" w:eastAsia="方正小标宋简体" w:cs="方正小标宋简体"/>
          <w:b/>
          <w:spacing w:val="34"/>
          <w:kern w:val="2"/>
          <w:sz w:val="44"/>
          <w:szCs w:val="44"/>
          <w:shd w:val="clear" w:color="auto" w:fill="FFFFFF"/>
          <w:lang w:val="en-US" w:eastAsia="zh-CN" w:bidi="ar-SA"/>
        </w:rPr>
      </w:pPr>
      <w:r>
        <w:rPr>
          <w:rFonts w:hint="eastAsia"/>
          <w:lang w:val="en-US" w:eastAsia="zh-CN"/>
        </w:rPr>
        <w:t xml:space="preserve">                 </w:t>
      </w:r>
      <w:r>
        <w:rPr>
          <w:rFonts w:ascii="方正小标宋简体" w:eastAsia="方正小标宋简体" w:cs="方正小标宋简体" w:hint="eastAsia"/>
          <w:b/>
          <w:spacing w:val="34"/>
          <w:kern w:val="2"/>
          <w:sz w:val="44"/>
          <w:szCs w:val="44"/>
          <w:shd w:val="clear" w:color="auto" w:fill="FFFFFF"/>
          <w:lang w:val="en-US" w:eastAsia="zh-CN" w:bidi="ar-SA"/>
        </w:rPr>
        <w:t xml:space="preserve"> 第四部分  附件</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金川县庆宁乡人民政府</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2022年部门整体支出绩效</w:t>
      </w:r>
    </w:p>
    <w:p>
      <w:pPr>
        <w:widowControl/>
        <w:spacing w:line="360" w:lineRule="auto"/>
        <w:contextualSpacing/>
        <w:jc w:val="center"/>
        <w:rPr>
          <w:rFonts w:hint="eastAsia"/>
          <w:sz w:val="13"/>
          <w:szCs w:val="10"/>
        </w:rPr>
      </w:pPr>
      <w:r>
        <w:rPr>
          <w:rFonts w:ascii="方正小标宋简体" w:eastAsia="方正小标宋简体" w:cs="方正小标宋简体" w:hint="eastAsia"/>
          <w:b/>
          <w:spacing w:val="34"/>
          <w:sz w:val="44"/>
          <w:szCs w:val="44"/>
          <w:shd w:val="clear" w:color="auto" w:fill="FFFFFF"/>
        </w:rPr>
        <w:t>评价报告</w:t>
      </w:r>
    </w:p>
    <w:p>
      <w:pPr>
        <w:widowControl/>
        <w:kinsoku w:val="0"/>
        <w:overflowPunct w:val="0"/>
        <w:autoSpaceDE w:val="0"/>
        <w:autoSpaceDN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乡高度重视，庚即成立了绩效评价工作组负责开展2021年财政支出绩效评价。</w:t>
      </w:r>
    </w:p>
    <w:p>
      <w:pPr>
        <w:rPr>
          <w:rFonts w:hint="eastAsia"/>
          <w:lang w:val="zh-CN"/>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48"/>
          <w:lang w:val="zh-CN"/>
        </w:rPr>
      </w:pPr>
      <w:bookmarkStart w:id="55" w:name="_Toc18089"/>
      <w:bookmarkStart w:id="56" w:name="_Toc13478"/>
      <w:bookmarkStart w:id="57" w:name="_Toc20121"/>
      <w:r>
        <w:rPr>
          <w:rFonts w:ascii="黑体" w:eastAsia="黑体" w:cs="黑体" w:hint="eastAsia"/>
          <w:b/>
          <w:bCs/>
          <w:color w:val="000000"/>
          <w:spacing w:val="34"/>
          <w:sz w:val="32"/>
          <w:szCs w:val="48"/>
          <w:lang w:val="zh-CN"/>
        </w:rPr>
        <w:t>一、部门（单位）概况</w:t>
      </w:r>
      <w:bookmarkEnd w:id="55"/>
      <w:bookmarkEnd w:id="56"/>
      <w:bookmarkEnd w:id="57"/>
    </w:p>
    <w:p>
      <w:pPr>
        <w:snapToGrid w:val="0"/>
        <w:spacing w:line="360" w:lineRule="auto"/>
        <w:ind w:firstLineChars="200" w:firstLine="640"/>
        <w:outlineLvl w:val="1"/>
        <w:rPr>
          <w:rFonts w:ascii="仿宋_GB2312" w:eastAsia="仿宋_GB2312" w:hint="eastAsia"/>
          <w:sz w:val="30"/>
          <w:szCs w:val="30"/>
        </w:rPr>
      </w:pPr>
      <w:bookmarkStart w:id="58" w:name="_Toc30120"/>
      <w:r>
        <w:rPr>
          <w:rFonts w:ascii="楷体" w:eastAsia="楷体" w:cs="楷体" w:hint="eastAsia"/>
          <w:b/>
          <w:bCs/>
          <w:sz w:val="32"/>
          <w:szCs w:val="32"/>
        </w:rPr>
        <w:t>（一）机构和人员情况</w:t>
      </w:r>
    </w:p>
    <w:p>
      <w:pPr>
        <w:snapToGrid w:val="0"/>
        <w:ind w:firstLineChars="200" w:firstLine="640"/>
        <w:rPr>
          <w:rFonts w:ascii="仿宋" w:eastAsia="仿宋" w:hint="eastAsia"/>
          <w:color w:val="000000"/>
          <w:sz w:val="32"/>
          <w:szCs w:val="32"/>
        </w:rPr>
      </w:pPr>
      <w:r>
        <w:rPr>
          <w:rFonts w:ascii="仿宋" w:eastAsia="仿宋" w:hint="eastAsia"/>
          <w:color w:val="000000"/>
          <w:sz w:val="32"/>
          <w:szCs w:val="32"/>
        </w:rPr>
        <w:t>1、机构情况：我乡2021年有2个机构，无增减变动。</w:t>
      </w:r>
    </w:p>
    <w:p>
      <w:pPr>
        <w:snapToGrid w:val="0"/>
        <w:spacing w:line="360" w:lineRule="auto"/>
        <w:rPr>
          <w:rFonts w:ascii="仿宋" w:eastAsia="仿宋" w:hint="eastAsia"/>
          <w:color w:val="000000"/>
          <w:sz w:val="32"/>
          <w:szCs w:val="32"/>
        </w:rPr>
      </w:pPr>
      <w:r>
        <w:rPr>
          <w:rFonts w:ascii="仿宋" w:eastAsia="仿宋" w:hint="eastAsia"/>
          <w:color w:val="000000"/>
          <w:sz w:val="32"/>
          <w:szCs w:val="32"/>
        </w:rPr>
        <w:t>　　2、人员情况：我乡2021年年末在职32人，退休5人，遗嘱1人。总编制数32人（其中:行政编制18人，工勤编制2人、事业编制12人）。</w:t>
      </w: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32"/>
          <w:lang w:val="zh-CN"/>
        </w:rPr>
      </w:pPr>
      <w:bookmarkStart w:id="59" w:name="_Toc13280"/>
      <w:bookmarkStart w:id="60" w:name="_Toc14408"/>
      <w:bookmarkStart w:id="61" w:name="_Toc3827"/>
      <w:bookmarkEnd w:id="58"/>
      <w:r>
        <w:rPr>
          <w:rFonts w:ascii="黑体" w:eastAsia="黑体" w:cs="黑体" w:hint="eastAsia"/>
          <w:b/>
          <w:bCs/>
          <w:color w:val="000000"/>
          <w:spacing w:val="34"/>
          <w:sz w:val="32"/>
          <w:szCs w:val="32"/>
          <w:lang w:val="zh-CN"/>
        </w:rPr>
        <w:t>二、部门财政资金收支情况</w:t>
      </w:r>
      <w:bookmarkEnd w:id="59"/>
      <w:bookmarkEnd w:id="60"/>
      <w:bookmarkEnd w:id="61"/>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62" w:name="_Toc912"/>
      <w:r>
        <w:rPr>
          <w:rFonts w:ascii="楷体" w:eastAsia="楷体" w:cs="楷体" w:hint="eastAsia"/>
          <w:b/>
          <w:bCs/>
          <w:color w:val="000000"/>
          <w:spacing w:val="34"/>
          <w:sz w:val="32"/>
          <w:szCs w:val="32"/>
          <w:lang w:val="zh-CN"/>
        </w:rPr>
        <w:t>（一）部门财政资金收入情况</w:t>
      </w:r>
      <w:bookmarkEnd w:id="62"/>
    </w:p>
    <w:p>
      <w:pPr>
        <w:snapToGrid w:val="0"/>
        <w:ind w:firstLineChars="200" w:firstLine="640"/>
        <w:rPr>
          <w:rFonts w:ascii="仿宋" w:eastAsia="仿宋" w:hint="eastAsia"/>
          <w:color w:val="000000"/>
          <w:sz w:val="32"/>
          <w:szCs w:val="32"/>
        </w:rPr>
      </w:pPr>
      <w:r>
        <w:rPr>
          <w:rFonts w:ascii="仿宋" w:eastAsia="仿宋" w:hint="eastAsia"/>
          <w:color w:val="000000"/>
          <w:sz w:val="32"/>
          <w:szCs w:val="32"/>
        </w:rPr>
        <w:t xml:space="preserve">2021年度财政拨款收入773.27万元，上年结转0万元，当年财政拨款收入773.27万元，其他收入 0万元，上年结转收入 0万元。相应安排支出预算773.27万元。 </w:t>
      </w:r>
    </w:p>
    <w:p>
      <w:pPr>
        <w:spacing w:line="600" w:lineRule="exact"/>
        <w:ind w:firstLine="645"/>
        <w:rPr>
          <w:rFonts w:ascii="仿宋" w:eastAsia="仿宋"/>
          <w:color w:val="000000"/>
          <w:sz w:val="32"/>
          <w:szCs w:val="32"/>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br/>
      </w:r>
      <w:r>
        <w:rPr>
          <w:rFonts w:ascii="仿宋_GB2312" w:cs="宋体" w:hAnsi="仿宋_GB2312" w:hint="eastAsia"/>
          <w:color w:val="000000"/>
          <w:spacing w:val="34"/>
          <w:szCs w:val="32"/>
          <w:lang w:val="zh-CN"/>
        </w:rPr>
        <w:t>　</w:t>
      </w:r>
      <w:r>
        <w:rPr>
          <w:rFonts w:ascii="仿宋_GB2312" w:eastAsia="仿宋_GB2312" w:cs="仿宋_GB2312" w:hint="eastAsia"/>
          <w:color w:val="000000"/>
          <w:spacing w:val="34"/>
          <w:sz w:val="32"/>
          <w:szCs w:val="32"/>
          <w:lang w:val="zh-CN"/>
        </w:rPr>
        <w:t xml:space="preserve"> </w:t>
      </w:r>
      <w:r>
        <w:rPr>
          <w:rFonts w:ascii="仿宋" w:eastAsia="仿宋"/>
          <w:color w:val="000000"/>
          <w:sz w:val="32"/>
          <w:szCs w:val="32"/>
        </w:rPr>
        <w:t>20</w:t>
      </w:r>
      <w:r>
        <w:rPr>
          <w:rFonts w:ascii="仿宋" w:eastAsia="仿宋" w:hint="eastAsia"/>
          <w:color w:val="000000"/>
          <w:sz w:val="32"/>
          <w:szCs w:val="32"/>
        </w:rPr>
        <w:t>21年一般公共预算财政拨款基本支出606.1万元，其中：</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人员经费450.97万元，主要包括：基本工资113.26万元、津贴补贴145.95万元、奖金9.61万元、伙食补助费0万元、绩效工资40.2万元，机关事业单位基本养老保险缴费42.29万元、职业年金缴费21.96万元、职工基本医疗保险缴费21.14万元、公务员医疗补助缴费6.59万元、其他社会保障缴费3.27万元、其他工资福利支出0万元、生活补助84.08万元、抚恤金0万元、住房公积金46.70万元、其他对个人和家庭的补助支出0万元、奖励金121.12万元购房补贴1.03万元等。</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　　公用经费32.71万元，主要包括：办公费2.92万元、印刷费5.42万元、手续费0.02万元、水费0万元、电费1万元、邮电费1.5万元、取暖费0.5万元、物业管理费0万元、差旅费4。6万元、因公出国（境）费用0万元、维修（护）费0万元、租赁费0万元、会议费0万元、培训费0万元、公务接待费0万元、劳务费4万元、福利费1.5万元、公务用车运行维护费6.98万元、其他交通费3.4万元、其他商品和服务支出0.084万元、办公设备购置0万元、无形资产购置0万元等。</w:t>
      </w:r>
    </w:p>
    <w:p>
      <w:pPr>
        <w:snapToGrid w:val="0"/>
        <w:spacing w:line="520" w:lineRule="exact"/>
        <w:ind w:firstLineChars="200" w:firstLine="640"/>
        <w:rPr>
          <w:rFonts w:ascii="仿宋" w:eastAsia="仿宋"/>
          <w:color w:val="000000"/>
          <w:sz w:val="32"/>
          <w:szCs w:val="32"/>
        </w:rPr>
      </w:pPr>
      <w:r>
        <w:rPr>
          <w:rFonts w:ascii="仿宋" w:eastAsia="仿宋" w:hint="eastAsia"/>
          <w:color w:val="000000"/>
          <w:sz w:val="32"/>
          <w:szCs w:val="32"/>
        </w:rPr>
        <w:t>项目支出167.18万元，主要包括：人大会议费0.01万元，  村级办公费、维修维护费、村干部工资及意外险支出144.14万元，城乡社区环境卫生维修维护5万元、  劳务费1万元、 其他交通费4万元。  防汛基础设施建设1.3万元。  汛期应急抢险7万元。  三老干部补助、春节慰问金、农民工慰问金4.64万元。</w:t>
      </w:r>
    </w:p>
    <w:p>
      <w:pPr>
        <w:widowControl/>
        <w:wordWrap w:val="0"/>
        <w:topLinePunct/>
        <w:adjustRightInd w:val="0"/>
        <w:snapToGrid w:val="0"/>
        <w:spacing w:line="576" w:lineRule="exact"/>
        <w:ind w:firstLineChars="200" w:firstLine="776"/>
        <w:jc w:val="left"/>
        <w:rPr>
          <w:rFonts w:ascii="仿宋_GB2312" w:eastAsia="仿宋_GB2312" w:cs="仿宋_GB2312" w:hint="eastAsia"/>
          <w:spacing w:val="34"/>
          <w:sz w:val="32"/>
          <w:szCs w:val="32"/>
          <w:lang w:val="zh-CN"/>
        </w:rPr>
      </w:pPr>
    </w:p>
    <w:p>
      <w:pPr>
        <w:widowControl/>
        <w:numPr>
          <w:ilvl w:val="0"/>
          <w:numId w:val="8"/>
        </w:numPr>
        <w:wordWrap w:val="0"/>
        <w:topLinePunct/>
        <w:adjustRightInd w:val="0"/>
        <w:snapToGrid w:val="0"/>
        <w:spacing w:line="576" w:lineRule="exact"/>
        <w:ind w:left="0" w:firstLineChars="200" w:firstLine="640"/>
        <w:jc w:val="left"/>
        <w:outlineLvl w:val="1"/>
        <w:rPr>
          <w:rFonts w:ascii="黑体" w:eastAsia="黑体" w:cs="宋体" w:hint="eastAsia"/>
          <w:color w:val="000000"/>
          <w:kern w:val="0"/>
          <w:sz w:val="32"/>
          <w:szCs w:val="32"/>
          <w:shd w:val="clear" w:color="auto" w:fill="FFFFFF"/>
        </w:rPr>
      </w:pPr>
      <w:bookmarkStart w:id="63" w:name="_Toc9555"/>
      <w:bookmarkStart w:id="64" w:name="_Toc18927"/>
      <w:bookmarkStart w:id="65" w:name="_Toc31292"/>
      <w:r>
        <w:rPr>
          <w:rFonts w:ascii="黑体" w:eastAsia="黑体" w:cs="宋体" w:hint="eastAsia"/>
          <w:color w:val="000000"/>
          <w:kern w:val="0"/>
          <w:sz w:val="32"/>
          <w:szCs w:val="32"/>
          <w:shd w:val="clear" w:color="auto" w:fill="FFFFFF"/>
        </w:rPr>
        <w:t>部门整体预算绩效管理情况</w:t>
      </w:r>
      <w:bookmarkEnd w:id="63"/>
      <w:bookmarkEnd w:id="64"/>
      <w:bookmarkEnd w:id="65"/>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spacing w:val="34"/>
          <w:sz w:val="32"/>
          <w:szCs w:val="32"/>
          <w:lang w:val="zh-CN"/>
        </w:rPr>
      </w:pPr>
      <w:bookmarkStart w:id="66" w:name="_Toc6429"/>
      <w:r>
        <w:rPr>
          <w:rFonts w:ascii="楷体" w:eastAsia="楷体" w:cs="楷体" w:hint="eastAsia"/>
          <w:b/>
          <w:bCs/>
          <w:color w:val="000000"/>
          <w:kern w:val="0"/>
          <w:sz w:val="32"/>
          <w:szCs w:val="32"/>
          <w:shd w:val="clear" w:color="auto" w:fill="FFFFFF"/>
          <w:lang w:val="zh-CN"/>
        </w:rPr>
        <w:t>（一）部门预算管理</w:t>
      </w:r>
      <w:bookmarkEnd w:id="66"/>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kern w:val="0"/>
          <w:sz w:val="32"/>
          <w:szCs w:val="32"/>
          <w:shd w:val="clear" w:color="auto" w:fill="FFFFFF"/>
          <w:lang w:val="zh-CN"/>
        </w:rPr>
      </w:pPr>
      <w:bookmarkStart w:id="67" w:name="_Toc22499"/>
      <w:r>
        <w:rPr>
          <w:rFonts w:ascii="楷体" w:eastAsia="楷体" w:cs="楷体" w:hint="eastAsia"/>
          <w:b/>
          <w:bCs/>
          <w:color w:val="000000"/>
          <w:kern w:val="0"/>
          <w:sz w:val="32"/>
          <w:szCs w:val="32"/>
          <w:shd w:val="clear" w:color="auto" w:fill="FFFFFF"/>
          <w:lang w:val="zh-CN"/>
        </w:rPr>
        <w:t>（二）执行管理情况</w:t>
      </w:r>
      <w:bookmarkEnd w:id="67"/>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color w:val="000000"/>
          <w:sz w:val="32"/>
          <w:szCs w:val="32"/>
        </w:rPr>
        <w:t>20</w:t>
      </w:r>
      <w:r>
        <w:rPr>
          <w:rFonts w:ascii="仿宋" w:eastAsia="仿宋" w:hint="eastAsia"/>
          <w:color w:val="000000"/>
          <w:sz w:val="32"/>
          <w:szCs w:val="32"/>
        </w:rPr>
        <w:t>21年“三公”经费财政拨款支出决算为6.98万元（公务用车运行维护费），完成预算</w:t>
      </w:r>
      <w:r>
        <w:rPr>
          <w:rFonts w:ascii="仿宋" w:eastAsia="仿宋" w:hint="eastAsia"/>
          <w:color w:val="000000"/>
          <w:sz w:val="32"/>
          <w:szCs w:val="32"/>
          <w:lang w:val="en-US" w:eastAsia="zh-CN"/>
        </w:rPr>
        <w:t>99.7</w:t>
      </w:r>
      <w:r>
        <w:rPr>
          <w:rFonts w:ascii="仿宋" w:eastAsia="仿宋"/>
          <w:color w:val="000000"/>
          <w:sz w:val="32"/>
          <w:szCs w:val="32"/>
        </w:rPr>
        <w:t>%</w:t>
      </w:r>
      <w:r>
        <w:rPr>
          <w:rFonts w:ascii="仿宋" w:eastAsia="仿宋" w:hint="eastAsia"/>
          <w:color w:val="000000"/>
          <w:sz w:val="32"/>
          <w:szCs w:val="32"/>
        </w:rPr>
        <w:t>.</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2021年“三公”经费预算6.98万元，其中公务接待费0万元，严格执行厉行节约的要求，认真贯彻落实中央八项规定及省委省政府十项规定要求，严格控制接待规模及接待标准。</w:t>
      </w:r>
    </w:p>
    <w:p>
      <w:pPr>
        <w:widowControl/>
        <w:wordWrap w:val="0"/>
        <w:topLinePunct/>
        <w:adjustRightInd w:val="0"/>
        <w:snapToGrid w:val="0"/>
        <w:ind w:firstLineChars="200" w:firstLine="776"/>
        <w:jc w:val="left"/>
        <w:outlineLvl w:val="2"/>
        <w:rPr>
          <w:rFonts w:ascii="楷体" w:eastAsia="楷体" w:cs="楷体" w:hint="eastAsia"/>
          <w:b/>
          <w:bCs/>
          <w:color w:val="000000"/>
          <w:spacing w:val="34"/>
          <w:sz w:val="32"/>
          <w:szCs w:val="48"/>
          <w:lang w:val="zh-CN"/>
        </w:rPr>
      </w:pPr>
      <w:bookmarkStart w:id="68" w:name="_Toc7445"/>
      <w:r>
        <w:rPr>
          <w:rFonts w:ascii="楷体" w:eastAsia="楷体" w:cs="楷体" w:hint="eastAsia"/>
          <w:b/>
          <w:bCs/>
          <w:color w:val="000000"/>
          <w:spacing w:val="34"/>
          <w:sz w:val="32"/>
          <w:szCs w:val="48"/>
          <w:lang w:val="zh-CN"/>
        </w:rPr>
        <w:t>（三）综合管理情况</w:t>
      </w:r>
      <w:bookmarkEnd w:id="68"/>
    </w:p>
    <w:p>
      <w:pPr>
        <w:widowControl/>
        <w:wordWrap w:val="0"/>
        <w:topLinePunct/>
        <w:adjustRightInd w:val="0"/>
        <w:snapToGrid w:val="0"/>
        <w:spacing w:line="576" w:lineRule="exact"/>
        <w:ind w:firstLineChars="200" w:firstLine="776"/>
        <w:jc w:val="left"/>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2021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9"/>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2021年度我乡债务合计0万元。</w:t>
      </w:r>
    </w:p>
    <w:p>
      <w:pPr>
        <w:widowControl/>
        <w:numPr>
          <w:ilvl w:val="0"/>
          <w:numId w:val="9"/>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xml:space="preserve">2021年度我乡非税收入合计0元，上缴财政0万元。 </w:t>
      </w:r>
    </w:p>
    <w:p>
      <w:pPr>
        <w:widowControl/>
        <w:numPr>
          <w:ilvl w:val="0"/>
          <w:numId w:val="9"/>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我乡已将国有资产纳入资产信息系统管理，并落实专人负责管理维护系统，资产变动已及时把资产变动情况录入系统</w:t>
      </w:r>
    </w:p>
    <w:p>
      <w:pPr>
        <w:widowControl/>
        <w:wordWrap w:val="0"/>
        <w:topLinePunct/>
        <w:adjustRightInd w:val="0"/>
        <w:snapToGrid w:val="0"/>
        <w:spacing w:line="576" w:lineRule="exact"/>
        <w:ind w:left="840"/>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en-US" w:eastAsia="zh-CN"/>
        </w:rPr>
        <w:t>5、</w:t>
      </w:r>
      <w:r>
        <w:rPr>
          <w:rFonts w:ascii="楷体_GB2312" w:eastAsia="楷体_GB2312" w:cs="楷体_GB2312" w:hint="eastAsia"/>
          <w:b/>
          <w:bCs/>
          <w:color w:val="000000"/>
          <w:spacing w:val="34"/>
          <w:sz w:val="32"/>
          <w:szCs w:val="32"/>
          <w:lang w:val="zh-CN"/>
        </w:rPr>
        <w:t>信息公开情况</w:t>
      </w:r>
    </w:p>
    <w:p>
      <w:pPr>
        <w:widowControl/>
        <w:wordWrap w:val="0"/>
        <w:topLinePunct/>
        <w:adjustRightInd w:val="0"/>
        <w:snapToGrid w:val="0"/>
        <w:spacing w:line="576" w:lineRule="exact"/>
        <w:ind w:firstLineChars="200" w:firstLine="776"/>
        <w:jc w:val="left"/>
        <w:rPr>
          <w:rFonts w:ascii="仿宋" w:eastAsia="仿宋" w:hint="eastAsia"/>
          <w:color w:val="000000"/>
          <w:sz w:val="32"/>
          <w:szCs w:val="32"/>
        </w:rPr>
      </w:pPr>
      <w:r>
        <w:rPr>
          <w:rFonts w:ascii="仿宋_GB2312" w:eastAsia="仿宋_GB2312" w:cs="仿宋_GB2312" w:hint="eastAsia"/>
          <w:spacing w:val="34"/>
          <w:sz w:val="32"/>
          <w:szCs w:val="32"/>
          <w:lang w:val="zh-CN"/>
        </w:rPr>
        <w:t xml:space="preserve"> </w:t>
      </w:r>
      <w:r>
        <w:rPr>
          <w:rFonts w:ascii="仿宋" w:eastAsia="仿宋" w:hint="eastAsia"/>
          <w:color w:val="000000"/>
          <w:sz w:val="32"/>
          <w:szCs w:val="32"/>
        </w:rPr>
        <w:t>我乡2021年的预、决算编制说明、“三公”经费预、决算情况；按县财政要求由县财政统一公开，2022年的预算编制说明、“三公”经费预算情况在政府网站上已公开。</w:t>
      </w:r>
    </w:p>
    <w:p>
      <w:pPr>
        <w:numPr>
          <w:ilvl w:val="0"/>
          <w:numId w:val="6"/>
        </w:numPr>
        <w:spacing w:line="560" w:lineRule="exact"/>
        <w:ind w:left="407" w:firstLine="640"/>
        <w:outlineLvl w:val="2"/>
        <w:rPr>
          <w:rFonts w:ascii="楷体_GB2312" w:eastAsia="楷体_GB2312" w:cs="楷体_GB2312" w:hint="eastAsia"/>
          <w:b/>
          <w:bCs/>
          <w:color w:val="000000"/>
          <w:spacing w:val="34"/>
          <w:sz w:val="32"/>
          <w:szCs w:val="48"/>
          <w:lang w:val="zh-CN"/>
        </w:rPr>
      </w:pPr>
      <w:bookmarkStart w:id="69" w:name="_Toc30116"/>
      <w:r>
        <w:rPr>
          <w:rFonts w:ascii="楷体_GB2312" w:eastAsia="楷体_GB2312" w:cs="楷体_GB2312" w:hint="eastAsia"/>
          <w:b/>
          <w:bCs/>
          <w:color w:val="000000"/>
          <w:spacing w:val="34"/>
          <w:sz w:val="32"/>
          <w:szCs w:val="48"/>
          <w:lang w:val="zh-CN"/>
        </w:rPr>
        <w:t>整体绩效 </w:t>
      </w:r>
      <w:bookmarkEnd w:id="69"/>
    </w:p>
    <w:p>
      <w:pPr>
        <w:tabs>
          <w:tab w:val="left" w:pos="0"/>
        </w:tabs>
        <w:spacing w:line="560" w:lineRule="exact"/>
        <w:ind w:firstLineChars="200" w:firstLine="640"/>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widowControl/>
        <w:wordWrap w:val="0"/>
        <w:topLinePunct/>
        <w:adjustRightInd w:val="0"/>
        <w:snapToGrid w:val="0"/>
        <w:spacing w:line="576" w:lineRule="exact"/>
        <w:ind w:firstLineChars="200" w:firstLine="776"/>
        <w:jc w:val="left"/>
        <w:rPr>
          <w:rFonts w:ascii="仿宋_GB2312" w:eastAsia="仿宋_GB2312" w:cs="仿宋_GB2312" w:hint="eastAsia"/>
          <w:spacing w:val="34"/>
          <w:sz w:val="32"/>
          <w:szCs w:val="32"/>
          <w:lang w:val="zh-CN"/>
        </w:rPr>
      </w:pPr>
      <w:r>
        <w:rPr>
          <w:rFonts w:ascii="楷体" w:eastAsia="楷体" w:cs="楷体" w:hint="eastAsia"/>
          <w:b/>
          <w:bCs/>
          <w:color w:val="000000"/>
          <w:spacing w:val="34"/>
          <w:sz w:val="32"/>
          <w:szCs w:val="48"/>
          <w:lang w:val="zh-CN"/>
        </w:rPr>
        <w:t>（二）绩效管理工作开展情况 </w:t>
      </w:r>
      <w:r>
        <w:rPr>
          <w:rFonts w:ascii="仿宋_GB2312" w:cs="宋体" w:hAnsi="仿宋_GB2312" w:hint="eastAsia"/>
          <w:color w:val="000000"/>
          <w:spacing w:val="34"/>
          <w:szCs w:val="32"/>
          <w:lang w:val="zh-CN"/>
        </w:rPr>
        <w:br/>
        <w:t xml:space="preserve">  </w:t>
      </w:r>
      <w:r>
        <w:rPr>
          <w:rFonts w:ascii="仿宋" w:eastAsia="仿宋" w:hint="eastAsia"/>
          <w:color w:val="000000"/>
          <w:sz w:val="32"/>
          <w:szCs w:val="32"/>
        </w:rPr>
        <w:t xml:space="preserve"> 根据金财监绩〔2022〕22号文件要求，我乡对财政资金使用管理情况，按照《关于开展2022年部门整体和项目支出绩效评价工作的通知》认真开展自评工作，撰写部门自评报告。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widowControl/>
        <w:wordWrap w:val="0"/>
        <w:topLinePunct/>
        <w:adjustRightInd w:val="0"/>
        <w:snapToGrid w:val="0"/>
        <w:spacing w:line="576" w:lineRule="exact"/>
        <w:ind w:firstLineChars="200" w:firstLine="776"/>
        <w:jc w:val="left"/>
        <w:outlineLvl w:val="1"/>
        <w:rPr>
          <w:rFonts w:ascii="仿宋_GB2312" w:cs="宋体" w:hAnsi="仿宋_GB2312" w:hint="eastAsia"/>
          <w:color w:val="000000"/>
          <w:spacing w:val="34"/>
          <w:sz w:val="32"/>
          <w:szCs w:val="48"/>
          <w:lang w:val="zh-CN"/>
        </w:rPr>
      </w:pPr>
      <w:bookmarkStart w:id="70" w:name="_Toc11636"/>
      <w:bookmarkStart w:id="71" w:name="_Toc23708"/>
      <w:bookmarkStart w:id="72" w:name="_Toc21502"/>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70"/>
      <w:bookmarkEnd w:id="71"/>
      <w:bookmarkEnd w:id="72"/>
    </w:p>
    <w:p>
      <w:pPr>
        <w:snapToGrid w:val="0"/>
        <w:spacing w:line="560" w:lineRule="exact"/>
        <w:ind w:firstLineChars="200" w:firstLine="640"/>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我乡本次自评总分82。</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我乡2021年部门支出与年初预算基本一致，达到预期绩效目标。但预算编制还需进一步细化，针对我会预算存在的问题，提出以下建议：</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Chars="100" w:firstLine="320"/>
        <w:jc w:val="left"/>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
      <w:pPr>
        <w:pStyle w:val="15"/>
      </w:pPr>
    </w:p>
    <w:p/>
    <w:p>
      <w:pPr>
        <w:pStyle w:val="15"/>
      </w:pPr>
    </w:p>
    <w:p/>
    <w:p>
      <w:pPr>
        <w:pStyle w:val="15"/>
      </w:pPr>
    </w:p>
    <w:p/>
    <w:p>
      <w:pPr>
        <w:pStyle w:val="15"/>
      </w:pPr>
    </w:p>
    <w:p/>
    <w:p>
      <w:pPr>
        <w:pStyle w:val="15"/>
      </w:pPr>
    </w:p>
    <w:p/>
    <w:p>
      <w:pPr>
        <w:pStyle w:val="15"/>
      </w:pPr>
    </w:p>
    <w:p/>
    <w:p>
      <w:pPr>
        <w:pStyle w:val="15"/>
      </w:pPr>
    </w:p>
    <w:p>
      <w:pPr>
        <w:tabs>
          <w:tab w:val="left" w:pos="0"/>
        </w:tabs>
        <w:spacing w:line="600" w:lineRule="exact"/>
        <w:ind w:leftChars="150" w:left="315" w:firstLineChars="600" w:firstLine="2640"/>
        <w:outlineLvl w:val="0"/>
        <w:rPr>
          <w:rStyle w:val="1Char"/>
          <w:rFonts w:ascii="黑体" w:eastAsia="黑体" w:hint="eastAsia"/>
          <w:b w:val="0"/>
        </w:rPr>
      </w:pPr>
      <w:r>
        <w:rPr>
          <w:rStyle w:val="1Char"/>
          <w:rFonts w:ascii="黑体" w:eastAsia="黑体" w:hint="eastAsia"/>
          <w:b w:val="0"/>
          <w:lang w:val="en-US"/>
        </w:rPr>
        <w:t xml:space="preserve">第五部分  </w:t>
      </w:r>
      <w:r>
        <w:rPr>
          <w:rStyle w:val="1Char"/>
          <w:rFonts w:ascii="黑体" w:eastAsia="黑体" w:hint="eastAsia"/>
          <w:b w:val="0"/>
        </w:rPr>
        <w:t>附表</w:t>
      </w:r>
    </w:p>
    <w:p>
      <w:pPr>
        <w:tabs>
          <w:tab w:val="left" w:pos="0"/>
        </w:tabs>
        <w:spacing w:line="600" w:lineRule="exact"/>
        <w:outlineLvl w:val="0"/>
        <w:rPr>
          <w:rFonts w:ascii="仿宋" w:eastAsia="仿宋"/>
          <w:color w:val="000000"/>
        </w:rPr>
      </w:pPr>
      <w:r>
        <w:rPr>
          <w:rFonts w:ascii="仿宋" w:eastAsia="仿宋" w:hint="eastAsia"/>
          <w:b w:val="0"/>
          <w:color w:val="000000"/>
        </w:rPr>
        <w:t>一</w:t>
      </w:r>
      <w:r>
        <w:rPr>
          <w:rStyle w:val="2Char"/>
          <w:rFonts w:ascii="仿宋" w:eastAsia="仿宋" w:hint="eastAsia"/>
          <w:b w:val="0"/>
          <w:bCs w:val="0"/>
        </w:rPr>
        <w:t>、收入支出决算总表</w:t>
      </w:r>
    </w:p>
    <w:p>
      <w:pPr>
        <w:pStyle w:val="2"/>
        <w:rPr>
          <w:rFonts w:ascii="仿宋" w:eastAsia="仿宋"/>
          <w:color w:val="000000"/>
        </w:rPr>
      </w:pPr>
      <w:bookmarkStart w:id="73" w:name="_Toc15396620"/>
      <w:r>
        <w:rPr>
          <w:rFonts w:ascii="仿宋" w:eastAsia="仿宋" w:hint="eastAsia"/>
          <w:b w:val="0"/>
          <w:color w:val="000000"/>
        </w:rPr>
        <w:t>二、收</w:t>
      </w:r>
      <w:r>
        <w:rPr>
          <w:rStyle w:val="2Char"/>
          <w:rFonts w:ascii="仿宋" w:eastAsia="仿宋" w:hint="eastAsia"/>
          <w:b w:val="0"/>
          <w:bCs w:val="0"/>
        </w:rPr>
        <w:t>入总表</w:t>
      </w:r>
      <w:bookmarkEnd w:id="73"/>
    </w:p>
    <w:p>
      <w:pPr>
        <w:pStyle w:val="2"/>
        <w:rPr>
          <w:rFonts w:ascii="仿宋" w:eastAsia="仿宋"/>
          <w:color w:val="000000"/>
        </w:rPr>
      </w:pPr>
      <w:bookmarkStart w:id="74"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74"/>
    </w:p>
    <w:p>
      <w:pPr>
        <w:pStyle w:val="2"/>
        <w:rPr>
          <w:rFonts w:ascii="仿宋" w:eastAsia="仿宋"/>
          <w:b w:val="0"/>
          <w:color w:val="000000"/>
        </w:rPr>
      </w:pPr>
      <w:bookmarkStart w:id="75"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75"/>
    </w:p>
    <w:p>
      <w:pPr>
        <w:pStyle w:val="2"/>
        <w:rPr>
          <w:rFonts w:ascii="仿宋" w:eastAsia="仿宋"/>
          <w:color w:val="000000"/>
        </w:rPr>
      </w:pPr>
      <w:bookmarkStart w:id="76"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76"/>
    </w:p>
    <w:p>
      <w:pPr>
        <w:pStyle w:val="2"/>
        <w:rPr>
          <w:rFonts w:ascii="仿宋" w:eastAsia="仿宋"/>
          <w:color w:val="000000"/>
        </w:rPr>
      </w:pPr>
      <w:bookmarkStart w:id="77"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77"/>
    </w:p>
    <w:p>
      <w:pPr>
        <w:pStyle w:val="2"/>
        <w:rPr>
          <w:rFonts w:ascii="仿宋" w:eastAsia="仿宋"/>
          <w:color w:val="000000"/>
        </w:rPr>
      </w:pPr>
      <w:bookmarkStart w:id="78"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78"/>
    </w:p>
    <w:p>
      <w:pPr>
        <w:pStyle w:val="2"/>
        <w:rPr>
          <w:rFonts w:ascii="仿宋" w:eastAsia="仿宋"/>
          <w:color w:val="000000"/>
        </w:rPr>
      </w:pPr>
      <w:bookmarkStart w:id="79"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79"/>
    </w:p>
    <w:p>
      <w:pPr>
        <w:pStyle w:val="2"/>
        <w:rPr>
          <w:rFonts w:ascii="仿宋" w:eastAsia="仿宋"/>
          <w:color w:val="000000"/>
        </w:rPr>
      </w:pPr>
      <w:bookmarkStart w:id="80"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80"/>
    </w:p>
    <w:p>
      <w:pPr>
        <w:pStyle w:val="2"/>
        <w:rPr>
          <w:rFonts w:ascii="仿宋" w:eastAsia="仿宋"/>
          <w:color w:val="000000"/>
        </w:rPr>
      </w:pPr>
      <w:bookmarkStart w:id="81"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81"/>
    </w:p>
    <w:p>
      <w:pPr>
        <w:pStyle w:val="2"/>
        <w:rPr>
          <w:rFonts w:ascii="仿宋" w:eastAsia="仿宋"/>
          <w:color w:val="000000"/>
        </w:rPr>
      </w:pPr>
      <w:bookmarkStart w:id="82"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82"/>
    </w:p>
    <w:p>
      <w:pPr>
        <w:pStyle w:val="2"/>
        <w:rPr>
          <w:rFonts w:ascii="仿宋" w:eastAsia="仿宋"/>
          <w:color w:val="000000"/>
        </w:rPr>
      </w:pPr>
      <w:bookmarkStart w:id="83"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83"/>
    </w:p>
    <w:p>
      <w:pPr>
        <w:pStyle w:val="2"/>
        <w:rPr>
          <w:rFonts w:ascii="仿宋" w:eastAsia="仿宋"/>
          <w:color w:val="000000"/>
        </w:rPr>
      </w:pPr>
      <w:bookmarkStart w:id="84"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84"/>
    </w:p>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AFF" w:usb1="C0007841" w:usb2="00000009" w:usb3="00000000" w:csb0="400001FF" w:csb1="FFFF0000"/>
  </w:font>
  <w:font w:name="仿宋_GB2312">
    <w:panose1 w:val="02010609030101010101"/>
    <w:charset w:val="86"/>
    <w:family w:val="decorative"/>
    <w:pitch w:val="variable"/>
    <w:sig w:usb0="00000001" w:usb1="080E0000" w:usb2="00000000" w:usb3="00000000" w:csb0="00040000" w:csb1="00000000"/>
  </w:font>
  <w:font w:name="楷体">
    <w:altName w:val="楷体_GB2312"/>
    <w:panose1 w:val="02010609060101010101"/>
    <w:charset w:val="86"/>
    <w:family w:val="auto"/>
    <w:pitch w:val="variable"/>
    <w:sig w:usb0="800002BF" w:usb1="38CF7CFA" w:usb2="00000016" w:usb3="00000000" w:csb0="00040001" w:csb1="00000000"/>
  </w:font>
  <w:font w:name="楷体_GB2312">
    <w:panose1 w:val="02010609030101010101"/>
    <w:charset w:val="86"/>
    <w:family w:val="decorative"/>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Cambria">
    <w:altName w:val="DejaVu Sans"/>
    <w:panose1 w:val="02040503050406030204"/>
    <w:charset w:val="00"/>
    <w:family w:val="moder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62313630"/>
      <w:docPartList>
        <w:docPartGallery w:val="autotext"/>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8C11114"/>
    <w:multiLevelType w:val="singleLevel"/>
    <w:tmpl w:val="88C11114"/>
    <w:lvl w:ilvl="0">
      <w:start w:val="1"/>
      <w:numFmt w:val="chineseCounting"/>
      <w:lvlRestart w:val="0"/>
      <w:suff w:val="nothing"/>
      <w:lvlText w:val="%1、"/>
      <w:lvlJc w:val="left"/>
      <w:pPr>
        <w:tabs>
          <w:tab w:val="num" w:pos="0"/>
        </w:tabs>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78D72DD4"/>
    <w:multiLevelType w:val="singleLevel"/>
    <w:tmpl w:val="78D72DD4"/>
    <w:lvl w:ilvl="0">
      <w:start w:val="3"/>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5">
    <w:nsid w:val="EC0BEF30"/>
    <w:multiLevelType w:val="singleLevel"/>
    <w:tmpl w:val="EC0BEF30"/>
    <w:lvl w:ilvl="0">
      <w:start w:val="1"/>
      <w:numFmt w:val="chineseCounting"/>
      <w:lvlRestart w:val="0"/>
      <w:suff w:val="nothing"/>
      <w:lvlText w:val="（%1）"/>
      <w:lvlJc w:val="left"/>
      <w:pPr>
        <w:tabs>
          <w:tab w:val="num" w:pos="0"/>
        </w:tabs>
        <w:ind w:left="407" w:hanging="0"/>
      </w:pPr>
      <w:rPr>
        <w:rFonts w:ascii="楷体_GB2312" w:hAnsi="楷体_GB2312" w:eastAsia="楷体_GB2312" w:cs="楷体_GB2312" w:hint="eastAsia"/>
        <w:b/>
        <w:bCs/>
        <w:sz w:val="32"/>
        <w:szCs w:val="32"/>
      </w:rPr>
    </w:lvl>
  </w:abstractNum>
  <w:abstractNum w:abstractNumId="6">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7">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8">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DE5NDQ2Yzg4ZmIyZGYzZTFkYWUyNjEyOTU5YWIxY2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paragraph" w:customStyle="1" w:styleId="25">
    <w:name w:val="table of figures"/>
    <w:basedOn w:val="0"/>
    <w:next w:val="0"/>
    <w:pPr>
      <w:spacing w:before="100" w:beforeAutospacing="1" w:after="100" w:afterAutospacing="1"/>
      <w:ind w:leftChars="200" w:left="400" w:hangingChars="200" w:hanging="200"/>
    </w:pPr>
  </w:style>
  <w:style w:type="paragraph" w:customStyle="1" w:styleId="26">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List Paragraph"/>
    <w:basedOn w:val="0"/>
    <w:pPr>
      <w:ind w:firstLineChars="200" w:firstLine="200"/>
    </w:pPr>
  </w:style>
  <w:style w:type="paragraph" w:customStyle="1" w:styleId="31">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收入支出对比表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4F81BD"/>
            </a:solidFill>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2021年</c:v>
              </c:pt>
            </c:strLit>
          </c:cat>
          <c:val>
            <c:numRef>
              <c:f/>
              <c:numCache>
                <c:formatCode>General</c:formatCode>
                <c:ptCount val="2"/>
                <c:pt idx="0">
                  <c:v>639.8</c:v>
                </c:pt>
                <c:pt idx="1">
                  <c:v>773.27</c:v>
                </c:pt>
              </c:numCache>
            </c:numRef>
          </c:val>
        </c:ser>
        <c:ser>
          <c:idx val="1"/>
          <c:order val="1"/>
          <c:spPr>
            <a:solidFill>
              <a:srgbClr val="C0504D"/>
            </a:solidFill>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2021年</c:v>
              </c:pt>
            </c:strLit>
          </c:cat>
          <c:val>
            <c:numRef>
              <c:f/>
              <c:numCache>
                <c:formatCode>General</c:formatCode>
                <c:ptCount val="2"/>
                <c:pt idx="0">
                  <c:v>597.53</c:v>
                </c:pt>
                <c:pt idx="1">
                  <c:v>773.27</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c:spPr>
          <c:dPt>
            <c:idx val="0"/>
            <c:bubble3D val="0"/>
            <c:explosion val="0"/>
            <c:spPr>
              <a:solidFill>
                <a:srgbClr val="4F81BD"/>
              </a:solidFill>
              <a:ln>
                <a:noFill/>
              </a:ln>
            </c:spPr>
          </c:dPt>
          <c:dPt>
            <c:idx val="1"/>
            <c:bubble3D val="0"/>
            <c:explosion val="0"/>
            <c:spPr>
              <a:solidFill>
                <a:srgbClr val="C0504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167.18</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606.09</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474.26</c:v>
                </c:pt>
                <c:pt idx="1">
                  <c:v>773.6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财政拨款收、支出决算变动表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4F81BD"/>
            </a:solidFill>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2021年</c:v>
              </c:pt>
            </c:strLit>
          </c:cat>
          <c:val>
            <c:numRef>
              <c:f/>
              <c:numCache>
                <c:formatCode>General</c:formatCode>
                <c:ptCount val="2"/>
                <c:pt idx="0">
                  <c:v>639.8</c:v>
                </c:pt>
                <c:pt idx="1">
                  <c:v>773.27</c:v>
                </c:pt>
              </c:numCache>
            </c:numRef>
          </c:val>
        </c:ser>
        <c:ser>
          <c:idx val="1"/>
          <c:order val="1"/>
          <c:spPr>
            <a:solidFill>
              <a:srgbClr val="C0504D"/>
            </a:solidFill>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2021年</c:v>
              </c:pt>
            </c:strLit>
          </c:cat>
          <c:val>
            <c:numRef>
              <c:f/>
              <c:numCache>
                <c:formatCode>General</c:formatCode>
                <c:ptCount val="2"/>
                <c:pt idx="0">
                  <c:v>597.53</c:v>
                </c:pt>
                <c:pt idx="1">
                  <c:v>773.27</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639.8</a:t>
                    </a:r>
                  </a:p>
                </c:rich>
              </c:tx>
              <c:showLegendKey val="0"/>
              <c:showVal val="1"/>
              <c:showCatName val="0"/>
              <c:showSerName val="0"/>
              <c:showPercent val="0"/>
              <c:showBubbleSize val="0"/>
            </c:dLbl>
            <c:dLbl>
              <c:idx val="1"/>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delete val="1"/>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2021年</c:v>
                </c:pt>
                <c:pt idx="1">
                  <c:v>2020年</c:v>
                </c:pt>
              </c:strCache>
            </c:strRef>
          </c:cat>
          <c:val>
            <c:numRef>
              <c:f>'Sheet1 (5)'!$B$2:$B$3</c:f>
              <c:numCache>
                <c:formatCode>General</c:formatCode>
                <c:ptCount val="2"/>
                <c:pt idx="0">
                  <c:v>1247.86</c:v>
                </c:pt>
                <c:pt idx="1">
                  <c:v>664.12</c:v>
                </c:pt>
              </c:numCache>
            </c:numRef>
          </c:val>
        </c:ser>
        <c:overlap val="-27"/>
        <c:gapWidth val="219"/>
        <c:axId val="0"/>
        <c:axId val="1"/>
      </c:barChart>
      <c:catAx>
        <c:axId val="0"/>
        <c:scaling>
          <c:orientation val="minMax"/>
        </c:scaling>
        <c:delete val="0"/>
        <c:axPos val="b"/>
        <c:numFmt formatCode="General" sourceLinked="1"/>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1400.0"/>
        </c:scaling>
        <c:delete val="0"/>
        <c:axPos val="l"/>
        <c:majorGridlines>
          <c:spPr>
            <a:ln w="6350">
              <a:solidFill>
                <a:srgbClr val="808080"/>
              </a:solidFill>
              <a:prstDash val="solid"/>
            </a:ln>
          </c:spPr>
        </c:majorGridlines>
        <c:numFmt formatCode="General" sourceLinked="1"/>
        <c:majorTickMark val="out"/>
        <c:minorTickMark val="none"/>
        <c:tickLblPos val="nextTo"/>
        <c:spPr>
          <a:ln w="6350">
            <a:solidFill>
              <a:srgbClr val="808080"/>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c:spPr>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Pt>
            <c:idx val="3"/>
            <c:bubble3D val="0"/>
            <c:explosion val="0"/>
            <c:spPr>
              <a:solidFill>
                <a:srgbClr val="8064A2"/>
              </a:solidFill>
              <a:ln w="19050">
                <a:solidFill>
                  <a:srgbClr val="FFFFFF"/>
                </a:solidFill>
                <a:prstDash val="solid"/>
              </a:ln>
            </c:spPr>
          </c:dPt>
          <c:dPt>
            <c:idx val="4"/>
            <c:bubble3D val="0"/>
            <c:explosion val="0"/>
            <c:spPr>
              <a:solidFill>
                <a:srgbClr val="4F81BD"/>
              </a:solidFill>
              <a:ln>
                <a:noFill/>
              </a:ln>
            </c:spPr>
          </c:dPt>
          <c:dPt>
            <c:idx val="5"/>
            <c:bubble3D val="0"/>
            <c:explosion val="0"/>
            <c:spPr>
              <a:solidFill>
                <a:srgbClr val="4F81BD"/>
              </a:solidFill>
              <a:ln>
                <a:noFill/>
              </a:ln>
            </c:spPr>
          </c:dPt>
          <c:dPt>
            <c:idx val="6"/>
            <c:bubble3D val="0"/>
            <c:explosion val="0"/>
            <c:spPr>
              <a:solidFill>
                <a:srgbClr val="4F81BD"/>
              </a:solidFill>
              <a:ln>
                <a:noFill/>
              </a:ln>
            </c:spPr>
          </c:dPt>
          <c:dPt>
            <c:idx val="7"/>
            <c:bubble3D val="0"/>
            <c:explosion val="0"/>
            <c:spPr>
              <a:solidFill>
                <a:srgbClr val="4F81BD"/>
              </a:solidFill>
              <a:ln>
                <a:noFill/>
              </a:ln>
            </c:spPr>
          </c:dPt>
          <c:dPt>
            <c:idx val="8"/>
            <c:bubble3D val="0"/>
            <c:explosion val="0"/>
            <c:spPr>
              <a:solidFill>
                <a:srgbClr val="4F81BD"/>
              </a:solidFill>
              <a:ln>
                <a:noFill/>
              </a:ln>
            </c:spPr>
          </c:dPt>
          <c:dPt>
            <c:idx val="9"/>
            <c:bubble3D val="0"/>
            <c:explosion val="0"/>
            <c:spPr>
              <a:solidFill>
                <a:srgbClr val="4F81BD"/>
              </a:solidFill>
              <a:ln>
                <a:noFill/>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(6)'!$A$2:$A$11</c:f>
              <c:strCache>
                <c:ptCount val="10"/>
                <c:pt idx="0">
                  <c:v>一般公共服务</c:v>
                </c:pt>
                <c:pt idx="1">
                  <c:v>社会保障和就业</c:v>
                </c:pt>
                <c:pt idx="2">
                  <c:v>医疗卫生支出</c:v>
                </c:pt>
                <c:pt idx="3">
                  <c:v>住房保障</c:v>
                </c:pt>
                <c:pt idx="4">
                  <c:v>农林水</c:v>
                </c:pt>
                <c:pt idx="5">
                  <c:v>其他支出</c:v>
                </c:pt>
                <c:pt idx="6">
                  <c:v>文化体育与传媒</c:v>
                </c:pt>
                <c:pt idx="7">
                  <c:v>城乡社区</c:v>
                </c:pt>
                <c:pt idx="8">
                  <c:v>灾害防治与应急管理</c:v>
                </c:pt>
              </c:strCache>
            </c:strRef>
          </c:cat>
          <c:val>
            <c:numRef>
              <c:f>'Sheet1 (6)'!$B$2:$B$11</c:f>
              <c:numCache>
                <c:formatCode>General</c:formatCode>
                <c:ptCount val="10"/>
                <c:pt idx="0">
                  <c:v>347.95</c:v>
                </c:pt>
                <c:pt idx="1">
                  <c:v>64.25</c:v>
                </c:pt>
                <c:pt idx="2">
                  <c:v>0.0</c:v>
                </c:pt>
                <c:pt idx="3">
                  <c:v>47.73</c:v>
                </c:pt>
                <c:pt idx="4">
                  <c:v>263.97</c:v>
                </c:pt>
                <c:pt idx="5">
                  <c:v>4.64</c:v>
                </c:pt>
                <c:pt idx="6">
                  <c:v>3.85</c:v>
                </c:pt>
                <c:pt idx="7">
                  <c:v>10.0</c:v>
                </c:pt>
                <c:pt idx="8">
                  <c:v>7.0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6.98</a:t>
                    </a:r>
                  </a:p>
                </c:rich>
              </c:tx>
              <c:showLegendKey val="0"/>
              <c:showVal val="1"/>
              <c:showCatName val="0"/>
              <c:showSerName val="0"/>
              <c:showPercent val="0"/>
              <c:showBubbleSize val="0"/>
            </c:dLbl>
            <c:dLbl>
              <c:idx val="2"/>
              <c:layout>
                <c:manualLayout>
                  <c:x val="-0.07035216"/>
                  <c:y val="0.0052022664"/>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10.0</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7</TotalTime>
  <Application>Yozo_Office27021597764231179</Application>
  <Pages>34</Pages>
  <Words>10869</Words>
  <Characters>11863</Characters>
  <Lines>954</Lines>
  <Paragraphs>451</Paragraphs>
  <CharactersWithSpaces>12256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2022-08-31T02:43:59Z</cp:lastPrinted>
  <dcterms:created xsi:type="dcterms:W3CDTF">2019-08-01T01:14:00Z</dcterms:created>
  <dcterms:modified xsi:type="dcterms:W3CDTF">2022-08-31T02:53:44Z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C386C3B325224AC8BB273BAE185A4389</vt:lpwstr>
  </property>
</Properties>
</file>