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bookmarkEnd w:id="0"/>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72"/>
          <w:szCs w:val="72"/>
        </w:rPr>
      </w:pPr>
    </w:p>
    <w:p>
      <w:pPr>
        <w:widowControl/>
        <w:jc w:val="center"/>
        <w:rPr>
          <w:rFonts w:ascii="方正小标宋简体" w:eastAsia="方正小标宋简体"/>
          <w:color w:val="000000"/>
          <w:sz w:val="72"/>
          <w:szCs w:val="72"/>
        </w:rPr>
      </w:pPr>
      <w:r>
        <w:rPr>
          <w:rFonts w:hint="eastAsia" w:ascii="方正小标宋简体" w:eastAsia="方正小标宋简体"/>
          <w:color w:val="000000"/>
          <w:sz w:val="72"/>
          <w:szCs w:val="72"/>
        </w:rPr>
        <w:t>2020年度</w:t>
      </w:r>
    </w:p>
    <w:p>
      <w:pPr>
        <w:widowControl/>
        <w:jc w:val="center"/>
        <w:rPr>
          <w:rFonts w:ascii="方正小标宋简体" w:eastAsia="方正小标宋简体"/>
          <w:color w:val="000000"/>
          <w:sz w:val="72"/>
          <w:szCs w:val="72"/>
        </w:rPr>
      </w:pPr>
      <w:r>
        <w:rPr>
          <w:rFonts w:hint="eastAsia" w:ascii="方正小标宋简体" w:eastAsia="方正小标宋简体"/>
          <w:color w:val="000000"/>
          <w:sz w:val="72"/>
          <w:szCs w:val="72"/>
        </w:rPr>
        <w:t>金川县庆宁乡人民政府  部门决算</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1"/>
        <w:tabs>
          <w:tab w:val="right" w:leader="dot" w:pos="8306"/>
          <w:tab w:val="clear" w:pos="8296"/>
        </w:tabs>
        <w:spacing w:line="900" w:lineRule="exact"/>
      </w:pPr>
      <w:r>
        <w:rPr>
          <w:rFonts w:ascii="黑体" w:eastAsia="黑体"/>
          <w:color w:val="000000"/>
        </w:rPr>
        <w:fldChar w:fldCharType="begin"/>
      </w:r>
      <w:r>
        <w:rPr>
          <w:rFonts w:ascii="黑体" w:eastAsia="黑体"/>
          <w:color w:val="000000"/>
        </w:rPr>
        <w:instrText xml:space="preserve"> TOC \o "1-2" \h \z \u </w:instrText>
      </w:r>
      <w:r>
        <w:rPr>
          <w:rFonts w:ascii="黑体" w:eastAsia="黑体"/>
          <w:color w:val="000000"/>
        </w:rPr>
        <w:fldChar w:fldCharType="separate"/>
      </w:r>
    </w:p>
    <w:p>
      <w:pPr>
        <w:pStyle w:val="12"/>
        <w:tabs>
          <w:tab w:val="right" w:leader="dot" w:pos="8306"/>
          <w:tab w:val="clear" w:pos="8296"/>
        </w:tabs>
        <w:spacing w:line="900" w:lineRule="exact"/>
        <w:ind w:left="420"/>
        <w:rPr>
          <w:sz w:val="28"/>
          <w:szCs w:val="28"/>
        </w:rPr>
      </w:pPr>
      <w:r>
        <w:fldChar w:fldCharType="begin"/>
      </w:r>
      <w:r>
        <w:instrText xml:space="preserve"> HYPERLINK \l "_Toc14324" </w:instrText>
      </w:r>
      <w:r>
        <w:fldChar w:fldCharType="separate"/>
      </w:r>
      <w:r>
        <w:rPr>
          <w:rFonts w:hint="eastAsia" w:ascii="黑体" w:eastAsia="黑体"/>
          <w:sz w:val="28"/>
          <w:szCs w:val="28"/>
        </w:rPr>
        <w:t>一、基本职能及主要工作</w:t>
      </w:r>
      <w:r>
        <w:rPr>
          <w:sz w:val="28"/>
          <w:szCs w:val="28"/>
        </w:rPr>
        <w:tab/>
      </w:r>
      <w:r>
        <w:rPr>
          <w:sz w:val="28"/>
          <w:szCs w:val="28"/>
        </w:rPr>
        <w:fldChar w:fldCharType="begin"/>
      </w:r>
      <w:r>
        <w:rPr>
          <w:sz w:val="28"/>
          <w:szCs w:val="28"/>
        </w:rPr>
        <w:instrText xml:space="preserve"> PAGEREF _Toc14324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12"/>
        <w:tabs>
          <w:tab w:val="right" w:leader="dot" w:pos="8306"/>
          <w:tab w:val="clear" w:pos="8296"/>
        </w:tabs>
        <w:spacing w:line="900" w:lineRule="exact"/>
        <w:ind w:left="420"/>
        <w:rPr>
          <w:sz w:val="28"/>
          <w:szCs w:val="28"/>
        </w:rPr>
      </w:pPr>
      <w:r>
        <w:fldChar w:fldCharType="begin"/>
      </w:r>
      <w:r>
        <w:instrText xml:space="preserve"> HYPERLINK \l "_Toc14389" </w:instrText>
      </w:r>
      <w:r>
        <w:fldChar w:fldCharType="separate"/>
      </w:r>
      <w:r>
        <w:rPr>
          <w:rFonts w:hint="eastAsia" w:ascii="黑体" w:eastAsia="黑体"/>
          <w:sz w:val="28"/>
          <w:szCs w:val="28"/>
        </w:rPr>
        <w:t>二、机构设置</w:t>
      </w:r>
      <w:r>
        <w:rPr>
          <w:sz w:val="28"/>
          <w:szCs w:val="28"/>
        </w:rPr>
        <w:tab/>
      </w:r>
      <w:r>
        <w:rPr>
          <w:sz w:val="28"/>
          <w:szCs w:val="28"/>
        </w:rPr>
        <w:fldChar w:fldCharType="begin"/>
      </w:r>
      <w:r>
        <w:rPr>
          <w:sz w:val="28"/>
          <w:szCs w:val="28"/>
        </w:rPr>
        <w:instrText xml:space="preserve"> PAGEREF _Toc14389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11"/>
        <w:tabs>
          <w:tab w:val="right" w:leader="dot" w:pos="8306"/>
          <w:tab w:val="clear" w:pos="8296"/>
        </w:tabs>
        <w:spacing w:line="900" w:lineRule="exact"/>
      </w:pPr>
      <w:r>
        <w:fldChar w:fldCharType="begin"/>
      </w:r>
      <w:r>
        <w:instrText xml:space="preserve"> HYPERLINK \l "_Toc10841" </w:instrText>
      </w:r>
      <w:r>
        <w:fldChar w:fldCharType="separate"/>
      </w:r>
      <w:r>
        <w:rPr>
          <w:rFonts w:hint="eastAsia" w:ascii="黑体" w:eastAsia="黑体"/>
        </w:rPr>
        <w:t>第二部分 2020年度部门决算情况说明</w:t>
      </w:r>
      <w:r>
        <w:tab/>
      </w:r>
      <w:r>
        <w:fldChar w:fldCharType="begin"/>
      </w:r>
      <w:r>
        <w:instrText xml:space="preserve"> PAGEREF _Toc10841 \h </w:instrText>
      </w:r>
      <w:r>
        <w:fldChar w:fldCharType="separate"/>
      </w:r>
      <w:r>
        <w:t>4</w:t>
      </w:r>
      <w:r>
        <w:fldChar w:fldCharType="end"/>
      </w:r>
      <w:r>
        <w:fldChar w:fldCharType="end"/>
      </w:r>
    </w:p>
    <w:p>
      <w:pPr>
        <w:pStyle w:val="12"/>
        <w:tabs>
          <w:tab w:val="right" w:leader="dot" w:pos="8306"/>
          <w:tab w:val="clear" w:pos="8296"/>
        </w:tabs>
        <w:spacing w:line="900" w:lineRule="exact"/>
        <w:ind w:left="420"/>
        <w:rPr>
          <w:sz w:val="28"/>
          <w:szCs w:val="28"/>
        </w:rPr>
      </w:pPr>
      <w:r>
        <w:fldChar w:fldCharType="begin"/>
      </w:r>
      <w:r>
        <w:instrText xml:space="preserve"> HYPERLINK \l "_Toc9077" </w:instrText>
      </w:r>
      <w:r>
        <w:fldChar w:fldCharType="separate"/>
      </w:r>
      <w:r>
        <w:rPr>
          <w:rFonts w:ascii="黑体" w:eastAsia="黑体"/>
          <w:sz w:val="28"/>
          <w:szCs w:val="28"/>
        </w:rPr>
        <w:t xml:space="preserve">一、 </w:t>
      </w:r>
      <w:r>
        <w:rPr>
          <w:rFonts w:hint="eastAsia" w:ascii="黑体" w:eastAsia="黑体"/>
          <w:sz w:val="28"/>
          <w:szCs w:val="28"/>
        </w:rPr>
        <w:t>收入支出决算总体情况说明</w:t>
      </w:r>
      <w:r>
        <w:rPr>
          <w:sz w:val="28"/>
          <w:szCs w:val="28"/>
        </w:rPr>
        <w:tab/>
      </w:r>
      <w:r>
        <w:rPr>
          <w:sz w:val="28"/>
          <w:szCs w:val="28"/>
        </w:rPr>
        <w:fldChar w:fldCharType="begin"/>
      </w:r>
      <w:r>
        <w:rPr>
          <w:sz w:val="28"/>
          <w:szCs w:val="28"/>
        </w:rPr>
        <w:instrText xml:space="preserve"> PAGEREF _Toc9077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12"/>
        <w:tabs>
          <w:tab w:val="right" w:leader="dot" w:pos="8306"/>
          <w:tab w:val="clear" w:pos="8296"/>
        </w:tabs>
        <w:spacing w:line="900" w:lineRule="exact"/>
        <w:ind w:left="420"/>
        <w:rPr>
          <w:sz w:val="28"/>
          <w:szCs w:val="28"/>
        </w:rPr>
      </w:pPr>
      <w:r>
        <w:fldChar w:fldCharType="begin"/>
      </w:r>
      <w:r>
        <w:instrText xml:space="preserve"> HYPERLINK \l "_Toc7549" </w:instrText>
      </w:r>
      <w:r>
        <w:fldChar w:fldCharType="separate"/>
      </w:r>
      <w:r>
        <w:rPr>
          <w:rFonts w:hint="eastAsia" w:ascii="黑体" w:eastAsia="黑体"/>
          <w:sz w:val="28"/>
          <w:szCs w:val="28"/>
        </w:rPr>
        <w:t>三、支出决算情况说明</w:t>
      </w:r>
      <w:r>
        <w:rPr>
          <w:sz w:val="28"/>
          <w:szCs w:val="28"/>
        </w:rPr>
        <w:tab/>
      </w:r>
      <w:r>
        <w:rPr>
          <w:sz w:val="28"/>
          <w:szCs w:val="28"/>
        </w:rPr>
        <w:fldChar w:fldCharType="begin"/>
      </w:r>
      <w:r>
        <w:rPr>
          <w:sz w:val="28"/>
          <w:szCs w:val="28"/>
        </w:rPr>
        <w:instrText xml:space="preserve"> PAGEREF _Toc7549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12"/>
        <w:tabs>
          <w:tab w:val="right" w:leader="dot" w:pos="8306"/>
          <w:tab w:val="clear" w:pos="8296"/>
        </w:tabs>
        <w:spacing w:line="900" w:lineRule="exact"/>
        <w:ind w:left="420"/>
        <w:rPr>
          <w:sz w:val="28"/>
          <w:szCs w:val="28"/>
        </w:rPr>
      </w:pPr>
      <w:r>
        <w:fldChar w:fldCharType="begin"/>
      </w:r>
      <w:r>
        <w:instrText xml:space="preserve"> HYPERLINK \l "_Toc8992" </w:instrText>
      </w:r>
      <w:r>
        <w:fldChar w:fldCharType="separate"/>
      </w:r>
      <w:r>
        <w:rPr>
          <w:rFonts w:hint="eastAsia" w:ascii="黑体" w:eastAsia="黑体"/>
          <w:sz w:val="28"/>
          <w:szCs w:val="28"/>
        </w:rPr>
        <w:t>四、财政拨款收入支出决算总体情况说明</w:t>
      </w:r>
      <w:r>
        <w:rPr>
          <w:sz w:val="28"/>
          <w:szCs w:val="28"/>
        </w:rPr>
        <w:tab/>
      </w:r>
      <w:r>
        <w:rPr>
          <w:sz w:val="28"/>
          <w:szCs w:val="28"/>
        </w:rPr>
        <w:fldChar w:fldCharType="begin"/>
      </w:r>
      <w:r>
        <w:rPr>
          <w:sz w:val="28"/>
          <w:szCs w:val="28"/>
        </w:rPr>
        <w:instrText xml:space="preserve"> PAGEREF _Toc8992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12"/>
        <w:tabs>
          <w:tab w:val="right" w:leader="dot" w:pos="8306"/>
          <w:tab w:val="clear" w:pos="8296"/>
        </w:tabs>
        <w:spacing w:line="900" w:lineRule="exact"/>
        <w:ind w:left="420"/>
        <w:rPr>
          <w:sz w:val="28"/>
          <w:szCs w:val="28"/>
        </w:rPr>
      </w:pPr>
      <w:r>
        <w:fldChar w:fldCharType="begin"/>
      </w:r>
      <w:r>
        <w:instrText xml:space="preserve"> HYPERLINK \l "_Toc20863" </w:instrText>
      </w:r>
      <w:r>
        <w:fldChar w:fldCharType="separate"/>
      </w:r>
      <w:r>
        <w:rPr>
          <w:rFonts w:hint="eastAsia" w:ascii="黑体" w:eastAsia="黑体"/>
          <w:sz w:val="28"/>
          <w:szCs w:val="28"/>
        </w:rPr>
        <w:t>七、“三公”经费财政拨款支出决算情况说明</w:t>
      </w:r>
      <w:r>
        <w:rPr>
          <w:sz w:val="28"/>
          <w:szCs w:val="28"/>
        </w:rPr>
        <w:tab/>
      </w:r>
      <w:r>
        <w:rPr>
          <w:sz w:val="28"/>
          <w:szCs w:val="28"/>
        </w:rPr>
        <w:fldChar w:fldCharType="begin"/>
      </w:r>
      <w:r>
        <w:rPr>
          <w:sz w:val="28"/>
          <w:szCs w:val="28"/>
        </w:rPr>
        <w:instrText xml:space="preserve"> PAGEREF _Toc20863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12"/>
        <w:tabs>
          <w:tab w:val="right" w:leader="dot" w:pos="8306"/>
          <w:tab w:val="clear" w:pos="8296"/>
        </w:tabs>
        <w:spacing w:line="900" w:lineRule="exact"/>
        <w:ind w:left="420"/>
        <w:rPr>
          <w:sz w:val="28"/>
          <w:szCs w:val="28"/>
        </w:rPr>
      </w:pPr>
      <w:r>
        <w:fldChar w:fldCharType="begin"/>
      </w:r>
      <w:r>
        <w:instrText xml:space="preserve"> HYPERLINK \l "_Toc24437" </w:instrText>
      </w:r>
      <w:r>
        <w:fldChar w:fldCharType="separate"/>
      </w:r>
      <w:r>
        <w:rPr>
          <w:rFonts w:hint="eastAsia" w:ascii="黑体" w:eastAsia="黑体"/>
          <w:sz w:val="28"/>
          <w:szCs w:val="28"/>
        </w:rPr>
        <w:t>八、政府性基金预算支出决算情况说明</w:t>
      </w:r>
      <w:r>
        <w:rPr>
          <w:sz w:val="28"/>
          <w:szCs w:val="28"/>
        </w:rPr>
        <w:tab/>
      </w:r>
      <w:r>
        <w:rPr>
          <w:sz w:val="28"/>
          <w:szCs w:val="28"/>
        </w:rPr>
        <w:fldChar w:fldCharType="begin"/>
      </w:r>
      <w:r>
        <w:rPr>
          <w:sz w:val="28"/>
          <w:szCs w:val="28"/>
        </w:rPr>
        <w:instrText xml:space="preserve"> PAGEREF _Toc24437 \h </w:instrText>
      </w:r>
      <w:r>
        <w:rPr>
          <w:sz w:val="28"/>
          <w:szCs w:val="28"/>
        </w:rPr>
        <w:fldChar w:fldCharType="separate"/>
      </w:r>
      <w:r>
        <w:rPr>
          <w:sz w:val="28"/>
          <w:szCs w:val="28"/>
        </w:rPr>
        <w:t>13</w:t>
      </w:r>
      <w:r>
        <w:rPr>
          <w:sz w:val="28"/>
          <w:szCs w:val="28"/>
        </w:rPr>
        <w:fldChar w:fldCharType="end"/>
      </w:r>
      <w:r>
        <w:rPr>
          <w:sz w:val="28"/>
          <w:szCs w:val="28"/>
        </w:rPr>
        <w:fldChar w:fldCharType="end"/>
      </w:r>
    </w:p>
    <w:p>
      <w:pPr>
        <w:pStyle w:val="12"/>
        <w:tabs>
          <w:tab w:val="right" w:leader="dot" w:pos="8306"/>
          <w:tab w:val="clear" w:pos="8296"/>
        </w:tabs>
        <w:spacing w:line="900" w:lineRule="exact"/>
        <w:ind w:left="420"/>
        <w:rPr>
          <w:sz w:val="28"/>
          <w:szCs w:val="28"/>
        </w:rPr>
      </w:pPr>
      <w:r>
        <w:fldChar w:fldCharType="begin"/>
      </w:r>
      <w:r>
        <w:instrText xml:space="preserve"> HYPERLINK \l "_Toc1204" </w:instrText>
      </w:r>
      <w:r>
        <w:fldChar w:fldCharType="separate"/>
      </w:r>
      <w:r>
        <w:rPr>
          <w:rFonts w:hint="eastAsia" w:ascii="黑体" w:eastAsia="黑体"/>
          <w:sz w:val="28"/>
          <w:szCs w:val="28"/>
        </w:rPr>
        <w:t>九、 国有资本经营预算支出决算情况说明</w:t>
      </w:r>
      <w:r>
        <w:rPr>
          <w:sz w:val="28"/>
          <w:szCs w:val="28"/>
        </w:rPr>
        <w:tab/>
      </w:r>
      <w:r>
        <w:rPr>
          <w:sz w:val="28"/>
          <w:szCs w:val="28"/>
        </w:rPr>
        <w:fldChar w:fldCharType="begin"/>
      </w:r>
      <w:r>
        <w:rPr>
          <w:sz w:val="28"/>
          <w:szCs w:val="28"/>
        </w:rPr>
        <w:instrText xml:space="preserve"> PAGEREF _Toc1204 \h </w:instrText>
      </w:r>
      <w:r>
        <w:rPr>
          <w:sz w:val="28"/>
          <w:szCs w:val="28"/>
        </w:rPr>
        <w:fldChar w:fldCharType="separate"/>
      </w:r>
      <w:r>
        <w:rPr>
          <w:sz w:val="28"/>
          <w:szCs w:val="28"/>
        </w:rPr>
        <w:t>13</w:t>
      </w:r>
      <w:r>
        <w:rPr>
          <w:sz w:val="28"/>
          <w:szCs w:val="28"/>
        </w:rPr>
        <w:fldChar w:fldCharType="end"/>
      </w:r>
      <w:r>
        <w:rPr>
          <w:sz w:val="28"/>
          <w:szCs w:val="28"/>
        </w:rPr>
        <w:fldChar w:fldCharType="end"/>
      </w:r>
    </w:p>
    <w:p>
      <w:pPr>
        <w:pStyle w:val="12"/>
        <w:tabs>
          <w:tab w:val="right" w:leader="dot" w:pos="8306"/>
          <w:tab w:val="clear" w:pos="8296"/>
        </w:tabs>
        <w:spacing w:line="900" w:lineRule="exact"/>
        <w:ind w:left="420"/>
        <w:rPr>
          <w:sz w:val="28"/>
          <w:szCs w:val="28"/>
        </w:rPr>
      </w:pPr>
      <w:r>
        <w:fldChar w:fldCharType="begin"/>
      </w:r>
      <w:r>
        <w:instrText xml:space="preserve"> HYPERLINK \l "_Toc31885" </w:instrText>
      </w:r>
      <w:r>
        <w:fldChar w:fldCharType="separate"/>
      </w:r>
      <w:r>
        <w:rPr>
          <w:rFonts w:ascii="黑体" w:eastAsia="黑体"/>
          <w:sz w:val="28"/>
          <w:szCs w:val="28"/>
        </w:rPr>
        <w:t xml:space="preserve">十、 </w:t>
      </w:r>
      <w:r>
        <w:rPr>
          <w:rFonts w:hint="eastAsia" w:ascii="黑体" w:eastAsia="黑体"/>
          <w:sz w:val="28"/>
          <w:szCs w:val="28"/>
        </w:rPr>
        <w:t>预算绩效情况说明</w:t>
      </w:r>
      <w:r>
        <w:rPr>
          <w:sz w:val="28"/>
          <w:szCs w:val="28"/>
        </w:rPr>
        <w:tab/>
      </w:r>
      <w:r>
        <w:rPr>
          <w:sz w:val="28"/>
          <w:szCs w:val="28"/>
        </w:rPr>
        <w:fldChar w:fldCharType="begin"/>
      </w:r>
      <w:r>
        <w:rPr>
          <w:sz w:val="28"/>
          <w:szCs w:val="28"/>
        </w:rPr>
        <w:instrText xml:space="preserve"> PAGEREF _Toc31885 \h </w:instrText>
      </w:r>
      <w:r>
        <w:rPr>
          <w:sz w:val="28"/>
          <w:szCs w:val="28"/>
        </w:rPr>
        <w:fldChar w:fldCharType="separate"/>
      </w:r>
      <w:r>
        <w:rPr>
          <w:sz w:val="28"/>
          <w:szCs w:val="28"/>
        </w:rPr>
        <w:t>13</w:t>
      </w:r>
      <w:r>
        <w:rPr>
          <w:sz w:val="28"/>
          <w:szCs w:val="28"/>
        </w:rPr>
        <w:fldChar w:fldCharType="end"/>
      </w:r>
      <w:r>
        <w:rPr>
          <w:sz w:val="28"/>
          <w:szCs w:val="28"/>
        </w:rPr>
        <w:fldChar w:fldCharType="end"/>
      </w:r>
    </w:p>
    <w:p>
      <w:pPr>
        <w:pStyle w:val="12"/>
        <w:tabs>
          <w:tab w:val="right" w:leader="dot" w:pos="8306"/>
          <w:tab w:val="clear" w:pos="8296"/>
        </w:tabs>
        <w:spacing w:line="900" w:lineRule="exact"/>
        <w:ind w:left="420"/>
        <w:rPr>
          <w:sz w:val="28"/>
          <w:szCs w:val="28"/>
        </w:rPr>
      </w:pPr>
      <w:r>
        <w:fldChar w:fldCharType="begin"/>
      </w:r>
      <w:r>
        <w:instrText xml:space="preserve"> HYPERLINK \l "_Toc29938" </w:instrText>
      </w:r>
      <w:r>
        <w:fldChar w:fldCharType="separate"/>
      </w:r>
      <w:r>
        <w:rPr>
          <w:rFonts w:hint="eastAsia" w:ascii="黑体" w:eastAsia="黑体"/>
          <w:sz w:val="28"/>
          <w:szCs w:val="28"/>
        </w:rPr>
        <w:t>十一、其他重要事项的情况说明</w:t>
      </w:r>
      <w:r>
        <w:rPr>
          <w:sz w:val="28"/>
          <w:szCs w:val="28"/>
        </w:rPr>
        <w:tab/>
      </w:r>
      <w:r>
        <w:rPr>
          <w:sz w:val="28"/>
          <w:szCs w:val="28"/>
        </w:rPr>
        <w:fldChar w:fldCharType="begin"/>
      </w:r>
      <w:r>
        <w:rPr>
          <w:sz w:val="28"/>
          <w:szCs w:val="28"/>
        </w:rPr>
        <w:instrText xml:space="preserve"> PAGEREF _Toc29938 \h </w:instrText>
      </w:r>
      <w:r>
        <w:rPr>
          <w:sz w:val="28"/>
          <w:szCs w:val="28"/>
        </w:rPr>
        <w:fldChar w:fldCharType="separate"/>
      </w:r>
      <w:r>
        <w:rPr>
          <w:sz w:val="28"/>
          <w:szCs w:val="28"/>
        </w:rPr>
        <w:t>14</w:t>
      </w:r>
      <w:r>
        <w:rPr>
          <w:sz w:val="28"/>
          <w:szCs w:val="28"/>
        </w:rPr>
        <w:fldChar w:fldCharType="end"/>
      </w:r>
      <w:r>
        <w:rPr>
          <w:sz w:val="28"/>
          <w:szCs w:val="28"/>
        </w:rPr>
        <w:fldChar w:fldCharType="end"/>
      </w:r>
    </w:p>
    <w:p>
      <w:pPr>
        <w:pStyle w:val="11"/>
        <w:tabs>
          <w:tab w:val="right" w:leader="dot" w:pos="8306"/>
          <w:tab w:val="clear" w:pos="8296"/>
        </w:tabs>
        <w:spacing w:line="900" w:lineRule="exact"/>
      </w:pPr>
      <w:r>
        <w:fldChar w:fldCharType="begin"/>
      </w:r>
      <w:r>
        <w:instrText xml:space="preserve"> HYPERLINK \l "_Toc26599" </w:instrText>
      </w:r>
      <w:r>
        <w:fldChar w:fldCharType="separate"/>
      </w:r>
      <w:r>
        <w:rPr>
          <w:rFonts w:hint="eastAsia" w:ascii="黑体" w:eastAsia="黑体"/>
        </w:rPr>
        <w:t>第三部分 名词解释</w:t>
      </w:r>
      <w:r>
        <w:tab/>
      </w:r>
      <w:r>
        <w:fldChar w:fldCharType="begin"/>
      </w:r>
      <w:r>
        <w:instrText xml:space="preserve"> PAGEREF _Toc26599 \h </w:instrText>
      </w:r>
      <w:r>
        <w:fldChar w:fldCharType="separate"/>
      </w:r>
      <w:r>
        <w:t>15</w:t>
      </w:r>
      <w:r>
        <w:fldChar w:fldCharType="end"/>
      </w:r>
      <w:r>
        <w:fldChar w:fldCharType="end"/>
      </w:r>
    </w:p>
    <w:p>
      <w:pPr>
        <w:pStyle w:val="11"/>
        <w:tabs>
          <w:tab w:val="right" w:leader="dot" w:pos="8306"/>
          <w:tab w:val="clear" w:pos="8296"/>
        </w:tabs>
        <w:wordWrap/>
        <w:adjustRightInd/>
        <w:snapToGrid/>
        <w:spacing w:line="900" w:lineRule="exact"/>
        <w:textAlignment w:val="auto"/>
        <w:rPr>
          <w:rFonts w:hint="eastAsia" w:ascii="仿宋" w:hAnsi="Times New Roman" w:eastAsia="仿宋" w:cs="Times New Roman"/>
          <w:color w:val="000000"/>
          <w:sz w:val="28"/>
          <w:szCs w:val="28"/>
        </w:rPr>
      </w:pPr>
      <w:r>
        <w:rPr>
          <w:rFonts w:ascii="仿宋" w:eastAsia="仿宋"/>
          <w:color w:val="000000"/>
          <w:sz w:val="28"/>
          <w:szCs w:val="28"/>
        </w:rPr>
        <w:fldChar w:fldCharType="end"/>
      </w:r>
      <w:r>
        <w:rPr>
          <w:rFonts w:ascii="仿宋" w:eastAsia="仿宋"/>
          <w:color w:val="000000"/>
          <w:sz w:val="28"/>
          <w:szCs w:val="28"/>
        </w:rPr>
        <w:fldChar w:fldCharType="begin"/>
      </w:r>
      <w:r>
        <w:rPr>
          <w:rFonts w:ascii="仿宋" w:eastAsia="仿宋"/>
          <w:sz w:val="28"/>
          <w:szCs w:val="28"/>
        </w:rPr>
        <w:instrText xml:space="preserve"> HYPERLINK \l _Toc26599 </w:instrText>
      </w:r>
      <w:r>
        <w:rPr>
          <w:rFonts w:ascii="仿宋" w:eastAsia="仿宋"/>
          <w:sz w:val="28"/>
          <w:szCs w:val="28"/>
        </w:rPr>
        <w:fldChar w:fldCharType="separate"/>
      </w:r>
      <w:r>
        <w:rPr>
          <w:rFonts w:hint="eastAsia" w:ascii="黑体" w:eastAsia="黑体"/>
          <w:sz w:val="28"/>
          <w:szCs w:val="28"/>
        </w:rPr>
        <w:t>第四部分 附件</w:t>
      </w:r>
      <w:r>
        <w:rPr>
          <w:sz w:val="28"/>
          <w:szCs w:val="28"/>
        </w:rPr>
        <w:tab/>
      </w:r>
      <w:r>
        <w:rPr>
          <w:rFonts w:hint="eastAsia"/>
          <w:sz w:val="28"/>
          <w:szCs w:val="28"/>
          <w:lang w:val="en-US" w:eastAsia="zh-CN"/>
        </w:rPr>
        <w:t>1</w:t>
      </w:r>
      <w:r>
        <w:rPr>
          <w:rFonts w:ascii="仿宋" w:eastAsia="仿宋"/>
          <w:color w:val="000000"/>
          <w:sz w:val="28"/>
          <w:szCs w:val="28"/>
        </w:rPr>
        <w:fldChar w:fldCharType="end"/>
      </w:r>
      <w:r>
        <w:rPr>
          <w:rFonts w:hint="eastAsia"/>
          <w:color w:val="000000"/>
          <w:sz w:val="28"/>
          <w:szCs w:val="28"/>
          <w:lang w:val="en-US" w:eastAsia="zh-CN"/>
        </w:rPr>
        <w:t>7</w:t>
      </w:r>
    </w:p>
    <w:p>
      <w:pPr>
        <w:widowControl/>
        <w:spacing w:line="900" w:lineRule="exact"/>
        <w:jc w:val="center"/>
        <w:rPr>
          <w:rStyle w:val="18"/>
          <w:rFonts w:ascii="黑体" w:eastAsia="黑体"/>
          <w:b w:val="0"/>
          <w:bCs w:val="0"/>
        </w:rPr>
      </w:pPr>
      <w:r>
        <w:rPr>
          <w:rFonts w:ascii="黑体" w:eastAsia="黑体"/>
          <w:b/>
        </w:rPr>
        <w:br w:type="page"/>
      </w:r>
      <w:r>
        <w:rPr>
          <w:rStyle w:val="18"/>
          <w:rFonts w:hint="eastAsia" w:ascii="黑体" w:eastAsia="黑体"/>
          <w:b w:val="0"/>
          <w:bCs w:val="0"/>
        </w:rPr>
        <w:t>第一部分 部门概况</w:t>
      </w:r>
    </w:p>
    <w:p>
      <w:pPr>
        <w:pStyle w:val="4"/>
        <w:spacing w:before="0" w:after="0" w:line="240" w:lineRule="auto"/>
        <w:ind w:left="640" w:hanging="640" w:hangingChars="200"/>
        <w:rPr>
          <w:rStyle w:val="19"/>
          <w:rFonts w:ascii="黑体" w:eastAsia="黑体"/>
          <w:b w:val="0"/>
          <w:bCs w:val="0"/>
        </w:rPr>
      </w:pPr>
      <w:bookmarkStart w:id="1" w:name="_Toc14324"/>
      <w:r>
        <w:rPr>
          <w:rFonts w:hint="eastAsia" w:ascii="黑体" w:eastAsia="黑体"/>
          <w:b w:val="0"/>
          <w:color w:val="000000"/>
        </w:rPr>
        <w:t>一、基</w:t>
      </w:r>
      <w:r>
        <w:rPr>
          <w:rStyle w:val="19"/>
          <w:rFonts w:hint="eastAsia" w:ascii="黑体" w:eastAsia="黑体"/>
          <w:b w:val="0"/>
          <w:bCs w:val="0"/>
        </w:rPr>
        <w:t>本职能及主要工作</w:t>
      </w:r>
      <w:bookmarkEnd w:id="1"/>
    </w:p>
    <w:p>
      <w:pPr>
        <w:pStyle w:val="4"/>
        <w:spacing w:before="0" w:after="0" w:line="240" w:lineRule="auto"/>
        <w:ind w:left="642" w:leftChars="153" w:hanging="321" w:hangingChars="100"/>
        <w:rPr>
          <w:rFonts w:ascii="楷体" w:eastAsia="楷体" w:cs="楷体"/>
          <w:color w:val="000000"/>
        </w:rPr>
      </w:pPr>
      <w:bookmarkStart w:id="2" w:name="_Toc27098"/>
      <w:r>
        <w:rPr>
          <w:rFonts w:hint="eastAsia" w:ascii="楷体" w:eastAsia="楷体" w:cs="楷体"/>
          <w:color w:val="000000"/>
        </w:rPr>
        <w:t>（一）主要职能</w:t>
      </w:r>
      <w:bookmarkEnd w:id="2"/>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促进经济发展、增加农民收入。认真贯彻落实党在农村的方针政策和强农惠农措施，坚持科学发展，积极转变经济发展方式，推动产业结构调整。结合实际制定发展规划，培育特色优势产业和特色经济，扶持壮大龙头企业，促进现代农业发展。稳定和完善农村基本经营制度，支持农民专业合作经济组织发展，健全农村市场和农业服务体系。大力推广先进科学技术，强化劳动力技能培训，做好农村劳务输转，促进农民增产增收。</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强化公共服务、着力改善民生。完善农村医疗、养老、救助等社会保障制度，加快新型农村公共服务体系建设，着力解决群众最关心、最直接、最现实的利益问题。推进新农村建设，不断完善公益设施和基础设施。加强教育、科技、卫生和精神文明建设，繁荣发展农村文化，提高农村人口素质。落实计划生育政策，稳定农村低生育水平。加强生态建设和环境保护，努力改善农村人居环境，不断提高农民生活质量。</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3）、加强社会管理，维护农村稳定。普及农村法制教育，强化社会治安综合治理，加强信访和民事纠纷调解，维护农村公共秩序和社会稳定。加强安全生产、市场监管、动植物疫病防控和农产品质量监控等社会管理，健全农民权益保障机制，维护农村社会公平正义。建立健全应急保障体系，加强突发事件预警和管理，做好防灾减灾工作。负责民兵预备役、征兵和战时民兵动员、民兵排（连）长的培养、选拔，做好民兵集训工作。</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4）、推进基层民主，促进农村和谐。加强农村党的基层组织建设，不断提高党组织领导农村经济社会发展的能力和水平。重视群团组织建设，指导村民自治，引导农民有序参与村级事务管理，推进村务公开，促进社会组织健康发展，增强农村社会自治功能。</w:t>
      </w:r>
    </w:p>
    <w:p>
      <w:pPr>
        <w:pStyle w:val="4"/>
        <w:spacing w:before="0" w:after="0" w:line="240" w:lineRule="auto"/>
        <w:ind w:firstLine="321" w:firstLineChars="100"/>
        <w:rPr>
          <w:rFonts w:ascii="楷体" w:eastAsia="楷体" w:cs="楷体"/>
          <w:color w:val="000000"/>
        </w:rPr>
      </w:pPr>
      <w:bookmarkStart w:id="3" w:name="_Toc31783"/>
      <w:r>
        <w:rPr>
          <w:rFonts w:hint="eastAsia" w:ascii="楷体" w:eastAsia="楷体" w:cs="楷体"/>
          <w:color w:val="000000"/>
        </w:rPr>
        <w:t>（二）2020年重点工作完成情况</w:t>
      </w:r>
      <w:bookmarkEnd w:id="3"/>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1、乡党委围绕“不忘初心、牢记使命”主题教育活动开展党建工作，提高乡村党员素质。</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2、本年度全乡认真开展脱贫攻坚工作，巩固了全乡贫困户精准帮扶成果，并顺利通过一系列验收检查。</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3、乡村振兴有力推进，乡村面貌明显改善。</w:t>
      </w:r>
    </w:p>
    <w:p>
      <w:pPr>
        <w:snapToGrid w:val="0"/>
        <w:spacing w:line="520" w:lineRule="exact"/>
        <w:ind w:firstLine="640" w:firstLineChars="200"/>
        <w:rPr>
          <w:rFonts w:ascii="仿宋_GB2312" w:eastAsia="仿宋_GB2312"/>
          <w:bCs/>
          <w:sz w:val="30"/>
          <w:szCs w:val="30"/>
        </w:rPr>
      </w:pPr>
      <w:r>
        <w:rPr>
          <w:rFonts w:hint="eastAsia" w:ascii="仿宋_GB2312" w:hAnsi="仿宋" w:eastAsia="仿宋_GB2312"/>
          <w:sz w:val="32"/>
          <w:szCs w:val="32"/>
        </w:rPr>
        <w:t>4、圆满完成了其他各项工作，并经验收合格。</w:t>
      </w:r>
    </w:p>
    <w:p>
      <w:pPr>
        <w:tabs>
          <w:tab w:val="left" w:pos="0"/>
        </w:tabs>
        <w:spacing w:line="578" w:lineRule="exact"/>
        <w:rPr>
          <w:rFonts w:ascii="仿宋_GB2312" w:eastAsia="仿宋_GB2312"/>
          <w:sz w:val="32"/>
          <w:szCs w:val="32"/>
        </w:rPr>
      </w:pPr>
    </w:p>
    <w:p>
      <w:pPr>
        <w:spacing w:line="578" w:lineRule="exact"/>
        <w:ind w:firstLine="640" w:firstLineChars="200"/>
        <w:rPr>
          <w:rStyle w:val="19"/>
          <w:b w:val="0"/>
          <w:bCs w:val="0"/>
        </w:rPr>
      </w:pPr>
      <w:bookmarkStart w:id="4" w:name="_Toc14389"/>
      <w:r>
        <w:rPr>
          <w:rStyle w:val="19"/>
          <w:rFonts w:hint="eastAsia" w:ascii="黑体" w:eastAsia="黑体"/>
          <w:b w:val="0"/>
          <w:bCs w:val="0"/>
        </w:rPr>
        <w:t>二、机构设置</w:t>
      </w:r>
    </w:p>
    <w:bookmarkEnd w:id="4"/>
    <w:p>
      <w:pPr>
        <w:snapToGrid w:val="0"/>
        <w:ind w:firstLine="600" w:firstLineChars="200"/>
        <w:rPr>
          <w:rFonts w:ascii="仿宋_GB2312" w:eastAsia="仿宋_GB2312"/>
          <w:sz w:val="30"/>
          <w:szCs w:val="30"/>
        </w:rPr>
      </w:pPr>
      <w:r>
        <w:rPr>
          <w:rFonts w:hint="eastAsia" w:ascii="仿宋_GB2312" w:eastAsia="仿宋_GB2312"/>
          <w:sz w:val="30"/>
          <w:szCs w:val="30"/>
        </w:rPr>
        <w:t>1、机构情况：</w:t>
      </w:r>
      <w:r>
        <w:rPr>
          <w:rFonts w:hint="eastAsia" w:ascii="仿宋_GB2312" w:eastAsia="仿宋_GB2312"/>
          <w:bCs/>
          <w:sz w:val="32"/>
        </w:rPr>
        <w:t>我乡2020年有2个机构，无增减变动。</w:t>
      </w:r>
    </w:p>
    <w:p>
      <w:pPr>
        <w:snapToGrid w:val="0"/>
        <w:spacing w:line="360" w:lineRule="auto"/>
        <w:rPr>
          <w:rFonts w:ascii="楷体" w:hAnsi="楷体" w:eastAsia="楷体" w:cs="楷体"/>
          <w:b/>
          <w:bCs/>
          <w:sz w:val="30"/>
          <w:szCs w:val="30"/>
        </w:rPr>
      </w:pPr>
      <w:r>
        <w:rPr>
          <w:rFonts w:hint="eastAsia" w:ascii="仿宋_GB2312" w:eastAsia="仿宋_GB2312"/>
          <w:sz w:val="30"/>
          <w:szCs w:val="30"/>
        </w:rPr>
        <w:t>　　2、人员情况：我乡2020年年末在职26人，退休4人，遗嘱1人。总编制数32人（其中:行政编制18人，工勤编制2人、事业</w:t>
      </w:r>
      <w:r>
        <w:rPr>
          <w:rFonts w:hint="eastAsia" w:ascii="仿宋_GB2312" w:eastAsia="仿宋_GB2312"/>
          <w:bCs/>
          <w:sz w:val="30"/>
          <w:szCs w:val="30"/>
        </w:rPr>
        <w:t>编制12人</w:t>
      </w:r>
      <w:r>
        <w:rPr>
          <w:rFonts w:hint="eastAsia" w:ascii="仿宋_GB2312" w:eastAsia="仿宋_GB2312"/>
          <w:sz w:val="30"/>
          <w:szCs w:val="30"/>
        </w:rPr>
        <w:t>）。</w:t>
      </w:r>
    </w:p>
    <w:p>
      <w:pPr>
        <w:pStyle w:val="3"/>
        <w:ind w:right="440"/>
        <w:jc w:val="right"/>
      </w:pPr>
      <w:bookmarkStart w:id="5" w:name="_Toc10841"/>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5"/>
    </w:p>
    <w:p>
      <w:pPr>
        <w:pStyle w:val="24"/>
        <w:numPr>
          <w:ilvl w:val="0"/>
          <w:numId w:val="1"/>
        </w:numPr>
        <w:ind w:left="0" w:firstLine="0" w:firstLineChars="0"/>
        <w:outlineLvl w:val="1"/>
        <w:rPr>
          <w:rStyle w:val="19"/>
          <w:rFonts w:ascii="黑体" w:eastAsia="黑体"/>
          <w:b w:val="0"/>
        </w:rPr>
      </w:pPr>
      <w:bookmarkStart w:id="6" w:name="_Toc9077"/>
      <w:r>
        <w:rPr>
          <w:rFonts w:hint="eastAsia" w:ascii="黑体" w:eastAsia="黑体"/>
          <w:color w:val="000000"/>
          <w:sz w:val="32"/>
          <w:szCs w:val="32"/>
        </w:rPr>
        <w:t>收</w:t>
      </w:r>
      <w:r>
        <w:rPr>
          <w:rStyle w:val="19"/>
          <w:rFonts w:hint="eastAsia" w:ascii="黑体" w:eastAsia="黑体"/>
          <w:b w:val="0"/>
        </w:rPr>
        <w:t>入支出决算总体情况说明</w:t>
      </w:r>
      <w:bookmarkEnd w:id="6"/>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2020年度总收入597.53万元，较上年收入增加2.69万元，增加0.04%。增加的主要原因是2020年项目较2019增加，财政应返还资金增加。</w:t>
      </w:r>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spacing w:val="-2"/>
          <w:sz w:val="32"/>
          <w:szCs w:val="32"/>
        </w:rPr>
        <w:t>2020年总支出639.8万元，较上年支出增加16.15万元，增加0.26%。</w:t>
      </w:r>
      <w:r>
        <w:rPr>
          <w:rFonts w:hint="eastAsia" w:ascii="仿宋_GB2312" w:eastAsia="仿宋_GB2312"/>
          <w:color w:val="000000"/>
          <w:spacing w:val="-2"/>
          <w:sz w:val="32"/>
          <w:szCs w:val="32"/>
        </w:rPr>
        <w:t>主要原因2020年支出包含了上年结转项目较2019年有所增加。</w:t>
      </w:r>
    </w:p>
    <w:p>
      <w:pPr>
        <w:snapToGrid w:val="0"/>
        <w:spacing w:line="520" w:lineRule="exact"/>
        <w:rPr>
          <w:rFonts w:ascii="仿宋_GB2312" w:eastAsia="仿宋_GB2312"/>
          <w:spacing w:val="-2"/>
          <w:sz w:val="32"/>
          <w:szCs w:val="32"/>
        </w:rPr>
      </w:pPr>
      <w:r>
        <w:drawing>
          <wp:anchor distT="0" distB="0" distL="114300" distR="114300" simplePos="0" relativeHeight="251664384" behindDoc="0" locked="0" layoutInCell="1" allowOverlap="1">
            <wp:simplePos x="0" y="0"/>
            <wp:positionH relativeFrom="column">
              <wp:posOffset>164465</wp:posOffset>
            </wp:positionH>
            <wp:positionV relativeFrom="paragraph">
              <wp:posOffset>149225</wp:posOffset>
            </wp:positionV>
            <wp:extent cx="4381500" cy="3061970"/>
            <wp:effectExtent l="4445" t="4445" r="18415" b="12065"/>
            <wp:wrapTopAndBottom/>
            <wp:docPr id="107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Style w:val="19"/>
          <w:rFonts w:ascii="黑体" w:eastAsia="黑体"/>
          <w:b w:val="0"/>
        </w:rPr>
      </w:pPr>
      <w:bookmarkStart w:id="7" w:name="_Toc15377206"/>
      <w:r>
        <w:rPr>
          <w:rFonts w:hint="eastAsia" w:ascii="黑体" w:eastAsia="黑体"/>
          <w:color w:val="000000"/>
          <w:sz w:val="32"/>
          <w:szCs w:val="32"/>
        </w:rPr>
        <w:t>二、收入决</w:t>
      </w:r>
      <w:r>
        <w:rPr>
          <w:rStyle w:val="19"/>
          <w:rFonts w:hint="eastAsia" w:ascii="黑体" w:eastAsia="黑体"/>
          <w:b w:val="0"/>
        </w:rPr>
        <w:t>算情况说明</w:t>
      </w:r>
      <w:bookmarkEnd w:id="7"/>
    </w:p>
    <w:p>
      <w:pPr>
        <w:spacing w:line="600" w:lineRule="exact"/>
        <w:ind w:firstLine="640" w:firstLineChars="200"/>
        <w:outlineLvl w:val="1"/>
        <w:rPr>
          <w:rFonts w:ascii="仿宋" w:eastAsia="仿宋"/>
          <w:color w:val="000000"/>
          <w:sz w:val="32"/>
          <w:szCs w:val="32"/>
        </w:rPr>
      </w:pPr>
      <w:bookmarkStart w:id="8" w:name="_Toc16957"/>
      <w:r>
        <w:rPr>
          <w:rFonts w:ascii="仿宋" w:eastAsia="仿宋"/>
          <w:color w:val="000000"/>
          <w:sz w:val="32"/>
          <w:szCs w:val="32"/>
        </w:rPr>
        <w:t>20</w:t>
      </w:r>
      <w:r>
        <w:rPr>
          <w:rFonts w:hint="eastAsia" w:ascii="仿宋" w:eastAsia="仿宋"/>
          <w:color w:val="000000"/>
          <w:sz w:val="32"/>
          <w:szCs w:val="32"/>
        </w:rPr>
        <w:t>20年总收入</w:t>
      </w:r>
      <w:r>
        <w:rPr>
          <w:rFonts w:hint="eastAsia" w:ascii="仿宋_GB2312" w:eastAsia="仿宋_GB2312"/>
          <w:color w:val="000000"/>
          <w:spacing w:val="-2"/>
          <w:sz w:val="32"/>
          <w:szCs w:val="32"/>
        </w:rPr>
        <w:t>597.53</w:t>
      </w:r>
      <w:r>
        <w:rPr>
          <w:rFonts w:hint="eastAsia" w:ascii="仿宋" w:eastAsia="仿宋"/>
          <w:color w:val="000000"/>
          <w:sz w:val="32"/>
          <w:szCs w:val="32"/>
        </w:rPr>
        <w:t>万元，其中：一般公共预算财政拨款收入</w:t>
      </w:r>
      <w:r>
        <w:rPr>
          <w:rFonts w:hint="eastAsia" w:ascii="仿宋_GB2312" w:eastAsia="仿宋_GB2312"/>
          <w:color w:val="000000"/>
          <w:spacing w:val="-2"/>
          <w:sz w:val="32"/>
          <w:szCs w:val="32"/>
        </w:rPr>
        <w:t>597.53</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；附属乡上缴收入0万元，占0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8"/>
    </w:p>
    <w:p>
      <w:pPr>
        <w:spacing w:line="600" w:lineRule="exact"/>
        <w:ind w:firstLine="640" w:firstLineChars="200"/>
        <w:outlineLvl w:val="1"/>
        <w:rPr>
          <w:rStyle w:val="19"/>
          <w:rFonts w:ascii="黑体" w:eastAsia="黑体"/>
          <w:b w:val="0"/>
        </w:rPr>
      </w:pPr>
      <w:bookmarkStart w:id="9" w:name="_Toc7549"/>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185420</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10" w:name="_Toc15377207"/>
      <w:r>
        <w:rPr>
          <w:rFonts w:hint="eastAsia" w:ascii="黑体" w:eastAsia="黑体"/>
          <w:color w:val="000000"/>
          <w:sz w:val="32"/>
          <w:szCs w:val="32"/>
        </w:rPr>
        <w:t>三、支出决</w:t>
      </w:r>
      <w:r>
        <w:rPr>
          <w:rStyle w:val="19"/>
          <w:rFonts w:hint="eastAsia" w:ascii="黑体" w:eastAsia="黑体"/>
          <w:b w:val="0"/>
        </w:rPr>
        <w:t>算情况说明</w:t>
      </w:r>
      <w:bookmarkEnd w:id="9"/>
      <w:bookmarkEnd w:id="10"/>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w:t>
      </w:r>
      <w:r>
        <w:rPr>
          <w:rFonts w:hint="eastAsia" w:ascii="仿宋_GB2312" w:eastAsia="仿宋_GB2312"/>
          <w:spacing w:val="-2"/>
          <w:sz w:val="32"/>
          <w:szCs w:val="32"/>
        </w:rPr>
        <w:t>639.8</w:t>
      </w:r>
      <w:r>
        <w:rPr>
          <w:rFonts w:hint="eastAsia" w:ascii="仿宋" w:eastAsia="仿宋"/>
          <w:color w:val="000000"/>
          <w:sz w:val="32"/>
          <w:szCs w:val="32"/>
        </w:rPr>
        <w:t>万元，其中：基本支出436.2万元，占68.18%；项目支出203.6万元，占31.82%；上缴上级支出0万元，占0%；经营支出0万元，占0</w:t>
      </w:r>
      <w:r>
        <w:rPr>
          <w:rFonts w:ascii="仿宋" w:eastAsia="仿宋"/>
          <w:color w:val="000000"/>
          <w:sz w:val="32"/>
          <w:szCs w:val="32"/>
        </w:rPr>
        <w:t>%</w:t>
      </w:r>
      <w:r>
        <w:rPr>
          <w:rFonts w:hint="eastAsia" w:ascii="仿宋" w:eastAsia="仿宋"/>
          <w:color w:val="000000"/>
          <w:sz w:val="32"/>
          <w:szCs w:val="32"/>
        </w:rPr>
        <w:t>；对附属乡补助支出0万元，占0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9"/>
          <w:rFonts w:ascii="黑体" w:eastAsia="黑体"/>
          <w:b w:val="0"/>
        </w:rPr>
      </w:pPr>
      <w:bookmarkStart w:id="11" w:name="_Toc15377208"/>
      <w:bookmarkStart w:id="12" w:name="_Toc8992"/>
      <w:r>
        <w:rPr>
          <w:rFonts w:hint="eastAsia" w:ascii="黑体" w:eastAsia="黑体"/>
          <w:color w:val="000000"/>
          <w:sz w:val="32"/>
          <w:szCs w:val="32"/>
        </w:rPr>
        <w:t>四、财</w:t>
      </w:r>
      <w:r>
        <w:rPr>
          <w:rStyle w:val="19"/>
          <w:rFonts w:hint="eastAsia" w:ascii="黑体" w:eastAsia="黑体"/>
          <w:b w:val="0"/>
        </w:rPr>
        <w:t>政拨款收入支出决算总体情况说明</w:t>
      </w:r>
      <w:bookmarkEnd w:id="11"/>
      <w:bookmarkEnd w:id="12"/>
    </w:p>
    <w:p>
      <w:pPr>
        <w:snapToGrid w:val="0"/>
        <w:spacing w:line="520" w:lineRule="exact"/>
        <w:ind w:firstLine="640" w:firstLineChars="200"/>
        <w:rPr>
          <w:rFonts w:ascii="仿宋_GB2312" w:eastAsia="仿宋_GB2312"/>
          <w:color w:val="000000"/>
          <w:spacing w:val="-2"/>
          <w:sz w:val="32"/>
          <w:szCs w:val="32"/>
        </w:rPr>
      </w:pPr>
      <w:r>
        <w:rPr>
          <w:rFonts w:hint="eastAsia" w:ascii="仿宋" w:eastAsia="仿宋"/>
          <w:color w:val="000000"/>
          <w:sz w:val="32"/>
          <w:szCs w:val="32"/>
        </w:rPr>
        <w:t>2020年财政拨款收入</w:t>
      </w:r>
      <w:r>
        <w:rPr>
          <w:rFonts w:hint="eastAsia" w:ascii="仿宋_GB2312" w:eastAsia="仿宋_GB2312"/>
          <w:color w:val="000000"/>
          <w:spacing w:val="-2"/>
          <w:sz w:val="32"/>
          <w:szCs w:val="32"/>
        </w:rPr>
        <w:t>597.53</w:t>
      </w:r>
      <w:r>
        <w:rPr>
          <w:rFonts w:hint="eastAsia" w:ascii="仿宋" w:eastAsia="仿宋"/>
          <w:color w:val="000000"/>
          <w:sz w:val="32"/>
          <w:szCs w:val="32"/>
        </w:rPr>
        <w:t>万元。与2019年相比，一般公共预算财政拨款收入较上年增加</w:t>
      </w:r>
      <w:r>
        <w:rPr>
          <w:rFonts w:hint="eastAsia" w:ascii="仿宋_GB2312" w:eastAsia="仿宋_GB2312"/>
          <w:color w:val="000000"/>
          <w:spacing w:val="-2"/>
          <w:sz w:val="32"/>
          <w:szCs w:val="32"/>
        </w:rPr>
        <w:t>2.69</w:t>
      </w:r>
      <w:r>
        <w:rPr>
          <w:rFonts w:hint="eastAsia" w:ascii="仿宋" w:eastAsia="仿宋"/>
          <w:color w:val="000000"/>
          <w:sz w:val="32"/>
          <w:szCs w:val="32"/>
        </w:rPr>
        <w:t>万元，增加</w:t>
      </w:r>
      <w:r>
        <w:rPr>
          <w:rFonts w:hint="eastAsia" w:ascii="仿宋_GB2312" w:eastAsia="仿宋_GB2312"/>
          <w:spacing w:val="-2"/>
          <w:sz w:val="32"/>
          <w:szCs w:val="32"/>
        </w:rPr>
        <w:t>0.26%</w:t>
      </w:r>
      <w:r>
        <w:rPr>
          <w:rFonts w:hint="eastAsia" w:ascii="仿宋" w:eastAsia="仿宋"/>
          <w:color w:val="000000"/>
          <w:sz w:val="32"/>
          <w:szCs w:val="32"/>
        </w:rPr>
        <w:t>。</w:t>
      </w:r>
      <w:r>
        <w:rPr>
          <w:rFonts w:hint="eastAsia" w:ascii="仿宋_GB2312" w:eastAsia="仿宋_GB2312"/>
          <w:color w:val="000000"/>
          <w:spacing w:val="-2"/>
          <w:sz w:val="32"/>
          <w:szCs w:val="32"/>
        </w:rPr>
        <w:t>增加的主要原因是2020年项目较2019增加，财政应返还资金增加。</w:t>
      </w:r>
    </w:p>
    <w:p>
      <w:pPr>
        <w:snapToGrid w:val="0"/>
        <w:spacing w:line="520" w:lineRule="exact"/>
        <w:rPr>
          <w:rFonts w:ascii="仿宋" w:eastAsia="仿宋"/>
          <w:color w:val="FF0000"/>
          <w:sz w:val="32"/>
          <w:szCs w:val="32"/>
        </w:rPr>
      </w:pPr>
      <w:r>
        <w:rPr>
          <w:rFonts w:hint="eastAsia" w:ascii="仿宋" w:eastAsia="仿宋"/>
          <w:color w:val="000000"/>
          <w:sz w:val="32"/>
          <w:szCs w:val="32"/>
        </w:rPr>
        <w:t>2020年财政拨款支出</w:t>
      </w:r>
      <w:r>
        <w:rPr>
          <w:rFonts w:hint="eastAsia" w:ascii="仿宋_GB2312" w:eastAsia="仿宋_GB2312"/>
          <w:spacing w:val="-2"/>
          <w:sz w:val="32"/>
          <w:szCs w:val="32"/>
        </w:rPr>
        <w:t>639.8</w:t>
      </w:r>
      <w:r>
        <w:rPr>
          <w:rFonts w:hint="eastAsia" w:ascii="仿宋" w:eastAsia="仿宋"/>
          <w:color w:val="000000"/>
          <w:sz w:val="32"/>
          <w:szCs w:val="32"/>
        </w:rPr>
        <w:t>万元，</w:t>
      </w:r>
      <w:r>
        <w:rPr>
          <w:rFonts w:hint="eastAsia" w:ascii="仿宋" w:eastAsia="仿宋"/>
          <w:sz w:val="32"/>
          <w:szCs w:val="32"/>
        </w:rPr>
        <w:t>较上年支出增加</w:t>
      </w:r>
      <w:r>
        <w:rPr>
          <w:rFonts w:hint="eastAsia" w:ascii="仿宋_GB2312" w:eastAsia="仿宋_GB2312"/>
          <w:spacing w:val="-2"/>
          <w:sz w:val="32"/>
          <w:szCs w:val="32"/>
        </w:rPr>
        <w:t>16.15</w:t>
      </w:r>
      <w:r>
        <w:rPr>
          <w:rFonts w:hint="eastAsia" w:ascii="仿宋" w:eastAsia="仿宋"/>
          <w:sz w:val="32"/>
          <w:szCs w:val="32"/>
        </w:rPr>
        <w:t>万元，增加0.26%</w:t>
      </w:r>
      <w:r>
        <w:rPr>
          <w:rFonts w:hint="eastAsia" w:ascii="仿宋_GB2312" w:eastAsia="仿宋_GB2312"/>
          <w:spacing w:val="-2"/>
          <w:sz w:val="32"/>
          <w:szCs w:val="32"/>
        </w:rPr>
        <w:t>。</w:t>
      </w:r>
    </w:p>
    <w:p>
      <w:pPr>
        <w:spacing w:line="600" w:lineRule="exact"/>
        <w:ind w:firstLine="640" w:firstLineChars="200"/>
        <w:rPr>
          <w:rStyle w:val="19"/>
          <w:rFonts w:ascii="黑体" w:eastAsia="黑体"/>
          <w:b w:val="0"/>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13" w:name="_Toc15377209"/>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13"/>
    </w:p>
    <w:p>
      <w:pPr>
        <w:spacing w:line="600" w:lineRule="exact"/>
        <w:ind w:firstLine="643" w:firstLineChars="200"/>
        <w:outlineLvl w:val="2"/>
        <w:rPr>
          <w:rFonts w:ascii="仿宋" w:eastAsia="仿宋"/>
          <w:b/>
          <w:color w:val="000000"/>
          <w:sz w:val="32"/>
          <w:szCs w:val="32"/>
        </w:rPr>
      </w:pPr>
      <w:bookmarkStart w:id="14" w:name="_Toc15377210"/>
      <w:r>
        <w:rPr>
          <w:rFonts w:hint="eastAsia" w:ascii="仿宋" w:eastAsia="仿宋"/>
          <w:b/>
          <w:color w:val="000000"/>
          <w:sz w:val="32"/>
          <w:szCs w:val="32"/>
        </w:rPr>
        <w:t>（一）一般公共预算财政拨款支出决算总体情况</w:t>
      </w:r>
      <w:bookmarkEnd w:id="14"/>
    </w:p>
    <w:p>
      <w:pPr>
        <w:snapToGrid w:val="0"/>
        <w:spacing w:line="520" w:lineRule="exact"/>
        <w:ind w:firstLine="640" w:firstLineChars="200"/>
        <w:rPr>
          <w:rFonts w:ascii="仿宋_GB2312" w:eastAsia="仿宋_GB2312"/>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一般公共预算财政拨款支出639.8万元，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w:t>
      </w:r>
      <w:r>
        <w:rPr>
          <w:rFonts w:hint="eastAsia" w:ascii="仿宋" w:eastAsia="仿宋"/>
          <w:sz w:val="32"/>
          <w:szCs w:val="32"/>
        </w:rPr>
        <w:t>增加</w:t>
      </w:r>
      <w:r>
        <w:rPr>
          <w:rFonts w:hint="eastAsia" w:ascii="仿宋_GB2312" w:eastAsia="仿宋_GB2312"/>
          <w:spacing w:val="-2"/>
          <w:sz w:val="32"/>
          <w:szCs w:val="32"/>
        </w:rPr>
        <w:t>16.15万元，</w:t>
      </w:r>
      <w:r>
        <w:rPr>
          <w:rFonts w:hint="eastAsia" w:ascii="仿宋" w:eastAsia="仿宋"/>
          <w:sz w:val="32"/>
          <w:szCs w:val="32"/>
        </w:rPr>
        <w:t>增加0.26%</w:t>
      </w:r>
      <w:r>
        <w:rPr>
          <w:rFonts w:hint="eastAsia" w:ascii="仿宋_GB2312" w:eastAsia="仿宋_GB2312"/>
          <w:spacing w:val="-2"/>
          <w:sz w:val="32"/>
          <w:szCs w:val="32"/>
        </w:rPr>
        <w:t>。主要原因是2020年支出包含了上年结转项目较2019年有所增加。</w:t>
      </w:r>
    </w:p>
    <w:p>
      <w:pPr>
        <w:snapToGrid w:val="0"/>
        <w:spacing w:line="520" w:lineRule="exact"/>
        <w:ind w:firstLine="632" w:firstLineChars="200"/>
        <w:rPr>
          <w:rFonts w:ascii="仿宋_GB2312" w:eastAsia="仿宋_GB2312"/>
          <w:color w:val="FF0000"/>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15" w:name="_Toc15377211"/>
      <w:r>
        <w:rPr>
          <w:rFonts w:hint="eastAsia" w:ascii="仿宋" w:eastAsia="仿宋"/>
          <w:b/>
          <w:color w:val="000000"/>
          <w:sz w:val="32"/>
          <w:szCs w:val="32"/>
        </w:rPr>
        <w:t>（二）一般公共预算财政拨款支出决算结构情况</w:t>
      </w:r>
      <w:bookmarkEnd w:id="15"/>
    </w:p>
    <w:p>
      <w:pPr>
        <w:snapToGrid w:val="0"/>
        <w:spacing w:line="520" w:lineRule="exact"/>
        <w:ind w:firstLine="640" w:firstLineChars="200"/>
        <w:rPr>
          <w:rFonts w:ascii="仿宋_GB2312" w:hAnsi="仿宋" w:eastAsia="仿宋_GB2312"/>
          <w:sz w:val="32"/>
          <w:szCs w:val="32"/>
        </w:rPr>
      </w:pPr>
      <w:bookmarkStart w:id="16" w:name="_Toc15378460"/>
      <w:bookmarkStart w:id="17" w:name="_Toc15377213"/>
      <w:bookmarkStart w:id="18" w:name="_Toc15377444"/>
      <w:r>
        <w:rPr>
          <w:rFonts w:hint="eastAsia" w:ascii="仿宋_GB2312" w:hAnsi="仿宋" w:eastAsia="仿宋_GB2312"/>
          <w:sz w:val="32"/>
          <w:szCs w:val="32"/>
        </w:rPr>
        <w:t>2020年一般公共预算财政拨款基本支出436.2万元，其中：人员经费412.04万元，主要包括：主要包括：基本工资85.22万元、津贴补贴121.35万元、奖金7.25万元、绩效工资19.35万元、机关事业乡基本养老保险缴费31.99万元、职业年金缴费15.91万元、职工基本医疗保险缴费15.81万元、公务员医疗补助缴费4.7万元、其他社会保障缴费2.77万元、住房公积金34.15万元、生活补助1.29万元（疫情防控值班补助）、奖励金72.25万元（2019年目标奖72.24，独生子女费0.01万元）。</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公用经费24.16万元，主要包括：办公费7.16万元、电费1万元、邮电费1.5万元、取暖费0.5万元、差旅费3.59万元、劳务费2.99万元、公务用车运行维护费5.32万元、其他交通费用2万元、其他商品和服务支出0.1万元。</w:t>
      </w:r>
    </w:p>
    <w:p>
      <w:pPr>
        <w:spacing w:line="600" w:lineRule="exact"/>
        <w:ind w:firstLine="8320" w:firstLineChars="2600"/>
        <w:outlineLvl w:val="2"/>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highlight w:val="yellow"/>
        </w:rPr>
      </w:pPr>
      <w:bookmarkStart w:id="19" w:name="_Toc15377212"/>
      <w:r>
        <w:rPr>
          <w:rFonts w:hint="eastAsia" w:ascii="仿宋" w:eastAsia="仿宋"/>
          <w:b/>
          <w:color w:val="000000"/>
          <w:sz w:val="32"/>
          <w:szCs w:val="32"/>
          <w:highlight w:val="yellow"/>
        </w:rPr>
        <w:t>（三）一般公共预算财政拨款支出决算具体情况</w:t>
      </w:r>
      <w:bookmarkEnd w:id="19"/>
    </w:p>
    <w:p>
      <w:pPr>
        <w:spacing w:line="600" w:lineRule="exact"/>
        <w:outlineLvl w:val="2"/>
        <w:rPr>
          <w:rFonts w:ascii="仿宋" w:eastAsia="仿宋"/>
          <w:bCs/>
          <w:color w:val="FF0000"/>
          <w:sz w:val="32"/>
          <w:szCs w:val="32"/>
          <w:highlight w:val="yellow"/>
        </w:rPr>
      </w:pPr>
      <w:r>
        <w:rPr>
          <w:rFonts w:hint="eastAsia" w:ascii="仿宋" w:eastAsia="仿宋"/>
          <w:bCs/>
          <w:color w:val="000000"/>
          <w:sz w:val="32"/>
          <w:szCs w:val="32"/>
          <w:highlight w:val="yellow"/>
        </w:rPr>
        <w:t xml:space="preserve">    2020年一般公共预算数为488.08万元，支出决算数为639.8万元，完</w:t>
      </w:r>
      <w:r>
        <w:rPr>
          <w:rStyle w:val="16"/>
          <w:rFonts w:hint="eastAsia" w:ascii="仿宋" w:eastAsia="仿宋"/>
          <w:b w:val="0"/>
          <w:bCs/>
          <w:color w:val="000000"/>
          <w:sz w:val="32"/>
          <w:szCs w:val="32"/>
          <w:highlight w:val="yellow"/>
        </w:rPr>
        <w:t>成预算100</w:t>
      </w:r>
      <w:r>
        <w:rPr>
          <w:rStyle w:val="16"/>
          <w:rFonts w:ascii="仿宋" w:eastAsia="仿宋"/>
          <w:b w:val="0"/>
          <w:bCs/>
          <w:color w:val="000000"/>
          <w:sz w:val="32"/>
          <w:szCs w:val="32"/>
          <w:highlight w:val="yellow"/>
        </w:rPr>
        <w:t>%</w:t>
      </w:r>
      <w:r>
        <w:rPr>
          <w:rStyle w:val="16"/>
          <w:rFonts w:hint="eastAsia" w:ascii="仿宋" w:eastAsia="仿宋"/>
          <w:b w:val="0"/>
          <w:bCs/>
          <w:color w:val="000000"/>
          <w:sz w:val="32"/>
          <w:szCs w:val="32"/>
          <w:highlight w:val="yellow"/>
        </w:rPr>
        <w:t>。结转下年12.3万元。其中：</w:t>
      </w:r>
      <w:bookmarkEnd w:id="16"/>
      <w:bookmarkEnd w:id="17"/>
      <w:bookmarkEnd w:id="18"/>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1.一般公共服务（类）人大事务</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支出决算为14.71万元，完成预算100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一般公共服务（类）政府办公厅（室）及相关机构事务（款）一般行政管理事务（项）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支出决算为257.33万元，完成预算100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3</w:t>
      </w:r>
      <w:r>
        <w:rPr>
          <w:rStyle w:val="16"/>
          <w:rFonts w:ascii="仿宋" w:eastAsia="仿宋"/>
          <w:bCs/>
          <w:color w:val="000000"/>
          <w:sz w:val="32"/>
          <w:szCs w:val="32"/>
        </w:rPr>
        <w:t>.</w:t>
      </w:r>
      <w:r>
        <w:rPr>
          <w:rStyle w:val="16"/>
          <w:rFonts w:hint="eastAsia" w:ascii="仿宋" w:eastAsia="仿宋"/>
          <w:bCs/>
          <w:color w:val="000000"/>
          <w:sz w:val="32"/>
          <w:szCs w:val="32"/>
        </w:rPr>
        <w:t>一般公共服务（类）党委办公厅（室）及相关机构事务（款）一般行政管理事务（项）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支出决算为11.19万元，完成预算100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4</w:t>
      </w:r>
      <w:r>
        <w:rPr>
          <w:rStyle w:val="16"/>
          <w:rFonts w:ascii="仿宋" w:eastAsia="仿宋"/>
          <w:bCs/>
          <w:color w:val="000000"/>
          <w:sz w:val="32"/>
          <w:szCs w:val="32"/>
        </w:rPr>
        <w:t>.</w:t>
      </w:r>
      <w:r>
        <w:rPr>
          <w:rStyle w:val="16"/>
          <w:rFonts w:hint="eastAsia" w:ascii="仿宋" w:eastAsia="仿宋"/>
          <w:bCs/>
          <w:color w:val="000000"/>
          <w:sz w:val="32"/>
          <w:szCs w:val="32"/>
        </w:rPr>
        <w:t>社会保障和就业（类）民政管理事务（款）基层政权建设和社区治理（项）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支出决算为15万元，完成预算100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5</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社会保障和就业（类）行政事业乡离退休（款）机关事业乡基本养老保险缴费支出（项）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支出决算为31.99万元，完成预算100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6</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社会保障和就业（类）行政事业乡离退休（款）机关事业乡基本职业年金缴费支出（项）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支出决算为15.91万元，完成预算100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7.卫生健康支出（类）公共卫生（款）突发公共卫生事件应急处理（项）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支出决算为6.3万元，完成预算100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8.卫生健康支出（类）行政事业乡医疗（款）行政乡医疗（项）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支出决算为15.8万元，完成预算100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9.卫生健康支出（类）行政事业乡医疗（款）公务员医疗补助（项）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支出决算为4.7万元，完成预算100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10.农林水支出（类）林业和草原（款）</w:t>
      </w:r>
      <w:r>
        <w:rPr>
          <w:rStyle w:val="19"/>
          <w:rFonts w:hint="eastAsia"/>
        </w:rPr>
        <w:t>事业机构（</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支出决算为53.24万元。</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11.农林水支出（类）农村综合事务改革（款）</w:t>
      </w:r>
      <w:r>
        <w:rPr>
          <w:rStyle w:val="19"/>
          <w:rFonts w:hint="eastAsia"/>
        </w:rPr>
        <w:t>对村民委员会和党支部的执行（</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支出决算为132.92万元，完成预算100</w:t>
      </w:r>
      <w:r>
        <w:rPr>
          <w:rStyle w:val="16"/>
          <w:rFonts w:ascii="仿宋" w:eastAsia="仿宋"/>
          <w:b w:val="0"/>
          <w:bCs/>
          <w:color w:val="000000"/>
          <w:sz w:val="32"/>
          <w:szCs w:val="32"/>
        </w:rPr>
        <w:t>%</w:t>
      </w:r>
      <w:bookmarkStart w:id="20" w:name="_Toc15377214"/>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12.住房保障（类）住房改革支出（款）住房公积金（项）：</w:t>
      </w:r>
      <w:r>
        <w:rPr>
          <w:rStyle w:val="16"/>
          <w:rFonts w:hint="eastAsia" w:ascii="仿宋" w:eastAsia="仿宋"/>
          <w:b w:val="0"/>
          <w:bCs/>
          <w:color w:val="000000"/>
          <w:sz w:val="32"/>
          <w:szCs w:val="32"/>
        </w:rPr>
        <w:t>支出决算为34.15万元。</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13.其他支出（类）其他支出（款）其他支出（项）：</w:t>
      </w:r>
      <w:r>
        <w:rPr>
          <w:rStyle w:val="16"/>
          <w:rFonts w:hint="eastAsia" w:ascii="仿宋" w:eastAsia="仿宋"/>
          <w:b w:val="0"/>
          <w:bCs/>
          <w:color w:val="000000"/>
          <w:sz w:val="32"/>
          <w:szCs w:val="32"/>
        </w:rPr>
        <w:t>支出决算为46.55万元。</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20"/>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w:t>
      </w:r>
      <w:r>
        <w:rPr>
          <w:rFonts w:hint="eastAsia" w:ascii="仿宋_GB2312" w:hAnsi="仿宋" w:eastAsia="仿宋_GB2312"/>
          <w:sz w:val="32"/>
          <w:szCs w:val="32"/>
        </w:rPr>
        <w:t>436.2</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hint="eastAsia" w:ascii="仿宋_GB2312" w:hAnsi="仿宋" w:eastAsia="仿宋_GB2312"/>
          <w:sz w:val="32"/>
          <w:szCs w:val="32"/>
        </w:rPr>
        <w:t>412.04</w:t>
      </w:r>
      <w:r>
        <w:rPr>
          <w:rFonts w:hint="eastAsia" w:ascii="仿宋" w:eastAsia="仿宋"/>
          <w:color w:val="000000"/>
          <w:sz w:val="32"/>
          <w:szCs w:val="32"/>
        </w:rPr>
        <w:t>万元，主要包括：基本工资61.43万元、津贴补贴109.82万元、奖金4.77万元、伙食补助费0万元、绩效工资16.37万元，机关事业乡基本养老保险缴费24.17万元、职业年金缴费12.08万元、职工基本医疗保险缴费13.15万元、公务员医疗补助缴费4.32万元、其他社会保障缴费0.71万元、其他工资福利支出0万元、生活补助8.31万元、抚恤金0万元、住房公积金27.08万元、其他对个人和家庭的补助支出0万元、奖励金55.35万元等。</w:t>
      </w:r>
    </w:p>
    <w:p>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　　</w:t>
      </w:r>
      <w:r>
        <w:rPr>
          <w:rFonts w:hint="eastAsia" w:ascii="仿宋_GB2312" w:hAnsi="仿宋" w:eastAsia="仿宋_GB2312"/>
          <w:sz w:val="32"/>
          <w:szCs w:val="32"/>
        </w:rPr>
        <w:t>公用经费24.16万元，主要包括：办公费7.16万元、电费1万元、邮电费1.5万元、取暖费0.5万元、差旅费3.59万元、劳务费2.99万元、公务用车运行维护费5.32万元、其他交通费用2万元、其他商品和服务支出0.1万元。</w:t>
      </w:r>
    </w:p>
    <w:p>
      <w:pPr>
        <w:spacing w:line="600" w:lineRule="exact"/>
        <w:ind w:firstLine="640" w:firstLineChars="200"/>
        <w:outlineLvl w:val="1"/>
        <w:rPr>
          <w:rStyle w:val="19"/>
          <w:rFonts w:ascii="黑体" w:eastAsia="黑体"/>
          <w:b w:val="0"/>
        </w:rPr>
      </w:pPr>
      <w:bookmarkStart w:id="21" w:name="_Toc15377215"/>
      <w:bookmarkStart w:id="22" w:name="_Toc20863"/>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21"/>
      <w:bookmarkEnd w:id="22"/>
    </w:p>
    <w:p>
      <w:pPr>
        <w:spacing w:line="600" w:lineRule="exact"/>
        <w:ind w:firstLine="640"/>
        <w:outlineLvl w:val="2"/>
        <w:rPr>
          <w:rFonts w:ascii="仿宋" w:eastAsia="仿宋"/>
          <w:b/>
          <w:color w:val="000000"/>
          <w:sz w:val="32"/>
          <w:szCs w:val="32"/>
        </w:rPr>
      </w:pPr>
      <w:bookmarkStart w:id="23" w:name="_Toc15377216"/>
      <w:r>
        <w:rPr>
          <w:rFonts w:hint="eastAsia" w:ascii="仿宋" w:eastAsia="仿宋"/>
          <w:b/>
          <w:color w:val="000000"/>
          <w:sz w:val="32"/>
          <w:szCs w:val="32"/>
        </w:rPr>
        <w:t>（一）“三公”经费财政拨款支出决算总体情况说明</w:t>
      </w:r>
      <w:bookmarkEnd w:id="23"/>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w:t>
      </w:r>
      <w:r>
        <w:rPr>
          <w:rFonts w:hint="eastAsia" w:ascii="仿宋_GB2312" w:eastAsia="仿宋_GB2312"/>
          <w:sz w:val="32"/>
          <w:szCs w:val="32"/>
        </w:rPr>
        <w:t>5.32</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24" w:name="_Toc15377217"/>
      <w:r>
        <w:rPr>
          <w:rFonts w:hint="eastAsia" w:ascii="仿宋" w:eastAsia="仿宋"/>
          <w:b/>
          <w:color w:val="000000"/>
          <w:sz w:val="32"/>
          <w:szCs w:val="32"/>
        </w:rPr>
        <w:t>（二）“三公”经费财政拨款支出决算具体情况说明</w:t>
      </w:r>
      <w:bookmarkEnd w:id="2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决算5.32万元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_GB2312" w:eastAsia="仿宋_GB2312"/>
          <w:sz w:val="32"/>
          <w:szCs w:val="32"/>
        </w:rPr>
        <w:t>5.32</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公出国（境）支出决算与</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持平。</w:t>
      </w:r>
    </w:p>
    <w:p>
      <w:pPr>
        <w:spacing w:line="600" w:lineRule="exact"/>
        <w:ind w:firstLine="645"/>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5.32万元,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sz w:val="32"/>
          <w:szCs w:val="32"/>
        </w:rPr>
        <w:t>2020年度“三公”经费财政拨款支出决算数比2019年增加0.76万元，</w:t>
      </w:r>
      <w:r>
        <w:rPr>
          <w:rFonts w:hint="eastAsia" w:ascii="仿宋_GB2312" w:hAnsi="仿宋" w:eastAsia="仿宋_GB2312" w:cs="仿宋"/>
          <w:color w:val="000000"/>
          <w:sz w:val="32"/>
          <w:szCs w:val="32"/>
        </w:rPr>
        <w:t>增长16.87%，原因为疫情防控、精准扶贫及防汛、应急救灾公务用车使用次数增加。</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0万元。全年按规定更新购置公务用车0辆。截至2020年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日，共有车辆3辆，其中：部级领导干部用车0辆、主要领导干部用车0辆、机要通信用车0辆、应急保障用车0辆、执法执勤用车0辆、特种专业技术用车0辆、离退休干部用车0辆、其他用车1辆；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Cs/>
          <w:color w:val="000000"/>
          <w:sz w:val="30"/>
          <w:szCs w:val="30"/>
        </w:rPr>
        <w:t>5.32</w:t>
      </w:r>
      <w:r>
        <w:rPr>
          <w:rFonts w:hint="eastAsia" w:ascii="仿宋_GB2312" w:eastAsia="仿宋_GB2312"/>
          <w:sz w:val="32"/>
          <w:szCs w:val="32"/>
        </w:rPr>
        <w:t>万元。</w:t>
      </w:r>
      <w:r>
        <w:rPr>
          <w:rFonts w:hint="eastAsia" w:ascii="仿宋_GB2312" w:eastAsia="仿宋_GB2312"/>
          <w:color w:val="000000"/>
          <w:sz w:val="32"/>
          <w:szCs w:val="32"/>
        </w:rPr>
        <w:t>主要用我乡所需的公务用车燃料费、维修费、过路过桥费、保险费等支出。</w:t>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s="仿宋"/>
          <w:color w:val="000000"/>
          <w:sz w:val="32"/>
          <w:szCs w:val="32"/>
        </w:rPr>
        <w:t>公务接待费0万元，与上年持平。</w:t>
      </w:r>
    </w:p>
    <w:p>
      <w:pPr>
        <w:spacing w:line="600" w:lineRule="exact"/>
        <w:ind w:firstLine="640"/>
        <w:outlineLvl w:val="1"/>
        <w:rPr>
          <w:rFonts w:ascii="仿宋_GB2312" w:eastAsia="仿宋_GB2312"/>
          <w:color w:val="000000"/>
          <w:sz w:val="32"/>
          <w:szCs w:val="32"/>
        </w:rPr>
      </w:pPr>
      <w:bookmarkStart w:id="25" w:name="_Toc14393"/>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End w:id="25"/>
      <w:bookmarkStart w:id="26" w:name="_Toc15377218"/>
    </w:p>
    <w:p>
      <w:pPr>
        <w:spacing w:line="600" w:lineRule="exact"/>
        <w:ind w:firstLine="640"/>
        <w:outlineLvl w:val="1"/>
        <w:rPr>
          <w:rStyle w:val="19"/>
          <w:rFonts w:ascii="黑体" w:eastAsia="黑体"/>
        </w:rPr>
      </w:pPr>
      <w:bookmarkStart w:id="27" w:name="_Toc24437"/>
      <w:r>
        <w:rPr>
          <w:rFonts w:hint="eastAsia" w:ascii="黑体" w:eastAsia="黑体"/>
          <w:color w:val="000000"/>
          <w:sz w:val="32"/>
          <w:szCs w:val="32"/>
        </w:rPr>
        <w:t>八、</w:t>
      </w:r>
      <w:r>
        <w:rPr>
          <w:rStyle w:val="19"/>
          <w:rFonts w:hint="eastAsia" w:ascii="黑体" w:eastAsia="黑体"/>
          <w:b w:val="0"/>
        </w:rPr>
        <w:t>政府性基金预算支出决算情况说明</w:t>
      </w:r>
      <w:bookmarkEnd w:id="26"/>
      <w:bookmarkEnd w:id="2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3"/>
        </w:numPr>
        <w:spacing w:line="600" w:lineRule="exact"/>
        <w:ind w:firstLine="640"/>
        <w:outlineLvl w:val="1"/>
        <w:rPr>
          <w:rStyle w:val="19"/>
          <w:rFonts w:ascii="黑体" w:eastAsia="黑体"/>
          <w:b w:val="0"/>
        </w:rPr>
      </w:pPr>
      <w:bookmarkStart w:id="28" w:name="_Toc15377219"/>
      <w:bookmarkStart w:id="29" w:name="_Toc1204"/>
      <w:r>
        <w:rPr>
          <w:rStyle w:val="19"/>
          <w:rFonts w:hint="eastAsia" w:ascii="黑体" w:eastAsia="黑体"/>
          <w:b w:val="0"/>
        </w:rPr>
        <w:t>国有资本经营预算支出决算情况说明</w:t>
      </w:r>
      <w:bookmarkEnd w:id="28"/>
      <w:bookmarkEnd w:id="2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4"/>
        <w:numPr>
          <w:ilvl w:val="0"/>
          <w:numId w:val="4"/>
        </w:numPr>
        <w:spacing w:line="580" w:lineRule="exact"/>
        <w:ind w:firstLineChars="0"/>
        <w:rPr>
          <w:rStyle w:val="19"/>
          <w:rFonts w:ascii="黑体" w:eastAsia="黑体"/>
          <w:b w:val="0"/>
        </w:rPr>
      </w:pPr>
      <w:bookmarkStart w:id="30" w:name="_Toc31885"/>
      <w:r>
        <w:rPr>
          <w:rStyle w:val="19"/>
          <w:rFonts w:hint="eastAsia" w:ascii="黑体" w:eastAsia="黑体"/>
          <w:b w:val="0"/>
        </w:rPr>
        <w:t>预算绩效情况说明</w:t>
      </w:r>
    </w:p>
    <w:bookmarkEnd w:id="30"/>
    <w:p>
      <w:pPr>
        <w:numPr>
          <w:ilvl w:val="0"/>
          <w:numId w:val="5"/>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hint="eastAsia" w:ascii="仿宋_GB2312" w:eastAsia="仿宋_GB2312"/>
          <w:sz w:val="32"/>
          <w:szCs w:val="32"/>
          <w:lang w:eastAsia="zh-CN"/>
        </w:rPr>
      </w:pPr>
      <w:r>
        <w:rPr>
          <w:rFonts w:hint="eastAsia" w:ascii="仿宋_GB2312" w:eastAsia="仿宋_GB2312" w:cs="仿宋_GB2312"/>
          <w:sz w:val="32"/>
          <w:szCs w:val="32"/>
          <w:lang w:eastAsia="zh-CN"/>
        </w:rPr>
        <w:t>我乡</w:t>
      </w:r>
      <w:r>
        <w:rPr>
          <w:rFonts w:hint="eastAsia" w:ascii="仿宋_GB2312" w:eastAsia="仿宋_GB2312" w:cs="仿宋_GB2312"/>
          <w:sz w:val="32"/>
          <w:szCs w:val="32"/>
        </w:rPr>
        <w:t>按要求对</w:t>
      </w:r>
      <w:r>
        <w:rPr>
          <w:rFonts w:hint="eastAsia" w:ascii="仿宋_GB2312" w:eastAsia="仿宋_GB2312" w:cs="仿宋_GB2312"/>
          <w:sz w:val="32"/>
          <w:szCs w:val="32"/>
          <w:lang w:eastAsia="zh-CN"/>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庆宁乡人民政府</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r>
        <w:rPr>
          <w:rFonts w:hint="eastAsia" w:ascii="仿宋_GB2312" w:eastAsia="仿宋_GB2312" w:cs="仿宋_GB2312"/>
          <w:sz w:val="32"/>
          <w:szCs w:val="32"/>
          <w:lang w:eastAsia="zh-CN"/>
        </w:rPr>
        <w:t>。</w:t>
      </w:r>
    </w:p>
    <w:p>
      <w:pPr>
        <w:spacing w:line="600" w:lineRule="exact"/>
        <w:ind w:firstLine="640" w:firstLineChars="200"/>
        <w:outlineLvl w:val="1"/>
        <w:rPr>
          <w:rStyle w:val="19"/>
          <w:rFonts w:ascii="黑体" w:eastAsia="黑体"/>
        </w:rPr>
      </w:pPr>
      <w:bookmarkStart w:id="31" w:name="_Toc29938"/>
      <w:bookmarkStart w:id="32" w:name="_Toc15377221"/>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31"/>
      <w:bookmarkEnd w:id="32"/>
    </w:p>
    <w:p>
      <w:pPr>
        <w:spacing w:line="600" w:lineRule="exact"/>
        <w:ind w:firstLine="643" w:firstLineChars="200"/>
        <w:outlineLvl w:val="2"/>
        <w:rPr>
          <w:rFonts w:ascii="仿宋" w:eastAsia="仿宋"/>
          <w:color w:val="000000"/>
          <w:sz w:val="32"/>
          <w:szCs w:val="32"/>
        </w:rPr>
      </w:pPr>
      <w:bookmarkStart w:id="33" w:name="_Toc15377222"/>
      <w:r>
        <w:rPr>
          <w:rFonts w:hint="eastAsia" w:ascii="仿宋" w:eastAsia="仿宋"/>
          <w:b/>
          <w:color w:val="000000"/>
          <w:sz w:val="32"/>
          <w:szCs w:val="32"/>
        </w:rPr>
        <w:t>（一）机关运行经费支出情况</w:t>
      </w:r>
      <w:bookmarkEnd w:id="33"/>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2020年，我乡运行经费支出</w:t>
      </w:r>
      <w:r>
        <w:rPr>
          <w:rFonts w:hint="eastAsia" w:ascii="仿宋_GB2312" w:hAnsi="仿宋" w:eastAsia="仿宋_GB2312"/>
          <w:sz w:val="32"/>
          <w:szCs w:val="32"/>
        </w:rPr>
        <w:t>0</w:t>
      </w:r>
      <w:r>
        <w:rPr>
          <w:rFonts w:hint="eastAsia" w:ascii="仿宋_GB2312" w:eastAsia="仿宋_GB2312"/>
          <w:color w:val="000000"/>
          <w:sz w:val="32"/>
          <w:szCs w:val="32"/>
        </w:rPr>
        <w:t>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34" w:name="_Toc15377223"/>
      <w:r>
        <w:rPr>
          <w:rFonts w:hint="eastAsia" w:ascii="仿宋" w:eastAsia="仿宋"/>
          <w:b/>
          <w:color w:val="000000"/>
          <w:sz w:val="32"/>
          <w:szCs w:val="32"/>
        </w:rPr>
        <w:t>（二）政府采购支出情况</w:t>
      </w:r>
      <w:bookmarkEnd w:id="34"/>
    </w:p>
    <w:p>
      <w:pPr>
        <w:spacing w:line="600" w:lineRule="exact"/>
        <w:ind w:firstLine="640" w:firstLineChars="200"/>
        <w:rPr>
          <w:rFonts w:ascii="仿宋" w:eastAsia="仿宋"/>
          <w:b/>
          <w:sz w:val="32"/>
          <w:szCs w:val="32"/>
        </w:rPr>
      </w:pPr>
      <w:r>
        <w:rPr>
          <w:rFonts w:hint="eastAsia" w:ascii="仿宋_GB2312" w:eastAsia="仿宋_GB2312"/>
          <w:color w:val="000000"/>
          <w:sz w:val="32"/>
          <w:szCs w:val="32"/>
        </w:rPr>
        <w:t>2020年，政府采购支出总额0万元，其中：政府采购货物支出0万元、政府采购服务支出0万元。</w:t>
      </w:r>
      <w:r>
        <w:rPr>
          <w:rFonts w:hint="eastAsia" w:ascii="仿宋_GB2312" w:eastAsia="仿宋_GB2312"/>
          <w:sz w:val="32"/>
          <w:szCs w:val="32"/>
        </w:rPr>
        <w:t>主要用于办公设备购置、口岸物流办可研报告编制服务费。</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35" w:name="_Toc15377224"/>
      <w:r>
        <w:rPr>
          <w:rFonts w:hint="eastAsia" w:ascii="仿宋" w:eastAsia="仿宋"/>
          <w:b/>
          <w:color w:val="000000"/>
          <w:sz w:val="32"/>
          <w:szCs w:val="32"/>
        </w:rPr>
        <w:t>（三）国有资产占有使用情况</w:t>
      </w:r>
      <w:bookmarkEnd w:id="35"/>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w:t>
      </w:r>
      <w:r>
        <w:rPr>
          <w:rFonts w:hint="eastAsia" w:ascii="仿宋_GB2312" w:eastAsia="仿宋_GB2312"/>
          <w:b/>
          <w:color w:val="000000"/>
          <w:sz w:val="32"/>
          <w:szCs w:val="32"/>
        </w:rPr>
        <w:t xml:space="preserve">    </w:t>
      </w:r>
    </w:p>
    <w:p>
      <w:pPr>
        <w:numPr>
          <w:ilvl w:val="0"/>
          <w:numId w:val="6"/>
        </w:numPr>
        <w:spacing w:line="600" w:lineRule="exact"/>
        <w:ind w:firstLine="663" w:firstLineChars="150"/>
        <w:jc w:val="center"/>
        <w:outlineLvl w:val="0"/>
        <w:rPr>
          <w:rStyle w:val="18"/>
          <w:rFonts w:ascii="黑体" w:eastAsia="黑体"/>
          <w:b w:val="0"/>
        </w:rPr>
      </w:pPr>
      <w:bookmarkStart w:id="36" w:name="_Toc26599"/>
      <w:bookmarkStart w:id="37" w:name="_Toc15377225"/>
      <w:r>
        <w:rPr>
          <w:rFonts w:hint="eastAsia" w:ascii="黑体" w:eastAsia="黑体"/>
          <w:b/>
          <w:color w:val="000000"/>
          <w:sz w:val="44"/>
          <w:szCs w:val="44"/>
        </w:rPr>
        <w:t>名</w:t>
      </w:r>
      <w:r>
        <w:rPr>
          <w:rStyle w:val="18"/>
          <w:rFonts w:hint="eastAsia" w:ascii="黑体" w:eastAsia="黑体"/>
          <w:b w:val="0"/>
        </w:rPr>
        <w:t>词解释</w:t>
      </w:r>
      <w:bookmarkEnd w:id="36"/>
      <w:bookmarkEnd w:id="37"/>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财政拨款收入：指乡从同级财政部门取得的财政预算资金。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事业收入：指事业乡开展专业业务活动及辅助活动取得的收入。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经营收入：指事业乡在专业业务活动及其辅助活动之外开展非独立核算经营活动取得的收入。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其他收入：指乡取得的除上述收入以外的各项收入。主要是银行存款利息和伙食团缴费等。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结余分配：指事业乡按照事业乡会计制度的规定从非财政补助结余中分配的事业基金和职工福利基金等。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7、年末结转和结余：指乡按有关规定结转到下年或以后年度继续使用的资金。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一般公共服务（类）政府办公厅（室）及相关机构事务（款）行政运行（项）：指行政乡的基本支出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指反映行政乡未单独设置顶级科目的其他项目支出。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社会保障和就业（类）行政事业乡离退休（款）机关事业乡基本养老保险缴费支出（项）：</w:t>
      </w:r>
      <w:r>
        <w:rPr>
          <w:rFonts w:hint="eastAsia" w:ascii="仿宋_GB2312" w:eastAsia="仿宋_GB2312"/>
          <w:color w:val="000000"/>
          <w:sz w:val="32"/>
          <w:szCs w:val="32"/>
        </w:rPr>
        <w:t>指乡为职工缴纳的基本养老保险费。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社会保障和就业（类）行政事业乡离退休（款）机关事业乡基本职业年金缴费支出（项）：</w:t>
      </w:r>
      <w:r>
        <w:rPr>
          <w:rFonts w:hint="eastAsia" w:ascii="仿宋_GB2312" w:eastAsia="仿宋_GB2312"/>
          <w:color w:val="000000"/>
          <w:sz w:val="32"/>
          <w:szCs w:val="32"/>
        </w:rPr>
        <w:t>指乡为职工实际缴纳的职业年金。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医疗卫生与计划生育（类）行政事业乡医疗（款）行政乡医疗（项）：指反映职工缴纳的基本医疗保险费。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医疗卫生与计划生育（类）行政事业乡医疗（款）公务员医疗补助（项）：指按规定可享受公务员医疗补助乡为职工缴纳的公务员医疗补助费。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住房保障（类）住房改革支出（款）住房公积金（项）：指乡按规定为职工缴纳的住房公积金。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乡公务出国（境）的国际旅费、国外城市间交通费、住宿费、伙食费、培训费、公杂费等支出；公务用车购置及运行费反映乡公务用车车辆购置支出（含车辆购置税）及租用费、燃料费、维修费、过路过桥费、保险费等支出；公务接待费反映乡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乡（含参照公务员法管理的事业乡）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pStyle w:val="4"/>
        <w:rPr>
          <w:rStyle w:val="26"/>
          <w:rFonts w:hint="eastAsia" w:ascii="仿宋" w:eastAsia="仿宋"/>
          <w:b w:val="0"/>
          <w:bCs w:val="0"/>
          <w:sz w:val="32"/>
          <w:szCs w:val="32"/>
        </w:rPr>
      </w:pPr>
      <w:bookmarkStart w:id="38" w:name="_Toc15396615"/>
      <w:r>
        <w:rPr>
          <w:rStyle w:val="26"/>
          <w:rFonts w:hint="eastAsia" w:ascii="仿宋" w:eastAsia="仿宋"/>
          <w:b w:val="0"/>
          <w:bCs w:val="0"/>
          <w:sz w:val="32"/>
          <w:szCs w:val="32"/>
        </w:rPr>
        <w:t>附件1</w:t>
      </w:r>
      <w:bookmarkEnd w:id="38"/>
    </w:p>
    <w:p>
      <w:pPr>
        <w:widowControl/>
        <w:spacing w:line="560" w:lineRule="atLeast"/>
        <w:jc w:val="center"/>
        <w:rPr>
          <w:rFonts w:hint="eastAsia" w:ascii="宋体" w:hAnsi="宋体" w:cs="宋体"/>
          <w:b/>
          <w:sz w:val="44"/>
          <w:szCs w:val="44"/>
        </w:rPr>
      </w:pPr>
      <w:r>
        <w:rPr>
          <w:rFonts w:hint="eastAsia" w:ascii="宋体" w:hAnsi="宋体" w:cs="宋体"/>
          <w:b/>
          <w:sz w:val="44"/>
          <w:szCs w:val="44"/>
        </w:rPr>
        <w:t>金川县</w:t>
      </w:r>
      <w:r>
        <w:rPr>
          <w:rFonts w:hint="eastAsia" w:ascii="宋体" w:hAnsi="宋体" w:cs="宋体"/>
          <w:b/>
          <w:sz w:val="44"/>
          <w:szCs w:val="44"/>
          <w:lang w:eastAsia="zh-CN"/>
        </w:rPr>
        <w:t>庆宁</w:t>
      </w:r>
      <w:r>
        <w:rPr>
          <w:rFonts w:hint="eastAsia" w:ascii="宋体" w:hAnsi="宋体" w:cs="宋体"/>
          <w:b/>
          <w:sz w:val="44"/>
          <w:szCs w:val="44"/>
        </w:rPr>
        <w:t>乡人民政府</w:t>
      </w:r>
    </w:p>
    <w:p>
      <w:pPr>
        <w:widowControl/>
        <w:spacing w:line="560" w:lineRule="atLeast"/>
        <w:jc w:val="center"/>
        <w:rPr>
          <w:rFonts w:ascii="仿宋_GB2312" w:hAnsi="仿宋"/>
          <w:color w:val="000000"/>
          <w:kern w:val="0"/>
          <w:shd w:val="clear" w:color="auto" w:fill="FFFFFF"/>
        </w:rPr>
      </w:pPr>
      <w:r>
        <w:rPr>
          <w:rFonts w:hint="eastAsia" w:ascii="宋体" w:hAnsi="宋体" w:cs="宋体"/>
          <w:b/>
          <w:sz w:val="44"/>
          <w:szCs w:val="44"/>
        </w:rPr>
        <w:t>20</w:t>
      </w:r>
      <w:r>
        <w:rPr>
          <w:rFonts w:hint="eastAsia" w:ascii="宋体" w:hAnsi="宋体" w:cs="宋体"/>
          <w:b/>
          <w:sz w:val="44"/>
          <w:szCs w:val="44"/>
          <w:lang w:val="en-US" w:eastAsia="zh-CN"/>
        </w:rPr>
        <w:t>20</w:t>
      </w:r>
      <w:r>
        <w:rPr>
          <w:rFonts w:hint="eastAsia" w:ascii="宋体" w:hAnsi="宋体" w:cs="宋体"/>
          <w:b/>
          <w:sz w:val="44"/>
          <w:szCs w:val="44"/>
        </w:rPr>
        <w:t>年</w:t>
      </w:r>
      <w:r>
        <w:rPr>
          <w:rFonts w:hint="eastAsia" w:ascii="宋体" w:hAnsi="宋体" w:cs="宋体"/>
          <w:b/>
          <w:sz w:val="44"/>
          <w:szCs w:val="44"/>
          <w:lang w:eastAsia="zh-CN"/>
        </w:rPr>
        <w:t>及</w:t>
      </w:r>
      <w:r>
        <w:rPr>
          <w:rFonts w:hint="eastAsia" w:ascii="宋体" w:hAnsi="宋体" w:cs="宋体"/>
          <w:b/>
          <w:sz w:val="44"/>
          <w:szCs w:val="44"/>
          <w:lang w:val="en-US" w:eastAsia="zh-CN"/>
        </w:rPr>
        <w:t>2021年1-6月</w:t>
      </w:r>
      <w:r>
        <w:rPr>
          <w:rFonts w:hint="eastAsia" w:ascii="宋体" w:hAnsi="宋体" w:cs="宋体"/>
          <w:b/>
          <w:sz w:val="44"/>
          <w:szCs w:val="44"/>
        </w:rPr>
        <w:t>部门整体支出绩效评价报告</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（一）庆宁乡人民政府下设“一办四中心一所”：具体组成为：党政综合办公室、综合文化发展中心、社会保障综合服务中心、经济发展中心、庆宁乡财政所。</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640" w:firstLineChars="200"/>
        <w:jc w:val="both"/>
        <w:textAlignment w:val="auto"/>
        <w:outlineLvl w:val="9"/>
        <w:rPr>
          <w:rFonts w:hint="eastAsia" w:ascii="仿宋_GB2312" w:eastAsia="仿宋_GB2312"/>
          <w:sz w:val="30"/>
          <w:szCs w:val="30"/>
        </w:rPr>
      </w:pPr>
      <w:r>
        <w:rPr>
          <w:rFonts w:hint="eastAsia" w:ascii="仿宋_GB2312" w:hAnsi="仿宋_GB2312" w:eastAsia="仿宋_GB2312" w:cs="仿宋_GB2312"/>
          <w:color w:val="000000"/>
          <w:kern w:val="0"/>
          <w:sz w:val="32"/>
          <w:szCs w:val="32"/>
          <w:lang w:val="zh-CN"/>
        </w:rPr>
        <w:t>（三）</w:t>
      </w:r>
      <w:r>
        <w:rPr>
          <w:rFonts w:hint="eastAsia" w:ascii="仿宋_GB2312" w:eastAsia="仿宋_GB2312"/>
          <w:sz w:val="30"/>
          <w:szCs w:val="30"/>
        </w:rPr>
        <w:t>1、机构情况：</w:t>
      </w:r>
      <w:r>
        <w:rPr>
          <w:rFonts w:hint="eastAsia" w:ascii="仿宋_GB2312" w:eastAsia="仿宋_GB2312"/>
          <w:b w:val="0"/>
          <w:bCs/>
          <w:sz w:val="32"/>
        </w:rPr>
        <w:t>我</w:t>
      </w:r>
      <w:r>
        <w:rPr>
          <w:rFonts w:hint="eastAsia" w:ascii="仿宋_GB2312" w:eastAsia="仿宋_GB2312"/>
          <w:b w:val="0"/>
          <w:bCs/>
          <w:sz w:val="32"/>
          <w:lang w:eastAsia="zh-CN"/>
        </w:rPr>
        <w:t>乡</w:t>
      </w:r>
      <w:r>
        <w:rPr>
          <w:rFonts w:hint="eastAsia" w:ascii="仿宋_GB2312" w:eastAsia="仿宋_GB2312"/>
          <w:b w:val="0"/>
          <w:bCs/>
          <w:sz w:val="32"/>
          <w:lang w:val="en-US" w:eastAsia="zh-CN"/>
        </w:rPr>
        <w:t>2020</w:t>
      </w:r>
      <w:r>
        <w:rPr>
          <w:rFonts w:hint="eastAsia" w:ascii="仿宋_GB2312" w:eastAsia="仿宋_GB2312"/>
          <w:b w:val="0"/>
          <w:bCs/>
          <w:sz w:val="32"/>
        </w:rPr>
        <w:t>年有</w:t>
      </w:r>
      <w:r>
        <w:rPr>
          <w:rFonts w:hint="eastAsia" w:ascii="仿宋_GB2312" w:eastAsia="仿宋_GB2312"/>
          <w:b w:val="0"/>
          <w:bCs/>
          <w:sz w:val="32"/>
          <w:lang w:val="en-US" w:eastAsia="zh-CN"/>
        </w:rPr>
        <w:t>1</w:t>
      </w:r>
      <w:r>
        <w:rPr>
          <w:rFonts w:hint="eastAsia" w:ascii="仿宋_GB2312" w:eastAsia="仿宋_GB2312"/>
          <w:b w:val="0"/>
          <w:bCs/>
          <w:sz w:val="32"/>
        </w:rPr>
        <w:t>个机构，无增减变动</w:t>
      </w:r>
      <w:r>
        <w:rPr>
          <w:rFonts w:hint="eastAsia" w:ascii="仿宋_GB2312" w:eastAsia="仿宋_GB2312"/>
          <w:b w:val="0"/>
          <w:bCs/>
          <w:sz w:val="32"/>
          <w:lang w:eastAsia="zh-CN"/>
        </w:rPr>
        <w:t>。</w:t>
      </w:r>
    </w:p>
    <w:p>
      <w:pPr>
        <w:snapToGrid w:val="0"/>
        <w:spacing w:line="360" w:lineRule="auto"/>
        <w:rPr>
          <w:rFonts w:hint="eastAsia" w:ascii="楷体" w:hAnsi="楷体" w:eastAsia="楷体" w:cs="楷体"/>
          <w:b/>
          <w:bCs/>
          <w:sz w:val="30"/>
          <w:szCs w:val="30"/>
        </w:rPr>
      </w:pPr>
      <w:r>
        <w:rPr>
          <w:rFonts w:hint="eastAsia" w:ascii="仿宋_GB2312" w:eastAsia="仿宋_GB2312"/>
          <w:sz w:val="30"/>
          <w:szCs w:val="30"/>
        </w:rPr>
        <w:t>　　2</w:t>
      </w:r>
      <w:r>
        <w:rPr>
          <w:rFonts w:hint="eastAsia" w:ascii="仿宋_GB2312" w:eastAsia="仿宋_GB2312"/>
          <w:sz w:val="30"/>
          <w:szCs w:val="30"/>
          <w:lang w:eastAsia="zh-CN"/>
        </w:rPr>
        <w:t>、</w:t>
      </w:r>
      <w:r>
        <w:rPr>
          <w:rFonts w:hint="eastAsia" w:ascii="仿宋_GB2312" w:eastAsia="仿宋_GB2312"/>
          <w:sz w:val="30"/>
          <w:szCs w:val="30"/>
        </w:rPr>
        <w:t>人员情况：我</w:t>
      </w:r>
      <w:r>
        <w:rPr>
          <w:rFonts w:hint="eastAsia" w:ascii="仿宋_GB2312" w:eastAsia="仿宋_GB2312"/>
          <w:sz w:val="30"/>
          <w:szCs w:val="30"/>
          <w:lang w:val="en-US" w:eastAsia="zh-CN"/>
        </w:rPr>
        <w:t>乡</w:t>
      </w:r>
      <w:r>
        <w:rPr>
          <w:rFonts w:hint="eastAsia" w:ascii="仿宋_GB2312" w:eastAsia="仿宋_GB2312"/>
          <w:sz w:val="30"/>
          <w:szCs w:val="30"/>
        </w:rPr>
        <w:t>20</w:t>
      </w:r>
      <w:r>
        <w:rPr>
          <w:rFonts w:hint="eastAsia" w:ascii="仿宋_GB2312" w:eastAsia="仿宋_GB2312"/>
          <w:sz w:val="30"/>
          <w:szCs w:val="30"/>
          <w:lang w:val="en-US" w:eastAsia="zh-CN"/>
        </w:rPr>
        <w:t>20</w:t>
      </w:r>
      <w:r>
        <w:rPr>
          <w:rFonts w:hint="eastAsia" w:ascii="仿宋_GB2312" w:eastAsia="仿宋_GB2312"/>
          <w:sz w:val="30"/>
          <w:szCs w:val="30"/>
        </w:rPr>
        <w:t>年年末在职</w:t>
      </w:r>
      <w:r>
        <w:rPr>
          <w:rFonts w:hint="eastAsia" w:ascii="仿宋_GB2312" w:eastAsia="仿宋_GB2312"/>
          <w:sz w:val="30"/>
          <w:szCs w:val="30"/>
          <w:lang w:val="en-US" w:eastAsia="zh-CN"/>
        </w:rPr>
        <w:t>26</w:t>
      </w:r>
      <w:r>
        <w:rPr>
          <w:rFonts w:hint="eastAsia" w:ascii="仿宋_GB2312" w:eastAsia="仿宋_GB2312"/>
          <w:sz w:val="30"/>
          <w:szCs w:val="30"/>
        </w:rPr>
        <w:t>人，</w:t>
      </w:r>
      <w:r>
        <w:rPr>
          <w:rFonts w:hint="eastAsia" w:ascii="仿宋_GB2312" w:eastAsia="仿宋_GB2312"/>
          <w:sz w:val="30"/>
          <w:szCs w:val="30"/>
          <w:lang w:val="en-US" w:eastAsia="zh-CN"/>
        </w:rPr>
        <w:t>退</w:t>
      </w:r>
      <w:r>
        <w:rPr>
          <w:rFonts w:hint="eastAsia" w:ascii="仿宋_GB2312" w:eastAsia="仿宋_GB2312"/>
          <w:sz w:val="30"/>
          <w:szCs w:val="30"/>
        </w:rPr>
        <w:t>休</w:t>
      </w:r>
      <w:r>
        <w:rPr>
          <w:rFonts w:hint="eastAsia" w:ascii="仿宋_GB2312" w:eastAsia="仿宋_GB2312"/>
          <w:sz w:val="30"/>
          <w:szCs w:val="30"/>
          <w:lang w:val="en-US" w:eastAsia="zh-CN"/>
        </w:rPr>
        <w:t>4</w:t>
      </w:r>
      <w:r>
        <w:rPr>
          <w:rFonts w:hint="eastAsia" w:ascii="仿宋_GB2312" w:eastAsia="仿宋_GB2312"/>
          <w:sz w:val="30"/>
          <w:szCs w:val="30"/>
        </w:rPr>
        <w:t>人，遗嘱1人。总编制数</w:t>
      </w:r>
      <w:r>
        <w:rPr>
          <w:rFonts w:hint="eastAsia" w:ascii="仿宋_GB2312" w:eastAsia="仿宋_GB2312"/>
          <w:sz w:val="30"/>
          <w:szCs w:val="30"/>
          <w:lang w:val="en-US" w:eastAsia="zh-CN"/>
        </w:rPr>
        <w:t>32</w:t>
      </w:r>
      <w:r>
        <w:rPr>
          <w:rFonts w:hint="eastAsia" w:ascii="仿宋_GB2312" w:eastAsia="仿宋_GB2312"/>
          <w:sz w:val="30"/>
          <w:szCs w:val="30"/>
        </w:rPr>
        <w:t>人（其中:行政编制</w:t>
      </w:r>
      <w:r>
        <w:rPr>
          <w:rFonts w:hint="eastAsia" w:ascii="仿宋_GB2312" w:eastAsia="仿宋_GB2312"/>
          <w:sz w:val="30"/>
          <w:szCs w:val="30"/>
          <w:lang w:val="en-US" w:eastAsia="zh-CN"/>
        </w:rPr>
        <w:t>18</w:t>
      </w:r>
      <w:r>
        <w:rPr>
          <w:rFonts w:hint="eastAsia" w:ascii="仿宋_GB2312" w:eastAsia="仿宋_GB2312"/>
          <w:sz w:val="30"/>
          <w:szCs w:val="30"/>
        </w:rPr>
        <w:t>人，工勤编制</w:t>
      </w:r>
      <w:r>
        <w:rPr>
          <w:rFonts w:hint="eastAsia" w:ascii="仿宋_GB2312" w:eastAsia="仿宋_GB2312"/>
          <w:sz w:val="30"/>
          <w:szCs w:val="30"/>
          <w:lang w:val="en-US" w:eastAsia="zh-CN"/>
        </w:rPr>
        <w:t>2</w:t>
      </w:r>
      <w:r>
        <w:rPr>
          <w:rFonts w:hint="eastAsia" w:ascii="仿宋_GB2312" w:eastAsia="仿宋_GB2312"/>
          <w:sz w:val="30"/>
          <w:szCs w:val="30"/>
        </w:rPr>
        <w:t>人、事业</w:t>
      </w:r>
      <w:r>
        <w:rPr>
          <w:rFonts w:hint="eastAsia" w:ascii="仿宋_GB2312" w:eastAsia="仿宋_GB2312"/>
          <w:bCs/>
          <w:sz w:val="30"/>
          <w:szCs w:val="30"/>
        </w:rPr>
        <w:t>编制</w:t>
      </w:r>
      <w:r>
        <w:rPr>
          <w:rFonts w:hint="eastAsia" w:ascii="仿宋_GB2312" w:eastAsia="仿宋_GB2312"/>
          <w:bCs/>
          <w:sz w:val="30"/>
          <w:szCs w:val="30"/>
          <w:lang w:val="en-US" w:eastAsia="zh-CN"/>
        </w:rPr>
        <w:t>12</w:t>
      </w:r>
      <w:r>
        <w:rPr>
          <w:rFonts w:hint="eastAsia" w:ascii="仿宋_GB2312" w:eastAsia="仿宋_GB2312"/>
          <w:bCs/>
          <w:sz w:val="30"/>
          <w:szCs w:val="30"/>
        </w:rPr>
        <w:t>人</w:t>
      </w:r>
      <w:r>
        <w:rPr>
          <w:rFonts w:hint="eastAsia" w:ascii="仿宋_GB2312" w:eastAsia="仿宋_GB2312"/>
          <w:sz w:val="30"/>
          <w:szCs w:val="30"/>
        </w:rPr>
        <w:t>）。</w:t>
      </w:r>
    </w:p>
    <w:p>
      <w:pPr>
        <w:snapToGrid w:val="0"/>
        <w:spacing w:line="520" w:lineRule="exact"/>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年1-6月独立编制单位机构数为</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个，20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年1-6月实际财政供养人员</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其中：行政</w:t>
      </w:r>
      <w:r>
        <w:rPr>
          <w:rFonts w:hint="eastAsia" w:ascii="仿宋_GB2312" w:hAnsi="仿宋_GB2312" w:eastAsia="仿宋_GB2312" w:cs="仿宋_GB2312"/>
          <w:b w:val="0"/>
          <w:bCs w:val="0"/>
          <w:color w:val="000000"/>
          <w:sz w:val="32"/>
          <w:szCs w:val="32"/>
          <w:lang w:val="en-US" w:eastAsia="zh-CN"/>
        </w:rPr>
        <w:t>16</w:t>
      </w:r>
      <w:r>
        <w:rPr>
          <w:rFonts w:hint="eastAsia" w:ascii="仿宋_GB2312" w:hAnsi="仿宋_GB2312" w:eastAsia="仿宋_GB2312" w:cs="仿宋_GB2312"/>
          <w:b w:val="0"/>
          <w:bCs w:val="0"/>
          <w:color w:val="000000"/>
          <w:sz w:val="32"/>
          <w:szCs w:val="32"/>
        </w:rPr>
        <w:t>人，行政工勤</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人， 事业</w:t>
      </w:r>
      <w:r>
        <w:rPr>
          <w:rFonts w:hint="eastAsia" w:ascii="仿宋_GB2312" w:hAnsi="仿宋_GB2312" w:eastAsia="仿宋_GB2312" w:cs="仿宋_GB2312"/>
          <w:b w:val="0"/>
          <w:bCs w:val="0"/>
          <w:color w:val="000000"/>
          <w:sz w:val="32"/>
          <w:szCs w:val="32"/>
          <w:lang w:val="en-US" w:eastAsia="zh-CN"/>
        </w:rPr>
        <w:t>13</w:t>
      </w:r>
      <w:r>
        <w:rPr>
          <w:rFonts w:hint="eastAsia" w:ascii="仿宋_GB2312" w:hAnsi="仿宋_GB2312" w:eastAsia="仿宋_GB2312" w:cs="仿宋_GB2312"/>
          <w:b w:val="0"/>
          <w:bCs w:val="0"/>
          <w:color w:val="000000"/>
          <w:sz w:val="32"/>
          <w:szCs w:val="32"/>
        </w:rPr>
        <w:t>人</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color w:val="000000"/>
          <w:sz w:val="32"/>
          <w:szCs w:val="32"/>
        </w:rPr>
        <w:t>较上年</w:t>
      </w:r>
      <w:r>
        <w:rPr>
          <w:rFonts w:hint="eastAsia" w:ascii="仿宋_GB2312" w:hAnsi="仿宋_GB2312" w:eastAsia="仿宋_GB2312" w:cs="仿宋_GB2312"/>
          <w:color w:val="000000"/>
          <w:sz w:val="32"/>
          <w:szCs w:val="32"/>
          <w:lang w:val="en-US" w:eastAsia="zh-CN"/>
        </w:rPr>
        <w:t>增加4</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 xml:space="preserve">， </w:t>
      </w:r>
      <w:r>
        <w:rPr>
          <w:rFonts w:hint="eastAsia" w:ascii="仿宋_GB2312" w:hAnsi="仿宋" w:eastAsia="仿宋_GB2312"/>
          <w:sz w:val="32"/>
          <w:szCs w:val="32"/>
          <w:lang w:val="en-US" w:eastAsia="zh-CN"/>
        </w:rPr>
        <w:t>主要原因是机构改革，人员增加，三站人员编制下划给乡镇</w:t>
      </w:r>
      <w:r>
        <w:rPr>
          <w:rFonts w:hint="eastAsia" w:ascii="仿宋_GB2312" w:hAnsi="仿宋" w:eastAsia="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庆宁</w:t>
      </w:r>
      <w:r>
        <w:rPr>
          <w:rFonts w:hint="eastAsia" w:ascii="仿宋_GB2312" w:hAnsi="仿宋_GB2312" w:eastAsia="仿宋_GB2312" w:cs="仿宋_GB2312"/>
          <w:bCs/>
          <w:sz w:val="32"/>
          <w:szCs w:val="32"/>
        </w:rPr>
        <w:t>乡本年收入合计</w:t>
      </w:r>
      <w:r>
        <w:rPr>
          <w:rFonts w:hint="eastAsia" w:ascii="仿宋_GB2312" w:hAnsi="仿宋_GB2312" w:eastAsia="仿宋_GB2312" w:cs="仿宋_GB2312"/>
          <w:bCs/>
          <w:sz w:val="32"/>
          <w:szCs w:val="32"/>
          <w:lang w:val="en-US" w:eastAsia="zh-CN"/>
        </w:rPr>
        <w:t>436.2</w:t>
      </w:r>
      <w:r>
        <w:rPr>
          <w:rFonts w:hint="eastAsia" w:ascii="仿宋_GB2312" w:hAnsi="仿宋_GB2312" w:eastAsia="仿宋_GB2312" w:cs="仿宋_GB2312"/>
          <w:bCs/>
          <w:sz w:val="32"/>
          <w:szCs w:val="32"/>
        </w:rPr>
        <w:t>万元，其中：一般公共预算财政拨款收入</w:t>
      </w:r>
      <w:r>
        <w:rPr>
          <w:rFonts w:hint="eastAsia" w:ascii="仿宋_GB2312" w:hAnsi="仿宋_GB2312" w:eastAsia="仿宋_GB2312" w:cs="仿宋_GB2312"/>
          <w:bCs/>
          <w:sz w:val="32"/>
          <w:szCs w:val="32"/>
          <w:lang w:val="en-US" w:eastAsia="zh-CN"/>
        </w:rPr>
        <w:t>436.2</w:t>
      </w:r>
      <w:r>
        <w:rPr>
          <w:rFonts w:hint="eastAsia" w:ascii="仿宋_GB2312" w:hAnsi="仿宋_GB2312" w:eastAsia="仿宋_GB2312" w:cs="仿宋_GB2312"/>
          <w:bCs/>
          <w:sz w:val="32"/>
          <w:szCs w:val="32"/>
        </w:rPr>
        <w:t>万元，占100%；政府性基金预算财政拨款收入0元，占0%；国有资本经营预算财政拨款收入0万元，占0%；事业收入0万元，占0%；经营收入0万元，占0%；附属单位上缴收入0万元，占0%；其他</w:t>
      </w:r>
      <w:r>
        <w:rPr>
          <w:rFonts w:hint="eastAsia" w:ascii="仿宋_GB2312" w:hAnsi="仿宋_GB2312" w:eastAsia="仿宋_GB2312" w:cs="仿宋_GB2312"/>
          <w:bCs/>
          <w:color w:val="auto"/>
          <w:sz w:val="32"/>
          <w:szCs w:val="32"/>
        </w:rPr>
        <w:t>收入0万元，占0%。</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年1-6月收入合计</w:t>
      </w:r>
      <w:r>
        <w:rPr>
          <w:rFonts w:hint="eastAsia" w:ascii="仿宋_GB2312" w:hAnsi="仿宋_GB2312" w:eastAsia="仿宋_GB2312" w:cs="仿宋_GB2312"/>
          <w:color w:val="auto"/>
          <w:sz w:val="32"/>
          <w:szCs w:val="32"/>
          <w:lang w:val="en-US" w:eastAsia="zh-CN"/>
        </w:rPr>
        <w:t>368.68</w:t>
      </w:r>
      <w:r>
        <w:rPr>
          <w:rFonts w:hint="eastAsia" w:ascii="仿宋_GB2312" w:hAnsi="仿宋_GB2312" w:eastAsia="仿宋_GB2312" w:cs="仿宋_GB2312"/>
          <w:bCs/>
          <w:color w:val="auto"/>
          <w:sz w:val="32"/>
          <w:szCs w:val="32"/>
        </w:rPr>
        <w:t>万元，其中：一般公共预算财政拨款收入</w:t>
      </w:r>
      <w:r>
        <w:rPr>
          <w:rFonts w:hint="eastAsia" w:ascii="仿宋_GB2312" w:hAnsi="仿宋_GB2312" w:eastAsia="仿宋_GB2312" w:cs="仿宋_GB2312"/>
          <w:bCs/>
          <w:color w:val="auto"/>
          <w:sz w:val="32"/>
          <w:szCs w:val="32"/>
          <w:lang w:val="en-US" w:eastAsia="zh-CN"/>
        </w:rPr>
        <w:t>368.68</w:t>
      </w:r>
      <w:r>
        <w:rPr>
          <w:rFonts w:hint="eastAsia" w:ascii="仿宋_GB2312" w:hAnsi="仿宋_GB2312" w:eastAsia="仿宋_GB2312" w:cs="仿宋_GB2312"/>
          <w:bCs/>
          <w:color w:val="auto"/>
          <w:sz w:val="32"/>
          <w:szCs w:val="32"/>
        </w:rPr>
        <w:t>万元。</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_GB2312" w:eastAsia="仿宋_GB2312" w:cs="仿宋_GB2312"/>
          <w:color w:val="000000"/>
          <w:sz w:val="32"/>
          <w:szCs w:val="32"/>
          <w:lang w:val="zh-CN"/>
        </w:rPr>
        <w:t>（二）</w:t>
      </w:r>
      <w:r>
        <w:rPr>
          <w:rFonts w:hint="eastAsia" w:ascii="仿宋_GB2312" w:hAnsi="仿宋" w:eastAsia="仿宋_GB2312"/>
          <w:sz w:val="32"/>
          <w:szCs w:val="32"/>
          <w:lang w:val="en-US" w:eastAsia="zh-CN"/>
        </w:rPr>
        <w:t>2020年一般公共预算财政拨款基本支出436.2万元，其中：人员经费412.04万元，主要包括：基本工资85.22万元、津贴补贴121.35万元、奖金7.25万元、绩效工资19.35万元、机关事业单位基本养老保险缴费31.99万元、职业年金缴费15.91万元、职工基本医疗保险缴费15.81万元、公务员医疗补助缴费4.7万元、其他社会保障缴费2.77万元、住房公积金34.15万元、生活补助1.29万元（疫情防控值班补助）、奖励金72.25万元（2019年目标奖72.24，独生子女费0.01万元）。</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公用经费24.16万元，主要包括：办公费7.16万元、电费1万元、邮电费1.5万元、取暖费0.5万元、差旅费3.59万元、劳务费2.99万元、公务用车运行维护费5.32万元、其他交通费用2万元、其他商品和服务支出0.1万元。</w:t>
      </w:r>
    </w:p>
    <w:p>
      <w:pPr>
        <w:snapToGrid w:val="0"/>
        <w:spacing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sz w:val="32"/>
          <w:szCs w:val="32"/>
          <w:lang w:val="en-US" w:eastAsia="zh-CN"/>
        </w:rPr>
        <w:t>项目支出203.6万元。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年1-6月财政总支出</w:t>
      </w:r>
      <w:r>
        <w:rPr>
          <w:rFonts w:hint="eastAsia" w:ascii="仿宋_GB2312" w:hAnsi="仿宋_GB2312" w:eastAsia="仿宋_GB2312" w:cs="仿宋_GB2312"/>
          <w:color w:val="auto"/>
          <w:sz w:val="32"/>
          <w:szCs w:val="32"/>
          <w:lang w:val="en-US" w:eastAsia="zh-CN"/>
        </w:rPr>
        <w:t>368.68</w:t>
      </w:r>
      <w:r>
        <w:rPr>
          <w:rFonts w:hint="eastAsia" w:ascii="仿宋_GB2312" w:hAnsi="仿宋_GB2312" w:eastAsia="仿宋_GB2312" w:cs="仿宋_GB2312"/>
          <w:color w:val="auto"/>
          <w:sz w:val="32"/>
          <w:szCs w:val="32"/>
        </w:rPr>
        <w:t>万元，其中：</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324.84</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58.18</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74.27</w:t>
      </w:r>
      <w:r>
        <w:rPr>
          <w:rFonts w:hint="eastAsia" w:ascii="仿宋_GB2312" w:hAnsi="仿宋_GB2312" w:eastAsia="仿宋_GB2312" w:cs="仿宋_GB2312"/>
          <w:color w:val="auto"/>
          <w:sz w:val="32"/>
          <w:szCs w:val="32"/>
        </w:rPr>
        <w:t>万元、绩效工资</w:t>
      </w:r>
      <w:r>
        <w:rPr>
          <w:rFonts w:hint="eastAsia" w:ascii="仿宋_GB2312" w:hAnsi="仿宋_GB2312" w:eastAsia="仿宋_GB2312" w:cs="仿宋_GB2312"/>
          <w:color w:val="auto"/>
          <w:sz w:val="32"/>
          <w:szCs w:val="32"/>
          <w:lang w:val="en-US" w:eastAsia="zh-CN"/>
        </w:rPr>
        <w:t>14.05</w:t>
      </w:r>
      <w:r>
        <w:rPr>
          <w:rFonts w:hint="eastAsia" w:ascii="仿宋_GB2312" w:hAnsi="仿宋_GB2312" w:eastAsia="仿宋_GB2312" w:cs="仿宋_GB2312"/>
          <w:color w:val="auto"/>
          <w:sz w:val="32"/>
          <w:szCs w:val="32"/>
        </w:rPr>
        <w:t>万元、机关事业单位基本养老保险缴费</w:t>
      </w:r>
      <w:r>
        <w:rPr>
          <w:rFonts w:hint="eastAsia" w:ascii="仿宋_GB2312" w:hAnsi="仿宋_GB2312" w:eastAsia="仿宋_GB2312" w:cs="仿宋_GB2312"/>
          <w:color w:val="auto"/>
          <w:sz w:val="32"/>
          <w:szCs w:val="32"/>
          <w:lang w:val="en-US" w:eastAsia="zh-CN"/>
        </w:rPr>
        <w:t>21.65</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10.82</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10.59</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3.29</w:t>
      </w:r>
      <w:r>
        <w:rPr>
          <w:rFonts w:hint="eastAsia" w:ascii="仿宋_GB2312" w:hAnsi="仿宋_GB2312" w:eastAsia="仿宋_GB2312" w:cs="仿宋_GB2312"/>
          <w:color w:val="auto"/>
          <w:sz w:val="32"/>
          <w:szCs w:val="32"/>
        </w:rPr>
        <w:t>万元、其他社会保障缴费</w:t>
      </w:r>
      <w:r>
        <w:rPr>
          <w:rFonts w:hint="eastAsia" w:ascii="仿宋_GB2312" w:hAnsi="仿宋_GB2312" w:eastAsia="仿宋_GB2312" w:cs="仿宋_GB2312"/>
          <w:color w:val="auto"/>
          <w:sz w:val="32"/>
          <w:szCs w:val="32"/>
          <w:lang w:val="en-US" w:eastAsia="zh-CN"/>
        </w:rPr>
        <w:t>0.67</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22.5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、奖励金108.82万元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10.14</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3.12</w:t>
      </w:r>
      <w:r>
        <w:rPr>
          <w:rFonts w:hint="eastAsia" w:ascii="仿宋_GB2312" w:hAnsi="仿宋_GB2312" w:eastAsia="仿宋_GB2312" w:cs="仿宋_GB2312"/>
          <w:color w:val="auto"/>
          <w:sz w:val="32"/>
          <w:szCs w:val="32"/>
        </w:rPr>
        <w:t>万元、电费</w:t>
      </w:r>
      <w:r>
        <w:rPr>
          <w:rFonts w:hint="eastAsia" w:ascii="仿宋_GB2312" w:hAnsi="仿宋_GB2312" w:eastAsia="仿宋_GB2312" w:cs="仿宋_GB2312"/>
          <w:color w:val="auto"/>
          <w:sz w:val="32"/>
          <w:szCs w:val="32"/>
          <w:lang w:val="en-US" w:eastAsia="zh-CN"/>
        </w:rPr>
        <w:t>0.15</w:t>
      </w:r>
      <w:r>
        <w:rPr>
          <w:rFonts w:hint="eastAsia" w:ascii="仿宋_GB2312" w:hAnsi="仿宋_GB2312" w:eastAsia="仿宋_GB2312" w:cs="仿宋_GB2312"/>
          <w:color w:val="auto"/>
          <w:sz w:val="32"/>
          <w:szCs w:val="32"/>
        </w:rPr>
        <w:t>万元、邮电费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万元、劳务费</w:t>
      </w:r>
      <w:r>
        <w:rPr>
          <w:rFonts w:hint="eastAsia" w:ascii="仿宋_GB2312" w:hAnsi="仿宋_GB2312" w:eastAsia="仿宋_GB2312" w:cs="仿宋_GB2312"/>
          <w:color w:val="auto"/>
          <w:sz w:val="32"/>
          <w:szCs w:val="32"/>
          <w:lang w:val="en-US" w:eastAsia="zh-CN"/>
        </w:rPr>
        <w:t>14.54</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2.42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、其他对个人和家庭的补助支出</w:t>
      </w:r>
      <w:r>
        <w:rPr>
          <w:rFonts w:hint="eastAsia" w:ascii="仿宋_GB2312" w:hAnsi="仿宋_GB2312" w:eastAsia="仿宋_GB2312" w:cs="仿宋_GB2312"/>
          <w:color w:val="auto"/>
          <w:sz w:val="32"/>
          <w:szCs w:val="32"/>
          <w:lang w:val="en-US" w:eastAsia="zh-CN"/>
        </w:rPr>
        <w:t>0.2万元、福利费0.02万元、其它交通费用0.39万元</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default" w:eastAsia="仿宋_GB2312"/>
          <w:color w:val="auto"/>
          <w:lang w:val="en-US"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年1-6月项目支出</w:t>
      </w:r>
      <w:r>
        <w:rPr>
          <w:rFonts w:hint="eastAsia" w:ascii="仿宋_GB2312" w:hAnsi="仿宋_GB2312" w:eastAsia="仿宋_GB2312" w:cs="仿宋_GB2312"/>
          <w:color w:val="auto"/>
          <w:sz w:val="32"/>
          <w:szCs w:val="32"/>
          <w:lang w:val="en-US" w:eastAsia="zh-CN"/>
        </w:rPr>
        <w:t>33.49</w:t>
      </w:r>
      <w:r>
        <w:rPr>
          <w:rFonts w:hint="eastAsia" w:ascii="仿宋_GB2312" w:hAnsi="仿宋_GB2312" w:eastAsia="仿宋_GB2312" w:cs="仿宋_GB2312"/>
          <w:color w:val="auto"/>
          <w:sz w:val="32"/>
          <w:szCs w:val="32"/>
        </w:rPr>
        <w:t>万元，主要包括:</w:t>
      </w:r>
      <w:r>
        <w:rPr>
          <w:rFonts w:hint="eastAsia" w:ascii="仿宋_GB2312" w:hAnsi="仿宋_GB2312" w:eastAsia="仿宋_GB2312" w:cs="仿宋_GB2312"/>
          <w:color w:val="auto"/>
          <w:sz w:val="32"/>
          <w:szCs w:val="32"/>
          <w:lang w:eastAsia="zh-CN"/>
        </w:rPr>
        <w:t>村级审计费</w:t>
      </w:r>
      <w:r>
        <w:rPr>
          <w:rFonts w:hint="eastAsia" w:ascii="仿宋_GB2312" w:hAnsi="仿宋_GB2312" w:eastAsia="仿宋_GB2312" w:cs="仿宋_GB2312"/>
          <w:color w:val="auto"/>
          <w:sz w:val="32"/>
          <w:szCs w:val="32"/>
          <w:lang w:val="en-US" w:eastAsia="zh-CN"/>
        </w:rPr>
        <w:t>7.01万元、基础设施建设26.48万元</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val="en-US" w:eastAsia="zh-CN"/>
        </w:rPr>
        <w:t>488.08</w:t>
      </w:r>
      <w:r>
        <w:rPr>
          <w:rFonts w:hint="eastAsia" w:ascii="仿宋_GB2312" w:hAnsi="仿宋_GB2312" w:eastAsia="仿宋_GB2312" w:cs="仿宋_GB2312"/>
          <w:color w:val="auto"/>
          <w:sz w:val="32"/>
          <w:szCs w:val="32"/>
        </w:rPr>
        <w:t>万元，其中人员经费</w:t>
      </w:r>
      <w:r>
        <w:rPr>
          <w:rFonts w:hint="eastAsia" w:ascii="仿宋_GB2312" w:hAnsi="仿宋_GB2312" w:eastAsia="仿宋_GB2312" w:cs="仿宋_GB2312"/>
          <w:color w:val="auto"/>
          <w:sz w:val="32"/>
          <w:szCs w:val="32"/>
          <w:lang w:val="en-US" w:eastAsia="zh-CN"/>
        </w:rPr>
        <w:t>397.59</w:t>
      </w:r>
      <w:r>
        <w:rPr>
          <w:rFonts w:hint="eastAsia" w:ascii="仿宋_GB2312" w:hAnsi="仿宋_GB2312" w:eastAsia="仿宋_GB2312" w:cs="仿宋_GB2312"/>
          <w:color w:val="auto"/>
          <w:sz w:val="32"/>
          <w:szCs w:val="32"/>
        </w:rPr>
        <w:t>万元，公用经费</w:t>
      </w:r>
      <w:r>
        <w:rPr>
          <w:rFonts w:hint="eastAsia" w:ascii="仿宋_GB2312" w:hAnsi="仿宋_GB2312" w:eastAsia="仿宋_GB2312" w:cs="仿宋_GB2312"/>
          <w:color w:val="auto"/>
          <w:sz w:val="32"/>
          <w:szCs w:val="32"/>
          <w:lang w:val="en-US" w:eastAsia="zh-CN"/>
        </w:rPr>
        <w:t>90.49</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年部门收入预算总额为</w:t>
      </w:r>
      <w:r>
        <w:rPr>
          <w:rFonts w:hint="eastAsia" w:ascii="仿宋_GB2312" w:hAnsi="仿宋_GB2312" w:eastAsia="仿宋_GB2312" w:cs="仿宋_GB2312"/>
          <w:color w:val="auto"/>
          <w:sz w:val="32"/>
          <w:szCs w:val="32"/>
          <w:lang w:val="en-US" w:eastAsia="zh-CN"/>
        </w:rPr>
        <w:t>601.94</w:t>
      </w:r>
      <w:r>
        <w:rPr>
          <w:rFonts w:hint="eastAsia" w:ascii="仿宋_GB2312" w:hAnsi="仿宋_GB2312" w:eastAsia="仿宋_GB2312" w:cs="仿宋_GB2312"/>
          <w:color w:val="auto"/>
          <w:sz w:val="32"/>
          <w:szCs w:val="32"/>
        </w:rPr>
        <w:t>元，较上年增加</w:t>
      </w:r>
      <w:r>
        <w:rPr>
          <w:rFonts w:hint="eastAsia" w:ascii="仿宋_GB2312" w:hAnsi="仿宋_GB2312" w:eastAsia="仿宋_GB2312" w:cs="仿宋_GB2312"/>
          <w:color w:val="auto"/>
          <w:sz w:val="32"/>
          <w:szCs w:val="32"/>
          <w:lang w:val="en-US" w:eastAsia="zh-CN"/>
        </w:rPr>
        <w:t>113.86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增加23.33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机构改革三站人员编制下划给乡镇、行政村个数增加、经费标准变更、财政信息化建设等需求增加。</w:t>
      </w:r>
      <w:r>
        <w:rPr>
          <w:rFonts w:hint="eastAsia" w:ascii="仿宋_GB2312" w:hAnsi="仿宋_GB2312" w:eastAsia="仿宋_GB2312" w:cs="仿宋_GB2312"/>
          <w:color w:val="auto"/>
          <w:sz w:val="32"/>
          <w:szCs w:val="32"/>
        </w:rPr>
        <w:t>其中：当年财政拨款收入</w:t>
      </w:r>
      <w:r>
        <w:rPr>
          <w:rFonts w:hint="eastAsia" w:ascii="仿宋_GB2312" w:hAnsi="仿宋_GB2312" w:eastAsia="仿宋_GB2312" w:cs="仿宋_GB2312"/>
          <w:color w:val="auto"/>
          <w:sz w:val="32"/>
          <w:szCs w:val="32"/>
          <w:lang w:val="en-US" w:eastAsia="zh-CN"/>
        </w:rPr>
        <w:t>601.94</w:t>
      </w:r>
      <w:r>
        <w:rPr>
          <w:rFonts w:hint="eastAsia" w:ascii="仿宋_GB2312" w:hAnsi="仿宋_GB2312" w:eastAsia="仿宋_GB2312" w:cs="仿宋_GB2312"/>
          <w:color w:val="auto"/>
          <w:sz w:val="32"/>
          <w:szCs w:val="32"/>
        </w:rPr>
        <w:t>万元，其他收入 0万元，上年结转收入0万元。相应安排支出预算</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万元，其中：基本支出预算</w:t>
      </w:r>
      <w:r>
        <w:rPr>
          <w:rFonts w:hint="eastAsia" w:ascii="仿宋_GB2312" w:hAnsi="仿宋_GB2312" w:eastAsia="仿宋_GB2312" w:cs="仿宋_GB2312"/>
          <w:color w:val="auto"/>
          <w:sz w:val="32"/>
          <w:szCs w:val="32"/>
          <w:lang w:val="en-US" w:eastAsia="zh-CN"/>
        </w:rPr>
        <w:t>601.94</w:t>
      </w:r>
      <w:r>
        <w:rPr>
          <w:rFonts w:hint="eastAsia" w:ascii="仿宋_GB2312" w:hAnsi="仿宋_GB2312" w:eastAsia="仿宋_GB2312" w:cs="仿宋_GB2312"/>
          <w:color w:val="auto"/>
          <w:sz w:val="32"/>
          <w:szCs w:val="32"/>
        </w:rPr>
        <w:t>万元，项目支出0万元。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根据财政局统一要求编制了我会整体绩效目标报告及项目整体绩效目标表，并报县财政局。</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 w:eastAsia="仿宋_GB2312" w:cs="仿宋"/>
          <w:color w:val="000000"/>
          <w:sz w:val="32"/>
          <w:szCs w:val="32"/>
        </w:rPr>
        <w:t>“三公”经费总额</w:t>
      </w:r>
      <w:r>
        <w:rPr>
          <w:rFonts w:hint="eastAsia" w:ascii="仿宋_GB2312" w:hAnsi="仿宋" w:eastAsia="仿宋_GB2312" w:cs="仿宋"/>
          <w:color w:val="000000"/>
          <w:sz w:val="32"/>
          <w:szCs w:val="32"/>
          <w:lang w:val="en-US" w:eastAsia="zh-CN"/>
        </w:rPr>
        <w:t>5.32万元，年初预算5.2万元，增加7.69%,原因为公务用车油费及维修费用增加，较上年增长16.87%，原因为疫情防控、精准扶贫及防汛、应急救灾公务用车使用次数增加。其中公务用车保有量较年初及上年一致；公务用车购置费0元，较上年一致；公务用车运行维护费较年初预算增长0.57万元，增长12%，原因为公务用车油费及维修费用增加，较上年增加0.76万元，增长16.67%，原因为疫情防控、精准扶贫及防汛、应急救灾公务用车使用次数增加；公务接待费0元，较年初预算减少0.19万元，减少100%，较上年一致，原因为我单位接待由伙食团承担。</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zh-CN"/>
        </w:rPr>
        <w:t>“三公”经费预算</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公务用车运行维护费</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万元，1-6月实际支出公务接待费0万元，公务用车运行维护费</w:t>
      </w:r>
      <w:r>
        <w:rPr>
          <w:rFonts w:hint="eastAsia" w:ascii="仿宋_GB2312" w:hAnsi="仿宋_GB2312" w:eastAsia="仿宋_GB2312" w:cs="仿宋_GB2312"/>
          <w:color w:val="auto"/>
          <w:sz w:val="32"/>
          <w:szCs w:val="32"/>
          <w:lang w:val="en-US" w:eastAsia="zh-CN"/>
        </w:rPr>
        <w:t>2.42</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（三）综合管理情况。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四、评价结论及建议</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ind w:left="0" w:firstLine="640" w:firstLineChars="200"/>
        <w:rPr>
          <w:rFonts w:hint="eastAsia" w:ascii="仿宋" w:eastAsia="仿宋" w:cs="仿宋"/>
          <w:sz w:val="32"/>
          <w:szCs w:val="32"/>
          <w:lang w:val="en-US" w:eastAsia="zh-CN"/>
        </w:rPr>
      </w:pPr>
      <w:r>
        <w:rPr>
          <w:rFonts w:hint="eastAsia" w:ascii="仿宋" w:eastAsia="仿宋" w:cs="仿宋"/>
          <w:sz w:val="32"/>
          <w:szCs w:val="32"/>
          <w:lang w:val="zh-CN" w:eastAsia="zh-CN"/>
        </w:rPr>
        <w:t>综上所述，</w:t>
      </w:r>
      <w:r>
        <w:rPr>
          <w:rFonts w:hint="eastAsia" w:ascii="仿宋" w:eastAsia="仿宋" w:cs="仿宋"/>
          <w:sz w:val="32"/>
          <w:szCs w:val="32"/>
          <w:lang w:val="en-US" w:eastAsia="zh-CN"/>
        </w:rPr>
        <w:t>扣除不存在的评价指标分值,总分为84分，我</w:t>
      </w:r>
      <w:bookmarkStart w:id="39" w:name="_GoBack"/>
      <w:bookmarkEnd w:id="39"/>
      <w:r>
        <w:rPr>
          <w:rFonts w:hint="eastAsia" w:ascii="仿宋" w:eastAsia="仿宋" w:cs="仿宋"/>
          <w:sz w:val="32"/>
          <w:szCs w:val="32"/>
          <w:lang w:val="en-US" w:eastAsia="zh-CN"/>
        </w:rPr>
        <w:t>部门预算支出绩效自评得分84分。</w:t>
      </w:r>
    </w:p>
    <w:tbl>
      <w:tblPr>
        <w:tblStyle w:val="14"/>
        <w:tblW w:w="9498"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2"/>
        <w:gridCol w:w="2268"/>
        <w:gridCol w:w="3402"/>
        <w:gridCol w:w="2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vAlign w:val="top"/>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r>
    </w:tbl>
    <w:p>
      <w:pPr>
        <w:rPr>
          <w:rFonts w:hint="eastAsia"/>
          <w:color w:val="000000"/>
        </w:rPr>
      </w:pP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二是绩效目标设立不够明确、细化和量化。虽然设立了项目资金绩效目标，但目标不够明确、细化和量化。</w:t>
      </w:r>
      <w:r>
        <w:rPr>
          <w:rFonts w:hint="eastAsia" w:ascii="仿宋_GB2312" w:hAnsi="仿宋_GB2312" w:eastAsia="仿宋_GB2312" w:cs="仿宋_GB2312"/>
          <w:color w:val="000000"/>
          <w:sz w:val="32"/>
          <w:szCs w:val="32"/>
          <w:shd w:val="clear" w:color="auto" w:fill="FFFFFF"/>
          <w:lang w:val="en-US" w:eastAsia="zh-CN"/>
        </w:rPr>
        <w:t xml:space="preserve">        </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（三）改进建议。</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
      <w:pPr>
        <w:rPr>
          <w:rFonts w:hint="default" w:ascii="仿宋" w:eastAsia="仿宋"/>
          <w:color w:val="000000"/>
          <w:lang w:val="en-US" w:eastAsia="zh-CN"/>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rPr>
          <w:rFonts w:hint="default" w:ascii="仿宋" w:eastAsia="仿宋"/>
          <w:color w:val="000000"/>
          <w:lang w:val="en-US" w:eastAsia="zh-CN"/>
        </w:rPr>
      </w:pPr>
    </w:p>
    <w:p>
      <w:pPr>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16</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78D72DD4"/>
    <w:multiLevelType w:val="singleLevel"/>
    <w:tmpl w:val="78D72DD4"/>
    <w:lvl w:ilvl="0" w:tentative="0">
      <w:start w:val="3"/>
      <w:numFmt w:val="decimal"/>
      <w:lvlText w:val="%1."/>
      <w:lvlJc w:val="left"/>
      <w:pPr>
        <w:tabs>
          <w:tab w:val="left" w:pos="0"/>
        </w:tabs>
        <w:ind w:left="0" w:firstLine="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134518"/>
    <w:rsid w:val="00134518"/>
    <w:rsid w:val="00473A76"/>
    <w:rsid w:val="0098002A"/>
    <w:rsid w:val="00AD71B7"/>
    <w:rsid w:val="00BF69D6"/>
    <w:rsid w:val="00F55EF5"/>
    <w:rsid w:val="02CB4B58"/>
    <w:rsid w:val="07A964DE"/>
    <w:rsid w:val="0A843CF8"/>
    <w:rsid w:val="17060E81"/>
    <w:rsid w:val="27F53BFF"/>
    <w:rsid w:val="2FC82F81"/>
    <w:rsid w:val="308A7671"/>
    <w:rsid w:val="344A017A"/>
    <w:rsid w:val="386D7423"/>
    <w:rsid w:val="39114470"/>
    <w:rsid w:val="3CD81705"/>
    <w:rsid w:val="3ECB46CA"/>
    <w:rsid w:val="45E94D3E"/>
    <w:rsid w:val="51F86067"/>
    <w:rsid w:val="5FEE141F"/>
    <w:rsid w:val="62960133"/>
    <w:rsid w:val="63E16058"/>
    <w:rsid w:val="64344773"/>
    <w:rsid w:val="65FF12AC"/>
    <w:rsid w:val="6AA77662"/>
    <w:rsid w:val="77A60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uiPriority w:val="0"/>
    <w:pPr>
      <w:keepNext/>
      <w:keepLines/>
      <w:spacing w:before="340" w:after="330" w:line="578" w:lineRule="auto"/>
      <w:outlineLvl w:val="0"/>
    </w:pPr>
    <w:rPr>
      <w:b/>
      <w:bCs/>
      <w:kern w:val="44"/>
      <w:sz w:val="44"/>
      <w:szCs w:val="44"/>
    </w:rPr>
  </w:style>
  <w:style w:type="paragraph" w:styleId="4">
    <w:name w:val="heading 2"/>
    <w:basedOn w:val="1"/>
    <w:next w:val="1"/>
    <w:link w:val="19"/>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table of figures1"/>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99"/>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6">
    <w:name w:val="heading 1 Char"/>
    <w:basedOn w:val="15"/>
    <w:link w:val="3"/>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I:\2017-2018&#20250;&#35745;&#24037;&#20316;\2020&#24180;&#20250;&#35745;\2020&#24180;&#20915;&#31639;\&#26032;&#24314;&#25991;&#20214;&#22841;\&#22270;&#26631;.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收入支出对比表</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manualLayout>
          <c:layoutTarget val="inner"/>
          <c:xMode val="edge"/>
          <c:yMode val="edge"/>
          <c:x val="0.105516185476815"/>
          <c:y val="0.168993146689997"/>
          <c:w val="0.74988801399825"/>
          <c:h val="0.678939195100612"/>
        </c:manualLayout>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[图标.xls]Sheet1!$A$2:$A$3</c:f>
              <c:strCache>
                <c:ptCount val="2"/>
                <c:pt idx="0">
                  <c:v>2019年</c:v>
                </c:pt>
                <c:pt idx="1">
                  <c:v>2020年</c:v>
                </c:pt>
              </c:strCache>
            </c:strRef>
          </c:cat>
          <c:val>
            <c:numRef>
              <c:f>[图标.xls]Sheet1!$B$2:$B$3</c:f>
              <c:numCache>
                <c:formatCode>General</c:formatCode>
                <c:ptCount val="2"/>
                <c:pt idx="0">
                  <c:v>594.84</c:v>
                </c:pt>
                <c:pt idx="1">
                  <c:v>597.53</c:v>
                </c:pt>
              </c:numCache>
            </c:numRef>
          </c:val>
        </c:ser>
        <c:ser>
          <c:idx val="1"/>
          <c:order val="1"/>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[图标.xls]Sheet1!$A$2:$A$3</c:f>
              <c:strCache>
                <c:ptCount val="2"/>
                <c:pt idx="0">
                  <c:v>2019年</c:v>
                </c:pt>
                <c:pt idx="1">
                  <c:v>2020年</c:v>
                </c:pt>
              </c:strCache>
            </c:strRef>
          </c:cat>
          <c:val>
            <c:numRef>
              <c:f>[图标.xls]Sheet1!$C$2:$C$3</c:f>
              <c:numCache>
                <c:formatCode>General</c:formatCode>
                <c:ptCount val="2"/>
                <c:pt idx="0">
                  <c:v>623.65</c:v>
                </c:pt>
                <c:pt idx="1">
                  <c:v>639.8</c:v>
                </c:pt>
              </c:numCache>
            </c:numRef>
          </c:val>
        </c:ser>
        <c:dLbls>
          <c:showLegendKey val="0"/>
          <c:showVal val="1"/>
          <c:showCatName val="0"/>
          <c:showSerName val="0"/>
          <c:showPercent val="0"/>
          <c:showBubbleSize val="0"/>
        </c:dLbls>
        <c:gapWidth val="150"/>
        <c:axId val="39690624"/>
        <c:axId val="39692160"/>
      </c:barChart>
      <c:catAx>
        <c:axId val="39690624"/>
        <c:scaling>
          <c:orientation val="minMax"/>
        </c:scaling>
        <c:delete val="0"/>
        <c:axPos val="b"/>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9692160"/>
        <c:crosses val="autoZero"/>
        <c:auto val="1"/>
        <c:lblAlgn val="ctr"/>
        <c:lblOffset val="100"/>
        <c:noMultiLvlLbl val="0"/>
      </c:catAx>
      <c:valAx>
        <c:axId val="39692160"/>
        <c:scaling>
          <c:orientation val="minMax"/>
        </c:scaling>
        <c:delete val="0"/>
        <c:axPos val="l"/>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9690624"/>
        <c:crosses val="autoZero"/>
        <c:crossBetween val="between"/>
      </c:valAx>
      <c:spPr>
        <a:noFill/>
        <a:ln w="3175">
          <a:noFill/>
        </a:ln>
      </c:spPr>
    </c:plotArea>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597.53</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436.2</c:v>
                </c:pt>
                <c:pt idx="1">
                  <c:v>203.6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594.84</c:v>
                </c:pt>
                <c:pt idx="1">
                  <c:v>623.65</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597.53</c:v>
                </c:pt>
                <c:pt idx="1">
                  <c:v>639.8</c:v>
                </c:pt>
              </c:numCache>
            </c:numRef>
          </c:val>
        </c:ser>
        <c:dLbls>
          <c:showLegendKey val="0"/>
          <c:showVal val="1"/>
          <c:showCatName val="0"/>
          <c:showSerName val="0"/>
          <c:showPercent val="0"/>
          <c:showBubbleSize val="0"/>
        </c:dLbls>
        <c:gapWidth val="219"/>
        <c:overlap val="-27"/>
        <c:axId val="95012352"/>
        <c:axId val="95013888"/>
      </c:barChart>
      <c:catAx>
        <c:axId val="9501235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95013888"/>
        <c:crosses val="autoZero"/>
        <c:auto val="1"/>
        <c:lblAlgn val="ctr"/>
        <c:lblOffset val="100"/>
        <c:noMultiLvlLbl val="0"/>
      </c:catAx>
      <c:valAx>
        <c:axId val="95013888"/>
        <c:scaling>
          <c:orientation val="minMax"/>
          <c:max val="1000"/>
          <c:min val="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9501235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623.65</c:v>
                </c:pt>
                <c:pt idx="1">
                  <c:v>639.8</c:v>
                </c:pt>
              </c:numCache>
            </c:numRef>
          </c:val>
        </c:ser>
        <c:dLbls>
          <c:showLegendKey val="0"/>
          <c:showVal val="1"/>
          <c:showCatName val="0"/>
          <c:showSerName val="0"/>
          <c:showPercent val="0"/>
          <c:showBubbleSize val="0"/>
        </c:dLbls>
        <c:gapWidth val="219"/>
        <c:overlap val="-27"/>
        <c:axId val="95092096"/>
        <c:axId val="95278592"/>
      </c:barChart>
      <c:catAx>
        <c:axId val="9509209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95278592"/>
        <c:crosses val="autoZero"/>
        <c:auto val="1"/>
        <c:lblAlgn val="ctr"/>
        <c:lblOffset val="100"/>
        <c:noMultiLvlLbl val="0"/>
      </c:catAx>
      <c:valAx>
        <c:axId val="95278592"/>
        <c:scaling>
          <c:orientation val="minMax"/>
          <c:max val="1000"/>
          <c:min val="0"/>
        </c:scaling>
        <c:delete val="0"/>
        <c:axPos val="l"/>
        <c:majorGridlines/>
        <c:numFmt formatCode="General" sourceLinked="1"/>
        <c:majorTickMark val="none"/>
        <c:minorTickMark val="none"/>
        <c:tickLblPos val="nextTo"/>
        <c:spPr>
          <a:solidFill>
            <a:srgbClr val="FFFFFF"/>
          </a:solidFill>
        </c:spPr>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9509209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(6)'!$A$2:$A$7</c:f>
              <c:strCache>
                <c:ptCount val="6"/>
                <c:pt idx="0">
                  <c:v>一般公共服务</c:v>
                </c:pt>
                <c:pt idx="1">
                  <c:v>社会保障和就业</c:v>
                </c:pt>
                <c:pt idx="2">
                  <c:v>医疗卫生支出</c:v>
                </c:pt>
                <c:pt idx="3">
                  <c:v>住房保障支出</c:v>
                </c:pt>
                <c:pt idx="4">
                  <c:v>农利水支出</c:v>
                </c:pt>
                <c:pt idx="5">
                  <c:v>其他支出</c:v>
                </c:pt>
              </c:strCache>
            </c:strRef>
          </c:cat>
          <c:val>
            <c:numRef>
              <c:f>'Sheet1 (6)'!$B$2:$B$7</c:f>
              <c:numCache>
                <c:formatCode>General</c:formatCode>
                <c:ptCount val="6"/>
                <c:pt idx="0">
                  <c:v>283.24</c:v>
                </c:pt>
                <c:pt idx="1">
                  <c:v>62.9</c:v>
                </c:pt>
                <c:pt idx="2">
                  <c:v>26.79</c:v>
                </c:pt>
                <c:pt idx="3">
                  <c:v>34.15</c:v>
                </c:pt>
                <c:pt idx="4">
                  <c:v>186.16</c:v>
                </c:pt>
                <c:pt idx="5">
                  <c:v>46.55</c:v>
                </c:pt>
              </c:numCache>
            </c:numRef>
          </c:val>
        </c:ser>
        <c:ser>
          <c:idx val="1"/>
          <c:order val="1"/>
          <c:tx>
            <c:strRef>
              <c:f>'Sheet1 (6)'!$C$1</c:f>
              <c:strCache>
                <c:ptCount val="1"/>
                <c:pt idx="0">
                  <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(6)'!$A$2:$A$7</c:f>
              <c:strCache>
                <c:ptCount val="6"/>
                <c:pt idx="0">
                  <c:v>一般公共服务</c:v>
                </c:pt>
                <c:pt idx="1">
                  <c:v>社会保障和就业</c:v>
                </c:pt>
                <c:pt idx="2">
                  <c:v>医疗卫生支出</c:v>
                </c:pt>
                <c:pt idx="3">
                  <c:v>住房保障支出</c:v>
                </c:pt>
                <c:pt idx="4">
                  <c:v>农利水支出</c:v>
                </c:pt>
                <c:pt idx="5">
                  <c:v>其他支出</c:v>
                </c:pt>
              </c:strCache>
            </c:strRef>
          </c:cat>
          <c:val>
            <c:numRef>
              <c:f>'Sheet1 (6)'!$C$2:$C$7</c:f>
              <c:numCache>
                <c:formatCode>General</c:formatCode>
                <c:ptCount val="6"/>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5.32</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1057</Words>
  <Characters>6029</Characters>
  <Lines>50</Lines>
  <Paragraphs>14</Paragraphs>
  <TotalTime>0</TotalTime>
  <ScaleCrop>false</ScaleCrop>
  <LinksUpToDate>false</LinksUpToDate>
  <CharactersWithSpaces>7072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2021-09-18T02:26:00Z</cp:lastPrinted>
  <dcterms:modified xsi:type="dcterms:W3CDTF">2021-09-27T03:21:58Z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C386C3B325224AC8BB273BAE185A4389</vt:lpwstr>
  </property>
</Properties>
</file>