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21938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卡拉脚乡人民政府</w:t>
      </w:r>
    </w:p>
    <w:p w14:paraId="3B9DB3F2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13B7BD30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0235C95C">
      <w:pPr>
        <w:pStyle w:val="2"/>
        <w:jc w:val="left"/>
      </w:pPr>
    </w:p>
    <w:p w14:paraId="3AD0755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2025年，我单位部门预算657.28万元 ，均严格按绩效管理要求实现项目绩效目标管理，其中重点项目预算0个，现将情况说明如下：</w:t>
      </w:r>
    </w:p>
    <w:p w14:paraId="02EE3718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3F7FD526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273BACE4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5CE5F4C0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77B0874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67EC8137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1795885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三是坚定贯彻总体国家安全观，旗帜鲜明开展反分维稳斗争，扫黑除恶专项斗争强力推进，“天网”、雪亮工程拓展延伸，平安防线牢不可破，“两项”改革调整优化4个村。</w:t>
      </w:r>
    </w:p>
    <w:p w14:paraId="41D157D1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6FA3BD2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重点项目1：卡拉脚乡人民政府办公室日常公用经费</w:t>
      </w:r>
    </w:p>
    <w:p w14:paraId="388BE6A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9DE95F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14885F2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1B72AA3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3个村的公务运行维护费7万元/年/村，共计21万元；党建费2万元/年/村，共计6万元；办公费2万元/年/村，共计6万元。2024年每年每村增加4万元，以上合计45万元。</w:t>
      </w:r>
    </w:p>
    <w:p w14:paraId="68384E9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1D6F7BF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重点项目3：卡拉脚乡党委办公室日常公用经费</w:t>
      </w:r>
    </w:p>
    <w:p w14:paraId="7D37D87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F8A116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6122A72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：卡拉脚乡人大常委会办公室日常公用经费</w:t>
      </w:r>
    </w:p>
    <w:p w14:paraId="6A9CFFD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647EE27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2368EB8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重点项目5：卡拉脚乡综合服务中心日常公用经费</w:t>
      </w:r>
    </w:p>
    <w:p w14:paraId="4E1F5E0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340260B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2FBFB9C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25C67D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OTEwYWNmNmM2NDNkYmNlMDNjODIzMWZmZTJlYjkwMzgifQ=="/>
  </w:docVars>
  <w:rsids>
    <w:rsidRoot w:val="00000000"/>
    <w:rsid w:val="17067362"/>
    <w:rsid w:val="3F566C52"/>
    <w:rsid w:val="4EBB1C75"/>
    <w:rsid w:val="6CA752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1299</Words>
  <Characters>1319</Characters>
  <Lines>23</Lines>
  <Paragraphs>15</Paragraphs>
  <TotalTime>7</TotalTime>
  <ScaleCrop>false</ScaleCrop>
  <LinksUpToDate>false</LinksUpToDate>
  <CharactersWithSpaces>1320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2025-03-05T02:22:26Z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E5EC48C25E77463894A55E992294F486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