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szCs w:val="44"/>
        </w:rPr>
      </w:pPr>
      <w:r>
        <w:rPr>
          <w:rFonts w:hint="eastAsia"/>
          <w:sz w:val="44"/>
          <w:szCs w:val="44"/>
        </w:rPr>
        <w:t>金川县卡拉脚乡人民政府2018年决算公开</w:t>
      </w:r>
    </w:p>
    <w:p>
      <w:r>
        <w:rPr>
          <w:rFonts w:hint="eastAsia"/>
        </w:rPr>
        <w:t xml:space="preserve"> </w:t>
      </w:r>
    </w:p>
    <w:p>
      <w:pPr>
        <w:jc w:val="left"/>
        <w:rPr>
          <w:sz w:val="32"/>
          <w:szCs w:val="32"/>
        </w:rPr>
      </w:pPr>
      <w:r>
        <w:rPr>
          <w:rFonts w:hint="eastAsia"/>
        </w:rPr>
        <w:t xml:space="preserve"> </w:t>
      </w:r>
      <w:r>
        <w:rPr>
          <w:rFonts w:hint="eastAsia"/>
          <w:sz w:val="32"/>
          <w:szCs w:val="32"/>
        </w:rPr>
        <w:t>目 录</w:t>
      </w:r>
    </w:p>
    <w:p>
      <w:pPr>
        <w:numPr>
          <w:ilvl w:val="0"/>
          <w:numId w:val="1"/>
        </w:numPr>
        <w:jc w:val="left"/>
        <w:rPr>
          <w:sz w:val="32"/>
          <w:szCs w:val="32"/>
        </w:rPr>
      </w:pPr>
      <w:r>
        <w:rPr>
          <w:rFonts w:hint="eastAsia"/>
          <w:sz w:val="32"/>
          <w:szCs w:val="32"/>
        </w:rPr>
        <w:t>基本职能及主要工作</w:t>
      </w:r>
    </w:p>
    <w:p>
      <w:pPr>
        <w:jc w:val="left"/>
        <w:rPr>
          <w:sz w:val="32"/>
          <w:szCs w:val="32"/>
        </w:rPr>
      </w:pPr>
      <w:r>
        <w:rPr>
          <w:rFonts w:hint="eastAsia"/>
          <w:sz w:val="32"/>
          <w:szCs w:val="32"/>
        </w:rPr>
        <w:t>（一）主要职能。</w:t>
      </w:r>
    </w:p>
    <w:p>
      <w:pPr>
        <w:jc w:val="left"/>
        <w:rPr>
          <w:sz w:val="32"/>
          <w:szCs w:val="32"/>
        </w:rPr>
      </w:pPr>
      <w:r>
        <w:rPr>
          <w:rFonts w:hint="eastAsia"/>
          <w:sz w:val="32"/>
          <w:szCs w:val="32"/>
        </w:rPr>
        <w:t>（二）2018年重点工作完成情况。</w:t>
      </w:r>
    </w:p>
    <w:p>
      <w:pPr>
        <w:jc w:val="left"/>
        <w:rPr>
          <w:sz w:val="32"/>
          <w:szCs w:val="32"/>
        </w:rPr>
      </w:pPr>
      <w:r>
        <w:rPr>
          <w:rFonts w:hint="eastAsia"/>
          <w:sz w:val="32"/>
          <w:szCs w:val="32"/>
        </w:rPr>
        <w:t>二、部门概况</w:t>
      </w:r>
    </w:p>
    <w:p>
      <w:pPr>
        <w:snapToGrid w:val="0"/>
        <w:spacing w:line="520" w:lineRule="exact"/>
        <w:rPr>
          <w:sz w:val="32"/>
          <w:szCs w:val="32"/>
        </w:rPr>
      </w:pPr>
      <w:r>
        <w:rPr>
          <w:rFonts w:hint="eastAsia"/>
          <w:sz w:val="32"/>
          <w:szCs w:val="32"/>
        </w:rPr>
        <w:t>三、收入支出预算安排情况。</w:t>
      </w:r>
    </w:p>
    <w:p>
      <w:pPr>
        <w:jc w:val="left"/>
        <w:rPr>
          <w:sz w:val="32"/>
          <w:szCs w:val="32"/>
        </w:rPr>
      </w:pPr>
      <w:r>
        <w:rPr>
          <w:rFonts w:hint="eastAsia"/>
          <w:sz w:val="32"/>
          <w:szCs w:val="32"/>
        </w:rPr>
        <w:t>四、财政拨款收入支出决算总体情况说明</w:t>
      </w:r>
    </w:p>
    <w:p>
      <w:pPr>
        <w:jc w:val="left"/>
        <w:rPr>
          <w:sz w:val="32"/>
          <w:szCs w:val="32"/>
        </w:rPr>
      </w:pPr>
      <w:r>
        <w:rPr>
          <w:rFonts w:hint="eastAsia"/>
          <w:sz w:val="32"/>
          <w:szCs w:val="32"/>
        </w:rPr>
        <w:t>五、一般公共预算财政拨款支出决算情况说明</w:t>
      </w:r>
    </w:p>
    <w:p>
      <w:pPr>
        <w:jc w:val="left"/>
        <w:rPr>
          <w:sz w:val="32"/>
          <w:szCs w:val="32"/>
        </w:rPr>
      </w:pPr>
      <w:r>
        <w:rPr>
          <w:rFonts w:hint="eastAsia"/>
          <w:sz w:val="32"/>
          <w:szCs w:val="32"/>
        </w:rPr>
        <w:t>（一）一般公共预算财政拨款支出决算总体情况</w:t>
      </w:r>
    </w:p>
    <w:p>
      <w:pPr>
        <w:jc w:val="left"/>
        <w:rPr>
          <w:sz w:val="32"/>
          <w:szCs w:val="32"/>
        </w:rPr>
      </w:pPr>
      <w:r>
        <w:rPr>
          <w:rFonts w:hint="eastAsia"/>
          <w:sz w:val="32"/>
          <w:szCs w:val="32"/>
        </w:rPr>
        <w:t>（二）一般公共预算财政拨款支出决算结构情况</w:t>
      </w:r>
    </w:p>
    <w:p>
      <w:pPr>
        <w:jc w:val="left"/>
        <w:rPr>
          <w:sz w:val="32"/>
          <w:szCs w:val="32"/>
        </w:rPr>
      </w:pPr>
      <w:r>
        <w:rPr>
          <w:rFonts w:hint="eastAsia"/>
          <w:sz w:val="32"/>
          <w:szCs w:val="32"/>
        </w:rPr>
        <w:t>（三）一般公共预算财政拨款支出决算具体情况</w:t>
      </w:r>
    </w:p>
    <w:p>
      <w:pPr>
        <w:jc w:val="left"/>
        <w:rPr>
          <w:sz w:val="32"/>
          <w:szCs w:val="32"/>
        </w:rPr>
      </w:pPr>
      <w:r>
        <w:rPr>
          <w:rFonts w:hint="eastAsia"/>
          <w:sz w:val="32"/>
          <w:szCs w:val="32"/>
        </w:rPr>
        <w:t>六、一般公共预算财政拨款基本支出决算情况说明</w:t>
      </w:r>
    </w:p>
    <w:p>
      <w:pPr>
        <w:jc w:val="left"/>
        <w:rPr>
          <w:sz w:val="32"/>
          <w:szCs w:val="32"/>
        </w:rPr>
      </w:pPr>
      <w:r>
        <w:rPr>
          <w:rFonts w:hint="eastAsia"/>
          <w:sz w:val="32"/>
          <w:szCs w:val="32"/>
        </w:rPr>
        <w:t>七、“三公”经费财政拨款支出决算情况说明</w:t>
      </w:r>
    </w:p>
    <w:p>
      <w:pPr>
        <w:jc w:val="left"/>
        <w:rPr>
          <w:sz w:val="32"/>
          <w:szCs w:val="32"/>
        </w:rPr>
      </w:pPr>
      <w:r>
        <w:rPr>
          <w:rFonts w:hint="eastAsia"/>
          <w:sz w:val="32"/>
          <w:szCs w:val="32"/>
        </w:rPr>
        <w:t>（一）“三公”经费财政拨款支出决算总体情况说明</w:t>
      </w:r>
    </w:p>
    <w:p>
      <w:pPr>
        <w:jc w:val="left"/>
        <w:rPr>
          <w:sz w:val="32"/>
          <w:szCs w:val="32"/>
        </w:rPr>
      </w:pPr>
      <w:r>
        <w:rPr>
          <w:rFonts w:hint="eastAsia"/>
          <w:sz w:val="32"/>
          <w:szCs w:val="32"/>
        </w:rPr>
        <w:t>（二）“三公”经费财政拨款支出决算具体情况说明</w:t>
      </w:r>
    </w:p>
    <w:p>
      <w:pPr>
        <w:jc w:val="left"/>
        <w:rPr>
          <w:sz w:val="32"/>
          <w:szCs w:val="32"/>
        </w:rPr>
      </w:pPr>
      <w:r>
        <w:rPr>
          <w:rFonts w:hint="eastAsia"/>
          <w:sz w:val="32"/>
          <w:szCs w:val="32"/>
        </w:rPr>
        <w:t>八、政府性基金预算支出决算情况说明</w:t>
      </w:r>
    </w:p>
    <w:p>
      <w:pPr>
        <w:jc w:val="left"/>
        <w:rPr>
          <w:sz w:val="32"/>
          <w:szCs w:val="32"/>
        </w:rPr>
      </w:pPr>
      <w:r>
        <w:rPr>
          <w:rFonts w:hint="eastAsia"/>
          <w:sz w:val="32"/>
          <w:szCs w:val="32"/>
        </w:rPr>
        <w:t>九、国有资本经营预算支出决算情况说明</w:t>
      </w:r>
    </w:p>
    <w:p>
      <w:pPr>
        <w:jc w:val="left"/>
        <w:rPr>
          <w:sz w:val="32"/>
          <w:szCs w:val="32"/>
        </w:rPr>
      </w:pPr>
      <w:r>
        <w:rPr>
          <w:rFonts w:hint="eastAsia"/>
          <w:sz w:val="32"/>
          <w:szCs w:val="32"/>
        </w:rPr>
        <w:t>十、其他重要事项的情况说明</w:t>
      </w:r>
    </w:p>
    <w:p>
      <w:pPr>
        <w:jc w:val="left"/>
        <w:rPr>
          <w:sz w:val="32"/>
          <w:szCs w:val="32"/>
        </w:rPr>
      </w:pPr>
      <w:r>
        <w:rPr>
          <w:rFonts w:hint="eastAsia"/>
          <w:sz w:val="32"/>
          <w:szCs w:val="32"/>
        </w:rPr>
        <w:t>（一）机关运行经费支出情况</w:t>
      </w:r>
    </w:p>
    <w:p>
      <w:pPr>
        <w:jc w:val="left"/>
        <w:rPr>
          <w:sz w:val="32"/>
          <w:szCs w:val="32"/>
        </w:rPr>
      </w:pPr>
      <w:r>
        <w:rPr>
          <w:rFonts w:hint="eastAsia"/>
          <w:sz w:val="32"/>
          <w:szCs w:val="32"/>
        </w:rPr>
        <w:t>（二）政府采购支出情况</w:t>
      </w:r>
    </w:p>
    <w:p>
      <w:pPr>
        <w:jc w:val="left"/>
        <w:rPr>
          <w:sz w:val="32"/>
          <w:szCs w:val="32"/>
        </w:rPr>
      </w:pPr>
      <w:r>
        <w:rPr>
          <w:rFonts w:hint="eastAsia"/>
          <w:sz w:val="32"/>
          <w:szCs w:val="32"/>
        </w:rPr>
        <w:t>（三）国有资产占有使用情况</w:t>
      </w:r>
    </w:p>
    <w:p>
      <w:pPr>
        <w:jc w:val="left"/>
        <w:rPr>
          <w:sz w:val="32"/>
          <w:szCs w:val="32"/>
        </w:rPr>
      </w:pPr>
      <w:r>
        <w:rPr>
          <w:rFonts w:hint="eastAsia"/>
          <w:sz w:val="32"/>
          <w:szCs w:val="32"/>
        </w:rPr>
        <w:t>（四）预算绩效情况</w:t>
      </w:r>
    </w:p>
    <w:p>
      <w:pPr>
        <w:jc w:val="left"/>
        <w:rPr>
          <w:sz w:val="32"/>
          <w:szCs w:val="32"/>
        </w:rPr>
      </w:pPr>
      <w:r>
        <w:rPr>
          <w:rFonts w:hint="eastAsia"/>
          <w:sz w:val="32"/>
          <w:szCs w:val="32"/>
        </w:rPr>
        <w:t>1.绩效目标管理情况。</w:t>
      </w:r>
    </w:p>
    <w:p>
      <w:pPr>
        <w:jc w:val="left"/>
        <w:rPr>
          <w:sz w:val="32"/>
          <w:szCs w:val="32"/>
        </w:rPr>
      </w:pPr>
      <w:r>
        <w:rPr>
          <w:rFonts w:hint="eastAsia"/>
          <w:sz w:val="32"/>
          <w:szCs w:val="32"/>
        </w:rPr>
        <w:t>2.部门整体支出绩效自评开展情况。</w:t>
      </w:r>
    </w:p>
    <w:p>
      <w:pPr>
        <w:jc w:val="left"/>
        <w:rPr>
          <w:sz w:val="32"/>
          <w:szCs w:val="32"/>
        </w:rPr>
      </w:pPr>
      <w:r>
        <w:rPr>
          <w:rFonts w:hint="eastAsia"/>
          <w:sz w:val="32"/>
          <w:szCs w:val="32"/>
        </w:rPr>
        <w:t>3.部门自行组织绩效评价开展情况。</w:t>
      </w:r>
    </w:p>
    <w:p>
      <w:pPr>
        <w:jc w:val="left"/>
        <w:rPr>
          <w:sz w:val="32"/>
          <w:szCs w:val="32"/>
        </w:rPr>
      </w:pPr>
      <w:r>
        <w:rPr>
          <w:rFonts w:hint="eastAsia"/>
          <w:sz w:val="32"/>
          <w:szCs w:val="32"/>
        </w:rPr>
        <w:t>十一、名词解释</w:t>
      </w: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ind w:firstLine="643" w:firstLineChars="200"/>
        <w:rPr>
          <w:rFonts w:asciiTheme="majorHAnsi"/>
          <w:b/>
          <w:bCs/>
          <w:sz w:val="32"/>
          <w:szCs w:val="32"/>
        </w:rPr>
      </w:pPr>
      <w:r>
        <w:rPr>
          <w:rFonts w:hint="eastAsia" w:asciiTheme="majorHAnsi"/>
          <w:b/>
          <w:bCs/>
          <w:sz w:val="32"/>
          <w:szCs w:val="32"/>
        </w:rPr>
        <w:t>金川县卡拉脚乡人民政府2018年部门决算公开编制说明</w:t>
      </w:r>
    </w:p>
    <w:p>
      <w:pPr>
        <w:rPr>
          <w:b/>
          <w:bCs/>
          <w:sz w:val="32"/>
          <w:szCs w:val="32"/>
        </w:rPr>
      </w:pPr>
      <w:r>
        <w:rPr>
          <w:rFonts w:hint="eastAsia"/>
          <w:b/>
          <w:bCs/>
          <w:sz w:val="32"/>
          <w:szCs w:val="32"/>
        </w:rPr>
        <w:t>一、基本职能及主要工作</w:t>
      </w:r>
    </w:p>
    <w:p>
      <w:pPr>
        <w:rPr>
          <w:sz w:val="32"/>
          <w:szCs w:val="32"/>
        </w:rPr>
      </w:pPr>
      <w:r>
        <w:rPr>
          <w:rFonts w:hint="eastAsia"/>
          <w:sz w:val="32"/>
          <w:szCs w:val="32"/>
        </w:rPr>
        <w:t>（一）主要职能。</w:t>
      </w:r>
    </w:p>
    <w:p>
      <w:pPr>
        <w:ind w:firstLine="640" w:firstLineChars="200"/>
        <w:rPr>
          <w:rFonts w:ascii="仿宋_GB2312" w:eastAsia="仿宋_GB2312"/>
          <w:sz w:val="32"/>
          <w:szCs w:val="32"/>
        </w:rPr>
      </w:pPr>
      <w:r>
        <w:rPr>
          <w:rFonts w:hint="eastAsia" w:eastAsia="仿宋_GB2312"/>
          <w:bCs/>
          <w:color w:val="000000"/>
          <w:sz w:val="32"/>
          <w:szCs w:val="32"/>
        </w:rPr>
        <w:t xml:space="preserve">   </w:t>
      </w:r>
      <w:r>
        <w:rPr>
          <w:rFonts w:hint="eastAsia" w:ascii="仿宋_GB2312" w:eastAsia="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w:t>
      </w:r>
      <w:r>
        <w:rPr>
          <w:rFonts w:hint="eastAsia" w:ascii="仿宋_GB2312" w:eastAsia="仿宋_GB2312"/>
          <w:kern w:val="0"/>
          <w:sz w:val="32"/>
          <w:szCs w:val="32"/>
        </w:rPr>
        <w:t>着力抓经济、保稳定、惠民生、促发展，全乡经济和社会各项事业持续健康发展。全乡上下齐心协力，锐意进取，有力推动各项工作顺利开展并较好完成了2018年定的各项目标任务。</w:t>
      </w:r>
    </w:p>
    <w:p>
      <w:pPr>
        <w:rPr>
          <w:sz w:val="32"/>
          <w:szCs w:val="32"/>
        </w:rPr>
      </w:pPr>
      <w:r>
        <w:rPr>
          <w:rFonts w:hint="eastAsia"/>
          <w:sz w:val="32"/>
          <w:szCs w:val="32"/>
        </w:rPr>
        <w:t>（二）2018年重点工作完成情况。</w:t>
      </w:r>
    </w:p>
    <w:p>
      <w:pPr>
        <w:spacing w:line="560" w:lineRule="exact"/>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rPr>
        <w:t>1、以经济建设为中心，经济总量不断扩大；</w:t>
      </w:r>
    </w:p>
    <w:p>
      <w:pPr>
        <w:spacing w:line="560" w:lineRule="exact"/>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rPr>
        <w:t>2、以民生建设为基础，民生福祉有效增进；</w:t>
      </w:r>
    </w:p>
    <w:p>
      <w:pPr>
        <w:spacing w:line="560" w:lineRule="exact"/>
        <w:ind w:firstLine="643" w:firstLineChars="200"/>
        <w:rPr>
          <w:rFonts w:ascii="仿宋_GB2312" w:hAnsi="仿宋" w:eastAsia="仿宋_GB2312" w:cs="仿宋_GB2312"/>
          <w:b/>
          <w:bCs/>
          <w:sz w:val="32"/>
          <w:szCs w:val="32"/>
        </w:rPr>
      </w:pPr>
      <w:r>
        <w:rPr>
          <w:rFonts w:hint="eastAsia" w:ascii="仿宋_GB2312" w:hAnsi="宋体" w:eastAsia="仿宋_GB2312" w:cs="宋体"/>
          <w:b/>
          <w:bCs/>
          <w:kern w:val="0"/>
          <w:sz w:val="32"/>
          <w:szCs w:val="32"/>
        </w:rPr>
        <w:t>3、</w:t>
      </w:r>
      <w:r>
        <w:rPr>
          <w:rFonts w:hint="eastAsia" w:ascii="仿宋_GB2312" w:hAnsi="仿宋" w:eastAsia="仿宋_GB2312" w:cs="仿宋_GB2312"/>
          <w:b/>
          <w:bCs/>
          <w:sz w:val="32"/>
          <w:szCs w:val="32"/>
        </w:rPr>
        <w:t>以社会事业为抓手，各项工作有序推进；</w:t>
      </w:r>
    </w:p>
    <w:p>
      <w:pPr>
        <w:spacing w:line="560" w:lineRule="exact"/>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rPr>
        <w:t>4、以维护稳定为前提，社会治理全面强化；</w:t>
      </w:r>
    </w:p>
    <w:p>
      <w:pPr>
        <w:spacing w:line="560" w:lineRule="exact"/>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rPr>
        <w:t>5、以环境保护为突破口，营造宜居生态</w:t>
      </w:r>
    </w:p>
    <w:p>
      <w:pPr>
        <w:spacing w:line="560" w:lineRule="exact"/>
        <w:ind w:firstLine="643" w:firstLineChars="200"/>
        <w:rPr>
          <w:rFonts w:ascii="仿宋_GB2312" w:hAnsi="仿宋" w:eastAsia="仿宋_GB2312" w:cs="仿宋_GB2312"/>
          <w:b/>
          <w:bCs/>
          <w:sz w:val="32"/>
          <w:szCs w:val="32"/>
        </w:rPr>
      </w:pPr>
      <w:r>
        <w:rPr>
          <w:rFonts w:hint="eastAsia" w:ascii="仿宋_GB2312" w:hAnsi="仿宋" w:eastAsia="仿宋_GB2312" w:cs="仿宋_GB2312"/>
          <w:b/>
          <w:bCs/>
          <w:sz w:val="32"/>
          <w:szCs w:val="32"/>
        </w:rPr>
        <w:t>6、以廉政建设为统领，政府效能不断提升</w:t>
      </w:r>
    </w:p>
    <w:p>
      <w:pPr>
        <w:rPr>
          <w:b/>
          <w:bCs/>
          <w:sz w:val="32"/>
          <w:szCs w:val="32"/>
        </w:rPr>
      </w:pPr>
      <w:r>
        <w:rPr>
          <w:rFonts w:hint="eastAsia"/>
          <w:b/>
          <w:bCs/>
          <w:sz w:val="32"/>
          <w:szCs w:val="32"/>
        </w:rPr>
        <w:t>二、部门概况</w:t>
      </w:r>
    </w:p>
    <w:p>
      <w:pPr>
        <w:snapToGrid w:val="0"/>
        <w:spacing w:line="360" w:lineRule="auto"/>
        <w:ind w:firstLine="640" w:firstLineChars="200"/>
        <w:rPr>
          <w:rFonts w:ascii="仿宋_GB2312" w:hAnsi="宋体" w:eastAsia="仿宋_GB2312"/>
          <w:bCs/>
          <w:sz w:val="32"/>
        </w:rPr>
      </w:pPr>
      <w:r>
        <w:rPr>
          <w:rFonts w:ascii="仿宋_GB2312" w:eastAsia="仿宋_GB2312"/>
          <w:bCs/>
          <w:sz w:val="32"/>
        </w:rPr>
        <w:t> </w:t>
      </w:r>
      <w:r>
        <w:rPr>
          <w:rFonts w:hint="eastAsia" w:ascii="仿宋_GB2312" w:eastAsia="仿宋_GB2312"/>
          <w:bCs/>
          <w:sz w:val="32"/>
        </w:rPr>
        <w:t>我乡2018年有2个机构，无增减变动。</w:t>
      </w:r>
      <w:r>
        <w:rPr>
          <w:rFonts w:hint="eastAsia" w:ascii="仿宋_GB2312" w:hAnsi="宋体" w:eastAsia="仿宋_GB2312"/>
          <w:bCs/>
          <w:sz w:val="32"/>
        </w:rPr>
        <w:t>2018年年初在职17人（行政人员17人，行政工勤1人，事业管理5人、专计1人）；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2018年年末在职20人（行政人员10人，行政工勤1人，事业9人。）。</w:t>
      </w:r>
    </w:p>
    <w:p>
      <w:pPr>
        <w:rPr>
          <w:rFonts w:eastAsia="仿宋_GB2312"/>
          <w:sz w:val="32"/>
          <w:szCs w:val="32"/>
        </w:rPr>
      </w:pPr>
      <w:r>
        <w:rPr>
          <w:rFonts w:hint="eastAsia" w:ascii="仿宋_GB2312" w:hAnsi="宋体" w:eastAsia="仿宋_GB2312"/>
          <w:bCs/>
          <w:sz w:val="32"/>
        </w:rPr>
        <w:t>2018年行政人员增加2人.</w:t>
      </w:r>
    </w:p>
    <w:p>
      <w:pPr>
        <w:snapToGrid w:val="0"/>
        <w:spacing w:line="520" w:lineRule="exact"/>
        <w:rPr>
          <w:rFonts w:ascii="仿宋_GB2312" w:hAnsi="宋体" w:eastAsia="仿宋_GB2312"/>
          <w:b/>
          <w:sz w:val="32"/>
        </w:rPr>
      </w:pPr>
      <w:r>
        <w:rPr>
          <w:rFonts w:hint="eastAsia" w:ascii="仿宋_GB2312" w:hAnsi="宋体" w:eastAsia="仿宋_GB2312"/>
          <w:b/>
          <w:sz w:val="32"/>
        </w:rPr>
        <w:t>三、</w:t>
      </w:r>
      <w:r>
        <w:rPr>
          <w:rFonts w:hint="eastAsia" w:ascii="楷体_GB2312" w:hAnsi="仿宋" w:eastAsia="楷体_GB2312"/>
          <w:b/>
          <w:sz w:val="32"/>
          <w:szCs w:val="32"/>
        </w:rPr>
        <w:t>收入支出预算安排情况。</w:t>
      </w:r>
    </w:p>
    <w:p>
      <w:p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2018年卡拉脚乡本年收入合计363.22万元，其中：一般公共预算财政拨款收入363.22万元，占100%；政府性基金预算财政拨款收入0元，占0%；国有资本经营预算财政拨款收入0万元，占0%；事业收入0万元，占0%；经营收入0万元，占0%；附属单位上缴收入0万元，占0%；其他收入0万元，占0%。</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2018年卡拉脚乡</w:t>
      </w:r>
      <w:r>
        <w:rPr>
          <w:rFonts w:hint="eastAsia" w:ascii="仿宋_GB2312" w:hAnsi="宋体" w:eastAsia="仿宋_GB2312"/>
          <w:bCs/>
          <w:sz w:val="32"/>
        </w:rPr>
        <w:t>本年支出</w:t>
      </w:r>
      <w:r>
        <w:rPr>
          <w:rFonts w:hint="eastAsia" w:ascii="仿宋_GB2312" w:hAnsi="仿宋" w:eastAsia="仿宋_GB2312"/>
          <w:sz w:val="32"/>
          <w:szCs w:val="32"/>
        </w:rPr>
        <w:t>为</w:t>
      </w:r>
      <w:r>
        <w:rPr>
          <w:rFonts w:ascii="仿宋_GB2312" w:hAnsi="仿宋" w:eastAsia="仿宋_GB2312"/>
          <w:sz w:val="32"/>
          <w:szCs w:val="32"/>
        </w:rPr>
        <w:t>361.66</w:t>
      </w:r>
      <w:r>
        <w:rPr>
          <w:rFonts w:hint="eastAsia" w:ascii="仿宋_GB2312" w:hAnsi="仿宋" w:eastAsia="仿宋_GB2312"/>
          <w:sz w:val="32"/>
          <w:szCs w:val="32"/>
        </w:rPr>
        <w:t>万元，</w:t>
      </w:r>
      <w:r>
        <w:rPr>
          <w:rFonts w:hint="eastAsia" w:ascii="仿宋_GB2312" w:hAnsi="微软雅黑" w:eastAsia="仿宋_GB2312"/>
          <w:color w:val="404040"/>
          <w:sz w:val="30"/>
          <w:szCs w:val="30"/>
        </w:rPr>
        <w:t>其中年末结转和结余1.56万元。</w:t>
      </w:r>
      <w:r>
        <w:rPr>
          <w:rFonts w:hint="eastAsia" w:ascii="仿宋_GB2312" w:hAnsi="宋体" w:eastAsia="仿宋_GB2312"/>
          <w:bCs/>
          <w:sz w:val="32"/>
        </w:rPr>
        <w:t>其中：基本支出270.1万元，占74.4%；项目支出91.56万元，占25.2%；上缴上级支出0万元，占0%；经营支出0万元，占0%；对附属单位补助支出0万元，占0%。</w:t>
      </w:r>
    </w:p>
    <w:p>
      <w:pPr>
        <w:snapToGrid w:val="0"/>
        <w:spacing w:line="520" w:lineRule="exact"/>
        <w:rPr>
          <w:rFonts w:ascii="仿宋_GB2312" w:hAnsi="宋体" w:eastAsia="仿宋_GB2312"/>
          <w:b/>
          <w:sz w:val="32"/>
        </w:rPr>
      </w:pPr>
      <w:r>
        <w:rPr>
          <w:rFonts w:hint="eastAsia" w:ascii="仿宋_GB2312" w:hAnsi="宋体" w:eastAsia="仿宋_GB2312"/>
          <w:b/>
          <w:sz w:val="32"/>
        </w:rPr>
        <w:t>四、</w:t>
      </w:r>
      <w:r>
        <w:rPr>
          <w:rFonts w:hint="eastAsia" w:ascii="仿宋_GB2312" w:hAnsi="仿宋" w:eastAsia="仿宋_GB2312"/>
          <w:b/>
          <w:sz w:val="32"/>
          <w:szCs w:val="32"/>
        </w:rPr>
        <w:t>收入支出与预算对比分析。</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2018年度财政拨款收入总计363.22万元。财政拨款支出总计363.22万元，其中年末结转和结余1.56万元（残保金），收支平衡。</w:t>
      </w:r>
    </w:p>
    <w:p>
      <w:pPr>
        <w:snapToGrid w:val="0"/>
        <w:spacing w:line="360" w:lineRule="auto"/>
        <w:rPr>
          <w:rFonts w:ascii="仿宋_GB2312" w:hAnsi="宋体" w:eastAsia="仿宋_GB2312"/>
          <w:b/>
          <w:sz w:val="32"/>
        </w:rPr>
      </w:pPr>
      <w:r>
        <w:rPr>
          <w:rFonts w:hint="eastAsia" w:ascii="仿宋_GB2312" w:hAnsi="宋体" w:eastAsia="仿宋_GB2312"/>
          <w:b/>
          <w:sz w:val="32"/>
        </w:rPr>
        <w:t>五、一般公共预算财政拨款支出决算情况说明</w:t>
      </w:r>
    </w:p>
    <w:p>
      <w:pPr>
        <w:snapToGrid w:val="0"/>
        <w:spacing w:line="360" w:lineRule="auto"/>
        <w:rPr>
          <w:rFonts w:ascii="仿宋_GB2312" w:hAnsi="宋体" w:eastAsia="仿宋_GB2312"/>
          <w:bCs/>
          <w:sz w:val="32"/>
        </w:rPr>
      </w:pPr>
      <w:r>
        <w:rPr>
          <w:rFonts w:hint="eastAsia" w:ascii="仿宋_GB2312" w:hAnsi="宋体" w:eastAsia="仿宋_GB2312"/>
          <w:bCs/>
          <w:sz w:val="32"/>
        </w:rPr>
        <w:t>（一）一般公共预算财政拨款支出决算总体情况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2018年度一般公共预算财政拨款支出</w:t>
      </w:r>
      <w:r>
        <w:rPr>
          <w:rFonts w:hint="eastAsia" w:ascii="仿宋_GB2312" w:hAnsi="仿宋" w:eastAsia="仿宋_GB2312"/>
          <w:sz w:val="32"/>
          <w:szCs w:val="32"/>
        </w:rPr>
        <w:t>363.22</w:t>
      </w:r>
      <w:r>
        <w:rPr>
          <w:rFonts w:hint="eastAsia" w:ascii="仿宋_GB2312" w:hAnsi="宋体" w:eastAsia="仿宋_GB2312"/>
          <w:bCs/>
          <w:sz w:val="32"/>
        </w:rPr>
        <w:t>万元，占本年支出合计的100%。</w:t>
      </w:r>
    </w:p>
    <w:p>
      <w:pPr>
        <w:snapToGrid w:val="0"/>
        <w:spacing w:line="360" w:lineRule="auto"/>
        <w:rPr>
          <w:rFonts w:ascii="仿宋_GB2312" w:hAnsi="宋体" w:eastAsia="仿宋_GB2312"/>
          <w:bCs/>
          <w:sz w:val="32"/>
        </w:rPr>
      </w:pPr>
      <w:r>
        <w:rPr>
          <w:rFonts w:hint="eastAsia" w:ascii="仿宋_GB2312" w:hAnsi="宋体" w:eastAsia="仿宋_GB2312"/>
          <w:bCs/>
          <w:sz w:val="32"/>
        </w:rPr>
        <w:t>（二）一般公共预算财政拨款支出决算结构情况</w:t>
      </w:r>
    </w:p>
    <w:p>
      <w:pPr>
        <w:snapToGrid w:val="0"/>
        <w:spacing w:line="520" w:lineRule="exact"/>
        <w:ind w:firstLine="640" w:firstLineChars="200"/>
        <w:rPr>
          <w:rFonts w:ascii="仿宋_GB2312" w:hAnsi="仿宋" w:eastAsia="仿宋_GB2312"/>
          <w:sz w:val="32"/>
          <w:szCs w:val="32"/>
        </w:rPr>
      </w:pPr>
      <w:r>
        <w:rPr>
          <w:rFonts w:hint="eastAsia" w:ascii="仿宋_GB2312" w:hAnsi="宋体" w:eastAsia="仿宋_GB2312"/>
          <w:bCs/>
          <w:sz w:val="32"/>
        </w:rPr>
        <w:t>2018年一般公共预算财政拨款支出</w:t>
      </w:r>
      <w:r>
        <w:rPr>
          <w:rFonts w:hint="eastAsia" w:ascii="仿宋_GB2312" w:hAnsi="仿宋" w:eastAsia="仿宋_GB2312"/>
          <w:sz w:val="32"/>
          <w:szCs w:val="32"/>
        </w:rPr>
        <w:t>363.22</w:t>
      </w:r>
      <w:r>
        <w:rPr>
          <w:rFonts w:hint="eastAsia" w:ascii="仿宋_GB2312" w:hAnsi="宋体" w:eastAsia="仿宋_GB2312"/>
          <w:bCs/>
          <w:sz w:val="32"/>
        </w:rPr>
        <w:t>万元，</w:t>
      </w:r>
      <w:r>
        <w:rPr>
          <w:rFonts w:hint="eastAsia" w:ascii="仿宋_GB2312" w:hAnsi="仿宋" w:eastAsia="仿宋_GB2312"/>
          <w:sz w:val="32"/>
          <w:szCs w:val="32"/>
        </w:rPr>
        <w:t>其中一般公共服务支出为160.7万元，占44.24%；社会保障和就业支出为37.24万元，占10.25%；医疗卫生与计划生育支出为9.21万元，占2.58%；农林水支出为130.1万元，占35.81%；住房保障支出21.17万元，占5.82%；其他支出为4.8万元，占1.3%。</w:t>
      </w:r>
    </w:p>
    <w:p>
      <w:pPr>
        <w:snapToGrid w:val="0"/>
        <w:spacing w:line="360" w:lineRule="auto"/>
        <w:rPr>
          <w:rFonts w:ascii="仿宋_GB2312" w:hAnsi="宋体" w:eastAsia="仿宋_GB2312"/>
          <w:bCs/>
          <w:sz w:val="32"/>
        </w:rPr>
      </w:pPr>
      <w:r>
        <w:rPr>
          <w:rFonts w:hint="eastAsia" w:ascii="仿宋_GB2312" w:hAnsi="宋体" w:eastAsia="仿宋_GB2312"/>
          <w:bCs/>
          <w:sz w:val="32"/>
        </w:rPr>
        <w:t>（三）一般公共预算财政拨款支出决算具体情况</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各项收入占总收入的比重，各项支出占总支出的比重。</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2018年卡拉脚乡全年收入</w:t>
      </w:r>
      <w:r>
        <w:rPr>
          <w:rFonts w:hint="eastAsia" w:ascii="仿宋_GB2312" w:hAnsi="仿宋" w:eastAsia="仿宋_GB2312"/>
          <w:sz w:val="32"/>
          <w:szCs w:val="32"/>
          <w:lang w:eastAsia="zh-CN"/>
        </w:rPr>
        <w:t>为</w:t>
      </w:r>
      <w:r>
        <w:rPr>
          <w:rFonts w:hint="eastAsia" w:ascii="仿宋_GB2312" w:hAnsi="仿宋" w:eastAsia="仿宋_GB2312"/>
          <w:sz w:val="32"/>
          <w:szCs w:val="32"/>
        </w:rPr>
        <w:t>363.22万元，与年初</w:t>
      </w:r>
      <w:r>
        <w:rPr>
          <w:rFonts w:hint="eastAsia" w:ascii="仿宋_GB2312" w:hAnsi="仿宋" w:eastAsia="仿宋_GB2312"/>
          <w:sz w:val="32"/>
          <w:szCs w:val="32"/>
          <w:lang w:eastAsia="zh-CN"/>
        </w:rPr>
        <w:t>预算</w:t>
      </w:r>
      <w:r>
        <w:rPr>
          <w:rFonts w:hint="eastAsia" w:ascii="仿宋_GB2312" w:hAnsi="仿宋" w:eastAsia="仿宋_GB2312"/>
          <w:sz w:val="32"/>
          <w:szCs w:val="32"/>
        </w:rPr>
        <w:t>相比</w:t>
      </w:r>
      <w:r>
        <w:rPr>
          <w:rFonts w:hint="eastAsia" w:ascii="仿宋_GB2312" w:hAnsi="仿宋" w:eastAsia="仿宋_GB2312"/>
          <w:sz w:val="32"/>
          <w:szCs w:val="32"/>
          <w:lang w:eastAsia="zh-CN"/>
        </w:rPr>
        <w:t>增长</w:t>
      </w:r>
      <w:r>
        <w:rPr>
          <w:rFonts w:hint="eastAsia" w:ascii="仿宋_GB2312" w:hAnsi="仿宋" w:eastAsia="仿宋_GB2312"/>
          <w:sz w:val="32"/>
          <w:szCs w:val="32"/>
        </w:rPr>
        <w:t>38.11万元。</w:t>
      </w:r>
    </w:p>
    <w:p>
      <w:pPr>
        <w:snapToGrid w:val="0"/>
        <w:rPr>
          <w:rFonts w:ascii="仿宋_GB2312" w:hAnsi="仿宋" w:eastAsia="仿宋_GB2312"/>
          <w:sz w:val="32"/>
          <w:szCs w:val="32"/>
        </w:rPr>
      </w:pPr>
      <w:r>
        <w:rPr>
          <w:rFonts w:hint="eastAsia" w:ascii="仿宋_GB2312" w:hAnsi="仿宋" w:eastAsia="仿宋_GB2312"/>
          <w:sz w:val="32"/>
          <w:szCs w:val="32"/>
        </w:rPr>
        <w:drawing>
          <wp:inline distT="0" distB="0" distL="114300" distR="114300">
            <wp:extent cx="4584700" cy="2832100"/>
            <wp:effectExtent l="0" t="0" r="0" b="0"/>
            <wp:docPr id="9" name="图片 2"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图片7"/>
                    <pic:cNvPicPr>
                      <a:picLocks noChangeAspect="1"/>
                    </pic:cNvPicPr>
                  </pic:nvPicPr>
                  <pic:blipFill>
                    <a:blip r:embed="rId4" cstate="print"/>
                    <a:stretch>
                      <a:fillRect/>
                    </a:stretch>
                  </pic:blipFill>
                  <pic:spPr>
                    <a:xfrm>
                      <a:off x="0" y="0"/>
                      <a:ext cx="4584700" cy="2832100"/>
                    </a:xfrm>
                    <a:prstGeom prst="rect">
                      <a:avLst/>
                    </a:prstGeom>
                    <a:noFill/>
                    <a:ln>
                      <a:noFill/>
                    </a:ln>
                  </pic:spPr>
                </pic:pic>
              </a:graphicData>
            </a:graphic>
          </wp:inline>
        </w:drawing>
      </w:r>
    </w:p>
    <w:p>
      <w:pPr>
        <w:snapToGrid w:val="0"/>
        <w:spacing w:line="520" w:lineRule="exact"/>
        <w:rPr>
          <w:rFonts w:ascii="仿宋_GB2312" w:hAnsi="仿宋" w:eastAsia="仿宋_GB2312"/>
          <w:sz w:val="32"/>
          <w:szCs w:val="32"/>
        </w:rPr>
      </w:pPr>
      <w:r>
        <w:rPr>
          <w:rFonts w:hint="eastAsia" w:ascii="仿宋_GB2312" w:hAnsi="仿宋" w:eastAsia="仿宋_GB2312"/>
          <w:sz w:val="32"/>
          <w:szCs w:val="32"/>
        </w:rPr>
        <w:t>其中一般公共服务支出为160.7万元，占44.24%；</w:t>
      </w:r>
    </w:p>
    <w:p>
      <w:pPr>
        <w:snapToGrid w:val="0"/>
        <w:ind w:firstLine="420" w:firstLineChars="200"/>
        <w:rPr>
          <w:rFonts w:ascii="仿宋_GB2312" w:hAnsi="仿宋" w:eastAsia="仿宋_GB2312"/>
          <w:sz w:val="32"/>
          <w:szCs w:val="32"/>
        </w:rPr>
      </w:pPr>
      <w:r>
        <w:drawing>
          <wp:inline distT="0" distB="0" distL="114300" distR="114300">
            <wp:extent cx="4572000" cy="2565400"/>
            <wp:effectExtent l="4445" t="4445" r="14605" b="20955"/>
            <wp:docPr id="12" name="图表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napToGrid w:val="0"/>
        <w:spacing w:line="520" w:lineRule="exact"/>
        <w:rPr>
          <w:rFonts w:ascii="仿宋_GB2312" w:hAnsi="仿宋" w:eastAsia="仿宋_GB2312"/>
          <w:sz w:val="32"/>
          <w:szCs w:val="32"/>
        </w:rPr>
      </w:pPr>
      <w:r>
        <w:rPr>
          <w:rFonts w:hint="eastAsia" w:ascii="仿宋_GB2312" w:hAnsi="仿宋" w:eastAsia="仿宋_GB2312"/>
          <w:sz w:val="32"/>
          <w:szCs w:val="32"/>
        </w:rPr>
        <w:t>社会保障和就业支出为37.24万元，占10.25%%；</w:t>
      </w:r>
    </w:p>
    <w:p>
      <w:pPr>
        <w:snapToGrid w:val="0"/>
        <w:ind w:firstLine="420" w:firstLineChars="200"/>
        <w:rPr>
          <w:rFonts w:ascii="仿宋_GB2312" w:hAnsi="仿宋" w:eastAsia="仿宋_GB2312"/>
          <w:sz w:val="32"/>
          <w:szCs w:val="32"/>
        </w:rPr>
      </w:pPr>
      <w:r>
        <w:drawing>
          <wp:inline distT="0" distB="0" distL="114300" distR="114300">
            <wp:extent cx="4572000" cy="2832100"/>
            <wp:effectExtent l="4445" t="4445" r="14605" b="20955"/>
            <wp:docPr id="13" name="图表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napToGrid w:val="0"/>
        <w:spacing w:line="520" w:lineRule="exact"/>
        <w:rPr>
          <w:rFonts w:ascii="仿宋_GB2312" w:hAnsi="仿宋" w:eastAsia="仿宋_GB2312"/>
          <w:sz w:val="32"/>
          <w:szCs w:val="32"/>
        </w:rPr>
      </w:pPr>
      <w:r>
        <w:rPr>
          <w:rFonts w:hint="eastAsia" w:ascii="仿宋_GB2312" w:hAnsi="仿宋" w:eastAsia="仿宋_GB2312"/>
          <w:sz w:val="32"/>
          <w:szCs w:val="32"/>
        </w:rPr>
        <w:t>医疗卫生与计划生育支出为9.21万元，占2.58%；</w:t>
      </w:r>
    </w:p>
    <w:p>
      <w:pPr>
        <w:snapToGrid w:val="0"/>
        <w:ind w:firstLine="420" w:firstLineChars="200"/>
        <w:rPr>
          <w:rFonts w:ascii="仿宋_GB2312" w:hAnsi="仿宋" w:eastAsia="仿宋_GB2312"/>
          <w:sz w:val="32"/>
          <w:szCs w:val="32"/>
        </w:rPr>
      </w:pPr>
      <w:r>
        <w:drawing>
          <wp:inline distT="0" distB="0" distL="114300" distR="114300">
            <wp:extent cx="4572000" cy="2832100"/>
            <wp:effectExtent l="4445" t="4445" r="14605" b="20955"/>
            <wp:docPr id="14" name="图表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napToGrid w:val="0"/>
        <w:rPr>
          <w:rFonts w:ascii="仿宋_GB2312" w:hAnsi="仿宋" w:eastAsia="仿宋_GB2312"/>
          <w:sz w:val="32"/>
          <w:szCs w:val="32"/>
        </w:rPr>
      </w:pPr>
    </w:p>
    <w:p>
      <w:pPr>
        <w:snapToGrid w:val="0"/>
        <w:rPr>
          <w:rFonts w:ascii="仿宋_GB2312" w:hAnsi="仿宋" w:eastAsia="仿宋_GB2312"/>
          <w:sz w:val="32"/>
          <w:szCs w:val="32"/>
        </w:rPr>
      </w:pPr>
      <w:r>
        <w:rPr>
          <w:rFonts w:hint="eastAsia" w:ascii="仿宋_GB2312" w:hAnsi="仿宋" w:eastAsia="仿宋_GB2312"/>
          <w:sz w:val="32"/>
          <w:szCs w:val="32"/>
        </w:rPr>
        <w:t>农林水支出为130.1万元，占35.81%</w:t>
      </w:r>
    </w:p>
    <w:p>
      <w:pPr>
        <w:snapToGrid w:val="0"/>
        <w:rPr>
          <w:rFonts w:ascii="仿宋_GB2312" w:hAnsi="仿宋" w:eastAsia="仿宋_GB2312"/>
          <w:sz w:val="32"/>
          <w:szCs w:val="32"/>
        </w:rPr>
      </w:pPr>
      <w:r>
        <w:drawing>
          <wp:inline distT="0" distB="0" distL="114300" distR="114300">
            <wp:extent cx="4572000" cy="2501900"/>
            <wp:effectExtent l="4445" t="4445" r="14605" b="8255"/>
            <wp:docPr id="11" name="图表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住房保障支出21.17万元，占5.82%；</w:t>
      </w:r>
    </w:p>
    <w:p>
      <w:pPr>
        <w:snapToGrid w:val="0"/>
        <w:ind w:firstLine="420" w:firstLineChars="200"/>
        <w:rPr>
          <w:rFonts w:ascii="仿宋_GB2312" w:hAnsi="仿宋" w:eastAsia="仿宋_GB2312"/>
          <w:sz w:val="32"/>
          <w:szCs w:val="32"/>
        </w:rPr>
      </w:pPr>
      <w:r>
        <w:drawing>
          <wp:inline distT="0" distB="0" distL="114300" distR="114300">
            <wp:extent cx="4572000" cy="2565400"/>
            <wp:effectExtent l="4445" t="4445" r="14605" b="20955"/>
            <wp:docPr id="10" name="图表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其他支出为4.8万元，占1.3%。</w:t>
      </w:r>
    </w:p>
    <w:p>
      <w:pPr>
        <w:snapToGrid w:val="0"/>
        <w:ind w:firstLine="420" w:firstLineChars="200"/>
        <w:rPr>
          <w:rFonts w:ascii="仿宋_GB2312" w:hAnsi="仿宋" w:eastAsia="仿宋_GB2312"/>
          <w:sz w:val="32"/>
          <w:szCs w:val="32"/>
        </w:rPr>
      </w:pPr>
      <w:r>
        <w:drawing>
          <wp:inline distT="0" distB="0" distL="114300" distR="114300">
            <wp:extent cx="4572000" cy="2501900"/>
            <wp:effectExtent l="4445" t="4445" r="14605" b="8255"/>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napToGrid w:val="0"/>
        <w:spacing w:line="520" w:lineRule="exact"/>
        <w:ind w:firstLine="640" w:firstLineChars="200"/>
        <w:rPr>
          <w:rFonts w:ascii="仿宋_GB2312" w:hAnsi="仿宋" w:eastAsia="仿宋_GB2312"/>
          <w:sz w:val="32"/>
          <w:szCs w:val="32"/>
        </w:rPr>
      </w:pP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2018年卡拉脚乡年末支出总数为363.22万元，较年初预算增长111.722%；</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其中一般公共服务支出为160.7万元，占44.24%；</w:t>
      </w:r>
    </w:p>
    <w:p>
      <w:pPr>
        <w:snapToGrid w:val="0"/>
        <w:spacing w:line="520" w:lineRule="exact"/>
        <w:ind w:firstLine="640" w:firstLineChars="200"/>
        <w:rPr>
          <w:rFonts w:ascii="仿宋_GB2312" w:hAnsi="仿宋" w:eastAsia="仿宋_GB2312"/>
          <w:sz w:val="32"/>
          <w:szCs w:val="32"/>
        </w:rPr>
      </w:pP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drawing>
          <wp:inline distT="0" distB="0" distL="114300" distR="114300">
            <wp:extent cx="4584700" cy="2578100"/>
            <wp:effectExtent l="0" t="0" r="6350" b="12700"/>
            <wp:docPr id="4" name="图片 9"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图片10"/>
                    <pic:cNvPicPr>
                      <a:picLocks noChangeAspect="1"/>
                    </pic:cNvPicPr>
                  </pic:nvPicPr>
                  <pic:blipFill>
                    <a:blip r:embed="rId11" cstate="print"/>
                    <a:stretch>
                      <a:fillRect/>
                    </a:stretch>
                  </pic:blipFill>
                  <pic:spPr>
                    <a:xfrm>
                      <a:off x="0" y="0"/>
                      <a:ext cx="4584700" cy="2578100"/>
                    </a:xfrm>
                    <a:prstGeom prst="rect">
                      <a:avLst/>
                    </a:prstGeom>
                    <a:noFill/>
                    <a:ln>
                      <a:noFill/>
                    </a:ln>
                  </pic:spPr>
                </pic:pic>
              </a:graphicData>
            </a:graphic>
          </wp:inline>
        </w:drawing>
      </w:r>
    </w:p>
    <w:p>
      <w:pPr>
        <w:snapToGrid w:val="0"/>
        <w:ind w:firstLine="640" w:firstLineChars="200"/>
        <w:rPr>
          <w:rFonts w:ascii="仿宋_GB2312" w:hAnsi="仿宋" w:eastAsia="仿宋_GB2312"/>
          <w:sz w:val="32"/>
          <w:szCs w:val="32"/>
        </w:rPr>
      </w:pP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社会保障和就业支出为37.24万元，占10.25%</w:t>
      </w:r>
    </w:p>
    <w:p>
      <w:pPr>
        <w:snapToGrid w:val="0"/>
        <w:ind w:firstLine="640" w:firstLineChars="200"/>
        <w:rPr>
          <w:rFonts w:ascii="仿宋_GB2312" w:hAnsi="仿宋" w:eastAsia="仿宋_GB2312"/>
          <w:sz w:val="32"/>
          <w:szCs w:val="32"/>
        </w:rPr>
      </w:pPr>
      <w:r>
        <w:rPr>
          <w:rFonts w:hint="eastAsia" w:ascii="仿宋_GB2312" w:hAnsi="仿宋" w:eastAsia="仿宋_GB2312"/>
          <w:sz w:val="32"/>
          <w:szCs w:val="32"/>
        </w:rPr>
        <w:drawing>
          <wp:inline distT="0" distB="0" distL="114300" distR="114300">
            <wp:extent cx="4584700" cy="2844800"/>
            <wp:effectExtent l="0" t="0" r="6350" b="12700"/>
            <wp:docPr id="7" name="图片 10"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图片9"/>
                    <pic:cNvPicPr>
                      <a:picLocks noChangeAspect="1"/>
                    </pic:cNvPicPr>
                  </pic:nvPicPr>
                  <pic:blipFill>
                    <a:blip r:embed="rId12" cstate="print"/>
                    <a:stretch>
                      <a:fillRect/>
                    </a:stretch>
                  </pic:blipFill>
                  <pic:spPr>
                    <a:xfrm>
                      <a:off x="0" y="0"/>
                      <a:ext cx="4584700" cy="2844800"/>
                    </a:xfrm>
                    <a:prstGeom prst="rect">
                      <a:avLst/>
                    </a:prstGeom>
                    <a:noFill/>
                    <a:ln>
                      <a:noFill/>
                    </a:ln>
                  </pic:spPr>
                </pic:pic>
              </a:graphicData>
            </a:graphic>
          </wp:inline>
        </w:drawing>
      </w:r>
    </w:p>
    <w:p>
      <w:pPr>
        <w:snapToGrid w:val="0"/>
        <w:spacing w:line="520" w:lineRule="exact"/>
        <w:ind w:firstLine="640" w:firstLineChars="200"/>
        <w:rPr>
          <w:rFonts w:ascii="仿宋_GB2312" w:hAnsi="仿宋" w:eastAsia="仿宋_GB2312"/>
          <w:sz w:val="32"/>
          <w:szCs w:val="32"/>
        </w:rPr>
      </w:pP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医疗卫生与计划生育支出为9.21万元，占2.58%；</w:t>
      </w:r>
    </w:p>
    <w:p>
      <w:pPr>
        <w:snapToGrid w:val="0"/>
        <w:ind w:firstLine="640" w:firstLineChars="200"/>
        <w:jc w:val="center"/>
        <w:rPr>
          <w:rFonts w:ascii="仿宋_GB2312" w:hAnsi="仿宋" w:eastAsia="仿宋_GB2312"/>
          <w:sz w:val="32"/>
          <w:szCs w:val="32"/>
        </w:rPr>
      </w:pPr>
      <w:r>
        <w:rPr>
          <w:rFonts w:hint="eastAsia" w:ascii="仿宋_GB2312" w:hAnsi="仿宋" w:eastAsia="仿宋_GB2312"/>
          <w:sz w:val="32"/>
          <w:szCs w:val="32"/>
        </w:rPr>
        <w:drawing>
          <wp:inline distT="0" distB="0" distL="114300" distR="114300">
            <wp:extent cx="4584700" cy="2844800"/>
            <wp:effectExtent l="0" t="0" r="6350" b="12700"/>
            <wp:docPr id="6" name="图片 11"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图片11"/>
                    <pic:cNvPicPr>
                      <a:picLocks noChangeAspect="1"/>
                    </pic:cNvPicPr>
                  </pic:nvPicPr>
                  <pic:blipFill>
                    <a:blip r:embed="rId13" cstate="print"/>
                    <a:stretch>
                      <a:fillRect/>
                    </a:stretch>
                  </pic:blipFill>
                  <pic:spPr>
                    <a:xfrm>
                      <a:off x="0" y="0"/>
                      <a:ext cx="4584700" cy="2844800"/>
                    </a:xfrm>
                    <a:prstGeom prst="rect">
                      <a:avLst/>
                    </a:prstGeom>
                    <a:noFill/>
                    <a:ln>
                      <a:noFill/>
                    </a:ln>
                  </pic:spPr>
                </pic:pic>
              </a:graphicData>
            </a:graphic>
          </wp:inline>
        </w:drawing>
      </w:r>
    </w:p>
    <w:p>
      <w:pPr>
        <w:snapToGrid w:val="0"/>
        <w:ind w:firstLine="640" w:firstLineChars="200"/>
        <w:jc w:val="center"/>
        <w:rPr>
          <w:rFonts w:ascii="仿宋_GB2312" w:hAnsi="仿宋" w:eastAsia="仿宋_GB2312"/>
          <w:sz w:val="32"/>
          <w:szCs w:val="32"/>
        </w:rPr>
      </w:pPr>
      <w:r>
        <w:rPr>
          <w:rFonts w:hint="eastAsia" w:ascii="仿宋_GB2312" w:hAnsi="仿宋" w:eastAsia="仿宋_GB2312"/>
          <w:sz w:val="32"/>
          <w:szCs w:val="32"/>
        </w:rPr>
        <w:t>农林水支出为130.1万元，占35.81%；</w:t>
      </w:r>
    </w:p>
    <w:p>
      <w:pPr>
        <w:snapToGrid w:val="0"/>
        <w:ind w:firstLine="640" w:firstLineChars="200"/>
        <w:jc w:val="center"/>
        <w:rPr>
          <w:rFonts w:ascii="仿宋_GB2312" w:hAnsi="仿宋" w:eastAsia="仿宋_GB2312"/>
          <w:sz w:val="32"/>
          <w:szCs w:val="32"/>
        </w:rPr>
      </w:pPr>
      <w:r>
        <w:rPr>
          <w:rFonts w:hint="eastAsia" w:ascii="仿宋_GB2312" w:hAnsi="仿宋" w:eastAsia="仿宋_GB2312"/>
          <w:sz w:val="32"/>
          <w:szCs w:val="32"/>
        </w:rPr>
        <w:drawing>
          <wp:inline distT="0" distB="0" distL="114300" distR="114300">
            <wp:extent cx="4584700" cy="2514600"/>
            <wp:effectExtent l="0" t="0" r="6350" b="0"/>
            <wp:docPr id="5" name="图片 12"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descr="图片12"/>
                    <pic:cNvPicPr>
                      <a:picLocks noChangeAspect="1"/>
                    </pic:cNvPicPr>
                  </pic:nvPicPr>
                  <pic:blipFill>
                    <a:blip r:embed="rId14" cstate="print"/>
                    <a:stretch>
                      <a:fillRect/>
                    </a:stretch>
                  </pic:blipFill>
                  <pic:spPr>
                    <a:xfrm>
                      <a:off x="0" y="0"/>
                      <a:ext cx="4584700" cy="2514600"/>
                    </a:xfrm>
                    <a:prstGeom prst="rect">
                      <a:avLst/>
                    </a:prstGeom>
                    <a:noFill/>
                    <a:ln>
                      <a:noFill/>
                    </a:ln>
                  </pic:spPr>
                </pic:pic>
              </a:graphicData>
            </a:graphic>
          </wp:inline>
        </w:drawing>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住房保障支出21.17万元，占5.82%；</w:t>
      </w:r>
    </w:p>
    <w:p>
      <w:pPr>
        <w:snapToGrid w:val="0"/>
        <w:ind w:firstLine="640" w:firstLineChars="200"/>
        <w:jc w:val="center"/>
        <w:rPr>
          <w:rFonts w:ascii="仿宋_GB2312" w:hAnsi="仿宋" w:eastAsia="仿宋_GB2312"/>
          <w:sz w:val="32"/>
          <w:szCs w:val="32"/>
        </w:rPr>
      </w:pPr>
      <w:r>
        <w:rPr>
          <w:rFonts w:hint="eastAsia" w:ascii="仿宋_GB2312" w:hAnsi="仿宋" w:eastAsia="仿宋_GB2312"/>
          <w:sz w:val="32"/>
          <w:szCs w:val="32"/>
        </w:rPr>
        <w:drawing>
          <wp:inline distT="0" distB="0" distL="114300" distR="114300">
            <wp:extent cx="4584700" cy="2578100"/>
            <wp:effectExtent l="0" t="0" r="6350" b="12700"/>
            <wp:docPr id="8" name="图片 13"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图片13"/>
                    <pic:cNvPicPr>
                      <a:picLocks noChangeAspect="1"/>
                    </pic:cNvPicPr>
                  </pic:nvPicPr>
                  <pic:blipFill>
                    <a:blip r:embed="rId15" cstate="print"/>
                    <a:stretch>
                      <a:fillRect/>
                    </a:stretch>
                  </pic:blipFill>
                  <pic:spPr>
                    <a:xfrm>
                      <a:off x="0" y="0"/>
                      <a:ext cx="4584700" cy="2578100"/>
                    </a:xfrm>
                    <a:prstGeom prst="rect">
                      <a:avLst/>
                    </a:prstGeom>
                    <a:noFill/>
                    <a:ln>
                      <a:noFill/>
                    </a:ln>
                  </pic:spPr>
                </pic:pic>
              </a:graphicData>
            </a:graphic>
          </wp:inline>
        </w:drawing>
      </w:r>
    </w:p>
    <w:p>
      <w:pPr>
        <w:snapToGrid w:val="0"/>
        <w:ind w:firstLine="640" w:firstLineChars="200"/>
        <w:jc w:val="center"/>
        <w:rPr>
          <w:rFonts w:ascii="仿宋_GB2312" w:hAnsi="仿宋" w:eastAsia="仿宋_GB2312"/>
          <w:sz w:val="32"/>
          <w:szCs w:val="32"/>
        </w:rPr>
      </w:pPr>
      <w:r>
        <w:rPr>
          <w:rFonts w:hint="eastAsia" w:ascii="仿宋_GB2312" w:hAnsi="仿宋" w:eastAsia="仿宋_GB2312"/>
          <w:sz w:val="32"/>
          <w:szCs w:val="32"/>
        </w:rPr>
        <w:t>其他支出为4.8万元，占1.3%</w:t>
      </w:r>
    </w:p>
    <w:p>
      <w:pPr>
        <w:snapToGrid w:val="0"/>
        <w:ind w:firstLine="640" w:firstLineChars="200"/>
        <w:jc w:val="center"/>
        <w:rPr>
          <w:rFonts w:ascii="仿宋_GB2312" w:hAnsi="仿宋" w:eastAsia="仿宋_GB2312"/>
          <w:sz w:val="32"/>
          <w:szCs w:val="32"/>
        </w:rPr>
      </w:pPr>
      <w:r>
        <w:rPr>
          <w:rFonts w:hint="eastAsia" w:ascii="仿宋_GB2312" w:hAnsi="仿宋" w:eastAsia="仿宋_GB2312"/>
          <w:sz w:val="32"/>
          <w:szCs w:val="32"/>
        </w:rPr>
        <w:drawing>
          <wp:inline distT="0" distB="0" distL="114300" distR="114300">
            <wp:extent cx="4584700" cy="2514600"/>
            <wp:effectExtent l="0" t="0" r="6350" b="0"/>
            <wp:docPr id="2" name="图片 14"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4" descr="图片14"/>
                    <pic:cNvPicPr>
                      <a:picLocks noChangeAspect="1"/>
                    </pic:cNvPicPr>
                  </pic:nvPicPr>
                  <pic:blipFill>
                    <a:blip r:embed="rId16" cstate="print"/>
                    <a:stretch>
                      <a:fillRect/>
                    </a:stretch>
                  </pic:blipFill>
                  <pic:spPr>
                    <a:xfrm>
                      <a:off x="0" y="0"/>
                      <a:ext cx="4584700" cy="2514600"/>
                    </a:xfrm>
                    <a:prstGeom prst="rect">
                      <a:avLst/>
                    </a:prstGeom>
                    <a:noFill/>
                    <a:ln>
                      <a:noFill/>
                    </a:ln>
                  </pic:spPr>
                </pic:pic>
              </a:graphicData>
            </a:graphic>
          </wp:inline>
        </w:drawing>
      </w:r>
    </w:p>
    <w:p>
      <w:pPr>
        <w:snapToGrid w:val="0"/>
        <w:spacing w:line="360" w:lineRule="auto"/>
        <w:rPr>
          <w:rFonts w:ascii="仿宋_GB2312" w:hAnsi="宋体" w:eastAsia="仿宋_GB2312"/>
          <w:b/>
          <w:sz w:val="32"/>
        </w:rPr>
      </w:pPr>
      <w:r>
        <w:rPr>
          <w:rFonts w:hint="eastAsia" w:ascii="仿宋_GB2312" w:hAnsi="宋体" w:eastAsia="仿宋_GB2312"/>
          <w:b/>
          <w:sz w:val="32"/>
        </w:rPr>
        <w:t>六、一般公共财政拨款基本支出决算情况说明</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2018年卡拉脚乡基本支出270.10万元，占总支出的74.8%；</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2018年卡拉脚乡基本支出中人员经费支出231.47万元，</w:t>
      </w:r>
      <w:r>
        <w:rPr>
          <w:rFonts w:hint="eastAsia" w:ascii="仿宋_GB2312" w:eastAsia="仿宋_GB2312"/>
          <w:sz w:val="32"/>
          <w:szCs w:val="32"/>
        </w:rPr>
        <w:t>主要包括：基本工资50.09万元、津贴补贴91.26万元、奖金3.88万元、绩效工资14.86万元、机关事业单位基本养老保险缴费27.08万元、职业年金缴费10.16万元、其他社会保障缴费3.25万元、住房公积金21.16万元、职工基本医疗保险缴费9.21万元、伙食补助费0万元、其他工资福利支出0万元、离休费0万元、退休费0万元、抚恤金0万元、生活补助0.50万元、医疗费0万元、奖励金0.02万元、提租补贴0万元、购房补贴0万元、其他对个人和家庭的补助支出0万元等。</w:t>
      </w:r>
    </w:p>
    <w:p>
      <w:pPr>
        <w:spacing w:line="600" w:lineRule="exact"/>
        <w:ind w:firstLine="645"/>
        <w:rPr>
          <w:rFonts w:ascii="仿宋_GB2312" w:hAnsi="仿宋" w:eastAsia="仿宋_GB2312"/>
          <w:sz w:val="32"/>
          <w:szCs w:val="32"/>
        </w:rPr>
      </w:pPr>
      <w:r>
        <w:rPr>
          <w:rFonts w:hint="eastAsia" w:ascii="仿宋_GB2312" w:hAnsi="仿宋" w:eastAsia="仿宋_GB2312"/>
          <w:sz w:val="32"/>
          <w:szCs w:val="32"/>
        </w:rPr>
        <w:t>2018年卡拉脚乡基本支出中日常公用经费支出38.63万元；</w:t>
      </w:r>
      <w:r>
        <w:rPr>
          <w:rFonts w:hint="eastAsia" w:ascii="仿宋_GB2312" w:eastAsia="仿宋_GB2312"/>
          <w:sz w:val="32"/>
          <w:szCs w:val="32"/>
        </w:rPr>
        <w:t>主要包括：办公费1.67元、印刷费2.27万元、咨询费0万元、手续费0万元、水费0万元、电费1.3万元、邮电费0.5万元、取暖费0.3万元、物业管理费0万元、差旅费3.99万元、因公出国（境）费用0万元、维修（护）费0万元、租赁费0万元、会议费0.2万元、培训费0万元、公务接待费0万元、劳务费2.59万元、委托业务费0万元、工会经费0万元、福利费0万元、公务用车运行维护费4万元、其他交通费0万元、税金及附加费用0万元、其他商品和服务支出0万元、办公设备购置0万元、专用设备购置21.82万元、信息网络及软件购置更新0万元、其他资本性支出等。</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2018年卡拉脚乡项目支出91.56万元，占总支出25.2%。</w:t>
      </w:r>
    </w:p>
    <w:p>
      <w:pPr>
        <w:rPr>
          <w:rFonts w:asciiTheme="minorEastAsia" w:hAnsiTheme="minorEastAsia" w:cstheme="minorEastAsia"/>
          <w:b/>
          <w:bCs/>
          <w:sz w:val="32"/>
          <w:szCs w:val="32"/>
        </w:rPr>
      </w:pPr>
      <w:r>
        <w:rPr>
          <w:rFonts w:hint="eastAsia" w:asciiTheme="minorEastAsia" w:hAnsiTheme="minorEastAsia" w:cstheme="minorEastAsia"/>
          <w:b/>
          <w:bCs/>
          <w:sz w:val="32"/>
          <w:szCs w:val="32"/>
        </w:rPr>
        <w:t>七、“三公”经费财政拨款支出决算情况说明</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2018年度“三公”经费财政拨款支出决算中，三公</w:t>
      </w:r>
      <w:r>
        <w:rPr>
          <w:rFonts w:hint="eastAsia" w:ascii="仿宋_GB2312" w:eastAsia="仿宋_GB2312"/>
          <w:sz w:val="32"/>
          <w:szCs w:val="32"/>
          <w:lang w:eastAsia="zh-CN"/>
        </w:rPr>
        <w:t>经费支出</w:t>
      </w:r>
      <w:r>
        <w:rPr>
          <w:rFonts w:hint="eastAsia" w:ascii="仿宋_GB2312" w:eastAsia="仿宋_GB2312"/>
          <w:sz w:val="32"/>
          <w:szCs w:val="32"/>
        </w:rPr>
        <w:t>25.82万元，因公出国（境）费支出决算0万元，占0%；公务用车运行维护费支出决算4万元，占15%；</w:t>
      </w:r>
      <w:r>
        <w:rPr>
          <w:rFonts w:hint="eastAsia" w:ascii="仿宋_GB2312" w:hAnsi="宋体" w:eastAsia="仿宋_GB2312"/>
          <w:bCs/>
          <w:sz w:val="32"/>
        </w:rPr>
        <w:t>公务用车购置支出</w:t>
      </w:r>
      <w:r>
        <w:rPr>
          <w:rFonts w:ascii="仿宋_GB2312" w:hAnsi="宋体" w:eastAsia="仿宋_GB2312"/>
          <w:bCs/>
          <w:sz w:val="32"/>
        </w:rPr>
        <w:t>21.82</w:t>
      </w:r>
      <w:r>
        <w:rPr>
          <w:rFonts w:hint="eastAsia" w:ascii="仿宋_GB2312" w:hAnsi="宋体" w:eastAsia="仿宋_GB2312"/>
          <w:bCs/>
          <w:sz w:val="32"/>
        </w:rPr>
        <w:t>万元，</w:t>
      </w:r>
      <w:r>
        <w:rPr>
          <w:rFonts w:hint="eastAsia" w:ascii="仿宋_GB2312" w:eastAsia="仿宋_GB2312"/>
          <w:sz w:val="32"/>
          <w:szCs w:val="32"/>
        </w:rPr>
        <w:t>占85%，公务接待费支出决算0万元，占0%。</w:t>
      </w:r>
    </w:p>
    <w:p>
      <w:pPr>
        <w:numPr>
          <w:ilvl w:val="0"/>
          <w:numId w:val="2"/>
        </w:num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 xml:space="preserve"> 因公出国（境）经费支出0万元。全年安排因公出国</w:t>
      </w:r>
    </w:p>
    <w:p>
      <w:pPr>
        <w:snapToGrid w:val="0"/>
        <w:spacing w:line="560" w:lineRule="exact"/>
        <w:rPr>
          <w:rFonts w:ascii="仿宋_GB2312" w:hAnsi="宋体" w:eastAsia="仿宋_GB2312"/>
          <w:bCs/>
          <w:sz w:val="32"/>
        </w:rPr>
      </w:pPr>
      <w:r>
        <w:rPr>
          <w:rFonts w:hint="eastAsia" w:ascii="仿宋_GB2312" w:hAnsi="宋体" w:eastAsia="仿宋_GB2312"/>
          <w:bCs/>
          <w:sz w:val="32"/>
        </w:rPr>
        <w:t>（境）团组0次，出国（境）0人。</w:t>
      </w:r>
    </w:p>
    <w:p>
      <w:pPr>
        <w:numPr>
          <w:ilvl w:val="0"/>
          <w:numId w:val="3"/>
        </w:num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公务用车购置及运行维护费支出4万元。其中：公务用车购置支出</w:t>
      </w:r>
      <w:r>
        <w:rPr>
          <w:rFonts w:ascii="仿宋_GB2312" w:hAnsi="宋体" w:eastAsia="仿宋_GB2312"/>
          <w:bCs/>
          <w:sz w:val="32"/>
        </w:rPr>
        <w:t>21.82</w:t>
      </w:r>
      <w:r>
        <w:rPr>
          <w:rFonts w:hint="eastAsia" w:ascii="仿宋_GB2312" w:hAnsi="宋体" w:eastAsia="仿宋_GB2312"/>
          <w:bCs/>
          <w:sz w:val="32"/>
        </w:rPr>
        <w:t>万元。公务用车运行维护费支出4万元。均用于开展日常事务时车辆的燃料费、维修费、过路过桥费、保险费等支出。</w:t>
      </w:r>
    </w:p>
    <w:p>
      <w:pPr>
        <w:numPr>
          <w:ilvl w:val="0"/>
          <w:numId w:val="3"/>
        </w:num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公务接待费支出0万元。</w:t>
      </w:r>
    </w:p>
    <w:p>
      <w:pPr>
        <w:snapToGrid w:val="0"/>
        <w:spacing w:line="520" w:lineRule="exact"/>
        <w:ind w:firstLine="640" w:firstLineChars="200"/>
        <w:rPr>
          <w:rFonts w:ascii="仿宋_GB2312" w:eastAsia="仿宋_GB2312"/>
          <w:sz w:val="32"/>
          <w:szCs w:val="32"/>
        </w:rPr>
      </w:pPr>
    </w:p>
    <w:p>
      <w:pPr>
        <w:snapToGrid w:val="0"/>
        <w:spacing w:line="360" w:lineRule="auto"/>
        <w:rPr>
          <w:rFonts w:ascii="仿宋_GB2312" w:hAnsi="宋体" w:eastAsia="仿宋_GB2312"/>
          <w:b/>
          <w:sz w:val="32"/>
        </w:rPr>
      </w:pPr>
      <w:r>
        <w:rPr>
          <w:rFonts w:hint="eastAsia" w:ascii="仿宋_GB2312" w:hAnsi="宋体" w:eastAsia="仿宋_GB2312"/>
          <w:b/>
          <w:sz w:val="32"/>
        </w:rPr>
        <w:t>八、政府性基金预算支出决算情况说明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2018年度政府性基金预算拨款支出0万元。</w:t>
      </w:r>
    </w:p>
    <w:p>
      <w:pPr>
        <w:snapToGrid w:val="0"/>
        <w:spacing w:line="360" w:lineRule="auto"/>
        <w:rPr>
          <w:rFonts w:ascii="仿宋_GB2312" w:hAnsi="宋体" w:eastAsia="仿宋_GB2312"/>
          <w:b/>
          <w:sz w:val="32"/>
        </w:rPr>
      </w:pPr>
      <w:r>
        <w:rPr>
          <w:rFonts w:hint="eastAsia" w:ascii="仿宋_GB2312" w:hAnsi="宋体" w:eastAsia="仿宋_GB2312"/>
          <w:b/>
          <w:sz w:val="32"/>
        </w:rPr>
        <w:t>九、国有资本经营预算支出决算情况说明</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2018年度国有资本经营预算拨款支出0万元。</w:t>
      </w:r>
    </w:p>
    <w:p>
      <w:pPr>
        <w:numPr>
          <w:ilvl w:val="0"/>
          <w:numId w:val="4"/>
        </w:numPr>
        <w:snapToGrid w:val="0"/>
        <w:spacing w:line="360" w:lineRule="auto"/>
        <w:rPr>
          <w:rFonts w:ascii="仿宋_GB2312" w:hAnsi="宋体" w:eastAsia="仿宋_GB2312"/>
          <w:bCs/>
          <w:sz w:val="32"/>
        </w:rPr>
      </w:pPr>
      <w:r>
        <w:rPr>
          <w:rFonts w:hint="eastAsia" w:ascii="仿宋_GB2312" w:hAnsi="宋体" w:eastAsia="仿宋_GB2312"/>
          <w:b/>
          <w:sz w:val="32"/>
        </w:rPr>
        <w:t>其他重要事项的情况说明</w:t>
      </w:r>
    </w:p>
    <w:p>
      <w:pPr>
        <w:snapToGrid w:val="0"/>
        <w:spacing w:line="360" w:lineRule="auto"/>
        <w:rPr>
          <w:rFonts w:ascii="仿宋_GB2312" w:hAnsi="宋体" w:eastAsia="仿宋_GB2312"/>
          <w:bCs/>
          <w:sz w:val="32"/>
        </w:rPr>
      </w:pPr>
      <w:r>
        <w:rPr>
          <w:rFonts w:hint="eastAsia" w:ascii="仿宋_GB2312" w:hAnsi="宋体" w:eastAsia="仿宋_GB2312"/>
          <w:bCs/>
          <w:sz w:val="32"/>
        </w:rPr>
        <w:t>（一）机关运行经费支出情况</w:t>
      </w:r>
    </w:p>
    <w:p>
      <w:pPr>
        <w:snapToGrid w:val="0"/>
        <w:spacing w:line="560" w:lineRule="exact"/>
        <w:ind w:firstLine="640" w:firstLineChars="200"/>
        <w:rPr>
          <w:rFonts w:ascii="仿宋_GB2312" w:hAnsi="宋体" w:eastAsia="仿宋_GB2312"/>
          <w:bCs/>
          <w:sz w:val="32"/>
        </w:rPr>
      </w:pPr>
      <w:r>
        <w:rPr>
          <w:rFonts w:hint="eastAsia" w:ascii="仿宋_GB2312" w:hAnsi="宋体" w:eastAsia="仿宋_GB2312"/>
          <w:bCs/>
          <w:sz w:val="32"/>
        </w:rPr>
        <w:t>2018年度，我乡机关运行经费支出271.66万元（其中年末结转和结余1.56万元）</w:t>
      </w:r>
    </w:p>
    <w:p>
      <w:pPr>
        <w:snapToGrid w:val="0"/>
        <w:spacing w:line="360" w:lineRule="auto"/>
        <w:rPr>
          <w:rFonts w:ascii="仿宋_GB2312" w:hAnsi="宋体" w:eastAsia="仿宋_GB2312"/>
          <w:bCs/>
          <w:sz w:val="32"/>
        </w:rPr>
      </w:pPr>
      <w:r>
        <w:rPr>
          <w:rFonts w:hint="eastAsia" w:ascii="仿宋_GB2312" w:hAnsi="宋体" w:eastAsia="仿宋_GB2312"/>
          <w:bCs/>
          <w:sz w:val="32"/>
        </w:rPr>
        <w:t>（二）政府采购支出情况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2018年度，我乡政府采购支出总额24.82万元：</w:t>
      </w:r>
      <w:r>
        <w:rPr>
          <w:rFonts w:hint="eastAsia" w:ascii="仿宋_GB2312" w:hAnsi="仿宋" w:eastAsia="仿宋_GB2312"/>
          <w:sz w:val="32"/>
          <w:szCs w:val="32"/>
          <w:shd w:val="clear" w:color="auto" w:fill="FFFFFF"/>
        </w:rPr>
        <w:t>政府统一采购一辆公务用车，价值为21.82万元</w:t>
      </w:r>
      <w:r>
        <w:rPr>
          <w:rFonts w:hint="eastAsia" w:ascii="仿宋_GB2312" w:hAnsi="宋体" w:eastAsia="仿宋_GB2312"/>
          <w:bCs/>
          <w:sz w:val="32"/>
        </w:rPr>
        <w:t>。采购会议室桌椅板凳等3万。</w:t>
      </w:r>
    </w:p>
    <w:p>
      <w:pPr>
        <w:snapToGrid w:val="0"/>
        <w:spacing w:line="360" w:lineRule="auto"/>
        <w:rPr>
          <w:rFonts w:ascii="仿宋_GB2312" w:hAnsi="宋体" w:eastAsia="仿宋_GB2312"/>
          <w:bCs/>
          <w:sz w:val="32"/>
        </w:rPr>
      </w:pPr>
      <w:r>
        <w:rPr>
          <w:rFonts w:hint="eastAsia" w:ascii="仿宋_GB2312" w:hAnsi="宋体" w:eastAsia="仿宋_GB2312"/>
          <w:bCs/>
          <w:sz w:val="32"/>
        </w:rPr>
        <w:t>（三）国有资产占有使用情况</w:t>
      </w:r>
    </w:p>
    <w:p>
      <w:pPr>
        <w:snapToGrid w:val="0"/>
        <w:spacing w:line="360" w:lineRule="auto"/>
        <w:ind w:firstLine="640" w:firstLineChars="200"/>
        <w:rPr>
          <w:rFonts w:ascii="仿宋_GB2312" w:hAnsi="宋体" w:eastAsia="仿宋_GB2312"/>
          <w:bCs/>
          <w:color w:val="0000FF"/>
          <w:sz w:val="32"/>
        </w:rPr>
      </w:pPr>
      <w:r>
        <w:rPr>
          <w:rFonts w:hint="eastAsia" w:ascii="仿宋_GB2312" w:hAnsi="宋体" w:eastAsia="仿宋_GB2312"/>
          <w:bCs/>
          <w:sz w:val="32"/>
        </w:rPr>
        <w:t>截至2018年12月31日，我乡共有车辆2辆，其中：部级领导干部用车0辆、一般公务用车2辆、一般执法执勤用车0辆、特种专业技术用车0辆、其他用车0辆；单价50万元以上通用设备0台（套），单价100万元以上专用设备0台（套）。</w:t>
      </w:r>
    </w:p>
    <w:p>
      <w:pPr>
        <w:snapToGrid w:val="0"/>
        <w:spacing w:line="360" w:lineRule="auto"/>
        <w:rPr>
          <w:rFonts w:ascii="仿宋_GB2312" w:hAnsi="宋体" w:eastAsia="仿宋_GB2312"/>
          <w:bCs/>
          <w:sz w:val="32"/>
        </w:rPr>
      </w:pPr>
      <w:r>
        <w:rPr>
          <w:rFonts w:hint="eastAsia" w:ascii="仿宋_GB2312" w:hAnsi="宋体" w:eastAsia="仿宋_GB2312"/>
          <w:bCs/>
          <w:sz w:val="32"/>
        </w:rPr>
        <w:t>（四）预算绩效情况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1.绩效目标管理情况。</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按照预算绩效管理要求，我乡对2018年一般公共预算项目支出开展了绩效目标管理，共编制绩效目标1个，涉及财政资金</w:t>
      </w:r>
      <w:r>
        <w:rPr>
          <w:rFonts w:hint="eastAsia" w:ascii="仿宋_GB2312" w:hAnsi="仿宋" w:eastAsia="仿宋_GB2312"/>
          <w:sz w:val="32"/>
          <w:szCs w:val="32"/>
        </w:rPr>
        <w:t>363.22</w:t>
      </w:r>
      <w:r>
        <w:rPr>
          <w:rFonts w:hint="eastAsia" w:ascii="仿宋_GB2312" w:hAnsi="宋体" w:eastAsia="仿宋_GB2312"/>
          <w:bCs/>
          <w:sz w:val="32"/>
        </w:rPr>
        <w:t>万元，覆盖率达到100%。</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2.部门整体支出绩效自评开展情况。</w:t>
      </w:r>
    </w:p>
    <w:p>
      <w:pPr>
        <w:tabs>
          <w:tab w:val="left" w:pos="1493"/>
        </w:tabs>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度卡拉脚乡整体项目支出共91.56万元，均为后期预算调整数，其中行政事业类项目为91.56万元，占整体项目支出的100%，无基本建设类项目。其中对高校毕业生到基层任职补助2.83万元，完成100%；防汛经费85万元，完成100%；对村民委员会和村党支部的补助75.82万元（其中村干部工资42.82万元，村办公费12万元，村运行维护费21万元），完成100%；其他补助（三老干部生活补助）4.8万元；完成100%。项目绩效目标整体完成良好，村干部、村官及三老干部工资按时按量发放，使基层工作</w:t>
      </w:r>
      <w:r>
        <w:rPr>
          <w:rFonts w:hint="eastAsia" w:ascii="仿宋_GB2312" w:hAnsi="仿宋" w:eastAsia="仿宋_GB2312"/>
          <w:sz w:val="32"/>
          <w:szCs w:val="32"/>
          <w:lang w:eastAsia="zh-CN"/>
        </w:rPr>
        <w:t>有序地开展</w:t>
      </w:r>
      <w:r>
        <w:rPr>
          <w:rFonts w:hint="eastAsia" w:ascii="仿宋_GB2312" w:hAnsi="仿宋" w:eastAsia="仿宋_GB2312"/>
          <w:sz w:val="32"/>
          <w:szCs w:val="32"/>
        </w:rPr>
        <w:t>，工作效率有所提高；防汛经费的合理支出，保障了村民的生命财产安全，使出行更加方便，并且完善了相应的基础设施，提高了村民的安全感、满足感。</w:t>
      </w:r>
    </w:p>
    <w:p>
      <w:pPr>
        <w:snapToGrid w:val="0"/>
        <w:spacing w:line="360" w:lineRule="auto"/>
        <w:rPr>
          <w:rFonts w:ascii="仿宋_GB2312" w:hAnsi="宋体" w:eastAsia="仿宋_GB2312"/>
          <w:b/>
          <w:sz w:val="32"/>
        </w:rPr>
      </w:pPr>
      <w:r>
        <w:rPr>
          <w:rFonts w:hint="eastAsia" w:ascii="仿宋_GB2312" w:hAnsi="宋体" w:eastAsia="仿宋_GB2312"/>
          <w:b/>
          <w:sz w:val="32"/>
        </w:rPr>
        <w:t>十一、名词解释</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1.财政拨款收入：指单位从同级财政部门取得的财政预算资金。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2.其他收入：指单位取得财政拨款收入以外的各项收入。主要是眉山援建项目收入等。</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3.年初结转和结余：指以前年度尚未完成、结转到本年按有关规定继续使用的资金。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4、年末结转和结余：指单位按有关规定结转到下年或以后年度继续使用的资金。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5. 一般公共服务（类）201（款）01（项）01——行政运行：反映行政单位（包括实行公务员管理的事业单位）的基本支出反映行政单位（包括实行公务员管理的事业单位）的基本支出。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6. 一般公共服务（类）201（款）01（项）04——人大会议费：反映各级人大召开"人代会"等专门会议的支出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7. 一般公共服务（类）201（款03（项）01——行政运行：反映各级政府办公厅（室）及相关机构的支出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8. 一般公共服务（类）201（款）03（项）99——其他政府办公厅（室）及相关机构事务支出：反映除上述项目以外的其他政府办公厅（室）及相关机构事务支出。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9. 一般公共服务（类）201（款）06（项）01—行政运行: 反映财政事务方面的支出。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10. 一般公共服务（类）201（款）31（项）01—</w:t>
      </w:r>
      <w:r>
        <w:rPr>
          <w:rFonts w:hint="eastAsia" w:ascii="仿宋_GB2312" w:hAnsi="宋体" w:eastAsia="仿宋_GB2312"/>
          <w:bCs/>
          <w:sz w:val="32"/>
          <w:lang w:eastAsia="zh-CN"/>
        </w:rPr>
        <w:t>其他</w:t>
      </w:r>
      <w:r>
        <w:rPr>
          <w:rFonts w:hint="eastAsia" w:ascii="仿宋_GB2312" w:hAnsi="宋体" w:eastAsia="仿宋_GB2312"/>
          <w:bCs/>
          <w:sz w:val="32"/>
        </w:rPr>
        <w:t xml:space="preserve">政府办公厅及相关事务支出:反映行政单位（包括实行公务员管理的事业单位）的基本支出 </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11.社会保障和就业支出（类）208（款）05（项）05——机关事业单位基本养老保险缴费支出：反映机关事业单位实施养老保险制度的单位缴纳的基本养老保险费支出。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12. 社会保障和就业支出（类）208（款）05（项）06</w:t>
      </w:r>
      <w:bookmarkStart w:id="0" w:name="_GoBack"/>
      <w:bookmarkEnd w:id="0"/>
      <w:r>
        <w:rPr>
          <w:rFonts w:hint="eastAsia" w:ascii="仿宋_GB2312" w:hAnsi="宋体" w:eastAsia="仿宋_GB2312"/>
          <w:bCs/>
          <w:sz w:val="32"/>
        </w:rPr>
        <w:t>——机关事业单位职业年金缴费支出：反映机关事业单位实施养老保险制度匝单位缴纳的职业年金支出。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13.医疗卫生与计划生育支出(类）210（款）11（项）01——行政单位医疗：反映财政部门集中安排的公务员医疗补助经费。</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14.医疗卫生与计划生育支出(类）210（款）11（项）02——事业单位医疗：反映除为行政单位（包括实行公务员管理的事业单位）提供后勤服务的各类后勤服务中心、医务室等附属事业单位外的其他事业单位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15.农林水支出（类）213（款）01（项）42—农村道路建设：反映用于农村公路、乡村道路建设方面的支出。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16.农林水支出（类）213（款）01（项）52—对高校毕业生到基层任职补助：反映按规定对高校毕业生到基层任职的补助支出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17.农林水支出（类）213（款）02（项）04—林业事业机构：反映用于林业事业单位的基本支出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18.农林水支出（类）213（款）03（项）14—防汛：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19.农林水支出（类）213（款）07（项）05—对村民委员会和党支部补助：反映各级财政对村民委员会和村党支部的补助支出，以及支持建立县级基本财力保障机制安排的村级组织运转奖补资金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20.住房保障支出(类）221（款）02（项）01————住房公积金：反映行政事业单位按人力资源和社会保障部、财政部规定的基本工资和津贴补贴以及规定比例为职工缴纳的住房公积金。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21.其他支出(类）229（款）99（项）01————其他支出：反映除上述项目以外其他不能划分到具体功能科目中的支出项目</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22.年末结转和结余：指本年度或以前年度预算安排、因客观条件发生变化无法按原计划实施，需延迟到以后年度按有关规定继续使用的资金。</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23.基本支出：指为保障机构正常运转、完成日常工作任务而发生的人员支出和公用支出。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24.项目支出：指在基本支出之外为完成特定行政任务和事业发展目标所发生的支出。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napToGrid w:val="0"/>
        <w:spacing w:line="360" w:lineRule="auto"/>
        <w:ind w:firstLine="640" w:firstLineChars="200"/>
        <w:rPr>
          <w:rFonts w:ascii="仿宋_GB2312" w:hAnsi="宋体" w:eastAsia="仿宋_GB2312"/>
          <w:bCs/>
          <w:sz w:val="32"/>
        </w:rPr>
      </w:pPr>
    </w:p>
    <w:p>
      <w:pPr>
        <w:snapToGrid w:val="0"/>
        <w:spacing w:line="360" w:lineRule="auto"/>
        <w:ind w:firstLine="640" w:firstLineChars="200"/>
        <w:rPr>
          <w:rFonts w:ascii="仿宋_GB2312" w:hAnsi="宋体" w:eastAsia="仿宋_GB2312"/>
          <w:bCs/>
          <w:sz w:val="32"/>
        </w:rPr>
      </w:pPr>
      <w:r>
        <w:rPr>
          <w:rFonts w:hint="eastAsia" w:ascii="仿宋_GB2312" w:hAnsi="宋体" w:eastAsia="仿宋_GB2312"/>
          <w:bCs/>
          <w:sz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0FAC6B"/>
    <w:multiLevelType w:val="singleLevel"/>
    <w:tmpl w:val="DB0FAC6B"/>
    <w:lvl w:ilvl="0" w:tentative="0">
      <w:start w:val="2"/>
      <w:numFmt w:val="decimal"/>
      <w:lvlText w:val="%1."/>
      <w:lvlJc w:val="left"/>
      <w:pPr>
        <w:tabs>
          <w:tab w:val="left" w:pos="312"/>
        </w:tabs>
      </w:pPr>
    </w:lvl>
  </w:abstractNum>
  <w:abstractNum w:abstractNumId="1">
    <w:nsid w:val="E39185F7"/>
    <w:multiLevelType w:val="singleLevel"/>
    <w:tmpl w:val="E39185F7"/>
    <w:lvl w:ilvl="0" w:tentative="0">
      <w:start w:val="10"/>
      <w:numFmt w:val="chineseCounting"/>
      <w:suff w:val="nothing"/>
      <w:lvlText w:val="%1、"/>
      <w:lvlJc w:val="left"/>
      <w:rPr>
        <w:rFonts w:hint="eastAsia"/>
      </w:rPr>
    </w:lvl>
  </w:abstractNum>
  <w:abstractNum w:abstractNumId="2">
    <w:nsid w:val="E99A9841"/>
    <w:multiLevelType w:val="singleLevel"/>
    <w:tmpl w:val="E99A9841"/>
    <w:lvl w:ilvl="0" w:tentative="0">
      <w:start w:val="1"/>
      <w:numFmt w:val="chineseCounting"/>
      <w:suff w:val="nothing"/>
      <w:lvlText w:val="%1、"/>
      <w:lvlJc w:val="left"/>
      <w:rPr>
        <w:rFonts w:hint="eastAsia"/>
      </w:rPr>
    </w:lvl>
  </w:abstractNum>
  <w:abstractNum w:abstractNumId="3">
    <w:nsid w:val="714FB952"/>
    <w:multiLevelType w:val="singleLevel"/>
    <w:tmpl w:val="714FB952"/>
    <w:lvl w:ilvl="0" w:tentative="0">
      <w:start w:val="1"/>
      <w:numFmt w:val="decimal"/>
      <w:suff w:val="space"/>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36274"/>
    <w:rsid w:val="00036274"/>
    <w:rsid w:val="006C61A0"/>
    <w:rsid w:val="00C57774"/>
    <w:rsid w:val="00ED1360"/>
    <w:rsid w:val="09FF0167"/>
    <w:rsid w:val="25A35142"/>
    <w:rsid w:val="2776102E"/>
    <w:rsid w:val="2A600B5B"/>
    <w:rsid w:val="2B1C7BD1"/>
    <w:rsid w:val="30A904CA"/>
    <w:rsid w:val="34814524"/>
    <w:rsid w:val="42F4650B"/>
    <w:rsid w:val="595E6805"/>
    <w:rsid w:val="5FD75CAC"/>
    <w:rsid w:val="75B8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kern w:val="0"/>
      <w:sz w:val="30"/>
    </w:rPr>
  </w:style>
  <w:style w:type="paragraph" w:styleId="3">
    <w:name w:val="Balloon Text"/>
    <w:basedOn w:val="1"/>
    <w:link w:val="10"/>
    <w:uiPriority w:val="0"/>
    <w:rPr>
      <w:sz w:val="18"/>
      <w:szCs w:val="18"/>
    </w:rPr>
  </w:style>
  <w:style w:type="paragraph" w:styleId="4">
    <w:name w:val="Normal (Web)"/>
    <w:basedOn w:val="1"/>
    <w:qFormat/>
    <w:uiPriority w:val="0"/>
    <w:pPr>
      <w:spacing w:beforeAutospacing="1" w:afterAutospacing="1"/>
      <w:jc w:val="left"/>
    </w:pPr>
    <w:rPr>
      <w:rFonts w:cs="Times New Roman"/>
      <w:color w:val="FF3300"/>
      <w:kern w:val="0"/>
      <w:sz w:val="24"/>
      <w:u w:val="single"/>
    </w:rPr>
  </w:style>
  <w:style w:type="character" w:styleId="7">
    <w:name w:val="Strong"/>
    <w:basedOn w:val="6"/>
    <w:qFormat/>
    <w:uiPriority w:val="0"/>
    <w:rPr>
      <w:b/>
    </w:rPr>
  </w:style>
  <w:style w:type="character" w:styleId="8">
    <w:name w:val="FollowedHyperlink"/>
    <w:basedOn w:val="6"/>
    <w:qFormat/>
    <w:uiPriority w:val="0"/>
    <w:rPr>
      <w:color w:val="4E4342"/>
      <w:u w:val="none"/>
    </w:rPr>
  </w:style>
  <w:style w:type="character" w:styleId="9">
    <w:name w:val="Hyperlink"/>
    <w:basedOn w:val="6"/>
    <w:qFormat/>
    <w:uiPriority w:val="0"/>
    <w:rPr>
      <w:color w:val="4E4342"/>
      <w:u w:val="none"/>
    </w:rPr>
  </w:style>
  <w:style w:type="character" w:customStyle="1" w:styleId="10">
    <w:name w:val="批注框文本 Char"/>
    <w:basedOn w:val="6"/>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2018&#24180;&#20915;&#31639;&#30456;&#20851;&#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2018&#24180;&#20915;&#31639;&#30456;&#20851;&#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2018&#24180;&#20915;&#31639;&#30456;&#20851;&#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2018&#24180;&#20915;&#31639;&#30456;&#20851;&#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2018&#24180;&#20915;&#31639;&#30456;&#20851;&#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2018&#24180;&#20915;&#31639;&#30456;&#20851;&#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一般公共服务支出支出占比</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67222222222222"/>
          <c:y val="0.0550653386421202"/>
        </c:manualLayout>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elete val="1"/>
          </c:dLbls>
          <c:cat>
            <c:strRef>
              <c:f>[2018年决算相关图表.xls]Sheet1!$A$1:$A$2</c:f>
              <c:strCache>
                <c:ptCount val="2"/>
                <c:pt idx="0">
                  <c:v>总收入</c:v>
                </c:pt>
                <c:pt idx="1">
                  <c:v>一般公共服务</c:v>
                </c:pt>
              </c:strCache>
            </c:strRef>
          </c:cat>
          <c:val>
            <c:numRef>
              <c:f>[2018年决算相关图表.xls]Sheet1!$B$1:$B$2</c:f>
              <c:numCache>
                <c:formatCode>General</c:formatCode>
                <c:ptCount val="2"/>
                <c:pt idx="0">
                  <c:v>202.52</c:v>
                </c:pt>
                <c:pt idx="1">
                  <c:v>160.7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社会保障和就业支出占比</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67222222222222"/>
          <c:y val="0.0550653386421202"/>
        </c:manualLayout>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elete val="1"/>
          </c:dLbls>
          <c:cat>
            <c:strRef>
              <c:f>[2018年决算相关图表.xls]Sheet1!$A$1:$A$2</c:f>
              <c:strCache>
                <c:ptCount val="2"/>
                <c:pt idx="0">
                  <c:v>总收入</c:v>
                </c:pt>
                <c:pt idx="1">
                  <c:v>社会保障和就业</c:v>
                </c:pt>
              </c:strCache>
            </c:strRef>
          </c:cat>
          <c:val>
            <c:numRef>
              <c:f>[2018年决算相关图表.xls]Sheet1!$B$1:$B$2</c:f>
              <c:numCache>
                <c:formatCode>General</c:formatCode>
                <c:ptCount val="2"/>
                <c:pt idx="0">
                  <c:v>326</c:v>
                </c:pt>
                <c:pt idx="1">
                  <c:v>37.24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医疗卫生与计划生育支出占比</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47777777777778"/>
          <c:y val="0.0649687800880226"/>
        </c:manualLayout>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elete val="1"/>
          </c:dLbls>
          <c:cat>
            <c:strRef>
              <c:f>[2018年决算相关图表.xls]Sheet1!$A$1:$A$2</c:f>
              <c:strCache>
                <c:ptCount val="2"/>
                <c:pt idx="0">
                  <c:v>总支出</c:v>
                </c:pt>
                <c:pt idx="1">
                  <c:v>医疗卫生与计划生育</c:v>
                </c:pt>
              </c:strCache>
            </c:strRef>
          </c:cat>
          <c:val>
            <c:numRef>
              <c:f>[2018年决算相关图表.xls]Sheet1!$B$1:$B$2</c:f>
              <c:numCache>
                <c:formatCode>General</c:formatCode>
                <c:ptCount val="2"/>
                <c:pt idx="0">
                  <c:v>354.01</c:v>
                </c:pt>
                <c:pt idx="1">
                  <c:v>9.21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农林水支出占比</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50555555555556"/>
          <c:y val="0.0497403536920836"/>
        </c:manualLayout>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elete val="1"/>
          </c:dLbls>
          <c:cat>
            <c:strRef>
              <c:f>[2018年决算相关图表.xls]Sheet1!$A$1:$A$2</c:f>
              <c:strCache>
                <c:ptCount val="2"/>
                <c:pt idx="0">
                  <c:v>总收入</c:v>
                </c:pt>
                <c:pt idx="1">
                  <c:v>农林水</c:v>
                </c:pt>
              </c:strCache>
            </c:strRef>
          </c:cat>
          <c:val>
            <c:numRef>
              <c:f>[2018年决算相关图表.xls]Sheet1!$B$1:$B$2</c:f>
              <c:numCache>
                <c:formatCode>General</c:formatCode>
                <c:ptCount val="2"/>
                <c:pt idx="0">
                  <c:v>233.12</c:v>
                </c:pt>
                <c:pt idx="1">
                  <c:v>130.1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住房保障支出占比</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22777777777778"/>
          <c:y val="0.0398369122461811"/>
        </c:manualLayout>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elete val="1"/>
          </c:dLbls>
          <c:cat>
            <c:strRef>
              <c:f>[2018年决算相关图表.xls]Sheet1!$A$1:$A$2</c:f>
              <c:strCache>
                <c:ptCount val="2"/>
                <c:pt idx="0">
                  <c:v>总收入</c:v>
                </c:pt>
                <c:pt idx="1">
                  <c:v>住房保障</c:v>
                </c:pt>
              </c:strCache>
            </c:strRef>
          </c:cat>
          <c:val>
            <c:numRef>
              <c:f>[2018年决算相关图表.xls]Sheet1!$B$1:$B$2</c:f>
              <c:numCache>
                <c:formatCode>General</c:formatCode>
                <c:ptCount val="2"/>
                <c:pt idx="0">
                  <c:v>342.05</c:v>
                </c:pt>
                <c:pt idx="1">
                  <c:v>21.17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其他支出占比</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372777777777778"/>
          <c:y val="0.042374983312171"/>
        </c:manualLayout>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elete val="1"/>
          </c:dLbls>
          <c:cat>
            <c:strRef>
              <c:f>[2018年决算相关图表.xls]Sheet1!$A$1:$A$2</c:f>
              <c:strCache>
                <c:ptCount val="2"/>
                <c:pt idx="0">
                  <c:v>总收入</c:v>
                </c:pt>
                <c:pt idx="1">
                  <c:v>其他</c:v>
                </c:pt>
              </c:strCache>
            </c:strRef>
          </c:cat>
          <c:val>
            <c:numRef>
              <c:f>[2018年决算相关图表.xls]Sheet1!$B$1:$B$2</c:f>
              <c:numCache>
                <c:formatCode>General</c:formatCode>
                <c:ptCount val="2"/>
                <c:pt idx="0">
                  <c:v>358.42</c:v>
                </c:pt>
                <c:pt idx="1">
                  <c:v>4.8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4970</Words>
  <Characters>829</Characters>
  <Lines>6</Lines>
  <Paragraphs>11</Paragraphs>
  <TotalTime>0</TotalTime>
  <ScaleCrop>false</ScaleCrop>
  <LinksUpToDate>false</LinksUpToDate>
  <CharactersWithSpaces>5788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2021-05-21T08:08:00Z</dcterms:created>
  <dc:creator>Administrator</dc:creator>
  <cp:lastModifiedBy>平淡无奇</cp:lastModifiedBy>
  <dcterms:modified xsi:type="dcterms:W3CDTF">2021-06-07T02:45:28Z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F4037F0B914F4CBB862D8D7BD3FC8724</vt:lpwstr>
  </property>
</Properties>
</file>