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AA8BD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撒瓦脚乡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0B767DA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074EB175">
      <w:pPr>
        <w:pStyle w:val="2"/>
        <w:jc w:val="left"/>
      </w:pPr>
    </w:p>
    <w:p w14:paraId="0A8D053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年，我单位部门预算714.77万元 ，均严格按绩效管理要求实现项目绩效目标管理，其中重点项目预算0个，现将情况说明如下：</w:t>
      </w:r>
    </w:p>
    <w:p w14:paraId="61252055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87C23F9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年本级部门预算整体绩效目标申报和26个项目预算绩效目标申报，并编报26个项目预算事前绩效评估报告。</w:t>
      </w:r>
    </w:p>
    <w:p w14:paraId="5495D3BD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879"/>
        <w:gridCol w:w="879"/>
        <w:gridCol w:w="1248"/>
        <w:gridCol w:w="1346"/>
        <w:gridCol w:w="881"/>
        <w:gridCol w:w="879"/>
        <w:gridCol w:w="880"/>
        <w:gridCol w:w="884"/>
      </w:tblGrid>
      <w:tr w14:paraId="0C931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6D0F7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2026年度部门整体绩效目标</w:t>
            </w:r>
          </w:p>
        </w:tc>
      </w:tr>
      <w:tr w14:paraId="58061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4D7B3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部门名称：</w:t>
            </w:r>
          </w:p>
        </w:tc>
        <w:tc>
          <w:tcPr>
            <w:tcW w:w="307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05B9B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撒瓦脚乡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E7F58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34416E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7A6869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0C122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8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年度部门整体预算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5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资金总额</w:t>
            </w:r>
          </w:p>
        </w:tc>
        <w:tc>
          <w:tcPr>
            <w:tcW w:w="10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0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</w:t>
            </w:r>
          </w:p>
        </w:tc>
        <w:tc>
          <w:tcPr>
            <w:tcW w:w="10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C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</w:tr>
      <w:tr w14:paraId="5C968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F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收入预算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1C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714.77</w:t>
            </w:r>
          </w:p>
        </w:tc>
        <w:tc>
          <w:tcPr>
            <w:tcW w:w="10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F9B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714.77</w:t>
            </w:r>
          </w:p>
        </w:tc>
        <w:tc>
          <w:tcPr>
            <w:tcW w:w="10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CC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</w:tr>
      <w:tr w14:paraId="544D8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E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支出预算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080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714.77</w:t>
            </w:r>
          </w:p>
        </w:tc>
        <w:tc>
          <w:tcPr>
            <w:tcW w:w="10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7FC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714.77</w:t>
            </w:r>
          </w:p>
        </w:tc>
        <w:tc>
          <w:tcPr>
            <w:tcW w:w="10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C06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</w:tr>
      <w:tr w14:paraId="72633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4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0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358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F8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，精准编制并执行部门预算，确保预算执行偏差率控制在3%以内，优化资源配置，确保重点项目资金及时足额到位，助理业务高效发展；强化成本管控，在保障部门运营质量的前提下，实现年度成本降低，同时提升财务风险预警准确性，及时发现并化解潜在财务风险；完善财务绩效评价体系，使财务数据准确率达到98%以上，为部门决策提供有力数据支持，推动资源合理分配。</w:t>
            </w:r>
          </w:p>
        </w:tc>
      </w:tr>
      <w:tr w14:paraId="6926E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8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管理效率</w:t>
            </w:r>
          </w:p>
        </w:tc>
      </w:tr>
      <w:tr w14:paraId="0A2DA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B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6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5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7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7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A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7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0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1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指标参考值</w:t>
            </w:r>
          </w:p>
        </w:tc>
      </w:tr>
      <w:tr w14:paraId="09C8B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F57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097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CC0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9D3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D7A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2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三年均值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E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E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6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</w:tr>
      <w:tr w14:paraId="710F5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E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C5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33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D0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财政拨款预算偏离度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71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29.71%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650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29.71%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30D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17.99%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230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32.11%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20F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39.03%</w:t>
            </w:r>
          </w:p>
        </w:tc>
      </w:tr>
      <w:tr w14:paraId="575C4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0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A5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3F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6A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预算年终结余率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4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14.1%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258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14.1%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F5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29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8.76%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448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19.43%</w:t>
            </w:r>
          </w:p>
        </w:tc>
      </w:tr>
      <w:tr w14:paraId="5869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E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B1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4D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16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一般性支出金额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FD0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10.59万元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5A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10.59万元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E9D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432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3F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10.59万元</w:t>
            </w:r>
          </w:p>
        </w:tc>
      </w:tr>
      <w:tr w14:paraId="19E58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8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DC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60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E8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财务管理规范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EE9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优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56D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74F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1B4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67D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13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2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履职效能</w:t>
            </w:r>
          </w:p>
        </w:tc>
      </w:tr>
      <w:tr w14:paraId="0719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0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B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0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D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E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指标值（包括数字及文字描述）</w:t>
            </w:r>
          </w:p>
        </w:tc>
      </w:tr>
      <w:tr w14:paraId="1B7E8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B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AE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FA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B2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按时完成各项工作任务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63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≥100%</w:t>
            </w:r>
          </w:p>
        </w:tc>
      </w:tr>
      <w:tr w14:paraId="0DCED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5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D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65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B5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服务群众人数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60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≥1000人</w:t>
            </w:r>
          </w:p>
        </w:tc>
      </w:tr>
      <w:tr w14:paraId="4339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7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6E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5A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EA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民生项目验收合格率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5E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＝100%</w:t>
            </w:r>
          </w:p>
        </w:tc>
      </w:tr>
      <w:tr w14:paraId="346BB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E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79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F0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FC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村民人均可支配收入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5F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≥上年</w:t>
            </w:r>
          </w:p>
        </w:tc>
      </w:tr>
      <w:tr w14:paraId="2097B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C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63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F7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可持续发展指标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FF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人居环境改善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69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较上年有改善</w:t>
            </w:r>
          </w:p>
        </w:tc>
      </w:tr>
      <w:tr w14:paraId="57EB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4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5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2D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4F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村乡两级运行正常运转率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77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＝100%</w:t>
            </w:r>
          </w:p>
        </w:tc>
      </w:tr>
      <w:tr w14:paraId="13BEE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0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E7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2A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15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66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生态持续保护</w:t>
            </w:r>
          </w:p>
        </w:tc>
        <w:tc>
          <w:tcPr>
            <w:tcW w:w="20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9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生态可持续发展</w:t>
            </w:r>
          </w:p>
        </w:tc>
      </w:tr>
    </w:tbl>
    <w:p w14:paraId="24FB094B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4C7BA35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60543C7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重点项目1：村级公共服务经费补助资金</w:t>
      </w:r>
    </w:p>
    <w:p w14:paraId="27C15A7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4D716CA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502"/>
        <w:gridCol w:w="1502"/>
        <w:gridCol w:w="1329"/>
        <w:gridCol w:w="1000"/>
        <w:gridCol w:w="1000"/>
        <w:gridCol w:w="682"/>
      </w:tblGrid>
      <w:tr w14:paraId="54E40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6DE42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3B1DA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04033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科目调整次数</w:t>
            </w:r>
          </w:p>
        </w:tc>
        <w:tc>
          <w:tcPr>
            <w:tcW w:w="78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1E00F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52850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03E06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次</w:t>
            </w:r>
          </w:p>
        </w:tc>
        <w:tc>
          <w:tcPr>
            <w:tcW w:w="40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565C1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6D8D1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20386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48237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4A3A9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运转保障率</w:t>
            </w:r>
          </w:p>
        </w:tc>
        <w:tc>
          <w:tcPr>
            <w:tcW w:w="78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15969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31B2D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7E0C6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0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636B5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11C7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15227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19673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0929E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预算编制准确率（计算方法为：∣（执行数-预算数）/预算数∣）</w:t>
            </w:r>
          </w:p>
        </w:tc>
        <w:tc>
          <w:tcPr>
            <w:tcW w:w="78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0AE5D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4F6DD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2B1B6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0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31132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 w14:paraId="7320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43F0B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755C9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881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vAlign w:val="center"/>
          </w:tcPr>
          <w:p w14:paraId="5042E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“三公经费”控制率[计算方法为：（三公经费实际支出数/预算安排数]×100%）</w:t>
            </w:r>
          </w:p>
        </w:tc>
        <w:tc>
          <w:tcPr>
            <w:tcW w:w="78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775A1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5B4F9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87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10315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00" w:type="pct"/>
            <w:tcBorders>
              <w:top w:val="single" w:color="C2C3C4" w:sz="4" w:space="0"/>
              <w:left w:val="single" w:color="C2C3C4" w:sz="4" w:space="0"/>
              <w:bottom w:val="single" w:color="C2C3C4" w:sz="4" w:space="0"/>
              <w:right w:val="single" w:color="C2C3C4" w:sz="4" w:space="0"/>
            </w:tcBorders>
            <w:shd w:val="clear"/>
            <w:noWrap/>
            <w:vAlign w:val="center"/>
          </w:tcPr>
          <w:p w14:paraId="20C30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</w:tbl>
    <w:p w14:paraId="6FB2D59B">
      <w:pPr>
        <w:pStyle w:val="2"/>
        <w:rPr>
          <w:rFonts w:hint="eastAsia"/>
          <w:lang w:val="en-US" w:eastAsia="zh-CN"/>
        </w:rPr>
      </w:pPr>
    </w:p>
    <w:p w14:paraId="0009B5C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B1A2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336</Words>
  <Characters>353</Characters>
  <Lines>23</Lines>
  <Paragraphs>15</Paragraphs>
  <TotalTime>30</TotalTime>
  <ScaleCrop>false</ScaleCrop>
  <LinksUpToDate>false</LinksUpToDate>
  <CharactersWithSpaces>354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Revenge☁</cp:lastModifiedBy>
  <dcterms:modified xsi:type="dcterms:W3CDTF">2026-03-13T03:18:42Z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eyJoZGlkIjoiYjAzNzQzYmM5MDI1ZDAxZTJmMTMzNWY1MGM2MmJkMDQiLCJ1c2VySWQiOiI0MDk4OTk4ODcifQ==</vt:lpwstr>
  </property>
  <property fmtid="{D5CDD505-2E9C-101B-9397-08002B2CF9AE}" pid="4" name="ICV">
    <vt:lpwstr>EF0B2978840448E2917054DB4F9AE33D_13</vt:lpwstr>
  </property>
</Properties>
</file>