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4093A">
      <w:pPr>
        <w:spacing w:line="600" w:lineRule="exact"/>
        <w:jc w:val="center"/>
        <w:outlineLvl w:val="0"/>
        <w:rPr>
          <w:rFonts w:ascii="方正小标宋简体" w:eastAsia="方正小标宋简体"/>
          <w:sz w:val="72"/>
          <w:szCs w:val="72"/>
        </w:rPr>
      </w:pPr>
      <w:bookmarkStart w:id="0" w:name="_Toc15378441"/>
      <w:bookmarkStart w:id="1" w:name="_Toc15377193"/>
      <w:bookmarkStart w:id="2" w:name="_Toc15396475"/>
      <w:bookmarkStart w:id="3" w:name="_Toc15396597"/>
      <w:bookmarkStart w:id="4" w:name="_Toc15377425"/>
      <w:bookmarkStart w:id="5" w:name="_Toc15306267"/>
    </w:p>
    <w:p w14:paraId="14E5F658">
      <w:pPr>
        <w:pStyle w:val="7"/>
        <w:spacing w:before="93" w:beforeLines="0"/>
      </w:pPr>
    </w:p>
    <w:p w14:paraId="5087DB4F">
      <w:pPr>
        <w:spacing w:line="600" w:lineRule="exact"/>
        <w:jc w:val="center"/>
        <w:outlineLvl w:val="0"/>
        <w:rPr>
          <w:rFonts w:ascii="方正小标宋简体" w:eastAsia="方正小标宋简体"/>
          <w:sz w:val="72"/>
          <w:szCs w:val="72"/>
        </w:rPr>
      </w:pPr>
    </w:p>
    <w:p w14:paraId="131A5F56">
      <w:pPr>
        <w:spacing w:line="600" w:lineRule="exact"/>
        <w:jc w:val="center"/>
        <w:outlineLvl w:val="0"/>
        <w:rPr>
          <w:rFonts w:ascii="方正小标宋简体" w:eastAsia="方正小标宋简体"/>
          <w:sz w:val="72"/>
          <w:szCs w:val="72"/>
        </w:rPr>
      </w:pPr>
    </w:p>
    <w:p w14:paraId="73D312A7">
      <w:pPr>
        <w:adjustRightInd w:val="0"/>
        <w:snapToGrid w:val="0"/>
        <w:spacing w:line="360" w:lineRule="auto"/>
        <w:jc w:val="center"/>
        <w:outlineLvl w:val="0"/>
        <w:rPr>
          <w:rFonts w:ascii="方正小标宋简体" w:eastAsia="方正小标宋简体" w:cs="方正小标宋简体"/>
          <w:sz w:val="72"/>
          <w:szCs w:val="72"/>
        </w:rPr>
      </w:pPr>
      <w:bookmarkStart w:id="6" w:name="_Toc11071"/>
      <w:bookmarkStart w:id="7" w:name="_Toc16195"/>
      <w:bookmarkStart w:id="8" w:name="_Toc31180"/>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4</w:t>
      </w:r>
      <w:r>
        <w:rPr>
          <w:rFonts w:hint="eastAsia" w:ascii="方正小标宋简体" w:eastAsia="方正小标宋简体" w:cs="方正小标宋简体"/>
          <w:sz w:val="72"/>
          <w:szCs w:val="72"/>
        </w:rPr>
        <w:t>年度</w:t>
      </w:r>
      <w:bookmarkEnd w:id="0"/>
      <w:bookmarkEnd w:id="1"/>
      <w:bookmarkEnd w:id="2"/>
      <w:bookmarkEnd w:id="3"/>
      <w:bookmarkEnd w:id="4"/>
      <w:bookmarkEnd w:id="6"/>
      <w:bookmarkEnd w:id="7"/>
      <w:bookmarkEnd w:id="8"/>
    </w:p>
    <w:p w14:paraId="711C2DA9">
      <w:pPr>
        <w:adjustRightInd w:val="0"/>
        <w:snapToGrid w:val="0"/>
        <w:spacing w:line="360" w:lineRule="auto"/>
        <w:jc w:val="center"/>
        <w:outlineLvl w:val="0"/>
        <w:rPr>
          <w:rFonts w:ascii="方正小标宋简体" w:eastAsia="方正小标宋简体" w:cs="方正小标宋简体"/>
          <w:sz w:val="72"/>
          <w:szCs w:val="72"/>
        </w:rPr>
      </w:pPr>
      <w:bookmarkStart w:id="9" w:name="_Toc15377194"/>
      <w:bookmarkStart w:id="10" w:name="_Toc771"/>
      <w:bookmarkStart w:id="11" w:name="_Toc15396598"/>
      <w:bookmarkStart w:id="12" w:name="_Toc15378442"/>
      <w:bookmarkStart w:id="13" w:name="_Toc934"/>
      <w:bookmarkStart w:id="14" w:name="_Toc15396476"/>
      <w:bookmarkStart w:id="15" w:name="_Toc32498"/>
      <w:bookmarkStart w:id="16" w:name="_Toc15377426"/>
      <w:r>
        <w:rPr>
          <w:rFonts w:hint="eastAsia" w:ascii="方正小标宋简体" w:eastAsia="方正小标宋简体" w:cs="方正小标宋简体"/>
          <w:sz w:val="72"/>
          <w:szCs w:val="72"/>
        </w:rPr>
        <w:t>四川省</w:t>
      </w:r>
      <w:bookmarkEnd w:id="5"/>
      <w:bookmarkStart w:id="17" w:name="_Toc15306268"/>
      <w:r>
        <w:rPr>
          <w:rFonts w:hint="eastAsia" w:ascii="方正小标宋简体" w:eastAsia="方正小标宋简体" w:cs="方正小标宋简体"/>
          <w:sz w:val="72"/>
          <w:szCs w:val="72"/>
          <w:lang w:eastAsia="zh-CN"/>
        </w:rPr>
        <w:t>阿坝州金川县撒瓦脚乡人民政府</w:t>
      </w:r>
      <w:r>
        <w:rPr>
          <w:rFonts w:hint="eastAsia" w:ascii="方正小标宋简体" w:eastAsia="方正小标宋简体" w:cs="方正小标宋简体"/>
          <w:sz w:val="72"/>
          <w:szCs w:val="72"/>
        </w:rPr>
        <w:t>部门决算</w:t>
      </w:r>
      <w:bookmarkEnd w:id="9"/>
      <w:bookmarkEnd w:id="10"/>
      <w:bookmarkEnd w:id="11"/>
      <w:bookmarkEnd w:id="12"/>
      <w:bookmarkEnd w:id="13"/>
      <w:bookmarkEnd w:id="14"/>
      <w:bookmarkEnd w:id="15"/>
      <w:bookmarkEnd w:id="16"/>
      <w:bookmarkEnd w:id="17"/>
    </w:p>
    <w:p w14:paraId="68B81D08">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14:paraId="002439AC">
      <w:pPr>
        <w:widowControl/>
        <w:jc w:val="center"/>
        <w:rPr>
          <w:rFonts w:ascii="黑体" w:eastAsia="黑体" w:cs="Arial"/>
          <w:sz w:val="28"/>
          <w:szCs w:val="28"/>
        </w:rPr>
      </w:pPr>
    </w:p>
    <w:p w14:paraId="558FE17E">
      <w:pPr>
        <w:pStyle w:val="14"/>
      </w:pPr>
      <w:r>
        <w:rPr>
          <w:rFonts w:hint="eastAsia"/>
        </w:rPr>
        <w:t>公开时间：202</w:t>
      </w:r>
      <w:r>
        <w:rPr>
          <w:rFonts w:hint="eastAsia"/>
          <w:lang w:val="en-US" w:eastAsia="zh-CN"/>
        </w:rPr>
        <w:t>5</w:t>
      </w:r>
      <w:r>
        <w:rPr>
          <w:rFonts w:hint="eastAsia"/>
        </w:rPr>
        <w:t>年8月</w:t>
      </w:r>
      <w:r>
        <w:rPr>
          <w:rFonts w:hint="eastAsia"/>
          <w:lang w:val="en-US" w:eastAsia="zh-CN"/>
        </w:rPr>
        <w:t>25</w:t>
      </w:r>
      <w:r>
        <w:rPr>
          <w:rFonts w:hint="eastAsia"/>
        </w:rPr>
        <w:t>日</w:t>
      </w:r>
    </w:p>
    <w:p w14:paraId="6786D863"/>
    <w:sdt>
      <w:sdtPr>
        <w:rPr>
          <w:rFonts w:ascii="宋体" w:hAnsi="宋体" w:eastAsia="宋体" w:cs="Times New Roman"/>
          <w:kern w:val="2"/>
          <w:sz w:val="21"/>
          <w:szCs w:val="24"/>
          <w:lang w:val="en-US" w:eastAsia="zh-CN" w:bidi="ar-SA"/>
        </w:rPr>
        <w:id w:val="147463147"/>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201DEAE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4E3162D">
          <w:pPr>
            <w:pStyle w:val="14"/>
            <w:adjustRightInd w:val="0"/>
            <w:snapToGrid w:val="0"/>
            <w:spacing w:before="0" w:line="440" w:lineRule="exact"/>
            <w:jc w:val="left"/>
            <w:rPr>
              <w:rFonts w:hint="eastAsia"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rPr>
            <w:t xml:space="preserve">第一部分 </w:t>
          </w:r>
          <w:r>
            <w:rPr>
              <w:rFonts w:hint="eastAsia" w:ascii="Times New Roman" w:hAnsi="Times New Roman" w:eastAsia="黑体" w:cs="黑体"/>
              <w:color w:val="auto"/>
              <w:sz w:val="32"/>
              <w:szCs w:val="32"/>
              <w:highlight w:val="none"/>
              <w:lang w:eastAsia="zh-CN"/>
            </w:rPr>
            <w:t>部门</w:t>
          </w:r>
          <w:r>
            <w:rPr>
              <w:rFonts w:hint="eastAsia" w:ascii="Times New Roman" w:hAnsi="Times New Roman" w:eastAsia="黑体" w:cs="黑体"/>
              <w:color w:val="auto"/>
              <w:sz w:val="32"/>
              <w:szCs w:val="32"/>
              <w:highlight w:val="none"/>
            </w:rPr>
            <w:t>概况</w:t>
          </w:r>
          <w:r>
            <w:tab/>
          </w:r>
          <w:r>
            <w:rPr>
              <w:rFonts w:hint="eastAsia"/>
              <w:lang w:val="en-US" w:eastAsia="zh-CN"/>
            </w:rPr>
            <w:t>4</w:t>
          </w:r>
        </w:p>
        <w:p w14:paraId="435A4727">
          <w:pPr>
            <w:pStyle w:val="17"/>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w:t>
          </w:r>
          <w:r>
            <w:rPr>
              <w:rFonts w:hint="eastAsia" w:ascii="仿宋_GB2312" w:eastAsia="仿宋_GB2312" w:cs="仿宋_GB2312"/>
              <w:color w:val="auto"/>
              <w:sz w:val="30"/>
              <w:szCs w:val="30"/>
              <w:highlight w:val="none"/>
              <w:lang w:eastAsia="zh-CN" w:bidi="ar-SA"/>
            </w:rPr>
            <w:t>部门职责</w:t>
          </w:r>
          <w:r>
            <w:tab/>
          </w:r>
          <w:r>
            <w:rPr>
              <w:rFonts w:hint="eastAsia"/>
              <w:lang w:val="en-US" w:eastAsia="zh-CN"/>
            </w:rPr>
            <w:t>4</w:t>
          </w:r>
        </w:p>
        <w:p w14:paraId="475503A0">
          <w:pPr>
            <w:pStyle w:val="17"/>
            <w:adjustRightInd w:val="0"/>
            <w:snapToGrid w:val="0"/>
            <w:spacing w:line="440" w:lineRule="exact"/>
            <w:jc w:val="left"/>
            <w:rPr>
              <w:rFonts w:hint="eastAsia" w:ascii="仿宋_GB2312" w:hAnsi="仿宋_GB2312" w:eastAsia="宋体" w:cs="仿宋_GB2312"/>
              <w:color w:val="auto"/>
              <w:sz w:val="30"/>
              <w:szCs w:val="30"/>
              <w:lang w:val="en-US" w:eastAsia="zh-CN" w:bidi="ar-SA"/>
            </w:rPr>
          </w:pPr>
          <w:r>
            <w:rPr>
              <w:rFonts w:hint="eastAsia" w:ascii="仿宋_GB2312" w:eastAsia="仿宋_GB2312" w:cs="仿宋_GB2312"/>
              <w:color w:val="auto"/>
              <w:sz w:val="30"/>
              <w:szCs w:val="30"/>
              <w:highlight w:val="none"/>
              <w:lang w:eastAsia="zh-CN" w:bidi="ar-SA"/>
            </w:rPr>
            <w:t>二</w:t>
          </w:r>
          <w:r>
            <w:rPr>
              <w:rFonts w:hint="eastAsia" w:ascii="仿宋_GB2312" w:eastAsia="仿宋_GB2312" w:cs="仿宋_GB2312"/>
              <w:color w:val="auto"/>
              <w:sz w:val="30"/>
              <w:szCs w:val="30"/>
              <w:highlight w:val="none"/>
              <w:lang w:bidi="ar-SA"/>
            </w:rPr>
            <w:t>、</w:t>
          </w:r>
          <w:r>
            <w:rPr>
              <w:rFonts w:hint="eastAsia" w:ascii="仿宋_GB2312" w:eastAsia="仿宋_GB2312" w:cs="仿宋_GB2312"/>
              <w:color w:val="auto"/>
              <w:sz w:val="30"/>
              <w:szCs w:val="30"/>
              <w:highlight w:val="none"/>
              <w:lang w:eastAsia="zh-CN" w:bidi="ar-SA"/>
            </w:rPr>
            <w:t>机构设置</w:t>
          </w:r>
          <w:r>
            <w:tab/>
          </w:r>
          <w:r>
            <w:rPr>
              <w:rFonts w:hint="eastAsia"/>
              <w:lang w:val="en-US" w:eastAsia="zh-CN"/>
            </w:rPr>
            <w:t>5</w:t>
          </w:r>
        </w:p>
        <w:p w14:paraId="3531F646">
          <w:pPr>
            <w:pStyle w:val="14"/>
            <w:adjustRightInd w:val="0"/>
            <w:snapToGrid w:val="0"/>
            <w:spacing w:before="0" w:line="440" w:lineRule="exact"/>
            <w:jc w:val="left"/>
            <w:rPr>
              <w:rFonts w:hint="eastAsia"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lang w:eastAsia="zh-CN"/>
            </w:rPr>
            <w:t>单位</w:t>
          </w:r>
          <w:r>
            <w:rPr>
              <w:rFonts w:hint="eastAsia" w:ascii="Times New Roman" w:hAnsi="Times New Roman" w:eastAsia="黑体" w:cs="黑体"/>
              <w:color w:val="auto"/>
              <w:sz w:val="32"/>
              <w:szCs w:val="32"/>
              <w:highlight w:val="none"/>
            </w:rPr>
            <w:t>决算情况说明</w:t>
          </w:r>
          <w:r>
            <w:tab/>
          </w:r>
          <w:r>
            <w:rPr>
              <w:rFonts w:hint="eastAsia" w:ascii="Times New Roman" w:hAnsi="Times New Roman" w:eastAsia="宋体" w:cs="Times New Roman"/>
              <w:kern w:val="2"/>
              <w:sz w:val="21"/>
              <w:szCs w:val="24"/>
              <w:lang w:val="en-US" w:eastAsia="zh-CN" w:bidi="ar-SA"/>
            </w:rPr>
            <w:t>7</w:t>
          </w:r>
        </w:p>
        <w:p w14:paraId="4A8F038E">
          <w:pPr>
            <w:pStyle w:val="17"/>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一、收入支出决算总体情况说明</w:t>
          </w:r>
          <w:r>
            <w:tab/>
          </w:r>
          <w:r>
            <w:rPr>
              <w:rFonts w:hint="eastAsia"/>
              <w:lang w:val="en-US" w:eastAsia="zh-CN"/>
            </w:rPr>
            <w:t>7</w:t>
          </w:r>
        </w:p>
        <w:p w14:paraId="1F1EB3FA">
          <w:pPr>
            <w:pStyle w:val="17"/>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二、收入决算情况说明</w:t>
          </w:r>
          <w:r>
            <w:tab/>
          </w:r>
          <w:r>
            <w:rPr>
              <w:rFonts w:hint="eastAsia"/>
              <w:lang w:val="en-US" w:eastAsia="zh-CN"/>
            </w:rPr>
            <w:t>7</w:t>
          </w:r>
        </w:p>
        <w:p w14:paraId="1311488E">
          <w:pPr>
            <w:pStyle w:val="17"/>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三、支出决算情况说明</w:t>
          </w:r>
          <w:r>
            <w:tab/>
          </w:r>
          <w:r>
            <w:rPr>
              <w:rFonts w:hint="eastAsia"/>
              <w:lang w:val="en-US" w:eastAsia="zh-CN"/>
            </w:rPr>
            <w:t>8</w:t>
          </w:r>
        </w:p>
        <w:p w14:paraId="7EE224CF">
          <w:pPr>
            <w:pStyle w:val="17"/>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四、财政拨款收入支出决算总体情况说明</w:t>
          </w:r>
          <w:r>
            <w:tab/>
          </w:r>
          <w:r>
            <w:rPr>
              <w:rFonts w:hint="eastAsia"/>
              <w:lang w:val="en-US" w:eastAsia="zh-CN"/>
            </w:rPr>
            <w:t>9</w:t>
          </w:r>
        </w:p>
        <w:p w14:paraId="6E79AB78">
          <w:pPr>
            <w:pStyle w:val="17"/>
            <w:adjustRightInd w:val="0"/>
            <w:snapToGrid w:val="0"/>
            <w:spacing w:line="440" w:lineRule="exact"/>
            <w:jc w:val="left"/>
            <w:rPr>
              <w:rFonts w:hint="eastAsia"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五、一般公共预算财政拨款支出决算情况说明</w:t>
          </w:r>
          <w:r>
            <w:tab/>
          </w:r>
          <w:r>
            <w:rPr>
              <w:rFonts w:hint="eastAsia"/>
              <w:lang w:val="en-US" w:eastAsia="zh-CN"/>
            </w:rPr>
            <w:t>9</w:t>
          </w:r>
        </w:p>
        <w:p w14:paraId="24C8B9CE">
          <w:pPr>
            <w:pStyle w:val="17"/>
            <w:adjustRightInd w:val="0"/>
            <w:snapToGrid w:val="0"/>
            <w:spacing w:line="440" w:lineRule="exact"/>
            <w:jc w:val="left"/>
            <w:rPr>
              <w:rFonts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六、一般公共预算财政拨款基本支出决算情况说明</w:t>
          </w:r>
          <w:r>
            <w:tab/>
          </w:r>
          <w:r>
            <w:rPr>
              <w:rFonts w:hint="eastAsia"/>
              <w:lang w:val="en-US" w:eastAsia="zh-CN"/>
            </w:rPr>
            <w:t>13</w:t>
          </w:r>
        </w:p>
        <w:p w14:paraId="07E666D7">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七、财政拨款</w:t>
          </w:r>
          <w:r>
            <w:rPr>
              <w:rFonts w:hint="eastAsia" w:ascii="仿宋_GB2312" w:eastAsia="仿宋_GB2312" w:cs="仿宋_GB2312"/>
              <w:color w:val="auto"/>
              <w:sz w:val="30"/>
              <w:szCs w:val="30"/>
              <w:highlight w:val="none"/>
              <w:lang w:eastAsia="zh-CN" w:bidi="ar-SA"/>
            </w:rPr>
            <w:t>“</w:t>
          </w:r>
          <w:r>
            <w:rPr>
              <w:rFonts w:hint="eastAsia" w:ascii="仿宋_GB2312" w:eastAsia="仿宋_GB2312" w:cs="仿宋_GB2312"/>
              <w:color w:val="auto"/>
              <w:sz w:val="30"/>
              <w:szCs w:val="30"/>
              <w:highlight w:val="none"/>
              <w:lang w:bidi="ar-SA"/>
            </w:rPr>
            <w:t>三公”经费支出决算情况说明</w:t>
          </w:r>
          <w:r>
            <w:tab/>
          </w:r>
          <w:r>
            <w:rPr>
              <w:rFonts w:hint="eastAsia"/>
              <w:lang w:val="en-US" w:eastAsia="zh-CN"/>
            </w:rPr>
            <w:t>13</w:t>
          </w:r>
        </w:p>
        <w:p w14:paraId="225A35B5">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八、政府性基金预算支出决算情况说明</w:t>
          </w:r>
          <w:r>
            <w:tab/>
          </w:r>
          <w:r>
            <w:rPr>
              <w:rFonts w:hint="eastAsia"/>
              <w:lang w:val="en-US" w:eastAsia="zh-CN"/>
            </w:rPr>
            <w:t>15</w:t>
          </w:r>
        </w:p>
        <w:p w14:paraId="47B34E77">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九、国有资本经营预算支出决算情况说明</w:t>
          </w:r>
          <w:r>
            <w:tab/>
          </w:r>
          <w:r>
            <w:rPr>
              <w:rFonts w:hint="eastAsia"/>
              <w:lang w:val="en-US" w:eastAsia="zh-CN"/>
            </w:rPr>
            <w:t>15</w:t>
          </w:r>
        </w:p>
        <w:p w14:paraId="2EEF318A">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十、其他重要事项的情况说明</w:t>
          </w:r>
          <w:r>
            <w:tab/>
          </w:r>
          <w:r>
            <w:rPr>
              <w:rFonts w:hint="eastAsia"/>
              <w:lang w:val="en-US" w:eastAsia="zh-CN"/>
            </w:rPr>
            <w:t>15</w:t>
          </w:r>
        </w:p>
        <w:p w14:paraId="730B7FBC">
          <w:pPr>
            <w:pStyle w:val="14"/>
            <w:adjustRightInd w:val="0"/>
            <w:snapToGrid w:val="0"/>
            <w:spacing w:before="0" w:line="440" w:lineRule="exact"/>
            <w:jc w:val="left"/>
            <w:rPr>
              <w:rFonts w:hint="default"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lang w:val="en-US" w:eastAsia="zh-CN"/>
            </w:rPr>
            <w:t>第三部分 名词解释</w:t>
          </w:r>
          <w:r>
            <w:tab/>
          </w:r>
          <w:r>
            <w:rPr>
              <w:rFonts w:hint="eastAsia" w:ascii="Times New Roman" w:hAnsi="Times New Roman" w:eastAsia="宋体" w:cs="Times New Roman"/>
              <w:kern w:val="2"/>
              <w:sz w:val="21"/>
              <w:szCs w:val="24"/>
              <w:lang w:val="en-US" w:eastAsia="zh-CN" w:bidi="ar-SA"/>
            </w:rPr>
            <w:t>16</w:t>
          </w:r>
        </w:p>
        <w:p w14:paraId="7931BED0">
          <w:pPr>
            <w:pStyle w:val="14"/>
            <w:adjustRightInd w:val="0"/>
            <w:snapToGrid w:val="0"/>
            <w:spacing w:before="0" w:line="440" w:lineRule="exact"/>
            <w:jc w:val="left"/>
            <w:rPr>
              <w:rFonts w:hint="default" w:ascii="仿宋_GB2312" w:hAnsi="仿宋_GB2312" w:eastAsia="仿宋" w:cs="仿宋_GB2312"/>
              <w:color w:val="auto"/>
              <w:sz w:val="30"/>
              <w:szCs w:val="30"/>
              <w:highlight w:val="none"/>
              <w:lang w:val="en-US" w:eastAsia="zh-CN" w:bidi="ar-SA"/>
            </w:rPr>
          </w:pPr>
          <w:r>
            <w:rPr>
              <w:rFonts w:hint="eastAsia" w:ascii="Times New Roman" w:hAnsi="Times New Roman" w:eastAsia="黑体" w:cs="黑体"/>
              <w:color w:val="auto"/>
              <w:sz w:val="32"/>
              <w:szCs w:val="32"/>
              <w:highlight w:val="none"/>
              <w:lang w:val="en-US" w:eastAsia="zh-CN"/>
            </w:rPr>
            <w:t xml:space="preserve">第四部分 </w:t>
          </w:r>
          <w:r>
            <w:rPr>
              <w:rFonts w:hint="eastAsia" w:ascii="Times New Roman" w:hAnsi="Times New Roman" w:eastAsia="黑体" w:cs="黑体"/>
              <w:color w:val="auto"/>
              <w:sz w:val="32"/>
              <w:szCs w:val="32"/>
              <w:highlight w:val="none"/>
            </w:rPr>
            <w:t>附件</w:t>
          </w:r>
          <w:r>
            <w:tab/>
          </w:r>
          <w:r>
            <w:rPr>
              <w:rFonts w:hint="eastAsia" w:ascii="Times New Roman" w:eastAsia="宋体" w:cs="Times New Roman"/>
              <w:kern w:val="2"/>
              <w:sz w:val="21"/>
              <w:szCs w:val="24"/>
              <w:lang w:val="en-US" w:eastAsia="zh-CN" w:bidi="ar-SA"/>
            </w:rPr>
            <w:t>20</w:t>
          </w:r>
        </w:p>
        <w:p w14:paraId="54F4A4E7">
          <w:pPr>
            <w:pStyle w:val="14"/>
            <w:adjustRightInd w:val="0"/>
            <w:snapToGrid w:val="0"/>
            <w:spacing w:before="0" w:line="440" w:lineRule="exact"/>
            <w:jc w:val="left"/>
            <w:rPr>
              <w:rFonts w:hint="default" w:ascii="Times New Roman" w:hAnsi="Times New Roman" w:eastAsia="仿宋"/>
              <w:sz w:val="21"/>
              <w:szCs w:val="24"/>
              <w:highlight w:val="none"/>
              <w:lang w:val="en-US" w:eastAsia="zh-CN"/>
            </w:rPr>
          </w:pPr>
          <w:r>
            <w:rPr>
              <w:rFonts w:hint="eastAsia" w:ascii="Times New Roman" w:hAnsi="Times New Roman" w:eastAsia="黑体" w:cs="黑体"/>
              <w:color w:val="auto"/>
              <w:sz w:val="32"/>
              <w:szCs w:val="32"/>
              <w:highlight w:val="none"/>
            </w:rPr>
            <w:t>第五部分 附表</w:t>
          </w:r>
          <w:r>
            <w:tab/>
          </w:r>
          <w:r>
            <w:rPr>
              <w:rFonts w:hint="eastAsia" w:cs="Times New Roman"/>
              <w:kern w:val="2"/>
              <w:sz w:val="21"/>
              <w:szCs w:val="24"/>
              <w:lang w:val="en-US" w:eastAsia="zh-CN" w:bidi="ar-SA"/>
            </w:rPr>
            <w:t>31</w:t>
          </w:r>
        </w:p>
        <w:p w14:paraId="7130C929">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一、收入支出决算总表</w:t>
          </w:r>
          <w:r>
            <w:tab/>
          </w:r>
          <w:r>
            <w:rPr>
              <w:rFonts w:hint="eastAsia" w:cs="Times New Roman"/>
              <w:kern w:val="2"/>
              <w:sz w:val="21"/>
              <w:szCs w:val="24"/>
              <w:lang w:val="en-US" w:eastAsia="zh-CN" w:bidi="ar-SA"/>
            </w:rPr>
            <w:t>31</w:t>
          </w:r>
        </w:p>
        <w:p w14:paraId="477410B1">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二、收入决算表</w:t>
          </w:r>
          <w:r>
            <w:tab/>
          </w:r>
          <w:r>
            <w:rPr>
              <w:rFonts w:hint="eastAsia" w:cs="Times New Roman"/>
              <w:kern w:val="2"/>
              <w:sz w:val="21"/>
              <w:szCs w:val="24"/>
              <w:lang w:val="en-US" w:eastAsia="zh-CN" w:bidi="ar-SA"/>
            </w:rPr>
            <w:t>31</w:t>
          </w:r>
        </w:p>
        <w:p w14:paraId="3FF4A9F5">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三、支出决算表</w:t>
          </w:r>
          <w:r>
            <w:tab/>
          </w:r>
          <w:r>
            <w:rPr>
              <w:rFonts w:hint="eastAsia" w:cs="Times New Roman"/>
              <w:kern w:val="2"/>
              <w:sz w:val="21"/>
              <w:szCs w:val="24"/>
              <w:lang w:val="en-US" w:eastAsia="zh-CN" w:bidi="ar-SA"/>
            </w:rPr>
            <w:t>31</w:t>
          </w:r>
        </w:p>
        <w:p w14:paraId="4244C335">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四、财政拨款收入支出决算总表</w:t>
          </w:r>
          <w:r>
            <w:tab/>
          </w:r>
          <w:r>
            <w:rPr>
              <w:rFonts w:hint="eastAsia" w:cs="Times New Roman"/>
              <w:kern w:val="2"/>
              <w:sz w:val="21"/>
              <w:szCs w:val="24"/>
              <w:lang w:val="en-US" w:eastAsia="zh-CN" w:bidi="ar-SA"/>
            </w:rPr>
            <w:t>31</w:t>
          </w:r>
        </w:p>
        <w:p w14:paraId="2A6B0E47">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五、财政拨款支出决算明细表</w:t>
          </w:r>
          <w:r>
            <w:tab/>
          </w:r>
          <w:r>
            <w:rPr>
              <w:rFonts w:hint="eastAsia" w:cs="Times New Roman"/>
              <w:kern w:val="2"/>
              <w:sz w:val="21"/>
              <w:szCs w:val="24"/>
              <w:lang w:val="en-US" w:eastAsia="zh-CN" w:bidi="ar-SA"/>
            </w:rPr>
            <w:t>31</w:t>
          </w:r>
        </w:p>
        <w:p w14:paraId="705C2CA9">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六、一般公共预算财政拨款支出决算表</w:t>
          </w:r>
          <w:r>
            <w:tab/>
          </w:r>
          <w:r>
            <w:rPr>
              <w:rFonts w:hint="eastAsia" w:cs="Times New Roman"/>
              <w:kern w:val="2"/>
              <w:sz w:val="21"/>
              <w:szCs w:val="24"/>
              <w:lang w:val="en-US" w:eastAsia="zh-CN" w:bidi="ar-SA"/>
            </w:rPr>
            <w:t>31</w:t>
          </w:r>
        </w:p>
        <w:p w14:paraId="4FDB93A3">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七、一般公共预算财政拨款支出决算明细表</w:t>
          </w:r>
          <w:r>
            <w:tab/>
          </w:r>
          <w:r>
            <w:rPr>
              <w:rFonts w:hint="eastAsia" w:cs="Times New Roman"/>
              <w:kern w:val="2"/>
              <w:sz w:val="21"/>
              <w:szCs w:val="24"/>
              <w:lang w:val="en-US" w:eastAsia="zh-CN" w:bidi="ar-SA"/>
            </w:rPr>
            <w:t>31</w:t>
          </w:r>
        </w:p>
        <w:p w14:paraId="670638F9">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八、一般公共预算财政拨款基本支出决算</w:t>
          </w:r>
          <w:r>
            <w:rPr>
              <w:rFonts w:hint="eastAsia" w:ascii="仿宋_GB2312" w:eastAsia="仿宋_GB2312" w:cs="仿宋_GB2312"/>
              <w:color w:val="auto"/>
              <w:sz w:val="30"/>
              <w:szCs w:val="30"/>
              <w:highlight w:val="none"/>
              <w:lang w:eastAsia="zh-CN" w:bidi="ar-SA"/>
            </w:rPr>
            <w:t>明细</w:t>
          </w:r>
          <w:r>
            <w:rPr>
              <w:rFonts w:hint="eastAsia" w:ascii="仿宋_GB2312" w:eastAsia="仿宋_GB2312" w:cs="仿宋_GB2312"/>
              <w:color w:val="auto"/>
              <w:sz w:val="30"/>
              <w:szCs w:val="30"/>
              <w:highlight w:val="none"/>
              <w:lang w:bidi="ar-SA"/>
            </w:rPr>
            <w:t>表</w:t>
          </w:r>
          <w:r>
            <w:tab/>
          </w:r>
          <w:r>
            <w:rPr>
              <w:rFonts w:hint="eastAsia" w:cs="Times New Roman"/>
              <w:kern w:val="2"/>
              <w:sz w:val="21"/>
              <w:szCs w:val="24"/>
              <w:lang w:val="en-US" w:eastAsia="zh-CN" w:bidi="ar-SA"/>
            </w:rPr>
            <w:t>31</w:t>
          </w:r>
        </w:p>
        <w:p w14:paraId="29FBFFB9">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九、一般公共预算财政拨款项目支出决算表</w:t>
          </w:r>
          <w:r>
            <w:tab/>
          </w:r>
          <w:r>
            <w:rPr>
              <w:rFonts w:hint="eastAsia" w:cs="Times New Roman"/>
              <w:kern w:val="2"/>
              <w:sz w:val="21"/>
              <w:szCs w:val="24"/>
              <w:lang w:val="en-US" w:eastAsia="zh-CN" w:bidi="ar-SA"/>
            </w:rPr>
            <w:t>31</w:t>
          </w:r>
        </w:p>
        <w:p w14:paraId="73438E10">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十、政府性基金预算财政拨款收入支出决算表</w:t>
          </w:r>
          <w:r>
            <w:tab/>
          </w:r>
          <w:r>
            <w:rPr>
              <w:rFonts w:hint="eastAsia" w:cs="Times New Roman"/>
              <w:kern w:val="2"/>
              <w:sz w:val="21"/>
              <w:szCs w:val="24"/>
              <w:lang w:val="en-US" w:eastAsia="zh-CN" w:bidi="ar-SA"/>
            </w:rPr>
            <w:t>31</w:t>
          </w:r>
        </w:p>
        <w:p w14:paraId="3A846FD0">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十一、国有资本经营预算财政拨款收入支出决算表</w:t>
          </w:r>
          <w:r>
            <w:tab/>
          </w:r>
          <w:r>
            <w:rPr>
              <w:rFonts w:hint="eastAsia" w:cs="Times New Roman"/>
              <w:kern w:val="2"/>
              <w:sz w:val="21"/>
              <w:szCs w:val="24"/>
              <w:lang w:val="en-US" w:eastAsia="zh-CN" w:bidi="ar-SA"/>
            </w:rPr>
            <w:t>31</w:t>
          </w:r>
        </w:p>
        <w:p w14:paraId="2E414932">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十二、</w:t>
          </w:r>
          <w:r>
            <w:rPr>
              <w:rFonts w:hint="eastAsia" w:ascii="仿宋_GB2312" w:eastAsia="仿宋_GB2312" w:cs="仿宋_GB2312"/>
              <w:color w:val="auto"/>
              <w:sz w:val="30"/>
              <w:szCs w:val="30"/>
              <w:highlight w:val="none"/>
              <w:lang w:val="en-US" w:eastAsia="zh-CN" w:bidi="ar-SA"/>
            </w:rPr>
            <w:t>国有资本经营预算财政拨款支出决算表</w:t>
          </w:r>
          <w:r>
            <w:tab/>
          </w:r>
          <w:r>
            <w:rPr>
              <w:rFonts w:hint="eastAsia" w:cs="Times New Roman"/>
              <w:kern w:val="2"/>
              <w:sz w:val="21"/>
              <w:szCs w:val="24"/>
              <w:lang w:val="en-US" w:eastAsia="zh-CN" w:bidi="ar-SA"/>
            </w:rPr>
            <w:t>31</w:t>
          </w:r>
        </w:p>
        <w:p w14:paraId="0171BC5A">
          <w:pPr>
            <w:pStyle w:val="17"/>
            <w:adjustRightInd w:val="0"/>
            <w:snapToGrid w:val="0"/>
            <w:spacing w:line="440" w:lineRule="exact"/>
            <w:jc w:val="left"/>
            <w:rPr>
              <w:rFonts w:hint="default" w:ascii="仿宋_GB2312" w:hAnsi="仿宋_GB2312" w:eastAsia="宋体"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t>十三、财政拨款“三公”经费支出决算表</w:t>
          </w:r>
          <w:r>
            <w:tab/>
          </w:r>
          <w:r>
            <w:rPr>
              <w:rFonts w:hint="eastAsia" w:cs="Times New Roman"/>
              <w:kern w:val="2"/>
              <w:sz w:val="21"/>
              <w:szCs w:val="24"/>
              <w:lang w:val="en-US" w:eastAsia="zh-CN" w:bidi="ar-SA"/>
            </w:rPr>
            <w:t>31</w:t>
          </w:r>
        </w:p>
        <w:p w14:paraId="6BF49B1E"/>
      </w:sdtContent>
    </w:sdt>
    <w:p w14:paraId="4B513971"/>
    <w:p w14:paraId="2D4B6DD8">
      <w:pPr>
        <w:widowControl/>
        <w:spacing w:line="440" w:lineRule="exact"/>
        <w:jc w:val="left"/>
        <w:rPr>
          <w:rFonts w:ascii="仿宋" w:eastAsia="仿宋"/>
          <w:bCs/>
          <w:kern w:val="44"/>
          <w:sz w:val="24"/>
        </w:rPr>
      </w:pPr>
      <w:r>
        <w:rPr>
          <w:rFonts w:ascii="仿宋" w:eastAsia="仿宋"/>
          <w:b/>
          <w:sz w:val="24"/>
        </w:rPr>
        <w:br w:type="page"/>
      </w:r>
    </w:p>
    <w:p w14:paraId="5A3BD833">
      <w:pPr>
        <w:pStyle w:val="4"/>
        <w:jc w:val="center"/>
        <w:rPr>
          <w:rStyle w:val="37"/>
          <w:rFonts w:ascii="黑体" w:eastAsia="黑体"/>
          <w:b/>
          <w:bCs w:val="0"/>
        </w:rPr>
      </w:pPr>
      <w:bookmarkStart w:id="18" w:name="_Toc24990"/>
      <w:bookmarkStart w:id="19" w:name="_Toc16067"/>
      <w:r>
        <w:rPr>
          <w:rFonts w:hint="eastAsia" w:ascii="黑体" w:eastAsia="黑体"/>
          <w:b w:val="0"/>
        </w:rPr>
        <w:t xml:space="preserve">第一部分 </w:t>
      </w:r>
      <w:r>
        <w:rPr>
          <w:rStyle w:val="37"/>
          <w:rFonts w:hint="eastAsia" w:ascii="黑体" w:eastAsia="黑体"/>
          <w:b w:val="0"/>
          <w:bCs w:val="0"/>
        </w:rPr>
        <w:t>部门概况</w:t>
      </w:r>
      <w:bookmarkEnd w:id="18"/>
      <w:bookmarkEnd w:id="19"/>
    </w:p>
    <w:p w14:paraId="6FE59AE9">
      <w:pPr>
        <w:widowControl/>
        <w:jc w:val="left"/>
        <w:rPr>
          <w:rFonts w:ascii="黑体" w:eastAsia="黑体"/>
          <w:sz w:val="32"/>
          <w:szCs w:val="32"/>
        </w:rPr>
      </w:pPr>
    </w:p>
    <w:p w14:paraId="12ED0189">
      <w:pPr>
        <w:pStyle w:val="5"/>
        <w:numPr>
          <w:ilvl w:val="0"/>
          <w:numId w:val="1"/>
        </w:numPr>
        <w:ind w:left="0" w:leftChars="0" w:firstLine="0" w:firstLineChars="0"/>
        <w:outlineLvl w:val="0"/>
      </w:pPr>
      <w:bookmarkStart w:id="20" w:name="_Toc3578"/>
      <w:bookmarkStart w:id="21" w:name="_Toc8679"/>
      <w:r>
        <w:rPr>
          <w:rFonts w:hint="eastAsia" w:ascii="黑体" w:eastAsia="黑体"/>
          <w:b w:val="0"/>
        </w:rPr>
        <w:t>部门职责</w:t>
      </w:r>
      <w:bookmarkEnd w:id="20"/>
      <w:bookmarkEnd w:id="21"/>
    </w:p>
    <w:p w14:paraId="4D258B0A">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根据党章和《地方组织法》的规定，乡党委、政府承担辖区内促进经济发展、提供公共服务、加强社会管理、维护社会稳定，推动物质文明、政治文明、精神文明及和谐社会建设等任务。其主要职能是：</w:t>
      </w:r>
    </w:p>
    <w:p w14:paraId="17CF6E8A">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贯彻落实党和政府各项路线方针政策。深入贯彻党的二十大、十八届四中、五中全会精神，宣传和贯彻执行党的路线、方针、政策和国家的法律、法令；宣传和贯彻上级机关的政策、法规、规章、决定等；执行本级党代会和人代会的决定、决议；研究决定辖区内政治、经济、文化等重大问题。</w:t>
      </w:r>
    </w:p>
    <w:p w14:paraId="23DADB8D">
      <w:pPr>
        <w:snapToGrid w:val="0"/>
        <w:spacing w:line="560" w:lineRule="exact"/>
        <w:ind w:firstLine="480" w:firstLineChars="150"/>
        <w:rPr>
          <w:rFonts w:ascii="仿宋_GB2312" w:eastAsia="仿宋_GB2312"/>
          <w:sz w:val="32"/>
          <w:szCs w:val="32"/>
        </w:rPr>
      </w:pPr>
      <w:r>
        <w:rPr>
          <w:rFonts w:hint="eastAsia" w:ascii="仿宋_GB2312"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3A883209">
      <w:pPr>
        <w:snapToGrid w:val="0"/>
        <w:spacing w:line="560" w:lineRule="exact"/>
        <w:ind w:firstLine="480" w:firstLineChars="150"/>
        <w:rPr>
          <w:rFonts w:ascii="仿宋_GB2312" w:eastAsia="仿宋_GB2312"/>
          <w:sz w:val="32"/>
          <w:szCs w:val="32"/>
        </w:rPr>
      </w:pPr>
      <w:r>
        <w:rPr>
          <w:rFonts w:hint="eastAsia" w:ascii="仿宋_GB2312"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1CD0DE70">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进一步强化社会管理职能，加强辖区内的社会治安综合管理。建立村、企业及单位治安综合治理网络，实行群防群治。加强法制宣传教育，积极做好平安乡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280E6332">
      <w:pPr>
        <w:snapToGrid w:val="0"/>
        <w:spacing w:line="560" w:lineRule="exact"/>
        <w:ind w:firstLine="640" w:firstLineChars="200"/>
        <w:rPr>
          <w:bCs/>
          <w:color w:val="000000"/>
          <w:sz w:val="32"/>
          <w:szCs w:val="32"/>
          <w:highlight w:val="yellow"/>
        </w:rPr>
      </w:pPr>
      <w:r>
        <w:rPr>
          <w:rFonts w:hint="eastAsia" w:ascii="仿宋_GB2312"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12F479CE"/>
    <w:p w14:paraId="33DF3D48">
      <w:pPr>
        <w:pStyle w:val="5"/>
        <w:outlineLvl w:val="0"/>
        <w:rPr>
          <w:rStyle w:val="38"/>
          <w:b w:val="0"/>
          <w:bCs w:val="0"/>
        </w:rPr>
      </w:pPr>
      <w:bookmarkStart w:id="22" w:name="_Toc15396601"/>
      <w:bookmarkStart w:id="23" w:name="_Toc15377200"/>
      <w:bookmarkStart w:id="24" w:name="_Toc19344"/>
      <w:bookmarkStart w:id="25" w:name="_Toc29481"/>
      <w:r>
        <w:rPr>
          <w:rFonts w:hint="eastAsia" w:ascii="黑体" w:eastAsia="黑体"/>
          <w:b w:val="0"/>
        </w:rPr>
        <w:t>二、机</w:t>
      </w:r>
      <w:r>
        <w:rPr>
          <w:rStyle w:val="38"/>
          <w:rFonts w:hint="eastAsia" w:ascii="黑体" w:eastAsia="黑体"/>
          <w:b w:val="0"/>
          <w:bCs w:val="0"/>
        </w:rPr>
        <w:t>构设置</w:t>
      </w:r>
      <w:bookmarkEnd w:id="22"/>
      <w:bookmarkEnd w:id="23"/>
      <w:bookmarkEnd w:id="24"/>
      <w:bookmarkEnd w:id="25"/>
    </w:p>
    <w:p w14:paraId="153FD74C">
      <w:pPr>
        <w:ind w:firstLine="800" w:firstLineChars="250"/>
        <w:rPr>
          <w:rFonts w:ascii="仿宋" w:eastAsia="仿宋"/>
          <w:sz w:val="32"/>
          <w:szCs w:val="32"/>
        </w:rPr>
      </w:pPr>
      <w:r>
        <w:rPr>
          <w:sz w:val="32"/>
          <w:szCs w:val="32"/>
        </w:rPr>
        <w:t>金川县撒瓦脚乡人民政府</w:t>
      </w:r>
      <w:r>
        <w:rPr>
          <w:rFonts w:hint="eastAsia" w:ascii="仿宋" w:eastAsia="仿宋"/>
          <w:sz w:val="32"/>
          <w:szCs w:val="32"/>
        </w:rPr>
        <w:t>下属二级预算单位</w:t>
      </w:r>
      <w:r>
        <w:rPr>
          <w:sz w:val="32"/>
          <w:szCs w:val="32"/>
        </w:rPr>
        <w:t>4</w:t>
      </w:r>
      <w:r>
        <w:rPr>
          <w:rFonts w:hint="eastAsia" w:ascii="仿宋" w:eastAsia="仿宋"/>
          <w:sz w:val="32"/>
          <w:szCs w:val="32"/>
        </w:rPr>
        <w:t>个，其中行政单位3个，参照公务员法管理的事业单位</w:t>
      </w:r>
      <w:r>
        <w:rPr>
          <w:rFonts w:hint="eastAsia" w:ascii="仿宋" w:eastAsia="仿宋"/>
          <w:bCs/>
          <w:sz w:val="32"/>
          <w:szCs w:val="32"/>
        </w:rPr>
        <w:t>0</w:t>
      </w:r>
      <w:r>
        <w:rPr>
          <w:rFonts w:hint="eastAsia" w:ascii="仿宋" w:eastAsia="仿宋"/>
          <w:sz w:val="32"/>
          <w:szCs w:val="32"/>
        </w:rPr>
        <w:t>个，其他事业单位1个。</w:t>
      </w:r>
    </w:p>
    <w:p w14:paraId="12F51E6B">
      <w:pPr>
        <w:pStyle w:val="7"/>
        <w:adjustRightInd w:val="0"/>
        <w:snapToGrid w:val="0"/>
        <w:spacing w:beforeLines="0" w:line="600" w:lineRule="exact"/>
        <w:ind w:firstLine="668" w:firstLineChars="209"/>
        <w:rPr>
          <w:rFonts w:ascii="仿宋" w:eastAsia="仿宋"/>
          <w:sz w:val="32"/>
          <w:szCs w:val="32"/>
        </w:rPr>
      </w:pPr>
      <w:r>
        <w:rPr>
          <w:rFonts w:hint="eastAsia" w:ascii="仿宋" w:eastAsia="仿宋"/>
          <w:sz w:val="32"/>
          <w:szCs w:val="32"/>
        </w:rPr>
        <w:t>纳入</w:t>
      </w:r>
      <w:r>
        <w:rPr>
          <w:rFonts w:ascii="Times New Roman" w:eastAsia="宋体"/>
          <w:kern w:val="2"/>
          <w:sz w:val="32"/>
          <w:szCs w:val="32"/>
        </w:rPr>
        <w:t>金川县撒瓦脚乡人民政府</w:t>
      </w:r>
      <w:r>
        <w:rPr>
          <w:rFonts w:hint="eastAsia" w:ascii="仿宋" w:eastAsia="仿宋"/>
          <w:sz w:val="32"/>
          <w:szCs w:val="32"/>
        </w:rPr>
        <w:t>2024年度部门决算编制范围的二级预算单位包括：</w:t>
      </w:r>
    </w:p>
    <w:p w14:paraId="3CA43C36">
      <w:pPr>
        <w:pStyle w:val="7"/>
        <w:numPr>
          <w:ilvl w:val="0"/>
          <w:numId w:val="2"/>
        </w:numPr>
        <w:adjustRightInd w:val="0"/>
        <w:snapToGrid w:val="0"/>
        <w:spacing w:beforeLines="0" w:line="600" w:lineRule="exact"/>
        <w:ind w:left="1152" w:leftChars="0" w:hanging="480" w:firstLineChars="0"/>
        <w:outlineLvl w:val="9"/>
        <w:rPr>
          <w:rFonts w:ascii="仿宋" w:eastAsia="仿宋"/>
          <w:sz w:val="32"/>
          <w:szCs w:val="32"/>
        </w:rPr>
      </w:pPr>
      <w:bookmarkStart w:id="26" w:name="_Toc15377433"/>
      <w:bookmarkStart w:id="27" w:name="_Toc15377202"/>
      <w:bookmarkStart w:id="28" w:name="_Toc15306276"/>
      <w:bookmarkStart w:id="29" w:name="_Toc15378449"/>
      <w:r>
        <w:rPr>
          <w:rFonts w:hint="eastAsia" w:ascii="仿宋" w:eastAsia="仿宋"/>
          <w:sz w:val="32"/>
          <w:szCs w:val="32"/>
        </w:rPr>
        <w:t>撒瓦脚乡人民政府办公室</w:t>
      </w:r>
      <w:bookmarkEnd w:id="26"/>
      <w:bookmarkEnd w:id="27"/>
      <w:bookmarkEnd w:id="28"/>
      <w:bookmarkEnd w:id="29"/>
    </w:p>
    <w:p w14:paraId="2D92650A">
      <w:pPr>
        <w:pStyle w:val="7"/>
        <w:numPr>
          <w:ilvl w:val="0"/>
          <w:numId w:val="2"/>
        </w:numPr>
        <w:adjustRightInd w:val="0"/>
        <w:snapToGrid w:val="0"/>
        <w:spacing w:beforeLines="0" w:line="600" w:lineRule="exact"/>
        <w:rPr>
          <w:rFonts w:ascii="仿宋" w:eastAsia="仿宋"/>
          <w:sz w:val="32"/>
          <w:szCs w:val="32"/>
        </w:rPr>
      </w:pPr>
      <w:r>
        <w:rPr>
          <w:rFonts w:hint="eastAsia" w:ascii="仿宋" w:eastAsia="仿宋"/>
          <w:sz w:val="32"/>
          <w:szCs w:val="32"/>
        </w:rPr>
        <w:t>撒瓦脚乡党委办公室</w:t>
      </w:r>
    </w:p>
    <w:p w14:paraId="436C6B1E">
      <w:pPr>
        <w:pStyle w:val="7"/>
        <w:numPr>
          <w:ilvl w:val="0"/>
          <w:numId w:val="2"/>
        </w:numPr>
        <w:adjustRightInd w:val="0"/>
        <w:snapToGrid w:val="0"/>
        <w:spacing w:beforeLines="0" w:line="600" w:lineRule="exact"/>
        <w:rPr>
          <w:rFonts w:ascii="仿宋" w:eastAsia="仿宋"/>
          <w:sz w:val="32"/>
          <w:szCs w:val="32"/>
        </w:rPr>
      </w:pPr>
      <w:r>
        <w:rPr>
          <w:rFonts w:hint="eastAsia" w:ascii="仿宋" w:eastAsia="仿宋"/>
          <w:sz w:val="32"/>
          <w:szCs w:val="32"/>
        </w:rPr>
        <w:t>撒瓦脚乡人大办公室</w:t>
      </w:r>
    </w:p>
    <w:p w14:paraId="7CA23856">
      <w:pPr>
        <w:pStyle w:val="7"/>
        <w:numPr>
          <w:ilvl w:val="0"/>
          <w:numId w:val="2"/>
        </w:numPr>
        <w:adjustRightInd w:val="0"/>
        <w:snapToGrid w:val="0"/>
        <w:spacing w:beforeLines="0" w:line="600" w:lineRule="exact"/>
        <w:rPr>
          <w:rFonts w:ascii="仿宋" w:eastAsia="仿宋"/>
          <w:sz w:val="32"/>
          <w:szCs w:val="32"/>
        </w:rPr>
      </w:pPr>
      <w:r>
        <w:rPr>
          <w:rFonts w:hint="eastAsia" w:ascii="仿宋" w:eastAsia="仿宋"/>
          <w:sz w:val="32"/>
          <w:szCs w:val="32"/>
        </w:rPr>
        <w:t>撒瓦脚乡综合服务中心</w:t>
      </w:r>
    </w:p>
    <w:p w14:paraId="79B930A8">
      <w:pPr>
        <w:widowControl/>
        <w:jc w:val="left"/>
        <w:rPr>
          <w:rFonts w:ascii="仿宋" w:eastAsia="仿宋"/>
          <w:kern w:val="0"/>
          <w:sz w:val="32"/>
          <w:szCs w:val="32"/>
        </w:rPr>
      </w:pPr>
      <w:r>
        <w:rPr>
          <w:rFonts w:ascii="仿宋" w:eastAsia="仿宋"/>
          <w:sz w:val="32"/>
          <w:szCs w:val="32"/>
        </w:rPr>
        <w:br w:type="page"/>
      </w:r>
    </w:p>
    <w:p w14:paraId="7343A2C7">
      <w:pPr>
        <w:pStyle w:val="4"/>
        <w:ind w:right="440"/>
        <w:jc w:val="center"/>
        <w:rPr>
          <w:rStyle w:val="37"/>
          <w:rFonts w:ascii="黑体" w:eastAsia="黑体"/>
          <w:b w:val="0"/>
          <w:bCs/>
        </w:rPr>
      </w:pPr>
      <w:bookmarkStart w:id="30" w:name="_Toc15396602"/>
      <w:bookmarkStart w:id="31" w:name="_Toc10247"/>
      <w:bookmarkStart w:id="32" w:name="_Toc15377204"/>
      <w:bookmarkStart w:id="33" w:name="_Toc14658"/>
      <w:r>
        <w:rPr>
          <w:rFonts w:hint="eastAsia" w:ascii="黑体" w:eastAsia="黑体"/>
          <w:b w:val="0"/>
        </w:rPr>
        <w:t>第二部分 2024年度</w:t>
      </w:r>
      <w:r>
        <w:rPr>
          <w:rStyle w:val="37"/>
          <w:rFonts w:hint="eastAsia" w:ascii="黑体" w:eastAsia="黑体"/>
          <w:b w:val="0"/>
          <w:bCs/>
        </w:rPr>
        <w:t>部门决算情况说明</w:t>
      </w:r>
      <w:bookmarkEnd w:id="30"/>
      <w:bookmarkEnd w:id="31"/>
      <w:bookmarkEnd w:id="32"/>
      <w:bookmarkEnd w:id="33"/>
    </w:p>
    <w:p w14:paraId="3E99F275"/>
    <w:p w14:paraId="1051091F">
      <w:pPr>
        <w:pStyle w:val="32"/>
        <w:numPr>
          <w:ilvl w:val="0"/>
          <w:numId w:val="3"/>
        </w:numPr>
        <w:spacing w:line="600" w:lineRule="exact"/>
        <w:ind w:left="1360" w:leftChars="0" w:hanging="720" w:firstLineChars="0"/>
        <w:outlineLvl w:val="0"/>
        <w:rPr>
          <w:rStyle w:val="38"/>
          <w:rFonts w:ascii="黑体" w:eastAsia="黑体"/>
          <w:b w:val="0"/>
        </w:rPr>
      </w:pPr>
      <w:bookmarkStart w:id="34" w:name="_Toc15396603"/>
      <w:bookmarkStart w:id="35" w:name="_Toc15377205"/>
      <w:bookmarkStart w:id="36" w:name="_Toc1389"/>
      <w:bookmarkStart w:id="37" w:name="_Toc29051"/>
      <w:r>
        <w:rPr>
          <w:rFonts w:hint="eastAsia" w:ascii="黑体" w:eastAsia="黑体"/>
          <w:sz w:val="32"/>
          <w:szCs w:val="32"/>
        </w:rPr>
        <w:t>收</w:t>
      </w:r>
      <w:r>
        <w:rPr>
          <w:rStyle w:val="38"/>
          <w:rFonts w:hint="eastAsia" w:ascii="黑体" w:eastAsia="黑体"/>
          <w:b w:val="0"/>
        </w:rPr>
        <w:t>入支出决算总体情况说明</w:t>
      </w:r>
      <w:bookmarkEnd w:id="34"/>
      <w:bookmarkEnd w:id="35"/>
      <w:bookmarkEnd w:id="36"/>
      <w:bookmarkEnd w:id="37"/>
    </w:p>
    <w:p w14:paraId="69C03C6A">
      <w:pPr>
        <w:snapToGrid w:val="0"/>
        <w:spacing w:line="520" w:lineRule="exact"/>
        <w:ind w:firstLine="420" w:firstLineChars="200"/>
        <w:rPr>
          <w:rFonts w:ascii="仿宋_GB2312" w:eastAsia="仿宋_GB2312"/>
          <w:sz w:val="32"/>
          <w:szCs w:val="32"/>
        </w:rPr>
      </w:pPr>
      <w:r>
        <w:drawing>
          <wp:anchor distT="0" distB="0" distL="114300" distR="114300" simplePos="0" relativeHeight="251659264" behindDoc="0" locked="0" layoutInCell="1" allowOverlap="1">
            <wp:simplePos x="0" y="0"/>
            <wp:positionH relativeFrom="column">
              <wp:posOffset>638810</wp:posOffset>
            </wp:positionH>
            <wp:positionV relativeFrom="paragraph">
              <wp:posOffset>1779905</wp:posOffset>
            </wp:positionV>
            <wp:extent cx="4381500" cy="2828290"/>
            <wp:effectExtent l="4445" t="4445" r="14605" b="571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sz w:val="32"/>
          <w:szCs w:val="32"/>
        </w:rPr>
        <w:t>2024年度收、支总计均为</w:t>
      </w:r>
      <w:r>
        <w:rPr>
          <w:sz w:val="32"/>
          <w:szCs w:val="32"/>
        </w:rPr>
        <w:t>856.84</w:t>
      </w:r>
      <w:r>
        <w:rPr>
          <w:rFonts w:hint="eastAsia" w:ascii="仿宋" w:eastAsia="仿宋"/>
          <w:sz w:val="32"/>
          <w:szCs w:val="32"/>
        </w:rPr>
        <w:t>万元</w:t>
      </w:r>
      <w:r>
        <w:rPr>
          <w:rFonts w:hint="eastAsia"/>
          <w:sz w:val="32"/>
          <w:szCs w:val="32"/>
        </w:rPr>
        <w:t>。</w:t>
      </w:r>
      <w:r>
        <w:rPr>
          <w:rFonts w:hint="eastAsia" w:ascii="仿宋" w:eastAsia="仿宋"/>
          <w:sz w:val="32"/>
          <w:szCs w:val="32"/>
        </w:rPr>
        <w:t>与2023年度相比，收、支总计各增加97.72万元，增长12.87</w:t>
      </w:r>
      <w:r>
        <w:rPr>
          <w:rFonts w:ascii="仿宋" w:eastAsia="仿宋"/>
          <w:sz w:val="32"/>
          <w:szCs w:val="32"/>
        </w:rPr>
        <w:t>%</w:t>
      </w:r>
      <w:r>
        <w:rPr>
          <w:rFonts w:hint="eastAsia" w:ascii="仿宋" w:eastAsia="仿宋"/>
          <w:sz w:val="32"/>
          <w:szCs w:val="32"/>
        </w:rPr>
        <w:t>。主要变动原因是</w:t>
      </w:r>
      <w:r>
        <w:rPr>
          <w:rFonts w:hint="eastAsia" w:ascii="仿宋_GB2312" w:eastAsia="仿宋_GB2312"/>
          <w:sz w:val="32"/>
          <w:szCs w:val="32"/>
        </w:rPr>
        <w:t>本年度人员工资津补贴及项目增加。</w:t>
      </w:r>
    </w:p>
    <w:p w14:paraId="69BB4CF8">
      <w:pPr>
        <w:spacing w:line="600" w:lineRule="exact"/>
        <w:jc w:val="left"/>
        <w:rPr>
          <w:rFonts w:ascii="仿宋" w:eastAsia="仿宋"/>
          <w:sz w:val="32"/>
          <w:szCs w:val="32"/>
        </w:rPr>
      </w:pPr>
    </w:p>
    <w:p w14:paraId="7D5B73D1">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14:paraId="40243077">
      <w:pPr>
        <w:spacing w:line="600" w:lineRule="exact"/>
        <w:ind w:firstLine="640" w:firstLineChars="200"/>
        <w:jc w:val="left"/>
        <w:rPr>
          <w:rFonts w:ascii="仿宋_GB2312" w:eastAsia="仿宋_GB2312"/>
          <w:sz w:val="32"/>
          <w:szCs w:val="32"/>
        </w:rPr>
      </w:pPr>
    </w:p>
    <w:p w14:paraId="7CB4F6AC">
      <w:pPr>
        <w:pStyle w:val="32"/>
        <w:numPr>
          <w:ilvl w:val="0"/>
          <w:numId w:val="3"/>
        </w:numPr>
        <w:spacing w:line="600" w:lineRule="exact"/>
        <w:ind w:left="1360" w:leftChars="0" w:hanging="720" w:firstLineChars="0"/>
        <w:outlineLvl w:val="0"/>
        <w:rPr>
          <w:rStyle w:val="38"/>
          <w:rFonts w:ascii="黑体" w:eastAsia="黑体"/>
          <w:b w:val="0"/>
        </w:rPr>
      </w:pPr>
      <w:bookmarkStart w:id="38" w:name="_Toc15377206"/>
      <w:bookmarkStart w:id="39" w:name="_Toc22374"/>
      <w:bookmarkStart w:id="40" w:name="_Toc9937"/>
      <w:bookmarkStart w:id="41" w:name="_Toc15396604"/>
      <w:r>
        <w:rPr>
          <w:rFonts w:hint="eastAsia" w:ascii="黑体" w:eastAsia="黑体"/>
          <w:sz w:val="32"/>
          <w:szCs w:val="32"/>
        </w:rPr>
        <w:t>收</w:t>
      </w:r>
      <w:r>
        <w:rPr>
          <w:rStyle w:val="38"/>
          <w:rFonts w:hint="eastAsia" w:ascii="黑体" w:eastAsia="黑体"/>
          <w:b w:val="0"/>
        </w:rPr>
        <w:t>入决算情况说明</w:t>
      </w:r>
      <w:bookmarkEnd w:id="38"/>
      <w:bookmarkEnd w:id="39"/>
      <w:bookmarkEnd w:id="40"/>
      <w:bookmarkEnd w:id="41"/>
    </w:p>
    <w:p w14:paraId="2A4070DD">
      <w:pPr>
        <w:spacing w:line="600" w:lineRule="exact"/>
        <w:ind w:firstLine="640" w:firstLineChars="200"/>
        <w:outlineLvl w:val="9"/>
        <w:rPr>
          <w:rFonts w:ascii="仿宋" w:eastAsia="仿宋"/>
          <w:sz w:val="32"/>
          <w:szCs w:val="32"/>
        </w:rPr>
      </w:pPr>
      <w:r>
        <w:rPr>
          <w:rFonts w:hint="eastAsia" w:ascii="仿宋" w:eastAsia="仿宋"/>
          <w:sz w:val="32"/>
          <w:szCs w:val="32"/>
        </w:rPr>
        <w:t>2024年度本年收入合计</w:t>
      </w:r>
      <w:r>
        <w:rPr>
          <w:rFonts w:hint="eastAsia" w:eastAsia="仿宋"/>
          <w:sz w:val="32"/>
          <w:szCs w:val="32"/>
        </w:rPr>
        <w:t>856.84</w:t>
      </w:r>
      <w:r>
        <w:rPr>
          <w:rFonts w:hint="eastAsia" w:ascii="仿宋" w:eastAsia="仿宋"/>
          <w:sz w:val="32"/>
          <w:szCs w:val="32"/>
        </w:rPr>
        <w:t>万元，其中：一般公共预算财政拨款收入</w:t>
      </w:r>
      <w:r>
        <w:rPr>
          <w:sz w:val="32"/>
          <w:szCs w:val="32"/>
        </w:rPr>
        <w:t>856.84</w:t>
      </w:r>
      <w:r>
        <w:rPr>
          <w:rFonts w:hint="eastAsia" w:ascii="仿宋" w:eastAsia="仿宋"/>
          <w:sz w:val="32"/>
          <w:szCs w:val="32"/>
        </w:rPr>
        <w:t>万元，占</w:t>
      </w:r>
      <w:r>
        <w:rPr>
          <w:sz w:val="32"/>
          <w:szCs w:val="32"/>
        </w:rPr>
        <w:t>100</w:t>
      </w:r>
      <w:r>
        <w:rPr>
          <w:rFonts w:ascii="仿宋" w:eastAsia="仿宋"/>
          <w:sz w:val="32"/>
          <w:szCs w:val="32"/>
        </w:rPr>
        <w:t>%</w:t>
      </w:r>
      <w:r>
        <w:rPr>
          <w:rFonts w:hint="eastAsia" w:ascii="仿宋" w:eastAsia="仿宋"/>
          <w:sz w:val="32"/>
          <w:szCs w:val="32"/>
        </w:rPr>
        <w:t>；政府性基金预算财政拨款收入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；国有资本经营预算财政拨款收入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；上级补助收入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；事业收入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；附属单位上缴收入</w:t>
      </w:r>
      <w:r>
        <w:rPr>
          <w:sz w:val="32"/>
          <w:szCs w:val="32"/>
        </w:rPr>
        <w:t>0</w:t>
      </w: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893445</wp:posOffset>
            </wp:positionH>
            <wp:positionV relativeFrom="paragraph">
              <wp:posOffset>1200785</wp:posOffset>
            </wp:positionV>
            <wp:extent cx="3587750" cy="1697355"/>
            <wp:effectExtent l="4445" t="4445" r="8255" b="12700"/>
            <wp:wrapTopAndBottom/>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；其他收入</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p>
    <w:p w14:paraId="55147597">
      <w:pPr>
        <w:spacing w:line="600" w:lineRule="exact"/>
        <w:ind w:firstLine="640" w:firstLineChars="200"/>
        <w:outlineLvl w:val="9"/>
        <w:rPr>
          <w:rFonts w:ascii="仿宋" w:eastAsia="仿宋"/>
          <w:sz w:val="32"/>
          <w:szCs w:val="32"/>
        </w:rPr>
      </w:pPr>
    </w:p>
    <w:p w14:paraId="48F3572F">
      <w:pPr>
        <w:spacing w:line="600" w:lineRule="exact"/>
        <w:ind w:firstLine="640" w:firstLineChars="200"/>
        <w:rPr>
          <w:rFonts w:ascii="仿宋" w:eastAsia="仿宋"/>
          <w:sz w:val="32"/>
          <w:szCs w:val="32"/>
        </w:rPr>
      </w:pPr>
      <w:r>
        <w:rPr>
          <w:rFonts w:hint="eastAsia" w:ascii="仿宋" w:eastAsia="仿宋"/>
          <w:sz w:val="32"/>
          <w:szCs w:val="32"/>
        </w:rPr>
        <w:t>（图2：收入决算结构图）（饼状图）</w:t>
      </w:r>
    </w:p>
    <w:p w14:paraId="0324585E">
      <w:pPr>
        <w:spacing w:line="600" w:lineRule="exact"/>
        <w:ind w:firstLine="640" w:firstLineChars="200"/>
        <w:rPr>
          <w:rFonts w:ascii="仿宋_GB2312" w:eastAsia="仿宋_GB2312"/>
          <w:sz w:val="32"/>
          <w:szCs w:val="32"/>
        </w:rPr>
      </w:pPr>
    </w:p>
    <w:p w14:paraId="7838FB87">
      <w:pPr>
        <w:pStyle w:val="32"/>
        <w:numPr>
          <w:ilvl w:val="0"/>
          <w:numId w:val="3"/>
        </w:numPr>
        <w:spacing w:line="600" w:lineRule="exact"/>
        <w:ind w:left="1360" w:leftChars="0" w:hanging="720" w:firstLineChars="0"/>
        <w:outlineLvl w:val="0"/>
        <w:rPr>
          <w:rStyle w:val="38"/>
          <w:rFonts w:ascii="黑体" w:eastAsia="黑体"/>
          <w:b w:val="0"/>
        </w:rPr>
      </w:pPr>
      <w:bookmarkStart w:id="42" w:name="_Toc18540"/>
      <w:bookmarkStart w:id="43" w:name="_Toc15396605"/>
      <w:bookmarkStart w:id="44" w:name="_Toc15377207"/>
      <w:bookmarkStart w:id="45" w:name="_Toc1790"/>
      <w:r>
        <w:rPr>
          <w:rFonts w:hint="eastAsia" w:ascii="黑体" w:eastAsia="黑体"/>
          <w:sz w:val="32"/>
          <w:szCs w:val="32"/>
        </w:rPr>
        <w:t>支</w:t>
      </w:r>
      <w:r>
        <w:rPr>
          <w:rStyle w:val="38"/>
          <w:rFonts w:hint="eastAsia" w:ascii="黑体" w:eastAsia="黑体"/>
          <w:b w:val="0"/>
        </w:rPr>
        <w:t>出决算情况说明</w:t>
      </w:r>
      <w:bookmarkEnd w:id="42"/>
      <w:bookmarkEnd w:id="43"/>
      <w:bookmarkEnd w:id="44"/>
      <w:bookmarkEnd w:id="45"/>
    </w:p>
    <w:p w14:paraId="1A865E0F">
      <w:pPr>
        <w:spacing w:line="600" w:lineRule="exact"/>
        <w:ind w:firstLine="640" w:firstLineChars="200"/>
        <w:outlineLvl w:val="9"/>
        <w:rPr>
          <w:rFonts w:ascii="仿宋" w:eastAsia="仿宋"/>
          <w:sz w:val="32"/>
          <w:szCs w:val="32"/>
        </w:rPr>
      </w:pPr>
      <w:r>
        <w:rPr>
          <w:rFonts w:hint="eastAsia" w:ascii="仿宋" w:eastAsia="仿宋"/>
          <w:sz w:val="32"/>
          <w:szCs w:val="32"/>
        </w:rPr>
        <w:t>2024年度本年支出合计</w:t>
      </w:r>
      <w:r>
        <w:rPr>
          <w:sz w:val="32"/>
          <w:szCs w:val="32"/>
        </w:rPr>
        <w:t>856.84</w:t>
      </w:r>
      <w:r>
        <w:rPr>
          <w:rFonts w:hint="eastAsia" w:ascii="仿宋" w:eastAsia="仿宋"/>
          <w:sz w:val="32"/>
          <w:szCs w:val="32"/>
        </w:rPr>
        <w:t>万元，其中：基本支出</w:t>
      </w:r>
      <w:r>
        <w:rPr>
          <w:sz w:val="32"/>
          <w:szCs w:val="32"/>
        </w:rPr>
        <w:t>717.65</w:t>
      </w:r>
      <w:r>
        <w:rPr>
          <w:rFonts w:hint="eastAsia" w:ascii="仿宋" w:eastAsia="仿宋"/>
          <w:sz w:val="32"/>
          <w:szCs w:val="32"/>
        </w:rPr>
        <w:t>万元，占</w:t>
      </w:r>
      <w:r>
        <w:rPr>
          <w:rFonts w:hint="eastAsia"/>
          <w:sz w:val="32"/>
          <w:szCs w:val="32"/>
        </w:rPr>
        <w:t>83.76</w:t>
      </w:r>
      <w:r>
        <w:rPr>
          <w:rFonts w:ascii="仿宋" w:eastAsia="仿宋"/>
          <w:sz w:val="32"/>
          <w:szCs w:val="32"/>
        </w:rPr>
        <w:t>%</w:t>
      </w:r>
      <w:r>
        <w:rPr>
          <w:rFonts w:hint="eastAsia" w:ascii="仿宋" w:eastAsia="仿宋"/>
          <w:sz w:val="32"/>
          <w:szCs w:val="32"/>
        </w:rPr>
        <w:t>；项目支出</w:t>
      </w:r>
      <w:r>
        <w:rPr>
          <w:sz w:val="32"/>
          <w:szCs w:val="32"/>
        </w:rPr>
        <w:t>139.19</w:t>
      </w:r>
      <w:r>
        <w:rPr>
          <w:rFonts w:hint="eastAsia" w:ascii="仿宋" w:eastAsia="仿宋"/>
          <w:sz w:val="32"/>
          <w:szCs w:val="32"/>
        </w:rPr>
        <w:t>万元，占</w:t>
      </w:r>
      <w:r>
        <w:rPr>
          <w:rFonts w:hint="eastAsia"/>
          <w:sz w:val="32"/>
          <w:szCs w:val="32"/>
        </w:rPr>
        <w:t>16.24</w:t>
      </w:r>
      <w:r>
        <w:rPr>
          <w:rFonts w:ascii="仿宋" w:eastAsia="仿宋"/>
          <w:sz w:val="32"/>
          <w:szCs w:val="32"/>
        </w:rPr>
        <w:t>%</w:t>
      </w:r>
      <w:r>
        <w:rPr>
          <w:rFonts w:hint="eastAsia" w:ascii="仿宋" w:eastAsia="仿宋"/>
          <w:sz w:val="32"/>
          <w:szCs w:val="32"/>
        </w:rPr>
        <w:t>；上缴上级支出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；对附属单位补助支出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p>
    <w:p w14:paraId="759262C1">
      <w:pPr>
        <w:spacing w:line="600" w:lineRule="exact"/>
        <w:ind w:firstLine="640"/>
        <w:rPr>
          <w:rFonts w:ascii="仿宋" w:eastAsia="仿宋"/>
          <w:sz w:val="32"/>
          <w:szCs w:val="32"/>
          <w:shd w:val="pct10" w:color="auto" w:fill="FFFFFF"/>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115570</wp:posOffset>
            </wp:positionH>
            <wp:positionV relativeFrom="paragraph">
              <wp:posOffset>201930</wp:posOffset>
            </wp:positionV>
            <wp:extent cx="5061585" cy="1984375"/>
            <wp:effectExtent l="4445" t="4445" r="20320" b="11430"/>
            <wp:wrapSquare wrapText="bothSides"/>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813E1BB">
      <w:pPr>
        <w:spacing w:line="600" w:lineRule="exact"/>
        <w:ind w:firstLine="640" w:firstLineChars="200"/>
        <w:rPr>
          <w:rFonts w:ascii="仿宋" w:eastAsia="仿宋"/>
          <w:sz w:val="32"/>
          <w:szCs w:val="32"/>
        </w:rPr>
      </w:pPr>
      <w:r>
        <w:rPr>
          <w:rFonts w:hint="eastAsia" w:ascii="仿宋" w:eastAsia="仿宋"/>
          <w:sz w:val="32"/>
          <w:szCs w:val="32"/>
        </w:rPr>
        <w:t>（图3：支出决算结构图）（饼状图）</w:t>
      </w:r>
    </w:p>
    <w:p w14:paraId="52787896">
      <w:pPr>
        <w:spacing w:line="600" w:lineRule="exact"/>
        <w:ind w:firstLine="640" w:firstLineChars="200"/>
        <w:rPr>
          <w:rFonts w:ascii="仿宋" w:eastAsia="仿宋"/>
          <w:sz w:val="32"/>
          <w:szCs w:val="32"/>
        </w:rPr>
      </w:pPr>
    </w:p>
    <w:p w14:paraId="5E63CF98">
      <w:pPr>
        <w:spacing w:line="600" w:lineRule="exact"/>
        <w:ind w:firstLine="640" w:firstLineChars="200"/>
        <w:rPr>
          <w:rFonts w:ascii="仿宋_GB2312" w:eastAsia="仿宋_GB2312"/>
          <w:sz w:val="32"/>
          <w:szCs w:val="32"/>
        </w:rPr>
      </w:pPr>
    </w:p>
    <w:p w14:paraId="4AFF8938">
      <w:pPr>
        <w:spacing w:line="600" w:lineRule="exact"/>
        <w:ind w:firstLine="640" w:firstLineChars="200"/>
        <w:outlineLvl w:val="0"/>
        <w:rPr>
          <w:rStyle w:val="38"/>
          <w:rFonts w:ascii="黑体" w:eastAsia="黑体"/>
          <w:b w:val="0"/>
        </w:rPr>
      </w:pPr>
      <w:bookmarkStart w:id="46" w:name="_Toc4154"/>
      <w:bookmarkStart w:id="47" w:name="_Toc15396606"/>
      <w:bookmarkStart w:id="48" w:name="_Toc22366"/>
      <w:bookmarkStart w:id="49" w:name="_Toc15377208"/>
      <w:r>
        <w:rPr>
          <w:rFonts w:hint="eastAsia" w:ascii="黑体" w:eastAsia="黑体"/>
          <w:sz w:val="32"/>
          <w:szCs w:val="32"/>
        </w:rPr>
        <w:t>四、财</w:t>
      </w:r>
      <w:r>
        <w:rPr>
          <w:rStyle w:val="38"/>
          <w:rFonts w:hint="eastAsia" w:ascii="黑体" w:eastAsia="黑体"/>
          <w:b w:val="0"/>
        </w:rPr>
        <w:t>政拨款收入支出决算总体情况说明</w:t>
      </w:r>
      <w:bookmarkEnd w:id="46"/>
      <w:bookmarkEnd w:id="47"/>
      <w:bookmarkEnd w:id="48"/>
      <w:bookmarkEnd w:id="49"/>
    </w:p>
    <w:p w14:paraId="04EBD18E">
      <w:pPr>
        <w:snapToGrid w:val="0"/>
        <w:spacing w:line="520" w:lineRule="exact"/>
        <w:ind w:firstLine="640" w:firstLineChars="200"/>
        <w:rPr>
          <w:rFonts w:ascii="仿宋_GB2312" w:eastAsia="仿宋_GB2312"/>
          <w:sz w:val="32"/>
          <w:szCs w:val="32"/>
        </w:rPr>
      </w:pPr>
      <w:r>
        <w:rPr>
          <w:rFonts w:hint="eastAsia" w:ascii="仿宋" w:eastAsia="仿宋"/>
          <w:sz w:val="32"/>
          <w:szCs w:val="32"/>
        </w:rPr>
        <w:t>2024年度财政拨款收、支总计均为</w:t>
      </w:r>
      <w:r>
        <w:rPr>
          <w:sz w:val="32"/>
          <w:szCs w:val="32"/>
        </w:rPr>
        <w:t>856.84</w:t>
      </w:r>
      <w:r>
        <w:rPr>
          <w:rFonts w:hint="eastAsia" w:ascii="仿宋" w:eastAsia="仿宋"/>
          <w:sz w:val="32"/>
          <w:szCs w:val="32"/>
        </w:rPr>
        <w:t>万元。与2023年度相比，财政拨款收、支总计各增加97.72万元，增长12.87</w:t>
      </w:r>
      <w:r>
        <w:rPr>
          <w:rFonts w:ascii="仿宋" w:eastAsia="仿宋"/>
          <w:sz w:val="32"/>
          <w:szCs w:val="32"/>
        </w:rPr>
        <w:t>%</w:t>
      </w:r>
      <w:r>
        <w:rPr>
          <w:rFonts w:hint="eastAsia" w:ascii="仿宋" w:eastAsia="仿宋"/>
          <w:sz w:val="32"/>
          <w:szCs w:val="32"/>
        </w:rPr>
        <w:t>。主要变动原因是</w:t>
      </w:r>
      <w:r>
        <w:rPr>
          <w:rFonts w:hint="eastAsia" w:ascii="仿宋_GB2312" w:eastAsia="仿宋_GB2312"/>
          <w:sz w:val="32"/>
          <w:szCs w:val="32"/>
        </w:rPr>
        <w:t>本年度人员工资津补贴及项目增加。</w:t>
      </w:r>
    </w:p>
    <w:p w14:paraId="1C22751F">
      <w:pPr>
        <w:spacing w:line="600" w:lineRule="exact"/>
        <w:rPr>
          <w:rFonts w:ascii="仿宋" w:eastAsia="仿宋"/>
          <w:sz w:val="32"/>
          <w:szCs w:val="32"/>
        </w:rPr>
      </w:pPr>
    </w:p>
    <w:p w14:paraId="26F6FA27">
      <w:pPr>
        <w:spacing w:line="600" w:lineRule="exact"/>
        <w:ind w:firstLine="640" w:firstLineChars="200"/>
        <w:rPr>
          <w:rFonts w:ascii="仿宋" w:eastAsia="仿宋"/>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561340</wp:posOffset>
            </wp:positionH>
            <wp:positionV relativeFrom="paragraph">
              <wp:posOffset>369570</wp:posOffset>
            </wp:positionV>
            <wp:extent cx="4036695" cy="2310765"/>
            <wp:effectExtent l="4445" t="4445" r="16510" b="8890"/>
            <wp:wrapTopAndBottom/>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eastAsia="仿宋"/>
          <w:sz w:val="32"/>
          <w:szCs w:val="32"/>
        </w:rPr>
        <w:t>（图4：财政拨款收、支决算总计变动情况）（柱状图）</w:t>
      </w:r>
    </w:p>
    <w:p w14:paraId="5C8BA3CA">
      <w:pPr>
        <w:spacing w:line="600" w:lineRule="exact"/>
        <w:ind w:firstLine="640"/>
        <w:rPr>
          <w:rFonts w:ascii="仿宋" w:eastAsia="仿宋"/>
          <w:b/>
          <w:sz w:val="32"/>
          <w:szCs w:val="32"/>
        </w:rPr>
      </w:pPr>
    </w:p>
    <w:p w14:paraId="1002DDDC">
      <w:pPr>
        <w:spacing w:line="600" w:lineRule="exact"/>
        <w:ind w:firstLine="640" w:firstLineChars="200"/>
        <w:outlineLvl w:val="0"/>
        <w:rPr>
          <w:rStyle w:val="38"/>
          <w:rFonts w:ascii="黑体" w:eastAsia="黑体"/>
          <w:b w:val="0"/>
        </w:rPr>
      </w:pPr>
      <w:bookmarkStart w:id="50" w:name="_Toc15377209"/>
      <w:bookmarkStart w:id="51" w:name="_Toc32567"/>
      <w:bookmarkStart w:id="52" w:name="_Toc15396607"/>
      <w:bookmarkStart w:id="53" w:name="_Toc14626"/>
      <w:r>
        <w:rPr>
          <w:rFonts w:hint="eastAsia" w:ascii="黑体" w:eastAsia="黑体"/>
          <w:sz w:val="32"/>
          <w:szCs w:val="32"/>
        </w:rPr>
        <w:t>五、</w:t>
      </w:r>
      <w:r>
        <w:rPr>
          <w:rFonts w:hint="eastAsia" w:ascii="黑体" w:eastAsia="黑体"/>
          <w:b/>
          <w:sz w:val="32"/>
          <w:szCs w:val="32"/>
        </w:rPr>
        <w:t>一</w:t>
      </w:r>
      <w:r>
        <w:rPr>
          <w:rStyle w:val="38"/>
          <w:rFonts w:hint="eastAsia" w:ascii="黑体" w:eastAsia="黑体"/>
          <w:b w:val="0"/>
        </w:rPr>
        <w:t>般公共预算财政拨款支出决算情况说明</w:t>
      </w:r>
      <w:bookmarkEnd w:id="50"/>
      <w:bookmarkEnd w:id="51"/>
      <w:bookmarkEnd w:id="52"/>
      <w:bookmarkEnd w:id="53"/>
    </w:p>
    <w:p w14:paraId="093F376F">
      <w:pPr>
        <w:spacing w:line="600" w:lineRule="exact"/>
        <w:ind w:firstLine="643" w:firstLineChars="200"/>
        <w:outlineLvl w:val="1"/>
        <w:rPr>
          <w:rFonts w:ascii="仿宋" w:eastAsia="仿宋"/>
          <w:b/>
          <w:sz w:val="32"/>
          <w:szCs w:val="32"/>
        </w:rPr>
      </w:pPr>
      <w:bookmarkStart w:id="54" w:name="_Toc14766"/>
      <w:bookmarkStart w:id="55" w:name="_Toc15377210"/>
      <w:bookmarkStart w:id="56" w:name="_Toc2726"/>
      <w:r>
        <w:rPr>
          <w:rFonts w:hint="eastAsia" w:ascii="仿宋" w:eastAsia="仿宋"/>
          <w:b/>
          <w:sz w:val="32"/>
          <w:szCs w:val="32"/>
        </w:rPr>
        <w:t>（一）一般公共预算财政拨款支出决算总体情况</w:t>
      </w:r>
      <w:bookmarkEnd w:id="54"/>
      <w:bookmarkEnd w:id="55"/>
      <w:bookmarkEnd w:id="56"/>
    </w:p>
    <w:p w14:paraId="7A803F4C">
      <w:pPr>
        <w:spacing w:line="600" w:lineRule="exact"/>
        <w:ind w:firstLine="640" w:firstLineChars="200"/>
        <w:rPr>
          <w:rFonts w:ascii="仿宋" w:eastAsia="仿宋"/>
          <w:sz w:val="32"/>
          <w:szCs w:val="32"/>
        </w:rPr>
      </w:pPr>
      <w:r>
        <w:rPr>
          <w:rFonts w:hint="eastAsia" w:ascii="仿宋" w:eastAsia="仿宋"/>
          <w:sz w:val="32"/>
          <w:szCs w:val="32"/>
        </w:rPr>
        <w:t>2024年度一般公共预算财政拨款支出</w:t>
      </w:r>
      <w:r>
        <w:rPr>
          <w:sz w:val="32"/>
          <w:szCs w:val="32"/>
        </w:rPr>
        <w:t>856.84</w:t>
      </w:r>
      <w:r>
        <w:rPr>
          <w:rFonts w:hint="eastAsia" w:ascii="仿宋" w:eastAsia="仿宋"/>
          <w:sz w:val="32"/>
          <w:szCs w:val="32"/>
        </w:rPr>
        <w:t>万元，占本年支出合计的100</w:t>
      </w:r>
      <w:r>
        <w:rPr>
          <w:rFonts w:ascii="仿宋" w:eastAsia="仿宋"/>
          <w:sz w:val="32"/>
          <w:szCs w:val="32"/>
        </w:rPr>
        <w:t>%</w:t>
      </w:r>
      <w:r>
        <w:rPr>
          <w:rFonts w:hint="eastAsia" w:ascii="仿宋" w:eastAsia="仿宋"/>
          <w:sz w:val="32"/>
          <w:szCs w:val="32"/>
        </w:rPr>
        <w:t>。与2023年度相比，一般公共预算财政拨款支出增加97.72万元，增长12.87</w:t>
      </w:r>
      <w:r>
        <w:rPr>
          <w:rFonts w:ascii="仿宋" w:eastAsia="仿宋"/>
          <w:sz w:val="32"/>
          <w:szCs w:val="32"/>
        </w:rPr>
        <w:t>%</w:t>
      </w:r>
      <w:r>
        <w:rPr>
          <w:rFonts w:hint="eastAsia" w:ascii="仿宋" w:eastAsia="仿宋"/>
          <w:sz w:val="32"/>
          <w:szCs w:val="32"/>
        </w:rPr>
        <w:t>。主要变动原因是</w:t>
      </w:r>
      <w:r>
        <w:rPr>
          <w:rFonts w:hint="eastAsia" w:ascii="仿宋_GB2312" w:eastAsia="仿宋_GB2312"/>
          <w:sz w:val="32"/>
          <w:szCs w:val="32"/>
        </w:rPr>
        <w:t>本年度人员工资津补贴及项目增加。</w:t>
      </w:r>
    </w:p>
    <w:p w14:paraId="17C1ED77">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14:paraId="7294D686">
      <w:pPr>
        <w:spacing w:line="600" w:lineRule="exact"/>
        <w:ind w:firstLine="640" w:firstLineChars="200"/>
        <w:rPr>
          <w:rFonts w:ascii="仿宋" w:eastAsia="仿宋"/>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346710</wp:posOffset>
            </wp:positionH>
            <wp:positionV relativeFrom="paragraph">
              <wp:posOffset>84455</wp:posOffset>
            </wp:positionV>
            <wp:extent cx="4836160" cy="2752090"/>
            <wp:effectExtent l="4445" t="4445" r="17145" b="5715"/>
            <wp:wrapTopAndBottom/>
            <wp:docPr id="1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08EDC49">
      <w:pPr>
        <w:spacing w:line="600" w:lineRule="exact"/>
        <w:ind w:firstLine="643" w:firstLineChars="200"/>
        <w:outlineLvl w:val="1"/>
        <w:rPr>
          <w:rFonts w:ascii="仿宋" w:eastAsia="仿宋"/>
          <w:b/>
          <w:sz w:val="32"/>
          <w:szCs w:val="32"/>
        </w:rPr>
      </w:pPr>
      <w:bookmarkStart w:id="57" w:name="_Toc2519"/>
      <w:bookmarkStart w:id="58" w:name="_Toc15735"/>
      <w:bookmarkStart w:id="59" w:name="_Toc15377211"/>
      <w:r>
        <w:rPr>
          <w:rFonts w:hint="eastAsia" w:ascii="仿宋" w:eastAsia="仿宋"/>
          <w:b/>
          <w:sz w:val="32"/>
          <w:szCs w:val="32"/>
        </w:rPr>
        <w:t>（二）一般公共预算财政拨款支出决算结构情况</w:t>
      </w:r>
      <w:bookmarkEnd w:id="57"/>
      <w:bookmarkEnd w:id="58"/>
      <w:bookmarkEnd w:id="59"/>
    </w:p>
    <w:p w14:paraId="5E0730A7">
      <w:pPr>
        <w:spacing w:line="600" w:lineRule="exact"/>
        <w:ind w:firstLine="640"/>
        <w:rPr>
          <w:rFonts w:ascii="仿宋" w:eastAsia="仿宋"/>
          <w:color w:val="000000"/>
          <w:sz w:val="32"/>
          <w:szCs w:val="32"/>
        </w:rPr>
      </w:pPr>
      <w:r>
        <w:rPr>
          <w:rFonts w:hint="eastAsia" w:ascii="仿宋" w:eastAsia="仿宋"/>
          <w:sz w:val="32"/>
          <w:szCs w:val="32"/>
        </w:rPr>
        <w:t>2024年度一般公共预算财政拨款支出</w:t>
      </w:r>
      <w:r>
        <w:rPr>
          <w:sz w:val="32"/>
          <w:szCs w:val="32"/>
        </w:rPr>
        <w:t>856.84</w:t>
      </w:r>
      <w:r>
        <w:rPr>
          <w:rFonts w:hint="eastAsia" w:ascii="仿宋" w:eastAsia="仿宋"/>
          <w:sz w:val="32"/>
          <w:szCs w:val="32"/>
        </w:rPr>
        <w:t>万元，主要用于以下方面</w:t>
      </w:r>
      <w:r>
        <w:rPr>
          <w:rFonts w:ascii="仿宋" w:eastAsia="仿宋"/>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294.56</w:t>
      </w:r>
      <w:r>
        <w:rPr>
          <w:rFonts w:hint="eastAsia" w:ascii="仿宋" w:eastAsia="仿宋"/>
          <w:color w:val="000000"/>
          <w:sz w:val="32"/>
          <w:szCs w:val="32"/>
        </w:rPr>
        <w:t>万元，占34.37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98.03</w:t>
      </w:r>
      <w:r>
        <w:rPr>
          <w:rFonts w:hint="eastAsia" w:ascii="仿宋" w:eastAsia="仿宋"/>
          <w:color w:val="000000"/>
          <w:sz w:val="32"/>
          <w:szCs w:val="32"/>
        </w:rPr>
        <w:t>万元，占11.44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38.06</w:t>
      </w:r>
      <w:r>
        <w:rPr>
          <w:rFonts w:hint="eastAsia" w:ascii="仿宋" w:eastAsia="仿宋"/>
          <w:color w:val="000000"/>
          <w:sz w:val="32"/>
          <w:szCs w:val="32"/>
        </w:rPr>
        <w:t>万元，占4.44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ascii="仿宋" w:eastAsia="仿宋"/>
          <w:color w:val="000000"/>
          <w:sz w:val="32"/>
          <w:szCs w:val="32"/>
        </w:rPr>
        <w:t>374.73</w:t>
      </w:r>
      <w:r>
        <w:rPr>
          <w:rFonts w:hint="eastAsia" w:ascii="仿宋" w:eastAsia="仿宋"/>
          <w:color w:val="000000"/>
          <w:sz w:val="32"/>
          <w:szCs w:val="32"/>
        </w:rPr>
        <w:t>万元，占43.73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ascii="仿宋" w:eastAsia="仿宋"/>
          <w:b/>
          <w:bCs/>
          <w:color w:val="000000"/>
          <w:sz w:val="32"/>
          <w:szCs w:val="32"/>
        </w:rPr>
        <w:t>51.46</w:t>
      </w:r>
      <w:r>
        <w:rPr>
          <w:rFonts w:hint="eastAsia" w:ascii="仿宋" w:eastAsia="仿宋"/>
          <w:color w:val="000000"/>
          <w:sz w:val="32"/>
          <w:szCs w:val="32"/>
        </w:rPr>
        <w:t>万元，占6</w:t>
      </w:r>
      <w:r>
        <w:rPr>
          <w:rFonts w:ascii="仿宋" w:eastAsia="仿宋"/>
          <w:color w:val="000000"/>
          <w:sz w:val="32"/>
          <w:szCs w:val="32"/>
        </w:rPr>
        <w:t>%</w:t>
      </w:r>
      <w:r>
        <w:rPr>
          <w:rFonts w:hint="eastAsia" w:ascii="仿宋" w:eastAsia="仿宋"/>
          <w:color w:val="000000"/>
          <w:sz w:val="32"/>
          <w:szCs w:val="32"/>
        </w:rPr>
        <w:t>；</w:t>
      </w:r>
      <w:r>
        <w:rPr>
          <w:rFonts w:ascii="仿宋" w:eastAsia="仿宋"/>
          <w:color w:val="000000"/>
          <w:sz w:val="32"/>
          <w:szCs w:val="32"/>
        </w:rPr>
        <w:t xml:space="preserve"> </w:t>
      </w:r>
    </w:p>
    <w:p w14:paraId="32ACBC41">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14:paraId="03000174">
      <w:pPr>
        <w:spacing w:line="600" w:lineRule="exact"/>
        <w:ind w:firstLine="640" w:firstLineChars="200"/>
        <w:rPr>
          <w:rFonts w:ascii="仿宋" w:eastAsia="仿宋"/>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43815</wp:posOffset>
            </wp:positionH>
            <wp:positionV relativeFrom="paragraph">
              <wp:posOffset>50800</wp:posOffset>
            </wp:positionV>
            <wp:extent cx="5161915" cy="2541270"/>
            <wp:effectExtent l="4445" t="4445" r="15240" b="6985"/>
            <wp:wrapTopAndBottom/>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05B68FAA">
      <w:pPr>
        <w:spacing w:line="600" w:lineRule="exact"/>
        <w:ind w:firstLine="640" w:firstLineChars="200"/>
        <w:rPr>
          <w:rFonts w:ascii="仿宋" w:eastAsia="仿宋"/>
          <w:sz w:val="32"/>
          <w:szCs w:val="32"/>
        </w:rPr>
      </w:pPr>
    </w:p>
    <w:p w14:paraId="2F8F6D7C">
      <w:pPr>
        <w:spacing w:line="600" w:lineRule="exact"/>
        <w:ind w:firstLine="643" w:firstLineChars="200"/>
        <w:outlineLvl w:val="1"/>
        <w:rPr>
          <w:rFonts w:ascii="仿宋" w:eastAsia="仿宋"/>
          <w:b/>
          <w:sz w:val="32"/>
          <w:szCs w:val="32"/>
        </w:rPr>
      </w:pPr>
      <w:bookmarkStart w:id="60" w:name="_Toc31999"/>
      <w:bookmarkStart w:id="61" w:name="_Toc26553"/>
      <w:bookmarkStart w:id="62" w:name="_Toc15377212"/>
      <w:r>
        <w:rPr>
          <w:rFonts w:hint="eastAsia" w:ascii="仿宋" w:eastAsia="仿宋"/>
          <w:b/>
          <w:sz w:val="32"/>
          <w:szCs w:val="32"/>
        </w:rPr>
        <w:t>（三）一般公共预算财政拨款支出决算具体情况</w:t>
      </w:r>
      <w:bookmarkEnd w:id="60"/>
      <w:bookmarkEnd w:id="61"/>
      <w:bookmarkEnd w:id="62"/>
    </w:p>
    <w:p w14:paraId="3C61C42C">
      <w:pPr>
        <w:spacing w:line="600" w:lineRule="exact"/>
        <w:ind w:firstLine="643" w:firstLineChars="200"/>
        <w:outlineLvl w:val="9"/>
        <w:rPr>
          <w:rFonts w:ascii="仿宋" w:eastAsia="仿宋"/>
          <w:sz w:val="32"/>
          <w:szCs w:val="32"/>
        </w:rPr>
      </w:pPr>
      <w:bookmarkStart w:id="63" w:name="_Toc15377444"/>
      <w:bookmarkStart w:id="64" w:name="_Toc15377213"/>
      <w:bookmarkStart w:id="65" w:name="_Toc15378460"/>
      <w:r>
        <w:rPr>
          <w:rFonts w:hint="eastAsia" w:ascii="仿宋" w:eastAsia="仿宋"/>
          <w:b/>
          <w:sz w:val="32"/>
          <w:szCs w:val="32"/>
        </w:rPr>
        <w:t>2024年度一般公共预算支出决算数为</w:t>
      </w:r>
      <w:r>
        <w:rPr>
          <w:sz w:val="32"/>
          <w:szCs w:val="32"/>
        </w:rPr>
        <w:t>856.84</w:t>
      </w:r>
      <w:r>
        <w:rPr>
          <w:rFonts w:hint="eastAsia" w:ascii="仿宋" w:eastAsia="仿宋"/>
          <w:sz w:val="32"/>
          <w:szCs w:val="32"/>
        </w:rPr>
        <w:t>，</w:t>
      </w:r>
      <w:r>
        <w:rPr>
          <w:rStyle w:val="23"/>
          <w:rFonts w:hint="eastAsia" w:ascii="仿宋" w:eastAsia="仿宋"/>
          <w:bCs/>
          <w:sz w:val="32"/>
          <w:szCs w:val="32"/>
        </w:rPr>
        <w:t>完成预算100</w:t>
      </w:r>
      <w:r>
        <w:rPr>
          <w:rStyle w:val="23"/>
          <w:rFonts w:ascii="仿宋" w:eastAsia="仿宋"/>
          <w:bCs/>
          <w:sz w:val="32"/>
          <w:szCs w:val="32"/>
        </w:rPr>
        <w:t>%</w:t>
      </w:r>
      <w:r>
        <w:rPr>
          <w:rStyle w:val="23"/>
          <w:rFonts w:hint="eastAsia" w:ascii="仿宋" w:eastAsia="仿宋"/>
          <w:bCs/>
          <w:sz w:val="32"/>
          <w:szCs w:val="32"/>
        </w:rPr>
        <w:t>。其中：</w:t>
      </w:r>
      <w:bookmarkEnd w:id="63"/>
      <w:bookmarkEnd w:id="64"/>
      <w:bookmarkEnd w:id="65"/>
    </w:p>
    <w:p w14:paraId="3EC76A2A">
      <w:pPr>
        <w:spacing w:line="600" w:lineRule="exact"/>
        <w:ind w:firstLine="643" w:firstLineChars="200"/>
        <w:rPr>
          <w:rStyle w:val="23"/>
          <w:rFonts w:ascii="仿宋" w:eastAsia="仿宋"/>
          <w:b w:val="0"/>
          <w:bCs/>
          <w:color w:val="000000"/>
          <w:sz w:val="32"/>
          <w:szCs w:val="32"/>
        </w:rPr>
      </w:pPr>
      <w:r>
        <w:rPr>
          <w:rStyle w:val="23"/>
          <w:rFonts w:hint="eastAsia" w:ascii="仿宋" w:eastAsia="仿宋"/>
          <w:bCs/>
          <w:color w:val="000000"/>
          <w:sz w:val="32"/>
          <w:szCs w:val="32"/>
        </w:rPr>
        <w:t>1.一般公共服务（类）政府办公厅（室）及相关机构事务（款）一般行政管理事务（项）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Fonts w:ascii="仿宋" w:eastAsia="仿宋"/>
          <w:color w:val="000000"/>
          <w:sz w:val="32"/>
          <w:szCs w:val="32"/>
        </w:rPr>
        <w:t>294.56</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3A324B60">
      <w:pPr>
        <w:spacing w:line="600" w:lineRule="exact"/>
        <w:ind w:firstLine="643" w:firstLineChars="200"/>
        <w:rPr>
          <w:rFonts w:ascii="仿宋" w:eastAsia="仿宋"/>
          <w:b/>
          <w:sz w:val="32"/>
          <w:szCs w:val="32"/>
        </w:rPr>
      </w:pPr>
      <w:r>
        <w:rPr>
          <w:rStyle w:val="23"/>
          <w:rFonts w:ascii="仿宋" w:eastAsia="仿宋"/>
          <w:bCs/>
          <w:sz w:val="32"/>
          <w:szCs w:val="32"/>
        </w:rPr>
        <w:t>2.</w:t>
      </w:r>
      <w:r>
        <w:rPr>
          <w:rStyle w:val="23"/>
          <w:rFonts w:hint="eastAsia" w:ascii="仿宋" w:eastAsia="仿宋"/>
          <w:bCs/>
          <w:sz w:val="32"/>
          <w:szCs w:val="32"/>
        </w:rPr>
        <w:t>教育（类）</w:t>
      </w:r>
      <w:r>
        <w:rPr>
          <w:rStyle w:val="23"/>
          <w:rFonts w:ascii="仿宋" w:eastAsia="仿宋"/>
          <w:bCs/>
          <w:sz w:val="32"/>
          <w:szCs w:val="32"/>
        </w:rPr>
        <w:t>***</w:t>
      </w:r>
      <w:r>
        <w:rPr>
          <w:rStyle w:val="23"/>
          <w:rFonts w:hint="eastAsia" w:ascii="仿宋" w:eastAsia="仿宋"/>
          <w:bCs/>
          <w:sz w:val="32"/>
          <w:szCs w:val="32"/>
        </w:rPr>
        <w:t>（款）</w:t>
      </w:r>
      <w:r>
        <w:rPr>
          <w:rStyle w:val="23"/>
          <w:rFonts w:ascii="仿宋" w:eastAsia="仿宋"/>
          <w:bCs/>
          <w:sz w:val="32"/>
          <w:szCs w:val="32"/>
        </w:rPr>
        <w:t>***</w:t>
      </w:r>
      <w:r>
        <w:rPr>
          <w:rStyle w:val="23"/>
          <w:rFonts w:hint="eastAsia" w:ascii="仿宋" w:eastAsia="仿宋"/>
          <w:bCs/>
          <w:sz w:val="32"/>
          <w:szCs w:val="32"/>
        </w:rPr>
        <w:t>（项）</w:t>
      </w:r>
      <w:r>
        <w:rPr>
          <w:rStyle w:val="23"/>
          <w:rFonts w:ascii="仿宋" w:eastAsia="仿宋"/>
          <w:bCs/>
          <w:sz w:val="32"/>
          <w:szCs w:val="32"/>
        </w:rPr>
        <w:t>:</w:t>
      </w:r>
      <w:r>
        <w:rPr>
          <w:rStyle w:val="23"/>
          <w:rFonts w:hint="eastAsia" w:ascii="仿宋" w:eastAsia="仿宋"/>
          <w:b w:val="0"/>
          <w:bCs/>
          <w:sz w:val="32"/>
          <w:szCs w:val="32"/>
        </w:rPr>
        <w:t>支出决算为0万元，完成预算0</w:t>
      </w:r>
      <w:r>
        <w:rPr>
          <w:rStyle w:val="23"/>
          <w:rFonts w:ascii="仿宋" w:eastAsia="仿宋"/>
          <w:b w:val="0"/>
          <w:bCs/>
          <w:sz w:val="32"/>
          <w:szCs w:val="32"/>
        </w:rPr>
        <w:t>%</w:t>
      </w:r>
      <w:r>
        <w:rPr>
          <w:rStyle w:val="23"/>
          <w:rFonts w:hint="eastAsia" w:ascii="仿宋" w:eastAsia="仿宋"/>
          <w:b w:val="0"/>
          <w:bCs/>
          <w:sz w:val="32"/>
          <w:szCs w:val="32"/>
        </w:rPr>
        <w:t>，决算数小于</w:t>
      </w:r>
      <w:r>
        <w:rPr>
          <w:rStyle w:val="23"/>
          <w:rFonts w:ascii="仿宋" w:eastAsia="仿宋"/>
          <w:b w:val="0"/>
          <w:bCs/>
          <w:sz w:val="32"/>
          <w:szCs w:val="32"/>
        </w:rPr>
        <w:t>/</w:t>
      </w:r>
      <w:r>
        <w:rPr>
          <w:rStyle w:val="23"/>
          <w:rFonts w:hint="eastAsia" w:ascii="仿宋" w:eastAsia="仿宋"/>
          <w:b w:val="0"/>
          <w:bCs/>
          <w:sz w:val="32"/>
          <w:szCs w:val="32"/>
        </w:rPr>
        <w:t>等于预算数的主要原因是…。</w:t>
      </w:r>
    </w:p>
    <w:p w14:paraId="668E35E3">
      <w:pPr>
        <w:spacing w:line="600" w:lineRule="exact"/>
        <w:ind w:firstLine="643" w:firstLineChars="200"/>
        <w:rPr>
          <w:rFonts w:ascii="仿宋" w:eastAsia="仿宋"/>
          <w:b/>
          <w:sz w:val="32"/>
          <w:szCs w:val="32"/>
        </w:rPr>
      </w:pPr>
      <w:r>
        <w:rPr>
          <w:rStyle w:val="23"/>
          <w:rFonts w:ascii="仿宋" w:eastAsia="仿宋"/>
          <w:bCs/>
          <w:sz w:val="32"/>
          <w:szCs w:val="32"/>
        </w:rPr>
        <w:t>3.</w:t>
      </w:r>
      <w:r>
        <w:rPr>
          <w:rStyle w:val="23"/>
          <w:rFonts w:hint="eastAsia" w:ascii="仿宋" w:eastAsia="仿宋"/>
          <w:bCs/>
          <w:sz w:val="32"/>
          <w:szCs w:val="32"/>
        </w:rPr>
        <w:t>科学技术（类）</w:t>
      </w:r>
      <w:r>
        <w:rPr>
          <w:rStyle w:val="23"/>
          <w:rFonts w:ascii="仿宋" w:eastAsia="仿宋"/>
          <w:bCs/>
          <w:sz w:val="32"/>
          <w:szCs w:val="32"/>
        </w:rPr>
        <w:t>***</w:t>
      </w:r>
      <w:r>
        <w:rPr>
          <w:rStyle w:val="23"/>
          <w:rFonts w:hint="eastAsia" w:ascii="仿宋" w:eastAsia="仿宋"/>
          <w:bCs/>
          <w:sz w:val="32"/>
          <w:szCs w:val="32"/>
        </w:rPr>
        <w:t>（款）</w:t>
      </w:r>
      <w:r>
        <w:rPr>
          <w:rStyle w:val="23"/>
          <w:rFonts w:ascii="仿宋" w:eastAsia="仿宋"/>
          <w:bCs/>
          <w:sz w:val="32"/>
          <w:szCs w:val="32"/>
        </w:rPr>
        <w:t>***</w:t>
      </w:r>
      <w:r>
        <w:rPr>
          <w:rStyle w:val="23"/>
          <w:rFonts w:hint="eastAsia" w:ascii="仿宋" w:eastAsia="仿宋"/>
          <w:bCs/>
          <w:sz w:val="32"/>
          <w:szCs w:val="32"/>
        </w:rPr>
        <w:t>（项）</w:t>
      </w:r>
      <w:r>
        <w:rPr>
          <w:rStyle w:val="23"/>
          <w:rFonts w:ascii="仿宋" w:eastAsia="仿宋"/>
          <w:bCs/>
          <w:sz w:val="32"/>
          <w:szCs w:val="32"/>
        </w:rPr>
        <w:t>:</w:t>
      </w:r>
      <w:r>
        <w:rPr>
          <w:rStyle w:val="23"/>
          <w:rFonts w:hint="eastAsia" w:ascii="仿宋" w:eastAsia="仿宋"/>
          <w:b w:val="0"/>
          <w:bCs/>
          <w:sz w:val="32"/>
          <w:szCs w:val="32"/>
        </w:rPr>
        <w:t>支出决算为0万元，完成预算0</w:t>
      </w:r>
      <w:r>
        <w:rPr>
          <w:rStyle w:val="23"/>
          <w:rFonts w:ascii="仿宋" w:eastAsia="仿宋"/>
          <w:b w:val="0"/>
          <w:bCs/>
          <w:sz w:val="32"/>
          <w:szCs w:val="32"/>
        </w:rPr>
        <w:t>%</w:t>
      </w:r>
      <w:r>
        <w:rPr>
          <w:rStyle w:val="23"/>
          <w:rFonts w:hint="eastAsia" w:ascii="仿宋" w:eastAsia="仿宋"/>
          <w:b w:val="0"/>
          <w:bCs/>
          <w:sz w:val="32"/>
          <w:szCs w:val="32"/>
        </w:rPr>
        <w:t>，决算数小于</w:t>
      </w:r>
      <w:r>
        <w:rPr>
          <w:rStyle w:val="23"/>
          <w:rFonts w:ascii="仿宋" w:eastAsia="仿宋"/>
          <w:b w:val="0"/>
          <w:bCs/>
          <w:sz w:val="32"/>
          <w:szCs w:val="32"/>
        </w:rPr>
        <w:t>/</w:t>
      </w:r>
      <w:r>
        <w:rPr>
          <w:rStyle w:val="23"/>
          <w:rFonts w:hint="eastAsia" w:ascii="仿宋" w:eastAsia="仿宋"/>
          <w:b w:val="0"/>
          <w:bCs/>
          <w:sz w:val="32"/>
          <w:szCs w:val="32"/>
        </w:rPr>
        <w:t>等于预算数的主要原因是…。</w:t>
      </w:r>
    </w:p>
    <w:p w14:paraId="0A7CEEF6">
      <w:pPr>
        <w:spacing w:line="600" w:lineRule="exact"/>
        <w:ind w:firstLine="643" w:firstLineChars="200"/>
        <w:rPr>
          <w:rFonts w:ascii="仿宋" w:eastAsia="仿宋"/>
          <w:b/>
          <w:sz w:val="32"/>
          <w:szCs w:val="32"/>
        </w:rPr>
      </w:pPr>
      <w:r>
        <w:rPr>
          <w:rStyle w:val="23"/>
          <w:rFonts w:ascii="仿宋" w:eastAsia="仿宋"/>
          <w:bCs/>
          <w:sz w:val="32"/>
          <w:szCs w:val="32"/>
        </w:rPr>
        <w:t>4.</w:t>
      </w:r>
      <w:r>
        <w:rPr>
          <w:rStyle w:val="23"/>
          <w:rFonts w:hint="eastAsia" w:ascii="仿宋" w:eastAsia="仿宋"/>
          <w:bCs/>
          <w:sz w:val="32"/>
          <w:szCs w:val="32"/>
        </w:rPr>
        <w:t>文化旅游体育与传媒（类）</w:t>
      </w:r>
      <w:r>
        <w:rPr>
          <w:rStyle w:val="23"/>
          <w:rFonts w:ascii="仿宋" w:eastAsia="仿宋"/>
          <w:bCs/>
          <w:sz w:val="32"/>
          <w:szCs w:val="32"/>
        </w:rPr>
        <w:t>***</w:t>
      </w:r>
      <w:r>
        <w:rPr>
          <w:rStyle w:val="23"/>
          <w:rFonts w:hint="eastAsia" w:ascii="仿宋" w:eastAsia="仿宋"/>
          <w:bCs/>
          <w:sz w:val="32"/>
          <w:szCs w:val="32"/>
        </w:rPr>
        <w:t>（款）</w:t>
      </w:r>
      <w:r>
        <w:rPr>
          <w:rStyle w:val="23"/>
          <w:rFonts w:ascii="仿宋" w:eastAsia="仿宋"/>
          <w:bCs/>
          <w:sz w:val="32"/>
          <w:szCs w:val="32"/>
        </w:rPr>
        <w:t>***</w:t>
      </w:r>
      <w:r>
        <w:rPr>
          <w:rStyle w:val="23"/>
          <w:rFonts w:hint="eastAsia" w:ascii="仿宋" w:eastAsia="仿宋"/>
          <w:bCs/>
          <w:sz w:val="32"/>
          <w:szCs w:val="32"/>
        </w:rPr>
        <w:t>（项）</w:t>
      </w:r>
      <w:r>
        <w:rPr>
          <w:rStyle w:val="23"/>
          <w:rFonts w:ascii="仿宋" w:eastAsia="仿宋"/>
          <w:bCs/>
          <w:sz w:val="32"/>
          <w:szCs w:val="32"/>
        </w:rPr>
        <w:t>:</w:t>
      </w:r>
      <w:r>
        <w:rPr>
          <w:rStyle w:val="23"/>
          <w:rFonts w:hint="eastAsia" w:ascii="仿宋" w:eastAsia="仿宋"/>
          <w:b w:val="0"/>
          <w:bCs/>
          <w:sz w:val="32"/>
          <w:szCs w:val="32"/>
        </w:rPr>
        <w:t>支出决算为</w:t>
      </w:r>
      <w:r>
        <w:rPr>
          <w:rStyle w:val="23"/>
          <w:rFonts w:ascii="仿宋" w:eastAsia="仿宋"/>
          <w:b w:val="0"/>
          <w:bCs/>
          <w:sz w:val="32"/>
          <w:szCs w:val="32"/>
        </w:rPr>
        <w:t>**</w:t>
      </w:r>
      <w:r>
        <w:rPr>
          <w:rStyle w:val="23"/>
          <w:rFonts w:hint="eastAsia" w:ascii="仿宋" w:eastAsia="仿宋"/>
          <w:b w:val="0"/>
          <w:bCs/>
          <w:sz w:val="32"/>
          <w:szCs w:val="32"/>
        </w:rPr>
        <w:t>万元，完成预算</w:t>
      </w:r>
      <w:r>
        <w:rPr>
          <w:rStyle w:val="23"/>
          <w:rFonts w:ascii="仿宋" w:eastAsia="仿宋"/>
          <w:b w:val="0"/>
          <w:bCs/>
          <w:sz w:val="32"/>
          <w:szCs w:val="32"/>
        </w:rPr>
        <w:t>**%</w:t>
      </w:r>
      <w:r>
        <w:rPr>
          <w:rStyle w:val="23"/>
          <w:rFonts w:hint="eastAsia" w:ascii="仿宋" w:eastAsia="仿宋"/>
          <w:b w:val="0"/>
          <w:bCs/>
          <w:sz w:val="32"/>
          <w:szCs w:val="32"/>
        </w:rPr>
        <w:t>，决算数小于</w:t>
      </w:r>
      <w:r>
        <w:rPr>
          <w:rStyle w:val="23"/>
          <w:rFonts w:ascii="仿宋" w:eastAsia="仿宋"/>
          <w:b w:val="0"/>
          <w:bCs/>
          <w:sz w:val="32"/>
          <w:szCs w:val="32"/>
        </w:rPr>
        <w:t>/</w:t>
      </w:r>
      <w:r>
        <w:rPr>
          <w:rStyle w:val="23"/>
          <w:rFonts w:hint="eastAsia" w:ascii="仿宋" w:eastAsia="仿宋"/>
          <w:b w:val="0"/>
          <w:bCs/>
          <w:sz w:val="32"/>
          <w:szCs w:val="32"/>
        </w:rPr>
        <w:t>等于预算数的主要原因是…。</w:t>
      </w:r>
    </w:p>
    <w:p w14:paraId="2FCDDDCD">
      <w:pPr>
        <w:spacing w:line="600" w:lineRule="exact"/>
        <w:ind w:firstLine="643" w:firstLineChars="200"/>
        <w:rPr>
          <w:rStyle w:val="23"/>
          <w:rFonts w:ascii="仿宋" w:eastAsia="仿宋"/>
          <w:b w:val="0"/>
          <w:bCs/>
          <w:color w:val="000000"/>
          <w:sz w:val="32"/>
          <w:szCs w:val="32"/>
        </w:rPr>
      </w:pPr>
      <w:r>
        <w:rPr>
          <w:rStyle w:val="23"/>
          <w:rFonts w:ascii="仿宋" w:eastAsia="仿宋"/>
          <w:bCs/>
          <w:sz w:val="32"/>
          <w:szCs w:val="32"/>
        </w:rPr>
        <w:t>5.</w:t>
      </w:r>
      <w:r>
        <w:rPr>
          <w:rStyle w:val="23"/>
          <w:rFonts w:hint="eastAsia" w:ascii="仿宋" w:eastAsia="仿宋"/>
          <w:bCs/>
          <w:color w:val="000000"/>
          <w:sz w:val="32"/>
          <w:szCs w:val="32"/>
        </w:rPr>
        <w:t>社会保障和就业（类）行政事业单位离退休（款）机关事业单位基本养老保险缴费支出（项）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Fonts w:ascii="仿宋" w:eastAsia="仿宋"/>
          <w:color w:val="000000"/>
          <w:sz w:val="32"/>
          <w:szCs w:val="32"/>
        </w:rPr>
        <w:t>57.42</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424945F1">
      <w:pPr>
        <w:spacing w:line="600" w:lineRule="exact"/>
        <w:ind w:firstLine="643" w:firstLineChars="200"/>
        <w:rPr>
          <w:rStyle w:val="23"/>
          <w:rFonts w:ascii="仿宋" w:eastAsia="仿宋"/>
          <w:b w:val="0"/>
          <w:bCs/>
          <w:color w:val="000000"/>
          <w:sz w:val="32"/>
          <w:szCs w:val="32"/>
        </w:rPr>
      </w:pPr>
      <w:r>
        <w:rPr>
          <w:rStyle w:val="23"/>
          <w:rFonts w:ascii="仿宋" w:eastAsia="仿宋"/>
          <w:bCs/>
          <w:sz w:val="32"/>
          <w:szCs w:val="32"/>
        </w:rPr>
        <w:t>6.</w:t>
      </w:r>
      <w:r>
        <w:rPr>
          <w:rStyle w:val="23"/>
          <w:rFonts w:hint="eastAsia" w:ascii="仿宋" w:eastAsia="仿宋"/>
          <w:bCs/>
          <w:color w:val="000000"/>
          <w:sz w:val="32"/>
          <w:szCs w:val="32"/>
        </w:rPr>
        <w:t>卫生健康支出（类）行政事业单位医疗（款）行政单位医疗（项）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Fonts w:ascii="仿宋" w:eastAsia="仿宋"/>
          <w:color w:val="000000"/>
          <w:sz w:val="32"/>
          <w:szCs w:val="32"/>
        </w:rPr>
        <w:t>18.33</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74E34202">
      <w:pPr>
        <w:spacing w:line="600" w:lineRule="exact"/>
        <w:ind w:firstLine="640" w:firstLineChars="200"/>
        <w:rPr>
          <w:rStyle w:val="23"/>
          <w:rFonts w:ascii="仿宋" w:eastAsia="仿宋"/>
          <w:b w:val="0"/>
          <w:bCs/>
          <w:color w:val="000000"/>
          <w:sz w:val="32"/>
          <w:szCs w:val="32"/>
        </w:rPr>
      </w:pPr>
      <w:r>
        <w:rPr>
          <w:rStyle w:val="23"/>
          <w:rFonts w:hint="eastAsia" w:ascii="仿宋" w:eastAsia="仿宋"/>
          <w:b w:val="0"/>
          <w:bCs/>
          <w:sz w:val="32"/>
          <w:szCs w:val="32"/>
        </w:rPr>
        <w:t>7.</w:t>
      </w:r>
      <w:r>
        <w:rPr>
          <w:rStyle w:val="23"/>
          <w:rFonts w:hint="eastAsia" w:ascii="仿宋" w:eastAsia="仿宋"/>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Fonts w:ascii="仿宋" w:eastAsia="仿宋"/>
          <w:bCs/>
          <w:color w:val="000000"/>
          <w:sz w:val="32"/>
          <w:szCs w:val="32"/>
        </w:rPr>
        <w:t>28.62</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4DD28FAC">
      <w:pPr>
        <w:spacing w:line="600" w:lineRule="exact"/>
        <w:ind w:firstLine="643" w:firstLineChars="200"/>
        <w:rPr>
          <w:rStyle w:val="23"/>
          <w:rFonts w:ascii="仿宋" w:eastAsia="仿宋"/>
          <w:b w:val="0"/>
          <w:bCs/>
          <w:color w:val="000000"/>
          <w:sz w:val="32"/>
          <w:szCs w:val="32"/>
        </w:rPr>
      </w:pPr>
      <w:r>
        <w:rPr>
          <w:rStyle w:val="23"/>
          <w:rFonts w:hint="eastAsia" w:ascii="仿宋" w:eastAsia="仿宋"/>
          <w:bCs/>
          <w:color w:val="000000"/>
          <w:sz w:val="32"/>
          <w:szCs w:val="32"/>
        </w:rPr>
        <w:t>8.卫生健康支出（类）行政事业单位医疗（款）事业单位医疗（项）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Fonts w:ascii="仿宋" w:eastAsia="仿宋"/>
          <w:bCs/>
          <w:color w:val="000000"/>
          <w:sz w:val="32"/>
          <w:szCs w:val="32"/>
        </w:rPr>
        <w:t>12.40</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13519353">
      <w:pPr>
        <w:spacing w:line="600" w:lineRule="exact"/>
        <w:ind w:firstLine="643" w:firstLineChars="200"/>
        <w:rPr>
          <w:rStyle w:val="23"/>
          <w:rFonts w:ascii="仿宋" w:eastAsia="仿宋"/>
          <w:b w:val="0"/>
          <w:bCs/>
          <w:color w:val="000000"/>
          <w:sz w:val="32"/>
          <w:szCs w:val="32"/>
        </w:rPr>
      </w:pPr>
      <w:r>
        <w:rPr>
          <w:rStyle w:val="23"/>
          <w:rFonts w:hint="eastAsia" w:ascii="仿宋" w:eastAsia="仿宋"/>
          <w:bCs/>
          <w:color w:val="000000"/>
          <w:sz w:val="32"/>
          <w:szCs w:val="32"/>
        </w:rPr>
        <w:t>9.卫生健康支出（类）行政事业单位医疗（款）公务员医疗补助（项）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支出决算为4.88万元，完成预算100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73A0163C">
      <w:pPr>
        <w:spacing w:line="600" w:lineRule="exact"/>
        <w:ind w:firstLine="643" w:firstLineChars="200"/>
        <w:rPr>
          <w:rStyle w:val="23"/>
          <w:rFonts w:ascii="仿宋" w:eastAsia="仿宋"/>
          <w:b w:val="0"/>
          <w:bCs/>
          <w:color w:val="000000"/>
          <w:sz w:val="32"/>
          <w:szCs w:val="32"/>
        </w:rPr>
      </w:pPr>
      <w:r>
        <w:rPr>
          <w:rStyle w:val="23"/>
          <w:rFonts w:hint="eastAsia" w:ascii="仿宋" w:eastAsia="仿宋"/>
          <w:bCs/>
          <w:color w:val="000000"/>
          <w:sz w:val="32"/>
          <w:szCs w:val="32"/>
        </w:rPr>
        <w:t>10.农林水支出（类）农业农村（款）</w:t>
      </w:r>
      <w:r>
        <w:rPr>
          <w:rFonts w:ascii="仿宋" w:eastAsia="仿宋"/>
          <w:b/>
          <w:bCs/>
          <w:color w:val="000000"/>
          <w:sz w:val="32"/>
          <w:szCs w:val="32"/>
        </w:rPr>
        <w:t>巩固脱贫攻坚成果衔接乡村振兴</w:t>
      </w:r>
      <w:r>
        <w:rPr>
          <w:rStyle w:val="23"/>
          <w:rFonts w:hint="eastAsia" w:ascii="仿宋" w:eastAsia="仿宋"/>
          <w:bCs/>
          <w:color w:val="000000"/>
          <w:sz w:val="32"/>
          <w:szCs w:val="32"/>
        </w:rPr>
        <w:t>（项）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Fonts w:ascii="仿宋" w:eastAsia="仿宋"/>
          <w:color w:val="000000"/>
          <w:sz w:val="32"/>
          <w:szCs w:val="32"/>
        </w:rPr>
        <w:t>97.19</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0F96278D">
      <w:pPr>
        <w:spacing w:line="600" w:lineRule="exact"/>
        <w:ind w:firstLine="643" w:firstLineChars="200"/>
        <w:rPr>
          <w:rStyle w:val="23"/>
          <w:rFonts w:ascii="仿宋" w:eastAsia="仿宋"/>
          <w:b w:val="0"/>
          <w:bCs/>
          <w:color w:val="000000"/>
          <w:sz w:val="32"/>
          <w:szCs w:val="32"/>
        </w:rPr>
      </w:pPr>
      <w:r>
        <w:rPr>
          <w:rStyle w:val="23"/>
          <w:rFonts w:hint="eastAsia" w:ascii="仿宋" w:eastAsia="仿宋"/>
          <w:bCs/>
          <w:color w:val="000000"/>
          <w:sz w:val="32"/>
          <w:szCs w:val="32"/>
        </w:rPr>
        <w:t>11.农林水支出（类）农业农村（款）事业运行（项）：</w:t>
      </w:r>
      <w:r>
        <w:rPr>
          <w:rStyle w:val="23"/>
          <w:rFonts w:hint="eastAsia" w:ascii="仿宋" w:eastAsia="仿宋"/>
          <w:b w:val="0"/>
          <w:bCs/>
          <w:color w:val="000000"/>
          <w:sz w:val="32"/>
          <w:szCs w:val="32"/>
        </w:rPr>
        <w:t>支出决算为</w:t>
      </w:r>
      <w:r>
        <w:rPr>
          <w:rFonts w:ascii="仿宋" w:eastAsia="仿宋"/>
          <w:bCs/>
          <w:color w:val="000000"/>
          <w:sz w:val="32"/>
          <w:szCs w:val="32"/>
        </w:rPr>
        <w:t>188.01</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0BF85137">
      <w:pPr>
        <w:spacing w:line="600" w:lineRule="exact"/>
        <w:ind w:firstLine="643" w:firstLineChars="200"/>
        <w:rPr>
          <w:rStyle w:val="23"/>
          <w:rFonts w:ascii="仿宋" w:eastAsia="仿宋"/>
          <w:b w:val="0"/>
          <w:bCs/>
          <w:color w:val="000000"/>
          <w:sz w:val="32"/>
          <w:szCs w:val="32"/>
        </w:rPr>
      </w:pPr>
      <w:r>
        <w:rPr>
          <w:rStyle w:val="23"/>
          <w:rFonts w:hint="eastAsia" w:ascii="仿宋" w:eastAsia="仿宋"/>
          <w:bCs/>
          <w:color w:val="000000"/>
          <w:sz w:val="32"/>
          <w:szCs w:val="32"/>
        </w:rPr>
        <w:t>12.农林水支出（类）农村综合改革（款）对村民委员会和党支部补助（项）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Fonts w:ascii="仿宋" w:eastAsia="仿宋"/>
          <w:bCs/>
          <w:color w:val="000000"/>
          <w:sz w:val="32"/>
          <w:szCs w:val="32"/>
        </w:rPr>
        <w:t>89.53</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08B3D68D">
      <w:pPr>
        <w:spacing w:line="600" w:lineRule="exact"/>
        <w:ind w:firstLine="643" w:firstLineChars="200"/>
        <w:rPr>
          <w:rStyle w:val="23"/>
          <w:rFonts w:ascii="仿宋" w:eastAsia="仿宋"/>
          <w:b w:val="0"/>
          <w:bCs/>
          <w:color w:val="000000"/>
          <w:sz w:val="32"/>
          <w:szCs w:val="32"/>
        </w:rPr>
      </w:pPr>
      <w:r>
        <w:rPr>
          <w:rStyle w:val="23"/>
          <w:rFonts w:hint="eastAsia" w:ascii="仿宋" w:eastAsia="仿宋"/>
          <w:bCs/>
          <w:color w:val="000000"/>
          <w:sz w:val="32"/>
          <w:szCs w:val="32"/>
        </w:rPr>
        <w:t>13.住房保障（类）住房改革支出（款）住房公积金（项）：</w:t>
      </w:r>
      <w:r>
        <w:rPr>
          <w:rStyle w:val="23"/>
          <w:rFonts w:hint="eastAsia" w:ascii="仿宋" w:eastAsia="仿宋"/>
          <w:b w:val="0"/>
          <w:bCs/>
          <w:color w:val="000000"/>
          <w:sz w:val="32"/>
          <w:szCs w:val="32"/>
        </w:rPr>
        <w:t>支出决算为50.26万元，完成预算100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 w:eastAsia="仿宋"/>
          <w:b/>
          <w:sz w:val="32"/>
          <w:szCs w:val="32"/>
        </w:rPr>
        <w:t>与预算数持平。</w:t>
      </w:r>
    </w:p>
    <w:p w14:paraId="716DF09C">
      <w:pPr>
        <w:tabs>
          <w:tab w:val="right" w:pos="8306"/>
        </w:tabs>
        <w:spacing w:line="600" w:lineRule="exact"/>
        <w:ind w:firstLine="640" w:firstLineChars="200"/>
        <w:outlineLvl w:val="0"/>
        <w:rPr>
          <w:rStyle w:val="38"/>
        </w:rPr>
      </w:pPr>
      <w:bookmarkStart w:id="66" w:name="_Toc22433"/>
      <w:bookmarkStart w:id="67" w:name="_Toc28777"/>
      <w:bookmarkStart w:id="68" w:name="_Toc15396608"/>
      <w:bookmarkStart w:id="69" w:name="_Toc15377214"/>
      <w:r>
        <w:rPr>
          <w:rFonts w:hint="eastAsia" w:ascii="黑体" w:eastAsia="黑体"/>
          <w:sz w:val="32"/>
          <w:szCs w:val="32"/>
        </w:rPr>
        <w:t>六</w:t>
      </w:r>
      <w:r>
        <w:rPr>
          <w:rFonts w:hint="eastAsia" w:ascii="黑体" w:eastAsia="黑体"/>
          <w:b/>
          <w:sz w:val="32"/>
          <w:szCs w:val="32"/>
        </w:rPr>
        <w:t>、一</w:t>
      </w:r>
      <w:r>
        <w:rPr>
          <w:rStyle w:val="38"/>
          <w:rFonts w:hint="eastAsia" w:ascii="黑体" w:eastAsia="黑体"/>
          <w:b w:val="0"/>
        </w:rPr>
        <w:t>般公共预算财政拨款基本支出决算情况说明</w:t>
      </w:r>
      <w:bookmarkEnd w:id="66"/>
      <w:bookmarkEnd w:id="67"/>
      <w:bookmarkEnd w:id="68"/>
      <w:bookmarkEnd w:id="69"/>
      <w:r>
        <w:rPr>
          <w:rStyle w:val="38"/>
          <w:rFonts w:ascii="黑体" w:eastAsia="黑体"/>
          <w:b w:val="0"/>
        </w:rPr>
        <w:tab/>
      </w:r>
    </w:p>
    <w:p w14:paraId="68A6F27A">
      <w:pPr>
        <w:spacing w:line="600" w:lineRule="exact"/>
        <w:ind w:firstLine="645"/>
        <w:rPr>
          <w:rFonts w:ascii="仿宋" w:eastAsia="仿宋"/>
          <w:sz w:val="32"/>
          <w:szCs w:val="32"/>
        </w:rPr>
      </w:pPr>
      <w:r>
        <w:rPr>
          <w:rFonts w:hint="eastAsia" w:ascii="仿宋" w:eastAsia="仿宋"/>
          <w:sz w:val="32"/>
          <w:szCs w:val="32"/>
        </w:rPr>
        <w:t>2024年度一般公共预算财政拨款基本支出</w:t>
      </w:r>
      <w:r>
        <w:rPr>
          <w:rFonts w:hint="eastAsia" w:ascii="仿宋_GB2312" w:hAnsi="仿宋_GB2312" w:eastAsia="仿宋_GB2312" w:cs="仿宋_GB2312"/>
          <w:sz w:val="32"/>
          <w:szCs w:val="32"/>
        </w:rPr>
        <w:t>717.65</w:t>
      </w:r>
      <w:r>
        <w:rPr>
          <w:rFonts w:hint="eastAsia" w:ascii="仿宋" w:eastAsia="仿宋"/>
          <w:sz w:val="32"/>
          <w:szCs w:val="32"/>
        </w:rPr>
        <w:t>万元，其中：</w:t>
      </w:r>
    </w:p>
    <w:p w14:paraId="03C92FD5">
      <w:pPr>
        <w:spacing w:line="600" w:lineRule="exact"/>
        <w:ind w:firstLine="645"/>
        <w:rPr>
          <w:rFonts w:ascii="仿宋" w:eastAsia="仿宋"/>
          <w:sz w:val="32"/>
          <w:szCs w:val="32"/>
        </w:rPr>
      </w:pPr>
      <w:r>
        <w:rPr>
          <w:rFonts w:hint="eastAsia" w:ascii="仿宋" w:eastAsia="仿宋"/>
          <w:sz w:val="32"/>
          <w:szCs w:val="32"/>
        </w:rPr>
        <w:t>人员经费</w:t>
      </w:r>
      <w:r>
        <w:rPr>
          <w:sz w:val="32"/>
          <w:szCs w:val="32"/>
        </w:rPr>
        <w:t>691.81</w:t>
      </w:r>
      <w:r>
        <w:rPr>
          <w:rFonts w:hint="eastAsia" w:ascii="仿宋" w:eastAsia="仿宋"/>
          <w:sz w:val="32"/>
          <w:szCs w:val="32"/>
        </w:rPr>
        <w:t>万元，主要包括：</w:t>
      </w:r>
      <w:r>
        <w:rPr>
          <w:rFonts w:hint="eastAsia" w:ascii="仿宋" w:eastAsia="仿宋"/>
          <w:color w:val="000000"/>
          <w:sz w:val="32"/>
          <w:szCs w:val="32"/>
        </w:rPr>
        <w:t>基本工资</w:t>
      </w:r>
      <w:r>
        <w:rPr>
          <w:rFonts w:ascii="仿宋" w:eastAsia="仿宋"/>
          <w:color w:val="000000"/>
          <w:sz w:val="32"/>
          <w:szCs w:val="32"/>
        </w:rPr>
        <w:t>112.96</w:t>
      </w:r>
      <w:r>
        <w:rPr>
          <w:rFonts w:hint="eastAsia" w:ascii="仿宋" w:eastAsia="仿宋"/>
          <w:color w:val="000000"/>
          <w:sz w:val="32"/>
          <w:szCs w:val="32"/>
        </w:rPr>
        <w:t>万元、津贴补贴</w:t>
      </w:r>
      <w:r>
        <w:rPr>
          <w:rFonts w:ascii="仿宋" w:eastAsia="仿宋"/>
          <w:color w:val="000000"/>
          <w:sz w:val="32"/>
          <w:szCs w:val="32"/>
        </w:rPr>
        <w:t>143.33</w:t>
      </w:r>
      <w:r>
        <w:rPr>
          <w:rFonts w:hint="eastAsia" w:ascii="仿宋" w:eastAsia="仿宋"/>
          <w:color w:val="000000"/>
          <w:sz w:val="32"/>
          <w:szCs w:val="32"/>
        </w:rPr>
        <w:t>万元、奖金</w:t>
      </w:r>
      <w:r>
        <w:rPr>
          <w:rFonts w:ascii="仿宋" w:eastAsia="仿宋"/>
          <w:color w:val="000000"/>
          <w:sz w:val="32"/>
          <w:szCs w:val="32"/>
        </w:rPr>
        <w:t>156.26</w:t>
      </w:r>
      <w:r>
        <w:rPr>
          <w:rFonts w:hint="eastAsia" w:ascii="仿宋" w:eastAsia="仿宋"/>
          <w:color w:val="000000"/>
          <w:sz w:val="32"/>
          <w:szCs w:val="32"/>
        </w:rPr>
        <w:t>万元，绩效</w:t>
      </w:r>
      <w:r>
        <w:rPr>
          <w:rFonts w:ascii="仿宋" w:eastAsia="仿宋"/>
          <w:color w:val="000000"/>
          <w:sz w:val="32"/>
          <w:szCs w:val="32"/>
        </w:rPr>
        <w:t>29.29</w:t>
      </w:r>
      <w:r>
        <w:rPr>
          <w:rFonts w:hint="eastAsia" w:ascii="仿宋" w:eastAsia="仿宋"/>
          <w:color w:val="000000"/>
          <w:sz w:val="32"/>
          <w:szCs w:val="32"/>
        </w:rPr>
        <w:t>万元，其他社会保险缴费</w:t>
      </w:r>
      <w:r>
        <w:rPr>
          <w:rFonts w:ascii="仿宋" w:eastAsia="仿宋"/>
          <w:color w:val="000000"/>
          <w:sz w:val="32"/>
          <w:szCs w:val="32"/>
        </w:rPr>
        <w:t>9.85</w:t>
      </w:r>
      <w:r>
        <w:rPr>
          <w:rFonts w:hint="eastAsia" w:ascii="仿宋" w:eastAsia="仿宋"/>
          <w:color w:val="000000"/>
          <w:sz w:val="32"/>
          <w:szCs w:val="32"/>
        </w:rPr>
        <w:t>万元，机关事业单位基本养老保险缴费</w:t>
      </w:r>
      <w:r>
        <w:rPr>
          <w:rFonts w:ascii="仿宋" w:eastAsia="仿宋"/>
          <w:color w:val="000000"/>
          <w:sz w:val="32"/>
          <w:szCs w:val="32"/>
        </w:rPr>
        <w:t>57.42</w:t>
      </w:r>
      <w:r>
        <w:rPr>
          <w:rFonts w:hint="eastAsia" w:ascii="仿宋" w:eastAsia="仿宋"/>
          <w:color w:val="000000"/>
          <w:sz w:val="32"/>
          <w:szCs w:val="32"/>
        </w:rPr>
        <w:t>万元、职业年金缴费</w:t>
      </w:r>
      <w:r>
        <w:rPr>
          <w:rFonts w:ascii="仿宋" w:eastAsia="仿宋"/>
          <w:color w:val="000000"/>
          <w:sz w:val="32"/>
          <w:szCs w:val="32"/>
        </w:rPr>
        <w:t>28.62</w:t>
      </w:r>
      <w:r>
        <w:rPr>
          <w:rFonts w:hint="eastAsia" w:ascii="仿宋" w:eastAsia="仿宋"/>
          <w:color w:val="000000"/>
          <w:sz w:val="32"/>
          <w:szCs w:val="32"/>
        </w:rPr>
        <w:t>万元、职工基本医疗保险缴费</w:t>
      </w:r>
      <w:r>
        <w:rPr>
          <w:rFonts w:ascii="仿宋" w:eastAsia="仿宋"/>
          <w:color w:val="000000"/>
          <w:sz w:val="32"/>
          <w:szCs w:val="32"/>
        </w:rPr>
        <w:t>30.72</w:t>
      </w:r>
      <w:r>
        <w:rPr>
          <w:rFonts w:hint="eastAsia" w:ascii="仿宋" w:eastAsia="仿宋"/>
          <w:color w:val="000000"/>
          <w:sz w:val="32"/>
          <w:szCs w:val="32"/>
        </w:rPr>
        <w:t>万元、公务员医疗补助缴费</w:t>
      </w:r>
      <w:r>
        <w:rPr>
          <w:rFonts w:ascii="仿宋" w:eastAsia="仿宋"/>
          <w:color w:val="000000"/>
          <w:sz w:val="32"/>
          <w:szCs w:val="32"/>
        </w:rPr>
        <w:t>4.88</w:t>
      </w:r>
      <w:r>
        <w:rPr>
          <w:rFonts w:hint="eastAsia" w:ascii="仿宋" w:eastAsia="仿宋"/>
          <w:color w:val="000000"/>
          <w:sz w:val="32"/>
          <w:szCs w:val="32"/>
        </w:rPr>
        <w:t>万元、住房公积金</w:t>
      </w:r>
      <w:r>
        <w:rPr>
          <w:rFonts w:ascii="仿宋" w:eastAsia="仿宋"/>
          <w:color w:val="000000"/>
          <w:sz w:val="32"/>
          <w:szCs w:val="32"/>
        </w:rPr>
        <w:t>50.26</w:t>
      </w:r>
      <w:r>
        <w:rPr>
          <w:rFonts w:hint="eastAsia" w:ascii="仿宋" w:eastAsia="仿宋"/>
          <w:color w:val="000000"/>
          <w:sz w:val="32"/>
          <w:szCs w:val="32"/>
        </w:rPr>
        <w:t>万元、生活补助</w:t>
      </w:r>
      <w:r>
        <w:rPr>
          <w:rFonts w:ascii="仿宋" w:eastAsia="仿宋"/>
          <w:color w:val="000000"/>
          <w:sz w:val="32"/>
          <w:szCs w:val="32"/>
        </w:rPr>
        <w:t>68.21</w:t>
      </w:r>
      <w:r>
        <w:rPr>
          <w:rFonts w:hint="eastAsia" w:ascii="仿宋" w:eastAsia="仿宋"/>
          <w:color w:val="000000"/>
          <w:sz w:val="32"/>
          <w:szCs w:val="32"/>
        </w:rPr>
        <w:t>万元</w:t>
      </w:r>
      <w:r>
        <w:rPr>
          <w:rFonts w:hint="eastAsia" w:ascii="仿宋" w:eastAsia="仿宋"/>
          <w:sz w:val="32"/>
          <w:szCs w:val="32"/>
        </w:rPr>
        <w:t>。</w:t>
      </w:r>
    </w:p>
    <w:p w14:paraId="2FF317D8">
      <w:pPr>
        <w:spacing w:line="600" w:lineRule="exact"/>
        <w:ind w:firstLine="645"/>
        <w:rPr>
          <w:rFonts w:ascii="仿宋" w:eastAsia="仿宋"/>
          <w:sz w:val="32"/>
          <w:szCs w:val="32"/>
        </w:rPr>
      </w:pPr>
      <w:r>
        <w:rPr>
          <w:rFonts w:hint="eastAsia" w:ascii="仿宋" w:eastAsia="仿宋"/>
          <w:sz w:val="32"/>
          <w:szCs w:val="32"/>
        </w:rPr>
        <w:t>　　公用经费</w:t>
      </w:r>
      <w:r>
        <w:rPr>
          <w:sz w:val="32"/>
          <w:szCs w:val="32"/>
        </w:rPr>
        <w:t>25.84</w:t>
      </w:r>
      <w:r>
        <w:rPr>
          <w:rFonts w:hint="eastAsia" w:ascii="仿宋" w:eastAsia="仿宋"/>
          <w:sz w:val="32"/>
          <w:szCs w:val="32"/>
        </w:rPr>
        <w:t>万元，主要包括：</w:t>
      </w:r>
      <w:r>
        <w:rPr>
          <w:rFonts w:hint="eastAsia" w:ascii="仿宋" w:eastAsia="仿宋"/>
          <w:color w:val="000000"/>
          <w:sz w:val="32"/>
          <w:szCs w:val="32"/>
        </w:rPr>
        <w:t>办公费</w:t>
      </w:r>
      <w:r>
        <w:rPr>
          <w:rFonts w:ascii="仿宋" w:eastAsia="仿宋"/>
          <w:color w:val="000000"/>
          <w:sz w:val="32"/>
          <w:szCs w:val="32"/>
        </w:rPr>
        <w:t>3.30</w:t>
      </w:r>
      <w:r>
        <w:rPr>
          <w:rFonts w:hint="eastAsia" w:ascii="仿宋" w:eastAsia="仿宋"/>
          <w:color w:val="000000"/>
          <w:sz w:val="32"/>
          <w:szCs w:val="32"/>
        </w:rPr>
        <w:t>万元，印刷费</w:t>
      </w:r>
      <w:r>
        <w:rPr>
          <w:rFonts w:ascii="仿宋" w:eastAsia="仿宋"/>
          <w:color w:val="000000"/>
          <w:sz w:val="32"/>
          <w:szCs w:val="32"/>
        </w:rPr>
        <w:t>2.68</w:t>
      </w:r>
      <w:r>
        <w:rPr>
          <w:rFonts w:hint="eastAsia" w:ascii="仿宋" w:eastAsia="仿宋"/>
          <w:color w:val="000000"/>
          <w:sz w:val="32"/>
          <w:szCs w:val="32"/>
        </w:rPr>
        <w:t>万元，电费</w:t>
      </w:r>
      <w:r>
        <w:rPr>
          <w:rFonts w:ascii="仿宋" w:eastAsia="仿宋"/>
          <w:color w:val="000000"/>
          <w:sz w:val="32"/>
          <w:szCs w:val="32"/>
        </w:rPr>
        <w:t>3.00</w:t>
      </w:r>
      <w:r>
        <w:rPr>
          <w:rFonts w:hint="eastAsia" w:ascii="仿宋" w:eastAsia="仿宋"/>
          <w:color w:val="000000"/>
          <w:sz w:val="32"/>
          <w:szCs w:val="32"/>
        </w:rPr>
        <w:t>万元，邮电费</w:t>
      </w:r>
      <w:r>
        <w:rPr>
          <w:rFonts w:ascii="仿宋" w:eastAsia="仿宋"/>
          <w:color w:val="000000"/>
          <w:sz w:val="32"/>
          <w:szCs w:val="32"/>
        </w:rPr>
        <w:t>3.00</w:t>
      </w:r>
      <w:r>
        <w:rPr>
          <w:rFonts w:hint="eastAsia" w:ascii="仿宋" w:eastAsia="仿宋"/>
          <w:color w:val="000000"/>
          <w:sz w:val="32"/>
          <w:szCs w:val="32"/>
        </w:rPr>
        <w:t>万元，差旅费3.26万元，劳务费</w:t>
      </w:r>
      <w:r>
        <w:rPr>
          <w:rFonts w:ascii="仿宋" w:eastAsia="仿宋"/>
          <w:color w:val="000000"/>
          <w:sz w:val="32"/>
          <w:szCs w:val="32"/>
        </w:rPr>
        <w:t>4.80</w:t>
      </w:r>
      <w:r>
        <w:rPr>
          <w:rFonts w:hint="eastAsia" w:ascii="仿宋" w:eastAsia="仿宋"/>
          <w:color w:val="000000"/>
          <w:sz w:val="32"/>
          <w:szCs w:val="32"/>
        </w:rPr>
        <w:t>万元，公务用车运行维护费</w:t>
      </w:r>
      <w:r>
        <w:rPr>
          <w:rFonts w:ascii="仿宋" w:eastAsia="仿宋"/>
          <w:color w:val="000000"/>
          <w:sz w:val="32"/>
          <w:szCs w:val="32"/>
        </w:rPr>
        <w:t>5.80</w:t>
      </w:r>
      <w:r>
        <w:rPr>
          <w:rFonts w:hint="eastAsia" w:ascii="仿宋" w:eastAsia="仿宋"/>
          <w:color w:val="000000"/>
          <w:sz w:val="32"/>
          <w:szCs w:val="32"/>
        </w:rPr>
        <w:t>万元</w:t>
      </w:r>
      <w:r>
        <w:rPr>
          <w:rFonts w:hint="eastAsia" w:ascii="仿宋" w:eastAsia="仿宋"/>
          <w:sz w:val="32"/>
          <w:szCs w:val="32"/>
        </w:rPr>
        <w:t>。</w:t>
      </w:r>
      <w:bookmarkStart w:id="70" w:name="_Toc15396609"/>
      <w:bookmarkStart w:id="71" w:name="_Toc15377215"/>
    </w:p>
    <w:p w14:paraId="2E721C23">
      <w:pPr>
        <w:spacing w:line="600" w:lineRule="exact"/>
        <w:ind w:firstLine="645" w:firstLineChars="0"/>
        <w:outlineLvl w:val="0"/>
        <w:rPr>
          <w:rStyle w:val="38"/>
          <w:rFonts w:ascii="黑体" w:eastAsia="黑体"/>
          <w:b w:val="0"/>
        </w:rPr>
      </w:pPr>
      <w:bookmarkStart w:id="72" w:name="_Toc22384"/>
      <w:bookmarkStart w:id="73" w:name="_Toc2071"/>
      <w:r>
        <w:rPr>
          <w:rFonts w:hint="eastAsia" w:ascii="黑体" w:eastAsia="黑体"/>
          <w:sz w:val="32"/>
          <w:szCs w:val="32"/>
        </w:rPr>
        <w:t>七、</w:t>
      </w:r>
      <w:r>
        <w:rPr>
          <w:rStyle w:val="38"/>
          <w:rFonts w:hint="eastAsia" w:ascii="黑体" w:eastAsia="黑体"/>
          <w:b w:val="0"/>
        </w:rPr>
        <w:t>财政拨款</w:t>
      </w:r>
      <w:r>
        <w:rPr>
          <w:rStyle w:val="38"/>
          <w:rFonts w:hint="eastAsia" w:ascii="黑体" w:eastAsia="黑体"/>
        </w:rPr>
        <w:t>“</w:t>
      </w:r>
      <w:r>
        <w:rPr>
          <w:rStyle w:val="38"/>
          <w:rFonts w:hint="eastAsia" w:ascii="黑体" w:eastAsia="黑体"/>
          <w:b w:val="0"/>
        </w:rPr>
        <w:t>三公”经费支出决算情况说明</w:t>
      </w:r>
      <w:bookmarkEnd w:id="70"/>
      <w:bookmarkEnd w:id="71"/>
      <w:bookmarkEnd w:id="72"/>
      <w:bookmarkEnd w:id="73"/>
    </w:p>
    <w:p w14:paraId="0B8AB942">
      <w:pPr>
        <w:spacing w:line="600" w:lineRule="exact"/>
        <w:ind w:firstLine="640" w:firstLineChars="0"/>
        <w:outlineLvl w:val="1"/>
        <w:rPr>
          <w:rFonts w:ascii="仿宋" w:eastAsia="仿宋"/>
          <w:b/>
          <w:sz w:val="32"/>
          <w:szCs w:val="32"/>
        </w:rPr>
      </w:pPr>
      <w:bookmarkStart w:id="74" w:name="_Toc25821"/>
      <w:bookmarkStart w:id="75" w:name="_Toc15377216"/>
      <w:bookmarkStart w:id="76" w:name="_Toc4984"/>
      <w:r>
        <w:rPr>
          <w:rFonts w:hint="eastAsia" w:ascii="仿宋" w:eastAsia="仿宋"/>
          <w:b/>
          <w:sz w:val="32"/>
          <w:szCs w:val="32"/>
        </w:rPr>
        <w:t>（一）“三公”经费财政拨款支出决算总体情况说明</w:t>
      </w:r>
      <w:bookmarkEnd w:id="74"/>
      <w:bookmarkEnd w:id="75"/>
      <w:bookmarkEnd w:id="76"/>
    </w:p>
    <w:p w14:paraId="0FC42E5E">
      <w:pPr>
        <w:spacing w:line="600" w:lineRule="exact"/>
        <w:ind w:firstLine="640"/>
        <w:rPr>
          <w:rFonts w:ascii="仿宋" w:eastAsia="仿宋"/>
          <w:sz w:val="32"/>
          <w:szCs w:val="32"/>
        </w:rPr>
      </w:pPr>
      <w:r>
        <w:rPr>
          <w:rFonts w:hint="eastAsia" w:ascii="仿宋" w:eastAsia="仿宋"/>
          <w:sz w:val="32"/>
          <w:szCs w:val="32"/>
        </w:rPr>
        <w:t>2024年度“三公”经费财政拨款支出决算为</w:t>
      </w:r>
      <w:r>
        <w:rPr>
          <w:sz w:val="32"/>
          <w:szCs w:val="32"/>
        </w:rPr>
        <w:t>5.80</w:t>
      </w:r>
      <w:r>
        <w:rPr>
          <w:rFonts w:hint="eastAsia" w:ascii="仿宋" w:eastAsia="仿宋"/>
          <w:sz w:val="32"/>
          <w:szCs w:val="32"/>
        </w:rPr>
        <w:t>万元，完成预算</w:t>
      </w:r>
      <w:r>
        <w:rPr>
          <w:sz w:val="32"/>
          <w:szCs w:val="32"/>
        </w:rPr>
        <w:t>100</w:t>
      </w:r>
      <w:r>
        <w:rPr>
          <w:rFonts w:ascii="仿宋" w:eastAsia="仿宋"/>
          <w:sz w:val="32"/>
          <w:szCs w:val="32"/>
        </w:rPr>
        <w:t>%</w:t>
      </w:r>
      <w:r>
        <w:rPr>
          <w:rFonts w:hint="eastAsia" w:ascii="仿宋" w:eastAsia="仿宋"/>
          <w:sz w:val="32"/>
          <w:szCs w:val="32"/>
        </w:rPr>
        <w:t>，较上年度增加/减少0万元，增长/下降0%。决算数与预算数持平。</w:t>
      </w:r>
    </w:p>
    <w:p w14:paraId="258F1305">
      <w:pPr>
        <w:spacing w:line="600" w:lineRule="exact"/>
        <w:ind w:firstLine="640" w:firstLineChars="0"/>
        <w:outlineLvl w:val="1"/>
        <w:rPr>
          <w:rFonts w:ascii="仿宋" w:eastAsia="仿宋"/>
          <w:b/>
          <w:sz w:val="32"/>
          <w:szCs w:val="32"/>
        </w:rPr>
      </w:pPr>
      <w:bookmarkStart w:id="77" w:name="_Toc16772"/>
      <w:bookmarkStart w:id="78" w:name="_Toc15377217"/>
      <w:bookmarkStart w:id="79" w:name="_Toc25534"/>
      <w:r>
        <w:rPr>
          <w:rFonts w:hint="eastAsia" w:ascii="仿宋" w:eastAsia="仿宋"/>
          <w:b/>
          <w:sz w:val="32"/>
          <w:szCs w:val="32"/>
        </w:rPr>
        <w:t>（二）“三公”经费财政拨款支出决算具体情况说明</w:t>
      </w:r>
      <w:bookmarkEnd w:id="77"/>
      <w:bookmarkEnd w:id="78"/>
      <w:bookmarkEnd w:id="79"/>
    </w:p>
    <w:p w14:paraId="6D217F25">
      <w:pPr>
        <w:spacing w:line="600" w:lineRule="exact"/>
        <w:ind w:firstLine="640"/>
        <w:rPr>
          <w:rFonts w:ascii="仿宋" w:eastAsia="仿宋"/>
          <w:sz w:val="32"/>
          <w:szCs w:val="32"/>
        </w:rPr>
      </w:pPr>
      <w:r>
        <w:rPr>
          <w:rFonts w:hint="eastAsia" w:ascii="仿宋" w:eastAsia="仿宋"/>
          <w:sz w:val="32"/>
          <w:szCs w:val="32"/>
        </w:rPr>
        <w:t>2024年度“三公”经费财政拨款支出决算中，因公出国（境）费支出决算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；公务用车购置及运行维护费支出决算</w:t>
      </w:r>
      <w:r>
        <w:rPr>
          <w:sz w:val="32"/>
          <w:szCs w:val="32"/>
        </w:rPr>
        <w:t>5.80</w:t>
      </w:r>
      <w:r>
        <w:rPr>
          <w:rFonts w:hint="eastAsia" w:ascii="仿宋" w:eastAsia="仿宋"/>
          <w:sz w:val="32"/>
          <w:szCs w:val="32"/>
        </w:rPr>
        <w:t>万元，占</w:t>
      </w:r>
      <w:r>
        <w:rPr>
          <w:sz w:val="32"/>
          <w:szCs w:val="32"/>
        </w:rPr>
        <w:t>100</w:t>
      </w:r>
      <w:r>
        <w:rPr>
          <w:rFonts w:ascii="仿宋" w:eastAsia="仿宋"/>
          <w:sz w:val="32"/>
          <w:szCs w:val="32"/>
        </w:rPr>
        <w:t>%</w:t>
      </w:r>
      <w:r>
        <w:rPr>
          <w:rFonts w:hint="eastAsia" w:ascii="仿宋" w:eastAsia="仿宋"/>
          <w:sz w:val="32"/>
          <w:szCs w:val="32"/>
        </w:rPr>
        <w:t>；公务接待费支出决算</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。具体情况如下：</w:t>
      </w:r>
    </w:p>
    <w:p w14:paraId="7041DB93">
      <w:pPr>
        <w:spacing w:line="600" w:lineRule="exact"/>
        <w:ind w:firstLine="640"/>
        <w:rPr>
          <w:rFonts w:ascii="仿宋" w:eastAsia="仿宋"/>
          <w:sz w:val="32"/>
          <w:szCs w:val="32"/>
        </w:rPr>
      </w:pPr>
      <w:r>
        <w:rPr>
          <w:rFonts w:hint="eastAsia" w:ascii="仿宋" w:eastAsia="仿宋"/>
          <w:sz w:val="32"/>
          <w:szCs w:val="32"/>
        </w:rPr>
        <w:t>（图7：“三公”经费财政拨款支出结构）（饼状图）</w:t>
      </w:r>
    </w:p>
    <w:p w14:paraId="2C3DEFF6">
      <w:pPr>
        <w:spacing w:line="600" w:lineRule="exact"/>
        <w:ind w:firstLine="640"/>
        <w:rPr>
          <w:rFonts w:ascii="仿宋" w:eastAsia="仿宋"/>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377190</wp:posOffset>
            </wp:positionH>
            <wp:positionV relativeFrom="paragraph">
              <wp:posOffset>49530</wp:posOffset>
            </wp:positionV>
            <wp:extent cx="4309110" cy="2223135"/>
            <wp:effectExtent l="4445" t="4445" r="10795" b="20320"/>
            <wp:wrapTopAndBottom/>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6AA63807">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3"/>
          <w:rFonts w:hint="eastAsia" w:ascii="仿宋" w:eastAsia="仿宋"/>
          <w:b w:val="0"/>
          <w:bCs/>
          <w:sz w:val="32"/>
          <w:szCs w:val="32"/>
        </w:rPr>
        <w:t>完成预算</w:t>
      </w:r>
      <w:r>
        <w:rPr>
          <w:sz w:val="32"/>
          <w:szCs w:val="32"/>
        </w:rPr>
        <w:t>0</w:t>
      </w:r>
      <w:r>
        <w:rPr>
          <w:rStyle w:val="23"/>
          <w:rFonts w:ascii="仿宋" w:eastAsia="仿宋"/>
          <w:b w:val="0"/>
          <w:bCs/>
          <w:sz w:val="32"/>
          <w:szCs w:val="32"/>
        </w:rPr>
        <w:t>%</w:t>
      </w:r>
      <w:r>
        <w:rPr>
          <w:rStyle w:val="23"/>
          <w:rFonts w:hint="eastAsia" w:asci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人。因公出国（境）支出决算比2023年增加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olor w:val="000000"/>
          <w:sz w:val="32"/>
          <w:szCs w:val="32"/>
        </w:rPr>
        <w:t>支出决算与</w:t>
      </w:r>
      <w:r>
        <w:rPr>
          <w:rFonts w:ascii="仿宋_GB2312" w:eastAsia="仿宋_GB2312"/>
          <w:color w:val="000000"/>
          <w:sz w:val="32"/>
          <w:szCs w:val="32"/>
        </w:rPr>
        <w:t>2023</w:t>
      </w:r>
      <w:r>
        <w:rPr>
          <w:rFonts w:hint="eastAsia" w:ascii="仿宋_GB2312" w:eastAsia="仿宋_GB2312"/>
          <w:color w:val="000000"/>
          <w:sz w:val="32"/>
          <w:szCs w:val="32"/>
        </w:rPr>
        <w:t>年</w:t>
      </w:r>
      <w:r>
        <w:rPr>
          <w:rFonts w:hint="eastAsia" w:ascii="仿宋_GB2312" w:eastAsia="仿宋_GB2312" w:cs="仿宋"/>
          <w:color w:val="000000"/>
          <w:sz w:val="32"/>
          <w:szCs w:val="32"/>
        </w:rPr>
        <w:t>持平</w:t>
      </w:r>
      <w:r>
        <w:rPr>
          <w:rFonts w:hint="eastAsia" w:ascii="仿宋_GB2312" w:eastAsia="仿宋_GB2312"/>
          <w:sz w:val="32"/>
          <w:szCs w:val="32"/>
        </w:rPr>
        <w:t>。</w:t>
      </w:r>
    </w:p>
    <w:p w14:paraId="2B1D07BD">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5.80</w:t>
      </w:r>
      <w:r>
        <w:rPr>
          <w:rFonts w:hint="eastAsia" w:ascii="仿宋_GB2312" w:eastAsia="仿宋_GB2312"/>
          <w:sz w:val="32"/>
          <w:szCs w:val="32"/>
        </w:rPr>
        <w:t>万元,</w:t>
      </w:r>
      <w:r>
        <w:rPr>
          <w:rStyle w:val="23"/>
          <w:rFonts w:hint="eastAsia" w:ascii="仿宋" w:eastAsia="仿宋"/>
          <w:b w:val="0"/>
          <w:bCs/>
          <w:sz w:val="32"/>
          <w:szCs w:val="32"/>
        </w:rPr>
        <w:t>完成预算</w:t>
      </w:r>
      <w:r>
        <w:rPr>
          <w:sz w:val="32"/>
          <w:szCs w:val="32"/>
        </w:rPr>
        <w:t>100</w:t>
      </w:r>
      <w:r>
        <w:rPr>
          <w:rStyle w:val="23"/>
          <w:rFonts w:ascii="仿宋" w:eastAsia="仿宋"/>
          <w:b w:val="0"/>
          <w:bCs/>
          <w:sz w:val="32"/>
          <w:szCs w:val="32"/>
        </w:rPr>
        <w:t>%</w:t>
      </w:r>
      <w:r>
        <w:rPr>
          <w:rStyle w:val="23"/>
          <w:rFonts w:hint="eastAsia" w:ascii="仿宋" w:eastAsia="仿宋"/>
          <w:b w:val="0"/>
          <w:bCs/>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2023</w:t>
      </w:r>
      <w:r>
        <w:rPr>
          <w:rFonts w:hint="eastAsia" w:ascii="仿宋_GB2312" w:eastAsia="仿宋_GB2312"/>
          <w:color w:val="000000"/>
          <w:sz w:val="32"/>
          <w:szCs w:val="32"/>
        </w:rPr>
        <w:t>年</w:t>
      </w:r>
      <w:r>
        <w:rPr>
          <w:rFonts w:hint="eastAsia" w:ascii="仿宋_GB2312" w:eastAsia="仿宋_GB2312" w:cs="仿宋"/>
          <w:color w:val="000000"/>
          <w:sz w:val="32"/>
          <w:szCs w:val="32"/>
        </w:rPr>
        <w:t>持平。</w:t>
      </w:r>
    </w:p>
    <w:p w14:paraId="5EB9C335">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万元。全年按规定更新购置公务用车0辆，其中：轿车0辆、金额0万元，越野车0辆、金额0万元，载客汽车0辆、金额0万元，主要用于…。截至2024年</w:t>
      </w:r>
      <w:r>
        <w:rPr>
          <w:rFonts w:ascii="仿宋_GB2312" w:eastAsia="仿宋_GB2312"/>
          <w:sz w:val="32"/>
          <w:szCs w:val="32"/>
        </w:rPr>
        <w:t>12</w:t>
      </w:r>
      <w:r>
        <w:rPr>
          <w:rFonts w:hint="eastAsia" w:ascii="仿宋_GB2312" w:eastAsia="仿宋_GB2312"/>
          <w:sz w:val="32"/>
          <w:szCs w:val="32"/>
        </w:rPr>
        <w:t>月31日，单位共有公务用车4辆，其中：轿车1辆、越野车3辆、载客汽车0辆。</w:t>
      </w:r>
    </w:p>
    <w:p w14:paraId="1032C5B8">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5.80</w:t>
      </w:r>
      <w:r>
        <w:rPr>
          <w:rFonts w:hint="eastAsia" w:ascii="仿宋_GB2312" w:eastAsia="仿宋_GB2312"/>
          <w:sz w:val="32"/>
          <w:szCs w:val="32"/>
        </w:rPr>
        <w:t>万元。主要用于我乡开展脱贫攻坚、下村走访、安全生产等所需的公务用车燃料费、维修费、过路过桥费、保险费等支出。</w:t>
      </w:r>
    </w:p>
    <w:p w14:paraId="1901738F">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23"/>
          <w:rFonts w:hint="eastAsia" w:ascii="仿宋" w:eastAsia="仿宋"/>
          <w:b w:val="0"/>
          <w:bCs/>
          <w:sz w:val="32"/>
          <w:szCs w:val="32"/>
        </w:rPr>
        <w:t>完成预算</w:t>
      </w:r>
      <w:r>
        <w:rPr>
          <w:sz w:val="32"/>
          <w:szCs w:val="32"/>
        </w:rPr>
        <w:t>0%</w:t>
      </w:r>
      <w:r>
        <w:rPr>
          <w:rStyle w:val="23"/>
          <w:rFonts w:hint="eastAsia" w:ascii="仿宋" w:eastAsia="仿宋"/>
          <w:b w:val="0"/>
          <w:bCs/>
          <w:sz w:val="32"/>
          <w:szCs w:val="32"/>
        </w:rPr>
        <w:t>。</w:t>
      </w:r>
      <w:r>
        <w:rPr>
          <w:rFonts w:hint="eastAsia" w:ascii="仿宋_GB2312" w:eastAsia="仿宋_GB2312"/>
          <w:sz w:val="32"/>
          <w:szCs w:val="32"/>
        </w:rPr>
        <w:t>公务接待费支出决算比2023年度增加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。主要原因是……。其中：</w:t>
      </w:r>
    </w:p>
    <w:p w14:paraId="0E2E1900">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sz w:val="32"/>
          <w:szCs w:val="32"/>
        </w:rPr>
        <w:t>0</w:t>
      </w:r>
      <w:r>
        <w:rPr>
          <w:rFonts w:hint="eastAsia" w:ascii="仿宋_GB2312" w:eastAsia="仿宋_GB2312"/>
          <w:sz w:val="32"/>
          <w:szCs w:val="32"/>
        </w:rPr>
        <w:t>万元，主要用于……(执行公务、开展业务活动开支的交通费、住宿费、用餐费等)。国内公务接待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万元，具体内容包括：…（接待具体项目、金额）。</w:t>
      </w:r>
    </w:p>
    <w:p w14:paraId="238C3FF8">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sz w:val="32"/>
          <w:szCs w:val="32"/>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w:t>
      </w:r>
    </w:p>
    <w:p w14:paraId="76FB27B3">
      <w:pPr>
        <w:spacing w:line="600" w:lineRule="exact"/>
        <w:ind w:firstLine="640" w:firstLineChars="200"/>
        <w:outlineLvl w:val="0"/>
        <w:rPr>
          <w:rStyle w:val="38"/>
          <w:rFonts w:ascii="黑体" w:eastAsia="黑体"/>
        </w:rPr>
      </w:pPr>
      <w:bookmarkStart w:id="80" w:name="_Toc18576"/>
      <w:bookmarkStart w:id="81" w:name="_Toc12421"/>
      <w:bookmarkStart w:id="82" w:name="_Toc15377218"/>
      <w:bookmarkStart w:id="83" w:name="_Toc15396610"/>
      <w:r>
        <w:rPr>
          <w:rFonts w:hint="eastAsia" w:ascii="黑体" w:eastAsia="黑体"/>
          <w:sz w:val="32"/>
          <w:szCs w:val="32"/>
        </w:rPr>
        <w:t>八、</w:t>
      </w:r>
      <w:r>
        <w:rPr>
          <w:rStyle w:val="38"/>
          <w:rFonts w:hint="eastAsia" w:ascii="黑体" w:eastAsia="黑体"/>
          <w:b w:val="0"/>
        </w:rPr>
        <w:t>政府性基金预算支出决算情况说明</w:t>
      </w:r>
      <w:bookmarkEnd w:id="80"/>
      <w:bookmarkEnd w:id="81"/>
      <w:bookmarkEnd w:id="82"/>
      <w:bookmarkEnd w:id="83"/>
    </w:p>
    <w:p w14:paraId="793DFAF9">
      <w:pPr>
        <w:spacing w:line="600" w:lineRule="exact"/>
        <w:ind w:firstLine="640"/>
        <w:rPr>
          <w:rFonts w:ascii="仿宋_GB2312" w:eastAsia="仿宋_GB2312"/>
          <w:sz w:val="32"/>
          <w:szCs w:val="32"/>
        </w:rPr>
      </w:pPr>
      <w:r>
        <w:rPr>
          <w:rFonts w:hint="eastAsia" w:ascii="仿宋_GB2312" w:eastAsia="仿宋_GB2312"/>
          <w:sz w:val="32"/>
          <w:szCs w:val="32"/>
        </w:rPr>
        <w:t>2024年度政府性基金预算财政拨款支出</w:t>
      </w:r>
      <w:r>
        <w:rPr>
          <w:sz w:val="32"/>
          <w:szCs w:val="32"/>
        </w:rPr>
        <w:t>0</w:t>
      </w:r>
      <w:r>
        <w:rPr>
          <w:rFonts w:hint="eastAsia" w:ascii="仿宋_GB2312" w:eastAsia="仿宋_GB2312"/>
          <w:sz w:val="32"/>
          <w:szCs w:val="32"/>
        </w:rPr>
        <w:t>万元。</w:t>
      </w:r>
    </w:p>
    <w:p w14:paraId="09838A16">
      <w:pPr>
        <w:spacing w:line="600" w:lineRule="exact"/>
        <w:ind w:firstLine="640"/>
        <w:rPr>
          <w:rFonts w:ascii="仿宋_GB2312" w:eastAsia="仿宋_GB2312"/>
          <w:sz w:val="32"/>
          <w:szCs w:val="32"/>
        </w:rPr>
      </w:pPr>
    </w:p>
    <w:p w14:paraId="660A3116">
      <w:pPr>
        <w:numPr>
          <w:ilvl w:val="0"/>
          <w:numId w:val="4"/>
        </w:numPr>
        <w:spacing w:line="600" w:lineRule="exact"/>
        <w:ind w:left="0" w:leftChars="0" w:firstLine="640" w:firstLineChars="0"/>
        <w:outlineLvl w:val="0"/>
        <w:rPr>
          <w:rStyle w:val="38"/>
          <w:rFonts w:ascii="黑体" w:eastAsia="黑体"/>
          <w:b w:val="0"/>
        </w:rPr>
      </w:pPr>
      <w:bookmarkStart w:id="84" w:name="_Toc12522"/>
      <w:bookmarkStart w:id="85" w:name="_Toc31494"/>
      <w:bookmarkStart w:id="86" w:name="_Toc15377219"/>
      <w:bookmarkStart w:id="87" w:name="_Toc15396611"/>
      <w:r>
        <w:rPr>
          <w:rStyle w:val="38"/>
          <w:rFonts w:hint="eastAsia" w:ascii="黑体" w:eastAsia="黑体"/>
          <w:b w:val="0"/>
        </w:rPr>
        <w:t>国有资本经营预算支出决算情况说明</w:t>
      </w:r>
      <w:bookmarkEnd w:id="84"/>
      <w:bookmarkEnd w:id="85"/>
      <w:bookmarkEnd w:id="86"/>
      <w:bookmarkEnd w:id="87"/>
    </w:p>
    <w:p w14:paraId="36ABB892">
      <w:pPr>
        <w:spacing w:line="600" w:lineRule="exact"/>
        <w:ind w:firstLine="640"/>
        <w:rPr>
          <w:rFonts w:ascii="仿宋_GB2312" w:eastAsia="仿宋_GB2312"/>
          <w:sz w:val="32"/>
          <w:szCs w:val="32"/>
        </w:rPr>
      </w:pPr>
      <w:r>
        <w:rPr>
          <w:rFonts w:hint="eastAsia" w:ascii="仿宋_GB2312" w:eastAsia="仿宋_GB2312"/>
          <w:sz w:val="32"/>
          <w:szCs w:val="32"/>
        </w:rPr>
        <w:t>2024年度国有资本经营预算财政拨款支出</w:t>
      </w:r>
      <w:r>
        <w:rPr>
          <w:sz w:val="32"/>
          <w:szCs w:val="32"/>
        </w:rPr>
        <w:t>0</w:t>
      </w:r>
      <w:r>
        <w:rPr>
          <w:rFonts w:hint="eastAsia" w:ascii="仿宋_GB2312" w:eastAsia="仿宋_GB2312"/>
          <w:sz w:val="32"/>
          <w:szCs w:val="32"/>
        </w:rPr>
        <w:t>万元。</w:t>
      </w:r>
    </w:p>
    <w:p w14:paraId="397F4AF5">
      <w:pPr>
        <w:spacing w:line="580" w:lineRule="exact"/>
        <w:jc w:val="center"/>
        <w:rPr>
          <w:rFonts w:ascii="方正小标宋简体" w:eastAsia="方正小标宋简体" w:cs="方正小标宋简体"/>
          <w:sz w:val="44"/>
          <w:szCs w:val="44"/>
        </w:rPr>
      </w:pPr>
    </w:p>
    <w:p w14:paraId="13A2B053">
      <w:pPr>
        <w:numPr>
          <w:ilvl w:val="0"/>
          <w:numId w:val="4"/>
        </w:numPr>
        <w:spacing w:line="600" w:lineRule="exact"/>
        <w:ind w:left="0" w:leftChars="0" w:firstLine="640" w:firstLineChars="0"/>
        <w:outlineLvl w:val="0"/>
        <w:rPr>
          <w:rStyle w:val="38"/>
          <w:rFonts w:ascii="黑体" w:eastAsia="黑体"/>
          <w:b w:val="0"/>
        </w:rPr>
      </w:pPr>
      <w:bookmarkStart w:id="88" w:name="_Toc15396612"/>
      <w:bookmarkStart w:id="89" w:name="_Toc16858"/>
      <w:bookmarkStart w:id="90" w:name="_Toc3111"/>
      <w:bookmarkStart w:id="91" w:name="_Toc15377221"/>
      <w:r>
        <w:rPr>
          <w:rStyle w:val="38"/>
          <w:rFonts w:hint="eastAsia" w:ascii="黑体" w:eastAsia="黑体"/>
          <w:b w:val="0"/>
        </w:rPr>
        <w:t>其他重要事项的情况说明</w:t>
      </w:r>
      <w:bookmarkEnd w:id="88"/>
      <w:bookmarkEnd w:id="89"/>
      <w:bookmarkEnd w:id="90"/>
      <w:bookmarkEnd w:id="91"/>
    </w:p>
    <w:p w14:paraId="3390B7CD">
      <w:pPr>
        <w:spacing w:line="600" w:lineRule="exact"/>
        <w:ind w:firstLine="643" w:firstLineChars="200"/>
        <w:outlineLvl w:val="1"/>
        <w:rPr>
          <w:rFonts w:ascii="仿宋" w:eastAsia="仿宋"/>
          <w:sz w:val="32"/>
          <w:szCs w:val="32"/>
        </w:rPr>
      </w:pPr>
      <w:bookmarkStart w:id="92" w:name="_Toc17857"/>
      <w:bookmarkStart w:id="93" w:name="_Toc8519"/>
      <w:bookmarkStart w:id="94" w:name="_Toc15377222"/>
      <w:r>
        <w:rPr>
          <w:rFonts w:hint="eastAsia" w:ascii="仿宋" w:eastAsia="仿宋"/>
          <w:b/>
          <w:sz w:val="32"/>
          <w:szCs w:val="32"/>
        </w:rPr>
        <w:t>（一）机关运行经费支出情况</w:t>
      </w:r>
      <w:bookmarkEnd w:id="92"/>
      <w:bookmarkEnd w:id="93"/>
      <w:bookmarkEnd w:id="94"/>
    </w:p>
    <w:p w14:paraId="3A808C22">
      <w:pPr>
        <w:autoSpaceDE w:val="0"/>
        <w:autoSpaceDN w:val="0"/>
        <w:adjustRightInd w:val="0"/>
        <w:spacing w:line="600" w:lineRule="exact"/>
        <w:ind w:firstLine="640" w:firstLineChars="200"/>
        <w:jc w:val="left"/>
        <w:outlineLvl w:val="9"/>
        <w:rPr>
          <w:rFonts w:hint="eastAsia" w:eastAsia="仿宋_GB2312" w:cs="仿宋_GB2312"/>
          <w:sz w:val="32"/>
          <w:szCs w:val="32"/>
        </w:rPr>
      </w:pPr>
      <w:bookmarkStart w:id="95" w:name="_Toc15377223"/>
      <w:r>
        <w:rPr>
          <w:rFonts w:hint="eastAsia" w:eastAsia="仿宋_GB2312" w:cs="仿宋_GB2312"/>
          <w:sz w:val="32"/>
          <w:szCs w:val="32"/>
        </w:rPr>
        <w:t>2024年度</w:t>
      </w:r>
      <w:r>
        <w:rPr>
          <w:rFonts w:hint="eastAsia" w:ascii="仿宋_GB2312" w:hAnsi="仿宋_GB2312" w:eastAsia="仿宋_GB2312" w:cs="仿宋_GB2312"/>
          <w:sz w:val="32"/>
          <w:szCs w:val="32"/>
        </w:rPr>
        <w:t>，金川县撒瓦脚乡人民政府机关运行经费支出16.75万</w:t>
      </w:r>
      <w:r>
        <w:rPr>
          <w:rFonts w:hint="eastAsia" w:eastAsia="仿宋_GB2312" w:cs="仿宋_GB2312"/>
          <w:sz w:val="32"/>
          <w:szCs w:val="32"/>
        </w:rPr>
        <w:t>元，比2023年度与2023年度决算数持平。</w:t>
      </w:r>
    </w:p>
    <w:p w14:paraId="43CF7E6D">
      <w:pPr>
        <w:autoSpaceDE w:val="0"/>
        <w:autoSpaceDN w:val="0"/>
        <w:adjustRightInd w:val="0"/>
        <w:spacing w:line="600" w:lineRule="exact"/>
        <w:ind w:firstLine="643" w:firstLineChars="200"/>
        <w:jc w:val="left"/>
        <w:outlineLvl w:val="1"/>
        <w:rPr>
          <w:rFonts w:ascii="仿宋" w:eastAsia="仿宋"/>
          <w:b/>
          <w:sz w:val="32"/>
          <w:szCs w:val="32"/>
        </w:rPr>
      </w:pPr>
      <w:bookmarkStart w:id="96" w:name="_Toc6102"/>
      <w:bookmarkStart w:id="97" w:name="_Toc30987"/>
      <w:r>
        <w:rPr>
          <w:rFonts w:hint="eastAsia" w:ascii="仿宋" w:eastAsia="仿宋"/>
          <w:b/>
          <w:sz w:val="32"/>
          <w:szCs w:val="32"/>
        </w:rPr>
        <w:t>（二）政府采购支出情况</w:t>
      </w:r>
      <w:bookmarkEnd w:id="95"/>
      <w:bookmarkEnd w:id="96"/>
      <w:bookmarkEnd w:id="97"/>
    </w:p>
    <w:p w14:paraId="1300D8BB">
      <w:pPr>
        <w:spacing w:line="600" w:lineRule="exact"/>
        <w:ind w:firstLine="640" w:firstLineChars="200"/>
        <w:rPr>
          <w:rFonts w:ascii="仿宋_GB2312" w:eastAsia="仿宋_GB2312"/>
          <w:sz w:val="32"/>
          <w:szCs w:val="32"/>
        </w:rPr>
      </w:pPr>
      <w:r>
        <w:rPr>
          <w:rFonts w:hint="eastAsia" w:ascii="仿宋_GB2312" w:eastAsia="仿宋_GB2312"/>
          <w:sz w:val="32"/>
          <w:szCs w:val="32"/>
        </w:rPr>
        <w:t>2024年度，</w:t>
      </w:r>
      <w:r>
        <w:rPr>
          <w:rFonts w:hint="eastAsia"/>
          <w:sz w:val="32"/>
          <w:szCs w:val="32"/>
        </w:rPr>
        <w:t>金川县撒瓦脚乡人民政府</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006D24C9">
      <w:pPr>
        <w:autoSpaceDE w:val="0"/>
        <w:autoSpaceDN w:val="0"/>
        <w:adjustRightInd w:val="0"/>
        <w:spacing w:line="600" w:lineRule="exact"/>
        <w:ind w:firstLine="643" w:firstLineChars="200"/>
        <w:jc w:val="left"/>
        <w:outlineLvl w:val="1"/>
        <w:rPr>
          <w:rFonts w:ascii="仿宋" w:eastAsia="仿宋"/>
          <w:b/>
          <w:sz w:val="32"/>
          <w:szCs w:val="32"/>
        </w:rPr>
      </w:pPr>
      <w:bookmarkStart w:id="98" w:name="_Toc17003"/>
      <w:bookmarkStart w:id="99" w:name="_Toc15377224"/>
      <w:bookmarkStart w:id="100" w:name="_Toc6727"/>
      <w:r>
        <w:rPr>
          <w:rFonts w:hint="eastAsia" w:ascii="仿宋" w:eastAsia="仿宋"/>
          <w:b/>
          <w:sz w:val="32"/>
          <w:szCs w:val="32"/>
        </w:rPr>
        <w:t>（三）国有资产占有使用情况</w:t>
      </w:r>
      <w:bookmarkEnd w:id="98"/>
      <w:bookmarkEnd w:id="99"/>
      <w:bookmarkEnd w:id="100"/>
    </w:p>
    <w:p w14:paraId="2F2452B5">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截至2024年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金川县撒瓦脚乡人民政府</w:t>
      </w:r>
      <w:r>
        <w:rPr>
          <w:rFonts w:hint="eastAsia" w:ascii="仿宋_GB2312" w:eastAsia="仿宋_GB2312"/>
          <w:sz w:val="32"/>
          <w:szCs w:val="32"/>
        </w:rPr>
        <w:t>共有车辆4辆，其中：主要领导干部用车0辆、机要通信用车0辆、应急保障用车4辆、其他用车0辆，其他用车主要是用于……。单价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75F5D599">
      <w:pPr>
        <w:autoSpaceDE w:val="0"/>
        <w:autoSpaceDN w:val="0"/>
        <w:adjustRightInd w:val="0"/>
        <w:spacing w:line="600" w:lineRule="exact"/>
        <w:ind w:firstLine="643" w:firstLineChars="200"/>
        <w:jc w:val="left"/>
        <w:outlineLvl w:val="1"/>
        <w:rPr>
          <w:rFonts w:ascii="仿宋" w:eastAsia="仿宋"/>
          <w:b/>
          <w:sz w:val="32"/>
          <w:szCs w:val="32"/>
        </w:rPr>
      </w:pPr>
      <w:bookmarkStart w:id="101" w:name="_Toc29084"/>
      <w:bookmarkStart w:id="102" w:name="_Toc13100"/>
      <w:r>
        <w:rPr>
          <w:rFonts w:hint="eastAsia" w:ascii="仿宋" w:eastAsia="仿宋"/>
          <w:b/>
          <w:sz w:val="32"/>
          <w:szCs w:val="32"/>
        </w:rPr>
        <w:t>（四）预算绩效管理情况</w:t>
      </w:r>
      <w:bookmarkEnd w:id="101"/>
      <w:bookmarkEnd w:id="102"/>
    </w:p>
    <w:p w14:paraId="34BAF544">
      <w:pPr>
        <w:pStyle w:val="4"/>
        <w:jc w:val="center"/>
      </w:pPr>
      <w:bookmarkStart w:id="103" w:name="_Toc20514"/>
      <w:bookmarkStart w:id="104" w:name="_Toc25324"/>
      <w:r>
        <w:rPr>
          <w:rFonts w:hint="eastAsia"/>
        </w:rPr>
        <w:t>第三部分 名词解释</w:t>
      </w:r>
      <w:bookmarkEnd w:id="103"/>
      <w:bookmarkEnd w:id="104"/>
    </w:p>
    <w:p w14:paraId="4A9330CA"/>
    <w:p w14:paraId="5148D246">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1.财政拨款收入：指单位从同级财政部门取得的财政预算资金。</w:t>
      </w:r>
    </w:p>
    <w:p w14:paraId="4CF6EB68">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2.事业收入：指事业单位开展专业业务活动及辅助活动取得的收入。如…（二级预算单位事业收入情况）等。</w:t>
      </w:r>
    </w:p>
    <w:p w14:paraId="452EF525">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3.经营收入：指事业单位在专业业务活动及其辅助活动之外开展非独立核算经营活动取得的收入。如…（二级预算单位经营收入情况）等。</w:t>
      </w:r>
    </w:p>
    <w:p w14:paraId="1BA237F3">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 xml:space="preserve">4.其他收入：指单位取得的除上述收入以外的各项收入。主要是…（收入类型）等。 </w:t>
      </w:r>
    </w:p>
    <w:p w14:paraId="1622A28C">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 xml:space="preserve">5.使用非财政拨款结余（含专用结余）：指事业单位使用以前年度积累的非财政拨款结余弥补当年收支差额的金额。 </w:t>
      </w:r>
    </w:p>
    <w:p w14:paraId="28D5BA11">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 xml:space="preserve">6.年初结转和结余：指以前年度尚未完成、结转到本年按有关规定继续使用的资金。 </w:t>
      </w:r>
    </w:p>
    <w:p w14:paraId="101E67CF">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7.结余分配：指事业单位按照会计制度规定缴纳的所得税、提取的专用结余以及转入非财政拨款结余的金额等。</w:t>
      </w:r>
    </w:p>
    <w:p w14:paraId="573B8EAF">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8.年末结转和结余：指单位按有关规定结转到下年或以后年度继续使用的资金。</w:t>
      </w:r>
    </w:p>
    <w:p w14:paraId="56B0A1B8">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9.一般公共服务（类）…（款）…（项）：指……。</w:t>
      </w:r>
    </w:p>
    <w:p w14:paraId="7D9AC49E">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10.外交（类）…（款）…（项）：指……。</w:t>
      </w:r>
    </w:p>
    <w:p w14:paraId="250DD821">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11.公共安全（类）…（款）…（项）：指……。</w:t>
      </w:r>
    </w:p>
    <w:p w14:paraId="214D9532">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12.教育（类）…（款）…（项）：指……。</w:t>
      </w:r>
    </w:p>
    <w:p w14:paraId="49FD8DF6">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13.科学技术（类）…（款）…（项）：指……。</w:t>
      </w:r>
    </w:p>
    <w:p w14:paraId="58301F77">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14.文化旅游体育与传媒（类）…（款）…（项）：指……。</w:t>
      </w:r>
    </w:p>
    <w:p w14:paraId="39F01456">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15.社会保障和就业（类）…（款）…（项）：指……。</w:t>
      </w:r>
    </w:p>
    <w:p w14:paraId="3F8CFCA8">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16.卫生健康（类）…（款）…（项）：指……。</w:t>
      </w:r>
    </w:p>
    <w:p w14:paraId="485487E2">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17.节能环保（类）…（款）…（项）：指……。</w:t>
      </w:r>
    </w:p>
    <w:p w14:paraId="37D9E173">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18.城乡社区（类）…（款）…（项）：指……。</w:t>
      </w:r>
    </w:p>
    <w:p w14:paraId="4125747A">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19.农林水（类）…（款）…（项）：指……。</w:t>
      </w:r>
    </w:p>
    <w:p w14:paraId="45959DE4">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20.交通运输（类）…（款）…（项）：指……。</w:t>
      </w:r>
    </w:p>
    <w:p w14:paraId="3256D4F7">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21.资源勘探工业信息等（类）…（款）…（项）：指……。</w:t>
      </w:r>
    </w:p>
    <w:p w14:paraId="458A1733">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22.商业服务业（类）…（款）…（项）：指……。</w:t>
      </w:r>
    </w:p>
    <w:p w14:paraId="31F94A32">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23.金融（类）…（款）…（项）：指……。</w:t>
      </w:r>
    </w:p>
    <w:p w14:paraId="533D9139">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24.自然资源海洋气象等（类）…（款）…（项）：指……。</w:t>
      </w:r>
    </w:p>
    <w:p w14:paraId="16146711">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25.住房保障（类）…（款）…（项）：指……。</w:t>
      </w:r>
    </w:p>
    <w:p w14:paraId="1611CD28">
      <w:pPr>
        <w:ind w:firstLine="640" w:firstLineChars="200"/>
        <w:rPr>
          <w:rFonts w:ascii="仿宋_GB2312仿宋_GB2312" w:eastAsia="仿宋_GB2312仿宋_GB2312"/>
          <w:sz w:val="32"/>
          <w:szCs w:val="32"/>
        </w:rPr>
      </w:pPr>
      <w:r>
        <w:rPr>
          <w:rFonts w:hint="eastAsia" w:ascii="仿宋_GB2312仿宋_GB2312" w:eastAsia="仿宋_GB2312仿宋_GB2312"/>
          <w:sz w:val="32"/>
          <w:szCs w:val="32"/>
        </w:rPr>
        <w:t>26.粮油物资储备（类）…（款）…（项）：指……。</w:t>
      </w:r>
    </w:p>
    <w:p w14:paraId="0591FAD2">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14:paraId="3DDCAFF2">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14:paraId="33B30844">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14:paraId="6DEE4088">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192CFFA">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D09B13">
      <w:pPr>
        <w:rPr>
          <w:rFonts w:ascii="仿宋" w:eastAsia="仿宋"/>
          <w:b/>
          <w:sz w:val="32"/>
          <w:szCs w:val="32"/>
        </w:rPr>
      </w:pPr>
      <w:r>
        <w:rPr>
          <w:rFonts w:ascii="仿宋" w:eastAsia="仿宋"/>
          <w:b/>
          <w:sz w:val="32"/>
          <w:szCs w:val="32"/>
        </w:rPr>
        <w:br w:type="page"/>
      </w:r>
    </w:p>
    <w:p w14:paraId="3EA1BB27">
      <w:pPr>
        <w:pStyle w:val="4"/>
        <w:jc w:val="center"/>
        <w:rPr>
          <w:rFonts w:ascii="黑体" w:eastAsia="黑体"/>
          <w:b w:val="0"/>
        </w:rPr>
      </w:pPr>
      <w:bookmarkStart w:id="105" w:name="_Toc12102"/>
      <w:bookmarkStart w:id="106" w:name="_Toc27134"/>
      <w:r>
        <w:rPr>
          <w:rFonts w:hint="eastAsia" w:ascii="黑体" w:eastAsia="黑体"/>
          <w:b w:val="0"/>
        </w:rPr>
        <w:t>第四部分 附件</w:t>
      </w:r>
      <w:bookmarkEnd w:id="105"/>
      <w:bookmarkEnd w:id="106"/>
    </w:p>
    <w:p w14:paraId="19E76CA4"/>
    <w:p w14:paraId="147CD385">
      <w:pPr>
        <w:outlineLvl w:val="0"/>
        <w:rPr>
          <w:rFonts w:ascii="黑体" w:eastAsia="黑体"/>
          <w:sz w:val="32"/>
          <w:szCs w:val="32"/>
        </w:rPr>
      </w:pPr>
      <w:bookmarkStart w:id="107" w:name="_Toc21134"/>
      <w:bookmarkStart w:id="108" w:name="_Toc4897"/>
      <w:r>
        <w:rPr>
          <w:rFonts w:hint="eastAsia" w:ascii="黑体" w:eastAsia="黑体"/>
          <w:sz w:val="32"/>
          <w:szCs w:val="32"/>
        </w:rPr>
        <w:t>附件1</w:t>
      </w:r>
      <w:bookmarkEnd w:id="107"/>
      <w:bookmarkEnd w:id="108"/>
    </w:p>
    <w:p w14:paraId="095F8BD7">
      <w:pPr>
        <w:keepNext w:val="0"/>
        <w:keepLines w:val="0"/>
        <w:widowControl/>
        <w:suppressLineNumbers w:val="0"/>
        <w:autoSpaceDE w:val="0"/>
        <w:autoSpaceDN/>
        <w:spacing w:before="0" w:beforeAutospacing="0" w:after="0" w:afterAutospacing="0" w:line="578" w:lineRule="exact"/>
        <w:ind w:left="0" w:right="0"/>
        <w:contextualSpacing/>
        <w:jc w:val="center"/>
        <w:rPr>
          <w:rFonts w:hint="default" w:ascii="Times New Roman" w:hAnsi="Times New Roman" w:eastAsia="方正小标宋简体" w:cs="Times New Roman"/>
          <w:b w:val="0"/>
          <w:bCs/>
          <w:kern w:val="2"/>
          <w:sz w:val="44"/>
          <w:szCs w:val="44"/>
          <w:shd w:val="clear" w:fill="FFFFFF"/>
        </w:rPr>
      </w:pPr>
      <w:r>
        <w:rPr>
          <w:rFonts w:hint="eastAsia" w:ascii="方正小标宋简体" w:hAnsi="方正小标宋简体" w:eastAsia="方正小标宋简体" w:cs="方正小标宋简体"/>
          <w:b w:val="0"/>
          <w:bCs/>
          <w:kern w:val="2"/>
          <w:sz w:val="44"/>
          <w:szCs w:val="44"/>
          <w:shd w:val="clear" w:fill="FFFFFF"/>
          <w:lang w:val="en-US" w:eastAsia="zh-CN" w:bidi="ar"/>
        </w:rPr>
        <w:t>金川县撒瓦脚乡人民政府</w:t>
      </w:r>
      <w:r>
        <w:rPr>
          <w:rFonts w:hint="default" w:ascii="Times New Roman" w:hAnsi="Times New Roman" w:eastAsia="方正小标宋简体" w:cs="Times New Roman"/>
          <w:b w:val="0"/>
          <w:bCs/>
          <w:kern w:val="2"/>
          <w:sz w:val="44"/>
          <w:szCs w:val="44"/>
          <w:shd w:val="clear" w:fill="FFFFFF"/>
          <w:lang w:val="en-US" w:eastAsia="zh-CN" w:bidi="ar"/>
        </w:rPr>
        <w:t>2024</w:t>
      </w:r>
      <w:r>
        <w:rPr>
          <w:rFonts w:hint="eastAsia" w:ascii="方正小标宋简体" w:hAnsi="方正小标宋简体" w:eastAsia="方正小标宋简体" w:cs="方正小标宋简体"/>
          <w:b w:val="0"/>
          <w:bCs/>
          <w:kern w:val="2"/>
          <w:sz w:val="44"/>
          <w:szCs w:val="44"/>
          <w:shd w:val="clear" w:fill="FFFFFF"/>
          <w:lang w:val="en-US" w:eastAsia="zh-CN" w:bidi="ar"/>
        </w:rPr>
        <w:t>年</w:t>
      </w:r>
    </w:p>
    <w:p w14:paraId="32D81FB4">
      <w:pPr>
        <w:keepNext w:val="0"/>
        <w:keepLines w:val="0"/>
        <w:widowControl/>
        <w:suppressLineNumbers w:val="0"/>
        <w:autoSpaceDE w:val="0"/>
        <w:autoSpaceDN/>
        <w:spacing w:before="0" w:beforeAutospacing="0" w:after="0" w:afterAutospacing="0" w:line="578" w:lineRule="exact"/>
        <w:ind w:left="0" w:right="0"/>
        <w:contextualSpacing/>
        <w:jc w:val="center"/>
        <w:rPr>
          <w:rFonts w:hint="default" w:ascii="Times New Roman" w:hAnsi="Times New Roman" w:eastAsia="方正小标宋简体" w:cs="Times New Roman"/>
          <w:b w:val="0"/>
          <w:bCs/>
          <w:kern w:val="2"/>
          <w:sz w:val="44"/>
          <w:szCs w:val="44"/>
          <w:shd w:val="clear" w:fill="FFFFFF"/>
        </w:rPr>
      </w:pPr>
      <w:r>
        <w:rPr>
          <w:rFonts w:hint="eastAsia" w:ascii="方正小标宋简体" w:hAnsi="方正小标宋简体" w:eastAsia="方正小标宋简体" w:cs="方正小标宋简体"/>
          <w:b w:val="0"/>
          <w:bCs/>
          <w:kern w:val="2"/>
          <w:sz w:val="44"/>
          <w:szCs w:val="44"/>
          <w:shd w:val="clear" w:fill="FFFFFF"/>
          <w:lang w:val="en-US" w:eastAsia="zh-CN" w:bidi="ar"/>
        </w:rPr>
        <w:t>部门预算绩效自评报告</w:t>
      </w:r>
    </w:p>
    <w:p w14:paraId="54AC5E69">
      <w:pPr>
        <w:jc w:val="center"/>
        <w:rPr>
          <w:rFonts w:ascii="仿宋_GB2312" w:eastAsia="仿宋_GB2312"/>
          <w:sz w:val="32"/>
          <w:szCs w:val="32"/>
        </w:rPr>
      </w:pPr>
      <w:r>
        <w:rPr>
          <w:rFonts w:hint="eastAsia" w:ascii="仿宋_GB2312" w:eastAsia="仿宋_GB2312"/>
          <w:sz w:val="32"/>
          <w:szCs w:val="32"/>
        </w:rPr>
        <w:t>（报告范围包括机关和下属单位）</w:t>
      </w:r>
    </w:p>
    <w:p w14:paraId="3B607774"/>
    <w:p w14:paraId="29C6350F">
      <w:pPr>
        <w:rPr>
          <w:rFonts w:ascii="黑体" w:eastAsia="黑体"/>
          <w:sz w:val="32"/>
          <w:szCs w:val="32"/>
        </w:rPr>
      </w:pPr>
      <w:r>
        <w:rPr>
          <w:rFonts w:hint="eastAsia" w:ascii="黑体" w:eastAsia="黑体"/>
          <w:sz w:val="32"/>
          <w:szCs w:val="32"/>
        </w:rPr>
        <w:t>一、部门（单位）基本情况</w:t>
      </w:r>
    </w:p>
    <w:p w14:paraId="32E763D7">
      <w:pPr>
        <w:widowControl/>
        <w:spacing w:line="560" w:lineRule="exact"/>
        <w:ind w:firstLine="643" w:firstLineChars="200"/>
        <w:jc w:val="left"/>
        <w:rPr>
          <w:rFonts w:ascii="仿宋_GB2312" w:eastAsia="仿宋_GB2312" w:cs="仿宋_GB2312"/>
          <w:sz w:val="32"/>
          <w:szCs w:val="32"/>
        </w:rPr>
      </w:pPr>
      <w:r>
        <w:rPr>
          <w:rFonts w:hint="eastAsia" w:ascii="楷体_GB2312" w:eastAsia="楷体_GB2312"/>
          <w:b/>
          <w:sz w:val="32"/>
          <w:szCs w:val="32"/>
        </w:rPr>
        <w:t>（一）机构组成。</w:t>
      </w:r>
      <w:r>
        <w:rPr>
          <w:rFonts w:hint="eastAsia" w:ascii="仿宋_GB2312" w:eastAsia="仿宋_GB2312" w:cs="仿宋_GB2312"/>
          <w:spacing w:val="34"/>
          <w:sz w:val="32"/>
          <w:szCs w:val="32"/>
          <w:lang w:val="zh-CN"/>
        </w:rPr>
        <w:t>主要职能职责：</w:t>
      </w:r>
      <w:r>
        <w:rPr>
          <w:rFonts w:hint="eastAsia" w:ascii="仿宋_GB2312" w:eastAsia="仿宋_GB2312" w:cs="仿宋_GB2312"/>
          <w:sz w:val="32"/>
          <w:szCs w:val="32"/>
        </w:rPr>
        <w:t>根据党章和《地方组织法》的规定，乡党委、政府承担辖区内促进经济发展、提供公共服务、加强社会管理、维护社会稳定，推动物质文明、政治文明、精神文明及和谐社会建设等任务。其主要职能是：</w:t>
      </w:r>
    </w:p>
    <w:p w14:paraId="71E8E822">
      <w:pPr>
        <w:snapToGrid w:val="0"/>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（1）贯彻落实党和政府各项路线方针政策。深入</w:t>
      </w:r>
      <w:r>
        <w:rPr>
          <w:rFonts w:hint="eastAsia" w:ascii="仿宋_GB2312" w:hAnsi="仿宋_GB2312" w:cs="仿宋_GB2312"/>
          <w:sz w:val="32"/>
          <w:szCs w:val="32"/>
        </w:rPr>
        <w:t>学习</w:t>
      </w:r>
      <w:r>
        <w:rPr>
          <w:rFonts w:hint="eastAsia" w:ascii="仿宋_GB2312" w:eastAsia="仿宋_GB2312" w:cs="仿宋_GB2312"/>
          <w:sz w:val="32"/>
          <w:szCs w:val="32"/>
        </w:rPr>
        <w:t>贯彻党的</w:t>
      </w:r>
      <w:r>
        <w:rPr>
          <w:rFonts w:hint="eastAsia" w:ascii="仿宋_GB2312" w:hAnsi="仿宋_GB2312" w:cs="仿宋_GB2312"/>
          <w:sz w:val="32"/>
          <w:szCs w:val="32"/>
        </w:rPr>
        <w:t>二十大</w:t>
      </w:r>
      <w:r>
        <w:rPr>
          <w:rFonts w:hint="eastAsia" w:ascii="仿宋_GB2312" w:eastAsia="仿宋_GB2312" w:cs="仿宋_GB2312"/>
          <w:sz w:val="32"/>
          <w:szCs w:val="32"/>
        </w:rPr>
        <w:t>精神，宣传和贯彻执行党的路线、方针、政策和国家的法律、法令；宣传和贯彻上级机关的政策、法规、规章、决定等；执行本级党代会和人代会的决定、决议；研究决定辖区内政治、经济、文化等重大问题。</w:t>
      </w:r>
    </w:p>
    <w:p w14:paraId="7D7F26E8">
      <w:pPr>
        <w:snapToGrid w:val="0"/>
        <w:spacing w:line="56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13730CE2">
      <w:pPr>
        <w:snapToGrid w:val="0"/>
        <w:spacing w:line="56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78A11E64">
      <w:pPr>
        <w:snapToGrid w:val="0"/>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（4）进一步强化社会管理职能，加强辖区内的社会治安综合管理。建立村、企业及单位治安综合治理网络，实行群防群治。加强法制宣传教育，积极做好平安</w:t>
      </w:r>
      <w:r>
        <w:rPr>
          <w:rFonts w:hint="eastAsia" w:ascii="仿宋_GB2312" w:hAnsi="仿宋_GB2312" w:cs="仿宋_GB2312"/>
          <w:sz w:val="32"/>
          <w:szCs w:val="32"/>
        </w:rPr>
        <w:t>乡</w:t>
      </w:r>
      <w:r>
        <w:rPr>
          <w:rFonts w:hint="eastAsia" w:ascii="仿宋_GB2312" w:eastAsia="仿宋_GB2312" w:cs="仿宋_GB2312"/>
          <w:sz w:val="32"/>
          <w:szCs w:val="32"/>
        </w:rPr>
        <w:t>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6F6A4569">
      <w:pPr>
        <w:widowControl/>
        <w:adjustRightInd w:val="0"/>
        <w:snapToGrid w:val="0"/>
        <w:spacing w:line="560" w:lineRule="exact"/>
        <w:ind w:firstLine="720"/>
        <w:jc w:val="left"/>
        <w:rPr>
          <w:rFonts w:ascii="仿宋_GB2312" w:eastAsia="仿宋_GB2312" w:cs="仿宋_GB2312"/>
          <w:spacing w:val="34"/>
          <w:sz w:val="32"/>
          <w:szCs w:val="32"/>
          <w:lang w:val="zh-CN"/>
        </w:rPr>
      </w:pPr>
      <w:r>
        <w:rPr>
          <w:rFonts w:hint="eastAsia" w:ascii="仿宋_GB2312" w:eastAsia="仿宋_GB2312" w:cs="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704DE08E">
      <w:pPr>
        <w:widowControl/>
        <w:spacing w:line="560" w:lineRule="exact"/>
        <w:ind w:firstLine="643" w:firstLineChars="200"/>
        <w:jc w:val="left"/>
        <w:rPr>
          <w:rFonts w:ascii="楷体_GB2312" w:eastAsia="楷体_GB2312"/>
          <w:b/>
          <w:sz w:val="32"/>
          <w:szCs w:val="32"/>
        </w:rPr>
      </w:pPr>
      <w:r>
        <w:rPr>
          <w:rFonts w:ascii="楷体_GB2312" w:eastAsia="楷体_GB2312"/>
          <w:b/>
          <w:sz w:val="32"/>
          <w:szCs w:val="32"/>
          <w:lang w:val="zh-CN"/>
        </w:rPr>
        <w:t>（二）机构职能</w:t>
      </w:r>
      <w:r>
        <w:rPr>
          <w:rFonts w:hint="eastAsia" w:ascii="楷体_GB2312" w:eastAsia="楷体_GB2312"/>
          <w:b/>
          <w:sz w:val="32"/>
          <w:szCs w:val="32"/>
          <w:lang w:val="zh-CN"/>
        </w:rPr>
        <w:t>。</w:t>
      </w:r>
    </w:p>
    <w:p w14:paraId="427FEA6B">
      <w:pPr>
        <w:widowControl/>
        <w:adjustRightInd w:val="0"/>
        <w:snapToGrid w:val="0"/>
        <w:spacing w:line="578" w:lineRule="exact"/>
        <w:ind w:firstLine="640" w:firstLineChars="200"/>
        <w:contextualSpacing/>
        <w:jc w:val="left"/>
        <w:rPr>
          <w:rFonts w:eastAsia="仿宋"/>
          <w:b/>
          <w:bCs/>
          <w:color w:val="000000"/>
          <w:kern w:val="0"/>
          <w:szCs w:val="32"/>
          <w:shd w:val="clear" w:color="auto" w:fill="FFFFFF"/>
          <w:lang w:val="zh-CN"/>
        </w:rPr>
      </w:pPr>
      <w:r>
        <w:rPr>
          <w:rFonts w:hint="eastAsia" w:ascii="仿宋" w:eastAsia="仿宋" w:cs="仿宋"/>
          <w:sz w:val="32"/>
          <w:szCs w:val="32"/>
        </w:rPr>
        <w:t>2024年独立编制机构数都是1个，无增减变化。</w:t>
      </w:r>
    </w:p>
    <w:p w14:paraId="2D048FF5">
      <w:pPr>
        <w:widowControl/>
        <w:spacing w:line="560" w:lineRule="exact"/>
        <w:ind w:firstLine="643" w:firstLineChars="200"/>
        <w:jc w:val="left"/>
        <w:rPr>
          <w:rFonts w:ascii="楷体_GB2312" w:eastAsia="楷体_GB2312"/>
          <w:b/>
          <w:sz w:val="32"/>
          <w:szCs w:val="32"/>
          <w:lang w:val="zh-CN"/>
        </w:rPr>
      </w:pPr>
      <w:r>
        <w:rPr>
          <w:rFonts w:ascii="楷体_GB2312" w:eastAsia="楷体_GB2312"/>
          <w:b/>
          <w:sz w:val="32"/>
          <w:szCs w:val="32"/>
          <w:lang w:val="zh-CN"/>
        </w:rPr>
        <w:t>（</w:t>
      </w:r>
      <w:r>
        <w:rPr>
          <w:rFonts w:hint="eastAsia" w:ascii="楷体_GB2312" w:eastAsia="楷体_GB2312"/>
          <w:b/>
          <w:sz w:val="32"/>
          <w:szCs w:val="32"/>
          <w:lang w:val="zh-CN"/>
        </w:rPr>
        <w:t>三</w:t>
      </w:r>
      <w:r>
        <w:rPr>
          <w:rFonts w:ascii="楷体_GB2312" w:eastAsia="楷体_GB2312"/>
          <w:b/>
          <w:sz w:val="32"/>
          <w:szCs w:val="32"/>
          <w:lang w:val="zh-CN"/>
        </w:rPr>
        <w:t>）人员概况</w:t>
      </w:r>
      <w:r>
        <w:rPr>
          <w:rFonts w:hint="eastAsia" w:ascii="楷体_GB2312" w:eastAsia="楷体_GB2312"/>
          <w:b/>
          <w:sz w:val="32"/>
          <w:szCs w:val="32"/>
          <w:lang w:val="zh-CN"/>
        </w:rPr>
        <w:t>。</w:t>
      </w:r>
    </w:p>
    <w:p w14:paraId="545319E0">
      <w:pPr>
        <w:rPr>
          <w:rFonts w:ascii="仿宋" w:eastAsia="仿宋" w:cs="仿宋"/>
          <w:sz w:val="32"/>
          <w:szCs w:val="32"/>
        </w:rPr>
      </w:pPr>
      <w:r>
        <w:rPr>
          <w:rFonts w:ascii="仿宋" w:eastAsia="仿宋" w:cs="仿宋"/>
          <w:sz w:val="32"/>
          <w:szCs w:val="32"/>
        </w:rPr>
        <w:t>截至2024年末，</w:t>
      </w:r>
      <w:r>
        <w:rPr>
          <w:rFonts w:hint="eastAsia" w:ascii="仿宋" w:eastAsia="仿宋" w:cs="仿宋"/>
          <w:sz w:val="32"/>
          <w:szCs w:val="32"/>
        </w:rPr>
        <w:t>撒瓦脚乡</w:t>
      </w:r>
      <w:r>
        <w:rPr>
          <w:rFonts w:hint="eastAsia" w:ascii="仿宋_GB2312" w:eastAsia="仿宋_GB2312" w:cs="仿宋_GB2312"/>
          <w:spacing w:val="34"/>
          <w:sz w:val="32"/>
          <w:szCs w:val="32"/>
          <w:lang w:val="zh-CN"/>
        </w:rPr>
        <w:t>单位编制数</w:t>
      </w:r>
      <w:r>
        <w:rPr>
          <w:rFonts w:hint="eastAsia" w:ascii="仿宋_GB2312" w:eastAsia="仿宋_GB2312" w:cs="仿宋_GB2312"/>
          <w:spacing w:val="34"/>
          <w:sz w:val="32"/>
          <w:szCs w:val="32"/>
        </w:rPr>
        <w:t>29</w:t>
      </w:r>
      <w:r>
        <w:rPr>
          <w:rFonts w:hint="eastAsia" w:ascii="仿宋_GB2312" w:hAnsi="仿宋_GB2312" w:cs="仿宋_GB2312"/>
          <w:spacing w:val="34"/>
          <w:sz w:val="32"/>
          <w:szCs w:val="32"/>
        </w:rPr>
        <w:t>人。其中：</w:t>
      </w:r>
      <w:r>
        <w:rPr>
          <w:rFonts w:hint="eastAsia" w:ascii="仿宋" w:eastAsia="仿宋" w:cs="仿宋"/>
          <w:sz w:val="32"/>
          <w:szCs w:val="32"/>
        </w:rPr>
        <w:t>行政编制17人（包括2名机关工勤）；事业编制12人。</w:t>
      </w:r>
    </w:p>
    <w:p w14:paraId="761E4B9D">
      <w:pPr>
        <w:widowControl/>
        <w:adjustRightInd w:val="0"/>
        <w:snapToGrid w:val="0"/>
        <w:spacing w:line="540" w:lineRule="exact"/>
        <w:ind w:firstLine="800" w:firstLineChars="250"/>
        <w:jc w:val="left"/>
        <w:rPr>
          <w:rFonts w:eastAsia="仿宋"/>
          <w:szCs w:val="32"/>
        </w:rPr>
      </w:pPr>
      <w:r>
        <w:rPr>
          <w:rFonts w:hint="eastAsia" w:ascii="仿宋" w:eastAsia="仿宋" w:cs="仿宋"/>
          <w:sz w:val="32"/>
          <w:szCs w:val="32"/>
        </w:rPr>
        <w:t>2024年末实有人数27人。其中：公务员15人（包括2名行政工勤），事业人员12人。</w:t>
      </w:r>
    </w:p>
    <w:p w14:paraId="55A2E15E">
      <w:pPr>
        <w:ind w:firstLine="640" w:firstLineChars="200"/>
        <w:rPr>
          <w:rFonts w:ascii="仿宋_GB2312" w:eastAsia="仿宋_GB2312"/>
          <w:sz w:val="32"/>
          <w:szCs w:val="32"/>
        </w:rPr>
      </w:pPr>
    </w:p>
    <w:p w14:paraId="40B09D8B">
      <w:pPr>
        <w:rPr>
          <w:rFonts w:ascii="黑体" w:eastAsia="黑体"/>
          <w:sz w:val="32"/>
          <w:szCs w:val="32"/>
        </w:rPr>
      </w:pPr>
      <w:r>
        <w:rPr>
          <w:rFonts w:hint="eastAsia" w:ascii="黑体" w:eastAsia="黑体"/>
          <w:sz w:val="32"/>
          <w:szCs w:val="32"/>
        </w:rPr>
        <w:t>二、部门资金收支情况</w:t>
      </w:r>
    </w:p>
    <w:p w14:paraId="14487059">
      <w:pPr>
        <w:snapToGrid w:val="0"/>
        <w:spacing w:line="520" w:lineRule="exact"/>
        <w:ind w:firstLine="643" w:firstLineChars="200"/>
        <w:rPr>
          <w:rFonts w:ascii="仿宋" w:hAnsi="仿宋" w:eastAsia="仿宋_GB2312"/>
          <w:color w:val="000000"/>
          <w:kern w:val="0"/>
          <w:sz w:val="32"/>
          <w:szCs w:val="32"/>
        </w:rPr>
      </w:pPr>
      <w:r>
        <w:rPr>
          <w:rFonts w:hint="eastAsia" w:ascii="楷体_GB2312" w:eastAsia="楷体_GB2312"/>
          <w:b/>
          <w:sz w:val="32"/>
          <w:szCs w:val="32"/>
        </w:rPr>
        <w:t>（一）收入情况。</w:t>
      </w:r>
      <w:r>
        <w:rPr>
          <w:rFonts w:hint="eastAsia" w:ascii="仿宋_GB2312" w:eastAsia="仿宋_GB2312"/>
          <w:color w:val="000000"/>
          <w:spacing w:val="-2"/>
          <w:sz w:val="32"/>
          <w:szCs w:val="32"/>
        </w:rPr>
        <w:t>2024年度总收入856.84万元，较上年收入增加97.72万元，增加12.87%。增加的主要原因是</w:t>
      </w:r>
      <w:r>
        <w:rPr>
          <w:rFonts w:hint="eastAsia" w:ascii="仿宋_GB2312" w:eastAsia="仿宋_GB2312"/>
          <w:sz w:val="32"/>
          <w:szCs w:val="32"/>
        </w:rPr>
        <w:t>本年度人员工资津补贴及项目增加。</w:t>
      </w:r>
    </w:p>
    <w:p w14:paraId="5F610FD9">
      <w:pPr>
        <w:spacing w:line="600" w:lineRule="exact"/>
        <w:ind w:firstLine="643" w:firstLineChars="200"/>
        <w:outlineLvl w:val="9"/>
        <w:rPr>
          <w:rFonts w:ascii="仿宋" w:eastAsia="仿宋"/>
          <w:sz w:val="32"/>
          <w:szCs w:val="32"/>
        </w:rPr>
      </w:pPr>
      <w:r>
        <w:rPr>
          <w:rFonts w:hint="eastAsia" w:ascii="楷体_GB2312" w:eastAsia="楷体_GB2312"/>
          <w:b/>
          <w:sz w:val="32"/>
          <w:szCs w:val="32"/>
        </w:rPr>
        <w:t>（二）支出情况。</w:t>
      </w:r>
      <w:r>
        <w:rPr>
          <w:rFonts w:hint="eastAsia" w:ascii="仿宋" w:eastAsia="仿宋"/>
          <w:color w:val="000000"/>
          <w:sz w:val="32"/>
          <w:szCs w:val="32"/>
        </w:rPr>
        <w:t>2024年</w:t>
      </w:r>
      <w:r>
        <w:rPr>
          <w:rFonts w:hint="eastAsia" w:ascii="仿宋" w:eastAsia="仿宋" w:cs="仿宋"/>
          <w:b/>
          <w:bCs/>
          <w:sz w:val="32"/>
          <w:szCs w:val="32"/>
        </w:rPr>
        <w:t>撒瓦脚乡本年</w:t>
      </w:r>
      <w:r>
        <w:rPr>
          <w:rFonts w:hint="eastAsia" w:ascii="仿宋" w:eastAsia="仿宋"/>
          <w:sz w:val="32"/>
          <w:szCs w:val="32"/>
        </w:rPr>
        <w:t>2024年度本年支出合计</w:t>
      </w:r>
      <w:r>
        <w:rPr>
          <w:sz w:val="32"/>
          <w:szCs w:val="32"/>
        </w:rPr>
        <w:t>856.84</w:t>
      </w:r>
      <w:r>
        <w:rPr>
          <w:rFonts w:hint="eastAsia" w:ascii="仿宋" w:eastAsia="仿宋"/>
          <w:sz w:val="32"/>
          <w:szCs w:val="32"/>
        </w:rPr>
        <w:t>万元，其中：基本支出</w:t>
      </w:r>
      <w:r>
        <w:rPr>
          <w:sz w:val="32"/>
          <w:szCs w:val="32"/>
        </w:rPr>
        <w:t>717.65</w:t>
      </w:r>
      <w:r>
        <w:rPr>
          <w:rFonts w:hint="eastAsia" w:ascii="仿宋" w:eastAsia="仿宋"/>
          <w:sz w:val="32"/>
          <w:szCs w:val="32"/>
        </w:rPr>
        <w:t>万元，占</w:t>
      </w:r>
      <w:r>
        <w:rPr>
          <w:rFonts w:hint="eastAsia"/>
          <w:sz w:val="32"/>
          <w:szCs w:val="32"/>
        </w:rPr>
        <w:t>83.76</w:t>
      </w:r>
      <w:r>
        <w:rPr>
          <w:rFonts w:ascii="仿宋" w:eastAsia="仿宋"/>
          <w:sz w:val="32"/>
          <w:szCs w:val="32"/>
        </w:rPr>
        <w:t>%</w:t>
      </w:r>
      <w:r>
        <w:rPr>
          <w:rFonts w:hint="eastAsia" w:ascii="仿宋" w:eastAsia="仿宋"/>
          <w:sz w:val="32"/>
          <w:szCs w:val="32"/>
        </w:rPr>
        <w:t>；项目支出</w:t>
      </w:r>
      <w:r>
        <w:rPr>
          <w:sz w:val="32"/>
          <w:szCs w:val="32"/>
        </w:rPr>
        <w:t>139.19</w:t>
      </w:r>
      <w:r>
        <w:rPr>
          <w:rFonts w:hint="eastAsia" w:ascii="仿宋" w:eastAsia="仿宋"/>
          <w:sz w:val="32"/>
          <w:szCs w:val="32"/>
        </w:rPr>
        <w:t>万元，占</w:t>
      </w:r>
      <w:r>
        <w:rPr>
          <w:rFonts w:hint="eastAsia"/>
          <w:sz w:val="32"/>
          <w:szCs w:val="32"/>
        </w:rPr>
        <w:t>16.24</w:t>
      </w:r>
      <w:r>
        <w:rPr>
          <w:rFonts w:ascii="仿宋" w:eastAsia="仿宋"/>
          <w:sz w:val="32"/>
          <w:szCs w:val="32"/>
        </w:rPr>
        <w:t>%</w:t>
      </w:r>
      <w:r>
        <w:rPr>
          <w:rFonts w:hint="eastAsia" w:ascii="仿宋" w:eastAsia="仿宋"/>
          <w:sz w:val="32"/>
          <w:szCs w:val="32"/>
        </w:rPr>
        <w:t>；上缴上级支出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；经营支出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；对附属单位补助支出</w:t>
      </w:r>
      <w:r>
        <w:rPr>
          <w:sz w:val="32"/>
          <w:szCs w:val="32"/>
        </w:rPr>
        <w:t>0</w:t>
      </w:r>
      <w:r>
        <w:rPr>
          <w:rFonts w:hint="eastAsia" w:ascii="仿宋" w:eastAsia="仿宋"/>
          <w:sz w:val="32"/>
          <w:szCs w:val="32"/>
        </w:rPr>
        <w:t>万元，占</w:t>
      </w:r>
      <w:r>
        <w:rPr>
          <w:sz w:val="32"/>
          <w:szCs w:val="32"/>
        </w:rPr>
        <w:t>0</w:t>
      </w:r>
      <w:r>
        <w:rPr>
          <w:rFonts w:ascii="仿宋" w:eastAsia="仿宋"/>
          <w:sz w:val="32"/>
          <w:szCs w:val="32"/>
        </w:rPr>
        <w:t>%</w:t>
      </w:r>
      <w:r>
        <w:rPr>
          <w:rFonts w:hint="eastAsia" w:ascii="仿宋" w:eastAsia="仿宋"/>
          <w:sz w:val="32"/>
          <w:szCs w:val="32"/>
        </w:rPr>
        <w:t>。</w:t>
      </w:r>
    </w:p>
    <w:p w14:paraId="4E6E3BF5">
      <w:pPr>
        <w:spacing w:line="600" w:lineRule="exact"/>
        <w:ind w:firstLine="645"/>
        <w:rPr>
          <w:rFonts w:ascii="仿宋" w:eastAsia="仿宋"/>
          <w:color w:val="000000"/>
          <w:sz w:val="32"/>
          <w:szCs w:val="32"/>
        </w:rPr>
      </w:pPr>
      <w:r>
        <w:rPr>
          <w:rFonts w:hint="eastAsia" w:ascii="仿宋" w:eastAsia="仿宋"/>
          <w:sz w:val="32"/>
          <w:szCs w:val="32"/>
        </w:rPr>
        <w:t>2024年度一般公共预算财政拨款支出</w:t>
      </w:r>
      <w:r>
        <w:rPr>
          <w:sz w:val="32"/>
          <w:szCs w:val="32"/>
        </w:rPr>
        <w:t>856.84</w:t>
      </w:r>
      <w:r>
        <w:rPr>
          <w:rFonts w:hint="eastAsia" w:ascii="仿宋" w:eastAsia="仿宋"/>
          <w:sz w:val="32"/>
          <w:szCs w:val="32"/>
        </w:rPr>
        <w:t>万元，主要用于以下方面</w:t>
      </w:r>
      <w:r>
        <w:rPr>
          <w:rFonts w:ascii="仿宋" w:eastAsia="仿宋"/>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294.56</w:t>
      </w:r>
      <w:r>
        <w:rPr>
          <w:rFonts w:hint="eastAsia" w:ascii="仿宋" w:eastAsia="仿宋"/>
          <w:color w:val="000000"/>
          <w:sz w:val="32"/>
          <w:szCs w:val="32"/>
        </w:rPr>
        <w:t>万元，占34.37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98.03</w:t>
      </w:r>
      <w:r>
        <w:rPr>
          <w:rFonts w:hint="eastAsia" w:ascii="仿宋" w:eastAsia="仿宋"/>
          <w:color w:val="000000"/>
          <w:sz w:val="32"/>
          <w:szCs w:val="32"/>
        </w:rPr>
        <w:t>万元，占11.44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38.06</w:t>
      </w:r>
      <w:r>
        <w:rPr>
          <w:rFonts w:hint="eastAsia" w:ascii="仿宋" w:eastAsia="仿宋"/>
          <w:color w:val="000000"/>
          <w:sz w:val="32"/>
          <w:szCs w:val="32"/>
        </w:rPr>
        <w:t>万元，占4.44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ascii="仿宋" w:eastAsia="仿宋"/>
          <w:color w:val="000000"/>
          <w:sz w:val="32"/>
          <w:szCs w:val="32"/>
        </w:rPr>
        <w:t>374.73</w:t>
      </w:r>
      <w:r>
        <w:rPr>
          <w:rFonts w:hint="eastAsia" w:ascii="仿宋" w:eastAsia="仿宋"/>
          <w:color w:val="000000"/>
          <w:sz w:val="32"/>
          <w:szCs w:val="32"/>
        </w:rPr>
        <w:t>万元，占43.73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ascii="仿宋" w:eastAsia="仿宋"/>
          <w:b/>
          <w:bCs/>
          <w:color w:val="000000"/>
          <w:sz w:val="32"/>
          <w:szCs w:val="32"/>
        </w:rPr>
        <w:t>51.46</w:t>
      </w:r>
      <w:r>
        <w:rPr>
          <w:rFonts w:hint="eastAsia" w:ascii="仿宋" w:eastAsia="仿宋"/>
          <w:color w:val="000000"/>
          <w:sz w:val="32"/>
          <w:szCs w:val="32"/>
        </w:rPr>
        <w:t>万元，占6</w:t>
      </w:r>
      <w:r>
        <w:rPr>
          <w:rFonts w:ascii="仿宋" w:eastAsia="仿宋"/>
          <w:color w:val="000000"/>
          <w:sz w:val="32"/>
          <w:szCs w:val="32"/>
        </w:rPr>
        <w:t>%</w:t>
      </w:r>
      <w:r>
        <w:rPr>
          <w:rFonts w:hint="eastAsia" w:ascii="仿宋" w:eastAsia="仿宋"/>
          <w:color w:val="000000"/>
          <w:sz w:val="32"/>
          <w:szCs w:val="32"/>
        </w:rPr>
        <w:t>；</w:t>
      </w:r>
      <w:r>
        <w:rPr>
          <w:rFonts w:ascii="仿宋" w:eastAsia="仿宋"/>
          <w:color w:val="000000"/>
          <w:sz w:val="32"/>
          <w:szCs w:val="32"/>
        </w:rPr>
        <w:t>2024</w:t>
      </w:r>
      <w:r>
        <w:rPr>
          <w:rFonts w:hint="eastAsia" w:ascii="仿宋" w:eastAsia="仿宋"/>
          <w:color w:val="000000"/>
          <w:sz w:val="32"/>
          <w:szCs w:val="32"/>
        </w:rPr>
        <w:t>年一般公共预算财政拨款基本支出</w:t>
      </w:r>
      <w:r>
        <w:rPr>
          <w:rFonts w:hint="eastAsia" w:ascii="仿宋_GB2312" w:eastAsia="仿宋_GB2312"/>
          <w:sz w:val="32"/>
          <w:szCs w:val="32"/>
        </w:rPr>
        <w:t>536.44</w:t>
      </w:r>
      <w:r>
        <w:rPr>
          <w:rFonts w:hint="eastAsia" w:ascii="仿宋" w:eastAsia="仿宋"/>
          <w:color w:val="000000"/>
          <w:sz w:val="32"/>
          <w:szCs w:val="32"/>
        </w:rPr>
        <w:t>万元，其中：</w:t>
      </w:r>
    </w:p>
    <w:p w14:paraId="60294C49">
      <w:pPr>
        <w:spacing w:line="600" w:lineRule="exact"/>
        <w:ind w:firstLine="645"/>
        <w:rPr>
          <w:rFonts w:ascii="仿宋" w:eastAsia="仿宋"/>
          <w:sz w:val="32"/>
          <w:szCs w:val="32"/>
        </w:rPr>
      </w:pPr>
      <w:r>
        <w:rPr>
          <w:rFonts w:hint="eastAsia" w:ascii="仿宋" w:eastAsia="仿宋"/>
          <w:sz w:val="32"/>
          <w:szCs w:val="32"/>
        </w:rPr>
        <w:t>人员经费</w:t>
      </w:r>
      <w:r>
        <w:rPr>
          <w:sz w:val="32"/>
          <w:szCs w:val="32"/>
        </w:rPr>
        <w:t>691.81</w:t>
      </w:r>
      <w:r>
        <w:rPr>
          <w:rFonts w:hint="eastAsia" w:ascii="仿宋" w:eastAsia="仿宋"/>
          <w:sz w:val="32"/>
          <w:szCs w:val="32"/>
        </w:rPr>
        <w:t>万元，主要包括：</w:t>
      </w:r>
      <w:r>
        <w:rPr>
          <w:rFonts w:hint="eastAsia" w:ascii="仿宋" w:eastAsia="仿宋"/>
          <w:color w:val="000000"/>
          <w:sz w:val="32"/>
          <w:szCs w:val="32"/>
        </w:rPr>
        <w:t>基本工资</w:t>
      </w:r>
      <w:r>
        <w:rPr>
          <w:rFonts w:ascii="仿宋" w:eastAsia="仿宋"/>
          <w:color w:val="000000"/>
          <w:sz w:val="32"/>
          <w:szCs w:val="32"/>
        </w:rPr>
        <w:t>112.96</w:t>
      </w:r>
      <w:r>
        <w:rPr>
          <w:rFonts w:hint="eastAsia" w:ascii="仿宋" w:eastAsia="仿宋"/>
          <w:color w:val="000000"/>
          <w:sz w:val="32"/>
          <w:szCs w:val="32"/>
        </w:rPr>
        <w:t>万元、津贴补贴</w:t>
      </w:r>
      <w:r>
        <w:rPr>
          <w:rFonts w:ascii="仿宋" w:eastAsia="仿宋"/>
          <w:color w:val="000000"/>
          <w:sz w:val="32"/>
          <w:szCs w:val="32"/>
        </w:rPr>
        <w:t>143.33</w:t>
      </w:r>
      <w:r>
        <w:rPr>
          <w:rFonts w:hint="eastAsia" w:ascii="仿宋" w:eastAsia="仿宋"/>
          <w:color w:val="000000"/>
          <w:sz w:val="32"/>
          <w:szCs w:val="32"/>
        </w:rPr>
        <w:t>万元、奖金</w:t>
      </w:r>
      <w:r>
        <w:rPr>
          <w:rFonts w:ascii="仿宋" w:eastAsia="仿宋"/>
          <w:color w:val="000000"/>
          <w:sz w:val="32"/>
          <w:szCs w:val="32"/>
        </w:rPr>
        <w:t>156.26</w:t>
      </w:r>
      <w:r>
        <w:rPr>
          <w:rFonts w:hint="eastAsia" w:ascii="仿宋" w:eastAsia="仿宋"/>
          <w:color w:val="000000"/>
          <w:sz w:val="32"/>
          <w:szCs w:val="32"/>
        </w:rPr>
        <w:t>万元，绩效</w:t>
      </w:r>
      <w:r>
        <w:rPr>
          <w:rFonts w:ascii="仿宋" w:eastAsia="仿宋"/>
          <w:color w:val="000000"/>
          <w:sz w:val="32"/>
          <w:szCs w:val="32"/>
        </w:rPr>
        <w:t>29.29</w:t>
      </w:r>
      <w:r>
        <w:rPr>
          <w:rFonts w:hint="eastAsia" w:ascii="仿宋" w:eastAsia="仿宋"/>
          <w:color w:val="000000"/>
          <w:sz w:val="32"/>
          <w:szCs w:val="32"/>
        </w:rPr>
        <w:t>万元，其他社会保险缴费</w:t>
      </w:r>
      <w:r>
        <w:rPr>
          <w:rFonts w:ascii="仿宋" w:eastAsia="仿宋"/>
          <w:color w:val="000000"/>
          <w:sz w:val="32"/>
          <w:szCs w:val="32"/>
        </w:rPr>
        <w:t>9.85</w:t>
      </w:r>
      <w:r>
        <w:rPr>
          <w:rFonts w:hint="eastAsia" w:ascii="仿宋" w:eastAsia="仿宋"/>
          <w:color w:val="000000"/>
          <w:sz w:val="32"/>
          <w:szCs w:val="32"/>
        </w:rPr>
        <w:t>万元，机关事业单位基本养老保险缴费</w:t>
      </w:r>
      <w:r>
        <w:rPr>
          <w:rFonts w:ascii="仿宋" w:eastAsia="仿宋"/>
          <w:color w:val="000000"/>
          <w:sz w:val="32"/>
          <w:szCs w:val="32"/>
        </w:rPr>
        <w:t>57.42</w:t>
      </w:r>
      <w:r>
        <w:rPr>
          <w:rFonts w:hint="eastAsia" w:ascii="仿宋" w:eastAsia="仿宋"/>
          <w:color w:val="000000"/>
          <w:sz w:val="32"/>
          <w:szCs w:val="32"/>
        </w:rPr>
        <w:t>万元、职业年金缴费</w:t>
      </w:r>
      <w:r>
        <w:rPr>
          <w:rFonts w:ascii="仿宋" w:eastAsia="仿宋"/>
          <w:color w:val="000000"/>
          <w:sz w:val="32"/>
          <w:szCs w:val="32"/>
        </w:rPr>
        <w:t>28.62</w:t>
      </w:r>
      <w:r>
        <w:rPr>
          <w:rFonts w:hint="eastAsia" w:ascii="仿宋" w:eastAsia="仿宋"/>
          <w:color w:val="000000"/>
          <w:sz w:val="32"/>
          <w:szCs w:val="32"/>
        </w:rPr>
        <w:t>万元、职工基本医疗保险缴费</w:t>
      </w:r>
      <w:r>
        <w:rPr>
          <w:rFonts w:ascii="仿宋" w:eastAsia="仿宋"/>
          <w:color w:val="000000"/>
          <w:sz w:val="32"/>
          <w:szCs w:val="32"/>
        </w:rPr>
        <w:t>30.72</w:t>
      </w:r>
      <w:r>
        <w:rPr>
          <w:rFonts w:hint="eastAsia" w:ascii="仿宋" w:eastAsia="仿宋"/>
          <w:color w:val="000000"/>
          <w:sz w:val="32"/>
          <w:szCs w:val="32"/>
        </w:rPr>
        <w:t>万元、公务员医疗补助缴费</w:t>
      </w:r>
      <w:r>
        <w:rPr>
          <w:rFonts w:ascii="仿宋" w:eastAsia="仿宋"/>
          <w:color w:val="000000"/>
          <w:sz w:val="32"/>
          <w:szCs w:val="32"/>
        </w:rPr>
        <w:t>4.88</w:t>
      </w:r>
      <w:r>
        <w:rPr>
          <w:rFonts w:hint="eastAsia" w:ascii="仿宋" w:eastAsia="仿宋"/>
          <w:color w:val="000000"/>
          <w:sz w:val="32"/>
          <w:szCs w:val="32"/>
        </w:rPr>
        <w:t>万元、住房公积金</w:t>
      </w:r>
      <w:r>
        <w:rPr>
          <w:rFonts w:ascii="仿宋" w:eastAsia="仿宋"/>
          <w:color w:val="000000"/>
          <w:sz w:val="32"/>
          <w:szCs w:val="32"/>
        </w:rPr>
        <w:t>50.26</w:t>
      </w:r>
      <w:r>
        <w:rPr>
          <w:rFonts w:hint="eastAsia" w:ascii="仿宋" w:eastAsia="仿宋"/>
          <w:color w:val="000000"/>
          <w:sz w:val="32"/>
          <w:szCs w:val="32"/>
        </w:rPr>
        <w:t>万元、生活补助</w:t>
      </w:r>
      <w:r>
        <w:rPr>
          <w:rFonts w:ascii="仿宋" w:eastAsia="仿宋"/>
          <w:color w:val="000000"/>
          <w:sz w:val="32"/>
          <w:szCs w:val="32"/>
        </w:rPr>
        <w:t>68.21</w:t>
      </w:r>
      <w:r>
        <w:rPr>
          <w:rFonts w:hint="eastAsia" w:ascii="仿宋" w:eastAsia="仿宋"/>
          <w:color w:val="000000"/>
          <w:sz w:val="32"/>
          <w:szCs w:val="32"/>
        </w:rPr>
        <w:t>万元</w:t>
      </w:r>
      <w:r>
        <w:rPr>
          <w:rFonts w:hint="eastAsia" w:ascii="仿宋" w:eastAsia="仿宋"/>
          <w:sz w:val="32"/>
          <w:szCs w:val="32"/>
        </w:rPr>
        <w:t>。</w:t>
      </w:r>
    </w:p>
    <w:p w14:paraId="2E1436F7">
      <w:pPr>
        <w:spacing w:line="600" w:lineRule="exact"/>
        <w:ind w:firstLine="645"/>
        <w:rPr>
          <w:rFonts w:ascii="仿宋" w:eastAsia="仿宋"/>
          <w:sz w:val="32"/>
          <w:szCs w:val="32"/>
        </w:rPr>
      </w:pPr>
      <w:r>
        <w:rPr>
          <w:rFonts w:hint="eastAsia" w:ascii="仿宋" w:eastAsia="仿宋"/>
          <w:sz w:val="32"/>
          <w:szCs w:val="32"/>
        </w:rPr>
        <w:t>　　公用经费</w:t>
      </w:r>
      <w:r>
        <w:rPr>
          <w:sz w:val="32"/>
          <w:szCs w:val="32"/>
        </w:rPr>
        <w:t>25.84</w:t>
      </w:r>
      <w:r>
        <w:rPr>
          <w:rFonts w:hint="eastAsia" w:ascii="仿宋" w:eastAsia="仿宋"/>
          <w:sz w:val="32"/>
          <w:szCs w:val="32"/>
        </w:rPr>
        <w:t>万元，主要包括：</w:t>
      </w:r>
      <w:r>
        <w:rPr>
          <w:rFonts w:hint="eastAsia" w:ascii="仿宋" w:eastAsia="仿宋"/>
          <w:color w:val="000000"/>
          <w:sz w:val="32"/>
          <w:szCs w:val="32"/>
        </w:rPr>
        <w:t>办公费</w:t>
      </w:r>
      <w:r>
        <w:rPr>
          <w:rFonts w:ascii="仿宋" w:eastAsia="仿宋"/>
          <w:color w:val="000000"/>
          <w:sz w:val="32"/>
          <w:szCs w:val="32"/>
        </w:rPr>
        <w:t>3.30</w:t>
      </w:r>
      <w:r>
        <w:rPr>
          <w:rFonts w:hint="eastAsia" w:ascii="仿宋" w:eastAsia="仿宋"/>
          <w:color w:val="000000"/>
          <w:sz w:val="32"/>
          <w:szCs w:val="32"/>
        </w:rPr>
        <w:t>万元，印刷费</w:t>
      </w:r>
      <w:r>
        <w:rPr>
          <w:rFonts w:ascii="仿宋" w:eastAsia="仿宋"/>
          <w:color w:val="000000"/>
          <w:sz w:val="32"/>
          <w:szCs w:val="32"/>
        </w:rPr>
        <w:t>2.68</w:t>
      </w:r>
      <w:r>
        <w:rPr>
          <w:rFonts w:hint="eastAsia" w:ascii="仿宋" w:eastAsia="仿宋"/>
          <w:color w:val="000000"/>
          <w:sz w:val="32"/>
          <w:szCs w:val="32"/>
        </w:rPr>
        <w:t>万元，电费</w:t>
      </w:r>
      <w:r>
        <w:rPr>
          <w:rFonts w:ascii="仿宋" w:eastAsia="仿宋"/>
          <w:color w:val="000000"/>
          <w:sz w:val="32"/>
          <w:szCs w:val="32"/>
        </w:rPr>
        <w:t>3.00</w:t>
      </w:r>
      <w:r>
        <w:rPr>
          <w:rFonts w:hint="eastAsia" w:ascii="仿宋" w:eastAsia="仿宋"/>
          <w:color w:val="000000"/>
          <w:sz w:val="32"/>
          <w:szCs w:val="32"/>
        </w:rPr>
        <w:t>万元，邮电费</w:t>
      </w:r>
      <w:r>
        <w:rPr>
          <w:rFonts w:ascii="仿宋" w:eastAsia="仿宋"/>
          <w:color w:val="000000"/>
          <w:sz w:val="32"/>
          <w:szCs w:val="32"/>
        </w:rPr>
        <w:t>3.00</w:t>
      </w:r>
      <w:r>
        <w:rPr>
          <w:rFonts w:hint="eastAsia" w:ascii="仿宋" w:eastAsia="仿宋"/>
          <w:color w:val="000000"/>
          <w:sz w:val="32"/>
          <w:szCs w:val="32"/>
        </w:rPr>
        <w:t>万元，差旅费3.26万元，劳务费</w:t>
      </w:r>
      <w:r>
        <w:rPr>
          <w:rFonts w:ascii="仿宋" w:eastAsia="仿宋"/>
          <w:color w:val="000000"/>
          <w:sz w:val="32"/>
          <w:szCs w:val="32"/>
        </w:rPr>
        <w:t>4.80</w:t>
      </w:r>
      <w:r>
        <w:rPr>
          <w:rFonts w:hint="eastAsia" w:ascii="仿宋" w:eastAsia="仿宋"/>
          <w:color w:val="000000"/>
          <w:sz w:val="32"/>
          <w:szCs w:val="32"/>
        </w:rPr>
        <w:t>万元，公务用车运行维护费</w:t>
      </w:r>
      <w:r>
        <w:rPr>
          <w:rFonts w:ascii="仿宋" w:eastAsia="仿宋"/>
          <w:color w:val="000000"/>
          <w:sz w:val="32"/>
          <w:szCs w:val="32"/>
        </w:rPr>
        <w:t>5.80</w:t>
      </w:r>
      <w:r>
        <w:rPr>
          <w:rFonts w:hint="eastAsia" w:ascii="仿宋" w:eastAsia="仿宋"/>
          <w:color w:val="000000"/>
          <w:sz w:val="32"/>
          <w:szCs w:val="32"/>
        </w:rPr>
        <w:t>万元</w:t>
      </w:r>
      <w:r>
        <w:rPr>
          <w:rFonts w:hint="eastAsia" w:ascii="仿宋" w:eastAsia="仿宋"/>
          <w:sz w:val="32"/>
          <w:szCs w:val="32"/>
        </w:rPr>
        <w:t>。</w:t>
      </w:r>
    </w:p>
    <w:p w14:paraId="291A523F">
      <w:pPr>
        <w:spacing w:line="600" w:lineRule="exact"/>
        <w:ind w:firstLine="320" w:firstLineChars="100"/>
        <w:rPr>
          <w:rFonts w:ascii="仿宋" w:eastAsia="仿宋"/>
          <w:color w:val="000000"/>
          <w:sz w:val="32"/>
          <w:szCs w:val="32"/>
        </w:rPr>
      </w:pPr>
      <w:r>
        <w:rPr>
          <w:rFonts w:hint="eastAsia" w:ascii="仿宋" w:eastAsia="仿宋"/>
          <w:color w:val="000000"/>
          <w:sz w:val="32"/>
          <w:szCs w:val="32"/>
        </w:rPr>
        <w:t>对个人和家庭的补助2万元，主要包括：生活补助2万元。</w:t>
      </w:r>
    </w:p>
    <w:p w14:paraId="283E2013">
      <w:pPr>
        <w:spacing w:line="600" w:lineRule="exact"/>
        <w:ind w:firstLine="645"/>
        <w:rPr>
          <w:rFonts w:ascii="仿宋" w:eastAsia="仿宋"/>
          <w:color w:val="000000"/>
          <w:sz w:val="32"/>
          <w:szCs w:val="32"/>
        </w:rPr>
      </w:pPr>
      <w:r>
        <w:rPr>
          <w:rFonts w:ascii="仿宋" w:eastAsia="仿宋"/>
          <w:color w:val="000000"/>
          <w:sz w:val="32"/>
          <w:szCs w:val="32"/>
        </w:rPr>
        <w:t>2024</w:t>
      </w:r>
      <w:r>
        <w:rPr>
          <w:rFonts w:hint="eastAsia" w:ascii="仿宋" w:eastAsia="仿宋"/>
          <w:color w:val="000000"/>
          <w:sz w:val="32"/>
          <w:szCs w:val="32"/>
        </w:rPr>
        <w:t>年一般公共预算财政拨款项目支出</w:t>
      </w:r>
      <w:r>
        <w:rPr>
          <w:rFonts w:ascii="仿宋" w:eastAsia="仿宋"/>
          <w:b/>
          <w:bCs/>
          <w:color w:val="000000"/>
          <w:sz w:val="32"/>
          <w:szCs w:val="32"/>
        </w:rPr>
        <w:t>139.19</w:t>
      </w:r>
      <w:r>
        <w:rPr>
          <w:rFonts w:hint="eastAsia" w:ascii="仿宋" w:eastAsia="仿宋"/>
          <w:color w:val="000000"/>
          <w:sz w:val="32"/>
          <w:szCs w:val="32"/>
        </w:rPr>
        <w:t>万元。</w:t>
      </w:r>
    </w:p>
    <w:p w14:paraId="4E9BA12D">
      <w:pPr>
        <w:ind w:firstLine="640" w:firstLineChars="200"/>
        <w:rPr>
          <w:rFonts w:ascii="仿宋_GB2312" w:eastAsia="仿宋_GB2312"/>
          <w:sz w:val="32"/>
          <w:szCs w:val="32"/>
        </w:rPr>
      </w:pPr>
      <w:r>
        <w:rPr>
          <w:rFonts w:hint="eastAsia" w:ascii="仿宋" w:eastAsia="仿宋"/>
          <w:color w:val="000000"/>
          <w:sz w:val="32"/>
          <w:szCs w:val="32"/>
        </w:rPr>
        <w:t>其他支出（金川县撒瓦脚</w:t>
      </w:r>
      <w:r>
        <w:rPr>
          <w:rFonts w:ascii="仿宋" w:eastAsia="仿宋"/>
          <w:color w:val="000000"/>
          <w:sz w:val="32"/>
          <w:szCs w:val="32"/>
        </w:rPr>
        <w:t>基层</w:t>
      </w:r>
      <w:r>
        <w:rPr>
          <w:rFonts w:hint="eastAsia" w:ascii="仿宋" w:eastAsia="仿宋"/>
          <w:color w:val="000000"/>
          <w:sz w:val="32"/>
          <w:szCs w:val="32"/>
        </w:rPr>
        <w:t>乡</w:t>
      </w:r>
      <w:r>
        <w:rPr>
          <w:rFonts w:ascii="仿宋" w:eastAsia="仿宋"/>
          <w:color w:val="000000"/>
          <w:sz w:val="32"/>
          <w:szCs w:val="32"/>
        </w:rPr>
        <w:t>政权建设和社区治理</w:t>
      </w:r>
      <w:r>
        <w:rPr>
          <w:rFonts w:hint="eastAsia" w:ascii="仿宋" w:eastAsia="仿宋"/>
          <w:color w:val="000000"/>
          <w:sz w:val="32"/>
          <w:szCs w:val="32"/>
        </w:rPr>
        <w:t>）12.00万元；对村民委员会和村党支部的补助（村干部生活补助、村级办公费、党建经费、公共运行经费）</w:t>
      </w:r>
      <w:r>
        <w:rPr>
          <w:rFonts w:ascii="仿宋" w:eastAsia="仿宋"/>
          <w:color w:val="000000"/>
          <w:sz w:val="32"/>
          <w:szCs w:val="32"/>
        </w:rPr>
        <w:t>30.00</w:t>
      </w:r>
      <w:r>
        <w:rPr>
          <w:rFonts w:hint="eastAsia" w:ascii="仿宋" w:eastAsia="仿宋"/>
          <w:color w:val="000000"/>
          <w:sz w:val="32"/>
          <w:szCs w:val="32"/>
        </w:rPr>
        <w:t>万元；农村基础设施建设（撒瓦脚乡农业基础设施建设）</w:t>
      </w:r>
      <w:r>
        <w:rPr>
          <w:rFonts w:ascii="仿宋" w:eastAsia="仿宋"/>
          <w:color w:val="000000"/>
          <w:sz w:val="32"/>
          <w:szCs w:val="32"/>
        </w:rPr>
        <w:t>97.19</w:t>
      </w:r>
      <w:r>
        <w:rPr>
          <w:rFonts w:hint="eastAsia" w:ascii="仿宋" w:eastAsia="仿宋"/>
          <w:color w:val="000000"/>
          <w:sz w:val="32"/>
          <w:szCs w:val="32"/>
        </w:rPr>
        <w:t>万元；</w:t>
      </w:r>
      <w:r>
        <w:rPr>
          <w:rFonts w:ascii="仿宋_GB2312" w:eastAsia="仿宋_GB2312"/>
          <w:sz w:val="32"/>
          <w:szCs w:val="32"/>
        </w:rPr>
        <w:t xml:space="preserve"> </w:t>
      </w:r>
    </w:p>
    <w:p w14:paraId="405D0D62">
      <w:pPr>
        <w:ind w:firstLine="643" w:firstLineChars="200"/>
        <w:rPr>
          <w:rFonts w:ascii="仿宋_GB2312" w:eastAsia="仿宋_GB2312"/>
          <w:sz w:val="32"/>
          <w:szCs w:val="32"/>
        </w:rPr>
      </w:pPr>
      <w:r>
        <w:rPr>
          <w:rFonts w:hint="eastAsia" w:ascii="楷体_GB2312" w:eastAsia="楷体_GB2312"/>
          <w:b/>
          <w:sz w:val="32"/>
          <w:szCs w:val="32"/>
        </w:rPr>
        <w:t>（三）结余分配和结转结余情况。</w:t>
      </w:r>
      <w:r>
        <w:rPr>
          <w:rFonts w:hint="eastAsia" w:eastAsia="楷体_GB2312"/>
          <w:sz w:val="32"/>
          <w:szCs w:val="32"/>
        </w:rPr>
        <w:t>撒瓦脚乡人民政府</w:t>
      </w:r>
      <w:r>
        <w:rPr>
          <w:rFonts w:hint="eastAsia" w:ascii="仿宋_GB2312" w:eastAsia="仿宋_GB2312"/>
          <w:sz w:val="32"/>
          <w:szCs w:val="32"/>
        </w:rPr>
        <w:t>2024年决算报表结转结余无。</w:t>
      </w:r>
    </w:p>
    <w:p w14:paraId="1A0F5D12">
      <w:pPr>
        <w:rPr>
          <w:rFonts w:ascii="黑体" w:eastAsia="黑体"/>
          <w:sz w:val="32"/>
          <w:szCs w:val="32"/>
        </w:rPr>
      </w:pPr>
      <w:r>
        <w:rPr>
          <w:rFonts w:hint="eastAsia" w:ascii="黑体" w:eastAsia="黑体"/>
          <w:sz w:val="32"/>
          <w:szCs w:val="32"/>
        </w:rPr>
        <w:t>三、部门预算绩效分析</w:t>
      </w:r>
    </w:p>
    <w:p w14:paraId="62E97D79">
      <w:pPr>
        <w:adjustRightInd w:val="0"/>
        <w:snapToGrid w:val="0"/>
        <w:spacing w:line="578" w:lineRule="exact"/>
        <w:ind w:firstLine="643" w:firstLineChars="200"/>
        <w:contextualSpacing/>
        <w:jc w:val="left"/>
        <w:rPr>
          <w:color w:val="000000"/>
          <w:kern w:val="0"/>
          <w:szCs w:val="32"/>
          <w:shd w:val="clear" w:color="auto" w:fill="FFFFFF"/>
          <w:lang w:val="zh-CN"/>
        </w:rPr>
      </w:pPr>
      <w:r>
        <w:rPr>
          <w:rFonts w:hint="eastAsia" w:ascii="楷体_GB2312" w:eastAsia="楷体_GB2312"/>
          <w:b/>
          <w:sz w:val="32"/>
          <w:szCs w:val="32"/>
        </w:rPr>
        <w:t>（一）部门预算总体绩效分析。</w:t>
      </w:r>
      <w:r>
        <w:rPr>
          <w:rFonts w:hint="eastAsia" w:ascii="仿宋" w:eastAsia="仿宋" w:cs="仿宋_GB2312"/>
          <w:color w:val="000000"/>
          <w:sz w:val="32"/>
          <w:szCs w:val="32"/>
          <w:lang w:val="zh-CN"/>
        </w:rPr>
        <w:t>我</w:t>
      </w:r>
      <w:r>
        <w:rPr>
          <w:rFonts w:hint="eastAsia" w:ascii="仿宋" w:eastAsia="仿宋" w:cs="仿宋_GB2312"/>
          <w:color w:val="000000"/>
          <w:sz w:val="32"/>
          <w:szCs w:val="32"/>
        </w:rPr>
        <w:t>乡</w:t>
      </w:r>
      <w:r>
        <w:rPr>
          <w:rFonts w:hint="eastAsia" w:ascii="仿宋" w:eastAsia="仿宋" w:cs="仿宋_GB2312"/>
          <w:color w:val="000000"/>
          <w:sz w:val="32"/>
          <w:szCs w:val="32"/>
          <w:lang w:val="zh-CN"/>
        </w:rPr>
        <w:t>按照规定完全履行职责，整体评价良好，服务对象基本满意。从预算执行情况</w:t>
      </w:r>
      <w:r>
        <w:rPr>
          <w:rFonts w:hint="eastAsia" w:ascii="仿宋" w:eastAsia="仿宋" w:cs="仿宋_GB2312"/>
          <w:color w:val="000000"/>
          <w:sz w:val="32"/>
          <w:szCs w:val="32"/>
        </w:rPr>
        <w:t>来</w:t>
      </w:r>
      <w:r>
        <w:rPr>
          <w:rFonts w:hint="eastAsia" w:ascii="仿宋" w:eastAsia="仿宋" w:cs="仿宋_GB2312"/>
          <w:color w:val="000000"/>
          <w:sz w:val="32"/>
          <w:szCs w:val="32"/>
          <w:lang w:val="zh-CN"/>
        </w:rPr>
        <w:t>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C9F34AC">
      <w:pPr>
        <w:adjustRightInd w:val="0"/>
        <w:snapToGrid w:val="0"/>
        <w:spacing w:line="578" w:lineRule="exact"/>
        <w:ind w:firstLine="643" w:firstLineChars="200"/>
        <w:contextualSpacing/>
        <w:jc w:val="left"/>
        <w:rPr>
          <w:color w:val="000000"/>
          <w:kern w:val="0"/>
          <w:szCs w:val="32"/>
          <w:shd w:val="clear" w:color="auto" w:fill="FFFFFF"/>
          <w:lang w:val="zh-CN"/>
        </w:rPr>
      </w:pPr>
      <w:r>
        <w:rPr>
          <w:rFonts w:hint="eastAsia" w:ascii="楷体_GB2312" w:eastAsia="楷体_GB2312"/>
          <w:b/>
          <w:sz w:val="32"/>
          <w:szCs w:val="32"/>
        </w:rPr>
        <w:t>1.</w:t>
      </w:r>
      <w:r>
        <w:rPr>
          <w:rFonts w:hint="eastAsia" w:ascii="楷体_GB2312" w:eastAsia="楷体_GB2312"/>
          <w:b/>
          <w:sz w:val="32"/>
          <w:szCs w:val="32"/>
          <w:lang w:val="zh-CN"/>
        </w:rPr>
        <w:t>履职效能。</w:t>
      </w: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2024年我单位“三公”经费支出总额为5.80万元。主要是公务用车运行维护费5.80万元。</w:t>
      </w:r>
    </w:p>
    <w:p w14:paraId="2E0E6534">
      <w:pPr>
        <w:spacing w:line="540" w:lineRule="exact"/>
        <w:ind w:firstLine="643" w:firstLineChars="200"/>
        <w:rPr>
          <w:rFonts w:ascii="楷体_GB2312" w:eastAsia="楷体_GB2312" w:cs="楷体_GB2312"/>
          <w:color w:val="000000"/>
          <w:kern w:val="0"/>
          <w:szCs w:val="32"/>
          <w:shd w:val="clear" w:color="auto" w:fill="FFFFFF"/>
          <w:lang w:val="zh-CN"/>
        </w:rPr>
      </w:pPr>
      <w:r>
        <w:rPr>
          <w:rFonts w:hint="eastAsia" w:ascii="楷体_GB2312" w:eastAsia="楷体_GB2312"/>
          <w:b/>
          <w:sz w:val="32"/>
          <w:szCs w:val="32"/>
        </w:rPr>
        <w:t>2.</w:t>
      </w:r>
      <w:r>
        <w:rPr>
          <w:rFonts w:ascii="楷体_GB2312" w:eastAsia="楷体_GB2312"/>
          <w:b/>
          <w:sz w:val="32"/>
          <w:szCs w:val="32"/>
          <w:lang w:val="zh-CN"/>
        </w:rPr>
        <w:t>预算管理</w:t>
      </w:r>
      <w:r>
        <w:rPr>
          <w:rFonts w:hint="eastAsia" w:ascii="楷体_GB2312" w:eastAsia="楷体_GB2312"/>
          <w:b/>
          <w:sz w:val="32"/>
          <w:szCs w:val="32"/>
          <w:lang w:val="zh-CN"/>
        </w:rPr>
        <w:t>。2024</w:t>
      </w:r>
      <w:r>
        <w:rPr>
          <w:rFonts w:hint="eastAsia" w:ascii="仿宋" w:eastAsia="仿宋" w:cs="仿宋_GB2312"/>
          <w:sz w:val="32"/>
          <w:szCs w:val="32"/>
        </w:rPr>
        <w:t>年预算</w:t>
      </w:r>
      <w:r>
        <w:rPr>
          <w:rFonts w:ascii="仿宋_GB2312" w:eastAsia="仿宋_GB2312" w:cs="仿宋_GB2312"/>
          <w:sz w:val="32"/>
          <w:szCs w:val="32"/>
        </w:rPr>
        <w:t>710.87</w:t>
      </w:r>
      <w:r>
        <w:rPr>
          <w:rFonts w:hint="eastAsia" w:ascii="仿宋" w:eastAsia="仿宋" w:cs="仿宋_GB2312"/>
          <w:sz w:val="32"/>
          <w:szCs w:val="32"/>
        </w:rPr>
        <w:t>万元</w:t>
      </w:r>
      <w:r>
        <w:rPr>
          <w:rFonts w:hint="eastAsia" w:ascii="仿宋_GB2312" w:eastAsia="仿宋_GB2312"/>
          <w:color w:val="000000"/>
          <w:sz w:val="32"/>
          <w:szCs w:val="32"/>
        </w:rPr>
        <w:t>与上年数相比有所增加，原因：</w:t>
      </w:r>
      <w:r>
        <w:rPr>
          <w:rFonts w:hint="eastAsia" w:ascii="仿宋_GB2312" w:eastAsia="仿宋_GB2312" w:cs="仿宋_GB2312"/>
          <w:sz w:val="32"/>
          <w:szCs w:val="32"/>
        </w:rPr>
        <w:t>实施养老保险制度后，增加养老保险和职业年金支出，人员工资增加等</w:t>
      </w:r>
      <w:r>
        <w:rPr>
          <w:rFonts w:hint="eastAsia" w:ascii="仿宋_GB2312" w:eastAsia="仿宋_GB2312" w:cs="仿宋"/>
          <w:color w:val="000000"/>
          <w:sz w:val="32"/>
          <w:szCs w:val="32"/>
        </w:rPr>
        <w:t>。</w:t>
      </w:r>
    </w:p>
    <w:p w14:paraId="4081FB1F">
      <w:pPr>
        <w:spacing w:line="540" w:lineRule="exact"/>
        <w:ind w:firstLine="643" w:firstLineChars="200"/>
        <w:rPr>
          <w:rFonts w:ascii="楷体_GB2312" w:eastAsia="楷体_GB2312" w:cs="楷体_GB2312"/>
          <w:color w:val="000000"/>
          <w:kern w:val="0"/>
          <w:szCs w:val="32"/>
          <w:shd w:val="clear" w:color="auto" w:fill="FFFFFF"/>
          <w:lang w:val="zh-CN"/>
        </w:rPr>
      </w:pPr>
      <w:r>
        <w:rPr>
          <w:rFonts w:hint="eastAsia" w:ascii="楷体_GB2312" w:eastAsia="楷体_GB2312"/>
          <w:b/>
          <w:sz w:val="32"/>
          <w:szCs w:val="32"/>
        </w:rPr>
        <w:t>3.</w:t>
      </w:r>
      <w:r>
        <w:rPr>
          <w:rFonts w:ascii="楷体_GB2312" w:eastAsia="楷体_GB2312"/>
          <w:b/>
          <w:sz w:val="32"/>
          <w:szCs w:val="32"/>
          <w:lang w:val="zh-CN"/>
        </w:rPr>
        <w:t>财务管理</w:t>
      </w:r>
      <w:r>
        <w:rPr>
          <w:rFonts w:hint="eastAsia" w:ascii="楷体_GB2312" w:eastAsia="楷体_GB2312"/>
          <w:b/>
          <w:sz w:val="32"/>
          <w:szCs w:val="32"/>
          <w:lang w:val="zh-CN"/>
        </w:rPr>
        <w:t>。</w:t>
      </w:r>
      <w:r>
        <w:rPr>
          <w:rFonts w:hint="eastAsia" w:ascii="仿宋" w:eastAsia="仿宋" w:cs="仿宋_GB2312"/>
          <w:color w:val="000000"/>
          <w:sz w:val="32"/>
          <w:szCs w:val="32"/>
          <w:lang w:val="zh-CN"/>
        </w:rPr>
        <w:t>根据相关要求，单位使用预算资金基本符合相关的预算财务管理制度。我</w:t>
      </w:r>
      <w:r>
        <w:rPr>
          <w:rFonts w:hint="eastAsia" w:ascii="仿宋" w:eastAsia="仿宋" w:cs="仿宋_GB2312"/>
          <w:color w:val="000000"/>
          <w:sz w:val="32"/>
          <w:szCs w:val="32"/>
        </w:rPr>
        <w:t>单位</w:t>
      </w:r>
      <w:r>
        <w:rPr>
          <w:rFonts w:hint="eastAsia" w:ascii="仿宋" w:eastAsia="仿宋" w:cs="仿宋_GB2312"/>
          <w:color w:val="000000"/>
          <w:sz w:val="32"/>
          <w:szCs w:val="32"/>
          <w:lang w:val="zh-CN"/>
        </w:rPr>
        <w:t>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14:paraId="5DC95C31">
      <w:pPr>
        <w:adjustRightInd w:val="0"/>
        <w:snapToGrid w:val="0"/>
        <w:spacing w:line="578" w:lineRule="exact"/>
        <w:ind w:firstLine="643" w:firstLineChars="200"/>
        <w:contextualSpacing/>
        <w:jc w:val="left"/>
        <w:rPr>
          <w:rFonts w:ascii="仿宋" w:eastAsia="仿宋" w:cs="仿宋_GB2312"/>
          <w:color w:val="000000"/>
          <w:sz w:val="32"/>
          <w:szCs w:val="32"/>
          <w:lang w:val="zh-CN"/>
        </w:rPr>
      </w:pPr>
      <w:r>
        <w:rPr>
          <w:rFonts w:hint="eastAsia" w:ascii="楷体_GB2312" w:eastAsia="楷体_GB2312"/>
          <w:b/>
          <w:sz w:val="32"/>
          <w:szCs w:val="32"/>
        </w:rPr>
        <w:t>4.</w:t>
      </w:r>
      <w:r>
        <w:rPr>
          <w:rFonts w:ascii="楷体_GB2312" w:eastAsia="楷体_GB2312"/>
          <w:b/>
          <w:sz w:val="32"/>
          <w:szCs w:val="32"/>
          <w:lang w:val="zh-CN"/>
        </w:rPr>
        <w:t>资产管理</w:t>
      </w:r>
      <w:r>
        <w:rPr>
          <w:rFonts w:hint="eastAsia" w:ascii="楷体_GB2312" w:eastAsia="楷体_GB2312"/>
          <w:b/>
          <w:sz w:val="32"/>
          <w:szCs w:val="32"/>
          <w:lang w:val="zh-CN"/>
        </w:rPr>
        <w:t>。</w:t>
      </w:r>
      <w:r>
        <w:rPr>
          <w:rFonts w:hint="eastAsia" w:ascii="仿宋" w:eastAsia="仿宋" w:cs="仿宋_GB2312"/>
          <w:color w:val="000000"/>
          <w:sz w:val="32"/>
          <w:szCs w:val="32"/>
          <w:lang w:val="zh-CN"/>
        </w:rPr>
        <w:t>我</w:t>
      </w:r>
      <w:r>
        <w:rPr>
          <w:rFonts w:hint="eastAsia" w:ascii="仿宋" w:eastAsia="仿宋" w:cs="仿宋_GB2312"/>
          <w:color w:val="000000"/>
          <w:sz w:val="32"/>
          <w:szCs w:val="32"/>
        </w:rPr>
        <w:t>单位2024年所有国有资产纳入</w:t>
      </w:r>
      <w:r>
        <w:rPr>
          <w:rFonts w:hint="eastAsia" w:ascii="仿宋" w:eastAsia="仿宋" w:cs="仿宋_GB2312"/>
          <w:color w:val="000000"/>
          <w:sz w:val="32"/>
          <w:szCs w:val="32"/>
          <w:lang w:val="zh-CN"/>
        </w:rPr>
        <w:t>资产管理系统，及时准确上报并做好资产的管理工作。</w:t>
      </w:r>
    </w:p>
    <w:p w14:paraId="3CE7EB79">
      <w:pPr>
        <w:adjustRightInd w:val="0"/>
        <w:snapToGrid w:val="0"/>
        <w:spacing w:line="578" w:lineRule="exact"/>
        <w:ind w:firstLine="643" w:firstLineChars="200"/>
        <w:contextualSpacing/>
        <w:jc w:val="left"/>
        <w:rPr>
          <w:rFonts w:ascii="仿宋" w:eastAsia="仿宋" w:cs="仿宋_GB2312"/>
          <w:color w:val="000000"/>
          <w:sz w:val="32"/>
          <w:szCs w:val="32"/>
        </w:rPr>
      </w:pPr>
      <w:r>
        <w:rPr>
          <w:rFonts w:hint="eastAsia" w:ascii="楷体_GB2312" w:eastAsia="楷体_GB2312"/>
          <w:b/>
          <w:sz w:val="32"/>
          <w:szCs w:val="32"/>
        </w:rPr>
        <w:t>5.</w:t>
      </w:r>
      <w:r>
        <w:rPr>
          <w:rFonts w:ascii="楷体_GB2312" w:eastAsia="楷体_GB2312"/>
          <w:b/>
          <w:sz w:val="32"/>
          <w:szCs w:val="32"/>
          <w:lang w:val="zh-CN"/>
        </w:rPr>
        <w:t>采购管理</w:t>
      </w:r>
      <w:r>
        <w:rPr>
          <w:rFonts w:hint="eastAsia" w:ascii="楷体_GB2312" w:eastAsia="楷体_GB2312"/>
          <w:b/>
          <w:sz w:val="32"/>
          <w:szCs w:val="32"/>
          <w:lang w:val="zh-CN"/>
        </w:rPr>
        <w:t>。</w:t>
      </w:r>
      <w:r>
        <w:rPr>
          <w:rFonts w:hint="eastAsia" w:ascii="仿宋" w:eastAsia="仿宋" w:cs="仿宋_GB2312"/>
          <w:color w:val="000000"/>
          <w:sz w:val="32"/>
          <w:szCs w:val="32"/>
          <w:lang w:val="zh-CN"/>
        </w:rPr>
        <w:t>我</w:t>
      </w:r>
      <w:r>
        <w:rPr>
          <w:rFonts w:hint="eastAsia" w:ascii="仿宋" w:eastAsia="仿宋" w:cs="仿宋_GB2312"/>
          <w:color w:val="000000"/>
          <w:sz w:val="32"/>
          <w:szCs w:val="32"/>
        </w:rPr>
        <w:t>单位2024年严格按照采购管理要求进行部门采购。</w:t>
      </w:r>
    </w:p>
    <w:p w14:paraId="47BD359E">
      <w:pPr>
        <w:adjustRightInd w:val="0"/>
        <w:snapToGrid w:val="0"/>
        <w:spacing w:line="578" w:lineRule="exact"/>
        <w:ind w:firstLine="640" w:firstLineChars="200"/>
        <w:jc w:val="left"/>
        <w:rPr>
          <w:rFonts w:ascii="楷体_GB2312" w:eastAsia="楷体_GB2312" w:cs="楷体_GB2312"/>
          <w:color w:val="000000"/>
          <w:kern w:val="0"/>
          <w:sz w:val="32"/>
          <w:szCs w:val="32"/>
          <w:shd w:val="clear" w:color="auto" w:fill="FFFFFF"/>
          <w:lang w:val="zh-CN"/>
        </w:rPr>
      </w:pPr>
    </w:p>
    <w:p w14:paraId="3B4FCE06">
      <w:pPr>
        <w:numPr>
          <w:ilvl w:val="0"/>
          <w:numId w:val="5"/>
        </w:numPr>
        <w:adjustRightInd w:val="0"/>
        <w:snapToGrid w:val="0"/>
        <w:spacing w:line="578" w:lineRule="exact"/>
        <w:ind w:firstLine="643" w:firstLineChars="200"/>
        <w:contextualSpacing/>
        <w:jc w:val="left"/>
        <w:rPr>
          <w:rFonts w:ascii="楷体_GB2312" w:eastAsia="楷体_GB2312"/>
          <w:b/>
          <w:sz w:val="32"/>
          <w:szCs w:val="32"/>
        </w:rPr>
      </w:pPr>
      <w:r>
        <w:rPr>
          <w:rFonts w:hint="eastAsia" w:ascii="楷体_GB2312" w:eastAsia="楷体_GB2312"/>
          <w:b/>
          <w:sz w:val="32"/>
          <w:szCs w:val="32"/>
        </w:rPr>
        <w:t>部门预算项目绩效分析。</w:t>
      </w:r>
    </w:p>
    <w:p w14:paraId="4C7E03C2">
      <w:pPr>
        <w:spacing w:line="540" w:lineRule="exact"/>
        <w:ind w:firstLine="640" w:firstLineChars="200"/>
        <w:rPr>
          <w:rFonts w:ascii="仿宋" w:eastAsia="仿宋" w:cs="仿宋_GB2312"/>
          <w:color w:val="000000"/>
          <w:sz w:val="32"/>
          <w:szCs w:val="32"/>
          <w:lang w:val="zh-CN"/>
        </w:rPr>
      </w:pPr>
      <w:r>
        <w:rPr>
          <w:rFonts w:ascii="仿宋" w:eastAsia="仿宋" w:cs="仿宋_GB2312"/>
          <w:color w:val="000000"/>
          <w:sz w:val="32"/>
          <w:szCs w:val="32"/>
        </w:rPr>
        <w:t>常年项目绩效分析。</w:t>
      </w:r>
      <w:r>
        <w:rPr>
          <w:rFonts w:ascii="仿宋" w:eastAsia="仿宋" w:cs="仿宋_GB2312"/>
          <w:color w:val="000000"/>
          <w:sz w:val="32"/>
          <w:szCs w:val="32"/>
          <w:lang w:val="zh-CN"/>
        </w:rPr>
        <w:t>该类项目总数</w:t>
      </w:r>
      <w:r>
        <w:rPr>
          <w:rFonts w:hint="eastAsia" w:ascii="仿宋" w:eastAsia="仿宋" w:cs="仿宋_GB2312"/>
          <w:color w:val="000000"/>
          <w:sz w:val="32"/>
          <w:szCs w:val="32"/>
        </w:rPr>
        <w:t>0</w:t>
      </w:r>
      <w:r>
        <w:rPr>
          <w:rFonts w:ascii="仿宋" w:eastAsia="仿宋" w:cs="仿宋_GB2312"/>
          <w:color w:val="000000"/>
          <w:sz w:val="32"/>
          <w:szCs w:val="32"/>
          <w:lang w:val="zh-CN"/>
        </w:rPr>
        <w:t>个，涉及预算总金额</w:t>
      </w:r>
      <w:r>
        <w:rPr>
          <w:rFonts w:hint="eastAsia" w:ascii="仿宋" w:eastAsia="仿宋" w:cs="仿宋_GB2312"/>
          <w:color w:val="000000"/>
          <w:sz w:val="32"/>
          <w:szCs w:val="32"/>
        </w:rPr>
        <w:t>0</w:t>
      </w:r>
      <w:r>
        <w:rPr>
          <w:rFonts w:ascii="仿宋" w:eastAsia="仿宋" w:cs="仿宋_GB2312"/>
          <w:color w:val="000000"/>
          <w:sz w:val="32"/>
          <w:szCs w:val="32"/>
          <w:lang w:val="zh-CN"/>
        </w:rPr>
        <w:t>万元，1</w:t>
      </w:r>
      <w:r>
        <w:rPr>
          <w:rFonts w:hint="eastAsia" w:ascii="仿宋" w:eastAsia="仿宋" w:cs="仿宋_GB2312"/>
          <w:color w:val="000000"/>
          <w:sz w:val="32"/>
          <w:szCs w:val="32"/>
          <w:lang w:val="zh-CN"/>
        </w:rPr>
        <w:t>—</w:t>
      </w:r>
      <w:r>
        <w:rPr>
          <w:rFonts w:ascii="仿宋" w:eastAsia="仿宋" w:cs="仿宋_GB2312"/>
          <w:color w:val="000000"/>
          <w:sz w:val="32"/>
          <w:szCs w:val="32"/>
          <w:lang w:val="zh-CN"/>
        </w:rPr>
        <w:t>1</w:t>
      </w:r>
      <w:r>
        <w:rPr>
          <w:rFonts w:ascii="仿宋" w:eastAsia="仿宋" w:cs="仿宋_GB2312"/>
          <w:color w:val="000000"/>
          <w:sz w:val="32"/>
          <w:szCs w:val="32"/>
        </w:rPr>
        <w:t>2</w:t>
      </w:r>
      <w:r>
        <w:rPr>
          <w:rFonts w:ascii="仿宋" w:eastAsia="仿宋" w:cs="仿宋_GB2312"/>
          <w:color w:val="000000"/>
          <w:sz w:val="32"/>
          <w:szCs w:val="32"/>
          <w:lang w:val="zh-CN"/>
        </w:rPr>
        <w:t>月预算执行总体进度为</w:t>
      </w:r>
      <w:r>
        <w:rPr>
          <w:rFonts w:hint="eastAsia" w:ascii="仿宋" w:eastAsia="仿宋" w:cs="仿宋_GB2312"/>
          <w:color w:val="000000"/>
          <w:sz w:val="32"/>
          <w:szCs w:val="32"/>
        </w:rPr>
        <w:t>100</w:t>
      </w:r>
      <w:r>
        <w:rPr>
          <w:rFonts w:ascii="仿宋" w:eastAsia="仿宋" w:cs="仿宋_GB2312"/>
          <w:color w:val="000000"/>
          <w:sz w:val="32"/>
          <w:szCs w:val="32"/>
          <w:lang w:val="zh-CN"/>
        </w:rPr>
        <w:t>%，其中：预算结余率大于</w:t>
      </w:r>
      <w:r>
        <w:rPr>
          <w:rFonts w:ascii="仿宋" w:eastAsia="仿宋" w:cs="仿宋_GB2312"/>
          <w:color w:val="000000"/>
          <w:sz w:val="32"/>
          <w:szCs w:val="32"/>
        </w:rPr>
        <w:t>10%</w:t>
      </w:r>
      <w:r>
        <w:rPr>
          <w:rFonts w:ascii="仿宋" w:eastAsia="仿宋" w:cs="仿宋_GB2312"/>
          <w:color w:val="000000"/>
          <w:sz w:val="32"/>
          <w:szCs w:val="32"/>
          <w:lang w:val="zh-CN"/>
        </w:rPr>
        <w:t>的项目共计</w:t>
      </w:r>
      <w:r>
        <w:rPr>
          <w:rFonts w:hint="eastAsia" w:ascii="仿宋" w:eastAsia="仿宋" w:cs="仿宋_GB2312"/>
          <w:color w:val="000000"/>
          <w:sz w:val="32"/>
          <w:szCs w:val="32"/>
        </w:rPr>
        <w:t>0</w:t>
      </w:r>
      <w:r>
        <w:rPr>
          <w:rFonts w:ascii="仿宋" w:eastAsia="仿宋" w:cs="仿宋_GB2312"/>
          <w:color w:val="000000"/>
          <w:sz w:val="32"/>
          <w:szCs w:val="32"/>
          <w:lang w:val="zh-CN"/>
        </w:rPr>
        <w:t>个。</w:t>
      </w:r>
    </w:p>
    <w:p w14:paraId="3AFE1448">
      <w:pPr>
        <w:spacing w:line="540" w:lineRule="exact"/>
        <w:ind w:firstLine="640" w:firstLineChars="200"/>
        <w:rPr>
          <w:rFonts w:ascii="仿宋" w:eastAsia="仿宋" w:cs="仿宋_GB2312"/>
          <w:color w:val="000000"/>
          <w:sz w:val="32"/>
          <w:szCs w:val="32"/>
          <w:lang w:val="zh-CN"/>
        </w:rPr>
      </w:pPr>
      <w:r>
        <w:rPr>
          <w:rFonts w:ascii="仿宋" w:eastAsia="仿宋" w:cs="仿宋_GB2312"/>
          <w:color w:val="000000"/>
          <w:sz w:val="32"/>
          <w:szCs w:val="32"/>
        </w:rPr>
        <w:t>阶段</w:t>
      </w:r>
      <w:r>
        <w:rPr>
          <w:rFonts w:hint="eastAsia" w:ascii="仿宋" w:eastAsia="仿宋" w:cs="仿宋_GB2312"/>
          <w:color w:val="000000"/>
          <w:sz w:val="32"/>
          <w:szCs w:val="32"/>
        </w:rPr>
        <w:t>（</w:t>
      </w:r>
      <w:r>
        <w:rPr>
          <w:rFonts w:ascii="仿宋" w:eastAsia="仿宋" w:cs="仿宋_GB2312"/>
          <w:color w:val="000000"/>
          <w:sz w:val="32"/>
          <w:szCs w:val="32"/>
        </w:rPr>
        <w:t>一次性</w:t>
      </w:r>
      <w:r>
        <w:rPr>
          <w:rFonts w:hint="eastAsia" w:ascii="仿宋" w:eastAsia="仿宋" w:cs="仿宋_GB2312"/>
          <w:color w:val="000000"/>
          <w:sz w:val="32"/>
          <w:szCs w:val="32"/>
        </w:rPr>
        <w:t>）</w:t>
      </w:r>
      <w:r>
        <w:rPr>
          <w:rFonts w:ascii="仿宋" w:eastAsia="仿宋" w:cs="仿宋_GB2312"/>
          <w:color w:val="000000"/>
          <w:sz w:val="32"/>
          <w:szCs w:val="32"/>
        </w:rPr>
        <w:t>项目绩效分析。</w:t>
      </w:r>
      <w:r>
        <w:rPr>
          <w:rFonts w:ascii="仿宋" w:eastAsia="仿宋" w:cs="仿宋_GB2312"/>
          <w:color w:val="000000"/>
          <w:sz w:val="32"/>
          <w:szCs w:val="32"/>
          <w:lang w:val="zh-CN"/>
        </w:rPr>
        <w:t>该类项目总数</w:t>
      </w:r>
      <w:r>
        <w:rPr>
          <w:rFonts w:hint="eastAsia" w:ascii="仿宋" w:eastAsia="仿宋" w:cs="仿宋_GB2312"/>
          <w:color w:val="000000"/>
          <w:sz w:val="32"/>
          <w:szCs w:val="32"/>
        </w:rPr>
        <w:t>3</w:t>
      </w:r>
      <w:r>
        <w:rPr>
          <w:rFonts w:ascii="仿宋" w:eastAsia="仿宋" w:cs="仿宋_GB2312"/>
          <w:color w:val="000000"/>
          <w:sz w:val="32"/>
          <w:szCs w:val="32"/>
          <w:lang w:val="zh-CN"/>
        </w:rPr>
        <w:t>个，涉及预算总金额</w:t>
      </w:r>
      <w:r>
        <w:rPr>
          <w:rFonts w:hint="eastAsia" w:ascii="仿宋" w:eastAsia="仿宋" w:cs="仿宋_GB2312"/>
          <w:color w:val="000000"/>
          <w:sz w:val="32"/>
          <w:szCs w:val="32"/>
        </w:rPr>
        <w:t>139.19</w:t>
      </w:r>
      <w:r>
        <w:rPr>
          <w:rFonts w:ascii="仿宋" w:eastAsia="仿宋" w:cs="仿宋_GB2312"/>
          <w:color w:val="000000"/>
          <w:sz w:val="32"/>
          <w:szCs w:val="32"/>
          <w:lang w:val="zh-CN"/>
        </w:rPr>
        <w:t>万元，1</w:t>
      </w:r>
      <w:r>
        <w:rPr>
          <w:rFonts w:hint="eastAsia" w:ascii="仿宋" w:eastAsia="仿宋" w:cs="仿宋_GB2312"/>
          <w:color w:val="000000"/>
          <w:sz w:val="32"/>
          <w:szCs w:val="32"/>
          <w:lang w:val="zh-CN"/>
        </w:rPr>
        <w:t>—</w:t>
      </w:r>
      <w:r>
        <w:rPr>
          <w:rFonts w:ascii="仿宋" w:eastAsia="仿宋" w:cs="仿宋_GB2312"/>
          <w:color w:val="000000"/>
          <w:sz w:val="32"/>
          <w:szCs w:val="32"/>
          <w:lang w:val="zh-CN"/>
        </w:rPr>
        <w:t>1</w:t>
      </w:r>
      <w:r>
        <w:rPr>
          <w:rFonts w:ascii="仿宋" w:eastAsia="仿宋" w:cs="仿宋_GB2312"/>
          <w:color w:val="000000"/>
          <w:sz w:val="32"/>
          <w:szCs w:val="32"/>
        </w:rPr>
        <w:t>2</w:t>
      </w:r>
      <w:r>
        <w:rPr>
          <w:rFonts w:ascii="仿宋" w:eastAsia="仿宋" w:cs="仿宋_GB2312"/>
          <w:color w:val="000000"/>
          <w:sz w:val="32"/>
          <w:szCs w:val="32"/>
          <w:lang w:val="zh-CN"/>
        </w:rPr>
        <w:t>月预算执行总体进度为</w:t>
      </w:r>
      <w:r>
        <w:rPr>
          <w:rFonts w:hint="eastAsia" w:ascii="仿宋" w:eastAsia="仿宋" w:cs="仿宋_GB2312"/>
          <w:color w:val="000000"/>
          <w:sz w:val="32"/>
          <w:szCs w:val="32"/>
        </w:rPr>
        <w:t>100</w:t>
      </w:r>
      <w:r>
        <w:rPr>
          <w:rFonts w:ascii="仿宋" w:eastAsia="仿宋" w:cs="仿宋_GB2312"/>
          <w:color w:val="000000"/>
          <w:sz w:val="32"/>
          <w:szCs w:val="32"/>
          <w:lang w:val="zh-CN"/>
        </w:rPr>
        <w:t>%，其中：预算结余率大于</w:t>
      </w:r>
      <w:r>
        <w:rPr>
          <w:rFonts w:ascii="仿宋" w:eastAsia="仿宋" w:cs="仿宋_GB2312"/>
          <w:color w:val="000000"/>
          <w:sz w:val="32"/>
          <w:szCs w:val="32"/>
        </w:rPr>
        <w:t>10%</w:t>
      </w:r>
      <w:r>
        <w:rPr>
          <w:rFonts w:ascii="仿宋" w:eastAsia="仿宋" w:cs="仿宋_GB2312"/>
          <w:color w:val="000000"/>
          <w:sz w:val="32"/>
          <w:szCs w:val="32"/>
          <w:lang w:val="zh-CN"/>
        </w:rPr>
        <w:t>的项目共计</w:t>
      </w:r>
      <w:r>
        <w:rPr>
          <w:rFonts w:hint="eastAsia" w:ascii="仿宋" w:eastAsia="仿宋" w:cs="仿宋_GB2312"/>
          <w:color w:val="000000"/>
          <w:sz w:val="32"/>
          <w:szCs w:val="32"/>
        </w:rPr>
        <w:t>0</w:t>
      </w:r>
      <w:r>
        <w:rPr>
          <w:rFonts w:ascii="仿宋" w:eastAsia="仿宋" w:cs="仿宋_GB2312"/>
          <w:color w:val="000000"/>
          <w:sz w:val="32"/>
          <w:szCs w:val="32"/>
          <w:lang w:val="zh-CN"/>
        </w:rPr>
        <w:t>个。</w:t>
      </w:r>
    </w:p>
    <w:p w14:paraId="4013DE4D">
      <w:pPr>
        <w:spacing w:line="540" w:lineRule="exact"/>
        <w:ind w:firstLine="640" w:firstLineChars="200"/>
        <w:rPr>
          <w:rFonts w:ascii="仿宋" w:eastAsia="仿宋" w:cs="仿宋_GB2312"/>
          <w:color w:val="000000"/>
          <w:sz w:val="32"/>
          <w:szCs w:val="32"/>
          <w:lang w:val="zh-CN"/>
        </w:rPr>
      </w:pPr>
      <w:r>
        <w:rPr>
          <w:rFonts w:hint="eastAsia" w:ascii="楷体_GB2312" w:eastAsia="楷体_GB2312" w:cs="楷体_GB2312"/>
          <w:color w:val="000000"/>
          <w:kern w:val="0"/>
          <w:sz w:val="32"/>
          <w:szCs w:val="32"/>
          <w:shd w:val="clear" w:color="auto" w:fill="FFFFFF"/>
        </w:rPr>
        <w:t>1.</w:t>
      </w:r>
      <w:r>
        <w:rPr>
          <w:rFonts w:hint="eastAsia" w:ascii="楷体_GB2312" w:eastAsia="楷体_GB2312" w:cs="楷体_GB2312"/>
          <w:color w:val="000000"/>
          <w:kern w:val="0"/>
          <w:sz w:val="32"/>
          <w:szCs w:val="32"/>
          <w:shd w:val="clear" w:color="auto" w:fill="FFFFFF"/>
          <w:lang w:val="zh-CN"/>
        </w:rPr>
        <w:t>项目决策。</w:t>
      </w:r>
      <w:r>
        <w:rPr>
          <w:rFonts w:hint="eastAsia" w:ascii="仿宋" w:eastAsia="仿宋" w:cs="仿宋_GB2312"/>
          <w:color w:val="000000"/>
          <w:sz w:val="32"/>
          <w:szCs w:val="32"/>
        </w:rPr>
        <w:t>项目申报严格按照上级要求，明确绩效目标，控制支行成本，提高项目发挥作用。</w:t>
      </w:r>
    </w:p>
    <w:p w14:paraId="701D20DC">
      <w:pPr>
        <w:spacing w:line="540" w:lineRule="exact"/>
        <w:ind w:firstLine="640" w:firstLineChars="200"/>
        <w:rPr>
          <w:rFonts w:ascii="仿宋" w:eastAsia="仿宋" w:cs="仿宋_GB2312"/>
          <w:color w:val="000000"/>
          <w:sz w:val="32"/>
          <w:szCs w:val="32"/>
          <w:lang w:val="zh-CN"/>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仿宋" w:eastAsia="仿宋" w:cs="仿宋_GB2312"/>
          <w:color w:val="000000"/>
          <w:sz w:val="32"/>
          <w:szCs w:val="32"/>
          <w:lang w:val="zh-CN"/>
        </w:rPr>
        <w:t>根据财政局</w:t>
      </w:r>
      <w:r>
        <w:rPr>
          <w:rFonts w:hint="eastAsia" w:ascii="楷体_GB2312" w:eastAsia="楷体_GB2312" w:cs="楷体_GB2312"/>
          <w:color w:val="000000"/>
          <w:kern w:val="0"/>
          <w:sz w:val="32"/>
          <w:szCs w:val="32"/>
          <w:shd w:val="clear" w:color="auto" w:fill="FFFFFF"/>
          <w:lang w:val="zh-CN"/>
        </w:rPr>
        <w:t>统一</w:t>
      </w:r>
      <w:r>
        <w:rPr>
          <w:rFonts w:hint="eastAsia" w:ascii="仿宋" w:eastAsia="仿宋" w:cs="仿宋_GB2312"/>
          <w:color w:val="000000"/>
          <w:sz w:val="32"/>
          <w:szCs w:val="32"/>
          <w:lang w:val="zh-CN"/>
        </w:rPr>
        <w:t>要求编制了我</w:t>
      </w:r>
      <w:r>
        <w:rPr>
          <w:rFonts w:hint="eastAsia" w:ascii="仿宋" w:eastAsia="仿宋" w:cs="仿宋_GB2312"/>
          <w:color w:val="000000"/>
          <w:sz w:val="32"/>
          <w:szCs w:val="32"/>
        </w:rPr>
        <w:t>单位</w:t>
      </w:r>
      <w:r>
        <w:rPr>
          <w:rFonts w:hint="eastAsia" w:ascii="仿宋" w:eastAsia="仿宋" w:cs="仿宋_GB2312"/>
          <w:color w:val="000000"/>
          <w:sz w:val="32"/>
          <w:szCs w:val="32"/>
          <w:lang w:val="zh-CN"/>
        </w:rPr>
        <w:t>整体绩效目标报告及项目整体绩效目标表，并报县财政局。</w:t>
      </w:r>
    </w:p>
    <w:p w14:paraId="219EBE8F">
      <w:pPr>
        <w:ind w:firstLine="640" w:firstLineChars="200"/>
        <w:rPr>
          <w:rFonts w:eastAsia="仿宋_GB2312"/>
          <w:sz w:val="32"/>
          <w:szCs w:val="32"/>
          <w:lang w:val="zh-CN"/>
        </w:rPr>
      </w:pPr>
      <w:r>
        <w:rPr>
          <w:rFonts w:hint="eastAsia" w:ascii="楷体_GB2312" w:eastAsia="楷体_GB2312" w:cs="楷体_GB2312"/>
          <w:color w:val="000000"/>
          <w:kern w:val="0"/>
          <w:sz w:val="32"/>
          <w:szCs w:val="32"/>
          <w:shd w:val="clear" w:color="auto" w:fill="FFFFFF"/>
        </w:rPr>
        <w:t>3.</w:t>
      </w:r>
      <w:r>
        <w:rPr>
          <w:rFonts w:hint="eastAsia" w:ascii="楷体_GB2312" w:eastAsia="楷体_GB2312" w:cs="楷体_GB2312"/>
          <w:color w:val="000000"/>
          <w:kern w:val="0"/>
          <w:sz w:val="32"/>
          <w:szCs w:val="32"/>
          <w:shd w:val="clear" w:color="auto" w:fill="FFFFFF"/>
          <w:lang w:val="zh-CN"/>
        </w:rPr>
        <w:t>目标实现。</w:t>
      </w:r>
      <w:r>
        <w:rPr>
          <w:rFonts w:hint="eastAsia" w:ascii="仿宋_GB2312" w:eastAsia="仿宋_GB2312" w:cs="仿宋_GB2312"/>
          <w:sz w:val="32"/>
          <w:szCs w:val="32"/>
        </w:rPr>
        <w:t>根据预算绩效管理要求，我单位在年初预算编制阶段，组织对项目开展了预算事前绩效评估，本部门按要求对2024年部门整体支出开展绩效自评，</w:t>
      </w:r>
      <w:r>
        <w:rPr>
          <w:rFonts w:hint="eastAsia" w:ascii="仿宋_GB2312" w:eastAsia="仿宋_GB2312"/>
          <w:sz w:val="32"/>
          <w:szCs w:val="32"/>
        </w:rPr>
        <w:t>我单位深入贯彻落实二十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72376300">
      <w:pPr>
        <w:spacing w:line="540" w:lineRule="exact"/>
        <w:ind w:firstLine="643" w:firstLineChars="200"/>
        <w:rPr>
          <w:color w:val="000000"/>
          <w:kern w:val="0"/>
          <w:szCs w:val="32"/>
          <w:shd w:val="clear" w:color="auto" w:fill="FFFFFF"/>
        </w:rPr>
      </w:pPr>
      <w:r>
        <w:rPr>
          <w:rFonts w:hint="eastAsia" w:ascii="楷体_GB2312" w:eastAsia="楷体_GB2312"/>
          <w:b/>
          <w:sz w:val="32"/>
          <w:szCs w:val="32"/>
        </w:rPr>
        <w:t>（三）重点领域绩效分析。</w:t>
      </w: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2604077F">
      <w:pPr>
        <w:spacing w:line="580" w:lineRule="exact"/>
        <w:ind w:firstLine="643" w:firstLineChars="200"/>
        <w:rPr>
          <w:rFonts w:ascii="楷体_GB2312" w:eastAsia="楷体_GB2312" w:cs="楷体_GB2312"/>
          <w:color w:val="000000"/>
          <w:kern w:val="0"/>
          <w:szCs w:val="32"/>
          <w:shd w:val="clear" w:color="auto" w:fill="FFFFFF"/>
          <w:lang w:val="zh-CN"/>
        </w:rPr>
      </w:pPr>
      <w:r>
        <w:rPr>
          <w:rFonts w:hint="eastAsia" w:ascii="楷体_GB2312" w:eastAsia="楷体_GB2312"/>
          <w:b/>
          <w:sz w:val="32"/>
          <w:szCs w:val="32"/>
        </w:rPr>
        <w:t>（四）绩效结果应用情况。</w:t>
      </w:r>
      <w:r>
        <w:rPr>
          <w:rFonts w:hint="eastAsia" w:ascii="仿宋_GB2312" w:eastAsia="仿宋_GB2312" w:cs="仿宋_GB2312"/>
          <w:sz w:val="32"/>
          <w:szCs w:val="32"/>
        </w:rPr>
        <w:t>根据预算绩效管理要求，我单位在年初预算编制阶段，组织对项目开展了预算事前绩效评估，本部门按要求对2024年部门整体支出开展绩效自评，</w:t>
      </w:r>
      <w:r>
        <w:rPr>
          <w:rFonts w:hint="eastAsia" w:ascii="仿宋_GB2312" w:eastAsia="仿宋_GB2312"/>
          <w:sz w:val="32"/>
          <w:szCs w:val="32"/>
        </w:rPr>
        <w:t>我单位深入贯彻落实二十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7FA2D65E">
      <w:pPr>
        <w:ind w:firstLine="640" w:firstLineChars="200"/>
        <w:rPr>
          <w:rFonts w:eastAsia="仿宋_GB2312"/>
          <w:sz w:val="32"/>
          <w:szCs w:val="32"/>
          <w:lang w:val="zh-CN"/>
        </w:rPr>
      </w:pPr>
    </w:p>
    <w:p w14:paraId="610CC89A">
      <w:pPr>
        <w:ind w:firstLine="640" w:firstLineChars="200"/>
        <w:rPr>
          <w:rFonts w:ascii="黑体" w:eastAsia="黑体"/>
          <w:sz w:val="32"/>
          <w:szCs w:val="32"/>
        </w:rPr>
      </w:pPr>
      <w:r>
        <w:rPr>
          <w:rFonts w:hint="eastAsia" w:ascii="黑体" w:eastAsia="黑体"/>
          <w:sz w:val="32"/>
          <w:szCs w:val="32"/>
        </w:rPr>
        <w:t>四、评价结论及建议</w:t>
      </w:r>
    </w:p>
    <w:p w14:paraId="5337B9F2">
      <w:pPr>
        <w:spacing w:line="540" w:lineRule="exact"/>
        <w:ind w:firstLine="643" w:firstLineChars="200"/>
        <w:rPr>
          <w:rFonts w:ascii="仿宋" w:eastAsia="仿宋" w:cs="仿宋_GB2312"/>
          <w:color w:val="000000"/>
          <w:sz w:val="32"/>
          <w:szCs w:val="32"/>
          <w:lang w:val="zh-CN"/>
        </w:rPr>
      </w:pPr>
      <w:r>
        <w:rPr>
          <w:rFonts w:hint="eastAsia" w:ascii="楷体_GB2312" w:eastAsia="楷体_GB2312"/>
          <w:b/>
          <w:sz w:val="32"/>
          <w:szCs w:val="32"/>
        </w:rPr>
        <w:t>（一）评价结论。</w:t>
      </w:r>
      <w:r>
        <w:rPr>
          <w:rFonts w:hint="eastAsia" w:ascii="仿宋" w:eastAsia="仿宋" w:cs="仿宋_GB2312"/>
          <w:color w:val="000000"/>
          <w:kern w:val="0"/>
          <w:sz w:val="32"/>
          <w:szCs w:val="32"/>
          <w:shd w:val="clear" w:color="auto" w:fill="FFFFFF"/>
          <w:lang w:val="zh-CN"/>
        </w:rPr>
        <w:t>综合自评得分</w:t>
      </w:r>
      <w:r>
        <w:rPr>
          <w:rFonts w:hint="eastAsia" w:ascii="仿宋" w:eastAsia="仿宋" w:cs="仿宋_GB2312"/>
          <w:color w:val="000000"/>
          <w:kern w:val="0"/>
          <w:sz w:val="32"/>
          <w:szCs w:val="32"/>
          <w:shd w:val="clear" w:color="auto" w:fill="FFFFFF"/>
        </w:rPr>
        <w:t>92分；</w:t>
      </w: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14:paraId="44D533D9">
      <w:pPr>
        <w:ind w:firstLine="640" w:firstLineChars="200"/>
        <w:rPr>
          <w:rFonts w:eastAsia="仿宋_GB2312"/>
          <w:sz w:val="32"/>
          <w:szCs w:val="32"/>
          <w:lang w:val="zh-CN"/>
        </w:rPr>
      </w:pPr>
    </w:p>
    <w:p w14:paraId="6D0D7877">
      <w:pPr>
        <w:ind w:left="420" w:leftChars="200"/>
        <w:rPr>
          <w:rFonts w:ascii="仿宋" w:eastAsia="仿宋" w:cs="仿宋_GB2312"/>
          <w:color w:val="000000"/>
          <w:sz w:val="32"/>
          <w:szCs w:val="32"/>
          <w:shd w:val="clear" w:color="auto" w:fill="FFFFFF"/>
        </w:rPr>
      </w:pPr>
      <w:r>
        <w:rPr>
          <w:rFonts w:hint="eastAsia" w:ascii="楷体_GB2312" w:eastAsia="楷体_GB2312"/>
          <w:b/>
          <w:sz w:val="32"/>
          <w:szCs w:val="32"/>
        </w:rPr>
        <w:t>（二）存在问题。</w:t>
      </w:r>
      <w:r>
        <w:rPr>
          <w:rFonts w:hint="eastAsia" w:ascii="仿宋" w:eastAsia="仿宋" w:cs="仿宋_GB2312"/>
          <w:color w:val="000000"/>
          <w:sz w:val="32"/>
          <w:szCs w:val="32"/>
          <w:shd w:val="clear" w:color="auto" w:fill="FFFFFF"/>
        </w:rPr>
        <w:t>一是资金使用效益有待进一步提高。二是绩效目标设立不够明确、细化和量化。虽然设立了项目资金绩效目标，但目标不够明确、细化和量化。</w:t>
      </w:r>
    </w:p>
    <w:p w14:paraId="4293DC63">
      <w:pPr>
        <w:ind w:left="420" w:leftChars="200"/>
        <w:rPr>
          <w:rFonts w:hint="eastAsia" w:ascii="仿宋" w:eastAsia="仿宋" w:cs="仿宋_GB2312"/>
          <w:color w:val="000000"/>
          <w:sz w:val="32"/>
          <w:szCs w:val="32"/>
          <w:shd w:val="clear" w:color="auto" w:fill="FFFFFF"/>
        </w:rPr>
      </w:pPr>
      <w:r>
        <w:rPr>
          <w:rFonts w:hint="eastAsia" w:ascii="楷体_GB2312" w:eastAsia="楷体_GB2312"/>
          <w:b/>
          <w:sz w:val="32"/>
          <w:szCs w:val="32"/>
        </w:rPr>
        <w:t>（三）改进建议。</w:t>
      </w:r>
      <w:bookmarkStart w:id="109" w:name="_Hlk110546638"/>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bookmarkEnd w:id="109"/>
    </w:p>
    <w:p w14:paraId="62492A2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20"/>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2F26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14B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DFD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6117C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34F0FC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7E08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397023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0A6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8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0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指标</w:t>
            </w:r>
          </w:p>
          <w:p w14:paraId="7E039C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9B375">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36FA412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62EDF815">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42CC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2A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总体绩效</w:t>
            </w:r>
          </w:p>
          <w:p w14:paraId="75370F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339B3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履职效能</w:t>
            </w:r>
          </w:p>
          <w:p w14:paraId="56A52A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C8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34FBE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2B89CA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D5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EB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302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left w:val="single" w:color="000000" w:sz="4" w:space="0"/>
              <w:right w:val="single" w:color="000000" w:sz="4" w:space="0"/>
            </w:tcBorders>
            <w:shd w:val="clear" w:color="auto" w:fill="auto"/>
            <w:vAlign w:val="center"/>
          </w:tcPr>
          <w:p w14:paraId="475B6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right w:val="single" w:color="000000" w:sz="4" w:space="0"/>
            </w:tcBorders>
            <w:shd w:val="clear" w:color="auto" w:fill="auto"/>
            <w:vAlign w:val="center"/>
          </w:tcPr>
          <w:p w14:paraId="17D3B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2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67E66A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right w:val="single" w:color="000000" w:sz="4" w:space="0"/>
            </w:tcBorders>
            <w:shd w:val="clear" w:color="auto" w:fill="auto"/>
            <w:vAlign w:val="center"/>
          </w:tcPr>
          <w:p w14:paraId="4DEDCB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EC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84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5A8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37EF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56171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3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23D00D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73D573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BD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0F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7E6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741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BFA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预算管理</w:t>
            </w:r>
          </w:p>
          <w:p w14:paraId="59A24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CA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6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EE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2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9E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D7A4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AA9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97C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35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4C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FD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D4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45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8A16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AF0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9F5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3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A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FA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99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CF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76F1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C1D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444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A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15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FA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3A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D2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9B8F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041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1C1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5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7B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46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F6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62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A7F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8B0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D73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财务管理</w:t>
            </w:r>
          </w:p>
          <w:p w14:paraId="080584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0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1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A9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BC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D7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BD7F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E62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4F3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ED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09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26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D9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5A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877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5DE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590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E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A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F6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08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B0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FE4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5F2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22D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资产管理</w:t>
            </w:r>
          </w:p>
          <w:p w14:paraId="755855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BE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98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82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6F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3F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682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740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AFC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0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C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EE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33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B4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16E4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EE6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总体绩效</w:t>
            </w:r>
          </w:p>
          <w:p w14:paraId="4ED20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B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资产管理</w:t>
            </w:r>
          </w:p>
          <w:p w14:paraId="79282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B3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8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1D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53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EF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01AF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83A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09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采购管理</w:t>
            </w:r>
          </w:p>
          <w:p w14:paraId="53716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64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47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B1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B7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6A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BC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502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840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F0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6B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2E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AA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3B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9D95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A16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项目绩效</w:t>
            </w:r>
          </w:p>
          <w:p w14:paraId="0736FC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8599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项目决策</w:t>
            </w:r>
          </w:p>
          <w:p w14:paraId="629EF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19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F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59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FE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3B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F4A0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7E6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B9894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D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D1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10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50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66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A55F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7EE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66442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10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3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3A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FA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ED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271E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49C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CEA6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项目执行</w:t>
            </w:r>
          </w:p>
          <w:p w14:paraId="09E9C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27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71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CB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C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20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FAC7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2B7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A04E6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55AA7B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9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23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E5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49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F4B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F03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818E8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5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11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6E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3B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D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2ACB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BEB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D2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目标实现</w:t>
            </w:r>
          </w:p>
          <w:p w14:paraId="50284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3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02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A4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B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54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7A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324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7A8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0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1F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33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C2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89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A38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957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215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F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D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10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F8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1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F79A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1B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扣分项</w:t>
            </w:r>
          </w:p>
          <w:p w14:paraId="564CD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BA7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9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E8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2B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76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05B695D">
      <w:pPr>
        <w:pStyle w:val="2"/>
        <w:rPr>
          <w:lang w:val="zh-CN"/>
        </w:rPr>
      </w:pPr>
    </w:p>
    <w:p w14:paraId="35950ADD">
      <w:pPr>
        <w:pStyle w:val="18"/>
        <w:widowControl/>
        <w:jc w:val="center"/>
        <w:rPr>
          <w:rFonts w:hint="eastAsia"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 xml:space="preserve">  </w:t>
      </w:r>
    </w:p>
    <w:p w14:paraId="734663A1">
      <w:pPr>
        <w:pStyle w:val="18"/>
        <w:widowControl/>
        <w:jc w:val="center"/>
        <w:rPr>
          <w:rFonts w:hint="eastAsia" w:cs="Times New Roman"/>
          <w:color w:val="000000"/>
          <w:kern w:val="0"/>
          <w:szCs w:val="32"/>
          <w:highlight w:val="none"/>
          <w:shd w:val="clear" w:color="auto" w:fill="FFFFFF"/>
          <w:lang w:val="en-US" w:eastAsia="zh-CN"/>
        </w:rPr>
      </w:pPr>
    </w:p>
    <w:p w14:paraId="616E85F5">
      <w:pPr>
        <w:pStyle w:val="18"/>
        <w:widowControl/>
        <w:jc w:val="center"/>
        <w:rPr>
          <w:rFonts w:hint="eastAsia" w:cs="Times New Roman"/>
          <w:color w:val="000000"/>
          <w:kern w:val="0"/>
          <w:szCs w:val="32"/>
          <w:highlight w:val="none"/>
          <w:shd w:val="clear" w:color="auto" w:fill="FFFFFF"/>
          <w:lang w:val="en-US" w:eastAsia="zh-CN"/>
        </w:rPr>
      </w:pPr>
    </w:p>
    <w:tbl>
      <w:tblPr>
        <w:tblStyle w:val="20"/>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17"/>
        <w:gridCol w:w="706"/>
        <w:gridCol w:w="250"/>
        <w:gridCol w:w="364"/>
        <w:gridCol w:w="591"/>
        <w:gridCol w:w="1431"/>
        <w:gridCol w:w="311"/>
        <w:gridCol w:w="1120"/>
        <w:gridCol w:w="892"/>
        <w:gridCol w:w="575"/>
        <w:gridCol w:w="3103"/>
      </w:tblGrid>
      <w:tr w14:paraId="1975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1"/>
            <w:shd w:val="clear" w:color="auto" w:fill="auto"/>
            <w:vAlign w:val="center"/>
          </w:tcPr>
          <w:p w14:paraId="3656B92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1B830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1"/>
            <w:shd w:val="clear" w:color="auto" w:fill="auto"/>
            <w:vAlign w:val="center"/>
          </w:tcPr>
          <w:p w14:paraId="1B3E28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（2024年度）</w:t>
            </w:r>
          </w:p>
        </w:tc>
      </w:tr>
      <w:tr w14:paraId="245A6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1"/>
            <w:tcBorders>
              <w:bottom w:val="single" w:color="000000" w:sz="4" w:space="0"/>
            </w:tcBorders>
            <w:shd w:val="clear" w:color="auto" w:fill="auto"/>
            <w:vAlign w:val="center"/>
          </w:tcPr>
          <w:p w14:paraId="1F48781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38819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3FC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8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BBF882">
            <w:pPr>
              <w:keepNext w:val="0"/>
              <w:keepLines w:val="0"/>
              <w:widowControl/>
              <w:suppressLineNumbers w:val="0"/>
              <w:jc w:val="center"/>
              <w:textAlignment w:val="center"/>
              <w:rPr>
                <w:rFonts w:ascii="宋体" w:hAnsi="宋体" w:eastAsia="宋体" w:cs="宋体"/>
                <w:i w:val="0"/>
                <w:color w:val="000000"/>
                <w:sz w:val="18"/>
                <w:szCs w:val="18"/>
                <w:u w:val="none"/>
              </w:rPr>
            </w:pPr>
            <w:bookmarkStart w:id="114" w:name="_GoBack"/>
            <w:bookmarkEnd w:id="114"/>
            <w:r>
              <w:rPr>
                <w:rFonts w:hint="eastAsia" w:ascii="宋体" w:hAnsi="宋体" w:cs="宋体"/>
                <w:i w:val="0"/>
                <w:color w:val="000000"/>
                <w:kern w:val="0"/>
                <w:sz w:val="18"/>
                <w:szCs w:val="18"/>
                <w:u w:val="none"/>
                <w:lang w:val="en-US" w:eastAsia="zh-CN" w:bidi="ar"/>
              </w:rPr>
              <w:t>撒瓦脚</w:t>
            </w:r>
            <w:r>
              <w:rPr>
                <w:rFonts w:hint="eastAsia" w:ascii="宋体" w:hAnsi="宋体" w:eastAsia="宋体" w:cs="宋体"/>
                <w:i w:val="0"/>
                <w:color w:val="000000"/>
                <w:kern w:val="0"/>
                <w:sz w:val="18"/>
                <w:szCs w:val="18"/>
                <w:u w:val="none"/>
                <w:lang w:val="en-US" w:eastAsia="zh-CN" w:bidi="ar"/>
              </w:rPr>
              <w:t>乡</w:t>
            </w:r>
          </w:p>
        </w:tc>
      </w:tr>
      <w:tr w14:paraId="2DA8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DE7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C7BE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54A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B6D2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7258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78843">
            <w:pPr>
              <w:jc w:val="center"/>
              <w:rPr>
                <w:rFonts w:hint="eastAsia" w:ascii="宋体" w:hAnsi="宋体" w:eastAsia="宋体" w:cs="宋体"/>
                <w:i w:val="0"/>
                <w:color w:val="000000"/>
                <w:sz w:val="18"/>
                <w:szCs w:val="18"/>
                <w:u w:val="none"/>
              </w:rPr>
            </w:pP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93C573">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sz w:val="18"/>
                <w:szCs w:val="18"/>
                <w:u w:val="none"/>
              </w:rPr>
              <w:t>856.84</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BB1D85">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sz w:val="18"/>
                <w:szCs w:val="18"/>
                <w:u w:val="none"/>
              </w:rPr>
              <w:t>856.84</w:t>
            </w:r>
          </w:p>
        </w:tc>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8FF44F">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r>
      <w:tr w14:paraId="7626C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CB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93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726CEA">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tc>
      </w:tr>
      <w:tr w14:paraId="6CFB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0E7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8104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924A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2BB9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4E837">
            <w:pPr>
              <w:jc w:val="center"/>
              <w:rPr>
                <w:rFonts w:hint="eastAsia" w:ascii="宋体" w:hAnsi="宋体" w:eastAsia="宋体" w:cs="宋体"/>
                <w:i w:val="0"/>
                <w:color w:val="000000"/>
                <w:sz w:val="18"/>
                <w:szCs w:val="18"/>
                <w:u w:val="none"/>
              </w:rPr>
            </w:pP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C1EBF0">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行政机构工作职责</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98D886">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73D3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4F656">
            <w:pPr>
              <w:jc w:val="center"/>
              <w:rPr>
                <w:rFonts w:hint="eastAsia" w:ascii="宋体" w:hAnsi="宋体" w:eastAsia="宋体" w:cs="宋体"/>
                <w:i w:val="0"/>
                <w:color w:val="000000"/>
                <w:sz w:val="18"/>
                <w:szCs w:val="18"/>
                <w:u w:val="none"/>
              </w:rPr>
            </w:pPr>
          </w:p>
        </w:tc>
        <w:tc>
          <w:tcPr>
            <w:tcW w:w="19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1F593">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事业机构主要职责</w:t>
            </w:r>
          </w:p>
        </w:tc>
        <w:tc>
          <w:tcPr>
            <w:tcW w:w="74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6FBE40">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1548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8DB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C1E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C89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93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F17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8D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AC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B0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6B19C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94D7">
            <w:pPr>
              <w:jc w:val="center"/>
              <w:rPr>
                <w:rFonts w:hint="eastAsia" w:ascii="宋体" w:hAnsi="宋体" w:eastAsia="宋体" w:cs="宋体"/>
                <w:i w:val="0"/>
                <w:color w:val="000000"/>
                <w:sz w:val="18"/>
                <w:szCs w:val="18"/>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546A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9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E2A0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D4D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人员经费足额保障率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21C62">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688B">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0C60">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70A7">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4385F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239C2">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46979">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180CD">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FD72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F88E9">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BB2C">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7326">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次</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2878">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268B2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AB3AE">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06960">
            <w:pPr>
              <w:jc w:val="left"/>
              <w:rPr>
                <w:rFonts w:hint="eastAsia" w:ascii="宋体" w:hAnsi="宋体" w:eastAsia="宋体" w:cs="宋体"/>
                <w:i w:val="0"/>
                <w:color w:val="000000"/>
                <w:sz w:val="18"/>
                <w:szCs w:val="18"/>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1D14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04A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3D82A">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467A">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95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98D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1C7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7F0E7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9"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22F8E">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158F8">
            <w:pPr>
              <w:jc w:val="left"/>
              <w:rPr>
                <w:rFonts w:hint="eastAsia" w:ascii="宋体" w:hAnsi="宋体" w:eastAsia="宋体" w:cs="宋体"/>
                <w:i w:val="0"/>
                <w:color w:val="000000"/>
                <w:sz w:val="18"/>
                <w:szCs w:val="18"/>
                <w:u w:val="none"/>
              </w:rPr>
            </w:pP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71F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7D9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B6F3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A8E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E8A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B00B">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5</w:t>
            </w:r>
          </w:p>
        </w:tc>
      </w:tr>
      <w:tr w14:paraId="2A032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5"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09BB7">
            <w:pPr>
              <w:jc w:val="center"/>
              <w:rPr>
                <w:rFonts w:hint="eastAsia" w:ascii="宋体" w:hAnsi="宋体" w:eastAsia="宋体" w:cs="宋体"/>
                <w:i w:val="0"/>
                <w:color w:val="000000"/>
                <w:sz w:val="18"/>
                <w:szCs w:val="18"/>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B60B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9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FDEB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880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9BEF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549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D23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31A6">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0</w:t>
            </w:r>
          </w:p>
        </w:tc>
      </w:tr>
      <w:tr w14:paraId="68073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8"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301AA">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84DBD">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27045">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12A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预算结余率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0863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350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E00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00F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434D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7" w:hRule="atLeast"/>
          <w:jc w:val="center"/>
        </w:trPr>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87F97">
            <w:pPr>
              <w:jc w:val="center"/>
              <w:rPr>
                <w:rFonts w:hint="eastAsia" w:ascii="宋体" w:hAnsi="宋体" w:eastAsia="宋体" w:cs="宋体"/>
                <w:i w:val="0"/>
                <w:color w:val="000000"/>
                <w:sz w:val="18"/>
                <w:szCs w:val="18"/>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38CF7">
            <w:pPr>
              <w:jc w:val="left"/>
              <w:rPr>
                <w:rFonts w:hint="eastAsia" w:ascii="宋体" w:hAnsi="宋体" w:eastAsia="宋体" w:cs="宋体"/>
                <w:i w:val="0"/>
                <w:color w:val="000000"/>
                <w:sz w:val="18"/>
                <w:szCs w:val="18"/>
                <w:u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5793F">
            <w:pPr>
              <w:jc w:val="left"/>
              <w:rPr>
                <w:rFonts w:hint="eastAsia" w:ascii="宋体" w:hAnsi="宋体" w:eastAsia="宋体" w:cs="宋体"/>
                <w:i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918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4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E4B2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81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F62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A547">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5</w:t>
            </w:r>
          </w:p>
        </w:tc>
      </w:tr>
    </w:tbl>
    <w:p w14:paraId="595B1D74">
      <w:pPr>
        <w:rPr>
          <w:rFonts w:hint="eastAsia"/>
          <w:lang w:val="zh-CN"/>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14:paraId="2A2D6263">
      <w:pPr>
        <w:pStyle w:val="18"/>
        <w:widowControl/>
        <w:jc w:val="center"/>
        <w:rPr>
          <w:rFonts w:ascii="方正小标宋简体" w:eastAsia="方正小标宋简体" w:cs="方正小标宋简体"/>
          <w:kern w:val="2"/>
          <w:sz w:val="44"/>
          <w:szCs w:val="44"/>
        </w:rPr>
      </w:pPr>
      <w:r>
        <w:rPr>
          <w:rFonts w:hint="eastAsia" w:ascii="方正小标宋简体" w:eastAsia="方正小标宋简体" w:cs="方正小标宋简体"/>
          <w:kern w:val="2"/>
          <w:sz w:val="44"/>
          <w:szCs w:val="44"/>
        </w:rPr>
        <w:t>金川县撒瓦脚乡人民政府</w:t>
      </w:r>
    </w:p>
    <w:p w14:paraId="1A3DCA7A">
      <w:pPr>
        <w:pStyle w:val="18"/>
        <w:widowControl/>
        <w:ind w:firstLine="1320" w:firstLineChars="300"/>
        <w:jc w:val="both"/>
        <w:rPr>
          <w:rFonts w:ascii="方正小标宋简体" w:eastAsia="方正小标宋简体" w:cs="方正小标宋简体"/>
          <w:kern w:val="2"/>
          <w:sz w:val="44"/>
          <w:szCs w:val="44"/>
        </w:rPr>
      </w:pPr>
      <w:r>
        <w:rPr>
          <w:rFonts w:hint="eastAsia" w:ascii="方正小标宋简体" w:eastAsia="方正小标宋简体" w:cs="方正小标宋简体"/>
          <w:kern w:val="2"/>
          <w:sz w:val="44"/>
          <w:szCs w:val="44"/>
        </w:rPr>
        <w:t>专项预算项目支出绩效自评报告</w:t>
      </w:r>
    </w:p>
    <w:p w14:paraId="54D63DCD">
      <w:pPr>
        <w:pStyle w:val="35"/>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lang w:val="en-US"/>
        </w:rPr>
        <w:t xml:space="preserve">   （撒瓦脚乡路灯安装</w:t>
      </w:r>
      <w:r>
        <w:rPr>
          <w:rFonts w:hint="eastAsia" w:ascii="方正小标宋简体" w:eastAsia="方正小标宋简体" w:cs="方正小标宋简体"/>
          <w:color w:val="auto"/>
          <w:kern w:val="2"/>
          <w:sz w:val="44"/>
          <w:szCs w:val="44"/>
          <w:lang w:val="en-US" w:eastAsia="zh-CN"/>
        </w:rPr>
        <w:t>项目</w:t>
      </w:r>
      <w:r>
        <w:rPr>
          <w:rFonts w:hint="eastAsia" w:ascii="方正小标宋简体" w:eastAsia="方正小标宋简体" w:cs="方正小标宋简体"/>
          <w:color w:val="auto"/>
          <w:kern w:val="2"/>
          <w:sz w:val="44"/>
          <w:szCs w:val="44"/>
          <w:lang w:val="en-US"/>
        </w:rPr>
        <w:t>）</w:t>
      </w:r>
    </w:p>
    <w:p w14:paraId="0AF8028E">
      <w:pPr>
        <w:snapToGrid w:val="0"/>
        <w:spacing w:line="600" w:lineRule="exact"/>
        <w:ind w:firstLine="643" w:firstLineChars="200"/>
        <w:rPr>
          <w:rFonts w:hint="eastAsia" w:ascii="楷体_GB2312" w:eastAsia="楷体_GB2312" w:cs="Times New Roman"/>
          <w:b/>
          <w:color w:val="auto"/>
          <w:sz w:val="32"/>
          <w:szCs w:val="32"/>
          <w:highlight w:val="none"/>
          <w:u w:val="none"/>
          <w:lang w:val="zh-CN"/>
        </w:rPr>
      </w:pPr>
      <w:r>
        <w:rPr>
          <w:rFonts w:hint="eastAsia" w:ascii="楷体_GB2312" w:eastAsia="楷体_GB2312" w:cs="Times New Roman"/>
          <w:b/>
          <w:color w:val="auto"/>
          <w:sz w:val="32"/>
          <w:szCs w:val="32"/>
          <w:highlight w:val="none"/>
          <w:u w:val="none"/>
          <w:lang w:val="zh-CN"/>
        </w:rPr>
        <w:t>一、项目概况</w:t>
      </w:r>
    </w:p>
    <w:p w14:paraId="4BC67A44">
      <w:pPr>
        <w:spacing w:line="560" w:lineRule="exact"/>
        <w:ind w:firstLine="535"/>
        <w:rPr>
          <w:rFonts w:ascii="Times New Roman" w:hAnsi="Times New Roman" w:eastAsia="仿宋_GB2312" w:cs="Times New Roman"/>
          <w:kern w:val="2"/>
          <w:sz w:val="32"/>
          <w:szCs w:val="32"/>
          <w:lang w:val="en-US" w:eastAsia="zh-CN" w:bidi="ar-SA"/>
        </w:rPr>
      </w:pPr>
      <w:r>
        <w:rPr>
          <w:rFonts w:hint="eastAsia" w:ascii="楷体_GB2312" w:eastAsia="楷体_GB2312"/>
          <w:b/>
          <w:color w:val="auto"/>
          <w:sz w:val="32"/>
          <w:szCs w:val="32"/>
          <w:highlight w:val="none"/>
          <w:u w:val="none"/>
          <w:lang w:val="zh-CN"/>
        </w:rPr>
        <w:t>（一）设立背景及基本情况。</w:t>
      </w:r>
      <w:r>
        <w:rPr>
          <w:rFonts w:hint="eastAsia" w:ascii="Times New Roman" w:hAnsi="Times New Roman" w:eastAsia="仿宋_GB2312" w:cs="Times New Roman"/>
          <w:kern w:val="2"/>
          <w:sz w:val="32"/>
          <w:szCs w:val="32"/>
          <w:lang w:val="en-US" w:eastAsia="zh-CN" w:bidi="ar-SA"/>
        </w:rPr>
        <w:t>2018年脱贫以来，基础设施建设得到了很大的提高，合村以后由于资金有限，夜间照明工程未能实施，村民夜间出行安全存在很大隐患，偷牛盗马现象经常发生，随着群众生产生活条件的提高，人民群众对生活质量的要求也有所提高，为了更好的解决群众所需，建设太阳能路灯建设是我乡当前迫切需要解决的问题，也是党的执政能力在群众中的具体表现。</w:t>
      </w:r>
    </w:p>
    <w:p w14:paraId="2A60C020">
      <w:pPr>
        <w:pStyle w:val="7"/>
        <w:tabs>
          <w:tab w:val="left" w:pos="2160"/>
        </w:tabs>
        <w:spacing w:line="600" w:lineRule="exact"/>
        <w:ind w:firstLine="643" w:firstLineChars="200"/>
        <w:jc w:val="left"/>
        <w:rPr>
          <w:rFonts w:hint="eastAsia" w:ascii="Times New Roman" w:hAnsi="Times New Roman" w:eastAsia="仿宋_GB2312" w:cs="Times New Roman"/>
          <w:kern w:val="2"/>
          <w:sz w:val="32"/>
          <w:szCs w:val="32"/>
          <w:lang w:val="en-US" w:eastAsia="zh-CN" w:bidi="ar-SA"/>
        </w:rPr>
      </w:pPr>
      <w:r>
        <w:rPr>
          <w:rFonts w:hint="eastAsia" w:ascii="楷体_GB2312" w:eastAsia="楷体_GB2312"/>
          <w:b/>
          <w:color w:val="auto"/>
          <w:sz w:val="32"/>
          <w:szCs w:val="32"/>
          <w:highlight w:val="none"/>
          <w:u w:val="none"/>
          <w:lang w:val="zh-CN"/>
        </w:rPr>
        <w:t>（</w:t>
      </w:r>
      <w:r>
        <w:rPr>
          <w:rFonts w:hint="eastAsia" w:ascii="楷体_GB2312" w:eastAsia="楷体_GB2312" w:cs="Times New Roman"/>
          <w:b/>
          <w:color w:val="auto"/>
          <w:sz w:val="32"/>
          <w:szCs w:val="32"/>
          <w:highlight w:val="none"/>
          <w:u w:val="none"/>
          <w:lang w:val="zh-CN"/>
        </w:rPr>
        <w:t>二）</w:t>
      </w:r>
      <w:r>
        <w:rPr>
          <w:rFonts w:ascii="楷体_GB2312" w:eastAsia="楷体_GB2312" w:cs="Times New Roman"/>
          <w:b/>
          <w:color w:val="auto"/>
          <w:sz w:val="32"/>
          <w:szCs w:val="32"/>
          <w:highlight w:val="none"/>
          <w:u w:val="none"/>
          <w:lang w:val="en-US" w:eastAsia="zh-CN"/>
        </w:rPr>
        <w:t>实施目的及支持方向</w:t>
      </w:r>
      <w:r>
        <w:rPr>
          <w:rFonts w:hint="eastAsia" w:ascii="楷体_GB2312" w:eastAsia="楷体_GB2312" w:cs="Times New Roman"/>
          <w:b/>
          <w:color w:val="auto"/>
          <w:sz w:val="32"/>
          <w:szCs w:val="32"/>
          <w:highlight w:val="none"/>
          <w:u w:val="none"/>
          <w:lang w:val="en-US" w:eastAsia="zh-CN"/>
        </w:rPr>
        <w:t>。</w:t>
      </w:r>
      <w:r>
        <w:rPr>
          <w:rFonts w:hint="eastAsia" w:ascii="Times New Roman" w:hAnsi="Times New Roman" w:eastAsia="仿宋_GB2312" w:cs="Times New Roman"/>
          <w:kern w:val="2"/>
          <w:sz w:val="32"/>
          <w:szCs w:val="32"/>
          <w:lang w:val="en-US" w:eastAsia="zh-CN" w:bidi="ar-SA"/>
        </w:rPr>
        <w:t>为进一步完善</w:t>
      </w:r>
      <w:r>
        <w:rPr>
          <w:rFonts w:hint="eastAsia" w:ascii="Times New Roman" w:cs="Times New Roman"/>
          <w:kern w:val="2"/>
          <w:sz w:val="32"/>
          <w:szCs w:val="32"/>
          <w:lang w:val="en-US" w:eastAsia="zh-CN" w:bidi="ar-SA"/>
        </w:rPr>
        <w:t>撒瓦脚</w:t>
      </w:r>
      <w:r>
        <w:rPr>
          <w:rFonts w:hint="eastAsia" w:ascii="Times New Roman" w:hAnsi="Times New Roman" w:eastAsia="仿宋_GB2312" w:cs="Times New Roman"/>
          <w:kern w:val="2"/>
          <w:sz w:val="32"/>
          <w:szCs w:val="32"/>
          <w:lang w:val="en-US" w:eastAsia="zh-CN" w:bidi="ar-SA"/>
        </w:rPr>
        <w:t>乡安全饮水及基础设施建设，拓展牧民群众增收渠道，为</w:t>
      </w:r>
      <w:r>
        <w:rPr>
          <w:rFonts w:hint="eastAsia" w:ascii="Times New Roman" w:cs="Times New Roman"/>
          <w:kern w:val="2"/>
          <w:sz w:val="32"/>
          <w:szCs w:val="32"/>
          <w:lang w:val="en-US" w:eastAsia="zh-CN" w:bidi="ar-SA"/>
        </w:rPr>
        <w:t>撒瓦脚</w:t>
      </w:r>
      <w:r>
        <w:rPr>
          <w:rFonts w:hint="eastAsia" w:ascii="Times New Roman" w:hAnsi="Times New Roman" w:eastAsia="仿宋_GB2312" w:cs="Times New Roman"/>
          <w:kern w:val="2"/>
          <w:sz w:val="32"/>
          <w:szCs w:val="32"/>
          <w:lang w:val="en-US" w:eastAsia="zh-CN" w:bidi="ar-SA"/>
        </w:rPr>
        <w:t>乡下一步生态旅游发展奠定坚实基础，极大改善群众生产生活条件，是统筹城乡发展，是破解牧民增收致富奔小康，缩小发展差距的有益探索，是实施藏区新村建设的有力保障。</w:t>
      </w:r>
    </w:p>
    <w:p w14:paraId="540CA3AF">
      <w:pPr>
        <w:snapToGrid w:val="0"/>
        <w:spacing w:line="600" w:lineRule="exac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我单位开展自行评估，通过召开座谈会收集被评估项目相关基础资料，查阅资料、收集数据信息等，深入论证分析后，形成绩效评估报告。</w:t>
      </w:r>
    </w:p>
    <w:p w14:paraId="3A2902A7">
      <w:pPr>
        <w:pBdr>
          <w:bottom w:val="single" w:color="FFFFFF" w:sz="4" w:space="29"/>
        </w:pBdr>
        <w:tabs>
          <w:tab w:val="left" w:pos="1440"/>
        </w:tabs>
        <w:spacing w:line="576" w:lineRule="exact"/>
        <w:ind w:firstLine="643" w:firstLineChars="200"/>
        <w:rPr>
          <w:rFonts w:hint="eastAsia" w:ascii="Times New Roman" w:hAnsi="Times New Roman" w:eastAsia="仿宋_GB2312" w:cs="Times New Roman"/>
          <w:kern w:val="2"/>
          <w:sz w:val="32"/>
          <w:szCs w:val="32"/>
          <w:lang w:val="zh-CN" w:eastAsia="zh-CN" w:bidi="ar-SA"/>
        </w:rPr>
      </w:pPr>
      <w:r>
        <w:rPr>
          <w:rFonts w:hint="eastAsia" w:ascii="楷体_GB2312" w:eastAsia="楷体_GB2312" w:cs="Times New Roman"/>
          <w:b/>
          <w:color w:val="auto"/>
          <w:sz w:val="32"/>
          <w:szCs w:val="32"/>
          <w:highlight w:val="none"/>
          <w:u w:val="none"/>
          <w:lang w:val="zh-CN" w:eastAsia="zh-CN"/>
        </w:rPr>
        <w:t>（三）</w:t>
      </w:r>
      <w:r>
        <w:rPr>
          <w:rFonts w:ascii="楷体_GB2312" w:eastAsia="楷体_GB2312" w:cs="Times New Roman"/>
          <w:b/>
          <w:color w:val="auto"/>
          <w:sz w:val="32"/>
          <w:szCs w:val="32"/>
          <w:highlight w:val="none"/>
          <w:u w:val="none"/>
          <w:lang w:val="en-US" w:eastAsia="zh-CN"/>
        </w:rPr>
        <w:t>预算安排及分配管理</w:t>
      </w:r>
      <w:r>
        <w:rPr>
          <w:rFonts w:hint="eastAsia" w:ascii="Times New Roman" w:hAnsi="Times New Roman" w:eastAsia="仿宋_GB2312" w:cs="Times New Roman"/>
          <w:kern w:val="2"/>
          <w:sz w:val="32"/>
          <w:szCs w:val="32"/>
          <w:lang w:val="zh-CN" w:eastAsia="zh-CN" w:bidi="ar-SA"/>
        </w:rPr>
        <w:t>。项目申报预算80万元，本次申报金额为80 万元，资金来源为省级财政资金本次对项目投入经济性的评估是在项目事前绩效评估、预算测算的基础上，按照厉行节约的要求，结合项目 2023年实际需求评估认为，该项目任务数量基本合理、预算测算过程较为详细、测算依据基本充分、有一定的经济性。建议预算控制在80万元以内。</w:t>
      </w:r>
    </w:p>
    <w:p w14:paraId="6480A7D1">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仿宋_GB2312" w:cs="Times New Roman"/>
          <w:kern w:val="2"/>
          <w:sz w:val="32"/>
          <w:szCs w:val="32"/>
          <w:lang w:val="zh-CN" w:eastAsia="zh-CN" w:bidi="ar-SA"/>
        </w:rPr>
      </w:pPr>
      <w:r>
        <w:rPr>
          <w:rFonts w:hint="eastAsia" w:ascii="楷体_GB2312"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Times New Roman"/>
          <w:kern w:val="2"/>
          <w:sz w:val="32"/>
          <w:szCs w:val="32"/>
          <w:lang w:val="en-US" w:eastAsia="zh-CN" w:bidi="ar-SA"/>
        </w:rPr>
        <w:t>根据202</w:t>
      </w:r>
      <w:r>
        <w:rPr>
          <w:rFonts w:hint="eastAsia"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Times New Roman" w:hAnsi="Times New Roman" w:eastAsia="仿宋_GB2312" w:cs="Times New Roman"/>
          <w:kern w:val="2"/>
          <w:sz w:val="32"/>
          <w:szCs w:val="32"/>
          <w:lang w:val="zh-CN" w:eastAsia="zh-CN" w:bidi="ar-SA"/>
        </w:rPr>
        <w:t>。</w:t>
      </w:r>
    </w:p>
    <w:p w14:paraId="0F7938A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eastAsia="楷体_GB2312" w:cs="Times New Roman"/>
          <w:b/>
          <w:color w:val="auto"/>
          <w:sz w:val="32"/>
          <w:szCs w:val="32"/>
          <w:highlight w:val="none"/>
          <w:u w:val="none"/>
          <w:lang w:val="zh-CN" w:eastAsia="zh-CN"/>
        </w:rPr>
      </w:pPr>
      <w:r>
        <w:rPr>
          <w:rFonts w:hint="eastAsia" w:ascii="楷体_GB2312" w:eastAsia="楷体_GB2312" w:cs="Times New Roman"/>
          <w:b/>
          <w:color w:val="auto"/>
          <w:sz w:val="32"/>
          <w:szCs w:val="32"/>
          <w:highlight w:val="none"/>
          <w:u w:val="none"/>
          <w:lang w:val="zh-CN"/>
        </w:rPr>
        <w:t>二、</w:t>
      </w:r>
      <w:r>
        <w:rPr>
          <w:rFonts w:hint="eastAsia" w:ascii="楷体_GB2312" w:eastAsia="楷体_GB2312" w:cs="Times New Roman"/>
          <w:b/>
          <w:color w:val="auto"/>
          <w:sz w:val="32"/>
          <w:szCs w:val="32"/>
          <w:highlight w:val="none"/>
          <w:u w:val="none"/>
          <w:lang w:val="zh-CN" w:eastAsia="zh-CN"/>
        </w:rPr>
        <w:t>评价实施</w:t>
      </w:r>
    </w:p>
    <w:p w14:paraId="08AB999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szCs w:val="32"/>
        </w:rPr>
      </w:pPr>
      <w:r>
        <w:rPr>
          <w:rFonts w:hint="eastAsia" w:ascii="楷体_GB2312" w:eastAsia="楷体_GB2312"/>
          <w:b/>
          <w:color w:val="auto"/>
          <w:sz w:val="32"/>
          <w:szCs w:val="32"/>
          <w:highlight w:val="none"/>
          <w:u w:val="none"/>
          <w:lang w:val="zh-CN"/>
        </w:rPr>
        <w:t>（一）评价目的。</w:t>
      </w:r>
      <w:r>
        <w:rPr>
          <w:rFonts w:hint="eastAsia" w:ascii="Times New Roman" w:hAnsi="Times New Roman" w:eastAsia="仿宋_GB2312" w:cs="Times New Roman"/>
          <w:kern w:val="2"/>
          <w:sz w:val="32"/>
          <w:szCs w:val="32"/>
          <w:lang w:val="en-US"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6CF5C78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（二）预设问题及评价重点。</w:t>
      </w:r>
      <w:r>
        <w:rPr>
          <w:rFonts w:hint="eastAsia" w:ascii="Times New Roman" w:hAnsi="Times New Roman" w:eastAsia="仿宋_GB2312" w:cs="Times New Roman"/>
          <w:kern w:val="2"/>
          <w:sz w:val="32"/>
          <w:szCs w:val="32"/>
          <w:lang w:val="en-US" w:eastAsia="zh-CN" w:bidi="ar-SA"/>
        </w:rPr>
        <w:t>1、项目决策：</w:t>
      </w:r>
      <w:r>
        <w:rPr>
          <w:rFonts w:hint="eastAsia" w:ascii="Times New Roman" w:hAnsi="Times New Roman"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501EEE7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2、项目管理：</w:t>
      </w:r>
      <w:r>
        <w:rPr>
          <w:rFonts w:hint="eastAsia" w:ascii="Times New Roman" w:hAnsi="Times New Roman"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1D41E5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3、项目实施：</w:t>
      </w:r>
      <w:r>
        <w:rPr>
          <w:rFonts w:hint="eastAsia" w:ascii="Times New Roman" w:hAnsi="Times New Roman" w:eastAsia="仿宋_GB2312" w:cs="Times New Roman"/>
          <w:kern w:val="2"/>
          <w:sz w:val="32"/>
          <w:szCs w:val="32"/>
          <w:lang w:val="zh-CN" w:eastAsia="zh-CN" w:bidi="ar-SA"/>
        </w:rPr>
        <w:t>项目资金财政拨付按时完成率</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、单位执行资金使用率为</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和地方配套资金到位率</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F8D8AE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4、项目结果：</w:t>
      </w:r>
      <w:r>
        <w:rPr>
          <w:rFonts w:hint="eastAsia" w:ascii="Times New Roman" w:hAnsi="Times New Roman" w:eastAsia="仿宋_GB2312" w:cs="Times New Roman"/>
          <w:kern w:val="2"/>
          <w:sz w:val="32"/>
          <w:szCs w:val="32"/>
          <w:lang w:val="zh-CN" w:eastAsia="zh-CN" w:bidi="ar-SA"/>
        </w:rPr>
        <w:t>项目完成预期目标，实施结果与绩效目标相匹配，反映目标实现率</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，项目实际完成时间与计划完成时间的比较差异率为</w:t>
      </w:r>
      <w:r>
        <w:rPr>
          <w:rFonts w:hint="eastAsia"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en-US" w:eastAsia="zh-CN" w:bidi="ar-SA"/>
        </w:rPr>
        <w:t>%。</w:t>
      </w:r>
    </w:p>
    <w:p w14:paraId="7C98D49D">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（三）评价选点。</w:t>
      </w:r>
      <w:r>
        <w:rPr>
          <w:rFonts w:hint="eastAsia" w:ascii="Times New Roman" w:hAnsi="Times New Roman" w:eastAsia="仿宋_GB2312" w:cs="Times New Roman"/>
          <w:kern w:val="2"/>
          <w:sz w:val="32"/>
          <w:szCs w:val="32"/>
          <w:lang w:val="zh-CN" w:eastAsia="zh-CN" w:bidi="ar-SA"/>
        </w:rPr>
        <w:t>项目绩效自评抽样采用实地考察</w:t>
      </w:r>
    </w:p>
    <w:p w14:paraId="7C390E89">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outlineLvl w:val="9"/>
        <w:rPr>
          <w:rFonts w:hint="eastAsia" w:ascii="Times New Roman" w:hAnsi="Times New Roman" w:cs="Times New Roman"/>
          <w:szCs w:val="32"/>
          <w:lang w:val="zh-CN" w:eastAsia="zh-CN"/>
        </w:rPr>
      </w:pPr>
      <w:r>
        <w:rPr>
          <w:rFonts w:hint="eastAsia" w:ascii="楷体_GB2312" w:eastAsia="楷体_GB2312"/>
          <w:b/>
          <w:color w:val="auto"/>
          <w:sz w:val="32"/>
          <w:szCs w:val="32"/>
          <w:highlight w:val="none"/>
          <w:u w:val="none"/>
          <w:lang w:val="zh-CN"/>
        </w:rPr>
        <w:t>（四）评价方法。</w:t>
      </w:r>
      <w:r>
        <w:rPr>
          <w:rFonts w:hint="eastAsia" w:ascii="Times New Roman" w:hAnsi="Times New Roman" w:eastAsia="仿宋_GB2312" w:cs="Times New Roman"/>
          <w:kern w:val="2"/>
          <w:sz w:val="32"/>
          <w:szCs w:val="32"/>
          <w:lang w:val="zh-CN" w:eastAsia="zh-CN" w:bidi="ar-SA"/>
        </w:rPr>
        <w:t>我单位开展自行评估，通过召开座谈会收集被评估项目相关基础资料，查阅资料、收集数据信息等，深入论证分析后，形成绩效评估报告。根据项目完成情况，采用查看文卷及实地考察等方法。</w:t>
      </w:r>
    </w:p>
    <w:p w14:paraId="33DA8CB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（五）评价组织。</w:t>
      </w:r>
      <w:r>
        <w:rPr>
          <w:rFonts w:hint="eastAsia" w:ascii="Times New Roman" w:hAnsi="Times New Roman" w:eastAsia="仿宋_GB2312" w:cs="Times New Roman"/>
          <w:kern w:val="2"/>
          <w:sz w:val="32"/>
          <w:szCs w:val="32"/>
          <w:lang w:val="zh-CN" w:eastAsia="zh-CN" w:bidi="ar-SA"/>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5A277A2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_GB2312" w:hAnsi="仿宋_GB2312"/>
          <w:color w:val="auto"/>
          <w:sz w:val="32"/>
          <w:szCs w:val="32"/>
          <w:highlight w:val="none"/>
          <w:u w:val="none"/>
          <w:lang w:val="zh-CN"/>
        </w:rPr>
      </w:pPr>
      <w:r>
        <w:rPr>
          <w:rFonts w:hint="eastAsia" w:ascii="黑体" w:eastAsia="黑体"/>
          <w:color w:val="auto"/>
          <w:sz w:val="32"/>
          <w:szCs w:val="32"/>
          <w:highlight w:val="none"/>
          <w:u w:val="none"/>
        </w:rPr>
        <w:t>三、</w:t>
      </w:r>
      <w:r>
        <w:rPr>
          <w:rFonts w:hint="eastAsia" w:ascii="黑体" w:eastAsia="黑体"/>
          <w:color w:val="auto"/>
          <w:sz w:val="32"/>
          <w:szCs w:val="32"/>
          <w:highlight w:val="none"/>
          <w:u w:val="none"/>
          <w:lang w:eastAsia="zh-CN"/>
        </w:rPr>
        <w:t>绩效分析</w:t>
      </w:r>
      <w:r>
        <w:rPr>
          <w:rFonts w:hint="eastAsia" w:ascii="仿宋_GB2312" w:hAnsi="仿宋_GB2312"/>
          <w:color w:val="auto"/>
          <w:sz w:val="32"/>
          <w:szCs w:val="32"/>
          <w:highlight w:val="none"/>
          <w:u w:val="none"/>
          <w:lang w:val="zh-CN"/>
        </w:rPr>
        <w:tab/>
      </w:r>
    </w:p>
    <w:p w14:paraId="668233B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该项目评估总得分</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分、评估等级</w:t>
      </w:r>
      <w:r>
        <w:rPr>
          <w:rFonts w:hint="eastAsia" w:eastAsia="仿宋_GB2312" w:cs="Times New Roman"/>
          <w:kern w:val="2"/>
          <w:sz w:val="32"/>
          <w:szCs w:val="32"/>
          <w:lang w:val="en-US" w:eastAsia="zh-CN" w:bidi="ar-SA"/>
        </w:rPr>
        <w:t>差</w:t>
      </w:r>
      <w:r>
        <w:rPr>
          <w:rFonts w:hint="eastAsia" w:ascii="Times New Roman" w:hAnsi="Times New Roman" w:eastAsia="仿宋_GB2312" w:cs="Times New Roman"/>
          <w:kern w:val="2"/>
          <w:sz w:val="32"/>
          <w:szCs w:val="32"/>
          <w:lang w:val="en-US" w:eastAsia="zh-CN" w:bidi="ar-SA"/>
        </w:rPr>
        <w:t>、得分情况中产出指标得分</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分、效益指标得分</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分、满意度指标得分</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分、成本指标得分</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分。预期产出和效果能满足需求、不需要核减预算安排。</w:t>
      </w:r>
    </w:p>
    <w:p w14:paraId="789FFDC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eastAsia="楷体_GB2312" w:cs="Times New Roman"/>
          <w:b/>
          <w:color w:val="auto"/>
          <w:sz w:val="32"/>
          <w:szCs w:val="32"/>
          <w:highlight w:val="none"/>
          <w:u w:val="none"/>
          <w:lang w:val="en-US" w:eastAsia="zh-CN"/>
        </w:rPr>
      </w:pPr>
      <w:r>
        <w:rPr>
          <w:rFonts w:hint="eastAsia" w:ascii="楷体_GB2312" w:eastAsia="楷体_GB2312" w:cs="Times New Roman"/>
          <w:b/>
          <w:color w:val="auto"/>
          <w:sz w:val="32"/>
          <w:szCs w:val="32"/>
          <w:highlight w:val="none"/>
          <w:u w:val="none"/>
          <w:lang w:val="zh-CN"/>
        </w:rPr>
        <w:t>（一）</w:t>
      </w:r>
      <w:r>
        <w:rPr>
          <w:rFonts w:hint="eastAsia" w:ascii="楷体_GB2312" w:eastAsia="楷体_GB2312" w:cs="Times New Roman"/>
          <w:b/>
          <w:color w:val="auto"/>
          <w:sz w:val="32"/>
          <w:szCs w:val="32"/>
          <w:highlight w:val="none"/>
          <w:u w:val="none"/>
          <w:lang w:val="en-US" w:eastAsia="zh-CN"/>
        </w:rPr>
        <w:t>通用指标</w:t>
      </w:r>
      <w:r>
        <w:rPr>
          <w:rFonts w:ascii="楷体_GB2312" w:eastAsia="楷体_GB2312" w:cs="Times New Roman"/>
          <w:b/>
          <w:color w:val="auto"/>
          <w:sz w:val="32"/>
          <w:szCs w:val="32"/>
          <w:highlight w:val="none"/>
          <w:u w:val="none"/>
          <w:lang w:val="zh-CN" w:eastAsia="zh-CN"/>
        </w:rPr>
        <w:t>绩效分析。</w:t>
      </w:r>
    </w:p>
    <w:p w14:paraId="6F973F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1.项目决策。</w:t>
      </w:r>
      <w:r>
        <w:rPr>
          <w:rFonts w:hint="eastAsia" w:ascii="Times New Roman" w:hAnsi="Times New Roman"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21B0F0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2.项目管理。</w:t>
      </w:r>
      <w:r>
        <w:rPr>
          <w:rFonts w:hint="eastAsia" w:ascii="Times New Roman" w:hAnsi="Times New Roman"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158A4B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3.项目实施。</w:t>
      </w:r>
      <w:r>
        <w:rPr>
          <w:rFonts w:hint="eastAsia" w:ascii="Times New Roman" w:hAnsi="Times New Roman" w:eastAsia="仿宋_GB2312" w:cs="Times New Roman"/>
          <w:kern w:val="2"/>
          <w:sz w:val="32"/>
          <w:szCs w:val="32"/>
          <w:lang w:val="zh-CN" w:eastAsia="zh-CN" w:bidi="ar-SA"/>
        </w:rPr>
        <w:t>项目资金财政拨付按时完成率</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、单位执行资金使用率为</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和地方配套资金到位率</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5B801C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4.项目结果。</w:t>
      </w:r>
      <w:r>
        <w:rPr>
          <w:rFonts w:hint="eastAsia" w:ascii="Times New Roman" w:hAnsi="Times New Roman" w:eastAsia="仿宋_GB2312" w:cs="Times New Roman"/>
          <w:kern w:val="2"/>
          <w:sz w:val="32"/>
          <w:szCs w:val="32"/>
          <w:lang w:val="zh-CN" w:eastAsia="zh-CN" w:bidi="ar-SA"/>
        </w:rPr>
        <w:t>项目完成预期目标，实施结果与绩效目标相匹配，反映目标实现率</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，项目实际完成时间与计划完成时间的比较差异率为</w:t>
      </w:r>
      <w:r>
        <w:rPr>
          <w:rFonts w:hint="eastAsia" w:eastAsia="仿宋_GB2312" w:cs="Times New Roman"/>
          <w:kern w:val="2"/>
          <w:sz w:val="32"/>
          <w:szCs w:val="32"/>
          <w:lang w:val="en-US" w:eastAsia="zh-CN" w:bidi="ar-SA"/>
        </w:rPr>
        <w:t>10</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w:t>
      </w:r>
    </w:p>
    <w:p w14:paraId="246B65C0">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outlineLvl w:val="9"/>
        <w:rPr>
          <w:rFonts w:ascii="Times New Roman" w:hAnsi="Times New Roman"/>
          <w:szCs w:val="32"/>
          <w:lang w:val="zh-CN"/>
        </w:rPr>
      </w:pPr>
      <w:r>
        <w:rPr>
          <w:rFonts w:hint="eastAsia" w:ascii="楷体_GB2312" w:eastAsia="楷体_GB2312" w:cs="Times New Roman"/>
          <w:b/>
          <w:color w:val="auto"/>
          <w:sz w:val="32"/>
          <w:szCs w:val="32"/>
          <w:highlight w:val="none"/>
          <w:u w:val="none"/>
          <w:lang w:val="zh-CN"/>
        </w:rPr>
        <w:t>（二）</w:t>
      </w:r>
      <w:r>
        <w:rPr>
          <w:rFonts w:hint="eastAsia" w:ascii="楷体_GB2312" w:eastAsia="楷体_GB2312" w:cs="Times New Roman"/>
          <w:b/>
          <w:color w:val="auto"/>
          <w:sz w:val="32"/>
          <w:szCs w:val="32"/>
          <w:highlight w:val="none"/>
          <w:u w:val="none"/>
          <w:lang w:val="en-US" w:eastAsia="zh-CN"/>
        </w:rPr>
        <w:t>专用指标</w:t>
      </w:r>
      <w:r>
        <w:rPr>
          <w:rFonts w:ascii="楷体_GB2312" w:eastAsia="楷体_GB2312" w:cs="Times New Roman"/>
          <w:b/>
          <w:color w:val="auto"/>
          <w:sz w:val="32"/>
          <w:szCs w:val="32"/>
          <w:highlight w:val="none"/>
          <w:u w:val="none"/>
          <w:lang w:val="zh-CN"/>
        </w:rPr>
        <w:t>绩效分析。</w:t>
      </w:r>
    </w:p>
    <w:p w14:paraId="7BAD6C80">
      <w:pPr>
        <w:snapToGrid w:val="0"/>
        <w:spacing w:line="360" w:lineRule="auto"/>
        <w:ind w:firstLine="640" w:firstLineChars="200"/>
        <w:rPr>
          <w:rFonts w:hint="eastAsia" w:ascii="仿宋_GB2312" w:hAnsi="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基础设施：建成项目</w:t>
      </w:r>
      <w:r>
        <w:rPr>
          <w:rFonts w:hint="eastAsia" w:ascii="Times New Roman" w:hAnsi="Times New Roman" w:eastAsia="仿宋_GB2312" w:cs="Times New Roman"/>
          <w:kern w:val="2"/>
          <w:sz w:val="32"/>
          <w:szCs w:val="32"/>
          <w:lang w:val="en-US" w:eastAsia="zh-CN" w:bidi="ar-SA"/>
        </w:rPr>
        <w:t>-项目验收，项目验收及时合格；项目经济社会功能实现；项目后续维护实现。</w:t>
      </w:r>
      <w:r>
        <w:rPr>
          <w:rFonts w:hint="eastAsia" w:ascii="Times New Roman" w:hAnsi="Times New Roman"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0BB658F9">
      <w:pPr>
        <w:keepNext w:val="0"/>
        <w:keepLines w:val="0"/>
        <w:pageBreakBefore w:val="0"/>
        <w:widowControl w:val="0"/>
        <w:kinsoku/>
        <w:wordWrap/>
        <w:overflowPunct/>
        <w:topLinePunct w:val="0"/>
        <w:autoSpaceDE/>
        <w:autoSpaceDN/>
        <w:bidi w:val="0"/>
        <w:adjustRightInd/>
        <w:snapToGrid/>
        <w:spacing w:line="578" w:lineRule="exact"/>
        <w:ind w:left="420" w:leftChars="200" w:firstLine="321" w:firstLineChars="100"/>
        <w:textAlignment w:val="auto"/>
        <w:outlineLvl w:val="9"/>
        <w:rPr>
          <w:rFonts w:ascii="楷体_GB2312" w:eastAsia="楷体_GB2312" w:cs="Times New Roman"/>
          <w:b/>
          <w:color w:val="auto"/>
          <w:sz w:val="32"/>
          <w:szCs w:val="32"/>
          <w:highlight w:val="none"/>
          <w:u w:val="none"/>
          <w:lang w:val="zh-CN"/>
        </w:rPr>
      </w:pPr>
      <w:r>
        <w:rPr>
          <w:rFonts w:hint="eastAsia" w:ascii="楷体_GB2312" w:eastAsia="楷体_GB2312" w:cs="Times New Roman"/>
          <w:b/>
          <w:color w:val="auto"/>
          <w:sz w:val="32"/>
          <w:szCs w:val="32"/>
          <w:highlight w:val="none"/>
          <w:u w:val="none"/>
          <w:lang w:val="zh-CN"/>
        </w:rPr>
        <w:t>（三）</w:t>
      </w:r>
      <w:r>
        <w:rPr>
          <w:rFonts w:hint="eastAsia" w:ascii="楷体_GB2312" w:eastAsia="楷体_GB2312" w:cs="Times New Roman"/>
          <w:b/>
          <w:color w:val="auto"/>
          <w:sz w:val="32"/>
          <w:szCs w:val="32"/>
          <w:highlight w:val="none"/>
          <w:u w:val="none"/>
          <w:lang w:val="en-US" w:eastAsia="zh-CN"/>
        </w:rPr>
        <w:t>个性指标</w:t>
      </w:r>
      <w:r>
        <w:rPr>
          <w:rFonts w:ascii="楷体_GB2312" w:eastAsia="楷体_GB2312" w:cs="Times New Roman"/>
          <w:b/>
          <w:color w:val="auto"/>
          <w:sz w:val="32"/>
          <w:szCs w:val="32"/>
          <w:highlight w:val="none"/>
          <w:u w:val="none"/>
          <w:lang w:val="zh-CN"/>
        </w:rPr>
        <w:t>绩效分析。</w:t>
      </w:r>
    </w:p>
    <w:p w14:paraId="69838DD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cs="Times New Roman"/>
          <w:color w:val="auto"/>
          <w:szCs w:val="32"/>
          <w:lang w:val="en-US" w:eastAsia="zh-CN"/>
        </w:rPr>
      </w:pPr>
      <w:r>
        <w:rPr>
          <w:rFonts w:hint="eastAsia" w:ascii="Times New Roman" w:hAnsi="Times New Roman" w:eastAsia="仿宋_GB2312" w:cs="Times New Roman"/>
          <w:sz w:val="32"/>
          <w:szCs w:val="32"/>
          <w:lang w:val="en-US" w:eastAsia="zh-CN"/>
        </w:rPr>
        <w:t>满意度指标，受益群众的满意度值。</w:t>
      </w:r>
    </w:p>
    <w:p w14:paraId="7F869B7E">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olor w:val="auto"/>
          <w:sz w:val="32"/>
          <w:szCs w:val="32"/>
          <w:highlight w:val="none"/>
          <w:u w:val="none"/>
        </w:rPr>
      </w:pPr>
      <w:r>
        <w:rPr>
          <w:rFonts w:hint="eastAsia" w:ascii="黑体" w:eastAsia="黑体"/>
          <w:color w:val="auto"/>
          <w:sz w:val="32"/>
          <w:szCs w:val="32"/>
          <w:highlight w:val="none"/>
          <w:u w:val="none"/>
          <w:lang w:eastAsia="zh-CN"/>
        </w:rPr>
        <w:t>四</w:t>
      </w:r>
      <w:r>
        <w:rPr>
          <w:rFonts w:hint="eastAsia" w:ascii="黑体" w:eastAsia="黑体"/>
          <w:color w:val="auto"/>
          <w:sz w:val="32"/>
          <w:szCs w:val="32"/>
          <w:highlight w:val="none"/>
          <w:u w:val="none"/>
        </w:rPr>
        <w:t>、评价结论</w:t>
      </w:r>
    </w:p>
    <w:p w14:paraId="66739860">
      <w:pPr>
        <w:pStyle w:val="19"/>
        <w:shd w:val="clear" w:color="auto" w:fill="FFFFFF"/>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该项目总体评分</w:t>
      </w:r>
      <w:r>
        <w:rPr>
          <w:rFonts w:hint="eastAsia"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分，</w:t>
      </w:r>
      <w:r>
        <w:rPr>
          <w:rFonts w:hint="eastAsia" w:ascii="Times New Roman" w:hAnsi="Times New Roman" w:eastAsia="仿宋_GB2312" w:cs="Times New Roman"/>
          <w:kern w:val="2"/>
          <w:sz w:val="32"/>
          <w:szCs w:val="32"/>
          <w:lang w:val="zh-CN" w:eastAsia="zh-CN" w:bidi="ar-SA"/>
        </w:rPr>
        <w:t>预期项目</w:t>
      </w:r>
      <w:r>
        <w:rPr>
          <w:rFonts w:hint="eastAsia" w:eastAsia="仿宋_GB2312" w:cs="Times New Roman"/>
          <w:kern w:val="2"/>
          <w:sz w:val="32"/>
          <w:szCs w:val="32"/>
          <w:lang w:val="zh-CN" w:eastAsia="zh-CN" w:bidi="ar-SA"/>
        </w:rPr>
        <w:t>未完成</w:t>
      </w:r>
      <w:r>
        <w:rPr>
          <w:rFonts w:hint="eastAsia" w:ascii="Times New Roman" w:hAnsi="Times New Roman" w:eastAsia="仿宋_GB2312" w:cs="Times New Roman"/>
          <w:kern w:val="2"/>
          <w:sz w:val="32"/>
          <w:szCs w:val="32"/>
          <w:lang w:val="en-US" w:eastAsia="zh-CN" w:bidi="ar-SA"/>
        </w:rPr>
        <w:t>。</w:t>
      </w:r>
    </w:p>
    <w:p w14:paraId="4C7240C3">
      <w:pPr>
        <w:pStyle w:val="7"/>
        <w:pageBreakBefore w:val="0"/>
        <w:widowControl w:val="0"/>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eastAsia="黑体" w:cs="Times New Roman"/>
          <w:color w:val="auto"/>
          <w:sz w:val="32"/>
          <w:szCs w:val="32"/>
          <w:highlight w:val="none"/>
          <w:u w:val="none"/>
          <w:lang w:eastAsia="zh-CN"/>
        </w:rPr>
      </w:pPr>
      <w:r>
        <w:rPr>
          <w:rFonts w:hint="eastAsia" w:ascii="黑体" w:eastAsia="黑体" w:cs="Times New Roman"/>
          <w:color w:val="auto"/>
          <w:sz w:val="32"/>
          <w:szCs w:val="32"/>
          <w:highlight w:val="none"/>
          <w:u w:val="none"/>
          <w:lang w:eastAsia="zh-CN"/>
        </w:rPr>
        <w:t>五</w:t>
      </w:r>
      <w:r>
        <w:rPr>
          <w:rFonts w:hint="eastAsia" w:ascii="黑体" w:hAnsi="黑体" w:cs="Times New Roman"/>
          <w:color w:val="auto"/>
          <w:sz w:val="32"/>
          <w:szCs w:val="32"/>
          <w:highlight w:val="none"/>
          <w:u w:val="none"/>
          <w:lang w:eastAsia="zh-CN"/>
        </w:rPr>
        <w:t>、</w:t>
      </w:r>
      <w:r>
        <w:rPr>
          <w:rFonts w:hint="eastAsia" w:ascii="黑体" w:eastAsia="黑体" w:cs="Times New Roman"/>
          <w:color w:val="auto"/>
          <w:sz w:val="32"/>
          <w:szCs w:val="32"/>
          <w:highlight w:val="none"/>
          <w:u w:val="none"/>
          <w:lang w:eastAsia="zh-CN"/>
        </w:rPr>
        <w:t>存在主要问题</w:t>
      </w:r>
    </w:p>
    <w:p w14:paraId="11C7066B">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仿宋_GB2312" w:eastAsia="仿宋_GB2312" w:cs="仿宋_GB2312"/>
          <w:b w:val="0"/>
          <w:bCs w:val="0"/>
          <w:kern w:val="0"/>
          <w:position w:val="0"/>
          <w:sz w:val="32"/>
          <w:szCs w:val="32"/>
          <w:highlight w:val="none"/>
          <w:lang w:val="en-US" w:eastAsia="zh-CN" w:bidi="ar-SA"/>
        </w:rPr>
      </w:pPr>
      <w:r>
        <w:rPr>
          <w:rFonts w:hint="eastAsia" w:ascii="仿宋_GB2312" w:eastAsia="仿宋_GB2312" w:cs="仿宋_GB2312"/>
          <w:b w:val="0"/>
          <w:bCs w:val="0"/>
          <w:kern w:val="0"/>
          <w:position w:val="0"/>
          <w:sz w:val="32"/>
          <w:szCs w:val="32"/>
          <w:highlight w:val="none"/>
          <w:lang w:val="en-US" w:eastAsia="zh-CN" w:bidi="ar-SA"/>
        </w:rPr>
        <w:t>无</w:t>
      </w:r>
    </w:p>
    <w:p w14:paraId="6A6FBC0A">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s="Times New Roman"/>
          <w:color w:val="auto"/>
          <w:kern w:val="0"/>
          <w:position w:val="3"/>
          <w:sz w:val="32"/>
          <w:szCs w:val="32"/>
          <w:highlight w:val="none"/>
          <w:u w:val="none"/>
          <w:lang w:val="zh-CN" w:eastAsia="zh-CN" w:bidi="ar-SA"/>
        </w:rPr>
      </w:pPr>
      <w:r>
        <w:rPr>
          <w:rFonts w:hint="eastAsia" w:ascii="黑体" w:eastAsia="黑体" w:cs="Times New Roman"/>
          <w:color w:val="auto"/>
          <w:kern w:val="0"/>
          <w:position w:val="3"/>
          <w:sz w:val="32"/>
          <w:szCs w:val="32"/>
          <w:highlight w:val="none"/>
          <w:u w:val="none"/>
          <w:lang w:val="zh-CN" w:eastAsia="zh-CN" w:bidi="ar-SA"/>
        </w:rPr>
        <w:t>六、改进建议</w:t>
      </w:r>
    </w:p>
    <w:p w14:paraId="71A02852">
      <w:pPr>
        <w:tabs>
          <w:tab w:val="left" w:pos="1911"/>
        </w:tabs>
        <w:jc w:val="left"/>
        <w:rPr>
          <w:rFonts w:hint="default" w:ascii="仿宋_GB2312" w:eastAsia="仿宋_GB2312" w:cs="仿宋_GB2312"/>
          <w:b w:val="0"/>
          <w:bCs w:val="0"/>
          <w:kern w:val="0"/>
          <w:position w:val="0"/>
          <w:sz w:val="32"/>
          <w:szCs w:val="32"/>
          <w:highlight w:val="none"/>
          <w:lang w:val="en-US" w:eastAsia="zh-CN" w:bidi="ar-SA"/>
        </w:rPr>
      </w:pPr>
      <w:r>
        <w:rPr>
          <w:rFonts w:hint="eastAsia" w:asci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2025年项目重新建设</w:t>
      </w:r>
    </w:p>
    <w:p w14:paraId="158FF121">
      <w:pPr>
        <w:keepNext w:val="0"/>
        <w:keepLines w:val="0"/>
        <w:pageBreakBefore w:val="0"/>
        <w:widowControl w:val="0"/>
        <w:kinsoku/>
        <w:wordWrap/>
        <w:overflowPunct/>
        <w:topLinePunct w:val="0"/>
        <w:autoSpaceDE/>
        <w:autoSpaceDN/>
        <w:bidi w:val="0"/>
        <w:adjustRightInd/>
        <w:snapToGrid w:val="0"/>
        <w:spacing w:line="578" w:lineRule="exact"/>
        <w:ind w:left="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p>
    <w:p w14:paraId="3CA80421">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附表：1.项目资金分配涉及所有点位自评得分情况表</w:t>
      </w:r>
    </w:p>
    <w:p w14:paraId="7EBDF302">
      <w:pPr>
        <w:keepNext w:val="0"/>
        <w:keepLines w:val="0"/>
        <w:pageBreakBefore w:val="0"/>
        <w:widowControl w:val="0"/>
        <w:kinsoku/>
        <w:wordWrap/>
        <w:overflowPunct/>
        <w:topLinePunct w:val="0"/>
        <w:autoSpaceDE/>
        <w:autoSpaceDN/>
        <w:bidi w:val="0"/>
        <w:adjustRightInd/>
        <w:snapToGrid w:val="0"/>
        <w:spacing w:line="578" w:lineRule="exact"/>
        <w:ind w:left="0" w:firstLine="1600" w:firstLineChars="5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2.专项预算项目绩效目标完成情况自评表</w:t>
      </w:r>
    </w:p>
    <w:p w14:paraId="330DCAD9">
      <w:pPr>
        <w:keepNext w:val="0"/>
        <w:keepLines w:val="0"/>
        <w:pageBreakBefore w:val="0"/>
        <w:widowControl w:val="0"/>
        <w:kinsoku/>
        <w:wordWrap/>
        <w:overflowPunct/>
        <w:topLinePunct w:val="0"/>
        <w:autoSpaceDE/>
        <w:autoSpaceDN/>
        <w:bidi w:val="0"/>
        <w:adjustRightInd/>
        <w:snapToGrid w:val="0"/>
        <w:spacing w:line="578" w:lineRule="exact"/>
        <w:ind w:left="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4878BEE2">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rPr>
          <w:rFonts w:hint="eastAsia" w:ascii="黑体" w:eastAsia="黑体" w:cs="黑体"/>
          <w:b w:val="0"/>
          <w:bCs w:val="0"/>
          <w:color w:val="auto"/>
          <w:kern w:val="0"/>
          <w:sz w:val="32"/>
          <w:szCs w:val="32"/>
          <w:highlight w:val="none"/>
          <w:u w:val="none"/>
          <w:shd w:val="clear" w:color="auto" w:fill="FFFFFF"/>
          <w:lang w:val="zh-CN" w:eastAsia="zh-CN"/>
        </w:rPr>
      </w:pPr>
      <w:r>
        <w:rPr>
          <w:rFonts w:hint="eastAsia" w:ascii="黑体" w:eastAsia="黑体" w:cs="黑体"/>
          <w:b w:val="0"/>
          <w:bCs w:val="0"/>
          <w:color w:val="auto"/>
          <w:kern w:val="0"/>
          <w:sz w:val="32"/>
          <w:szCs w:val="32"/>
          <w:highlight w:val="none"/>
          <w:u w:val="none"/>
          <w:shd w:val="clear" w:color="auto" w:fill="FFFFFF"/>
          <w:lang w:val="zh-CN" w:eastAsia="zh-CN"/>
        </w:rPr>
        <w:t>附表</w:t>
      </w:r>
      <w:r>
        <w:rPr>
          <w:rFonts w:hint="eastAsia" w:ascii="黑体" w:eastAsia="黑体" w:cs="黑体"/>
          <w:b w:val="0"/>
          <w:bCs w:val="0"/>
          <w:color w:val="auto"/>
          <w:kern w:val="0"/>
          <w:sz w:val="32"/>
          <w:szCs w:val="32"/>
          <w:highlight w:val="none"/>
          <w:u w:val="none"/>
          <w:shd w:val="clear" w:color="auto" w:fill="FFFFFF"/>
          <w:lang w:val="en-US" w:eastAsia="zh-CN"/>
        </w:rPr>
        <w:t>1</w:t>
      </w:r>
    </w:p>
    <w:p w14:paraId="6163FA96">
      <w:pPr>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_GBK" w:eastAsia="方正小标宋_GBK" w:cs="方正小标宋_GBK"/>
          <w:b w:val="0"/>
          <w:bCs w:val="0"/>
          <w:color w:val="auto"/>
          <w:sz w:val="40"/>
          <w:szCs w:val="40"/>
          <w:highlight w:val="none"/>
          <w:u w:val="none"/>
          <w:lang w:val="en-US" w:eastAsia="zh-CN"/>
        </w:rPr>
      </w:pPr>
      <w:r>
        <w:rPr>
          <w:rFonts w:hint="eastAsia" w:asci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20"/>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6D53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687A4ED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val="en-US" w:eastAsia="zh-CN"/>
              </w:rPr>
              <w:t>序号</w:t>
            </w:r>
          </w:p>
        </w:tc>
        <w:tc>
          <w:tcPr>
            <w:tcW w:w="3843" w:type="dxa"/>
            <w:tcBorders>
              <w:top w:val="single" w:color="auto" w:sz="4" w:space="0"/>
              <w:left w:val="single" w:color="auto" w:sz="4" w:space="0"/>
              <w:bottom w:val="single" w:color="auto" w:sz="4" w:space="0"/>
              <w:right w:val="single" w:color="auto" w:sz="4" w:space="0"/>
            </w:tcBorders>
            <w:noWrap/>
          </w:tcPr>
          <w:p w14:paraId="5AE27C6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eastAsia="zh-CN"/>
              </w:rPr>
            </w:pPr>
            <w:r>
              <w:rPr>
                <w:rFonts w:hint="eastAsia" w:ascii="黑体" w:eastAsia="黑体" w:cs="黑体"/>
                <w:b w:val="0"/>
                <w:bCs w:val="0"/>
                <w:color w:val="auto"/>
                <w:sz w:val="24"/>
                <w:szCs w:val="24"/>
                <w:highlight w:val="none"/>
                <w:u w:val="none"/>
                <w:vertAlign w:val="baseline"/>
                <w:lang w:val="en-US" w:eastAsia="zh-CN"/>
              </w:rPr>
              <w:t>项目资金末端分配点位</w:t>
            </w:r>
          </w:p>
        </w:tc>
        <w:tc>
          <w:tcPr>
            <w:tcW w:w="2861" w:type="dxa"/>
            <w:tcBorders>
              <w:top w:val="single" w:color="auto" w:sz="4" w:space="0"/>
              <w:left w:val="single" w:color="auto" w:sz="4" w:space="0"/>
              <w:bottom w:val="single" w:color="auto" w:sz="4" w:space="0"/>
              <w:right w:val="single" w:color="auto" w:sz="4" w:space="0"/>
            </w:tcBorders>
            <w:noWrap/>
          </w:tcPr>
          <w:p w14:paraId="6C01A86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eastAsia="zh-CN"/>
              </w:rPr>
              <w:t>自评得分（百分制）</w:t>
            </w:r>
          </w:p>
        </w:tc>
        <w:tc>
          <w:tcPr>
            <w:tcW w:w="993" w:type="dxa"/>
            <w:tcBorders>
              <w:top w:val="single" w:color="auto" w:sz="4" w:space="0"/>
              <w:left w:val="single" w:color="auto" w:sz="4" w:space="0"/>
              <w:bottom w:val="single" w:color="auto" w:sz="4" w:space="0"/>
              <w:right w:val="single" w:color="auto" w:sz="4" w:space="0"/>
            </w:tcBorders>
            <w:noWrap/>
          </w:tcPr>
          <w:p w14:paraId="0D626FC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val="en-US" w:eastAsia="zh-CN"/>
              </w:rPr>
              <w:t>备注</w:t>
            </w:r>
          </w:p>
        </w:tc>
      </w:tr>
      <w:tr w14:paraId="73E2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14CD0D0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1</w:t>
            </w:r>
          </w:p>
        </w:tc>
        <w:tc>
          <w:tcPr>
            <w:tcW w:w="3843" w:type="dxa"/>
            <w:tcBorders>
              <w:top w:val="single" w:color="auto" w:sz="4" w:space="0"/>
              <w:left w:val="single" w:color="auto" w:sz="4" w:space="0"/>
              <w:bottom w:val="single" w:color="auto" w:sz="4" w:space="0"/>
              <w:right w:val="single" w:color="auto" w:sz="4" w:space="0"/>
            </w:tcBorders>
            <w:noWrap/>
          </w:tcPr>
          <w:p w14:paraId="40956DF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r>
              <w:rPr>
                <w:rFonts w:hint="eastAsia" w:ascii="宋体" w:cs="宋体"/>
                <w:color w:val="auto"/>
                <w:sz w:val="24"/>
                <w:szCs w:val="24"/>
                <w:highlight w:val="none"/>
                <w:u w:val="none"/>
                <w:vertAlign w:val="baseline"/>
                <w:lang w:val="en-US" w:eastAsia="zh-CN"/>
              </w:rPr>
              <w:t>金川县撒瓦脚乡人民政府</w:t>
            </w:r>
          </w:p>
        </w:tc>
        <w:tc>
          <w:tcPr>
            <w:tcW w:w="2861" w:type="dxa"/>
            <w:tcBorders>
              <w:top w:val="single" w:color="auto" w:sz="4" w:space="0"/>
              <w:left w:val="single" w:color="auto" w:sz="4" w:space="0"/>
              <w:bottom w:val="single" w:color="auto" w:sz="4" w:space="0"/>
              <w:right w:val="single" w:color="auto" w:sz="4" w:space="0"/>
            </w:tcBorders>
            <w:noWrap/>
          </w:tcPr>
          <w:p w14:paraId="79FC5032">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r>
              <w:rPr>
                <w:rFonts w:hint="eastAsia" w:ascii="宋体" w:cs="宋体"/>
                <w:color w:val="auto"/>
                <w:sz w:val="24"/>
                <w:szCs w:val="24"/>
                <w:highlight w:val="none"/>
                <w:u w:val="none"/>
                <w:vertAlign w:val="baseline"/>
                <w:lang w:val="en-US" w:eastAsia="zh-CN"/>
              </w:rPr>
              <w:t>5%</w:t>
            </w:r>
          </w:p>
        </w:tc>
        <w:tc>
          <w:tcPr>
            <w:tcW w:w="993" w:type="dxa"/>
            <w:tcBorders>
              <w:top w:val="single" w:color="auto" w:sz="4" w:space="0"/>
              <w:left w:val="single" w:color="auto" w:sz="4" w:space="0"/>
              <w:bottom w:val="single" w:color="auto" w:sz="4" w:space="0"/>
              <w:right w:val="single" w:color="auto" w:sz="4" w:space="0"/>
            </w:tcBorders>
            <w:noWrap/>
          </w:tcPr>
          <w:p w14:paraId="71660457">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23C3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14D7020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2</w:t>
            </w:r>
          </w:p>
        </w:tc>
        <w:tc>
          <w:tcPr>
            <w:tcW w:w="3843" w:type="dxa"/>
            <w:tcBorders>
              <w:top w:val="single" w:color="auto" w:sz="4" w:space="0"/>
              <w:left w:val="single" w:color="auto" w:sz="4" w:space="0"/>
              <w:bottom w:val="single" w:color="auto" w:sz="4" w:space="0"/>
              <w:right w:val="single" w:color="auto" w:sz="4" w:space="0"/>
            </w:tcBorders>
            <w:noWrap/>
          </w:tcPr>
          <w:p w14:paraId="08FE854B">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1ECB87F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3D2721A7">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630E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19DC7B9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3</w:t>
            </w:r>
          </w:p>
        </w:tc>
        <w:tc>
          <w:tcPr>
            <w:tcW w:w="3843" w:type="dxa"/>
            <w:tcBorders>
              <w:top w:val="single" w:color="auto" w:sz="4" w:space="0"/>
              <w:left w:val="single" w:color="auto" w:sz="4" w:space="0"/>
              <w:bottom w:val="single" w:color="auto" w:sz="4" w:space="0"/>
              <w:right w:val="single" w:color="auto" w:sz="4" w:space="0"/>
            </w:tcBorders>
            <w:noWrap/>
          </w:tcPr>
          <w:p w14:paraId="3910BF9D">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001219E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0CF9D5B7">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60C8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5B7AE8C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4</w:t>
            </w:r>
          </w:p>
        </w:tc>
        <w:tc>
          <w:tcPr>
            <w:tcW w:w="3843" w:type="dxa"/>
            <w:tcBorders>
              <w:top w:val="single" w:color="auto" w:sz="4" w:space="0"/>
              <w:left w:val="single" w:color="auto" w:sz="4" w:space="0"/>
              <w:bottom w:val="single" w:color="auto" w:sz="4" w:space="0"/>
              <w:right w:val="single" w:color="auto" w:sz="4" w:space="0"/>
            </w:tcBorders>
            <w:noWrap/>
          </w:tcPr>
          <w:p w14:paraId="0874AFBB">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4C883C9E">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3E1B69C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3FCD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6A1EF72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5</w:t>
            </w:r>
          </w:p>
        </w:tc>
        <w:tc>
          <w:tcPr>
            <w:tcW w:w="3843" w:type="dxa"/>
            <w:tcBorders>
              <w:top w:val="single" w:color="auto" w:sz="4" w:space="0"/>
              <w:left w:val="single" w:color="auto" w:sz="4" w:space="0"/>
              <w:bottom w:val="single" w:color="auto" w:sz="4" w:space="0"/>
              <w:right w:val="single" w:color="auto" w:sz="4" w:space="0"/>
            </w:tcBorders>
            <w:noWrap/>
          </w:tcPr>
          <w:p w14:paraId="2F521C8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70A63B82">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1B97D469">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2EB6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2F879F5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6</w:t>
            </w:r>
          </w:p>
        </w:tc>
        <w:tc>
          <w:tcPr>
            <w:tcW w:w="3843" w:type="dxa"/>
            <w:tcBorders>
              <w:top w:val="single" w:color="auto" w:sz="4" w:space="0"/>
              <w:left w:val="single" w:color="auto" w:sz="4" w:space="0"/>
              <w:bottom w:val="single" w:color="auto" w:sz="4" w:space="0"/>
              <w:right w:val="single" w:color="auto" w:sz="4" w:space="0"/>
            </w:tcBorders>
            <w:noWrap/>
          </w:tcPr>
          <w:p w14:paraId="2D976D4C">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7D454DBE">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72760F56">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7383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1BBC946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7</w:t>
            </w:r>
          </w:p>
        </w:tc>
        <w:tc>
          <w:tcPr>
            <w:tcW w:w="3843" w:type="dxa"/>
            <w:tcBorders>
              <w:top w:val="single" w:color="auto" w:sz="4" w:space="0"/>
              <w:left w:val="single" w:color="auto" w:sz="4" w:space="0"/>
              <w:bottom w:val="single" w:color="auto" w:sz="4" w:space="0"/>
              <w:right w:val="single" w:color="auto" w:sz="4" w:space="0"/>
            </w:tcBorders>
            <w:noWrap/>
          </w:tcPr>
          <w:p w14:paraId="2D9CDDE9">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0F9A4DA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67366E92">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6A07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095B6BC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8</w:t>
            </w:r>
          </w:p>
        </w:tc>
        <w:tc>
          <w:tcPr>
            <w:tcW w:w="3843" w:type="dxa"/>
            <w:tcBorders>
              <w:top w:val="single" w:color="auto" w:sz="4" w:space="0"/>
              <w:left w:val="single" w:color="auto" w:sz="4" w:space="0"/>
              <w:bottom w:val="single" w:color="auto" w:sz="4" w:space="0"/>
              <w:right w:val="single" w:color="auto" w:sz="4" w:space="0"/>
            </w:tcBorders>
            <w:noWrap/>
          </w:tcPr>
          <w:p w14:paraId="24DDFFCC">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00C50F9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1B821A50">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078B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3D37474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color w:val="auto"/>
                <w:sz w:val="24"/>
                <w:szCs w:val="24"/>
                <w:highlight w:val="none"/>
                <w:u w:val="none"/>
                <w:lang w:val="en-US" w:eastAsia="zh-CN"/>
              </w:rPr>
            </w:pPr>
            <w:r>
              <w:rPr>
                <w:rFonts w:hint="eastAsia" w:ascii="宋体" w:eastAsia="宋体" w:cs="宋体"/>
                <w:color w:val="auto"/>
                <w:sz w:val="24"/>
                <w:szCs w:val="24"/>
                <w:highlight w:val="none"/>
                <w:u w:val="none"/>
                <w:lang w:val="en-US" w:eastAsia="zh-CN"/>
              </w:rPr>
              <w:t>……</w:t>
            </w:r>
          </w:p>
        </w:tc>
        <w:tc>
          <w:tcPr>
            <w:tcW w:w="3843" w:type="dxa"/>
            <w:tcBorders>
              <w:top w:val="single" w:color="auto" w:sz="4" w:space="0"/>
              <w:left w:val="single" w:color="auto" w:sz="4" w:space="0"/>
              <w:bottom w:val="single" w:color="auto" w:sz="4" w:space="0"/>
              <w:right w:val="single" w:color="auto" w:sz="4" w:space="0"/>
            </w:tcBorders>
            <w:noWrap/>
          </w:tcPr>
          <w:p w14:paraId="5268D38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1B3BA3A8">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1A363A6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bl>
    <w:p w14:paraId="35AF1079">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eastAsia" w:ascii="宋体" w:eastAsia="宋体" w:cs="宋体"/>
          <w:b w:val="0"/>
          <w:bCs w:val="0"/>
          <w:color w:val="auto"/>
          <w:sz w:val="21"/>
          <w:szCs w:val="21"/>
          <w:highlight w:val="none"/>
          <w:u w:val="none"/>
          <w:vertAlign w:val="baseline"/>
          <w:lang w:val="en-US" w:eastAsia="zh-CN"/>
        </w:rPr>
      </w:pPr>
      <w:r>
        <w:rPr>
          <w:rFonts w:hint="eastAsia" w:asci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74F76759">
      <w:pPr>
        <w:keepNext w:val="0"/>
        <w:keepLines w:val="0"/>
        <w:pageBreakBefore w:val="0"/>
        <w:widowControl w:val="0"/>
        <w:kinsoku/>
        <w:wordWrap/>
        <w:overflowPunct/>
        <w:topLinePunct w:val="0"/>
        <w:autoSpaceDE/>
        <w:autoSpaceDN/>
        <w:bidi w:val="0"/>
        <w:adjustRightInd/>
        <w:snapToGrid/>
        <w:spacing w:line="400" w:lineRule="exact"/>
        <w:ind w:left="0" w:firstLine="630" w:firstLineChars="300"/>
        <w:jc w:val="left"/>
        <w:textAlignment w:val="auto"/>
        <w:rPr>
          <w:rFonts w:hint="eastAsia" w:ascii="宋体" w:eastAsia="宋体" w:cs="宋体"/>
          <w:b w:val="0"/>
          <w:bCs w:val="0"/>
          <w:color w:val="auto"/>
          <w:sz w:val="21"/>
          <w:szCs w:val="21"/>
          <w:highlight w:val="none"/>
          <w:u w:val="none"/>
          <w:vertAlign w:val="baseline"/>
          <w:lang w:val="en-US" w:eastAsia="zh-CN"/>
        </w:rPr>
      </w:pPr>
      <w:r>
        <w:rPr>
          <w:rFonts w:hint="eastAsia" w:asci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5CC41F95">
      <w:pPr>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465B3871">
      <w:pPr>
        <w:pStyle w:val="27"/>
        <w:rPr>
          <w:rFonts w:hint="eastAsia"/>
          <w:lang w:val="en-US" w:eastAsia="zh-CN"/>
        </w:rPr>
      </w:pPr>
    </w:p>
    <w:p w14:paraId="156EF06E">
      <w:pPr>
        <w:pStyle w:val="9"/>
        <w:keepNext w:val="0"/>
        <w:keepLines w:val="0"/>
        <w:pageBreakBefore w:val="0"/>
        <w:widowControl w:val="0"/>
        <w:kinsoku/>
        <w:wordWrap/>
        <w:overflowPunct/>
        <w:topLinePunct w:val="0"/>
        <w:autoSpaceDE/>
        <w:autoSpaceDN/>
        <w:bidi w:val="0"/>
        <w:spacing w:after="0" w:line="578" w:lineRule="exact"/>
        <w:ind w:left="0" w:leftChars="0" w:firstLine="0" w:firstLineChars="0"/>
        <w:rPr>
          <w:rFonts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附表2</w:t>
      </w:r>
    </w:p>
    <w:tbl>
      <w:tblPr>
        <w:tblStyle w:val="20"/>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5EFD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10233" w:type="dxa"/>
            <w:gridSpan w:val="9"/>
            <w:tcBorders>
              <w:top w:val="nil"/>
              <w:left w:val="nil"/>
              <w:bottom w:val="nil"/>
              <w:right w:val="nil"/>
            </w:tcBorders>
            <w:shd w:val="clear" w:color="auto" w:fill="auto"/>
            <w:noWrap/>
            <w:vAlign w:val="center"/>
          </w:tcPr>
          <w:p w14:paraId="14009DFF">
            <w:pPr>
              <w:keepNext w:val="0"/>
              <w:keepLines w:val="0"/>
              <w:pageBreakBefore w:val="0"/>
              <w:widowControl/>
              <w:suppressLineNumbers w:val="0"/>
              <w:kinsoku/>
              <w:wordWrap/>
              <w:overflowPunct/>
              <w:topLinePunct w:val="0"/>
              <w:autoSpaceDE/>
              <w:autoSpaceDN/>
              <w:bidi w:val="0"/>
              <w:adjustRightInd/>
              <w:snapToGrid/>
              <w:spacing w:line="600" w:lineRule="exact"/>
              <w:ind w:left="0"/>
              <w:jc w:val="center"/>
              <w:textAlignment w:val="center"/>
              <w:rPr>
                <w:rFonts w:ascii="黑体" w:eastAsia="黑体" w:cs="黑体"/>
                <w:i w:val="0"/>
                <w:color w:val="000000"/>
                <w:sz w:val="30"/>
                <w:szCs w:val="30"/>
                <w:u w:val="none"/>
              </w:rPr>
            </w:pPr>
            <w:r>
              <w:rPr>
                <w:rFonts w:hint="eastAsia" w:ascii="方正小标宋简体" w:eastAsia="方正小标宋简体" w:cs="方正小标宋简体"/>
                <w:i w:val="0"/>
                <w:color w:val="000000"/>
                <w:kern w:val="0"/>
                <w:sz w:val="40"/>
                <w:szCs w:val="40"/>
                <w:u w:val="none"/>
                <w:lang w:val="en-US" w:eastAsia="zh-CN"/>
              </w:rPr>
              <w:t>专项预算项目绩效目标完成情况自评表</w:t>
            </w:r>
          </w:p>
        </w:tc>
      </w:tr>
      <w:tr w14:paraId="10E93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1DBC">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D903">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金川县</w:t>
            </w:r>
            <w:r>
              <w:rPr>
                <w:rFonts w:hint="eastAsia" w:ascii="宋体" w:cs="宋体"/>
                <w:i w:val="0"/>
                <w:color w:val="000000"/>
                <w:kern w:val="0"/>
                <w:sz w:val="24"/>
                <w:szCs w:val="24"/>
                <w:u w:val="none"/>
                <w:lang w:val="en-US" w:eastAsia="zh-CN"/>
              </w:rPr>
              <w:t>撒瓦脚</w:t>
            </w:r>
            <w:r>
              <w:rPr>
                <w:rFonts w:hint="eastAsia" w:ascii="宋体" w:eastAsia="宋体" w:cs="宋体"/>
                <w:i w:val="0"/>
                <w:color w:val="000000"/>
                <w:kern w:val="0"/>
                <w:sz w:val="24"/>
                <w:szCs w:val="24"/>
                <w:u w:val="none"/>
                <w:lang w:val="en-US" w:eastAsia="zh-CN"/>
              </w:rPr>
              <w:t>乡安全饮水取水井建设项目</w:t>
            </w:r>
          </w:p>
        </w:tc>
      </w:tr>
      <w:tr w14:paraId="7FF9B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EC66">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378A">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乡人民政府</w:t>
            </w:r>
          </w:p>
        </w:tc>
      </w:tr>
      <w:tr w14:paraId="58555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8947">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F463">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专项类</w:t>
            </w:r>
          </w:p>
        </w:tc>
      </w:tr>
      <w:tr w14:paraId="25734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49557">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D594">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中长期规划（名称、文号，仅指</w:t>
            </w:r>
          </w:p>
          <w:p w14:paraId="70B38EF6">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3862">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42E4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F82F"/>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D002">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FBE1">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6F8E9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95AC"/>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CFF1">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F457">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B439">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B10F">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9D5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因素法与项目法相结合</w:t>
            </w:r>
          </w:p>
        </w:tc>
      </w:tr>
      <w:tr w14:paraId="6142E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0AF1"/>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3EDB">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2943">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3D018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0451"/>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4474">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9D6E">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7506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74B9"/>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571F">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4A23">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08416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7449"/>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271F">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35C4">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ascii="宋体" w:eastAsia="宋体" w:cs="宋体"/>
                <w:i w:val="0"/>
                <w:color w:val="000000"/>
                <w:kern w:val="0"/>
                <w:sz w:val="18"/>
                <w:szCs w:val="18"/>
                <w:u w:val="none"/>
                <w:lang w:val="en-US" w:eastAsia="zh-CN"/>
              </w:rPr>
              <w:t>202</w:t>
            </w:r>
            <w:r>
              <w:rPr>
                <w:rFonts w:hint="eastAsia" w:ascii="宋体" w:cs="宋体"/>
                <w:i w:val="0"/>
                <w:color w:val="000000"/>
                <w:kern w:val="0"/>
                <w:sz w:val="18"/>
                <w:szCs w:val="18"/>
                <w:u w:val="none"/>
                <w:lang w:val="en-US" w:eastAsia="zh-CN"/>
              </w:rPr>
              <w:t>4</w:t>
            </w:r>
          </w:p>
        </w:tc>
      </w:tr>
      <w:tr w14:paraId="67071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3B7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项目资金</w:t>
            </w:r>
          </w:p>
          <w:p w14:paraId="24BEB1F9">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68A3">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98C9">
            <w:pPr>
              <w:keepNext w:val="0"/>
              <w:keepLines w:val="0"/>
              <w:pageBreakBefore w:val="0"/>
              <w:widowControl w:val="0"/>
              <w:tabs>
                <w:tab w:val="left" w:pos="617"/>
              </w:tabs>
              <w:kinsoku/>
              <w:wordWrap/>
              <w:overflowPunct/>
              <w:topLinePunct w:val="0"/>
              <w:autoSpaceDE/>
              <w:autoSpaceDN/>
              <w:bidi w:val="0"/>
              <w:adjustRightInd/>
              <w:snapToGrid/>
              <w:spacing w:line="300" w:lineRule="exact"/>
              <w:ind w:left="0"/>
              <w:jc w:val="left"/>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80</w:t>
            </w:r>
          </w:p>
        </w:tc>
      </w:tr>
      <w:tr w14:paraId="7E6E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19FA6"/>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FAB6">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w:t>
            </w:r>
            <w:r>
              <w:rPr>
                <w:rFonts w:hint="eastAsia" w:ascii="宋体" w:eastAsia="宋体" w:cs="宋体"/>
                <w:i w:val="0"/>
                <w:color w:val="000000"/>
                <w:kern w:val="0"/>
                <w:sz w:val="24"/>
                <w:szCs w:val="24"/>
                <w:u w:val="none"/>
                <w:lang w:val="en-US" w:eastAsia="zh-CN"/>
              </w:rPr>
              <w:t xml:space="preserve"> </w:t>
            </w:r>
            <w:r>
              <w:rPr>
                <w:rFonts w:ascii="宋体" w:eastAsia="宋体" w:cs="宋体"/>
                <w:i w:val="0"/>
                <w:color w:val="000000"/>
                <w:kern w:val="0"/>
                <w:sz w:val="24"/>
                <w:szCs w:val="24"/>
                <w:u w:val="none"/>
                <w:lang w:val="en-US" w:eastAsia="zh-CN"/>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B15B">
            <w:pPr>
              <w:keepNext w:val="0"/>
              <w:keepLines w:val="0"/>
              <w:pageBreakBefore w:val="0"/>
              <w:widowControl w:val="0"/>
              <w:kinsoku/>
              <w:wordWrap/>
              <w:overflowPunct/>
              <w:topLinePunct w:val="0"/>
              <w:autoSpaceDE/>
              <w:autoSpaceDN/>
              <w:bidi w:val="0"/>
              <w:adjustRightInd/>
              <w:snapToGrid/>
              <w:spacing w:line="300" w:lineRule="exact"/>
              <w:ind w:left="0"/>
              <w:jc w:val="right"/>
              <w:rPr>
                <w:rFonts w:hint="default" w:ascii="宋体" w:eastAsia="宋体" w:cs="宋体"/>
                <w:i w:val="0"/>
                <w:color w:val="000000"/>
                <w:sz w:val="24"/>
                <w:szCs w:val="24"/>
                <w:u w:val="none"/>
                <w:lang w:val="en-US"/>
              </w:rPr>
            </w:pPr>
            <w:r>
              <w:rPr>
                <w:rFonts w:hint="eastAsia" w:ascii="宋体" w:cs="宋体"/>
                <w:i w:val="0"/>
                <w:color w:val="000000"/>
                <w:kern w:val="0"/>
                <w:sz w:val="18"/>
                <w:szCs w:val="18"/>
                <w:u w:val="none"/>
                <w:lang w:val="en-US" w:eastAsia="zh-CN"/>
              </w:rPr>
              <w:t>80</w:t>
            </w:r>
          </w:p>
        </w:tc>
      </w:tr>
      <w:tr w14:paraId="2702F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4BCC"/>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98FE">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1933">
            <w:pPr>
              <w:keepNext w:val="0"/>
              <w:keepLines w:val="0"/>
              <w:pageBreakBefore w:val="0"/>
              <w:widowControl w:val="0"/>
              <w:kinsoku/>
              <w:wordWrap/>
              <w:overflowPunct/>
              <w:topLinePunct w:val="0"/>
              <w:autoSpaceDE/>
              <w:autoSpaceDN/>
              <w:bidi w:val="0"/>
              <w:adjustRightInd/>
              <w:snapToGrid/>
              <w:spacing w:line="300" w:lineRule="exact"/>
              <w:ind w:left="0"/>
              <w:jc w:val="right"/>
              <w:rPr>
                <w:rFonts w:hint="eastAsia" w:ascii="宋体" w:eastAsia="宋体" w:cs="宋体"/>
                <w:i w:val="0"/>
                <w:color w:val="000000"/>
                <w:sz w:val="24"/>
                <w:szCs w:val="24"/>
                <w:u w:val="none"/>
              </w:rPr>
            </w:pPr>
          </w:p>
        </w:tc>
      </w:tr>
      <w:tr w14:paraId="3CF7F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0B73">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74E0">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年度目标</w:t>
            </w:r>
          </w:p>
        </w:tc>
      </w:tr>
      <w:tr w14:paraId="33CF4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F23E"/>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9746">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进一步完善</w:t>
            </w: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乡安全饮水及基础设施建设，拓展牧民群众增收渠道，为</w:t>
            </w: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乡下一步生态旅游发展奠定坚实基础，极大改善群众生产生活条件，是统筹城乡发展，是破解牧民增收致富奔小康，缩小发展差距的有益探索，是实施藏区新村建设的有力保障。</w:t>
            </w:r>
          </w:p>
        </w:tc>
      </w:tr>
      <w:tr w14:paraId="03B0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nil"/>
            </w:tcBorders>
            <w:shd w:val="clear" w:color="auto" w:fill="auto"/>
            <w:noWrap/>
            <w:vAlign w:val="center"/>
          </w:tcPr>
          <w:p w14:paraId="217390B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0F99">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A28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A90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188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CEC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75BC">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9C4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C24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实际完成指标值</w:t>
            </w:r>
          </w:p>
        </w:tc>
      </w:tr>
      <w:tr w14:paraId="1D1E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23BFE2A"/>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09D5">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B87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2432">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rPr>
              <w:t>新钻安全饮水取水井</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B9F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F528">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30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8D6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EAA9">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553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01484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658BB8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F654"/>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3B89"/>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6E81">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AE17">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EF83">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5CB0">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DE0A">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90E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0FBB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150560F"/>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9957"/>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18ED"/>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3FFD">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2B28">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2992">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2048">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5862">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711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634D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A57F722"/>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F3B1"/>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6D3D"/>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0DA1">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C7C6">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A6BA">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C3D4">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0976">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A93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061F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6FAB684"/>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D156"/>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4A4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396A">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rPr>
              <w:t>该项目达到工程合格率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AC9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88F2">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6BC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9851">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rPr>
            </w:pPr>
            <w:r>
              <w:rPr>
                <w:rFonts w:hint="eastAsia" w:asci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F3B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64871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E14410B"/>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1F0A"/>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36C0"/>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1B57">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16C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277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FE9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A43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1E3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FE93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0E935381"/>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5DA9"/>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43A9">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4E01C">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rPr>
              <w:t>项目按时完工率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34B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C3BA">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5B6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75D2">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19F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0A8C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32B5FD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8CC9"/>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3B43"/>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DD39">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BFE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307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E6B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D01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69F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DDAC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1CB98004"/>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66C9"/>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EFC0">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2946">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B39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621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BC1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3A74">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E14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7961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F9FC7FA"/>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6C02">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50A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经济</w:t>
            </w:r>
            <w:r>
              <w:rPr>
                <w:rFonts w:ascii="宋体" w:eastAsia="宋体" w:cs="宋体"/>
                <w:i w:val="0"/>
                <w:color w:val="000000"/>
                <w:kern w:val="0"/>
                <w:sz w:val="24"/>
                <w:szCs w:val="24"/>
                <w:u w:val="none"/>
                <w:lang w:val="en-US" w:eastAsia="zh-CN"/>
              </w:rPr>
              <w:t>效益</w:t>
            </w:r>
          </w:p>
          <w:p w14:paraId="4B9E28D3">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D78B">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C347">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F31E">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8A02">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4407">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E4A4">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0D56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FC247F0"/>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A92B"/>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6F3A"/>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F653">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541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7DD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E14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03C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BBA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6F4A3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2FA732E"/>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2204"/>
        </w:tc>
        <w:tc>
          <w:tcPr>
            <w:tcW w:w="1250" w:type="dxa"/>
            <w:vMerge w:val="restart"/>
            <w:tcBorders>
              <w:top w:val="single" w:color="000000" w:sz="4" w:space="0"/>
              <w:left w:val="single" w:color="000000" w:sz="4" w:space="0"/>
              <w:bottom w:val="nil"/>
              <w:right w:val="single" w:color="000000" w:sz="4" w:space="0"/>
            </w:tcBorders>
            <w:shd w:val="clear" w:color="auto" w:fill="auto"/>
            <w:noWrap/>
            <w:vAlign w:val="center"/>
          </w:tcPr>
          <w:p w14:paraId="6C91E97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社会效益</w:t>
            </w:r>
          </w:p>
          <w:p w14:paraId="2E25B962">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0386">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sz w:val="24"/>
                <w:szCs w:val="24"/>
                <w:u w:val="none"/>
              </w:rPr>
              <w:t>拓展牧民群众增收渠道，改善群众生产生活条件</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9DE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FE72">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BE4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81CC">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271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B07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11517B3"/>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857D"/>
        </w:tc>
        <w:tc>
          <w:tcPr>
            <w:tcW w:w="1250"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0BD28C5"/>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0A69">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C64B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158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BE1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AEE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213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66BE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0612DD9E"/>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BC45"/>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4AFC">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E289">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B6C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0A2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48E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D79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5E6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626D9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0370A3F"/>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138D8589">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满意度</w:t>
            </w:r>
          </w:p>
          <w:p w14:paraId="200CA3E3">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250" w:type="dxa"/>
            <w:tcBorders>
              <w:top w:val="single" w:color="000000" w:sz="4" w:space="0"/>
              <w:left w:val="single" w:color="000000" w:sz="4" w:space="0"/>
              <w:bottom w:val="nil"/>
              <w:right w:val="single" w:color="000000" w:sz="4" w:space="0"/>
            </w:tcBorders>
            <w:shd w:val="clear" w:color="auto" w:fill="auto"/>
            <w:noWrap/>
            <w:vAlign w:val="center"/>
          </w:tcPr>
          <w:p w14:paraId="130A2000">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服务对象</w:t>
            </w:r>
          </w:p>
          <w:p w14:paraId="112720F7">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2A41">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29C4">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AD14">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9F1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8E9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74A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F1D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6D66E77"/>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F4CA">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9CB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经济成本</w:t>
            </w:r>
          </w:p>
          <w:p w14:paraId="3561A475">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nil"/>
              <w:bottom w:val="single" w:color="000000" w:sz="4" w:space="0"/>
              <w:right w:val="single" w:color="000000" w:sz="4" w:space="0"/>
            </w:tcBorders>
            <w:shd w:val="clear" w:color="auto" w:fill="auto"/>
            <w:noWrap/>
            <w:vAlign w:val="center"/>
          </w:tcPr>
          <w:p w14:paraId="2791F6A6">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sz w:val="24"/>
                <w:szCs w:val="24"/>
                <w:u w:val="none"/>
              </w:rPr>
              <w:t>项目总预算资金</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A28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eastAsia="宋体" w:cs="宋体"/>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BDC7">
            <w:pPr>
              <w:keepNext w:val="0"/>
              <w:keepLines w:val="0"/>
              <w:pageBreakBefore w:val="0"/>
              <w:widowControl w:val="0"/>
              <w:kinsoku/>
              <w:wordWrap/>
              <w:overflowPunct/>
              <w:topLinePunct w:val="0"/>
              <w:autoSpaceDE/>
              <w:autoSpaceDN/>
              <w:bidi w:val="0"/>
              <w:adjustRightInd/>
              <w:snapToGrid/>
              <w:spacing w:line="300" w:lineRule="exact"/>
              <w:ind w:left="0"/>
              <w:jc w:val="both"/>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DF08">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3042">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E64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C012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1F9DB2A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0820"/>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AF4E">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nil"/>
              <w:bottom w:val="single" w:color="000000" w:sz="4" w:space="0"/>
              <w:right w:val="single" w:color="000000" w:sz="4" w:space="0"/>
            </w:tcBorders>
            <w:shd w:val="clear" w:color="auto" w:fill="auto"/>
            <w:noWrap/>
            <w:vAlign w:val="center"/>
          </w:tcPr>
          <w:p w14:paraId="7FC94EFC">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492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51A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93C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6F6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FF6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bl>
    <w:p w14:paraId="1B4FB64A">
      <w:pPr>
        <w:pStyle w:val="9"/>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76C27F81">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4D4B41D7">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F04A364">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4B626C71">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5DA53C9D">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25DC5521">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04A30DD1">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240E86FB">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02F7FF2D">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42342D5B">
      <w:pPr>
        <w:pStyle w:val="18"/>
        <w:keepNext w:val="0"/>
        <w:keepLines w:val="0"/>
        <w:widowControl/>
        <w:suppressLineNumbers w:val="0"/>
        <w:jc w:val="center"/>
        <w:rPr>
          <w:rFonts w:ascii="方正小标宋简体" w:eastAsia="方正小标宋简体" w:cs="方正小标宋简体"/>
          <w:color w:val="auto"/>
          <w:kern w:val="2"/>
          <w:sz w:val="44"/>
          <w:szCs w:val="44"/>
          <w:highlight w:val="none"/>
          <w:lang w:val="en-US" w:eastAsia="zh-CN" w:bidi="ar-SA"/>
        </w:rPr>
      </w:pPr>
    </w:p>
    <w:p w14:paraId="6CC7016B">
      <w:pPr>
        <w:pStyle w:val="18"/>
        <w:keepNext w:val="0"/>
        <w:keepLines w:val="0"/>
        <w:widowControl/>
        <w:suppressLineNumbers w:val="0"/>
        <w:jc w:val="both"/>
        <w:rPr>
          <w:rFonts w:ascii="方正小标宋简体" w:eastAsia="方正小标宋简体" w:cs="方正小标宋简体"/>
          <w:color w:val="auto"/>
          <w:kern w:val="2"/>
          <w:sz w:val="44"/>
          <w:szCs w:val="44"/>
          <w:highlight w:val="none"/>
          <w:lang w:val="en-US" w:eastAsia="zh-CN" w:bidi="ar-SA"/>
        </w:rPr>
      </w:pPr>
    </w:p>
    <w:p w14:paraId="1C7246D9">
      <w:pPr>
        <w:pStyle w:val="18"/>
        <w:keepNext w:val="0"/>
        <w:keepLines w:val="0"/>
        <w:widowControl/>
        <w:suppressLineNumbers w:val="0"/>
        <w:jc w:val="center"/>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金川县撒瓦脚乡人民政府</w:t>
      </w:r>
    </w:p>
    <w:p w14:paraId="2FB78CA3">
      <w:pPr>
        <w:pStyle w:val="18"/>
        <w:keepNext w:val="0"/>
        <w:keepLines w:val="0"/>
        <w:widowControl/>
        <w:suppressLineNumbers w:val="0"/>
        <w:ind w:firstLine="1320" w:firstLineChars="300"/>
        <w:jc w:val="both"/>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专项预算项目支出绩效自评报告</w:t>
      </w:r>
    </w:p>
    <w:p w14:paraId="490869C8">
      <w:pPr>
        <w:pStyle w:val="35"/>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 xml:space="preserve">   （撒瓦脚乡人民政府维修项目）</w:t>
      </w:r>
    </w:p>
    <w:p w14:paraId="1B1D2E92">
      <w:pPr>
        <w:snapToGrid w:val="0"/>
        <w:spacing w:line="600" w:lineRule="exact"/>
        <w:ind w:firstLine="643" w:firstLineChars="200"/>
        <w:rPr>
          <w:rFonts w:hint="eastAsia" w:ascii="楷体_GB2312" w:eastAsia="楷体_GB2312" w:cs="Times New Roman"/>
          <w:b/>
          <w:color w:val="auto"/>
          <w:sz w:val="32"/>
          <w:szCs w:val="32"/>
          <w:highlight w:val="none"/>
          <w:u w:val="none"/>
          <w:lang w:val="zh-CN"/>
        </w:rPr>
      </w:pPr>
      <w:r>
        <w:rPr>
          <w:rFonts w:hint="eastAsia" w:ascii="楷体_GB2312" w:eastAsia="楷体_GB2312" w:cs="Times New Roman"/>
          <w:b/>
          <w:color w:val="auto"/>
          <w:sz w:val="32"/>
          <w:szCs w:val="32"/>
          <w:highlight w:val="none"/>
          <w:u w:val="none"/>
          <w:lang w:val="zh-CN"/>
        </w:rPr>
        <w:t>一、项目概况</w:t>
      </w:r>
    </w:p>
    <w:p w14:paraId="748A647B">
      <w:pPr>
        <w:pStyle w:val="19"/>
        <w:widowControl/>
        <w:wordWrap w:val="0"/>
        <w:ind w:firstLine="640"/>
        <w:rPr>
          <w:rFonts w:eastAsia="仿宋_GB2312"/>
          <w:color w:val="363636"/>
          <w:sz w:val="32"/>
          <w:szCs w:val="32"/>
        </w:rPr>
      </w:pPr>
      <w:r>
        <w:rPr>
          <w:rFonts w:hint="eastAsia" w:ascii="楷体_GB2312" w:eastAsia="楷体_GB2312"/>
          <w:b/>
          <w:color w:val="auto"/>
          <w:sz w:val="32"/>
          <w:szCs w:val="32"/>
          <w:highlight w:val="none"/>
          <w:u w:val="none"/>
          <w:lang w:val="zh-CN"/>
        </w:rPr>
        <w:t>（一）设立背景及基本情况。</w:t>
      </w:r>
      <w:r>
        <w:rPr>
          <w:rFonts w:eastAsia="仿宋"/>
          <w:color w:val="363636"/>
          <w:sz w:val="32"/>
          <w:szCs w:val="32"/>
        </w:rPr>
        <w:t>乡政府厨房及办公住宿区域存在不同程度的损坏、漏水、线路老化等各种问题，严重影响乡政府日常办公，为切实强化基层政权执行能力，提高乡镇基层干部办公条件和生活水平。该项目的实施是加强基层政权建设的重要举措，对增强乡党委、政府的凝聚力、号召力、战斗力，塑造良好的党委、政府形象，充分调动干部的工作积极性、主动性、创造性，推动全乡经济和社会各项事业的全面发展起到了积极的促进作用。</w:t>
      </w:r>
    </w:p>
    <w:p w14:paraId="7BE33491">
      <w:pPr>
        <w:snapToGrid w:val="0"/>
        <w:spacing w:line="600" w:lineRule="exact"/>
        <w:rPr>
          <w:rFonts w:hint="eastAsia" w:ascii="Times New Roman" w:hAnsi="Times New Roman" w:eastAsia="仿宋_GB2312" w:cs="Times New Roman"/>
          <w:kern w:val="2"/>
          <w:sz w:val="32"/>
          <w:szCs w:val="32"/>
          <w:lang w:val="en-US" w:eastAsia="zh-CN" w:bidi="ar-SA"/>
        </w:rPr>
      </w:pPr>
    </w:p>
    <w:p w14:paraId="595D0F1A">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仿宋_GB2312" w:cs="Times New Roman"/>
          <w:kern w:val="2"/>
          <w:sz w:val="32"/>
          <w:szCs w:val="32"/>
          <w:lang w:val="zh-CN" w:eastAsia="zh-CN" w:bidi="ar-SA"/>
        </w:rPr>
      </w:pPr>
      <w:r>
        <w:rPr>
          <w:rFonts w:ascii="楷体_GB2312" w:eastAsia="楷体_GB2312" w:cs="Times New Roman"/>
          <w:b/>
          <w:color w:val="auto"/>
          <w:sz w:val="32"/>
          <w:szCs w:val="32"/>
          <w:highlight w:val="none"/>
          <w:u w:val="none"/>
          <w:lang w:val="en-US" w:eastAsia="zh-CN"/>
        </w:rPr>
        <w:t>实施目的及支持方向</w:t>
      </w:r>
      <w:r>
        <w:rPr>
          <w:rFonts w:hint="eastAsia" w:ascii="楷体_GB2312" w:eastAsia="楷体_GB2312" w:cs="Times New Roman"/>
          <w:b/>
          <w:color w:val="auto"/>
          <w:sz w:val="32"/>
          <w:szCs w:val="32"/>
          <w:highlight w:val="none"/>
          <w:u w:val="none"/>
          <w:lang w:val="en-US" w:eastAsia="zh-CN"/>
        </w:rPr>
        <w:t>。</w:t>
      </w:r>
      <w:r>
        <w:rPr>
          <w:rFonts w:hint="eastAsia" w:ascii="Times New Roman" w:hAnsi="Times New Roman" w:eastAsia="仿宋_GB2312" w:cs="Times New Roman"/>
          <w:kern w:val="2"/>
          <w:sz w:val="32"/>
          <w:szCs w:val="32"/>
          <w:lang w:val="en-US" w:eastAsia="zh-CN" w:bidi="ar-SA"/>
        </w:rPr>
        <w:t>维修乡政府饮水设施、房顶防水建设等基础设施完善。</w:t>
      </w:r>
    </w:p>
    <w:p w14:paraId="61CF8A6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textAlignment w:val="auto"/>
        <w:rPr>
          <w:rFonts w:ascii="Times New Roman" w:hAnsi="Times New Roman" w:eastAsia="仿宋_GB2312" w:cs="Times New Roman"/>
          <w:kern w:val="2"/>
          <w:sz w:val="32"/>
          <w:szCs w:val="32"/>
          <w:lang w:val="zh-CN" w:eastAsia="zh-CN" w:bidi="ar-SA"/>
        </w:rPr>
      </w:pPr>
      <w:r>
        <w:rPr>
          <w:rFonts w:hint="eastAsia" w:ascii="楷体_GB2312" w:eastAsia="楷体_GB2312" w:cs="Times New Roman"/>
          <w:b/>
          <w:color w:val="auto"/>
          <w:sz w:val="32"/>
          <w:szCs w:val="32"/>
          <w:highlight w:val="none"/>
          <w:u w:val="none"/>
          <w:lang w:val="zh-CN" w:eastAsia="zh-CN"/>
        </w:rPr>
        <w:t>（三）</w:t>
      </w:r>
      <w:r>
        <w:rPr>
          <w:rFonts w:ascii="楷体_GB2312" w:eastAsia="楷体_GB2312" w:cs="Times New Roman"/>
          <w:b/>
          <w:color w:val="auto"/>
          <w:sz w:val="32"/>
          <w:szCs w:val="32"/>
          <w:highlight w:val="none"/>
          <w:u w:val="none"/>
          <w:lang w:val="en-US" w:eastAsia="zh-CN"/>
        </w:rPr>
        <w:t>预算安排及分配管理</w:t>
      </w:r>
      <w:r>
        <w:rPr>
          <w:rFonts w:hint="eastAsia" w:ascii="楷体_GB2312" w:eastAsia="楷体_GB2312" w:cs="Times New Roman"/>
          <w:b/>
          <w:color w:val="auto"/>
          <w:sz w:val="32"/>
          <w:szCs w:val="32"/>
          <w:highlight w:val="none"/>
          <w:u w:val="none"/>
          <w:lang w:val="zh-CN" w:eastAsia="zh-CN"/>
        </w:rPr>
        <w:t>。</w:t>
      </w:r>
      <w:r>
        <w:rPr>
          <w:rFonts w:hint="eastAsia" w:ascii="Times New Roman" w:hAnsi="Times New Roman" w:eastAsia="仿宋_GB2312" w:cs="Times New Roman"/>
          <w:kern w:val="2"/>
          <w:sz w:val="32"/>
          <w:szCs w:val="32"/>
          <w:lang w:val="zh-CN" w:eastAsia="zh-CN" w:bidi="ar-SA"/>
        </w:rPr>
        <w:t>该项目申报预算  12 万元，本次申报金额为  12 万元，资金来源为2022年基层政权建设项目资金本次对项目投入经济性的评估是在项目事前绩效评估、预算测算的基础上，按照厉行节约的要求，结合项目 2024年实际需求评估认为，该项目任务数量基本合理、预算测算过程较为详细、测算依据基本充分、有一定的经济性。建议预算控制在12万元以内。（四）项目绩效目标设置。</w:t>
      </w:r>
      <w:r>
        <w:rPr>
          <w:rFonts w:hint="eastAsia" w:ascii="Times New Roman" w:hAnsi="Times New Roman" w:eastAsia="仿宋_GB2312" w:cs="Times New Roman"/>
          <w:kern w:val="2"/>
          <w:sz w:val="32"/>
          <w:szCs w:val="32"/>
          <w:lang w:val="en-US" w:eastAsia="zh-CN" w:bidi="ar-SA"/>
        </w:rPr>
        <w:t>根据2023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Times New Roman" w:hAnsi="Times New Roman" w:eastAsia="仿宋_GB2312" w:cs="Times New Roman"/>
          <w:kern w:val="2"/>
          <w:sz w:val="32"/>
          <w:szCs w:val="32"/>
          <w:lang w:val="zh-CN" w:eastAsia="zh-CN" w:bidi="ar-SA"/>
        </w:rPr>
        <w:t>。</w:t>
      </w:r>
    </w:p>
    <w:p w14:paraId="3CEED0F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eastAsia="楷体_GB2312" w:cs="Times New Roman"/>
          <w:b/>
          <w:color w:val="auto"/>
          <w:sz w:val="32"/>
          <w:szCs w:val="32"/>
          <w:highlight w:val="none"/>
          <w:u w:val="none"/>
          <w:lang w:val="zh-CN" w:eastAsia="zh-CN"/>
        </w:rPr>
      </w:pPr>
      <w:r>
        <w:rPr>
          <w:rFonts w:hint="eastAsia" w:ascii="楷体_GB2312" w:eastAsia="楷体_GB2312" w:cs="Times New Roman"/>
          <w:b/>
          <w:color w:val="auto"/>
          <w:sz w:val="32"/>
          <w:szCs w:val="32"/>
          <w:highlight w:val="none"/>
          <w:u w:val="none"/>
          <w:lang w:val="zh-CN"/>
        </w:rPr>
        <w:t>二、</w:t>
      </w:r>
      <w:r>
        <w:rPr>
          <w:rFonts w:hint="eastAsia" w:ascii="楷体_GB2312" w:eastAsia="楷体_GB2312" w:cs="Times New Roman"/>
          <w:b/>
          <w:color w:val="auto"/>
          <w:sz w:val="32"/>
          <w:szCs w:val="32"/>
          <w:highlight w:val="none"/>
          <w:u w:val="none"/>
          <w:lang w:val="zh-CN" w:eastAsia="zh-CN"/>
        </w:rPr>
        <w:t>评价实施</w:t>
      </w:r>
    </w:p>
    <w:p w14:paraId="5049FE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szCs w:val="32"/>
        </w:rPr>
      </w:pPr>
      <w:r>
        <w:rPr>
          <w:rFonts w:hint="eastAsia" w:ascii="楷体_GB2312" w:eastAsia="楷体_GB2312"/>
          <w:b/>
          <w:color w:val="auto"/>
          <w:sz w:val="32"/>
          <w:szCs w:val="32"/>
          <w:highlight w:val="none"/>
          <w:u w:val="none"/>
          <w:lang w:val="zh-CN"/>
        </w:rPr>
        <w:t>（一）评价目的。</w:t>
      </w:r>
      <w:r>
        <w:rPr>
          <w:rFonts w:hint="eastAsia" w:ascii="Times New Roman" w:hAnsi="Times New Roman" w:eastAsia="仿宋_GB2312" w:cs="Times New Roman"/>
          <w:kern w:val="2"/>
          <w:sz w:val="32"/>
          <w:szCs w:val="32"/>
          <w:lang w:val="en-US"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7C3EAC6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（二）预设问题及评价重点。</w:t>
      </w:r>
      <w:r>
        <w:rPr>
          <w:rFonts w:hint="eastAsia" w:ascii="Times New Roman" w:hAnsi="Times New Roman" w:eastAsia="仿宋_GB2312" w:cs="Times New Roman"/>
          <w:kern w:val="2"/>
          <w:sz w:val="32"/>
          <w:szCs w:val="32"/>
          <w:lang w:val="en-US" w:eastAsia="zh-CN" w:bidi="ar-SA"/>
        </w:rPr>
        <w:t>1、项目决策：</w:t>
      </w:r>
      <w:r>
        <w:rPr>
          <w:rFonts w:hint="eastAsia" w:ascii="Times New Roman" w:hAnsi="Times New Roman"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1F6ABA8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2、项目管理：</w:t>
      </w:r>
      <w:r>
        <w:rPr>
          <w:rFonts w:hint="eastAsia" w:ascii="Times New Roman" w:hAnsi="Times New Roman"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644603A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3、项目实施：</w:t>
      </w:r>
      <w:r>
        <w:rPr>
          <w:rFonts w:hint="eastAsia" w:ascii="Times New Roman" w:hAnsi="Times New Roman" w:eastAsia="仿宋_GB2312" w:cs="Times New Roman"/>
          <w:kern w:val="2"/>
          <w:sz w:val="32"/>
          <w:szCs w:val="32"/>
          <w:lang w:val="zh-CN" w:eastAsia="zh-CN" w:bidi="ar-SA"/>
        </w:rPr>
        <w:t>项目资金财政拨付按时完成率</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、单位执行资金使用率为</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和地方配套资金到位率</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4970884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4、项目结果：</w:t>
      </w:r>
      <w:r>
        <w:rPr>
          <w:rFonts w:hint="eastAsia" w:ascii="Times New Roman" w:hAnsi="Times New Roman" w:eastAsia="仿宋_GB2312" w:cs="Times New Roman"/>
          <w:kern w:val="2"/>
          <w:sz w:val="32"/>
          <w:szCs w:val="32"/>
          <w:lang w:val="zh-CN" w:eastAsia="zh-CN" w:bidi="ar-SA"/>
        </w:rPr>
        <w:t>项目完成预期目标，实施结果与绩效目标相匹配，反映目标实现率</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，项目实际完成时间与计划完成时间的比较差异率为</w:t>
      </w:r>
      <w:r>
        <w:rPr>
          <w:rFonts w:hint="eastAsia" w:ascii="Times New Roman" w:hAnsi="Times New Roman" w:eastAsia="仿宋_GB2312" w:cs="Times New Roman"/>
          <w:kern w:val="2"/>
          <w:sz w:val="32"/>
          <w:szCs w:val="32"/>
          <w:lang w:val="en-US" w:eastAsia="zh-CN" w:bidi="ar-SA"/>
        </w:rPr>
        <w:t>0%。</w:t>
      </w:r>
    </w:p>
    <w:p w14:paraId="52CB858B">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（三）评价选点。</w:t>
      </w:r>
      <w:r>
        <w:rPr>
          <w:rFonts w:hint="eastAsia" w:ascii="Times New Roman" w:hAnsi="Times New Roman" w:eastAsia="仿宋_GB2312" w:cs="Times New Roman"/>
          <w:kern w:val="2"/>
          <w:sz w:val="32"/>
          <w:szCs w:val="32"/>
          <w:lang w:val="zh-CN" w:eastAsia="zh-CN" w:bidi="ar-SA"/>
        </w:rPr>
        <w:t>项目绩效自评抽样采用实地考察</w:t>
      </w:r>
    </w:p>
    <w:p w14:paraId="0857D3A1">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outlineLvl w:val="9"/>
        <w:rPr>
          <w:rFonts w:hint="eastAsia" w:ascii="Times New Roman" w:hAnsi="Times New Roman" w:cs="Times New Roman"/>
          <w:szCs w:val="32"/>
          <w:lang w:val="zh-CN" w:eastAsia="zh-CN"/>
        </w:rPr>
      </w:pPr>
      <w:r>
        <w:rPr>
          <w:rFonts w:hint="eastAsia" w:ascii="楷体_GB2312" w:eastAsia="楷体_GB2312"/>
          <w:b/>
          <w:color w:val="auto"/>
          <w:sz w:val="32"/>
          <w:szCs w:val="32"/>
          <w:highlight w:val="none"/>
          <w:u w:val="none"/>
          <w:lang w:val="zh-CN"/>
        </w:rPr>
        <w:t>（四）评价方法。</w:t>
      </w:r>
      <w:r>
        <w:rPr>
          <w:rFonts w:hint="eastAsia" w:ascii="Times New Roman" w:hAnsi="Times New Roman" w:eastAsia="仿宋_GB2312" w:cs="Times New Roman"/>
          <w:kern w:val="2"/>
          <w:sz w:val="32"/>
          <w:szCs w:val="32"/>
          <w:lang w:val="zh-CN" w:eastAsia="zh-CN" w:bidi="ar-SA"/>
        </w:rPr>
        <w:t>我单位开展自行评估，通过召开座谈会收集被评估项目相关基础资料，查阅资料、收集数据信息等，深入论证分析后，形成绩效评估报告。根据项目完成情况，采用查看文卷及实地考察等方法。</w:t>
      </w:r>
    </w:p>
    <w:p w14:paraId="4D82B3D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（五）评价组织。</w:t>
      </w:r>
      <w:r>
        <w:rPr>
          <w:rFonts w:hint="eastAsia" w:ascii="Times New Roman" w:hAnsi="Times New Roman" w:eastAsia="仿宋_GB2312" w:cs="Times New Roman"/>
          <w:kern w:val="2"/>
          <w:sz w:val="32"/>
          <w:szCs w:val="32"/>
          <w:lang w:val="zh-CN" w:eastAsia="zh-CN" w:bidi="ar-SA"/>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0A8B5F3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_GB2312" w:hAnsi="仿宋_GB2312"/>
          <w:color w:val="auto"/>
          <w:sz w:val="32"/>
          <w:szCs w:val="32"/>
          <w:highlight w:val="none"/>
          <w:u w:val="none"/>
          <w:lang w:val="zh-CN"/>
        </w:rPr>
      </w:pPr>
      <w:r>
        <w:rPr>
          <w:rFonts w:hint="eastAsia" w:ascii="黑体" w:eastAsia="黑体"/>
          <w:color w:val="auto"/>
          <w:sz w:val="32"/>
          <w:szCs w:val="32"/>
          <w:highlight w:val="none"/>
          <w:u w:val="none"/>
        </w:rPr>
        <w:t>三、</w:t>
      </w:r>
      <w:r>
        <w:rPr>
          <w:rFonts w:hint="eastAsia" w:ascii="黑体" w:eastAsia="黑体"/>
          <w:color w:val="auto"/>
          <w:sz w:val="32"/>
          <w:szCs w:val="32"/>
          <w:highlight w:val="none"/>
          <w:u w:val="none"/>
          <w:lang w:eastAsia="zh-CN"/>
        </w:rPr>
        <w:t>绩效分析</w:t>
      </w:r>
      <w:r>
        <w:rPr>
          <w:rFonts w:hint="eastAsia" w:ascii="仿宋_GB2312" w:hAnsi="仿宋_GB2312"/>
          <w:color w:val="auto"/>
          <w:sz w:val="32"/>
          <w:szCs w:val="32"/>
          <w:highlight w:val="none"/>
          <w:u w:val="none"/>
          <w:lang w:val="zh-CN"/>
        </w:rPr>
        <w:tab/>
      </w:r>
    </w:p>
    <w:p w14:paraId="2541E659">
      <w:pPr>
        <w:snapToGrid w:val="0"/>
        <w:spacing w:line="360" w:lineRule="auto"/>
        <w:ind w:firstLine="640" w:firstLineChars="200"/>
        <w:rPr>
          <w:rFonts w:hint="eastAsia" w:ascii="仿宋_GB2312"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该项目评估总得分90分、评估等级优、得分情况中产出指标得分60分、效益指标得分20分、满意度指标得分10分。预期产出和效果能满足需求、不需要核减预算安排。</w:t>
      </w:r>
    </w:p>
    <w:p w14:paraId="62D59B8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eastAsia="楷体_GB2312" w:cs="Times New Roman"/>
          <w:b/>
          <w:color w:val="auto"/>
          <w:sz w:val="32"/>
          <w:szCs w:val="32"/>
          <w:highlight w:val="none"/>
          <w:u w:val="none"/>
          <w:lang w:val="en-US" w:eastAsia="zh-CN"/>
        </w:rPr>
      </w:pPr>
      <w:r>
        <w:rPr>
          <w:rFonts w:hint="eastAsia" w:ascii="楷体_GB2312" w:eastAsia="楷体_GB2312" w:cs="Times New Roman"/>
          <w:b/>
          <w:color w:val="auto"/>
          <w:sz w:val="32"/>
          <w:szCs w:val="32"/>
          <w:highlight w:val="none"/>
          <w:u w:val="none"/>
          <w:lang w:val="zh-CN"/>
        </w:rPr>
        <w:t>（一）</w:t>
      </w:r>
      <w:r>
        <w:rPr>
          <w:rFonts w:hint="eastAsia" w:ascii="楷体_GB2312" w:eastAsia="楷体_GB2312" w:cs="Times New Roman"/>
          <w:b/>
          <w:color w:val="auto"/>
          <w:sz w:val="32"/>
          <w:szCs w:val="32"/>
          <w:highlight w:val="none"/>
          <w:u w:val="none"/>
          <w:lang w:val="en-US" w:eastAsia="zh-CN"/>
        </w:rPr>
        <w:t>通用指标</w:t>
      </w:r>
      <w:r>
        <w:rPr>
          <w:rFonts w:ascii="楷体_GB2312" w:eastAsia="楷体_GB2312" w:cs="Times New Roman"/>
          <w:b/>
          <w:color w:val="auto"/>
          <w:sz w:val="32"/>
          <w:szCs w:val="32"/>
          <w:highlight w:val="none"/>
          <w:u w:val="none"/>
          <w:lang w:val="zh-CN" w:eastAsia="zh-CN"/>
        </w:rPr>
        <w:t>绩效分析。</w:t>
      </w:r>
    </w:p>
    <w:p w14:paraId="00577A63">
      <w:pPr>
        <w:snapToGrid w:val="0"/>
        <w:spacing w:line="360" w:lineRule="auto"/>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1.项目决策。</w:t>
      </w:r>
      <w:r>
        <w:rPr>
          <w:rFonts w:hint="eastAsia" w:ascii="Times New Roman" w:hAnsi="Times New Roman"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38BFF685">
      <w:pPr>
        <w:snapToGrid w:val="0"/>
        <w:spacing w:line="360" w:lineRule="auto"/>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2.项目管理。</w:t>
      </w:r>
      <w:r>
        <w:rPr>
          <w:rFonts w:hint="eastAsia" w:ascii="Times New Roman" w:hAnsi="Times New Roman"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6FF4BF9F">
      <w:pPr>
        <w:snapToGrid w:val="0"/>
        <w:spacing w:line="360" w:lineRule="auto"/>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3.项目实施。</w:t>
      </w:r>
      <w:r>
        <w:rPr>
          <w:rFonts w:hint="eastAsia" w:ascii="Times New Roman" w:hAnsi="Times New Roman" w:eastAsia="仿宋_GB2312" w:cs="Times New Roman"/>
          <w:kern w:val="2"/>
          <w:sz w:val="32"/>
          <w:szCs w:val="32"/>
          <w:lang w:val="zh-CN" w:eastAsia="zh-CN" w:bidi="ar-SA"/>
        </w:rPr>
        <w:t>项目资金财政拨付按时完成率</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、单位执行资金使用率为</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和地方配套资金到位率</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10D716A7">
      <w:pPr>
        <w:snapToGrid w:val="0"/>
        <w:spacing w:line="360" w:lineRule="auto"/>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4.项目结果。</w:t>
      </w:r>
      <w:r>
        <w:rPr>
          <w:rFonts w:hint="eastAsia" w:ascii="Times New Roman" w:hAnsi="Times New Roman" w:eastAsia="仿宋_GB2312" w:cs="Times New Roman"/>
          <w:kern w:val="2"/>
          <w:sz w:val="32"/>
          <w:szCs w:val="32"/>
          <w:lang w:val="zh-CN" w:eastAsia="zh-CN" w:bidi="ar-SA"/>
        </w:rPr>
        <w:t>项目完成预期目标，实施结果与绩效目标相匹配，反映目标实现率</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，项目实际完成时间与计划完成时间的比较差异率为</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w:t>
      </w:r>
    </w:p>
    <w:p w14:paraId="2BB12C14">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outlineLvl w:val="9"/>
        <w:rPr>
          <w:rFonts w:ascii="Times New Roman" w:hAnsi="Times New Roman"/>
          <w:szCs w:val="32"/>
          <w:lang w:val="zh-CN"/>
        </w:rPr>
      </w:pPr>
      <w:r>
        <w:rPr>
          <w:rFonts w:hint="eastAsia" w:ascii="楷体_GB2312" w:eastAsia="楷体_GB2312" w:cs="Times New Roman"/>
          <w:b/>
          <w:color w:val="auto"/>
          <w:sz w:val="32"/>
          <w:szCs w:val="32"/>
          <w:highlight w:val="none"/>
          <w:u w:val="none"/>
          <w:lang w:val="zh-CN"/>
        </w:rPr>
        <w:t>（二）</w:t>
      </w:r>
      <w:r>
        <w:rPr>
          <w:rFonts w:hint="eastAsia" w:ascii="楷体_GB2312" w:eastAsia="楷体_GB2312" w:cs="Times New Roman"/>
          <w:b/>
          <w:color w:val="auto"/>
          <w:sz w:val="32"/>
          <w:szCs w:val="32"/>
          <w:highlight w:val="none"/>
          <w:u w:val="none"/>
          <w:lang w:val="en-US" w:eastAsia="zh-CN"/>
        </w:rPr>
        <w:t>专用指标</w:t>
      </w:r>
      <w:r>
        <w:rPr>
          <w:rFonts w:ascii="楷体_GB2312" w:eastAsia="楷体_GB2312" w:cs="Times New Roman"/>
          <w:b/>
          <w:color w:val="auto"/>
          <w:sz w:val="32"/>
          <w:szCs w:val="32"/>
          <w:highlight w:val="none"/>
          <w:u w:val="none"/>
          <w:lang w:val="zh-CN"/>
        </w:rPr>
        <w:t>绩效分析。</w:t>
      </w:r>
    </w:p>
    <w:p w14:paraId="55021011">
      <w:pPr>
        <w:snapToGrid w:val="0"/>
        <w:spacing w:line="360" w:lineRule="auto"/>
        <w:ind w:firstLine="640" w:firstLineChars="200"/>
        <w:rPr>
          <w:rFonts w:hint="eastAsia" w:ascii="仿宋_GB2312" w:hAnsi="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基础设施：建成项目</w:t>
      </w:r>
      <w:r>
        <w:rPr>
          <w:rFonts w:hint="eastAsia" w:ascii="Times New Roman" w:hAnsi="Times New Roman" w:eastAsia="仿宋_GB2312" w:cs="Times New Roman"/>
          <w:kern w:val="2"/>
          <w:sz w:val="32"/>
          <w:szCs w:val="32"/>
          <w:lang w:val="en-US" w:eastAsia="zh-CN" w:bidi="ar-SA"/>
        </w:rPr>
        <w:t>-项目验收，项目验收及时合格；项目经济社会功能实现；项目后续维护实现。</w:t>
      </w:r>
      <w:r>
        <w:rPr>
          <w:rFonts w:hint="eastAsia" w:ascii="Times New Roman" w:hAnsi="Times New Roman"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4433192B">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outlineLvl w:val="9"/>
        <w:rPr>
          <w:rFonts w:ascii="楷体_GB2312" w:eastAsia="楷体_GB2312" w:cs="Times New Roman"/>
          <w:b/>
          <w:color w:val="auto"/>
          <w:sz w:val="32"/>
          <w:szCs w:val="32"/>
          <w:highlight w:val="none"/>
          <w:u w:val="none"/>
          <w:lang w:val="zh-CN"/>
        </w:rPr>
      </w:pPr>
      <w:r>
        <w:rPr>
          <w:rFonts w:hint="eastAsia" w:ascii="楷体_GB2312" w:eastAsia="楷体_GB2312" w:cs="Times New Roman"/>
          <w:b/>
          <w:color w:val="auto"/>
          <w:sz w:val="32"/>
          <w:szCs w:val="32"/>
          <w:highlight w:val="none"/>
          <w:u w:val="none"/>
          <w:lang w:val="zh-CN"/>
        </w:rPr>
        <w:t>（三）</w:t>
      </w:r>
      <w:r>
        <w:rPr>
          <w:rFonts w:hint="eastAsia" w:ascii="楷体_GB2312" w:eastAsia="楷体_GB2312" w:cs="Times New Roman"/>
          <w:b/>
          <w:color w:val="auto"/>
          <w:sz w:val="32"/>
          <w:szCs w:val="32"/>
          <w:highlight w:val="none"/>
          <w:u w:val="none"/>
          <w:lang w:val="en-US" w:eastAsia="zh-CN"/>
        </w:rPr>
        <w:t>个性指标</w:t>
      </w:r>
      <w:r>
        <w:rPr>
          <w:rFonts w:ascii="楷体_GB2312" w:eastAsia="楷体_GB2312" w:cs="Times New Roman"/>
          <w:b/>
          <w:color w:val="auto"/>
          <w:sz w:val="32"/>
          <w:szCs w:val="32"/>
          <w:highlight w:val="none"/>
          <w:u w:val="none"/>
          <w:lang w:val="zh-CN"/>
        </w:rPr>
        <w:t>绩效分析。</w:t>
      </w:r>
    </w:p>
    <w:p w14:paraId="5CAECB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cs="Times New Roman"/>
          <w:color w:val="auto"/>
          <w:szCs w:val="32"/>
          <w:lang w:val="en-US" w:eastAsia="zh-CN"/>
        </w:rPr>
      </w:pPr>
      <w:r>
        <w:rPr>
          <w:rFonts w:hint="eastAsia" w:ascii="Times New Roman" w:hAnsi="Times New Roman" w:eastAsia="仿宋_GB2312" w:cs="Times New Roman"/>
          <w:sz w:val="32"/>
          <w:szCs w:val="32"/>
          <w:lang w:val="en-US" w:eastAsia="zh-CN"/>
        </w:rPr>
        <w:t>满意度指标，受益群众的满意度值。</w:t>
      </w:r>
    </w:p>
    <w:p w14:paraId="0C4279C4">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olor w:val="auto"/>
          <w:sz w:val="32"/>
          <w:szCs w:val="32"/>
          <w:highlight w:val="none"/>
          <w:u w:val="none"/>
        </w:rPr>
      </w:pPr>
      <w:r>
        <w:rPr>
          <w:rFonts w:hint="eastAsia" w:ascii="黑体" w:eastAsia="黑体"/>
          <w:color w:val="auto"/>
          <w:sz w:val="32"/>
          <w:szCs w:val="32"/>
          <w:highlight w:val="none"/>
          <w:u w:val="none"/>
          <w:lang w:eastAsia="zh-CN"/>
        </w:rPr>
        <w:t>四</w:t>
      </w:r>
      <w:r>
        <w:rPr>
          <w:rFonts w:hint="eastAsia" w:ascii="黑体" w:eastAsia="黑体"/>
          <w:color w:val="auto"/>
          <w:sz w:val="32"/>
          <w:szCs w:val="32"/>
          <w:highlight w:val="none"/>
          <w:u w:val="none"/>
        </w:rPr>
        <w:t>、评价结论</w:t>
      </w:r>
    </w:p>
    <w:p w14:paraId="506AC594">
      <w:pPr>
        <w:pStyle w:val="19"/>
        <w:shd w:val="clear" w:color="auto" w:fill="FFFFFF"/>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该项目总体评分</w:t>
      </w:r>
      <w:r>
        <w:rPr>
          <w:rFonts w:hint="eastAsia" w:eastAsia="仿宋_GB2312" w:cs="Times New Roman"/>
          <w:kern w:val="2"/>
          <w:sz w:val="32"/>
          <w:szCs w:val="32"/>
          <w:lang w:val="en-US" w:eastAsia="zh-CN" w:bidi="ar-SA"/>
        </w:rPr>
        <w:t>93</w:t>
      </w:r>
      <w:r>
        <w:rPr>
          <w:rFonts w:hint="eastAsia" w:ascii="Times New Roman" w:hAnsi="Times New Roman" w:eastAsia="仿宋_GB2312" w:cs="Times New Roman"/>
          <w:kern w:val="2"/>
          <w:sz w:val="32"/>
          <w:szCs w:val="32"/>
          <w:lang w:val="en-US" w:eastAsia="zh-CN" w:bidi="ar-SA"/>
        </w:rPr>
        <w:t>分，</w:t>
      </w:r>
      <w:r>
        <w:rPr>
          <w:rFonts w:hint="eastAsia" w:ascii="Times New Roman" w:hAnsi="Times New Roman" w:eastAsia="仿宋_GB2312" w:cs="Times New Roman"/>
          <w:kern w:val="2"/>
          <w:sz w:val="32"/>
          <w:szCs w:val="32"/>
          <w:lang w:val="zh-CN" w:eastAsia="zh-CN" w:bidi="ar-SA"/>
        </w:rPr>
        <w:t>预期项目完成后，将完善</w:t>
      </w:r>
      <w:r>
        <w:rPr>
          <w:rFonts w:hint="eastAsia" w:eastAsia="仿宋_GB2312" w:cs="Times New Roman"/>
          <w:kern w:val="2"/>
          <w:sz w:val="32"/>
          <w:szCs w:val="32"/>
          <w:lang w:val="zh-CN" w:eastAsia="zh-CN" w:bidi="ar-SA"/>
        </w:rPr>
        <w:t>乡政府</w:t>
      </w:r>
      <w:r>
        <w:rPr>
          <w:rFonts w:hint="eastAsia" w:ascii="Times New Roman" w:hAnsi="Times New Roman" w:eastAsia="仿宋_GB2312" w:cs="Times New Roman"/>
          <w:kern w:val="2"/>
          <w:sz w:val="32"/>
          <w:szCs w:val="32"/>
          <w:lang w:val="zh-CN" w:eastAsia="zh-CN" w:bidi="ar-SA"/>
        </w:rPr>
        <w:t>生产生活基础保障，助力</w:t>
      </w:r>
      <w:r>
        <w:rPr>
          <w:rFonts w:hint="eastAsia" w:eastAsia="仿宋_GB2312" w:cs="Times New Roman"/>
          <w:kern w:val="2"/>
          <w:sz w:val="32"/>
          <w:szCs w:val="32"/>
          <w:lang w:val="zh-CN" w:eastAsia="zh-CN" w:bidi="ar-SA"/>
        </w:rPr>
        <w:t>撒瓦脚</w:t>
      </w:r>
      <w:r>
        <w:rPr>
          <w:rFonts w:hint="eastAsia" w:ascii="Times New Roman" w:hAnsi="Times New Roman" w:eastAsia="仿宋_GB2312" w:cs="Times New Roman"/>
          <w:kern w:val="2"/>
          <w:sz w:val="32"/>
          <w:szCs w:val="32"/>
          <w:lang w:val="zh-CN" w:eastAsia="zh-CN" w:bidi="ar-SA"/>
        </w:rPr>
        <w:t>乡经济、社会发展</w:t>
      </w:r>
      <w:r>
        <w:rPr>
          <w:rFonts w:hint="eastAsia" w:eastAsia="仿宋_GB2312" w:cs="Times New Roman"/>
          <w:kern w:val="2"/>
          <w:sz w:val="32"/>
          <w:szCs w:val="32"/>
          <w:lang w:val="zh-CN" w:eastAsia="zh-CN" w:bidi="ar-SA"/>
        </w:rPr>
        <w:t>。</w:t>
      </w:r>
    </w:p>
    <w:p w14:paraId="4A443D2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Times New Roman"/>
          <w:kern w:val="2"/>
          <w:sz w:val="32"/>
          <w:szCs w:val="32"/>
          <w:lang w:val="en-US" w:eastAsia="zh-CN" w:bidi="ar-SA"/>
        </w:rPr>
      </w:pPr>
    </w:p>
    <w:p w14:paraId="41D95DB5">
      <w:pPr>
        <w:pStyle w:val="7"/>
        <w:pageBreakBefore w:val="0"/>
        <w:widowControl w:val="0"/>
        <w:tabs>
          <w:tab w:val="left" w:pos="2160"/>
        </w:tabs>
        <w:kinsoku/>
        <w:wordWrap/>
        <w:overflowPunct/>
        <w:topLinePunct w:val="0"/>
        <w:autoSpaceDE/>
        <w:autoSpaceDN/>
        <w:bidi w:val="0"/>
        <w:adjustRightInd/>
        <w:spacing w:line="600" w:lineRule="exact"/>
        <w:textAlignment w:val="auto"/>
        <w:rPr>
          <w:rFonts w:hint="eastAsia" w:ascii="黑体" w:eastAsia="黑体" w:cs="Times New Roman"/>
          <w:color w:val="auto"/>
          <w:sz w:val="32"/>
          <w:szCs w:val="32"/>
          <w:highlight w:val="none"/>
          <w:u w:val="none"/>
          <w:lang w:eastAsia="zh-CN"/>
        </w:rPr>
      </w:pPr>
      <w:r>
        <w:rPr>
          <w:rFonts w:hint="eastAsia" w:ascii="仿宋_GB2312" w:eastAsia="仿宋_GB2312" w:cs="仿宋_GB2312"/>
          <w:color w:val="auto"/>
          <w:kern w:val="0"/>
          <w:sz w:val="32"/>
          <w:szCs w:val="32"/>
          <w:highlight w:val="none"/>
          <w:u w:val="none"/>
          <w:shd w:val="clear" w:color="auto" w:fill="FFFFFF"/>
          <w:lang w:val="en-US" w:eastAsia="zh-CN"/>
        </w:rPr>
        <w:t xml:space="preserve"> </w:t>
      </w:r>
      <w:r>
        <w:rPr>
          <w:rFonts w:hint="eastAsia" w:cs="仿宋_GB2312"/>
          <w:color w:val="auto"/>
          <w:kern w:val="0"/>
          <w:sz w:val="32"/>
          <w:szCs w:val="32"/>
          <w:highlight w:val="none"/>
          <w:u w:val="none"/>
          <w:shd w:val="clear" w:color="auto" w:fill="FFFFFF"/>
          <w:lang w:val="en-US" w:eastAsia="zh-CN"/>
        </w:rPr>
        <w:t xml:space="preserve">  </w:t>
      </w:r>
      <w:r>
        <w:rPr>
          <w:rFonts w:hint="eastAsia" w:ascii="黑体" w:eastAsia="黑体" w:cs="Times New Roman"/>
          <w:color w:val="auto"/>
          <w:sz w:val="32"/>
          <w:szCs w:val="32"/>
          <w:highlight w:val="none"/>
          <w:u w:val="none"/>
          <w:lang w:val="en-US" w:eastAsia="zh-CN"/>
        </w:rPr>
        <w:t xml:space="preserve"> </w:t>
      </w:r>
      <w:r>
        <w:rPr>
          <w:rFonts w:hint="eastAsia" w:ascii="黑体" w:eastAsia="黑体" w:cs="Times New Roman"/>
          <w:color w:val="auto"/>
          <w:sz w:val="32"/>
          <w:szCs w:val="32"/>
          <w:highlight w:val="none"/>
          <w:u w:val="none"/>
          <w:lang w:eastAsia="zh-CN"/>
        </w:rPr>
        <w:t>五、存在主要问题</w:t>
      </w:r>
    </w:p>
    <w:p w14:paraId="0F095729">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仿宋_GB2312" w:eastAsia="仿宋_GB2312" w:cs="仿宋_GB2312"/>
          <w:b w:val="0"/>
          <w:bCs w:val="0"/>
          <w:kern w:val="0"/>
          <w:position w:val="0"/>
          <w:sz w:val="32"/>
          <w:szCs w:val="32"/>
          <w:highlight w:val="none"/>
          <w:lang w:val="en-US" w:eastAsia="zh-CN" w:bidi="ar-SA"/>
        </w:rPr>
      </w:pPr>
      <w:r>
        <w:rPr>
          <w:rFonts w:hint="eastAsia" w:ascii="仿宋_GB2312" w:eastAsia="仿宋_GB2312" w:cs="仿宋_GB2312"/>
          <w:b w:val="0"/>
          <w:bCs w:val="0"/>
          <w:kern w:val="0"/>
          <w:position w:val="0"/>
          <w:sz w:val="32"/>
          <w:szCs w:val="32"/>
          <w:highlight w:val="none"/>
          <w:lang w:val="en-US" w:eastAsia="zh-CN" w:bidi="ar-SA"/>
        </w:rPr>
        <w:t>无</w:t>
      </w:r>
    </w:p>
    <w:p w14:paraId="603601D1">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s="Times New Roman"/>
          <w:color w:val="auto"/>
          <w:kern w:val="0"/>
          <w:position w:val="3"/>
          <w:sz w:val="32"/>
          <w:szCs w:val="32"/>
          <w:highlight w:val="none"/>
          <w:u w:val="none"/>
          <w:lang w:val="zh-CN" w:eastAsia="zh-CN" w:bidi="ar-SA"/>
        </w:rPr>
      </w:pPr>
      <w:r>
        <w:rPr>
          <w:rFonts w:hint="eastAsia" w:ascii="黑体" w:eastAsia="黑体" w:cs="Times New Roman"/>
          <w:color w:val="auto"/>
          <w:kern w:val="0"/>
          <w:position w:val="3"/>
          <w:sz w:val="32"/>
          <w:szCs w:val="32"/>
          <w:highlight w:val="none"/>
          <w:u w:val="none"/>
          <w:lang w:val="zh-CN" w:eastAsia="zh-CN" w:bidi="ar-SA"/>
        </w:rPr>
        <w:t>六、改进建议</w:t>
      </w:r>
    </w:p>
    <w:p w14:paraId="79CA3FAE">
      <w:pPr>
        <w:tabs>
          <w:tab w:val="left" w:pos="1911"/>
        </w:tabs>
        <w:jc w:val="left"/>
        <w:rPr>
          <w:rFonts w:hint="eastAsia" w:ascii="仿宋_GB2312" w:eastAsia="仿宋_GB2312" w:cs="仿宋_GB2312"/>
          <w:b w:val="0"/>
          <w:bCs w:val="0"/>
          <w:kern w:val="0"/>
          <w:position w:val="0"/>
          <w:sz w:val="32"/>
          <w:szCs w:val="32"/>
          <w:highlight w:val="none"/>
          <w:lang w:val="en-US" w:eastAsia="zh-CN" w:bidi="ar-SA"/>
        </w:rPr>
      </w:pPr>
      <w:r>
        <w:rPr>
          <w:rFonts w:hint="eastAsia" w:asci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无</w:t>
      </w:r>
    </w:p>
    <w:p w14:paraId="45DF8F55">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附表：1.项目资金分配涉及所有点位自评得分情况表</w:t>
      </w:r>
    </w:p>
    <w:p w14:paraId="3EBACD0A">
      <w:pPr>
        <w:keepNext w:val="0"/>
        <w:keepLines w:val="0"/>
        <w:pageBreakBefore w:val="0"/>
        <w:widowControl w:val="0"/>
        <w:kinsoku/>
        <w:wordWrap/>
        <w:overflowPunct/>
        <w:topLinePunct w:val="0"/>
        <w:autoSpaceDE/>
        <w:autoSpaceDN/>
        <w:bidi w:val="0"/>
        <w:adjustRightInd/>
        <w:snapToGrid w:val="0"/>
        <w:spacing w:line="578" w:lineRule="exact"/>
        <w:ind w:left="0" w:firstLine="1600" w:firstLineChars="5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2.专项预算项目绩效目标完成情况自评表</w:t>
      </w:r>
    </w:p>
    <w:p w14:paraId="57242BA4">
      <w:pPr>
        <w:keepNext w:val="0"/>
        <w:keepLines w:val="0"/>
        <w:pageBreakBefore w:val="0"/>
        <w:widowControl w:val="0"/>
        <w:kinsoku/>
        <w:wordWrap/>
        <w:overflowPunct/>
        <w:topLinePunct w:val="0"/>
        <w:autoSpaceDE/>
        <w:autoSpaceDN/>
        <w:bidi w:val="0"/>
        <w:adjustRightInd/>
        <w:snapToGrid w:val="0"/>
        <w:spacing w:line="578" w:lineRule="exact"/>
        <w:ind w:left="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5B16CA9F">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rPr>
          <w:rFonts w:hint="eastAsia" w:ascii="黑体" w:eastAsia="黑体" w:cs="黑体"/>
          <w:b w:val="0"/>
          <w:bCs w:val="0"/>
          <w:color w:val="auto"/>
          <w:kern w:val="0"/>
          <w:sz w:val="32"/>
          <w:szCs w:val="32"/>
          <w:highlight w:val="none"/>
          <w:u w:val="none"/>
          <w:shd w:val="clear" w:color="auto" w:fill="FFFFFF"/>
          <w:lang w:val="zh-CN" w:eastAsia="zh-CN"/>
        </w:rPr>
      </w:pPr>
      <w:r>
        <w:rPr>
          <w:rFonts w:hint="eastAsia" w:ascii="黑体" w:eastAsia="黑体" w:cs="黑体"/>
          <w:b w:val="0"/>
          <w:bCs w:val="0"/>
          <w:color w:val="auto"/>
          <w:kern w:val="0"/>
          <w:sz w:val="32"/>
          <w:szCs w:val="32"/>
          <w:highlight w:val="none"/>
          <w:u w:val="none"/>
          <w:shd w:val="clear" w:color="auto" w:fill="FFFFFF"/>
          <w:lang w:val="zh-CN" w:eastAsia="zh-CN"/>
        </w:rPr>
        <w:t>附表</w:t>
      </w:r>
      <w:r>
        <w:rPr>
          <w:rFonts w:hint="eastAsia" w:ascii="黑体" w:eastAsia="黑体" w:cs="黑体"/>
          <w:b w:val="0"/>
          <w:bCs w:val="0"/>
          <w:color w:val="auto"/>
          <w:kern w:val="0"/>
          <w:sz w:val="32"/>
          <w:szCs w:val="32"/>
          <w:highlight w:val="none"/>
          <w:u w:val="none"/>
          <w:shd w:val="clear" w:color="auto" w:fill="FFFFFF"/>
          <w:lang w:val="en-US" w:eastAsia="zh-CN"/>
        </w:rPr>
        <w:t>1</w:t>
      </w:r>
    </w:p>
    <w:p w14:paraId="41CC27FC">
      <w:pPr>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_GBK" w:eastAsia="方正小标宋_GBK" w:cs="方正小标宋_GBK"/>
          <w:b w:val="0"/>
          <w:bCs w:val="0"/>
          <w:color w:val="auto"/>
          <w:sz w:val="40"/>
          <w:szCs w:val="40"/>
          <w:highlight w:val="none"/>
          <w:u w:val="none"/>
          <w:lang w:val="en-US" w:eastAsia="zh-CN"/>
        </w:rPr>
      </w:pPr>
      <w:r>
        <w:rPr>
          <w:rFonts w:hint="eastAsia" w:asci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20"/>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0823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2F775BA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val="en-US" w:eastAsia="zh-CN"/>
              </w:rPr>
              <w:t>序号</w:t>
            </w:r>
          </w:p>
        </w:tc>
        <w:tc>
          <w:tcPr>
            <w:tcW w:w="3843" w:type="dxa"/>
            <w:tcBorders>
              <w:top w:val="single" w:color="auto" w:sz="4" w:space="0"/>
              <w:left w:val="single" w:color="auto" w:sz="4" w:space="0"/>
              <w:bottom w:val="single" w:color="auto" w:sz="4" w:space="0"/>
              <w:right w:val="single" w:color="auto" w:sz="4" w:space="0"/>
            </w:tcBorders>
            <w:noWrap/>
          </w:tcPr>
          <w:p w14:paraId="71B9FBF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eastAsia="zh-CN"/>
              </w:rPr>
            </w:pPr>
            <w:r>
              <w:rPr>
                <w:rFonts w:hint="eastAsia" w:ascii="黑体" w:eastAsia="黑体" w:cs="黑体"/>
                <w:b w:val="0"/>
                <w:bCs w:val="0"/>
                <w:color w:val="auto"/>
                <w:sz w:val="24"/>
                <w:szCs w:val="24"/>
                <w:highlight w:val="none"/>
                <w:u w:val="none"/>
                <w:vertAlign w:val="baseline"/>
                <w:lang w:val="en-US" w:eastAsia="zh-CN"/>
              </w:rPr>
              <w:t>项目资金末端分配点位</w:t>
            </w:r>
          </w:p>
        </w:tc>
        <w:tc>
          <w:tcPr>
            <w:tcW w:w="2861" w:type="dxa"/>
            <w:tcBorders>
              <w:top w:val="single" w:color="auto" w:sz="4" w:space="0"/>
              <w:left w:val="single" w:color="auto" w:sz="4" w:space="0"/>
              <w:bottom w:val="single" w:color="auto" w:sz="4" w:space="0"/>
              <w:right w:val="single" w:color="auto" w:sz="4" w:space="0"/>
            </w:tcBorders>
            <w:noWrap/>
          </w:tcPr>
          <w:p w14:paraId="660849A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eastAsia="zh-CN"/>
              </w:rPr>
              <w:t>自评得分（百分制）</w:t>
            </w:r>
          </w:p>
        </w:tc>
        <w:tc>
          <w:tcPr>
            <w:tcW w:w="993" w:type="dxa"/>
            <w:tcBorders>
              <w:top w:val="single" w:color="auto" w:sz="4" w:space="0"/>
              <w:left w:val="single" w:color="auto" w:sz="4" w:space="0"/>
              <w:bottom w:val="single" w:color="auto" w:sz="4" w:space="0"/>
              <w:right w:val="single" w:color="auto" w:sz="4" w:space="0"/>
            </w:tcBorders>
            <w:noWrap/>
          </w:tcPr>
          <w:p w14:paraId="0DF37F8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val="en-US" w:eastAsia="zh-CN"/>
              </w:rPr>
              <w:t>备注</w:t>
            </w:r>
          </w:p>
        </w:tc>
      </w:tr>
      <w:tr w14:paraId="2217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3B9A2CE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1</w:t>
            </w:r>
          </w:p>
        </w:tc>
        <w:tc>
          <w:tcPr>
            <w:tcW w:w="3843" w:type="dxa"/>
            <w:tcBorders>
              <w:top w:val="single" w:color="auto" w:sz="4" w:space="0"/>
              <w:left w:val="single" w:color="auto" w:sz="4" w:space="0"/>
              <w:bottom w:val="single" w:color="auto" w:sz="4" w:space="0"/>
              <w:right w:val="single" w:color="auto" w:sz="4" w:space="0"/>
            </w:tcBorders>
            <w:noWrap/>
          </w:tcPr>
          <w:p w14:paraId="650C3D0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r>
              <w:rPr>
                <w:rFonts w:hint="eastAsia" w:ascii="宋体" w:cs="宋体"/>
                <w:color w:val="auto"/>
                <w:sz w:val="24"/>
                <w:szCs w:val="24"/>
                <w:highlight w:val="none"/>
                <w:u w:val="none"/>
                <w:vertAlign w:val="baseline"/>
                <w:lang w:val="en-US" w:eastAsia="zh-CN"/>
              </w:rPr>
              <w:t>金川县撒瓦脚乡人民政府</w:t>
            </w:r>
          </w:p>
        </w:tc>
        <w:tc>
          <w:tcPr>
            <w:tcW w:w="2861" w:type="dxa"/>
            <w:tcBorders>
              <w:top w:val="single" w:color="auto" w:sz="4" w:space="0"/>
              <w:left w:val="single" w:color="auto" w:sz="4" w:space="0"/>
              <w:bottom w:val="single" w:color="auto" w:sz="4" w:space="0"/>
              <w:right w:val="single" w:color="auto" w:sz="4" w:space="0"/>
            </w:tcBorders>
            <w:noWrap/>
          </w:tcPr>
          <w:p w14:paraId="774F09F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r>
              <w:rPr>
                <w:rFonts w:hint="eastAsia" w:ascii="宋体" w:cs="宋体"/>
                <w:color w:val="auto"/>
                <w:sz w:val="24"/>
                <w:szCs w:val="24"/>
                <w:highlight w:val="none"/>
                <w:u w:val="none"/>
                <w:vertAlign w:val="baseline"/>
                <w:lang w:val="en-US" w:eastAsia="zh-CN"/>
              </w:rPr>
              <w:t>20%</w:t>
            </w:r>
          </w:p>
        </w:tc>
        <w:tc>
          <w:tcPr>
            <w:tcW w:w="993" w:type="dxa"/>
            <w:tcBorders>
              <w:top w:val="single" w:color="auto" w:sz="4" w:space="0"/>
              <w:left w:val="single" w:color="auto" w:sz="4" w:space="0"/>
              <w:bottom w:val="single" w:color="auto" w:sz="4" w:space="0"/>
              <w:right w:val="single" w:color="auto" w:sz="4" w:space="0"/>
            </w:tcBorders>
            <w:noWrap/>
          </w:tcPr>
          <w:p w14:paraId="27F78875">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47C8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7D91BC3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2</w:t>
            </w:r>
          </w:p>
        </w:tc>
        <w:tc>
          <w:tcPr>
            <w:tcW w:w="3843" w:type="dxa"/>
            <w:tcBorders>
              <w:top w:val="single" w:color="auto" w:sz="4" w:space="0"/>
              <w:left w:val="single" w:color="auto" w:sz="4" w:space="0"/>
              <w:bottom w:val="single" w:color="auto" w:sz="4" w:space="0"/>
              <w:right w:val="single" w:color="auto" w:sz="4" w:space="0"/>
            </w:tcBorders>
            <w:noWrap/>
          </w:tcPr>
          <w:p w14:paraId="24D26E54">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2E3A8275">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0CD87AD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198F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6178050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3</w:t>
            </w:r>
          </w:p>
        </w:tc>
        <w:tc>
          <w:tcPr>
            <w:tcW w:w="3843" w:type="dxa"/>
            <w:tcBorders>
              <w:top w:val="single" w:color="auto" w:sz="4" w:space="0"/>
              <w:left w:val="single" w:color="auto" w:sz="4" w:space="0"/>
              <w:bottom w:val="single" w:color="auto" w:sz="4" w:space="0"/>
              <w:right w:val="single" w:color="auto" w:sz="4" w:space="0"/>
            </w:tcBorders>
            <w:noWrap/>
          </w:tcPr>
          <w:p w14:paraId="5CADD220">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2BCD74FD">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14177AFB">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199C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1D4F95F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4</w:t>
            </w:r>
          </w:p>
        </w:tc>
        <w:tc>
          <w:tcPr>
            <w:tcW w:w="3843" w:type="dxa"/>
            <w:tcBorders>
              <w:top w:val="single" w:color="auto" w:sz="4" w:space="0"/>
              <w:left w:val="single" w:color="auto" w:sz="4" w:space="0"/>
              <w:bottom w:val="single" w:color="auto" w:sz="4" w:space="0"/>
              <w:right w:val="single" w:color="auto" w:sz="4" w:space="0"/>
            </w:tcBorders>
            <w:noWrap/>
          </w:tcPr>
          <w:p w14:paraId="07E96EB2">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3C4C9484">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567BFB5B">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31B7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39806D9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5</w:t>
            </w:r>
          </w:p>
        </w:tc>
        <w:tc>
          <w:tcPr>
            <w:tcW w:w="3843" w:type="dxa"/>
            <w:tcBorders>
              <w:top w:val="single" w:color="auto" w:sz="4" w:space="0"/>
              <w:left w:val="single" w:color="auto" w:sz="4" w:space="0"/>
              <w:bottom w:val="single" w:color="auto" w:sz="4" w:space="0"/>
              <w:right w:val="single" w:color="auto" w:sz="4" w:space="0"/>
            </w:tcBorders>
            <w:noWrap/>
          </w:tcPr>
          <w:p w14:paraId="648580A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3B5DDEC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42117B0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47D8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07A8911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6</w:t>
            </w:r>
          </w:p>
        </w:tc>
        <w:tc>
          <w:tcPr>
            <w:tcW w:w="3843" w:type="dxa"/>
            <w:tcBorders>
              <w:top w:val="single" w:color="auto" w:sz="4" w:space="0"/>
              <w:left w:val="single" w:color="auto" w:sz="4" w:space="0"/>
              <w:bottom w:val="single" w:color="auto" w:sz="4" w:space="0"/>
              <w:right w:val="single" w:color="auto" w:sz="4" w:space="0"/>
            </w:tcBorders>
            <w:noWrap/>
          </w:tcPr>
          <w:p w14:paraId="67D51FE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5AFE62E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64FFF105">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54BD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41CEB10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7</w:t>
            </w:r>
          </w:p>
        </w:tc>
        <w:tc>
          <w:tcPr>
            <w:tcW w:w="3843" w:type="dxa"/>
            <w:tcBorders>
              <w:top w:val="single" w:color="auto" w:sz="4" w:space="0"/>
              <w:left w:val="single" w:color="auto" w:sz="4" w:space="0"/>
              <w:bottom w:val="single" w:color="auto" w:sz="4" w:space="0"/>
              <w:right w:val="single" w:color="auto" w:sz="4" w:space="0"/>
            </w:tcBorders>
            <w:noWrap/>
          </w:tcPr>
          <w:p w14:paraId="0B256120">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32EBA792">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1E9C6F5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052D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2841503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8</w:t>
            </w:r>
          </w:p>
        </w:tc>
        <w:tc>
          <w:tcPr>
            <w:tcW w:w="3843" w:type="dxa"/>
            <w:tcBorders>
              <w:top w:val="single" w:color="auto" w:sz="4" w:space="0"/>
              <w:left w:val="single" w:color="auto" w:sz="4" w:space="0"/>
              <w:bottom w:val="single" w:color="auto" w:sz="4" w:space="0"/>
              <w:right w:val="single" w:color="auto" w:sz="4" w:space="0"/>
            </w:tcBorders>
            <w:noWrap/>
          </w:tcPr>
          <w:p w14:paraId="4372F63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0DD45342">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2781E635">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08E3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2E1F15C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color w:val="auto"/>
                <w:sz w:val="24"/>
                <w:szCs w:val="24"/>
                <w:highlight w:val="none"/>
                <w:u w:val="none"/>
                <w:lang w:val="en-US" w:eastAsia="zh-CN"/>
              </w:rPr>
            </w:pPr>
            <w:r>
              <w:rPr>
                <w:rFonts w:hint="eastAsia" w:ascii="宋体" w:eastAsia="宋体" w:cs="宋体"/>
                <w:color w:val="auto"/>
                <w:sz w:val="24"/>
                <w:szCs w:val="24"/>
                <w:highlight w:val="none"/>
                <w:u w:val="none"/>
                <w:lang w:val="en-US" w:eastAsia="zh-CN"/>
              </w:rPr>
              <w:t>……</w:t>
            </w:r>
          </w:p>
        </w:tc>
        <w:tc>
          <w:tcPr>
            <w:tcW w:w="3843" w:type="dxa"/>
            <w:tcBorders>
              <w:top w:val="single" w:color="auto" w:sz="4" w:space="0"/>
              <w:left w:val="single" w:color="auto" w:sz="4" w:space="0"/>
              <w:bottom w:val="single" w:color="auto" w:sz="4" w:space="0"/>
              <w:right w:val="single" w:color="auto" w:sz="4" w:space="0"/>
            </w:tcBorders>
            <w:noWrap/>
          </w:tcPr>
          <w:p w14:paraId="78244B9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7F0A42C6">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52A43D37">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bl>
    <w:p w14:paraId="2ABBDEC8">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eastAsia" w:ascii="宋体" w:eastAsia="宋体" w:cs="宋体"/>
          <w:b w:val="0"/>
          <w:bCs w:val="0"/>
          <w:color w:val="auto"/>
          <w:sz w:val="21"/>
          <w:szCs w:val="21"/>
          <w:highlight w:val="none"/>
          <w:u w:val="none"/>
          <w:vertAlign w:val="baseline"/>
          <w:lang w:val="en-US" w:eastAsia="zh-CN"/>
        </w:rPr>
      </w:pPr>
      <w:r>
        <w:rPr>
          <w:rFonts w:hint="eastAsia" w:asci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46209211">
      <w:pPr>
        <w:keepNext w:val="0"/>
        <w:keepLines w:val="0"/>
        <w:pageBreakBefore w:val="0"/>
        <w:widowControl w:val="0"/>
        <w:kinsoku/>
        <w:wordWrap/>
        <w:overflowPunct/>
        <w:topLinePunct w:val="0"/>
        <w:autoSpaceDE/>
        <w:autoSpaceDN/>
        <w:bidi w:val="0"/>
        <w:adjustRightInd/>
        <w:snapToGrid/>
        <w:spacing w:line="400" w:lineRule="exact"/>
        <w:ind w:left="0" w:firstLine="630" w:firstLineChars="300"/>
        <w:jc w:val="left"/>
        <w:textAlignment w:val="auto"/>
        <w:rPr>
          <w:rFonts w:hint="eastAsia" w:ascii="宋体" w:eastAsia="宋体" w:cs="宋体"/>
          <w:b w:val="0"/>
          <w:bCs w:val="0"/>
          <w:color w:val="auto"/>
          <w:sz w:val="21"/>
          <w:szCs w:val="21"/>
          <w:highlight w:val="none"/>
          <w:u w:val="none"/>
          <w:vertAlign w:val="baseline"/>
          <w:lang w:val="en-US" w:eastAsia="zh-CN"/>
        </w:rPr>
      </w:pPr>
      <w:r>
        <w:rPr>
          <w:rFonts w:hint="eastAsia" w:asci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00735406">
      <w:pPr>
        <w:rPr>
          <w:rFonts w:ascii="Times New Roman" w:hAnsi="Times New Roman" w:eastAsia="黑体" w:cs="Times New Roman"/>
          <w:kern w:val="2"/>
          <w:sz w:val="32"/>
          <w:szCs w:val="24"/>
          <w:highlight w:val="none"/>
          <w:lang w:val="en-US" w:eastAsia="zh-CN" w:bidi="ar-SA"/>
        </w:rPr>
      </w:pPr>
    </w:p>
    <w:p w14:paraId="4CB1BCE6">
      <w:pPr>
        <w:rPr>
          <w:rFonts w:ascii="Times New Roman" w:hAnsi="Times New Roman" w:eastAsia="黑体" w:cs="Times New Roman"/>
          <w:kern w:val="2"/>
          <w:sz w:val="32"/>
          <w:szCs w:val="24"/>
          <w:highlight w:val="none"/>
          <w:lang w:val="en-US" w:eastAsia="zh-CN" w:bidi="ar-SA"/>
        </w:rPr>
      </w:pPr>
    </w:p>
    <w:p w14:paraId="2E7345C5">
      <w:pPr>
        <w:rPr>
          <w:rFonts w:ascii="Times New Roman" w:hAnsi="Times New Roman" w:eastAsia="黑体" w:cs="Times New Roman"/>
          <w:kern w:val="2"/>
          <w:sz w:val="32"/>
          <w:szCs w:val="24"/>
          <w:highlight w:val="none"/>
          <w:lang w:val="en-US" w:eastAsia="zh-CN" w:bidi="ar-SA"/>
        </w:rPr>
      </w:pPr>
    </w:p>
    <w:p w14:paraId="5BCEB60B">
      <w:pPr>
        <w:rPr>
          <w:rFonts w:ascii="Times New Roman" w:hAnsi="Times New Roman" w:eastAsia="黑体" w:cs="Times New Roman"/>
          <w:kern w:val="2"/>
          <w:sz w:val="32"/>
          <w:szCs w:val="24"/>
          <w:highlight w:val="none"/>
          <w:lang w:val="en-US" w:eastAsia="zh-CN" w:bidi="ar-SA"/>
        </w:rPr>
      </w:pPr>
    </w:p>
    <w:p w14:paraId="6ED48742">
      <w:pPr>
        <w:rPr>
          <w:rFonts w:ascii="Times New Roman" w:hAnsi="Times New Roman" w:eastAsia="黑体" w:cs="Times New Roman"/>
          <w:kern w:val="2"/>
          <w:sz w:val="32"/>
          <w:szCs w:val="24"/>
          <w:highlight w:val="none"/>
          <w:lang w:val="en-US" w:eastAsia="zh-CN" w:bidi="ar-SA"/>
        </w:rPr>
      </w:pPr>
    </w:p>
    <w:p w14:paraId="2072B725">
      <w:pPr>
        <w:rPr>
          <w:rFonts w:ascii="Times New Roman" w:hAnsi="Times New Roman" w:eastAsia="黑体" w:cs="Times New Roman"/>
          <w:kern w:val="2"/>
          <w:sz w:val="32"/>
          <w:szCs w:val="24"/>
          <w:highlight w:val="none"/>
          <w:lang w:val="en-US" w:eastAsia="zh-CN" w:bidi="ar-SA"/>
        </w:rPr>
      </w:pPr>
    </w:p>
    <w:p w14:paraId="7CE0EC2D">
      <w:pPr>
        <w:rPr>
          <w:rFonts w:ascii="Times New Roman" w:hAnsi="Times New Roman" w:eastAsia="黑体" w:cs="Times New Roman"/>
          <w:kern w:val="2"/>
          <w:sz w:val="32"/>
          <w:szCs w:val="24"/>
          <w:highlight w:val="none"/>
          <w:lang w:val="en-US" w:eastAsia="zh-CN" w:bidi="ar-SA"/>
        </w:rPr>
      </w:pPr>
    </w:p>
    <w:p w14:paraId="68D5840E">
      <w:pPr>
        <w:rPr>
          <w:rFonts w:ascii="Times New Roman" w:hAnsi="Times New Roman" w:eastAsia="黑体" w:cs="Times New Roman"/>
          <w:kern w:val="2"/>
          <w:sz w:val="32"/>
          <w:szCs w:val="24"/>
          <w:highlight w:val="none"/>
          <w:lang w:val="en-US" w:eastAsia="zh-CN" w:bidi="ar-SA"/>
        </w:rPr>
      </w:pPr>
    </w:p>
    <w:p w14:paraId="142091DE">
      <w:pPr>
        <w:rPr>
          <w:rFonts w:ascii="Times New Roman" w:hAnsi="Times New Roman" w:eastAsia="黑体" w:cs="Times New Roman"/>
          <w:kern w:val="2"/>
          <w:sz w:val="32"/>
          <w:szCs w:val="24"/>
          <w:highlight w:val="none"/>
          <w:lang w:val="en-US" w:eastAsia="zh-CN" w:bidi="ar-SA"/>
        </w:rPr>
      </w:pPr>
    </w:p>
    <w:p w14:paraId="3E139A47">
      <w:pPr>
        <w:rPr>
          <w:rFonts w:ascii="Times New Roman" w:hAnsi="Times New Roman" w:eastAsia="黑体" w:cs="Times New Roman"/>
          <w:kern w:val="2"/>
          <w:sz w:val="32"/>
          <w:szCs w:val="24"/>
          <w:highlight w:val="none"/>
          <w:lang w:val="en-US" w:eastAsia="zh-CN" w:bidi="ar-SA"/>
        </w:rPr>
      </w:pPr>
    </w:p>
    <w:p w14:paraId="2C73F366">
      <w:pPr>
        <w:rPr>
          <w:rFonts w:ascii="Times New Roman" w:hAnsi="Times New Roman" w:eastAsia="黑体" w:cs="Times New Roman"/>
          <w:kern w:val="2"/>
          <w:sz w:val="32"/>
          <w:szCs w:val="24"/>
          <w:highlight w:val="none"/>
          <w:lang w:val="en-US" w:eastAsia="zh-CN" w:bidi="ar-SA"/>
        </w:rPr>
      </w:pPr>
    </w:p>
    <w:p w14:paraId="0B0F018B">
      <w:pPr>
        <w:rPr>
          <w:rFonts w:ascii="Times New Roman" w:hAnsi="Times New Roman" w:eastAsia="黑体" w:cs="Times New Roman"/>
          <w:kern w:val="2"/>
          <w:sz w:val="32"/>
          <w:szCs w:val="24"/>
          <w:highlight w:val="none"/>
          <w:lang w:val="en-US" w:eastAsia="zh-CN" w:bidi="ar-SA"/>
        </w:rPr>
      </w:pPr>
    </w:p>
    <w:p w14:paraId="27AA65B1">
      <w:pPr>
        <w:rPr>
          <w:rFonts w:ascii="Times New Roman" w:hAnsi="Times New Roman" w:eastAsia="黑体" w:cs="Times New Roman"/>
          <w:kern w:val="2"/>
          <w:sz w:val="32"/>
          <w:szCs w:val="24"/>
          <w:highlight w:val="none"/>
          <w:lang w:val="en-US" w:eastAsia="zh-CN" w:bidi="ar-SA"/>
        </w:rPr>
      </w:pPr>
    </w:p>
    <w:p w14:paraId="769387A3">
      <w:pPr>
        <w:rPr>
          <w:rFonts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附表2</w:t>
      </w:r>
    </w:p>
    <w:tbl>
      <w:tblPr>
        <w:tblStyle w:val="20"/>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AEF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10233" w:type="dxa"/>
            <w:gridSpan w:val="9"/>
            <w:tcBorders>
              <w:top w:val="nil"/>
              <w:left w:val="nil"/>
              <w:bottom w:val="nil"/>
              <w:right w:val="nil"/>
            </w:tcBorders>
            <w:shd w:val="clear" w:color="auto" w:fill="auto"/>
            <w:noWrap/>
            <w:vAlign w:val="center"/>
          </w:tcPr>
          <w:p w14:paraId="2D689E48">
            <w:pPr>
              <w:keepNext w:val="0"/>
              <w:keepLines w:val="0"/>
              <w:pageBreakBefore w:val="0"/>
              <w:widowControl/>
              <w:suppressLineNumbers w:val="0"/>
              <w:kinsoku/>
              <w:wordWrap/>
              <w:overflowPunct/>
              <w:topLinePunct w:val="0"/>
              <w:autoSpaceDE/>
              <w:autoSpaceDN/>
              <w:bidi w:val="0"/>
              <w:adjustRightInd/>
              <w:snapToGrid/>
              <w:spacing w:line="600" w:lineRule="exact"/>
              <w:ind w:left="0"/>
              <w:jc w:val="center"/>
              <w:textAlignment w:val="center"/>
              <w:rPr>
                <w:rFonts w:ascii="黑体" w:eastAsia="黑体" w:cs="黑体"/>
                <w:i w:val="0"/>
                <w:color w:val="000000"/>
                <w:sz w:val="30"/>
                <w:szCs w:val="30"/>
                <w:u w:val="none"/>
              </w:rPr>
            </w:pPr>
            <w:r>
              <w:rPr>
                <w:rFonts w:hint="eastAsia" w:ascii="方正小标宋简体" w:eastAsia="方正小标宋简体" w:cs="方正小标宋简体"/>
                <w:i w:val="0"/>
                <w:color w:val="000000"/>
                <w:kern w:val="0"/>
                <w:sz w:val="40"/>
                <w:szCs w:val="40"/>
                <w:u w:val="none"/>
                <w:lang w:val="en-US" w:eastAsia="zh-CN"/>
              </w:rPr>
              <w:t>专项预算项目绩效目标完成情况自评表</w:t>
            </w:r>
          </w:p>
        </w:tc>
      </w:tr>
      <w:tr w14:paraId="19F2A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6C19">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2832">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ascii="Times New Roman"/>
                <w:szCs w:val="32"/>
                <w:u w:val="single"/>
              </w:rPr>
              <w:t>撒瓦脚乡人民政府维修项目</w:t>
            </w:r>
          </w:p>
        </w:tc>
      </w:tr>
      <w:tr w14:paraId="6C91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AED8">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125E">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乡人民政府</w:t>
            </w:r>
          </w:p>
        </w:tc>
      </w:tr>
      <w:tr w14:paraId="20C2A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5E3E">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92EB">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专项类</w:t>
            </w:r>
          </w:p>
        </w:tc>
      </w:tr>
      <w:tr w14:paraId="1DEAF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D17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D68F">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中长期规划（名称、文号，仅指</w:t>
            </w:r>
          </w:p>
          <w:p w14:paraId="236CFB4E">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74B1">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7F9A0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99C5"/>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F461">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2952">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4A53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DCBC"/>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0CED">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9A86">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504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B182">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CCBD">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因素法与项目法相结合</w:t>
            </w:r>
          </w:p>
        </w:tc>
      </w:tr>
      <w:tr w14:paraId="72E3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2595"/>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2FAB">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A44F">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094C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8C73"/>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399B">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4C11">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1976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1324"/>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EC7E">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2730">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084B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BB04"/>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E50D">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E214">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ascii="宋体" w:eastAsia="宋体" w:cs="宋体"/>
                <w:i w:val="0"/>
                <w:color w:val="000000"/>
                <w:kern w:val="0"/>
                <w:sz w:val="18"/>
                <w:szCs w:val="18"/>
                <w:u w:val="none"/>
                <w:lang w:val="en-US" w:eastAsia="zh-CN"/>
              </w:rPr>
              <w:t>202</w:t>
            </w:r>
            <w:r>
              <w:rPr>
                <w:rFonts w:hint="eastAsia" w:ascii="宋体" w:cs="宋体"/>
                <w:i w:val="0"/>
                <w:color w:val="000000"/>
                <w:kern w:val="0"/>
                <w:sz w:val="18"/>
                <w:szCs w:val="18"/>
                <w:u w:val="none"/>
                <w:lang w:val="en-US" w:eastAsia="zh-CN"/>
              </w:rPr>
              <w:t>4</w:t>
            </w:r>
          </w:p>
        </w:tc>
      </w:tr>
      <w:tr w14:paraId="035B8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6FC5">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项目资金</w:t>
            </w:r>
          </w:p>
          <w:p w14:paraId="5CD7ADE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BCF9">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D7F4">
            <w:pPr>
              <w:keepNext w:val="0"/>
              <w:keepLines w:val="0"/>
              <w:pageBreakBefore w:val="0"/>
              <w:widowControl w:val="0"/>
              <w:tabs>
                <w:tab w:val="left" w:pos="617"/>
              </w:tabs>
              <w:kinsoku/>
              <w:wordWrap/>
              <w:overflowPunct/>
              <w:topLinePunct w:val="0"/>
              <w:autoSpaceDE/>
              <w:autoSpaceDN/>
              <w:bidi w:val="0"/>
              <w:adjustRightInd/>
              <w:snapToGrid/>
              <w:spacing w:line="300" w:lineRule="exact"/>
              <w:ind w:left="0"/>
              <w:jc w:val="left"/>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20.89</w:t>
            </w:r>
          </w:p>
        </w:tc>
      </w:tr>
      <w:tr w14:paraId="11F0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CA14"/>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E81E">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w:t>
            </w:r>
            <w:r>
              <w:rPr>
                <w:rFonts w:hint="eastAsia" w:ascii="宋体" w:eastAsia="宋体" w:cs="宋体"/>
                <w:i w:val="0"/>
                <w:color w:val="000000"/>
                <w:kern w:val="0"/>
                <w:sz w:val="24"/>
                <w:szCs w:val="24"/>
                <w:u w:val="none"/>
                <w:lang w:val="en-US" w:eastAsia="zh-CN"/>
              </w:rPr>
              <w:t xml:space="preserve"> </w:t>
            </w:r>
            <w:r>
              <w:rPr>
                <w:rFonts w:ascii="宋体" w:eastAsia="宋体" w:cs="宋体"/>
                <w:i w:val="0"/>
                <w:color w:val="000000"/>
                <w:kern w:val="0"/>
                <w:sz w:val="24"/>
                <w:szCs w:val="24"/>
                <w:u w:val="none"/>
                <w:lang w:val="en-US" w:eastAsia="zh-CN"/>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CE3A">
            <w:pPr>
              <w:keepNext w:val="0"/>
              <w:keepLines w:val="0"/>
              <w:pageBreakBefore w:val="0"/>
              <w:widowControl w:val="0"/>
              <w:kinsoku/>
              <w:wordWrap/>
              <w:overflowPunct/>
              <w:topLinePunct w:val="0"/>
              <w:autoSpaceDE/>
              <w:autoSpaceDN/>
              <w:bidi w:val="0"/>
              <w:adjustRightInd/>
              <w:snapToGrid/>
              <w:spacing w:line="300" w:lineRule="exact"/>
              <w:ind w:left="0"/>
              <w:jc w:val="right"/>
              <w:rPr>
                <w:rFonts w:ascii="宋体" w:eastAsia="宋体" w:cs="宋体"/>
                <w:i w:val="0"/>
                <w:color w:val="000000"/>
                <w:sz w:val="24"/>
                <w:szCs w:val="24"/>
                <w:u w:val="none"/>
                <w:lang w:val="en-US"/>
              </w:rPr>
            </w:pPr>
            <w:r>
              <w:rPr>
                <w:rFonts w:hint="eastAsia" w:ascii="宋体" w:eastAsia="宋体" w:cs="宋体"/>
                <w:i w:val="0"/>
                <w:color w:val="000000"/>
                <w:kern w:val="0"/>
                <w:sz w:val="18"/>
                <w:szCs w:val="18"/>
                <w:u w:val="none"/>
                <w:lang w:val="en-US" w:eastAsia="zh-CN"/>
              </w:rPr>
              <w:t>20.89</w:t>
            </w:r>
          </w:p>
        </w:tc>
      </w:tr>
      <w:tr w14:paraId="443D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CEE5"/>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C425">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C66C">
            <w:pPr>
              <w:keepNext w:val="0"/>
              <w:keepLines w:val="0"/>
              <w:pageBreakBefore w:val="0"/>
              <w:widowControl w:val="0"/>
              <w:kinsoku/>
              <w:wordWrap/>
              <w:overflowPunct/>
              <w:topLinePunct w:val="0"/>
              <w:autoSpaceDE/>
              <w:autoSpaceDN/>
              <w:bidi w:val="0"/>
              <w:adjustRightInd/>
              <w:snapToGrid/>
              <w:spacing w:line="300" w:lineRule="exact"/>
              <w:ind w:left="0"/>
              <w:jc w:val="right"/>
              <w:rPr>
                <w:rFonts w:hint="eastAsia" w:ascii="宋体" w:eastAsia="宋体" w:cs="宋体"/>
                <w:i w:val="0"/>
                <w:color w:val="000000"/>
                <w:sz w:val="24"/>
                <w:szCs w:val="24"/>
                <w:u w:val="none"/>
              </w:rPr>
            </w:pPr>
          </w:p>
        </w:tc>
      </w:tr>
      <w:tr w14:paraId="5A3D6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4C39">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157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年度目标</w:t>
            </w:r>
          </w:p>
        </w:tc>
      </w:tr>
      <w:tr w14:paraId="700AF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CC42"/>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B6BF">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为促进</w:t>
            </w: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乡社会事业和谐发展，巩固脱贫攻坚成果，改善和保障</w:t>
            </w: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乡民生发展，按照统筹发展和科学规划的原则，以政府主导，因地制宜。通过</w:t>
            </w: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乡铁基斯果尔村达甲着绕朶嘛便民钢架桥建设项目进一步完善铁基村牧民群众生产生活基础保障，丰富旅游目的地，助力</w:t>
            </w: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乡经济、社会发展，更好的提升老百姓生产生活水平。</w:t>
            </w:r>
          </w:p>
        </w:tc>
      </w:tr>
      <w:tr w14:paraId="1369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nil"/>
            </w:tcBorders>
            <w:shd w:val="clear" w:color="auto" w:fill="auto"/>
            <w:noWrap/>
            <w:vAlign w:val="center"/>
          </w:tcPr>
          <w:p w14:paraId="2459757E">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F14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654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6E0C">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B94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AB8D">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936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9BEA">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AE9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实际完成指标值</w:t>
            </w:r>
          </w:p>
        </w:tc>
      </w:tr>
      <w:tr w14:paraId="4B91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0FC4A9EF"/>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69C2">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6344">
            <w:pPr>
              <w:jc w:val="center"/>
              <w:rPr>
                <w:rFonts w:ascii="宋体" w:eastAsia="宋体" w:cs="宋体"/>
                <w:i w:val="0"/>
                <w:color w:val="000000"/>
                <w:sz w:val="24"/>
                <w:szCs w:val="24"/>
                <w:u w:val="none"/>
              </w:rPr>
            </w:pPr>
            <w:r>
              <w:rPr>
                <w:rFonts w:hint="eastAsia" w:ascii="等线" w:eastAsia="等线"/>
                <w:color w:val="000000"/>
                <w:sz w:val="18"/>
                <w:szCs w:val="18"/>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A154">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等线" w:eastAsia="等线"/>
                <w:color w:val="000000"/>
                <w:sz w:val="18"/>
                <w:szCs w:val="18"/>
              </w:rPr>
              <w:t>项目验收合格率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C3F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6DB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w:t>
            </w:r>
            <w:r>
              <w:rPr>
                <w:rFonts w:hint="eastAsia" w:ascii="宋体" w:cs="宋体"/>
                <w:i w:val="0"/>
                <w:color w:val="000000"/>
                <w:sz w:val="24"/>
                <w:szCs w:val="24"/>
                <w:u w:val="none"/>
                <w:lang w:val="en-US" w:eastAsia="zh-CN"/>
              </w:rPr>
              <w:t>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B41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1439">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3C7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100%</w:t>
            </w:r>
          </w:p>
        </w:tc>
      </w:tr>
      <w:tr w14:paraId="72F3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EDC99C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4982"/>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24CF"/>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2A2B">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B8D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8E83">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182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EE32">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2FF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37BF2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9546B8D"/>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FF06"/>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A746"/>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A1B5">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80B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0515">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D6B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EC53">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F8E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3B7A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C353466"/>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10DA"/>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B50D"/>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61BD">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33ED">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E483">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D06C">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04DE">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E0A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4EEF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8DB4589"/>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64EA"/>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CC4F">
            <w:pPr>
              <w:jc w:val="center"/>
              <w:rPr>
                <w:rFonts w:ascii="宋体" w:eastAsia="宋体" w:cs="宋体"/>
                <w:i w:val="0"/>
                <w:color w:val="000000"/>
                <w:sz w:val="24"/>
                <w:szCs w:val="24"/>
                <w:u w:val="none"/>
              </w:rPr>
            </w:pPr>
            <w:r>
              <w:rPr>
                <w:rFonts w:hint="eastAsia" w:ascii="等线" w:eastAsia="等线"/>
                <w:color w:val="000000"/>
                <w:sz w:val="18"/>
                <w:szCs w:val="18"/>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8B622">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等线" w:eastAsia="等线"/>
                <w:color w:val="000000"/>
                <w:sz w:val="18"/>
                <w:szCs w:val="18"/>
              </w:rPr>
              <w:t>按约定资金按时拨付率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773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D8C6">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rPr>
            </w:pPr>
            <w:r>
              <w:rPr>
                <w:rFonts w:hint="eastAsia" w:asci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DE3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EF44">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2F9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100%</w:t>
            </w:r>
          </w:p>
        </w:tc>
      </w:tr>
      <w:tr w14:paraId="074B9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E88215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DE59"/>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B2B8"/>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1863">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0E98">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C86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A3D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964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F00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AB94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185DBF2A"/>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117B"/>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DF3B">
            <w:pPr>
              <w:jc w:val="center"/>
              <w:rPr>
                <w:rFonts w:ascii="宋体" w:eastAsia="宋体" w:cs="宋体"/>
                <w:i w:val="0"/>
                <w:color w:val="000000"/>
                <w:sz w:val="24"/>
                <w:szCs w:val="24"/>
                <w:u w:val="none"/>
              </w:rPr>
            </w:pPr>
            <w:r>
              <w:rPr>
                <w:rFonts w:hint="eastAsia" w:ascii="等线" w:eastAsia="等线"/>
                <w:color w:val="000000"/>
                <w:sz w:val="18"/>
                <w:szCs w:val="18"/>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25BB">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等线" w:eastAsia="等线"/>
                <w:color w:val="000000"/>
                <w:sz w:val="18"/>
                <w:szCs w:val="18"/>
              </w:rPr>
              <w:t>覆盖人数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A72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982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28</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DCA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人</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08F9">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BF8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100%</w:t>
            </w:r>
          </w:p>
        </w:tc>
      </w:tr>
      <w:tr w14:paraId="69011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12FE9532"/>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79B0"/>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DDECC"/>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CCB0">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017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4FC4">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464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FD9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EF5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2C3A2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F632580"/>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6275"/>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A48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0A5A">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496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0603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E97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ACE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1ED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22EE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8FF35A1"/>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894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064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经济</w:t>
            </w:r>
            <w:r>
              <w:rPr>
                <w:rFonts w:ascii="宋体" w:eastAsia="宋体" w:cs="宋体"/>
                <w:i w:val="0"/>
                <w:color w:val="000000"/>
                <w:kern w:val="0"/>
                <w:sz w:val="24"/>
                <w:szCs w:val="24"/>
                <w:u w:val="none"/>
                <w:lang w:val="en-US" w:eastAsia="zh-CN"/>
              </w:rPr>
              <w:t>效益</w:t>
            </w:r>
          </w:p>
          <w:p w14:paraId="5774D89E">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256C">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E395">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3B80">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08DB">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6C33">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570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725C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0FE90A8F"/>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DDCD"/>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C344"/>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34D8">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6BB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57F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C70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5C3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EF9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6FE38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D2437DE"/>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44D5"/>
        </w:tc>
        <w:tc>
          <w:tcPr>
            <w:tcW w:w="1250" w:type="dxa"/>
            <w:vMerge w:val="restart"/>
            <w:tcBorders>
              <w:top w:val="single" w:color="000000" w:sz="4" w:space="0"/>
              <w:left w:val="single" w:color="000000" w:sz="4" w:space="0"/>
              <w:bottom w:val="nil"/>
              <w:right w:val="single" w:color="000000" w:sz="4" w:space="0"/>
            </w:tcBorders>
            <w:shd w:val="clear" w:color="auto" w:fill="auto"/>
            <w:noWrap/>
            <w:vAlign w:val="center"/>
          </w:tcPr>
          <w:p w14:paraId="37968BEA">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社会效益</w:t>
            </w:r>
          </w:p>
          <w:p w14:paraId="172B06E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FD13">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sz w:val="24"/>
                <w:szCs w:val="24"/>
                <w:u w:val="none"/>
              </w:rPr>
              <w:t>受益群众数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E61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DA23">
            <w:pPr>
              <w:keepNext w:val="0"/>
              <w:keepLines w:val="0"/>
              <w:pageBreakBefore w:val="0"/>
              <w:widowControl w:val="0"/>
              <w:kinsoku/>
              <w:wordWrap/>
              <w:overflowPunct/>
              <w:topLinePunct w:val="0"/>
              <w:autoSpaceDE/>
              <w:autoSpaceDN/>
              <w:bidi w:val="0"/>
              <w:adjustRightInd/>
              <w:snapToGrid/>
              <w:spacing w:line="300" w:lineRule="exact"/>
              <w:ind w:left="0"/>
              <w:jc w:val="both"/>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28</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AEF4">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eastAsia="宋体" w:cs="宋体"/>
                <w:i w:val="0"/>
                <w:color w:val="000000"/>
                <w:sz w:val="24"/>
                <w:szCs w:val="24"/>
                <w:u w:val="none"/>
                <w:lang w:eastAsia="zh-CN"/>
              </w:rPr>
              <w:t>人</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1E6F">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29A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0C98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3C64F134"/>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3552"/>
        </w:tc>
        <w:tc>
          <w:tcPr>
            <w:tcW w:w="1250"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AB0B535"/>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FAA5">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F7F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CDA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C45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337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0208">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665B5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A01CAE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756E"/>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D563">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C838">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06D4">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69A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394F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FED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1AF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2B370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AE6C769"/>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509FE18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满意度</w:t>
            </w:r>
          </w:p>
          <w:p w14:paraId="2E0D362E">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250" w:type="dxa"/>
            <w:tcBorders>
              <w:top w:val="single" w:color="000000" w:sz="4" w:space="0"/>
              <w:left w:val="single" w:color="000000" w:sz="4" w:space="0"/>
              <w:bottom w:val="nil"/>
              <w:right w:val="single" w:color="000000" w:sz="4" w:space="0"/>
            </w:tcBorders>
            <w:shd w:val="clear" w:color="auto" w:fill="auto"/>
            <w:noWrap/>
            <w:vAlign w:val="center"/>
          </w:tcPr>
          <w:p w14:paraId="7563FEF0">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服务对象</w:t>
            </w:r>
          </w:p>
          <w:p w14:paraId="36938AB5">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E438">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45E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482D">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C7F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7F6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06D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98%</w:t>
            </w:r>
          </w:p>
        </w:tc>
      </w:tr>
      <w:tr w14:paraId="2D48A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905345C"/>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FDC2">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941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经济成本</w:t>
            </w:r>
          </w:p>
          <w:p w14:paraId="104A9280">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nil"/>
              <w:bottom w:val="single" w:color="000000" w:sz="4" w:space="0"/>
              <w:right w:val="single" w:color="000000" w:sz="4" w:space="0"/>
            </w:tcBorders>
            <w:shd w:val="clear" w:color="auto" w:fill="auto"/>
            <w:noWrap/>
            <w:vAlign w:val="center"/>
          </w:tcPr>
          <w:p w14:paraId="45825E9E">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等线" w:eastAsia="等线"/>
                <w:color w:val="000000"/>
                <w:sz w:val="18"/>
                <w:szCs w:val="18"/>
              </w:rPr>
              <w:t>资金使用量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95F8">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cs="宋体"/>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5C42">
            <w:pPr>
              <w:keepNext w:val="0"/>
              <w:keepLines w:val="0"/>
              <w:pageBreakBefore w:val="0"/>
              <w:widowControl w:val="0"/>
              <w:kinsoku/>
              <w:wordWrap/>
              <w:overflowPunct/>
              <w:topLinePunct w:val="0"/>
              <w:autoSpaceDE/>
              <w:autoSpaceDN/>
              <w:bidi w:val="0"/>
              <w:adjustRightInd/>
              <w:snapToGrid/>
              <w:spacing w:line="300" w:lineRule="exact"/>
              <w:ind w:left="0"/>
              <w:jc w:val="both"/>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12</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337C">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8F64">
            <w:pPr>
              <w:keepNext w:val="0"/>
              <w:keepLines w:val="0"/>
              <w:pageBreakBefore w:val="0"/>
              <w:widowControl w:val="0"/>
              <w:kinsoku/>
              <w:wordWrap/>
              <w:overflowPunct/>
              <w:topLinePunct w:val="0"/>
              <w:autoSpaceDE/>
              <w:autoSpaceDN/>
              <w:bidi w:val="0"/>
              <w:adjustRightInd/>
              <w:snapToGrid/>
              <w:spacing w:line="300" w:lineRule="exact"/>
              <w:ind w:left="0"/>
              <w:jc w:val="both"/>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6EE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100%</w:t>
            </w:r>
          </w:p>
        </w:tc>
      </w:tr>
      <w:tr w14:paraId="31712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13B09FF0"/>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E017"/>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E2A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nil"/>
              <w:bottom w:val="single" w:color="000000" w:sz="4" w:space="0"/>
              <w:right w:val="single" w:color="000000" w:sz="4" w:space="0"/>
            </w:tcBorders>
            <w:shd w:val="clear" w:color="auto" w:fill="auto"/>
            <w:noWrap/>
            <w:vAlign w:val="center"/>
          </w:tcPr>
          <w:p w14:paraId="0A610A7F">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D68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B1D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795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E83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09D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bl>
    <w:p w14:paraId="64424CA2">
      <w:pPr>
        <w:pStyle w:val="18"/>
        <w:widowControl/>
        <w:rPr>
          <w:rFonts w:ascii="方正小标宋简体" w:eastAsia="方正小标宋简体" w:cs="方正小标宋简体"/>
          <w:kern w:val="2"/>
          <w:sz w:val="44"/>
          <w:szCs w:val="44"/>
        </w:rPr>
      </w:pPr>
    </w:p>
    <w:p w14:paraId="6864B6B1">
      <w:pPr>
        <w:spacing w:line="600" w:lineRule="exact"/>
      </w:pPr>
      <w:r>
        <w:rPr>
          <w:rFonts w:hint="eastAsia"/>
        </w:rPr>
        <w:t>附件4</w:t>
      </w:r>
    </w:p>
    <w:p w14:paraId="25F93122">
      <w:pPr>
        <w:spacing w:line="600" w:lineRule="exact"/>
        <w:jc w:val="center"/>
      </w:pPr>
    </w:p>
    <w:p w14:paraId="02EEE165"/>
    <w:p w14:paraId="19D4F32C">
      <w:pPr>
        <w:pStyle w:val="2"/>
      </w:pPr>
    </w:p>
    <w:p w14:paraId="320869B5"/>
    <w:p w14:paraId="51441293">
      <w:pPr>
        <w:pStyle w:val="2"/>
      </w:pPr>
    </w:p>
    <w:p w14:paraId="06635AA8"/>
    <w:p w14:paraId="00602F34">
      <w:pPr>
        <w:pStyle w:val="2"/>
      </w:pPr>
    </w:p>
    <w:p w14:paraId="19D20B72"/>
    <w:p w14:paraId="3E27EA20">
      <w:pPr>
        <w:pStyle w:val="2"/>
      </w:pPr>
    </w:p>
    <w:p w14:paraId="3D467674"/>
    <w:p w14:paraId="55498819">
      <w:pPr>
        <w:pStyle w:val="2"/>
      </w:pPr>
    </w:p>
    <w:p w14:paraId="320BE01E"/>
    <w:p w14:paraId="77812171">
      <w:pPr>
        <w:pStyle w:val="2"/>
      </w:pPr>
    </w:p>
    <w:p w14:paraId="351EC916"/>
    <w:p w14:paraId="0312F6E8">
      <w:pPr>
        <w:pStyle w:val="2"/>
      </w:pPr>
    </w:p>
    <w:p w14:paraId="31B9BBB3"/>
    <w:p w14:paraId="701FA1E1">
      <w:pPr>
        <w:pStyle w:val="2"/>
      </w:pPr>
    </w:p>
    <w:p w14:paraId="1AB28E96"/>
    <w:p w14:paraId="0CA477D2">
      <w:pPr>
        <w:pStyle w:val="2"/>
      </w:pPr>
    </w:p>
    <w:p w14:paraId="5BA4770C"/>
    <w:p w14:paraId="17B55561">
      <w:pPr>
        <w:pStyle w:val="2"/>
      </w:pPr>
    </w:p>
    <w:p w14:paraId="0E2330E4"/>
    <w:p w14:paraId="59D64403">
      <w:pPr>
        <w:pStyle w:val="2"/>
      </w:pPr>
    </w:p>
    <w:p w14:paraId="5357287C"/>
    <w:p w14:paraId="4603C43D">
      <w:pPr>
        <w:pStyle w:val="2"/>
      </w:pPr>
    </w:p>
    <w:p w14:paraId="3760E6F7"/>
    <w:p w14:paraId="6F0A426F">
      <w:pPr>
        <w:pStyle w:val="2"/>
      </w:pPr>
    </w:p>
    <w:p w14:paraId="5CD892E2"/>
    <w:p w14:paraId="08320F4D">
      <w:pPr>
        <w:pStyle w:val="2"/>
      </w:pPr>
    </w:p>
    <w:p w14:paraId="52377CF5"/>
    <w:p w14:paraId="711786A7">
      <w:pPr>
        <w:pStyle w:val="18"/>
        <w:keepNext w:val="0"/>
        <w:keepLines w:val="0"/>
        <w:widowControl/>
        <w:suppressLineNumbers w:val="0"/>
        <w:jc w:val="center"/>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金川县撒瓦脚乡人民政府</w:t>
      </w:r>
    </w:p>
    <w:p w14:paraId="142B5B23">
      <w:pPr>
        <w:pStyle w:val="18"/>
        <w:keepNext w:val="0"/>
        <w:keepLines w:val="0"/>
        <w:widowControl/>
        <w:suppressLineNumbers w:val="0"/>
        <w:ind w:firstLine="1320" w:firstLineChars="300"/>
        <w:jc w:val="both"/>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专项预算项目支出绩效自评报告</w:t>
      </w:r>
    </w:p>
    <w:p w14:paraId="5F8B9DEC">
      <w:pPr>
        <w:pStyle w:val="35"/>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eastAsia="方正小标宋简体" w:cs="方正小标宋简体"/>
          <w:color w:val="auto"/>
          <w:kern w:val="2"/>
          <w:sz w:val="44"/>
          <w:szCs w:val="44"/>
          <w:highlight w:val="none"/>
          <w:lang w:val="en-US" w:eastAsia="zh-CN" w:bidi="ar-SA"/>
        </w:rPr>
      </w:pPr>
      <w:r>
        <w:rPr>
          <w:rFonts w:hint="eastAsia" w:ascii="方正小标宋简体" w:eastAsia="方正小标宋简体" w:cs="方正小标宋简体"/>
          <w:color w:val="auto"/>
          <w:kern w:val="2"/>
          <w:sz w:val="44"/>
          <w:szCs w:val="44"/>
          <w:highlight w:val="none"/>
          <w:lang w:val="en-US" w:eastAsia="zh-CN" w:bidi="ar-SA"/>
        </w:rPr>
        <w:t xml:space="preserve">   （</w:t>
      </w:r>
      <w:r>
        <w:rPr>
          <w:rFonts w:hint="eastAsia" w:ascii="方正小标宋简体" w:eastAsia="方正小标宋简体" w:cs="方正小标宋简体"/>
          <w:sz w:val="44"/>
          <w:szCs w:val="44"/>
        </w:rPr>
        <w:t>金川县撒瓦脚乡木赤村柔热尔社防洪堤建设项目</w:t>
      </w:r>
      <w:r>
        <w:rPr>
          <w:rFonts w:hint="eastAsia" w:ascii="方正小标宋简体" w:eastAsia="方正小标宋简体" w:cs="方正小标宋简体"/>
          <w:color w:val="auto"/>
          <w:kern w:val="2"/>
          <w:sz w:val="44"/>
          <w:szCs w:val="44"/>
          <w:highlight w:val="none"/>
          <w:lang w:val="en-US" w:eastAsia="zh-CN" w:bidi="ar-SA"/>
        </w:rPr>
        <w:t>）</w:t>
      </w:r>
    </w:p>
    <w:p w14:paraId="04955FEC">
      <w:pPr>
        <w:snapToGrid w:val="0"/>
        <w:spacing w:line="600" w:lineRule="exact"/>
        <w:ind w:firstLine="643" w:firstLineChars="200"/>
        <w:rPr>
          <w:rFonts w:hint="eastAsia" w:ascii="楷体_GB2312" w:eastAsia="楷体_GB2312" w:cs="Times New Roman"/>
          <w:b/>
          <w:color w:val="auto"/>
          <w:sz w:val="32"/>
          <w:szCs w:val="32"/>
          <w:highlight w:val="none"/>
          <w:u w:val="none"/>
          <w:lang w:val="zh-CN"/>
        </w:rPr>
      </w:pPr>
      <w:r>
        <w:rPr>
          <w:rFonts w:hint="eastAsia" w:ascii="楷体_GB2312" w:eastAsia="楷体_GB2312" w:cs="Times New Roman"/>
          <w:b/>
          <w:color w:val="auto"/>
          <w:sz w:val="32"/>
          <w:szCs w:val="32"/>
          <w:highlight w:val="none"/>
          <w:u w:val="none"/>
          <w:lang w:val="zh-CN"/>
        </w:rPr>
        <w:t>一、项目概况</w:t>
      </w:r>
    </w:p>
    <w:p w14:paraId="68712AF3">
      <w:pPr>
        <w:snapToGrid w:val="0"/>
        <w:spacing w:line="600" w:lineRule="atLeast"/>
        <w:ind w:firstLine="643" w:firstLineChars="200"/>
        <w:jc w:val="left"/>
        <w:rPr>
          <w:rFonts w:hint="eastAsia" w:ascii="楷体_GB2312" w:eastAsia="楷体_GB2312"/>
          <w:b/>
          <w:color w:val="auto"/>
          <w:sz w:val="32"/>
          <w:szCs w:val="32"/>
          <w:highlight w:val="none"/>
          <w:u w:val="none"/>
          <w:lang w:val="zh-CN"/>
        </w:rPr>
      </w:pPr>
      <w:r>
        <w:rPr>
          <w:rFonts w:hint="eastAsia" w:ascii="楷体_GB2312" w:eastAsia="楷体_GB2312"/>
          <w:b/>
          <w:color w:val="auto"/>
          <w:sz w:val="32"/>
          <w:szCs w:val="32"/>
          <w:highlight w:val="none"/>
          <w:u w:val="none"/>
          <w:lang w:val="zh-CN"/>
        </w:rPr>
        <w:t>（一）设立背景及基本情况。</w:t>
      </w:r>
      <w:r>
        <w:rPr>
          <w:rFonts w:hint="eastAsia" w:ascii="仿宋_GB2312" w:eastAsia="仿宋_GB2312" w:cs="Times New Roman"/>
          <w:kern w:val="2"/>
          <w:sz w:val="32"/>
          <w:szCs w:val="32"/>
          <w:lang w:val="zh-CN" w:eastAsia="zh-CN" w:bidi="ar-SA"/>
        </w:rPr>
        <w:t>撒瓦脚乡木赤村柔热尔社防洪堤建设项目河堤总长147.00m,河堤全段采用C20埋石混凝土衡重式挡墙，挡墙临水坡为直墙，背坡上墙倾斜坡度1:0.4，下墙背坡倾斜坡度1：-0.35，墙趾宽*高为0.5*0.5m；挡墙墙趾以上3.0m设DN50排水管，间距1.5m梅花形布置，排水管进口采用土工布包裹，400g/m2，厚度3.0mm。</w:t>
      </w:r>
    </w:p>
    <w:p w14:paraId="1C776446">
      <w:pPr>
        <w:snapToGrid w:val="0"/>
        <w:spacing w:line="600" w:lineRule="atLeast"/>
        <w:ind w:firstLine="643" w:firstLineChars="200"/>
        <w:jc w:val="left"/>
        <w:rPr>
          <w:rFonts w:ascii="Times New Roman" w:hAnsi="Times New Roman"/>
          <w:szCs w:val="32"/>
        </w:rPr>
      </w:pPr>
      <w:r>
        <w:rPr>
          <w:rFonts w:hint="eastAsia" w:ascii="楷体_GB2312" w:eastAsia="楷体_GB2312"/>
          <w:b/>
          <w:color w:val="auto"/>
          <w:sz w:val="32"/>
          <w:szCs w:val="32"/>
          <w:highlight w:val="none"/>
          <w:u w:val="none"/>
          <w:lang w:val="zh-CN"/>
        </w:rPr>
        <w:t>（</w:t>
      </w:r>
      <w:r>
        <w:rPr>
          <w:rFonts w:hint="eastAsia" w:ascii="楷体_GB2312" w:eastAsia="楷体_GB2312" w:cs="Times New Roman"/>
          <w:b/>
          <w:color w:val="auto"/>
          <w:sz w:val="32"/>
          <w:szCs w:val="32"/>
          <w:highlight w:val="none"/>
          <w:u w:val="none"/>
          <w:lang w:val="zh-CN"/>
        </w:rPr>
        <w:t>二）</w:t>
      </w:r>
      <w:r>
        <w:rPr>
          <w:rFonts w:ascii="楷体_GB2312" w:eastAsia="楷体_GB2312" w:cs="Times New Roman"/>
          <w:b/>
          <w:color w:val="auto"/>
          <w:sz w:val="32"/>
          <w:szCs w:val="32"/>
          <w:highlight w:val="none"/>
          <w:u w:val="none"/>
          <w:lang w:val="en-US" w:eastAsia="zh-CN"/>
        </w:rPr>
        <w:t>实施目的及支持方向</w:t>
      </w:r>
      <w:r>
        <w:rPr>
          <w:rFonts w:hint="eastAsia" w:ascii="楷体_GB2312" w:eastAsia="楷体_GB2312" w:cs="Times New Roman"/>
          <w:b/>
          <w:color w:val="auto"/>
          <w:sz w:val="32"/>
          <w:szCs w:val="32"/>
          <w:highlight w:val="none"/>
          <w:u w:val="none"/>
          <w:lang w:val="en-US" w:eastAsia="zh-CN"/>
        </w:rPr>
        <w:t>。</w:t>
      </w:r>
      <w:r>
        <w:rPr>
          <w:rFonts w:hint="eastAsia" w:ascii="仿宋_GB2312" w:eastAsia="仿宋_GB2312" w:cs="Times New Roman"/>
          <w:kern w:val="2"/>
          <w:sz w:val="32"/>
          <w:szCs w:val="32"/>
          <w:lang w:val="en-US" w:eastAsia="zh-CN" w:bidi="ar-SA"/>
        </w:rPr>
        <w:t>现状工程河段两岸大部分为耕地和建筑用地，且地势较低，防洪标准低，故沿岸尚未形成完整的防洪体系。防洪工程的新建，除保护村庄不受洪水的危害，也避免了洪水带来的污泥浊水对水质的污染。因此可以保护净化生态系统的居民区环境卫生，维护当地经济生态系统的良性发展，防止疾病流行。</w:t>
      </w:r>
    </w:p>
    <w:p w14:paraId="1FF06EDA">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rPr>
          <w:rFonts w:hint="eastAsia" w:ascii="仿宋_GB2312" w:eastAsia="仿宋_GB2312" w:cs="Times New Roman"/>
          <w:kern w:val="2"/>
          <w:sz w:val="32"/>
          <w:szCs w:val="32"/>
          <w:lang w:val="zh-CN" w:eastAsia="zh-CN" w:bidi="ar-SA"/>
        </w:rPr>
      </w:pPr>
      <w:r>
        <w:rPr>
          <w:rFonts w:hint="eastAsia" w:ascii="楷体_GB2312" w:eastAsia="楷体_GB2312" w:cs="Times New Roman"/>
          <w:b/>
          <w:color w:val="auto"/>
          <w:sz w:val="32"/>
          <w:szCs w:val="32"/>
          <w:highlight w:val="none"/>
          <w:u w:val="none"/>
          <w:lang w:val="zh-CN" w:eastAsia="zh-CN"/>
        </w:rPr>
        <w:t>（三）</w:t>
      </w:r>
      <w:r>
        <w:rPr>
          <w:rFonts w:ascii="楷体_GB2312" w:eastAsia="楷体_GB2312" w:cs="Times New Roman"/>
          <w:b/>
          <w:color w:val="auto"/>
          <w:sz w:val="32"/>
          <w:szCs w:val="32"/>
          <w:highlight w:val="none"/>
          <w:u w:val="none"/>
          <w:lang w:val="en-US" w:eastAsia="zh-CN"/>
        </w:rPr>
        <w:t>预算安排及分配管理</w:t>
      </w:r>
      <w:r>
        <w:rPr>
          <w:rFonts w:hint="eastAsia" w:ascii="楷体_GB2312" w:eastAsia="楷体_GB2312" w:cs="Times New Roman"/>
          <w:b/>
          <w:color w:val="auto"/>
          <w:sz w:val="32"/>
          <w:szCs w:val="32"/>
          <w:highlight w:val="none"/>
          <w:u w:val="none"/>
          <w:lang w:val="zh-CN" w:eastAsia="zh-CN"/>
        </w:rPr>
        <w:t>。</w:t>
      </w:r>
      <w:r>
        <w:rPr>
          <w:rFonts w:hint="eastAsia" w:ascii="仿宋_GB2312" w:eastAsia="仿宋_GB2312" w:cs="Times New Roman"/>
          <w:kern w:val="2"/>
          <w:sz w:val="32"/>
          <w:szCs w:val="32"/>
          <w:lang w:val="zh-CN" w:eastAsia="zh-CN" w:bidi="ar-SA"/>
        </w:rPr>
        <w:t>该项目申报预算 70万元，本次申报金额为 70 万元，资金来源为省级财政资金本次对项目投入经济性的评估是在项目事前绩效评估、预算测算的基础上，按照厉行节约的要求，结合项目 2023年实际需求评估认为，该项目任务数量基本合理、预算测算过程较为详细、测算依据基本充分、有一定的经济性。建议预算控制在70万元以内。</w:t>
      </w:r>
    </w:p>
    <w:p w14:paraId="457958BB">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rPr>
          <w:rFonts w:ascii="仿宋_GB2312" w:eastAsia="仿宋_GB2312" w:cs="Times New Roman"/>
          <w:kern w:val="2"/>
          <w:sz w:val="32"/>
          <w:szCs w:val="32"/>
          <w:lang w:val="zh-CN" w:eastAsia="zh-CN" w:bidi="ar-SA"/>
        </w:rPr>
      </w:pPr>
      <w:r>
        <w:rPr>
          <w:rFonts w:hint="eastAsia" w:ascii="楷体_GB2312" w:eastAsia="楷体_GB2312" w:cs="Times New Roman"/>
          <w:b/>
          <w:color w:val="auto"/>
          <w:sz w:val="32"/>
          <w:szCs w:val="32"/>
          <w:highlight w:val="none"/>
          <w:u w:val="none"/>
          <w:lang w:val="zh-CN" w:eastAsia="zh-CN"/>
        </w:rPr>
        <w:t>（四）项目绩效目标设置。</w:t>
      </w:r>
      <w:r>
        <w:rPr>
          <w:rFonts w:hint="eastAsia" w:ascii="仿宋_GB2312" w:eastAsia="仿宋_GB2312" w:cs="Times New Roman"/>
          <w:kern w:val="2"/>
          <w:sz w:val="32"/>
          <w:szCs w:val="32"/>
          <w:lang w:val="zh-CN" w:eastAsia="zh-CN" w:bidi="ar-SA"/>
        </w:rPr>
        <w:t>根据20</w:t>
      </w:r>
      <w:r>
        <w:rPr>
          <w:rFonts w:hint="eastAsia" w:ascii="仿宋_GB2312" w:eastAsia="仿宋_GB2312" w:cs="Times New Roman"/>
          <w:kern w:val="2"/>
          <w:sz w:val="32"/>
          <w:szCs w:val="32"/>
          <w:lang w:val="en-US" w:eastAsia="zh-CN" w:bidi="ar-SA"/>
        </w:rPr>
        <w:t>24</w:t>
      </w:r>
      <w:r>
        <w:rPr>
          <w:rFonts w:hint="eastAsia" w:ascii="仿宋_GB2312" w:eastAsia="仿宋_GB2312" w:cs="Times New Roman"/>
          <w:kern w:val="2"/>
          <w:sz w:val="32"/>
          <w:szCs w:val="32"/>
          <w:lang w:val="zh-CN" w:eastAsia="zh-CN" w:bidi="ar-SA"/>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0174A1A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eastAsia="楷体_GB2312" w:cs="Times New Roman"/>
          <w:b/>
          <w:color w:val="auto"/>
          <w:sz w:val="32"/>
          <w:szCs w:val="32"/>
          <w:highlight w:val="none"/>
          <w:u w:val="none"/>
          <w:lang w:val="zh-CN" w:eastAsia="zh-CN"/>
        </w:rPr>
      </w:pPr>
      <w:r>
        <w:rPr>
          <w:rFonts w:hint="eastAsia" w:ascii="楷体_GB2312" w:eastAsia="楷体_GB2312" w:cs="Times New Roman"/>
          <w:b/>
          <w:color w:val="auto"/>
          <w:sz w:val="32"/>
          <w:szCs w:val="32"/>
          <w:highlight w:val="none"/>
          <w:u w:val="none"/>
          <w:lang w:val="zh-CN"/>
        </w:rPr>
        <w:t>二、</w:t>
      </w:r>
      <w:r>
        <w:rPr>
          <w:rFonts w:hint="eastAsia" w:ascii="楷体_GB2312" w:eastAsia="楷体_GB2312" w:cs="Times New Roman"/>
          <w:b/>
          <w:color w:val="auto"/>
          <w:sz w:val="32"/>
          <w:szCs w:val="32"/>
          <w:highlight w:val="none"/>
          <w:u w:val="none"/>
          <w:lang w:val="zh-CN" w:eastAsia="zh-CN"/>
        </w:rPr>
        <w:t>评价实施</w:t>
      </w:r>
    </w:p>
    <w:p w14:paraId="2380903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（一）评价目的。</w:t>
      </w:r>
      <w:r>
        <w:rPr>
          <w:rFonts w:hint="eastAsia" w:ascii="仿宋_GB2312" w:eastAsia="仿宋_GB2312" w:cs="Times New Roman"/>
          <w:kern w:val="2"/>
          <w:sz w:val="32"/>
          <w:szCs w:val="32"/>
          <w:lang w:val="zh-CN"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4433585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（二）预设问题及评价重点。</w:t>
      </w:r>
      <w:r>
        <w:rPr>
          <w:rFonts w:hint="eastAsia" w:ascii="仿宋_GB2312" w:eastAsia="仿宋_GB2312" w:cs="Times New Roman"/>
          <w:kern w:val="2"/>
          <w:sz w:val="32"/>
          <w:szCs w:val="32"/>
          <w:lang w:val="en-US" w:eastAsia="zh-CN" w:bidi="ar-SA"/>
        </w:rPr>
        <w:t>1、项目决策：</w:t>
      </w:r>
      <w:r>
        <w:rPr>
          <w:rFonts w:hint="eastAsia" w:ascii="仿宋_GB2312"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2ACD9D9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2、项目管理：</w:t>
      </w:r>
      <w:r>
        <w:rPr>
          <w:rFonts w:hint="eastAsia" w:ascii="仿宋_GB2312"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2ED726C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3、项目实施：</w:t>
      </w:r>
      <w:r>
        <w:rPr>
          <w:rFonts w:hint="eastAsia" w:ascii="仿宋_GB2312" w:eastAsia="仿宋_GB2312" w:cs="Times New Roman"/>
          <w:kern w:val="2"/>
          <w:sz w:val="32"/>
          <w:szCs w:val="32"/>
          <w:lang w:val="zh-CN" w:eastAsia="zh-CN" w:bidi="ar-SA"/>
        </w:rPr>
        <w:t>项目资金财政拨付按时完成率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、单位执行资金使用率为</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和地方配套资金到位率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146690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4、项目结果：</w:t>
      </w:r>
      <w:r>
        <w:rPr>
          <w:rFonts w:hint="eastAsia" w:ascii="仿宋_GB2312" w:eastAsia="仿宋_GB2312" w:cs="Times New Roman"/>
          <w:kern w:val="2"/>
          <w:sz w:val="32"/>
          <w:szCs w:val="32"/>
          <w:lang w:val="zh-CN" w:eastAsia="zh-CN" w:bidi="ar-SA"/>
        </w:rPr>
        <w:t>项目完成预期目标，实施结果与绩效目标相匹配，反映目标实现率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，项目实际完成时间与计划完成时间的比较差异率为</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val="zh-CN" w:eastAsia="zh-CN" w:bidi="ar-SA"/>
        </w:rPr>
        <w:t>。</w:t>
      </w:r>
    </w:p>
    <w:p w14:paraId="7F512956">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outlineLvl w:val="9"/>
        <w:rPr>
          <w:rFonts w:hint="eastAsia" w:cs="Times New Roman"/>
          <w:szCs w:val="32"/>
          <w:lang w:val="zh-CN" w:eastAsia="zh-CN"/>
        </w:rPr>
      </w:pPr>
      <w:r>
        <w:rPr>
          <w:rFonts w:hint="eastAsia" w:ascii="楷体_GB2312" w:eastAsia="楷体_GB2312"/>
          <w:b/>
          <w:color w:val="auto"/>
          <w:sz w:val="32"/>
          <w:szCs w:val="32"/>
          <w:highlight w:val="none"/>
          <w:u w:val="none"/>
          <w:lang w:val="zh-CN"/>
        </w:rPr>
        <w:t>（三）评价选点。</w:t>
      </w:r>
      <w:r>
        <w:rPr>
          <w:rFonts w:hint="eastAsia" w:ascii="仿宋_GB2312" w:eastAsia="仿宋_GB2312" w:cs="Times New Roman"/>
          <w:kern w:val="2"/>
          <w:sz w:val="32"/>
          <w:szCs w:val="32"/>
          <w:lang w:val="zh-CN" w:eastAsia="zh-CN" w:bidi="ar-SA"/>
        </w:rPr>
        <w:t>项目绩效自评抽样采用实地考察</w:t>
      </w:r>
    </w:p>
    <w:p w14:paraId="6FBB69CB">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outlineLvl w:val="9"/>
        <w:rPr>
          <w:rFonts w:hint="eastAsia" w:ascii="仿宋_GB2312" w:eastAsia="仿宋_GB2312" w:cs="Times New Roman"/>
          <w:kern w:val="2"/>
          <w:sz w:val="32"/>
          <w:szCs w:val="32"/>
          <w:lang w:val="zh-CN" w:eastAsia="zh-CN" w:bidi="ar-SA"/>
        </w:rPr>
      </w:pPr>
      <w:r>
        <w:rPr>
          <w:rFonts w:hint="eastAsia" w:ascii="楷体_GB2312" w:eastAsia="楷体_GB2312"/>
          <w:b/>
          <w:color w:val="auto"/>
          <w:sz w:val="32"/>
          <w:szCs w:val="32"/>
          <w:highlight w:val="none"/>
          <w:u w:val="none"/>
          <w:lang w:val="zh-CN"/>
        </w:rPr>
        <w:t>（四）评价方法。</w:t>
      </w:r>
      <w:r>
        <w:rPr>
          <w:rFonts w:hint="eastAsia" w:ascii="仿宋_GB2312" w:eastAsia="仿宋_GB2312" w:cs="Times New Roman"/>
          <w:kern w:val="2"/>
          <w:sz w:val="32"/>
          <w:szCs w:val="32"/>
          <w:lang w:val="zh-CN" w:eastAsia="zh-CN" w:bidi="ar-SA"/>
        </w:rPr>
        <w:t>我单位开展自行评估，通过召开座谈会收集被评估项目相关基础资料，查阅资料、收集数据信息等，深入论证分析后，形成绩效评估报告。根据项目完成情况，采用查看文卷及实地考察等方法。</w:t>
      </w:r>
    </w:p>
    <w:p w14:paraId="6632686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Times New Roman"/>
          <w:bCs/>
          <w:lang w:eastAsia="zh-CN"/>
        </w:rPr>
      </w:pPr>
      <w:r>
        <w:rPr>
          <w:rFonts w:hint="eastAsia" w:ascii="楷体_GB2312" w:eastAsia="楷体_GB2312"/>
          <w:b/>
          <w:color w:val="auto"/>
          <w:sz w:val="32"/>
          <w:szCs w:val="32"/>
          <w:highlight w:val="none"/>
          <w:u w:val="none"/>
          <w:lang w:val="zh-CN"/>
        </w:rPr>
        <w:t>（五）评价组织。</w:t>
      </w:r>
      <w:r>
        <w:rPr>
          <w:rFonts w:hint="eastAsia" w:ascii="仿宋_GB2312" w:eastAsia="仿宋_GB2312" w:cs="Times New Roman"/>
          <w:kern w:val="2"/>
          <w:sz w:val="32"/>
          <w:szCs w:val="32"/>
          <w:lang w:val="zh-CN" w:eastAsia="zh-CN" w:bidi="ar-SA"/>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6930C37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_GB2312" w:hAnsi="仿宋_GB2312"/>
          <w:color w:val="auto"/>
          <w:sz w:val="32"/>
          <w:szCs w:val="32"/>
          <w:highlight w:val="none"/>
          <w:u w:val="none"/>
          <w:lang w:val="zh-CN"/>
        </w:rPr>
      </w:pPr>
      <w:r>
        <w:rPr>
          <w:rFonts w:hint="eastAsia" w:ascii="黑体" w:eastAsia="黑体"/>
          <w:color w:val="auto"/>
          <w:sz w:val="32"/>
          <w:szCs w:val="32"/>
          <w:highlight w:val="none"/>
          <w:u w:val="none"/>
        </w:rPr>
        <w:t>三、</w:t>
      </w:r>
      <w:r>
        <w:rPr>
          <w:rFonts w:hint="eastAsia" w:ascii="黑体" w:eastAsia="黑体"/>
          <w:color w:val="auto"/>
          <w:sz w:val="32"/>
          <w:szCs w:val="32"/>
          <w:highlight w:val="none"/>
          <w:u w:val="none"/>
          <w:lang w:eastAsia="zh-CN"/>
        </w:rPr>
        <w:t>绩效分析</w:t>
      </w:r>
      <w:r>
        <w:rPr>
          <w:rFonts w:hint="eastAsia" w:ascii="仿宋_GB2312" w:hAnsi="仿宋_GB2312"/>
          <w:color w:val="auto"/>
          <w:sz w:val="32"/>
          <w:szCs w:val="32"/>
          <w:highlight w:val="none"/>
          <w:u w:val="none"/>
          <w:lang w:val="zh-CN"/>
        </w:rPr>
        <w:tab/>
      </w:r>
    </w:p>
    <w:p w14:paraId="418596E2">
      <w:pPr>
        <w:snapToGrid w:val="0"/>
        <w:spacing w:line="360" w:lineRule="auto"/>
        <w:ind w:firstLine="640" w:firstLineChars="200"/>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该项目评估总得分95分、评估等级优、得分情况中产出指标得分60分、效益指标得分20分、满意度指标得分15分。预期产出和效果能满足需求、不需要核减预算安排。</w:t>
      </w:r>
    </w:p>
    <w:p w14:paraId="1656D83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eastAsia="楷体_GB2312" w:cs="Times New Roman"/>
          <w:b/>
          <w:color w:val="auto"/>
          <w:sz w:val="32"/>
          <w:szCs w:val="32"/>
          <w:highlight w:val="none"/>
          <w:u w:val="none"/>
          <w:lang w:val="en-US" w:eastAsia="zh-CN"/>
        </w:rPr>
      </w:pPr>
      <w:r>
        <w:rPr>
          <w:rFonts w:hint="eastAsia" w:ascii="楷体_GB2312" w:eastAsia="楷体_GB2312" w:cs="Times New Roman"/>
          <w:b/>
          <w:color w:val="auto"/>
          <w:sz w:val="32"/>
          <w:szCs w:val="32"/>
          <w:highlight w:val="none"/>
          <w:u w:val="none"/>
          <w:lang w:val="zh-CN"/>
        </w:rPr>
        <w:t>（一）</w:t>
      </w:r>
      <w:r>
        <w:rPr>
          <w:rFonts w:hint="eastAsia" w:ascii="楷体_GB2312" w:eastAsia="楷体_GB2312" w:cs="Times New Roman"/>
          <w:b/>
          <w:color w:val="auto"/>
          <w:sz w:val="32"/>
          <w:szCs w:val="32"/>
          <w:highlight w:val="none"/>
          <w:u w:val="none"/>
          <w:lang w:val="en-US" w:eastAsia="zh-CN"/>
        </w:rPr>
        <w:t>通用指标</w:t>
      </w:r>
      <w:r>
        <w:rPr>
          <w:rFonts w:ascii="楷体_GB2312" w:eastAsia="楷体_GB2312" w:cs="Times New Roman"/>
          <w:b/>
          <w:color w:val="auto"/>
          <w:sz w:val="32"/>
          <w:szCs w:val="32"/>
          <w:highlight w:val="none"/>
          <w:u w:val="none"/>
          <w:lang w:val="zh-CN" w:eastAsia="zh-CN"/>
        </w:rPr>
        <w:t>绩效分析。</w:t>
      </w:r>
    </w:p>
    <w:p w14:paraId="057E5295">
      <w:pPr>
        <w:snapToGrid w:val="0"/>
        <w:spacing w:line="360" w:lineRule="auto"/>
        <w:ind w:firstLine="640" w:firstLineChars="200"/>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1.项目决策。</w:t>
      </w:r>
      <w:r>
        <w:rPr>
          <w:rFonts w:hint="eastAsia" w:ascii="仿宋_GB2312"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35F94838">
      <w:pPr>
        <w:snapToGrid w:val="0"/>
        <w:spacing w:line="360" w:lineRule="auto"/>
        <w:ind w:firstLine="640" w:firstLineChars="200"/>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2.项目管理。</w:t>
      </w:r>
      <w:r>
        <w:rPr>
          <w:rFonts w:hint="eastAsia" w:ascii="仿宋_GB2312"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4A0455C7">
      <w:pPr>
        <w:snapToGrid w:val="0"/>
        <w:spacing w:line="360" w:lineRule="auto"/>
        <w:ind w:firstLine="640" w:firstLineChars="200"/>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3.项目实施。</w:t>
      </w:r>
      <w:r>
        <w:rPr>
          <w:rFonts w:hint="eastAsia" w:ascii="仿宋_GB2312" w:eastAsia="仿宋_GB2312" w:cs="Times New Roman"/>
          <w:kern w:val="2"/>
          <w:sz w:val="32"/>
          <w:szCs w:val="32"/>
          <w:lang w:val="zh-CN" w:eastAsia="zh-CN" w:bidi="ar-SA"/>
        </w:rPr>
        <w:t>项目资金财政拨付按时完成率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、单位执行资金使用率为</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和地方配套资金到位率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760EF3C5">
      <w:pPr>
        <w:snapToGrid w:val="0"/>
        <w:spacing w:line="360" w:lineRule="auto"/>
        <w:ind w:firstLine="640" w:firstLineChars="200"/>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4.项目结果。</w:t>
      </w:r>
      <w:r>
        <w:rPr>
          <w:rFonts w:hint="eastAsia" w:ascii="仿宋_GB2312" w:eastAsia="仿宋_GB2312" w:cs="Times New Roman"/>
          <w:kern w:val="2"/>
          <w:sz w:val="32"/>
          <w:szCs w:val="32"/>
          <w:lang w:val="zh-CN" w:eastAsia="zh-CN" w:bidi="ar-SA"/>
        </w:rPr>
        <w:t>项目完成预期目标，实施结果与绩效目标相匹配，反映目标实现率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，项目实际完成时间与计划完成时间的比较差异率为</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val="zh-CN" w:eastAsia="zh-CN" w:bidi="ar-SA"/>
        </w:rPr>
        <w:t>。</w:t>
      </w:r>
    </w:p>
    <w:p w14:paraId="7F428F9A">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outlineLvl w:val="9"/>
        <w:rPr>
          <w:rFonts w:ascii="Times New Roman" w:hAnsi="Times New Roman"/>
          <w:szCs w:val="32"/>
          <w:lang w:val="zh-CN"/>
        </w:rPr>
      </w:pPr>
      <w:r>
        <w:rPr>
          <w:rFonts w:hint="eastAsia" w:ascii="楷体_GB2312" w:eastAsia="楷体_GB2312" w:cs="Times New Roman"/>
          <w:b/>
          <w:color w:val="auto"/>
          <w:sz w:val="32"/>
          <w:szCs w:val="32"/>
          <w:highlight w:val="none"/>
          <w:u w:val="none"/>
          <w:lang w:val="zh-CN"/>
        </w:rPr>
        <w:t>（二）</w:t>
      </w:r>
      <w:r>
        <w:rPr>
          <w:rFonts w:hint="eastAsia" w:ascii="楷体_GB2312" w:eastAsia="楷体_GB2312" w:cs="Times New Roman"/>
          <w:b/>
          <w:color w:val="auto"/>
          <w:sz w:val="32"/>
          <w:szCs w:val="32"/>
          <w:highlight w:val="none"/>
          <w:u w:val="none"/>
          <w:lang w:val="en-US" w:eastAsia="zh-CN"/>
        </w:rPr>
        <w:t>专用指标</w:t>
      </w:r>
      <w:r>
        <w:rPr>
          <w:rFonts w:ascii="楷体_GB2312" w:eastAsia="楷体_GB2312" w:cs="Times New Roman"/>
          <w:b/>
          <w:color w:val="auto"/>
          <w:sz w:val="32"/>
          <w:szCs w:val="32"/>
          <w:highlight w:val="none"/>
          <w:u w:val="none"/>
          <w:lang w:val="zh-CN"/>
        </w:rPr>
        <w:t>绩效分析。</w:t>
      </w:r>
    </w:p>
    <w:p w14:paraId="3CDE0523">
      <w:pPr>
        <w:snapToGrid w:val="0"/>
        <w:spacing w:line="360" w:lineRule="auto"/>
        <w:ind w:firstLine="640" w:firstLineChars="200"/>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zh-CN" w:eastAsia="zh-CN" w:bidi="ar-SA"/>
        </w:rPr>
        <w:t>基础设施：建成项目</w:t>
      </w:r>
      <w:r>
        <w:rPr>
          <w:rFonts w:hint="eastAsia" w:ascii="仿宋_GB2312" w:eastAsia="仿宋_GB2312" w:cs="Times New Roman"/>
          <w:kern w:val="2"/>
          <w:sz w:val="32"/>
          <w:szCs w:val="32"/>
          <w:lang w:val="en-US" w:eastAsia="zh-CN" w:bidi="ar-SA"/>
        </w:rPr>
        <w:t>-项目验收，项目验收及时合格；项目经济社会功能实现；项目后续维护实现。</w:t>
      </w:r>
      <w:r>
        <w:rPr>
          <w:rFonts w:hint="eastAsia" w:ascii="仿宋_GB2312"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4636727A">
      <w:pPr>
        <w:keepNext w:val="0"/>
        <w:keepLines w:val="0"/>
        <w:pageBreakBefore w:val="0"/>
        <w:widowControl w:val="0"/>
        <w:kinsoku/>
        <w:wordWrap/>
        <w:overflowPunct/>
        <w:topLinePunct w:val="0"/>
        <w:autoSpaceDE/>
        <w:autoSpaceDN/>
        <w:bidi w:val="0"/>
        <w:adjustRightInd/>
        <w:snapToGrid/>
        <w:spacing w:line="578" w:lineRule="exact"/>
        <w:ind w:left="420" w:leftChars="200" w:firstLine="321" w:firstLineChars="100"/>
        <w:textAlignment w:val="auto"/>
        <w:outlineLvl w:val="9"/>
        <w:rPr>
          <w:rFonts w:ascii="楷体_GB2312" w:eastAsia="楷体_GB2312" w:cs="Times New Roman"/>
          <w:b/>
          <w:color w:val="auto"/>
          <w:sz w:val="32"/>
          <w:szCs w:val="32"/>
          <w:highlight w:val="none"/>
          <w:u w:val="none"/>
          <w:lang w:val="zh-CN"/>
        </w:rPr>
      </w:pPr>
      <w:r>
        <w:rPr>
          <w:rFonts w:hint="eastAsia" w:ascii="楷体_GB2312" w:eastAsia="楷体_GB2312" w:cs="Times New Roman"/>
          <w:b/>
          <w:color w:val="auto"/>
          <w:sz w:val="32"/>
          <w:szCs w:val="32"/>
          <w:highlight w:val="none"/>
          <w:u w:val="none"/>
          <w:lang w:val="zh-CN"/>
        </w:rPr>
        <w:t>（三）</w:t>
      </w:r>
      <w:r>
        <w:rPr>
          <w:rFonts w:hint="eastAsia" w:ascii="楷体_GB2312" w:eastAsia="楷体_GB2312" w:cs="Times New Roman"/>
          <w:b/>
          <w:color w:val="auto"/>
          <w:sz w:val="32"/>
          <w:szCs w:val="32"/>
          <w:highlight w:val="none"/>
          <w:u w:val="none"/>
          <w:lang w:val="en-US" w:eastAsia="zh-CN"/>
        </w:rPr>
        <w:t>个性指标</w:t>
      </w:r>
      <w:r>
        <w:rPr>
          <w:rFonts w:ascii="楷体_GB2312" w:eastAsia="楷体_GB2312" w:cs="Times New Roman"/>
          <w:b/>
          <w:color w:val="auto"/>
          <w:sz w:val="32"/>
          <w:szCs w:val="32"/>
          <w:highlight w:val="none"/>
          <w:u w:val="none"/>
          <w:lang w:val="zh-CN"/>
        </w:rPr>
        <w:t>绩效分析。</w:t>
      </w:r>
    </w:p>
    <w:p w14:paraId="713477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cs="Times New Roman"/>
          <w:color w:val="auto"/>
          <w:szCs w:val="32"/>
          <w:lang w:val="en-US" w:eastAsia="zh-CN"/>
        </w:rPr>
      </w:pPr>
      <w:r>
        <w:rPr>
          <w:rFonts w:hint="eastAsia" w:ascii="Times New Roman" w:hAnsi="Times New Roman" w:eastAsia="仿宋_GB2312" w:cs="Times New Roman"/>
          <w:sz w:val="32"/>
          <w:szCs w:val="32"/>
          <w:lang w:val="en-US" w:eastAsia="zh-CN"/>
        </w:rPr>
        <w:t>满意度指标，受益群众的满意度值。</w:t>
      </w:r>
    </w:p>
    <w:p w14:paraId="03EFEAF3">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olor w:val="auto"/>
          <w:sz w:val="32"/>
          <w:szCs w:val="32"/>
          <w:highlight w:val="none"/>
          <w:u w:val="none"/>
        </w:rPr>
      </w:pPr>
      <w:r>
        <w:rPr>
          <w:rFonts w:hint="eastAsia" w:ascii="黑体" w:eastAsia="黑体"/>
          <w:color w:val="auto"/>
          <w:sz w:val="32"/>
          <w:szCs w:val="32"/>
          <w:highlight w:val="none"/>
          <w:u w:val="none"/>
          <w:lang w:eastAsia="zh-CN"/>
        </w:rPr>
        <w:t>四</w:t>
      </w:r>
      <w:r>
        <w:rPr>
          <w:rFonts w:hint="eastAsia" w:ascii="黑体" w:eastAsia="黑体"/>
          <w:color w:val="auto"/>
          <w:sz w:val="32"/>
          <w:szCs w:val="32"/>
          <w:highlight w:val="none"/>
          <w:u w:val="none"/>
        </w:rPr>
        <w:t>、评价结论</w:t>
      </w:r>
    </w:p>
    <w:p w14:paraId="12E1284D">
      <w:pPr>
        <w:pStyle w:val="19"/>
        <w:shd w:val="clear" w:color="auto" w:fill="FFFFFF"/>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该项目总体评分</w:t>
      </w:r>
      <w:r>
        <w:rPr>
          <w:rFonts w:hint="eastAsia" w:eastAsia="仿宋_GB2312" w:cs="Times New Roman"/>
          <w:kern w:val="2"/>
          <w:sz w:val="32"/>
          <w:szCs w:val="32"/>
          <w:lang w:val="en-US" w:eastAsia="zh-CN" w:bidi="ar-SA"/>
        </w:rPr>
        <w:t>95</w:t>
      </w:r>
      <w:r>
        <w:rPr>
          <w:rFonts w:hint="eastAsia" w:ascii="Times New Roman" w:hAnsi="Times New Roman" w:eastAsia="仿宋_GB2312" w:cs="Times New Roman"/>
          <w:kern w:val="2"/>
          <w:sz w:val="32"/>
          <w:szCs w:val="32"/>
          <w:lang w:val="en-US" w:eastAsia="zh-CN" w:bidi="ar-SA"/>
        </w:rPr>
        <w:t>分，</w:t>
      </w:r>
      <w:r>
        <w:rPr>
          <w:rFonts w:hint="eastAsia" w:ascii="Times New Roman" w:hAnsi="Times New Roman" w:eastAsia="仿宋_GB2312" w:cs="Times New Roman"/>
          <w:kern w:val="2"/>
          <w:sz w:val="32"/>
          <w:szCs w:val="32"/>
          <w:lang w:val="zh-CN" w:eastAsia="zh-CN" w:bidi="ar-SA"/>
        </w:rPr>
        <w:t>预期项目完成后，</w:t>
      </w:r>
      <w:r>
        <w:rPr>
          <w:rFonts w:hint="eastAsia" w:ascii="Times New Roman" w:hAnsi="Times New Roman" w:eastAsia="仿宋_GB2312" w:cs="Times New Roman"/>
          <w:kern w:val="2"/>
          <w:sz w:val="32"/>
          <w:szCs w:val="32"/>
          <w:lang w:val="en-US" w:eastAsia="zh-CN" w:bidi="ar-SA"/>
        </w:rPr>
        <w:t>为保障全乡牧民群众定居点不受山洪冲洗，我乡实施了河堤建设，但因气候条件恶劣，河床下沉，山洪冲洗等因素，导致河堤严重冲毁，为保障河道沿途以及定居点牧民群众生命财产安全，我乡对河堤进行了维修加固等，群众生命财产安全得到了保障。</w:t>
      </w:r>
    </w:p>
    <w:p w14:paraId="680FD5E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szCs w:val="32"/>
          <w:lang w:val="en-US" w:eastAsia="zh-CN"/>
        </w:rPr>
      </w:pPr>
    </w:p>
    <w:p w14:paraId="64408F83">
      <w:pPr>
        <w:pStyle w:val="7"/>
        <w:pageBreakBefore w:val="0"/>
        <w:widowControl w:val="0"/>
        <w:tabs>
          <w:tab w:val="left" w:pos="2160"/>
        </w:tabs>
        <w:kinsoku/>
        <w:wordWrap/>
        <w:overflowPunct/>
        <w:topLinePunct w:val="0"/>
        <w:autoSpaceDE/>
        <w:autoSpaceDN/>
        <w:bidi w:val="0"/>
        <w:adjustRightInd/>
        <w:spacing w:line="600" w:lineRule="exact"/>
        <w:textAlignment w:val="auto"/>
        <w:rPr>
          <w:rFonts w:hint="eastAsia" w:ascii="黑体" w:eastAsia="黑体" w:cs="Times New Roman"/>
          <w:color w:val="auto"/>
          <w:sz w:val="32"/>
          <w:szCs w:val="32"/>
          <w:highlight w:val="none"/>
          <w:u w:val="none"/>
          <w:lang w:eastAsia="zh-CN"/>
        </w:rPr>
      </w:pPr>
      <w:r>
        <w:rPr>
          <w:rFonts w:hint="eastAsia" w:ascii="仿宋_GB2312" w:eastAsia="仿宋_GB2312" w:cs="仿宋_GB2312"/>
          <w:color w:val="auto"/>
          <w:kern w:val="0"/>
          <w:sz w:val="32"/>
          <w:szCs w:val="32"/>
          <w:highlight w:val="none"/>
          <w:u w:val="none"/>
          <w:shd w:val="clear" w:color="auto" w:fill="FFFFFF"/>
          <w:lang w:val="en-US" w:eastAsia="zh-CN"/>
        </w:rPr>
        <w:t xml:space="preserve"> </w:t>
      </w:r>
      <w:r>
        <w:rPr>
          <w:rFonts w:hint="eastAsia" w:ascii="黑体" w:hAnsi="黑体" w:cs="Times New Roman"/>
          <w:color w:val="auto"/>
          <w:sz w:val="32"/>
          <w:szCs w:val="32"/>
          <w:highlight w:val="none"/>
          <w:u w:val="none"/>
          <w:lang w:val="en-US" w:eastAsia="zh-CN"/>
        </w:rPr>
        <w:t xml:space="preserve">  </w:t>
      </w:r>
      <w:r>
        <w:rPr>
          <w:rFonts w:hint="eastAsia" w:ascii="黑体" w:eastAsia="黑体" w:cs="Times New Roman"/>
          <w:color w:val="auto"/>
          <w:sz w:val="32"/>
          <w:szCs w:val="32"/>
          <w:highlight w:val="none"/>
          <w:u w:val="none"/>
          <w:lang w:eastAsia="zh-CN"/>
        </w:rPr>
        <w:t>五</w:t>
      </w:r>
      <w:r>
        <w:rPr>
          <w:rFonts w:hint="eastAsia" w:ascii="黑体" w:hAnsi="黑体" w:cs="Times New Roman"/>
          <w:color w:val="auto"/>
          <w:sz w:val="32"/>
          <w:szCs w:val="32"/>
          <w:highlight w:val="none"/>
          <w:u w:val="none"/>
          <w:lang w:eastAsia="zh-CN"/>
        </w:rPr>
        <w:t>、</w:t>
      </w:r>
      <w:r>
        <w:rPr>
          <w:rFonts w:hint="eastAsia" w:ascii="黑体" w:eastAsia="黑体" w:cs="Times New Roman"/>
          <w:color w:val="auto"/>
          <w:sz w:val="32"/>
          <w:szCs w:val="32"/>
          <w:highlight w:val="none"/>
          <w:u w:val="none"/>
          <w:lang w:eastAsia="zh-CN"/>
        </w:rPr>
        <w:t>存在主要问题</w:t>
      </w:r>
    </w:p>
    <w:p w14:paraId="642E354B">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仿宋_GB2312" w:eastAsia="仿宋_GB2312" w:cs="仿宋_GB2312"/>
          <w:b w:val="0"/>
          <w:bCs w:val="0"/>
          <w:kern w:val="0"/>
          <w:position w:val="0"/>
          <w:sz w:val="32"/>
          <w:szCs w:val="32"/>
          <w:highlight w:val="none"/>
          <w:lang w:val="en-US" w:eastAsia="zh-CN" w:bidi="ar-SA"/>
        </w:rPr>
      </w:pPr>
      <w:r>
        <w:rPr>
          <w:rFonts w:hint="eastAsia" w:ascii="仿宋_GB2312" w:eastAsia="仿宋_GB2312" w:cs="仿宋_GB2312"/>
          <w:b w:val="0"/>
          <w:bCs w:val="0"/>
          <w:kern w:val="0"/>
          <w:position w:val="0"/>
          <w:sz w:val="32"/>
          <w:szCs w:val="32"/>
          <w:highlight w:val="none"/>
          <w:lang w:val="en-US" w:eastAsia="zh-CN" w:bidi="ar-SA"/>
        </w:rPr>
        <w:t>无</w:t>
      </w:r>
    </w:p>
    <w:p w14:paraId="2B3D3BDA">
      <w:pPr>
        <w:pStyle w:val="7"/>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s="Times New Roman"/>
          <w:color w:val="auto"/>
          <w:kern w:val="0"/>
          <w:position w:val="3"/>
          <w:sz w:val="32"/>
          <w:szCs w:val="32"/>
          <w:highlight w:val="none"/>
          <w:u w:val="none"/>
          <w:lang w:val="zh-CN" w:eastAsia="zh-CN" w:bidi="ar-SA"/>
        </w:rPr>
      </w:pPr>
      <w:r>
        <w:rPr>
          <w:rFonts w:hint="eastAsia" w:ascii="黑体" w:eastAsia="黑体" w:cs="Times New Roman"/>
          <w:color w:val="auto"/>
          <w:kern w:val="0"/>
          <w:position w:val="3"/>
          <w:sz w:val="32"/>
          <w:szCs w:val="32"/>
          <w:highlight w:val="none"/>
          <w:u w:val="none"/>
          <w:lang w:val="zh-CN" w:eastAsia="zh-CN" w:bidi="ar-SA"/>
        </w:rPr>
        <w:t>六、改进建议</w:t>
      </w:r>
    </w:p>
    <w:p w14:paraId="6C5F87D5">
      <w:pPr>
        <w:tabs>
          <w:tab w:val="left" w:pos="1911"/>
        </w:tabs>
        <w:jc w:val="left"/>
        <w:rPr>
          <w:rFonts w:hint="eastAsia" w:ascii="仿宋_GB2312" w:eastAsia="仿宋_GB2312" w:cs="仿宋_GB2312"/>
          <w:b w:val="0"/>
          <w:bCs w:val="0"/>
          <w:kern w:val="0"/>
          <w:position w:val="0"/>
          <w:sz w:val="32"/>
          <w:szCs w:val="32"/>
          <w:highlight w:val="none"/>
          <w:lang w:val="en-US" w:eastAsia="zh-CN" w:bidi="ar-SA"/>
        </w:rPr>
      </w:pPr>
      <w:r>
        <w:rPr>
          <w:rFonts w:hint="eastAsia" w:asci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无</w:t>
      </w:r>
    </w:p>
    <w:p w14:paraId="489B8E77">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附表：1.项目资金分配涉及所有点位自评得分情况表</w:t>
      </w:r>
    </w:p>
    <w:p w14:paraId="32EF50E7">
      <w:pPr>
        <w:keepNext w:val="0"/>
        <w:keepLines w:val="0"/>
        <w:pageBreakBefore w:val="0"/>
        <w:widowControl w:val="0"/>
        <w:kinsoku/>
        <w:wordWrap/>
        <w:overflowPunct/>
        <w:topLinePunct w:val="0"/>
        <w:autoSpaceDE/>
        <w:autoSpaceDN/>
        <w:bidi w:val="0"/>
        <w:adjustRightInd/>
        <w:snapToGrid w:val="0"/>
        <w:spacing w:line="578" w:lineRule="exact"/>
        <w:ind w:left="0" w:firstLine="1600" w:firstLineChars="5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2.专项预算项目绩效目标完成情况自评表</w:t>
      </w:r>
    </w:p>
    <w:p w14:paraId="72E15DD0">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br w:type="page"/>
      </w:r>
    </w:p>
    <w:p w14:paraId="266A2FDC">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rPr>
          <w:rFonts w:hint="eastAsia" w:ascii="黑体" w:eastAsia="黑体" w:cs="黑体"/>
          <w:b w:val="0"/>
          <w:bCs w:val="0"/>
          <w:color w:val="auto"/>
          <w:kern w:val="0"/>
          <w:sz w:val="32"/>
          <w:szCs w:val="32"/>
          <w:highlight w:val="none"/>
          <w:u w:val="none"/>
          <w:shd w:val="clear" w:color="auto" w:fill="FFFFFF"/>
          <w:lang w:val="zh-CN" w:eastAsia="zh-CN"/>
        </w:rPr>
      </w:pPr>
      <w:r>
        <w:rPr>
          <w:rFonts w:hint="eastAsia" w:ascii="黑体" w:eastAsia="黑体" w:cs="黑体"/>
          <w:b w:val="0"/>
          <w:bCs w:val="0"/>
          <w:color w:val="auto"/>
          <w:kern w:val="0"/>
          <w:sz w:val="32"/>
          <w:szCs w:val="32"/>
          <w:highlight w:val="none"/>
          <w:u w:val="none"/>
          <w:shd w:val="clear" w:color="auto" w:fill="FFFFFF"/>
          <w:lang w:val="zh-CN" w:eastAsia="zh-CN"/>
        </w:rPr>
        <w:t>附表</w:t>
      </w:r>
      <w:r>
        <w:rPr>
          <w:rFonts w:hint="eastAsia" w:ascii="黑体" w:eastAsia="黑体" w:cs="黑体"/>
          <w:b w:val="0"/>
          <w:bCs w:val="0"/>
          <w:color w:val="auto"/>
          <w:kern w:val="0"/>
          <w:sz w:val="32"/>
          <w:szCs w:val="32"/>
          <w:highlight w:val="none"/>
          <w:u w:val="none"/>
          <w:shd w:val="clear" w:color="auto" w:fill="FFFFFF"/>
          <w:lang w:val="en-US" w:eastAsia="zh-CN"/>
        </w:rPr>
        <w:t>1</w:t>
      </w:r>
    </w:p>
    <w:p w14:paraId="3B54A0A3">
      <w:pPr>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_GBK" w:eastAsia="方正小标宋_GBK" w:cs="方正小标宋_GBK"/>
          <w:b w:val="0"/>
          <w:bCs w:val="0"/>
          <w:color w:val="auto"/>
          <w:sz w:val="40"/>
          <w:szCs w:val="40"/>
          <w:highlight w:val="none"/>
          <w:u w:val="none"/>
          <w:lang w:val="en-US" w:eastAsia="zh-CN"/>
        </w:rPr>
      </w:pPr>
      <w:r>
        <w:rPr>
          <w:rFonts w:hint="eastAsia" w:asci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20"/>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544A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3ED1B36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val="en-US" w:eastAsia="zh-CN"/>
              </w:rPr>
              <w:t>序号</w:t>
            </w:r>
          </w:p>
        </w:tc>
        <w:tc>
          <w:tcPr>
            <w:tcW w:w="3843" w:type="dxa"/>
            <w:tcBorders>
              <w:top w:val="single" w:color="auto" w:sz="4" w:space="0"/>
              <w:left w:val="single" w:color="auto" w:sz="4" w:space="0"/>
              <w:bottom w:val="single" w:color="auto" w:sz="4" w:space="0"/>
              <w:right w:val="single" w:color="auto" w:sz="4" w:space="0"/>
            </w:tcBorders>
            <w:noWrap/>
          </w:tcPr>
          <w:p w14:paraId="48F5C7D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eastAsia="zh-CN"/>
              </w:rPr>
            </w:pPr>
            <w:r>
              <w:rPr>
                <w:rFonts w:hint="eastAsia" w:ascii="黑体" w:eastAsia="黑体" w:cs="黑体"/>
                <w:b w:val="0"/>
                <w:bCs w:val="0"/>
                <w:color w:val="auto"/>
                <w:sz w:val="24"/>
                <w:szCs w:val="24"/>
                <w:highlight w:val="none"/>
                <w:u w:val="none"/>
                <w:vertAlign w:val="baseline"/>
                <w:lang w:val="en-US" w:eastAsia="zh-CN"/>
              </w:rPr>
              <w:t>项目资金末端分配点位</w:t>
            </w:r>
          </w:p>
        </w:tc>
        <w:tc>
          <w:tcPr>
            <w:tcW w:w="2861" w:type="dxa"/>
            <w:tcBorders>
              <w:top w:val="single" w:color="auto" w:sz="4" w:space="0"/>
              <w:left w:val="single" w:color="auto" w:sz="4" w:space="0"/>
              <w:bottom w:val="single" w:color="auto" w:sz="4" w:space="0"/>
              <w:right w:val="single" w:color="auto" w:sz="4" w:space="0"/>
            </w:tcBorders>
            <w:noWrap/>
          </w:tcPr>
          <w:p w14:paraId="74F5DD7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eastAsia="zh-CN"/>
              </w:rPr>
              <w:t>自评得分（百分制）</w:t>
            </w:r>
          </w:p>
        </w:tc>
        <w:tc>
          <w:tcPr>
            <w:tcW w:w="993" w:type="dxa"/>
            <w:tcBorders>
              <w:top w:val="single" w:color="auto" w:sz="4" w:space="0"/>
              <w:left w:val="single" w:color="auto" w:sz="4" w:space="0"/>
              <w:bottom w:val="single" w:color="auto" w:sz="4" w:space="0"/>
              <w:right w:val="single" w:color="auto" w:sz="4" w:space="0"/>
            </w:tcBorders>
            <w:noWrap/>
          </w:tcPr>
          <w:p w14:paraId="3515543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黑体" w:eastAsia="黑体" w:cs="黑体"/>
                <w:b w:val="0"/>
                <w:bCs w:val="0"/>
                <w:color w:val="auto"/>
                <w:sz w:val="24"/>
                <w:szCs w:val="24"/>
                <w:highlight w:val="none"/>
                <w:u w:val="none"/>
                <w:vertAlign w:val="baseline"/>
                <w:lang w:val="en-US" w:eastAsia="zh-CN"/>
              </w:rPr>
            </w:pPr>
            <w:r>
              <w:rPr>
                <w:rFonts w:hint="eastAsia" w:ascii="黑体" w:eastAsia="黑体" w:cs="黑体"/>
                <w:b w:val="0"/>
                <w:bCs w:val="0"/>
                <w:color w:val="auto"/>
                <w:sz w:val="24"/>
                <w:szCs w:val="24"/>
                <w:highlight w:val="none"/>
                <w:u w:val="none"/>
                <w:vertAlign w:val="baseline"/>
                <w:lang w:val="en-US" w:eastAsia="zh-CN"/>
              </w:rPr>
              <w:t>备注</w:t>
            </w:r>
          </w:p>
        </w:tc>
      </w:tr>
      <w:tr w14:paraId="660E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0E2714F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1</w:t>
            </w:r>
          </w:p>
        </w:tc>
        <w:tc>
          <w:tcPr>
            <w:tcW w:w="3843" w:type="dxa"/>
            <w:tcBorders>
              <w:top w:val="single" w:color="auto" w:sz="4" w:space="0"/>
              <w:left w:val="single" w:color="auto" w:sz="4" w:space="0"/>
              <w:bottom w:val="single" w:color="auto" w:sz="4" w:space="0"/>
              <w:right w:val="single" w:color="auto" w:sz="4" w:space="0"/>
            </w:tcBorders>
            <w:noWrap/>
          </w:tcPr>
          <w:p w14:paraId="587F145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r>
              <w:rPr>
                <w:rFonts w:hint="eastAsia" w:ascii="宋体" w:cs="宋体"/>
                <w:color w:val="auto"/>
                <w:sz w:val="24"/>
                <w:szCs w:val="24"/>
                <w:highlight w:val="none"/>
                <w:u w:val="none"/>
                <w:vertAlign w:val="baseline"/>
                <w:lang w:val="en-US" w:eastAsia="zh-CN"/>
              </w:rPr>
              <w:t>金川县撒瓦脚乡人民政府</w:t>
            </w:r>
          </w:p>
        </w:tc>
        <w:tc>
          <w:tcPr>
            <w:tcW w:w="2861" w:type="dxa"/>
            <w:tcBorders>
              <w:top w:val="single" w:color="auto" w:sz="4" w:space="0"/>
              <w:left w:val="single" w:color="auto" w:sz="4" w:space="0"/>
              <w:bottom w:val="single" w:color="auto" w:sz="4" w:space="0"/>
              <w:right w:val="single" w:color="auto" w:sz="4" w:space="0"/>
            </w:tcBorders>
            <w:noWrap/>
          </w:tcPr>
          <w:p w14:paraId="2F71A8D5">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r>
              <w:rPr>
                <w:rFonts w:hint="eastAsia" w:ascii="宋体" w:cs="宋体"/>
                <w:color w:val="auto"/>
                <w:sz w:val="24"/>
                <w:szCs w:val="24"/>
                <w:highlight w:val="none"/>
                <w:u w:val="none"/>
                <w:vertAlign w:val="baseline"/>
                <w:lang w:val="en-US" w:eastAsia="zh-CN"/>
              </w:rPr>
              <w:t>20%</w:t>
            </w:r>
          </w:p>
        </w:tc>
        <w:tc>
          <w:tcPr>
            <w:tcW w:w="993" w:type="dxa"/>
            <w:tcBorders>
              <w:top w:val="single" w:color="auto" w:sz="4" w:space="0"/>
              <w:left w:val="single" w:color="auto" w:sz="4" w:space="0"/>
              <w:bottom w:val="single" w:color="auto" w:sz="4" w:space="0"/>
              <w:right w:val="single" w:color="auto" w:sz="4" w:space="0"/>
            </w:tcBorders>
            <w:noWrap/>
          </w:tcPr>
          <w:p w14:paraId="2A327516">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71C2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2BE7281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2</w:t>
            </w:r>
          </w:p>
        </w:tc>
        <w:tc>
          <w:tcPr>
            <w:tcW w:w="3843" w:type="dxa"/>
            <w:tcBorders>
              <w:top w:val="single" w:color="auto" w:sz="4" w:space="0"/>
              <w:left w:val="single" w:color="auto" w:sz="4" w:space="0"/>
              <w:bottom w:val="single" w:color="auto" w:sz="4" w:space="0"/>
              <w:right w:val="single" w:color="auto" w:sz="4" w:space="0"/>
            </w:tcBorders>
            <w:noWrap/>
          </w:tcPr>
          <w:p w14:paraId="26374CF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1756666B">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4BF922B5">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6FFB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14ED129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3</w:t>
            </w:r>
          </w:p>
        </w:tc>
        <w:tc>
          <w:tcPr>
            <w:tcW w:w="3843" w:type="dxa"/>
            <w:tcBorders>
              <w:top w:val="single" w:color="auto" w:sz="4" w:space="0"/>
              <w:left w:val="single" w:color="auto" w:sz="4" w:space="0"/>
              <w:bottom w:val="single" w:color="auto" w:sz="4" w:space="0"/>
              <w:right w:val="single" w:color="auto" w:sz="4" w:space="0"/>
            </w:tcBorders>
            <w:noWrap/>
          </w:tcPr>
          <w:p w14:paraId="46E90687">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7006FAD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2D30DABD">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05D2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4DC419C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4</w:t>
            </w:r>
          </w:p>
        </w:tc>
        <w:tc>
          <w:tcPr>
            <w:tcW w:w="3843" w:type="dxa"/>
            <w:tcBorders>
              <w:top w:val="single" w:color="auto" w:sz="4" w:space="0"/>
              <w:left w:val="single" w:color="auto" w:sz="4" w:space="0"/>
              <w:bottom w:val="single" w:color="auto" w:sz="4" w:space="0"/>
              <w:right w:val="single" w:color="auto" w:sz="4" w:space="0"/>
            </w:tcBorders>
            <w:noWrap/>
          </w:tcPr>
          <w:p w14:paraId="54F0E6B9">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1D67E824">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0D67AFB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64A8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73BB293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5</w:t>
            </w:r>
          </w:p>
        </w:tc>
        <w:tc>
          <w:tcPr>
            <w:tcW w:w="3843" w:type="dxa"/>
            <w:tcBorders>
              <w:top w:val="single" w:color="auto" w:sz="4" w:space="0"/>
              <w:left w:val="single" w:color="auto" w:sz="4" w:space="0"/>
              <w:bottom w:val="single" w:color="auto" w:sz="4" w:space="0"/>
              <w:right w:val="single" w:color="auto" w:sz="4" w:space="0"/>
            </w:tcBorders>
            <w:noWrap/>
          </w:tcPr>
          <w:p w14:paraId="4B707E2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23F95A07">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0FDE349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3ED2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4F5F2A0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6</w:t>
            </w:r>
          </w:p>
        </w:tc>
        <w:tc>
          <w:tcPr>
            <w:tcW w:w="3843" w:type="dxa"/>
            <w:tcBorders>
              <w:top w:val="single" w:color="auto" w:sz="4" w:space="0"/>
              <w:left w:val="single" w:color="auto" w:sz="4" w:space="0"/>
              <w:bottom w:val="single" w:color="auto" w:sz="4" w:space="0"/>
              <w:right w:val="single" w:color="auto" w:sz="4" w:space="0"/>
            </w:tcBorders>
            <w:noWrap/>
          </w:tcPr>
          <w:p w14:paraId="5345BAAE">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60333ED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2C1EAC5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03DE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2BC10C2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7</w:t>
            </w:r>
          </w:p>
        </w:tc>
        <w:tc>
          <w:tcPr>
            <w:tcW w:w="3843" w:type="dxa"/>
            <w:tcBorders>
              <w:top w:val="single" w:color="auto" w:sz="4" w:space="0"/>
              <w:left w:val="single" w:color="auto" w:sz="4" w:space="0"/>
              <w:bottom w:val="single" w:color="auto" w:sz="4" w:space="0"/>
              <w:right w:val="single" w:color="auto" w:sz="4" w:space="0"/>
            </w:tcBorders>
            <w:noWrap/>
          </w:tcPr>
          <w:p w14:paraId="7BC25C6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4DBC58B2">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62AB3EF1">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6A76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1A93D9E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b w:val="0"/>
                <w:bCs w:val="0"/>
                <w:color w:val="auto"/>
                <w:sz w:val="24"/>
                <w:szCs w:val="24"/>
                <w:highlight w:val="none"/>
                <w:u w:val="none"/>
                <w:lang w:val="en-US" w:eastAsia="zh-CN"/>
              </w:rPr>
            </w:pPr>
            <w:r>
              <w:rPr>
                <w:rFonts w:hint="eastAsia" w:ascii="宋体" w:eastAsia="宋体" w:cs="宋体"/>
                <w:b w:val="0"/>
                <w:bCs w:val="0"/>
                <w:color w:val="auto"/>
                <w:sz w:val="24"/>
                <w:szCs w:val="24"/>
                <w:highlight w:val="none"/>
                <w:u w:val="none"/>
                <w:lang w:val="en-US" w:eastAsia="zh-CN"/>
              </w:rPr>
              <w:t>8</w:t>
            </w:r>
          </w:p>
        </w:tc>
        <w:tc>
          <w:tcPr>
            <w:tcW w:w="3843" w:type="dxa"/>
            <w:tcBorders>
              <w:top w:val="single" w:color="auto" w:sz="4" w:space="0"/>
              <w:left w:val="single" w:color="auto" w:sz="4" w:space="0"/>
              <w:bottom w:val="single" w:color="auto" w:sz="4" w:space="0"/>
              <w:right w:val="single" w:color="auto" w:sz="4" w:space="0"/>
            </w:tcBorders>
            <w:noWrap/>
          </w:tcPr>
          <w:p w14:paraId="531E001C">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42FCA96D">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04624043">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r w14:paraId="6339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Borders>
              <w:top w:val="single" w:color="auto" w:sz="4" w:space="0"/>
              <w:left w:val="single" w:color="auto" w:sz="4" w:space="0"/>
              <w:bottom w:val="single" w:color="auto" w:sz="4" w:space="0"/>
              <w:right w:val="single" w:color="auto" w:sz="4" w:space="0"/>
            </w:tcBorders>
            <w:noWrap/>
          </w:tcPr>
          <w:p w14:paraId="4F05CE3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outlineLvl w:val="9"/>
              <w:rPr>
                <w:rFonts w:hint="eastAsia" w:ascii="宋体" w:eastAsia="宋体" w:cs="宋体"/>
                <w:color w:val="auto"/>
                <w:sz w:val="24"/>
                <w:szCs w:val="24"/>
                <w:highlight w:val="none"/>
                <w:u w:val="none"/>
                <w:lang w:val="en-US" w:eastAsia="zh-CN"/>
              </w:rPr>
            </w:pPr>
            <w:r>
              <w:rPr>
                <w:rFonts w:hint="eastAsia" w:ascii="宋体" w:eastAsia="宋体" w:cs="宋体"/>
                <w:color w:val="auto"/>
                <w:sz w:val="24"/>
                <w:szCs w:val="24"/>
                <w:highlight w:val="none"/>
                <w:u w:val="none"/>
                <w:lang w:val="en-US" w:eastAsia="zh-CN"/>
              </w:rPr>
              <w:t>……</w:t>
            </w:r>
          </w:p>
        </w:tc>
        <w:tc>
          <w:tcPr>
            <w:tcW w:w="3843" w:type="dxa"/>
            <w:tcBorders>
              <w:top w:val="single" w:color="auto" w:sz="4" w:space="0"/>
              <w:left w:val="single" w:color="auto" w:sz="4" w:space="0"/>
              <w:bottom w:val="single" w:color="auto" w:sz="4" w:space="0"/>
              <w:right w:val="single" w:color="auto" w:sz="4" w:space="0"/>
            </w:tcBorders>
            <w:noWrap/>
          </w:tcPr>
          <w:p w14:paraId="6B7C2F9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2861" w:type="dxa"/>
            <w:tcBorders>
              <w:top w:val="single" w:color="auto" w:sz="4" w:space="0"/>
              <w:left w:val="single" w:color="auto" w:sz="4" w:space="0"/>
              <w:bottom w:val="single" w:color="auto" w:sz="4" w:space="0"/>
              <w:right w:val="single" w:color="auto" w:sz="4" w:space="0"/>
            </w:tcBorders>
            <w:noWrap/>
          </w:tcPr>
          <w:p w14:paraId="1F5D611F">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eastAsia="zh-CN"/>
              </w:rPr>
            </w:pPr>
          </w:p>
        </w:tc>
        <w:tc>
          <w:tcPr>
            <w:tcW w:w="993" w:type="dxa"/>
            <w:tcBorders>
              <w:top w:val="single" w:color="auto" w:sz="4" w:space="0"/>
              <w:left w:val="single" w:color="auto" w:sz="4" w:space="0"/>
              <w:bottom w:val="single" w:color="auto" w:sz="4" w:space="0"/>
              <w:right w:val="single" w:color="auto" w:sz="4" w:space="0"/>
            </w:tcBorders>
            <w:noWrap/>
          </w:tcPr>
          <w:p w14:paraId="457E0BCA">
            <w:pPr>
              <w:keepNext w:val="0"/>
              <w:keepLines w:val="0"/>
              <w:pageBreakBefore w:val="0"/>
              <w:widowControl w:val="0"/>
              <w:kinsoku/>
              <w:wordWrap/>
              <w:overflowPunct/>
              <w:topLinePunct w:val="0"/>
              <w:autoSpaceDE/>
              <w:autoSpaceDN/>
              <w:bidi w:val="0"/>
              <w:adjustRightInd/>
              <w:snapToGrid/>
              <w:spacing w:line="300" w:lineRule="exact"/>
              <w:ind w:left="0"/>
              <w:textAlignment w:val="auto"/>
              <w:outlineLvl w:val="9"/>
              <w:rPr>
                <w:rFonts w:hint="eastAsia" w:ascii="宋体" w:cs="宋体"/>
                <w:color w:val="auto"/>
                <w:sz w:val="24"/>
                <w:szCs w:val="24"/>
                <w:highlight w:val="none"/>
                <w:u w:val="none"/>
                <w:vertAlign w:val="baseline"/>
                <w:lang w:val="en-US" w:eastAsia="zh-CN"/>
              </w:rPr>
            </w:pPr>
          </w:p>
        </w:tc>
      </w:tr>
    </w:tbl>
    <w:p w14:paraId="292D5DCA">
      <w:pPr>
        <w:keepNext w:val="0"/>
        <w:keepLines w:val="0"/>
        <w:pageBreakBefore w:val="0"/>
        <w:widowControl w:val="0"/>
        <w:kinsoku/>
        <w:wordWrap/>
        <w:overflowPunct/>
        <w:topLinePunct w:val="0"/>
        <w:autoSpaceDE/>
        <w:autoSpaceDN/>
        <w:bidi w:val="0"/>
        <w:adjustRightInd/>
        <w:snapToGrid/>
        <w:spacing w:line="400" w:lineRule="exact"/>
        <w:ind w:left="0" w:firstLine="0"/>
        <w:jc w:val="left"/>
        <w:textAlignment w:val="auto"/>
        <w:rPr>
          <w:rFonts w:hint="eastAsia" w:ascii="宋体" w:eastAsia="宋体" w:cs="宋体"/>
          <w:b w:val="0"/>
          <w:bCs w:val="0"/>
          <w:color w:val="auto"/>
          <w:sz w:val="21"/>
          <w:szCs w:val="21"/>
          <w:highlight w:val="none"/>
          <w:u w:val="none"/>
          <w:vertAlign w:val="baseline"/>
          <w:lang w:val="en-US" w:eastAsia="zh-CN"/>
        </w:rPr>
      </w:pPr>
      <w:r>
        <w:rPr>
          <w:rFonts w:hint="eastAsia" w:asci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2CB763D3">
      <w:pPr>
        <w:keepNext w:val="0"/>
        <w:keepLines w:val="0"/>
        <w:pageBreakBefore w:val="0"/>
        <w:widowControl w:val="0"/>
        <w:kinsoku/>
        <w:wordWrap/>
        <w:overflowPunct/>
        <w:topLinePunct w:val="0"/>
        <w:autoSpaceDE/>
        <w:autoSpaceDN/>
        <w:bidi w:val="0"/>
        <w:adjustRightInd/>
        <w:snapToGrid/>
        <w:spacing w:line="400" w:lineRule="exact"/>
        <w:ind w:left="0" w:firstLine="630" w:firstLineChars="300"/>
        <w:jc w:val="left"/>
        <w:textAlignment w:val="auto"/>
        <w:rPr>
          <w:rFonts w:hint="eastAsia" w:ascii="宋体" w:eastAsia="宋体" w:cs="宋体"/>
          <w:b w:val="0"/>
          <w:bCs w:val="0"/>
          <w:color w:val="auto"/>
          <w:sz w:val="21"/>
          <w:szCs w:val="21"/>
          <w:highlight w:val="none"/>
          <w:u w:val="none"/>
          <w:vertAlign w:val="baseline"/>
          <w:lang w:val="en-US" w:eastAsia="zh-CN"/>
        </w:rPr>
      </w:pPr>
      <w:r>
        <w:rPr>
          <w:rFonts w:hint="eastAsia" w:asci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5D7AF9AE">
      <w:pPr>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638BEE93">
      <w:pPr>
        <w:pStyle w:val="27"/>
        <w:rPr>
          <w:rFonts w:hint="eastAsia"/>
          <w:lang w:val="en-US" w:eastAsia="zh-CN"/>
        </w:rPr>
      </w:pPr>
    </w:p>
    <w:p w14:paraId="36DB5C2D">
      <w:pPr>
        <w:pStyle w:val="9"/>
        <w:keepNext w:val="0"/>
        <w:keepLines w:val="0"/>
        <w:pageBreakBefore w:val="0"/>
        <w:widowControl w:val="0"/>
        <w:kinsoku/>
        <w:wordWrap/>
        <w:overflowPunct/>
        <w:topLinePunct w:val="0"/>
        <w:autoSpaceDE/>
        <w:autoSpaceDN/>
        <w:bidi w:val="0"/>
        <w:spacing w:after="0" w:line="578" w:lineRule="exact"/>
        <w:ind w:left="0" w:leftChars="0" w:firstLine="0" w:firstLineChars="0"/>
        <w:rPr>
          <w:rFonts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附表2</w:t>
      </w:r>
    </w:p>
    <w:tbl>
      <w:tblPr>
        <w:tblStyle w:val="20"/>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41B8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10233" w:type="dxa"/>
            <w:gridSpan w:val="9"/>
            <w:tcBorders>
              <w:top w:val="nil"/>
              <w:left w:val="nil"/>
              <w:bottom w:val="nil"/>
              <w:right w:val="nil"/>
            </w:tcBorders>
            <w:shd w:val="clear" w:color="auto" w:fill="auto"/>
            <w:noWrap/>
            <w:vAlign w:val="center"/>
          </w:tcPr>
          <w:p w14:paraId="335E68E2">
            <w:pPr>
              <w:keepNext w:val="0"/>
              <w:keepLines w:val="0"/>
              <w:pageBreakBefore w:val="0"/>
              <w:widowControl/>
              <w:suppressLineNumbers w:val="0"/>
              <w:kinsoku/>
              <w:wordWrap/>
              <w:overflowPunct/>
              <w:topLinePunct w:val="0"/>
              <w:autoSpaceDE/>
              <w:autoSpaceDN/>
              <w:bidi w:val="0"/>
              <w:adjustRightInd/>
              <w:snapToGrid/>
              <w:spacing w:line="600" w:lineRule="exact"/>
              <w:ind w:left="0"/>
              <w:jc w:val="center"/>
              <w:textAlignment w:val="center"/>
              <w:rPr>
                <w:rFonts w:ascii="黑体" w:eastAsia="黑体" w:cs="黑体"/>
                <w:i w:val="0"/>
                <w:color w:val="000000"/>
                <w:sz w:val="30"/>
                <w:szCs w:val="30"/>
                <w:u w:val="none"/>
              </w:rPr>
            </w:pPr>
            <w:r>
              <w:rPr>
                <w:rFonts w:hint="eastAsia" w:ascii="方正小标宋简体" w:eastAsia="方正小标宋简体" w:cs="方正小标宋简体"/>
                <w:i w:val="0"/>
                <w:color w:val="000000"/>
                <w:kern w:val="0"/>
                <w:sz w:val="40"/>
                <w:szCs w:val="40"/>
                <w:u w:val="none"/>
                <w:lang w:val="en-US" w:eastAsia="zh-CN"/>
              </w:rPr>
              <w:t>专项预算项目绩效目标完成情况自评表</w:t>
            </w:r>
          </w:p>
        </w:tc>
      </w:tr>
      <w:tr w14:paraId="01FF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5D21">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2C4D">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sz w:val="24"/>
                <w:szCs w:val="24"/>
                <w:u w:val="none"/>
              </w:rPr>
              <w:t>金川县撒瓦脚乡木赤村柔热尔社防洪堤建设项目</w:t>
            </w:r>
          </w:p>
        </w:tc>
      </w:tr>
      <w:tr w14:paraId="244A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A5E2">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049D">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cs="宋体"/>
                <w:i w:val="0"/>
                <w:color w:val="000000"/>
                <w:kern w:val="0"/>
                <w:sz w:val="18"/>
                <w:szCs w:val="18"/>
                <w:u w:val="none"/>
                <w:lang w:val="en-US" w:eastAsia="zh-CN"/>
              </w:rPr>
              <w:t>撒瓦脚</w:t>
            </w:r>
            <w:r>
              <w:rPr>
                <w:rFonts w:hint="eastAsia" w:ascii="宋体" w:eastAsia="宋体" w:cs="宋体"/>
                <w:i w:val="0"/>
                <w:color w:val="000000"/>
                <w:kern w:val="0"/>
                <w:sz w:val="18"/>
                <w:szCs w:val="18"/>
                <w:u w:val="none"/>
                <w:lang w:val="en-US" w:eastAsia="zh-CN"/>
              </w:rPr>
              <w:t>乡人民政府</w:t>
            </w:r>
          </w:p>
        </w:tc>
      </w:tr>
      <w:tr w14:paraId="53F27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596D">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F7A7">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专项类</w:t>
            </w:r>
          </w:p>
        </w:tc>
      </w:tr>
      <w:tr w14:paraId="2292A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EA3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DF93">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中长期规划（名称、文号，仅指</w:t>
            </w:r>
          </w:p>
          <w:p w14:paraId="592C0299">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1C17">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0524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F768"/>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751B">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1F2F">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2D0C5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E55E"/>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B153">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6D04">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07F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D09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70F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Wingdings 2" w:hAnsi="Wingdings 2" w:eastAsia="Wingdings 2" w:cs="Wingdings 2"/>
                <w:i w:val="0"/>
                <w:color w:val="000000"/>
                <w:sz w:val="24"/>
                <w:szCs w:val="24"/>
                <w:u w:val="none"/>
              </w:rPr>
            </w:pPr>
            <w:r>
              <w:rPr>
                <w:rFonts w:ascii="Wingdings 2" w:hAnsi="Wingdings 2" w:eastAsia="Wingdings 2" w:cs="Wingdings 2"/>
                <w:i w:val="0"/>
                <w:color w:val="000000"/>
                <w:kern w:val="0"/>
                <w:sz w:val="24"/>
                <w:szCs w:val="24"/>
                <w:u w:val="none"/>
                <w:lang w:val="en-US" w:eastAsia="zh-CN"/>
              </w:rPr>
              <w:t>£</w:t>
            </w:r>
            <w:r>
              <w:rPr>
                <w:rFonts w:ascii="宋体" w:eastAsia="宋体" w:cs="宋体"/>
                <w:i w:val="0"/>
                <w:color w:val="000000"/>
                <w:kern w:val="0"/>
                <w:sz w:val="24"/>
                <w:szCs w:val="24"/>
                <w:u w:val="none"/>
                <w:lang w:val="en-US" w:eastAsia="zh-CN"/>
              </w:rPr>
              <w:t>因素法与项目法相结合</w:t>
            </w:r>
          </w:p>
        </w:tc>
      </w:tr>
      <w:tr w14:paraId="7B986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DCF4"/>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83DA">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53C0">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39F8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63C6"/>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95A6">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A86C">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6E445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962B"/>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BBAB">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625D">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宋体" w:eastAsia="宋体" w:cs="宋体"/>
                <w:i w:val="0"/>
                <w:color w:val="000000"/>
                <w:sz w:val="24"/>
                <w:szCs w:val="24"/>
                <w:u w:val="none"/>
              </w:rPr>
            </w:pPr>
          </w:p>
        </w:tc>
      </w:tr>
      <w:tr w14:paraId="2AC9B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EF94"/>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3333">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2E0F">
            <w:pPr>
              <w:keepNext w:val="0"/>
              <w:keepLines w:val="0"/>
              <w:pageBreakBefore w:val="0"/>
              <w:widowControl w:val="0"/>
              <w:kinsoku/>
              <w:wordWrap/>
              <w:overflowPunct/>
              <w:topLinePunct w:val="0"/>
              <w:autoSpaceDE/>
              <w:autoSpaceDN/>
              <w:bidi w:val="0"/>
              <w:adjustRightInd/>
              <w:snapToGrid/>
              <w:spacing w:line="300" w:lineRule="exact"/>
              <w:ind w:left="0"/>
              <w:rPr>
                <w:rFonts w:hint="default" w:ascii="宋体" w:eastAsia="宋体" w:cs="宋体"/>
                <w:i w:val="0"/>
                <w:color w:val="000000"/>
                <w:sz w:val="24"/>
                <w:szCs w:val="24"/>
                <w:u w:val="none"/>
                <w:lang w:val="en-US"/>
              </w:rPr>
            </w:pPr>
            <w:r>
              <w:rPr>
                <w:rFonts w:ascii="宋体" w:eastAsia="宋体" w:cs="宋体"/>
                <w:i w:val="0"/>
                <w:color w:val="000000"/>
                <w:kern w:val="0"/>
                <w:sz w:val="18"/>
                <w:szCs w:val="18"/>
                <w:u w:val="none"/>
                <w:lang w:val="en-US" w:eastAsia="zh-CN"/>
              </w:rPr>
              <w:t>202</w:t>
            </w:r>
            <w:r>
              <w:rPr>
                <w:rFonts w:hint="eastAsia" w:ascii="宋体" w:cs="宋体"/>
                <w:i w:val="0"/>
                <w:color w:val="000000"/>
                <w:kern w:val="0"/>
                <w:sz w:val="18"/>
                <w:szCs w:val="18"/>
                <w:u w:val="none"/>
                <w:lang w:val="en-US" w:eastAsia="zh-CN"/>
              </w:rPr>
              <w:t>4</w:t>
            </w:r>
          </w:p>
        </w:tc>
      </w:tr>
      <w:tr w14:paraId="7937C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A9E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项目资金</w:t>
            </w:r>
          </w:p>
          <w:p w14:paraId="61CD61E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3DBB">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1595">
            <w:pPr>
              <w:keepNext w:val="0"/>
              <w:keepLines w:val="0"/>
              <w:pageBreakBefore w:val="0"/>
              <w:widowControl w:val="0"/>
              <w:tabs>
                <w:tab w:val="left" w:pos="617"/>
              </w:tabs>
              <w:kinsoku/>
              <w:wordWrap/>
              <w:overflowPunct/>
              <w:topLinePunct w:val="0"/>
              <w:autoSpaceDE/>
              <w:autoSpaceDN/>
              <w:bidi w:val="0"/>
              <w:adjustRightInd/>
              <w:snapToGrid/>
              <w:spacing w:line="300" w:lineRule="exact"/>
              <w:ind w:left="0"/>
              <w:jc w:val="left"/>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70</w:t>
            </w:r>
          </w:p>
        </w:tc>
      </w:tr>
      <w:tr w14:paraId="23EB6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FEEA"/>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0468">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w:t>
            </w:r>
            <w:r>
              <w:rPr>
                <w:rFonts w:hint="eastAsia" w:ascii="宋体" w:eastAsia="宋体" w:cs="宋体"/>
                <w:i w:val="0"/>
                <w:color w:val="000000"/>
                <w:kern w:val="0"/>
                <w:sz w:val="24"/>
                <w:szCs w:val="24"/>
                <w:u w:val="none"/>
                <w:lang w:val="en-US" w:eastAsia="zh-CN"/>
              </w:rPr>
              <w:t xml:space="preserve"> </w:t>
            </w:r>
            <w:r>
              <w:rPr>
                <w:rFonts w:ascii="宋体" w:eastAsia="宋体" w:cs="宋体"/>
                <w:i w:val="0"/>
                <w:color w:val="000000"/>
                <w:kern w:val="0"/>
                <w:sz w:val="24"/>
                <w:szCs w:val="24"/>
                <w:u w:val="none"/>
                <w:lang w:val="en-US" w:eastAsia="zh-CN"/>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DD9F">
            <w:pPr>
              <w:keepNext w:val="0"/>
              <w:keepLines w:val="0"/>
              <w:pageBreakBefore w:val="0"/>
              <w:widowControl w:val="0"/>
              <w:kinsoku/>
              <w:wordWrap/>
              <w:overflowPunct/>
              <w:topLinePunct w:val="0"/>
              <w:autoSpaceDE/>
              <w:autoSpaceDN/>
              <w:bidi w:val="0"/>
              <w:adjustRightInd/>
              <w:snapToGrid/>
              <w:spacing w:line="300" w:lineRule="exact"/>
              <w:ind w:left="0"/>
              <w:jc w:val="right"/>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70</w:t>
            </w:r>
          </w:p>
        </w:tc>
      </w:tr>
      <w:tr w14:paraId="640C1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7A0F"/>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B445">
            <w:pPr>
              <w:keepNext w:val="0"/>
              <w:keepLines w:val="0"/>
              <w:pageBreakBefore w:val="0"/>
              <w:widowControl/>
              <w:suppressLineNumbers w:val="0"/>
              <w:kinsoku/>
              <w:wordWrap/>
              <w:overflowPunct/>
              <w:topLinePunct w:val="0"/>
              <w:autoSpaceDE/>
              <w:autoSpaceDN/>
              <w:bidi w:val="0"/>
              <w:adjustRightInd/>
              <w:snapToGrid/>
              <w:spacing w:line="300" w:lineRule="exact"/>
              <w:ind w:left="0"/>
              <w:jc w:val="left"/>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CD12A">
            <w:pPr>
              <w:keepNext w:val="0"/>
              <w:keepLines w:val="0"/>
              <w:pageBreakBefore w:val="0"/>
              <w:widowControl w:val="0"/>
              <w:kinsoku/>
              <w:wordWrap/>
              <w:overflowPunct/>
              <w:topLinePunct w:val="0"/>
              <w:autoSpaceDE/>
              <w:autoSpaceDN/>
              <w:bidi w:val="0"/>
              <w:adjustRightInd/>
              <w:snapToGrid/>
              <w:spacing w:line="300" w:lineRule="exact"/>
              <w:ind w:left="0"/>
              <w:jc w:val="right"/>
              <w:rPr>
                <w:rFonts w:hint="eastAsia" w:ascii="宋体" w:eastAsia="宋体" w:cs="宋体"/>
                <w:i w:val="0"/>
                <w:color w:val="000000"/>
                <w:sz w:val="24"/>
                <w:szCs w:val="24"/>
                <w:u w:val="none"/>
              </w:rPr>
            </w:pPr>
          </w:p>
        </w:tc>
      </w:tr>
      <w:tr w14:paraId="41FB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D7E6">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623A">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年度目标</w:t>
            </w:r>
          </w:p>
        </w:tc>
      </w:tr>
      <w:tr w14:paraId="4B3B5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A779"/>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257A">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为保障全乡牧民群众定居点不受山洪冲洗，我乡实施了河堤建设，但因气候条件恶劣，河床下沉，山洪冲洗等因素，导致河堤严重冲毁，为保障河道沿途以及定居点牧民群众生命财产安全，我乡对河堤进行了维修加固等，群众生命财产安全得到了保障。</w:t>
            </w:r>
          </w:p>
        </w:tc>
      </w:tr>
      <w:tr w14:paraId="0F3F1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nil"/>
            </w:tcBorders>
            <w:shd w:val="clear" w:color="auto" w:fill="auto"/>
            <w:noWrap/>
            <w:vAlign w:val="center"/>
          </w:tcPr>
          <w:p w14:paraId="49F26889">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F41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EBB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A73C">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925F">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0900">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0898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793C">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DBD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实际完成指标值</w:t>
            </w:r>
          </w:p>
        </w:tc>
      </w:tr>
      <w:tr w14:paraId="54D4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F9A3016"/>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A97D">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F888">
            <w:pPr>
              <w:jc w:val="center"/>
              <w:rPr>
                <w:rFonts w:ascii="宋体" w:eastAsia="宋体" w:cs="宋体"/>
                <w:i w:val="0"/>
                <w:color w:val="000000"/>
                <w:sz w:val="24"/>
                <w:szCs w:val="24"/>
                <w:u w:val="none"/>
              </w:rPr>
            </w:pPr>
            <w:r>
              <w:rPr>
                <w:rFonts w:hint="eastAsia" w:ascii="等线" w:eastAsia="等线"/>
                <w:color w:val="000000"/>
                <w:sz w:val="18"/>
                <w:szCs w:val="18"/>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E798">
            <w:pPr>
              <w:jc w:val="center"/>
              <w:rPr>
                <w:rFonts w:hint="eastAsia" w:ascii="等线" w:hAnsi="宋体" w:eastAsia="等线" w:cs="宋体"/>
                <w:color w:val="000000"/>
                <w:kern w:val="2"/>
                <w:sz w:val="18"/>
                <w:szCs w:val="18"/>
                <w:lang w:val="en-US" w:eastAsia="zh-CN" w:bidi="ar-SA"/>
              </w:rPr>
            </w:pPr>
            <w:r>
              <w:rPr>
                <w:rFonts w:hint="eastAsia" w:ascii="等线" w:eastAsia="等线"/>
                <w:color w:val="000000"/>
                <w:sz w:val="18"/>
                <w:szCs w:val="18"/>
              </w:rPr>
              <w:t>项目验收合格率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0B9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cs="宋体"/>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D06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default"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932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2481">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2A90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4F54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71524BD3"/>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8523"/>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07B1"/>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4755">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27F5">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25DC">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9490">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73BB">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038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9FC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5578931"/>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FB9C"/>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B211"/>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5583">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5964">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BE7C">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85CC">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4E40">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630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2B450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9A74D0A"/>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CD60"/>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779E"/>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4B97">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20B7">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7E07">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70194">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AF65">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168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4730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3AE0497F"/>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B107"/>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7AE3">
            <w:pPr>
              <w:jc w:val="center"/>
              <w:rPr>
                <w:rFonts w:ascii="宋体" w:eastAsia="宋体" w:cs="宋体"/>
                <w:i w:val="0"/>
                <w:color w:val="000000"/>
                <w:sz w:val="24"/>
                <w:szCs w:val="24"/>
                <w:u w:val="none"/>
              </w:rPr>
            </w:pPr>
            <w:r>
              <w:rPr>
                <w:rFonts w:hint="eastAsia" w:ascii="等线" w:eastAsia="等线"/>
                <w:color w:val="000000"/>
                <w:sz w:val="18"/>
                <w:szCs w:val="18"/>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A001">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等线" w:eastAsia="等线"/>
                <w:color w:val="000000"/>
                <w:sz w:val="18"/>
                <w:szCs w:val="18"/>
              </w:rPr>
              <w:t>按约定资金按时拨付率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BFE8">
            <w:pPr>
              <w:keepNext w:val="0"/>
              <w:keepLines w:val="0"/>
              <w:pageBreakBefore w:val="0"/>
              <w:widowControl w:val="0"/>
              <w:kinsoku/>
              <w:wordWrap/>
              <w:overflowPunct/>
              <w:topLinePunct w:val="0"/>
              <w:autoSpaceDE/>
              <w:autoSpaceDN/>
              <w:bidi w:val="0"/>
              <w:adjustRightInd/>
              <w:snapToGrid/>
              <w:spacing w:line="300" w:lineRule="exact"/>
              <w:ind w:left="0" w:leftChars="0"/>
              <w:jc w:val="center"/>
              <w:rPr>
                <w:rFonts w:hint="eastAsia" w:ascii="宋体" w:eastAsia="宋体" w:cs="宋体"/>
                <w:i w:val="0"/>
                <w:color w:val="000000"/>
                <w:sz w:val="24"/>
                <w:szCs w:val="24"/>
                <w:u w:val="none"/>
              </w:rPr>
            </w:pPr>
            <w:r>
              <w:rPr>
                <w:rFonts w:hint="eastAsia" w:ascii="宋体" w:cs="宋体"/>
                <w:i w:val="0"/>
                <w:color w:val="000000"/>
                <w:sz w:val="24"/>
                <w:szCs w:val="24"/>
                <w:u w:val="none"/>
                <w:lang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EAA2">
            <w:pPr>
              <w:keepNext w:val="0"/>
              <w:keepLines w:val="0"/>
              <w:pageBreakBefore w:val="0"/>
              <w:widowControl w:val="0"/>
              <w:kinsoku/>
              <w:wordWrap/>
              <w:overflowPunct/>
              <w:topLinePunct w:val="0"/>
              <w:autoSpaceDE/>
              <w:autoSpaceDN/>
              <w:bidi w:val="0"/>
              <w:adjustRightInd/>
              <w:snapToGrid/>
              <w:spacing w:line="300" w:lineRule="exact"/>
              <w:ind w:left="0" w:leftChars="0"/>
              <w:jc w:val="center"/>
              <w:rPr>
                <w:rFonts w:ascii="宋体" w:eastAsia="宋体" w:cs="宋体"/>
                <w:i w:val="0"/>
                <w:color w:val="000000"/>
                <w:sz w:val="24"/>
                <w:szCs w:val="24"/>
                <w:u w:val="none"/>
                <w:lang w:val="en-US" w:eastAsia="zh-CN"/>
              </w:rPr>
            </w:pPr>
            <w:r>
              <w:rPr>
                <w:rFonts w:hint="eastAsia" w:ascii="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F0CD">
            <w:pPr>
              <w:keepNext w:val="0"/>
              <w:keepLines w:val="0"/>
              <w:pageBreakBefore w:val="0"/>
              <w:widowControl w:val="0"/>
              <w:kinsoku/>
              <w:wordWrap/>
              <w:overflowPunct/>
              <w:topLinePunct w:val="0"/>
              <w:autoSpaceDE/>
              <w:autoSpaceDN/>
              <w:bidi w:val="0"/>
              <w:adjustRightInd/>
              <w:snapToGrid/>
              <w:spacing w:line="300" w:lineRule="exact"/>
              <w:ind w:left="0" w:leftChars="0"/>
              <w:jc w:val="center"/>
              <w:rPr>
                <w:rFonts w:hint="eastAsia" w:ascii="宋体" w:eastAsia="宋体" w:cs="宋体"/>
                <w:i w:val="0"/>
                <w:color w:val="000000"/>
                <w:sz w:val="24"/>
                <w:szCs w:val="24"/>
                <w:u w:val="none"/>
              </w:rPr>
            </w:pPr>
            <w:r>
              <w:rPr>
                <w:rFonts w:hint="eastAsia" w:ascii="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7ADE">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rPr>
            </w:pPr>
            <w:r>
              <w:rPr>
                <w:rFonts w:hint="eastAsia" w:asci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483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14A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5EDDD5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5CB1"/>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9B61"/>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6738">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D41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A4B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F5E8">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F9A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7B4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2D2A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74CEA0DF"/>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547D"/>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7179">
            <w:pPr>
              <w:jc w:val="center"/>
              <w:rPr>
                <w:rFonts w:ascii="宋体" w:eastAsia="宋体" w:cs="宋体"/>
                <w:i w:val="0"/>
                <w:color w:val="000000"/>
                <w:sz w:val="24"/>
                <w:szCs w:val="24"/>
                <w:u w:val="none"/>
              </w:rPr>
            </w:pPr>
            <w:r>
              <w:rPr>
                <w:rFonts w:hint="eastAsia" w:ascii="等线" w:eastAsia="等线"/>
                <w:color w:val="000000"/>
                <w:sz w:val="18"/>
                <w:szCs w:val="18"/>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C677">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等线" w:eastAsia="等线"/>
                <w:color w:val="000000"/>
                <w:sz w:val="18"/>
                <w:szCs w:val="18"/>
              </w:rPr>
              <w:t>墙趾宽*高为0.5*0.5m</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C61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6AC4">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等线" w:eastAsia="等线"/>
                <w:color w:val="000000"/>
                <w:sz w:val="18"/>
                <w:szCs w:val="18"/>
              </w:rPr>
              <w:t>0.5*0.5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9DD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hint="eastAsia" w:ascii="宋体" w:cs="宋体"/>
                <w:i w:val="0"/>
                <w:color w:val="000000"/>
                <w:sz w:val="24"/>
                <w:szCs w:val="24"/>
                <w:u w:val="none"/>
                <w:lang w:val="en-US" w:eastAsia="zh-CN"/>
              </w:rPr>
              <w:t>m</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DC22">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E62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152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F6693C9"/>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D02B"/>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1F73"/>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51BB">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8A0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CE4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6C7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A3B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ECA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234E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142DA8BD"/>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6E40"/>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915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1F23">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24A4">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E68E">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3F46">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A49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4EB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96F6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CCA3A17"/>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EBA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47AE">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经济</w:t>
            </w:r>
            <w:r>
              <w:rPr>
                <w:rFonts w:ascii="宋体" w:eastAsia="宋体" w:cs="宋体"/>
                <w:i w:val="0"/>
                <w:color w:val="000000"/>
                <w:kern w:val="0"/>
                <w:sz w:val="24"/>
                <w:szCs w:val="24"/>
                <w:u w:val="none"/>
                <w:lang w:val="en-US" w:eastAsia="zh-CN"/>
              </w:rPr>
              <w:t>效益</w:t>
            </w:r>
          </w:p>
          <w:p w14:paraId="4DC27837">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FBFE">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sz w:val="24"/>
                <w:szCs w:val="24"/>
                <w:u w:val="none"/>
              </w:rPr>
              <w:t>保障群众生命财产安全</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D15F">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7F49">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3ED8">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eastAsia="zh-CN"/>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7DE0">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39D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3762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00D1A2F9"/>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2765"/>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FD73"/>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0569">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64E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A23F">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D7D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450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ED7A">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77B02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DE37DF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A683"/>
        </w:tc>
        <w:tc>
          <w:tcPr>
            <w:tcW w:w="1250" w:type="dxa"/>
            <w:vMerge w:val="restart"/>
            <w:tcBorders>
              <w:top w:val="single" w:color="000000" w:sz="4" w:space="0"/>
              <w:left w:val="single" w:color="000000" w:sz="4" w:space="0"/>
              <w:bottom w:val="nil"/>
              <w:right w:val="single" w:color="000000" w:sz="4" w:space="0"/>
            </w:tcBorders>
            <w:shd w:val="clear" w:color="auto" w:fill="auto"/>
            <w:noWrap/>
            <w:vAlign w:val="center"/>
          </w:tcPr>
          <w:p w14:paraId="5CA19104">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社会效益</w:t>
            </w:r>
          </w:p>
          <w:p w14:paraId="7DAD6E6C">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DAC2">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sz w:val="24"/>
                <w:szCs w:val="24"/>
                <w:u w:val="none"/>
              </w:rPr>
              <w:t>改善牧民群众生产生活条件</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DC98">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F738">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975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eastAsia="zh-CN"/>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DA96">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C1D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06D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285DCA2"/>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2B2EE"/>
        </w:tc>
        <w:tc>
          <w:tcPr>
            <w:tcW w:w="1250"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578E9C5"/>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4EFD">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EFF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D4E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E9B5">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049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2E2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6619A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7F17B08B"/>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BD73"/>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B3C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DB58">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FC0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DAF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BB7D">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7CA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3930">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12C6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7EEB2498"/>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0BC9BA5E">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满意度</w:t>
            </w:r>
          </w:p>
          <w:p w14:paraId="4A3A5253">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250" w:type="dxa"/>
            <w:tcBorders>
              <w:top w:val="single" w:color="000000" w:sz="4" w:space="0"/>
              <w:left w:val="single" w:color="000000" w:sz="4" w:space="0"/>
              <w:bottom w:val="nil"/>
              <w:right w:val="single" w:color="000000" w:sz="4" w:space="0"/>
            </w:tcBorders>
            <w:shd w:val="clear" w:color="auto" w:fill="auto"/>
            <w:noWrap/>
            <w:vAlign w:val="center"/>
          </w:tcPr>
          <w:p w14:paraId="6FCD537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服务对象</w:t>
            </w:r>
          </w:p>
          <w:p w14:paraId="2A75883B">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30BC">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r>
              <w:rPr>
                <w:rFonts w:hint="eastAsia" w:ascii="宋体" w:eastAsia="宋体" w:cs="宋体"/>
                <w:i w:val="0"/>
                <w:color w:val="000000"/>
                <w:kern w:val="0"/>
                <w:sz w:val="18"/>
                <w:szCs w:val="18"/>
                <w:u w:val="none"/>
                <w:lang w:val="en-US"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EDC4B">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r>
              <w:rPr>
                <w:rFonts w:ascii="宋体" w:eastAsia="宋体" w:cs="宋体"/>
                <w:i w:val="0"/>
                <w:color w:val="000000"/>
                <w:kern w:val="0"/>
                <w:sz w:val="18"/>
                <w:szCs w:val="18"/>
                <w:u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A1D1">
            <w:pPr>
              <w:keepNext w:val="0"/>
              <w:keepLines w:val="0"/>
              <w:pageBreakBefore w:val="0"/>
              <w:widowControl w:val="0"/>
              <w:kinsoku/>
              <w:wordWrap/>
              <w:overflowPunct/>
              <w:topLinePunct w:val="0"/>
              <w:autoSpaceDE/>
              <w:autoSpaceDN/>
              <w:bidi w:val="0"/>
              <w:adjustRightInd/>
              <w:snapToGrid/>
              <w:spacing w:line="300" w:lineRule="exact"/>
              <w:ind w:left="0"/>
              <w:jc w:val="center"/>
              <w:rPr>
                <w:rFonts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D91C">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B6E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lang w:val="en-US" w:eastAsia="zh-CN"/>
              </w:rPr>
            </w:pPr>
            <w:r>
              <w:rPr>
                <w:rFonts w:hint="eastAsia" w:ascii="宋体" w:eastAsia="宋体" w:cs="宋体"/>
                <w:i w:val="0"/>
                <w:color w:val="000000"/>
                <w:sz w:val="24"/>
                <w:szCs w:val="24"/>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4FE9">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6A0C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9502B77"/>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7DF2">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6DF8">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kern w:val="0"/>
                <w:sz w:val="24"/>
                <w:szCs w:val="24"/>
                <w:u w:val="none"/>
                <w:lang w:val="en-US" w:eastAsia="zh-CN"/>
              </w:rPr>
            </w:pPr>
            <w:r>
              <w:rPr>
                <w:rFonts w:ascii="宋体" w:eastAsia="宋体" w:cs="宋体"/>
                <w:i w:val="0"/>
                <w:color w:val="000000"/>
                <w:kern w:val="0"/>
                <w:sz w:val="24"/>
                <w:szCs w:val="24"/>
                <w:u w:val="none"/>
                <w:lang w:val="en-US" w:eastAsia="zh-CN"/>
              </w:rPr>
              <w:t>经济成本</w:t>
            </w:r>
          </w:p>
          <w:p w14:paraId="27CCFFDC">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ascii="宋体" w:eastAsia="宋体" w:cs="宋体"/>
                <w:i w:val="0"/>
                <w:color w:val="000000"/>
                <w:sz w:val="24"/>
                <w:szCs w:val="24"/>
                <w:u w:val="none"/>
              </w:rPr>
            </w:pPr>
            <w:r>
              <w:rPr>
                <w:rFonts w:ascii="宋体" w:eastAsia="宋体" w:cs="宋体"/>
                <w:i w:val="0"/>
                <w:color w:val="000000"/>
                <w:kern w:val="0"/>
                <w:sz w:val="24"/>
                <w:szCs w:val="24"/>
                <w:u w:val="none"/>
                <w:lang w:val="en-US" w:eastAsia="zh-CN"/>
              </w:rPr>
              <w:t>指标</w:t>
            </w:r>
          </w:p>
        </w:tc>
        <w:tc>
          <w:tcPr>
            <w:tcW w:w="1312" w:type="dxa"/>
            <w:tcBorders>
              <w:top w:val="single" w:color="000000" w:sz="4" w:space="0"/>
              <w:left w:val="nil"/>
              <w:bottom w:val="single" w:color="000000" w:sz="4" w:space="0"/>
              <w:right w:val="single" w:color="000000" w:sz="4" w:space="0"/>
            </w:tcBorders>
            <w:shd w:val="clear" w:color="auto" w:fill="auto"/>
            <w:noWrap/>
            <w:vAlign w:val="center"/>
          </w:tcPr>
          <w:p w14:paraId="32313E7E">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97F5">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eastAsia="zh-CN"/>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0676">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760E">
            <w:pPr>
              <w:keepNext w:val="0"/>
              <w:keepLines w:val="0"/>
              <w:pageBreakBefore w:val="0"/>
              <w:widowControl w:val="0"/>
              <w:kinsoku/>
              <w:wordWrap/>
              <w:overflowPunct/>
              <w:topLinePunct w:val="0"/>
              <w:autoSpaceDE/>
              <w:autoSpaceDN/>
              <w:bidi w:val="0"/>
              <w:adjustRightInd/>
              <w:snapToGrid/>
              <w:spacing w:line="300" w:lineRule="exact"/>
              <w:ind w:left="0"/>
              <w:jc w:val="both"/>
              <w:rPr>
                <w:rFonts w:hint="eastAsia" w:ascii="宋体" w:eastAsia="宋体" w:cs="宋体"/>
                <w:i w:val="0"/>
                <w:color w:val="000000"/>
                <w:sz w:val="24"/>
                <w:szCs w:val="24"/>
                <w:u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4611">
            <w:pPr>
              <w:keepNext w:val="0"/>
              <w:keepLines w:val="0"/>
              <w:pageBreakBefore w:val="0"/>
              <w:widowControl w:val="0"/>
              <w:kinsoku/>
              <w:wordWrap/>
              <w:overflowPunct/>
              <w:topLinePunct w:val="0"/>
              <w:autoSpaceDE/>
              <w:autoSpaceDN/>
              <w:bidi w:val="0"/>
              <w:adjustRightInd/>
              <w:snapToGrid/>
              <w:spacing w:line="300" w:lineRule="exact"/>
              <w:ind w:left="0"/>
              <w:jc w:val="both"/>
              <w:rPr>
                <w:rFonts w:ascii="宋体" w:eastAsia="宋体" w:cs="宋体"/>
                <w:i w:val="0"/>
                <w:color w:val="000000"/>
                <w:sz w:val="24"/>
                <w:szCs w:val="24"/>
                <w:u w:val="none"/>
                <w:lang w:val="en-US" w:eastAsia="zh-CN"/>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BF4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r w14:paraId="53D41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nil"/>
            </w:tcBorders>
            <w:shd w:val="clear" w:color="auto" w:fill="auto"/>
            <w:noWrap/>
            <w:vAlign w:val="center"/>
          </w:tcPr>
          <w:p w14:paraId="6B9A9519"/>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A8EA"/>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B3E1">
            <w:pPr>
              <w:keepNext w:val="0"/>
              <w:keepLines w:val="0"/>
              <w:pageBreakBefore w:val="0"/>
              <w:widowControl/>
              <w:suppressLineNumbers w:val="0"/>
              <w:kinsoku/>
              <w:wordWrap/>
              <w:overflowPunct/>
              <w:topLinePunct w:val="0"/>
              <w:autoSpaceDE/>
              <w:autoSpaceDN/>
              <w:bidi w:val="0"/>
              <w:adjustRightInd/>
              <w:snapToGrid/>
              <w:spacing w:line="300" w:lineRule="exact"/>
              <w:ind w:left="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1312" w:type="dxa"/>
            <w:tcBorders>
              <w:top w:val="single" w:color="000000" w:sz="4" w:space="0"/>
              <w:left w:val="nil"/>
              <w:bottom w:val="single" w:color="000000" w:sz="4" w:space="0"/>
              <w:right w:val="single" w:color="000000" w:sz="4" w:space="0"/>
            </w:tcBorders>
            <w:shd w:val="clear" w:color="auto" w:fill="auto"/>
            <w:noWrap/>
            <w:vAlign w:val="center"/>
          </w:tcPr>
          <w:p w14:paraId="317C1F4F">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宋体" w:eastAsia="宋体" w:cs="宋体"/>
                <w:i w:val="0"/>
                <w:color w:val="000000"/>
                <w:sz w:val="24"/>
                <w:szCs w:val="24"/>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AAE2">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10B7">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4F4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88A1">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1F13">
            <w:pPr>
              <w:keepNext w:val="0"/>
              <w:keepLines w:val="0"/>
              <w:pageBreakBefore w:val="0"/>
              <w:widowControl w:val="0"/>
              <w:kinsoku/>
              <w:wordWrap/>
              <w:overflowPunct/>
              <w:topLinePunct w:val="0"/>
              <w:autoSpaceDE/>
              <w:autoSpaceDN/>
              <w:bidi w:val="0"/>
              <w:adjustRightInd/>
              <w:snapToGrid/>
              <w:spacing w:line="300" w:lineRule="exact"/>
              <w:ind w:left="0"/>
              <w:jc w:val="center"/>
              <w:rPr>
                <w:rFonts w:hint="eastAsia" w:ascii="宋体" w:eastAsia="宋体" w:cs="宋体"/>
                <w:i w:val="0"/>
                <w:color w:val="000000"/>
                <w:sz w:val="24"/>
                <w:szCs w:val="24"/>
                <w:u w:val="none"/>
              </w:rPr>
            </w:pPr>
          </w:p>
        </w:tc>
      </w:tr>
    </w:tbl>
    <w:p w14:paraId="34288797">
      <w:pPr>
        <w:pStyle w:val="9"/>
        <w:keepNext w:val="0"/>
        <w:keepLines w:val="0"/>
        <w:pageBreakBefore w:val="0"/>
        <w:widowControl w:val="0"/>
        <w:kinsoku/>
        <w:wordWrap/>
        <w:overflowPunct/>
        <w:topLinePunct w:val="0"/>
        <w:autoSpaceDE/>
        <w:autoSpaceDN/>
        <w:bidi w:val="0"/>
        <w:spacing w:after="0" w:line="578" w:lineRule="exact"/>
        <w:ind w:left="0" w:leftChars="0"/>
        <w:rPr>
          <w:rFonts w:ascii="黑体" w:eastAsia="黑体" w:cs="黑体"/>
          <w:sz w:val="24"/>
          <w:szCs w:val="24"/>
          <w:highlight w:val="none"/>
          <w:lang w:val="en-US" w:eastAsia="zh-CN"/>
        </w:rPr>
      </w:pPr>
    </w:p>
    <w:p w14:paraId="2B8DA4FE">
      <w:pPr>
        <w:pStyle w:val="2"/>
        <w:ind w:left="0" w:leftChars="0" w:firstLine="0" w:firstLineChars="0"/>
      </w:pPr>
    </w:p>
    <w:p w14:paraId="60EC2274">
      <w:pPr>
        <w:ind w:firstLine="640" w:firstLineChars="200"/>
        <w:rPr>
          <w:rFonts w:eastAsia="仿宋_GB2312"/>
          <w:sz w:val="32"/>
          <w:szCs w:val="32"/>
          <w:lang w:val="zh-CN"/>
        </w:rPr>
      </w:pPr>
    </w:p>
    <w:p w14:paraId="513D1EB4">
      <w:pPr>
        <w:ind w:firstLine="640" w:firstLineChars="200"/>
        <w:rPr>
          <w:rFonts w:ascii="宋体"/>
          <w:sz w:val="32"/>
          <w:szCs w:val="32"/>
          <w:lang w:val="zh-CN"/>
        </w:rPr>
      </w:pPr>
    </w:p>
    <w:p w14:paraId="7E6A4525">
      <w:pPr>
        <w:ind w:firstLine="640" w:firstLineChars="200"/>
        <w:rPr>
          <w:rFonts w:ascii="宋体"/>
          <w:sz w:val="32"/>
          <w:szCs w:val="32"/>
          <w:lang w:val="zh-CN"/>
        </w:rPr>
      </w:pPr>
    </w:p>
    <w:p w14:paraId="7F7A8203">
      <w:pPr>
        <w:ind w:firstLine="640" w:firstLineChars="200"/>
        <w:rPr>
          <w:rFonts w:ascii="宋体"/>
          <w:sz w:val="32"/>
          <w:szCs w:val="32"/>
          <w:lang w:val="zh-CN"/>
        </w:rPr>
      </w:pPr>
    </w:p>
    <w:p w14:paraId="001F335B">
      <w:pPr>
        <w:ind w:firstLine="640" w:firstLineChars="200"/>
        <w:rPr>
          <w:rFonts w:ascii="宋体"/>
          <w:sz w:val="32"/>
          <w:szCs w:val="32"/>
          <w:lang w:val="zh-CN"/>
        </w:rPr>
      </w:pPr>
    </w:p>
    <w:p w14:paraId="76C3A553">
      <w:pPr>
        <w:ind w:firstLine="640" w:firstLineChars="200"/>
        <w:rPr>
          <w:rFonts w:ascii="宋体"/>
          <w:sz w:val="32"/>
          <w:szCs w:val="32"/>
          <w:lang w:val="zh-CN"/>
        </w:rPr>
      </w:pPr>
    </w:p>
    <w:p w14:paraId="1083CE5E">
      <w:pPr>
        <w:ind w:firstLine="640" w:firstLineChars="200"/>
        <w:rPr>
          <w:rFonts w:ascii="宋体"/>
          <w:sz w:val="32"/>
          <w:szCs w:val="32"/>
          <w:lang w:val="zh-CN"/>
        </w:rPr>
      </w:pPr>
    </w:p>
    <w:p w14:paraId="142CB1C9">
      <w:pPr>
        <w:ind w:firstLine="640" w:firstLineChars="200"/>
        <w:rPr>
          <w:rFonts w:ascii="宋体"/>
          <w:sz w:val="32"/>
          <w:szCs w:val="32"/>
          <w:lang w:val="zh-CN"/>
        </w:rPr>
      </w:pPr>
    </w:p>
    <w:p w14:paraId="676105F7">
      <w:pPr>
        <w:ind w:firstLine="640" w:firstLineChars="200"/>
        <w:rPr>
          <w:rFonts w:ascii="宋体"/>
          <w:sz w:val="32"/>
          <w:szCs w:val="32"/>
          <w:lang w:val="zh-CN"/>
        </w:rPr>
      </w:pPr>
    </w:p>
    <w:p w14:paraId="392EE16D">
      <w:pPr>
        <w:ind w:firstLine="640" w:firstLineChars="200"/>
        <w:rPr>
          <w:rFonts w:ascii="宋体"/>
          <w:sz w:val="32"/>
          <w:szCs w:val="32"/>
          <w:lang w:val="zh-CN"/>
        </w:rPr>
      </w:pPr>
    </w:p>
    <w:p w14:paraId="47937BF4">
      <w:pPr>
        <w:ind w:firstLine="640" w:firstLineChars="200"/>
        <w:rPr>
          <w:rFonts w:ascii="宋体"/>
          <w:sz w:val="32"/>
          <w:szCs w:val="32"/>
          <w:lang w:val="zh-CN"/>
        </w:rPr>
      </w:pPr>
    </w:p>
    <w:p w14:paraId="771B8DE5">
      <w:pPr>
        <w:ind w:firstLine="640" w:firstLineChars="200"/>
        <w:rPr>
          <w:rFonts w:ascii="宋体"/>
          <w:sz w:val="32"/>
          <w:szCs w:val="32"/>
          <w:lang w:val="zh-CN"/>
        </w:rPr>
      </w:pPr>
    </w:p>
    <w:p w14:paraId="55FBE0AD">
      <w:pPr>
        <w:ind w:firstLine="640" w:firstLineChars="200"/>
        <w:rPr>
          <w:rFonts w:ascii="宋体"/>
          <w:sz w:val="32"/>
          <w:szCs w:val="32"/>
          <w:lang w:val="zh-CN"/>
        </w:rPr>
      </w:pPr>
    </w:p>
    <w:p w14:paraId="4A7946FB">
      <w:pPr>
        <w:ind w:firstLine="640" w:firstLineChars="200"/>
        <w:rPr>
          <w:rFonts w:ascii="宋体"/>
          <w:sz w:val="32"/>
          <w:szCs w:val="32"/>
          <w:lang w:val="zh-CN"/>
        </w:rPr>
      </w:pPr>
    </w:p>
    <w:p w14:paraId="63554A28">
      <w:pPr>
        <w:ind w:firstLine="640" w:firstLineChars="200"/>
        <w:rPr>
          <w:rFonts w:ascii="宋体"/>
          <w:sz w:val="32"/>
          <w:szCs w:val="32"/>
          <w:lang w:val="zh-CN"/>
        </w:rPr>
      </w:pPr>
    </w:p>
    <w:p w14:paraId="289FA1AA">
      <w:pPr>
        <w:ind w:firstLine="640" w:firstLineChars="200"/>
        <w:rPr>
          <w:rFonts w:ascii="宋体"/>
          <w:sz w:val="32"/>
          <w:szCs w:val="32"/>
          <w:lang w:val="zh-CN"/>
        </w:rPr>
      </w:pPr>
    </w:p>
    <w:p w14:paraId="5BE3D8BF">
      <w:pPr>
        <w:ind w:firstLine="640" w:firstLineChars="200"/>
        <w:rPr>
          <w:rFonts w:ascii="宋体"/>
          <w:sz w:val="32"/>
          <w:szCs w:val="32"/>
          <w:lang w:val="zh-CN"/>
        </w:rPr>
      </w:pPr>
    </w:p>
    <w:p w14:paraId="3252226E">
      <w:pPr>
        <w:ind w:firstLine="640" w:firstLineChars="200"/>
        <w:rPr>
          <w:rFonts w:ascii="宋体"/>
          <w:sz w:val="32"/>
          <w:szCs w:val="32"/>
          <w:lang w:val="zh-CN"/>
        </w:rPr>
      </w:pPr>
    </w:p>
    <w:p w14:paraId="08B20500">
      <w:pPr>
        <w:ind w:firstLine="640" w:firstLineChars="200"/>
        <w:outlineLvl w:val="0"/>
      </w:pPr>
      <w:bookmarkStart w:id="110" w:name="_Toc21538"/>
      <w:bookmarkStart w:id="111" w:name="_Toc6338"/>
      <w:r>
        <w:rPr>
          <w:rFonts w:hint="eastAsia" w:ascii="宋体"/>
          <w:sz w:val="32"/>
          <w:szCs w:val="32"/>
          <w:lang w:val="zh-CN"/>
        </w:rPr>
        <w:t>附表：</w:t>
      </w:r>
      <w:r>
        <w:rPr>
          <w:rFonts w:hint="eastAsia" w:ascii="宋体"/>
          <w:sz w:val="32"/>
          <w:szCs w:val="32"/>
        </w:rPr>
        <w:t>部门</w:t>
      </w:r>
      <w:r>
        <w:rPr>
          <w:rFonts w:hint="eastAsia" w:ascii="宋体"/>
          <w:sz w:val="32"/>
          <w:szCs w:val="32"/>
          <w:lang w:val="zh-CN"/>
        </w:rPr>
        <w:t>预算项目支出绩效自评表（2024年度）</w:t>
      </w:r>
      <w:bookmarkEnd w:id="110"/>
      <w:bookmarkEnd w:id="111"/>
    </w:p>
    <w:p w14:paraId="0693CD4E">
      <w:pPr>
        <w:widowControl/>
        <w:jc w:val="left"/>
        <w:rPr>
          <w:rFonts w:ascii="宋体" w:hAnsi="宋体" w:cs="宋体"/>
          <w:kern w:val="0"/>
          <w:sz w:val="18"/>
          <w:szCs w:val="18"/>
        </w:rPr>
        <w:sectPr>
          <w:footerReference r:id="rId6" w:type="default"/>
          <w:pgSz w:w="11906" w:h="16838"/>
          <w:pgMar w:top="1440" w:right="1800" w:bottom="1440" w:left="1800" w:header="851" w:footer="992" w:gutter="0"/>
          <w:pgNumType w:fmt="decimal" w:start="1"/>
          <w:cols w:space="720" w:num="1"/>
          <w:docGrid w:type="lines" w:linePitch="312" w:charSpace="0"/>
        </w:sectPr>
      </w:pPr>
    </w:p>
    <w:p w14:paraId="6FE22C60">
      <w:pPr>
        <w:pStyle w:val="18"/>
        <w:widowControl/>
        <w:rPr>
          <w:rFonts w:hint="eastAsia" w:ascii="方正小标宋简体" w:eastAsia="方正小标宋简体" w:cs="方正小标宋简体"/>
          <w:kern w:val="2"/>
          <w:sz w:val="44"/>
          <w:szCs w:val="44"/>
        </w:rPr>
      </w:pPr>
    </w:p>
    <w:p w14:paraId="2B2CA3C9">
      <w:pPr>
        <w:spacing w:line="600" w:lineRule="exact"/>
        <w:ind w:firstLine="640"/>
        <w:rPr>
          <w:rFonts w:ascii="黑体" w:eastAsia="黑体"/>
          <w:szCs w:val="32"/>
        </w:rPr>
      </w:pPr>
    </w:p>
    <w:p w14:paraId="60D34132">
      <w:pPr>
        <w:pStyle w:val="4"/>
        <w:ind w:firstLine="883" w:firstLineChars="200"/>
        <w:rPr>
          <w:rFonts w:ascii="黑体" w:eastAsia="黑体"/>
        </w:rPr>
      </w:pPr>
      <w:bookmarkStart w:id="112" w:name="_Toc16335"/>
      <w:bookmarkStart w:id="113" w:name="_Toc5426"/>
      <w:r>
        <w:rPr>
          <w:rFonts w:hint="eastAsia" w:ascii="黑体" w:eastAsia="黑体"/>
        </w:rPr>
        <w:t>第五部分 附表</w:t>
      </w:r>
      <w:bookmarkEnd w:id="112"/>
      <w:bookmarkEnd w:id="113"/>
    </w:p>
    <w:p w14:paraId="536654CC">
      <w:pPr>
        <w:rPr>
          <w:rFonts w:ascii="仿宋" w:eastAsia="仿宋"/>
          <w:sz w:val="32"/>
          <w:szCs w:val="32"/>
        </w:rPr>
      </w:pPr>
      <w:r>
        <w:rPr>
          <w:rFonts w:hint="eastAsia" w:ascii="仿宋" w:eastAsia="仿宋"/>
          <w:sz w:val="32"/>
          <w:szCs w:val="32"/>
        </w:rPr>
        <w:t>一、收入支出决算总表</w:t>
      </w:r>
    </w:p>
    <w:p w14:paraId="2F863C7B">
      <w:pPr>
        <w:rPr>
          <w:rFonts w:ascii="仿宋" w:eastAsia="仿宋"/>
          <w:sz w:val="32"/>
          <w:szCs w:val="32"/>
        </w:rPr>
      </w:pPr>
      <w:r>
        <w:rPr>
          <w:rFonts w:hint="eastAsia" w:ascii="仿宋" w:eastAsia="仿宋"/>
          <w:sz w:val="32"/>
          <w:szCs w:val="32"/>
        </w:rPr>
        <w:t>二、收入决算表</w:t>
      </w:r>
    </w:p>
    <w:p w14:paraId="2D177F8E">
      <w:pPr>
        <w:rPr>
          <w:rFonts w:ascii="仿宋" w:eastAsia="仿宋"/>
          <w:sz w:val="32"/>
          <w:szCs w:val="32"/>
        </w:rPr>
      </w:pPr>
      <w:r>
        <w:rPr>
          <w:rFonts w:hint="eastAsia" w:ascii="仿宋" w:eastAsia="仿宋"/>
          <w:sz w:val="32"/>
          <w:szCs w:val="32"/>
        </w:rPr>
        <w:t>三、支出决算表</w:t>
      </w:r>
    </w:p>
    <w:p w14:paraId="52C6CBC3">
      <w:pPr>
        <w:rPr>
          <w:rFonts w:ascii="仿宋" w:eastAsia="仿宋"/>
          <w:sz w:val="32"/>
          <w:szCs w:val="32"/>
        </w:rPr>
      </w:pPr>
      <w:r>
        <w:rPr>
          <w:rFonts w:hint="eastAsia" w:ascii="仿宋" w:eastAsia="仿宋"/>
          <w:sz w:val="32"/>
          <w:szCs w:val="32"/>
        </w:rPr>
        <w:t>四、财政拨款收入支出决算总表</w:t>
      </w:r>
    </w:p>
    <w:p w14:paraId="633DDB98">
      <w:pPr>
        <w:rPr>
          <w:rFonts w:ascii="仿宋" w:eastAsia="仿宋"/>
          <w:sz w:val="32"/>
          <w:szCs w:val="32"/>
        </w:rPr>
      </w:pPr>
      <w:r>
        <w:rPr>
          <w:rFonts w:hint="eastAsia" w:ascii="仿宋" w:eastAsia="仿宋"/>
          <w:sz w:val="32"/>
          <w:szCs w:val="32"/>
        </w:rPr>
        <w:t>五、财政拨款支出决算明细表</w:t>
      </w:r>
    </w:p>
    <w:p w14:paraId="7725C360">
      <w:pPr>
        <w:rPr>
          <w:rFonts w:ascii="仿宋" w:eastAsia="仿宋"/>
          <w:sz w:val="32"/>
          <w:szCs w:val="32"/>
        </w:rPr>
      </w:pPr>
      <w:r>
        <w:rPr>
          <w:rFonts w:hint="eastAsia" w:ascii="仿宋" w:eastAsia="仿宋"/>
          <w:sz w:val="32"/>
          <w:szCs w:val="32"/>
        </w:rPr>
        <w:t>六、一般公共预算财政拨款支出决算表</w:t>
      </w:r>
    </w:p>
    <w:p w14:paraId="5E2D52FD">
      <w:pPr>
        <w:rPr>
          <w:rFonts w:ascii="仿宋" w:eastAsia="仿宋"/>
          <w:sz w:val="32"/>
          <w:szCs w:val="32"/>
        </w:rPr>
      </w:pPr>
      <w:r>
        <w:rPr>
          <w:rFonts w:hint="eastAsia" w:ascii="仿宋" w:eastAsia="仿宋"/>
          <w:sz w:val="32"/>
          <w:szCs w:val="32"/>
        </w:rPr>
        <w:t>七、一般公共预算财政拨款支出决算明细表</w:t>
      </w:r>
    </w:p>
    <w:p w14:paraId="37EB8EFE">
      <w:pPr>
        <w:rPr>
          <w:rFonts w:ascii="仿宋" w:eastAsia="仿宋"/>
          <w:sz w:val="32"/>
          <w:szCs w:val="32"/>
        </w:rPr>
      </w:pPr>
      <w:r>
        <w:rPr>
          <w:rFonts w:hint="eastAsia" w:ascii="仿宋" w:eastAsia="仿宋"/>
          <w:sz w:val="32"/>
          <w:szCs w:val="32"/>
        </w:rPr>
        <w:t>八、一般公共预算财政拨款基本支出决算表</w:t>
      </w:r>
    </w:p>
    <w:p w14:paraId="51BEC860">
      <w:pPr>
        <w:rPr>
          <w:rFonts w:ascii="仿宋" w:eastAsia="仿宋"/>
          <w:sz w:val="32"/>
          <w:szCs w:val="32"/>
        </w:rPr>
      </w:pPr>
      <w:r>
        <w:rPr>
          <w:rFonts w:hint="eastAsia" w:ascii="仿宋" w:eastAsia="仿宋"/>
          <w:sz w:val="32"/>
          <w:szCs w:val="32"/>
        </w:rPr>
        <w:t>九、一般公共预算财政拨款项目支出决算表</w:t>
      </w:r>
    </w:p>
    <w:p w14:paraId="21EEC532">
      <w:pPr>
        <w:rPr>
          <w:rFonts w:ascii="仿宋" w:eastAsia="仿宋"/>
          <w:sz w:val="32"/>
          <w:szCs w:val="32"/>
        </w:rPr>
      </w:pPr>
      <w:r>
        <w:rPr>
          <w:rFonts w:hint="eastAsia" w:ascii="仿宋" w:eastAsia="仿宋"/>
          <w:sz w:val="32"/>
          <w:szCs w:val="32"/>
        </w:rPr>
        <w:t>十、政府性基金预算财政拨款收入支出决算表</w:t>
      </w:r>
    </w:p>
    <w:p w14:paraId="7B0032DB">
      <w:pPr>
        <w:rPr>
          <w:rFonts w:ascii="仿宋" w:eastAsia="仿宋"/>
          <w:sz w:val="32"/>
          <w:szCs w:val="32"/>
        </w:rPr>
      </w:pPr>
      <w:r>
        <w:rPr>
          <w:rFonts w:hint="eastAsia" w:ascii="仿宋" w:eastAsia="仿宋"/>
          <w:sz w:val="32"/>
          <w:szCs w:val="32"/>
        </w:rPr>
        <w:t>十一、国有资本经营预算财政拨款收入支出决算表</w:t>
      </w:r>
    </w:p>
    <w:p w14:paraId="30914132">
      <w:pPr>
        <w:rPr>
          <w:rFonts w:ascii="仿宋" w:eastAsia="仿宋"/>
          <w:sz w:val="32"/>
          <w:szCs w:val="32"/>
        </w:rPr>
      </w:pPr>
      <w:r>
        <w:rPr>
          <w:rFonts w:hint="eastAsia" w:ascii="仿宋" w:eastAsia="仿宋"/>
          <w:sz w:val="32"/>
          <w:szCs w:val="32"/>
        </w:rPr>
        <w:t>十二、国有资本经营预算财政拨款支出决算表</w:t>
      </w:r>
    </w:p>
    <w:p w14:paraId="095D1A6C">
      <w:pPr>
        <w:rPr>
          <w:rFonts w:ascii="仿宋" w:eastAsia="仿宋"/>
          <w:sz w:val="32"/>
          <w:szCs w:val="32"/>
        </w:rPr>
      </w:pPr>
      <w:r>
        <w:rPr>
          <w:rFonts w:hint="eastAsia" w:ascii="仿宋" w:eastAsia="仿宋"/>
          <w:sz w:val="32"/>
          <w:szCs w:val="32"/>
        </w:rPr>
        <w:t>十三、财政拨款“三公”经费支出决算表</w:t>
      </w:r>
    </w:p>
    <w:p w14:paraId="60D50FB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 w:eastAsia="仿宋"/>
          <w:sz w:val="32"/>
          <w:szCs w:val="32"/>
        </w:rPr>
      </w:pPr>
    </w:p>
    <w:sectPr>
      <w:footerReference r:id="rId9" w:type="first"/>
      <w:headerReference r:id="rId7" w:type="default"/>
      <w:footerReference r:id="rId8" w:type="default"/>
      <w:pgSz w:w="11906" w:h="16838"/>
      <w:pgMar w:top="1440" w:right="1800" w:bottom="1440" w:left="1800" w:header="851" w:footer="992" w:gutter="0"/>
      <w:pgNumType w:start="3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Lucida Sans">
    <w:panose1 w:val="020B0602030504020204"/>
    <w:charset w:val="01"/>
    <w:family w:val="auto"/>
    <w:pitch w:val="default"/>
    <w:sig w:usb0="00000003" w:usb1="00000000" w:usb2="00000000" w:usb3="00000000" w:csb0="20000001" w:csb1="00000000"/>
  </w:font>
  <w:font w:name="AR PL UKai CN">
    <w:altName w:val="Segoe Print"/>
    <w:panose1 w:val="00000000000000000000"/>
    <w:charset w:val="01"/>
    <w:family w:val="auto"/>
    <w:pitch w:val="default"/>
    <w:sig w:usb0="00000000" w:usb1="00000000" w:usb2="00000000" w:usb3="00000000" w:csb0="00000000" w:csb1="00000000"/>
  </w:font>
  <w:font w:name="仿宋_GB2312仿宋_GB2312">
    <w:altName w:val="仿宋"/>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等线">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8C4C7">
    <w:pPr>
      <w:pStyle w:val="13"/>
      <w:jc w:val="center"/>
    </w:pPr>
    <w:r>
      <w:rPr>
        <w:sz w:val="18"/>
      </w:rPr>
      <mc:AlternateContent>
        <mc:Choice Requires="wps">
          <w:drawing>
            <wp:anchor distT="0" distB="0" distL="113665" distR="113665" simplePos="0" relativeHeight="251665408" behindDoc="0" locked="0" layoutInCell="1" allowOverlap="1">
              <wp:simplePos x="0" y="0"/>
              <wp:positionH relativeFrom="margin">
                <wp:align>center</wp:align>
              </wp:positionH>
              <wp:positionV relativeFrom="paragraph">
                <wp:posOffset>0</wp:posOffset>
              </wp:positionV>
              <wp:extent cx="533400" cy="364490"/>
              <wp:effectExtent l="0" t="0" r="0" b="0"/>
              <wp:wrapNone/>
              <wp:docPr id="1" name="文本框 8"/>
              <wp:cNvGraphicFramePr/>
              <a:graphic xmlns:a="http://schemas.openxmlformats.org/drawingml/2006/main">
                <a:graphicData uri="http://schemas.microsoft.com/office/word/2010/wordprocessingShape">
                  <wps:wsp>
                    <wps:cNvSpPr/>
                    <wps:spPr>
                      <a:xfrm>
                        <a:off x="0" y="0"/>
                        <a:ext cx="533400" cy="364711"/>
                      </a:xfrm>
                      <a:prstGeom prst="rect">
                        <a:avLst/>
                      </a:prstGeom>
                      <a:noFill/>
                      <a:ln w="6350" cap="flat" cmpd="sng">
                        <a:noFill/>
                        <a:prstDash val="solid"/>
                        <a:round/>
                      </a:ln>
                    </wps:spPr>
                    <wps:txbx>
                      <w:txbxContent>
                        <w:sdt>
                          <w:sdtPr>
                            <w:id w:val="147482734"/>
                          </w:sdtPr>
                          <w:sdtContent>
                            <w:p w14:paraId="42791E2B">
                              <w:pPr>
                                <w:pStyle w:val="13"/>
                                <w:jc w:val="center"/>
                              </w:pPr>
                              <w:r>
                                <w:fldChar w:fldCharType="begin"/>
                              </w:r>
                              <w:r>
                                <w:instrText xml:space="preserve">PAGE   \* MERGEFORMAT</w:instrText>
                              </w:r>
                              <w:r>
                                <w:fldChar w:fldCharType="separate"/>
                              </w:r>
                              <w:r>
                                <w:rPr>
                                  <w:lang w:val="zh-CN"/>
                                </w:rPr>
                                <w:t>16</w:t>
                              </w:r>
                              <w:r>
                                <w:fldChar w:fldCharType="end"/>
                              </w:r>
                            </w:p>
                          </w:sdtContent>
                        </w:sdt>
                        <w:p w14:paraId="45E719A0">
                          <w:pPr>
                            <w:pStyle w:val="2"/>
                          </w:pP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28.7pt;width:42pt;mso-position-horizontal:center;mso-position-horizontal-relative:margin;mso-wrap-style:none;z-index:251665408;mso-width-relative:page;mso-height-relative:page;" filled="f" stroked="f" coordsize="21600,21600" o:gfxdata="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v43Mk1gAAAAMBAAAPAAAAAAAAAAEAIAAAACIAAABkcnMvZG93&#10;bnJldi54bWxQSwECFAAUAAAACACHTuJAP98HAQICAAD0AwAADgAAAAAAAAABACAAAAAlAQAAZHJz&#10;L2Uyb0RvYy54bWxQSwUGAAAAAAYABgBZAQAAmQUAAAAA&#10;">
              <v:fill on="f" focussize="0,0"/>
              <v:stroke on="f" weight="0.5pt" joinstyle="round"/>
              <v:imagedata o:title=""/>
              <o:lock v:ext="edit" aspectratio="f"/>
              <v:textbox inset="0mm,0mm,0mm,0mm" style="mso-fit-shape-to-text:t;">
                <w:txbxContent>
                  <w:sdt>
                    <w:sdtPr>
                      <w:id w:val="147482734"/>
                    </w:sdtPr>
                    <w:sdtContent>
                      <w:p w14:paraId="42791E2B">
                        <w:pPr>
                          <w:pStyle w:val="13"/>
                          <w:jc w:val="center"/>
                        </w:pPr>
                        <w:r>
                          <w:fldChar w:fldCharType="begin"/>
                        </w:r>
                        <w:r>
                          <w:instrText xml:space="preserve">PAGE   \* MERGEFORMAT</w:instrText>
                        </w:r>
                        <w:r>
                          <w:fldChar w:fldCharType="separate"/>
                        </w:r>
                        <w:r>
                          <w:rPr>
                            <w:lang w:val="zh-CN"/>
                          </w:rPr>
                          <w:t>16</w:t>
                        </w:r>
                        <w:r>
                          <w:fldChar w:fldCharType="end"/>
                        </w:r>
                      </w:p>
                    </w:sdtContent>
                  </w:sdt>
                  <w:p w14:paraId="45E719A0">
                    <w:pPr>
                      <w:pStyle w:val="2"/>
                    </w:pPr>
                  </w:p>
                </w:txbxContent>
              </v:textbox>
            </v:rect>
          </w:pict>
        </mc:Fallback>
      </mc:AlternateContent>
    </w:r>
  </w:p>
  <w:p w14:paraId="6B5DEC8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03C9F">
    <w:pPr>
      <w:pStyle w:val="13"/>
    </w:pPr>
    <w:r>
      <w:rPr>
        <w:sz w:val="18"/>
      </w:rPr>
      <mc:AlternateContent>
        <mc:Choice Requires="wps">
          <w:drawing>
            <wp:anchor distT="0" distB="0" distL="113665" distR="113665" simplePos="0" relativeHeight="251665408" behindDoc="0" locked="0" layoutInCell="1" allowOverlap="1">
              <wp:simplePos x="0" y="0"/>
              <wp:positionH relativeFrom="margin">
                <wp:align>center</wp:align>
              </wp:positionH>
              <wp:positionV relativeFrom="paragraph">
                <wp:posOffset>0</wp:posOffset>
              </wp:positionV>
              <wp:extent cx="72390" cy="133350"/>
              <wp:effectExtent l="0" t="0" r="0" b="0"/>
              <wp:wrapNone/>
              <wp:docPr id="5" name="文本框 9"/>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526AEBF5">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5pt;width:5.7pt;mso-position-horizontal:center;mso-position-horizontal-relative:margin;mso-wrap-style:none;z-index:251665408;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osni9UAAAADAQAADwAAAAAAAAABACAAAAAiAAAAZHJzL2Rv&#10;d25yZXYueG1sUEsBAhQAFAAAAAgAh07iQBSO3uQEAgAA8wMAAA4AAAAAAAAAAQAgAAAAJAEAAGRy&#10;cy9lMm9Eb2MueG1sUEsFBgAAAAAGAAYAWQEAAJoFAAAAAA==&#10;">
              <v:fill on="f" focussize="0,0"/>
              <v:stroke on="f" weight="0.5pt" joinstyle="round"/>
              <v:imagedata o:title=""/>
              <o:lock v:ext="edit" aspectratio="f"/>
              <v:textbox inset="0mm,0mm,0mm,0mm" style="mso-fit-shape-to-text:t;">
                <w:txbxContent>
                  <w:p w14:paraId="526AEBF5">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813C6">
    <w:pPr>
      <w:pStyle w:val="13"/>
      <w:tabs>
        <w:tab w:val="clear" w:pos="4153"/>
      </w:tabs>
      <w:jc w:val="both"/>
    </w:pPr>
  </w:p>
  <w:p w14:paraId="6CE73001">
    <w:pPr>
      <w:pStyle w:val="13"/>
      <w:tabs>
        <w:tab w:val="clear" w:pos="4153"/>
      </w:tabs>
      <w:jc w:val="both"/>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E78C01">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EE78C01">
                    <w:pPr>
                      <w:pStyle w:val="1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217805" cy="133350"/>
              <wp:effectExtent l="0" t="0" r="0" b="0"/>
              <wp:wrapNone/>
              <wp:docPr id="4" name="矩形 4"/>
              <wp:cNvGraphicFramePr/>
              <a:graphic xmlns:a="http://schemas.openxmlformats.org/drawingml/2006/main">
                <a:graphicData uri="http://schemas.microsoft.com/office/word/2010/wordprocessingShape">
                  <wps:wsp>
                    <wps:cNvSpPr/>
                    <wps:spPr>
                      <a:xfrm>
                        <a:off x="0" y="0"/>
                        <a:ext cx="218084" cy="133159"/>
                      </a:xfrm>
                      <a:prstGeom prst="rect">
                        <a:avLst/>
                      </a:prstGeom>
                      <a:noFill/>
                      <a:ln w="6350" cap="flat" cmpd="sng">
                        <a:noFill/>
                        <a:prstDash val="solid"/>
                        <a:round/>
                      </a:ln>
                      <a:effectLst/>
                    </wps:spPr>
                    <wps:txbx>
                      <w:txbxContent>
                        <w:p w14:paraId="730CA103">
                          <w:pPr>
                            <w:pStyle w:val="13"/>
                            <w:rPr>
                              <w:rFonts w:hint="default"/>
                              <w:lang w:val="en-US" w:eastAsia="zh-CN"/>
                            </w:rPr>
                          </w:pPr>
                        </w:p>
                      </w:txbxContent>
                    </wps:txbx>
                    <wps:bodyPr vert="horz" wrap="none" lIns="0" tIns="0" rIns="0" bIns="0" anchor="t" anchorCtr="0" upright="0">
                      <a:spAutoFit/>
                    </wps:bodyPr>
                  </wps:wsp>
                </a:graphicData>
              </a:graphic>
            </wp:anchor>
          </w:drawing>
        </mc:Choice>
        <mc:Fallback>
          <w:pict>
            <v:rect id="_x0000_s1026" o:spid="_x0000_s1026" o:spt="1" style="position:absolute;left:0pt;margin-top:0pt;height:10.5pt;width:17.15pt;mso-position-horizontal:center;mso-position-horizontal-relative:margin;mso-wrap-style:none;z-index:251666432;mso-width-relative:page;mso-height-relative:page;" filled="f" stroked="f" coordsize="21600,21600" o:gfxdata="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&#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XafmNcAAAADAQAADwAAAAAAAAABACAAAAAiAAAAZHJz&#10;L2Rvd25yZXYueG1sUEsBAhQAFAAAAAgAh07iQPOz6LEFAgAA/wMAAA4AAAAAAAAAAQAgAAAAJgEA&#10;AGRycy9lMm9Eb2MueG1sUEsFBgAAAAAGAAYAWQEAAJ0FAAAAAA==&#10;">
              <v:fill on="f" focussize="0,0"/>
              <v:stroke on="f" weight="0.5pt" joinstyle="round"/>
              <v:imagedata o:title=""/>
              <o:lock v:ext="edit" aspectratio="f"/>
              <v:textbox inset="0mm,0mm,0mm,0mm" style="mso-fit-shape-to-text:t;">
                <w:txbxContent>
                  <w:p w14:paraId="730CA103">
                    <w:pPr>
                      <w:pStyle w:val="13"/>
                      <w:rPr>
                        <w:rFonts w:hint="default"/>
                        <w:lang w:val="en-US" w:eastAsia="zh-CN"/>
                      </w:rPr>
                    </w:pP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149D">
    <w:pPr>
      <w:pStyle w:val="13"/>
      <w:tabs>
        <w:tab w:val="clear" w:pos="4153"/>
      </w:tabs>
      <w:jc w:val="center"/>
      <w:rPr>
        <w:rFonts w:eastAsia="宋体"/>
        <w:lang w:val="en-US" w:eastAsia="zh-CN"/>
      </w:rPr>
    </w:pPr>
    <w:r>
      <w:rPr>
        <w:sz w:val="18"/>
      </w:rPr>
      <mc:AlternateContent>
        <mc:Choice Requires="wps">
          <w:drawing>
            <wp:anchor distT="0" distB="0" distL="113665" distR="113665" simplePos="0" relativeHeight="251663360" behindDoc="0" locked="0" layoutInCell="1" allowOverlap="1">
              <wp:simplePos x="0" y="0"/>
              <wp:positionH relativeFrom="margin">
                <wp:align>center</wp:align>
              </wp:positionH>
              <wp:positionV relativeFrom="paragraph">
                <wp:posOffset>0</wp:posOffset>
              </wp:positionV>
              <wp:extent cx="217805" cy="133350"/>
              <wp:effectExtent l="0" t="0" r="0" b="0"/>
              <wp:wrapNone/>
              <wp:docPr id="35" name="文本框 18"/>
              <wp:cNvGraphicFramePr/>
              <a:graphic xmlns:a="http://schemas.openxmlformats.org/drawingml/2006/main">
                <a:graphicData uri="http://schemas.microsoft.com/office/word/2010/wordprocessingShape">
                  <wps:wsp>
                    <wps:cNvSpPr/>
                    <wps:spPr>
                      <a:xfrm>
                        <a:off x="0" y="0"/>
                        <a:ext cx="218084" cy="133159"/>
                      </a:xfrm>
                      <a:prstGeom prst="rect">
                        <a:avLst/>
                      </a:prstGeom>
                      <a:noFill/>
                      <a:ln w="6350" cap="flat" cmpd="sng">
                        <a:noFill/>
                        <a:prstDash val="solid"/>
                        <a:round/>
                      </a:ln>
                    </wps:spPr>
                    <wps:txbx>
                      <w:txbxContent>
                        <w:p w14:paraId="4E6BADB7">
                          <w:pPr>
                            <w:pStyle w:val="13"/>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18" o:spid="_x0000_s1026" o:spt="1" style="position:absolute;left:0pt;margin-top:0pt;height:10.5pt;width:17.15pt;mso-position-horizontal:center;mso-position-horizontal-relative:margin;mso-wrap-style:none;z-index:251663360;mso-width-relative:page;mso-height-relative:page;" filled="f" stroked="f" coordsize="21600,21600" o:gfxdata="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XafmNcAAAADAQAADwAAAAAAAAABACAAAAAiAAAAZHJz&#10;L2Rvd25yZXYueG1sUEsBAhQAFAAAAAgAh07iQNdg+9IFAgAA9gMAAA4AAAAAAAAAAQAgAAAAJgEA&#10;AGRycy9lMm9Eb2MueG1sUEsFBgAAAAAGAAYAWQEAAJ0FAAAAAA==&#10;">
              <v:fill on="f" focussize="0,0"/>
              <v:stroke on="f" weight="0.5pt" joinstyle="round"/>
              <v:imagedata o:title=""/>
              <o:lock v:ext="edit" aspectratio="f"/>
              <v:textbox inset="0mm,0mm,0mm,0mm" style="mso-fit-shape-to-text:t;">
                <w:txbxContent>
                  <w:p w14:paraId="4E6BADB7">
                    <w:pPr>
                      <w:pStyle w:val="13"/>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0899B">
    <w:pPr>
      <w:pStyle w:val="13"/>
      <w:tabs>
        <w:tab w:val="clear" w:pos="4153"/>
      </w:tabs>
      <w:jc w:val="center"/>
      <w:rPr>
        <w:rFonts w:eastAsia="宋体"/>
        <w:lang w:val="en-US" w:eastAsia="zh-CN"/>
      </w:rPr>
    </w:pPr>
    <w:r>
      <w:rPr>
        <w:sz w:val="18"/>
      </w:rPr>
      <mc:AlternateContent>
        <mc:Choice Requires="wps">
          <w:drawing>
            <wp:anchor distT="0" distB="0" distL="113665" distR="113665" simplePos="0" relativeHeight="251663360" behindDoc="0" locked="0" layoutInCell="1" allowOverlap="1">
              <wp:simplePos x="0" y="0"/>
              <wp:positionH relativeFrom="margin">
                <wp:align>center</wp:align>
              </wp:positionH>
              <wp:positionV relativeFrom="paragraph">
                <wp:posOffset>0</wp:posOffset>
              </wp:positionV>
              <wp:extent cx="72390" cy="133350"/>
              <wp:effectExtent l="0" t="0" r="0" b="0"/>
              <wp:wrapNone/>
              <wp:docPr id="38" name="文本框 19"/>
              <wp:cNvGraphicFramePr/>
              <a:graphic xmlns:a="http://schemas.openxmlformats.org/drawingml/2006/main">
                <a:graphicData uri="http://schemas.microsoft.com/office/word/2010/wordprocessingShape">
                  <wps:wsp>
                    <wps:cNvSpPr/>
                    <wps:spPr>
                      <a:xfrm>
                        <a:off x="0" y="0"/>
                        <a:ext cx="72694" cy="133159"/>
                      </a:xfrm>
                      <a:prstGeom prst="rect">
                        <a:avLst/>
                      </a:prstGeom>
                      <a:noFill/>
                      <a:ln w="6350" cap="flat" cmpd="sng">
                        <a:noFill/>
                        <a:prstDash val="solid"/>
                        <a:round/>
                      </a:ln>
                    </wps:spPr>
                    <wps:txbx>
                      <w:txbxContent>
                        <w:p w14:paraId="4E0C414F">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9" o:spid="_x0000_s1026" o:spt="1" style="position:absolute;left:0pt;margin-top:0pt;height:10.5pt;width:5.7pt;mso-position-horizontal:center;mso-position-horizontal-relative:margin;mso-wrap-style:none;z-index:251663360;mso-width-relative:page;mso-height-relative:page;" filled="f" stroked="f" coordsize="21600,21600" o:gfxdata="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qiyeL1QAAAAMBAAAPAAAAAAAAAAEAIAAAACIAAABkcnMv&#10;ZG93bnJldi54bWxQSwECFAAUAAAACACHTuJAjZmswAYCAAD1AwAADgAAAAAAAAABACAAAAAkAQAA&#10;ZHJzL2Uyb0RvYy54bWxQSwUGAAAAAAYABgBZAQAAnAUAAAAA&#10;">
              <v:fill on="f" focussize="0,0"/>
              <v:stroke on="f" weight="0.5pt" joinstyle="round"/>
              <v:imagedata o:title=""/>
              <o:lock v:ext="edit" aspectratio="f"/>
              <v:textbox inset="0mm,0mm,0mm,0mm" style="mso-fit-shape-to-text:t;">
                <w:txbxContent>
                  <w:p w14:paraId="4E0C414F">
                    <w:pPr>
                      <w:pStyle w:val="13"/>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lang w:val="en-US" w:eastAsia="zh-CN"/>
      </w:rPr>
      <w:t>103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7E6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C68D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B04BBAA"/>
    <w:multiLevelType w:val="singleLevel"/>
    <w:tmpl w:val="DB04BBAA"/>
    <w:lvl w:ilvl="0" w:tentative="0">
      <w:start w:val="2"/>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307F1DF5"/>
    <w:multiLevelType w:val="singleLevel"/>
    <w:tmpl w:val="307F1DF5"/>
    <w:lvl w:ilvl="0" w:tentative="0">
      <w:start w:val="1"/>
      <w:numFmt w:val="chineseCounting"/>
      <w:suff w:val="nothing"/>
      <w:lvlText w:val="%1、"/>
      <w:lvlJc w:val="left"/>
      <w:pPr>
        <w:tabs>
          <w:tab w:val="left" w:pos="0"/>
        </w:tabs>
        <w:ind w:left="0" w:firstLine="0"/>
      </w:pPr>
      <w:rPr>
        <w:rFonts w:hint="eastAsia"/>
      </w:rPr>
    </w:lvl>
  </w:abstractNum>
  <w:abstractNum w:abstractNumId="4">
    <w:nsid w:val="60CEA032"/>
    <w:multiLevelType w:val="singleLevel"/>
    <w:tmpl w:val="60CEA032"/>
    <w:lvl w:ilvl="0" w:tentative="0">
      <w:start w:val="2"/>
      <w:numFmt w:val="chineseCounting"/>
      <w:suff w:val="nothing"/>
      <w:lvlText w:val="（%1）"/>
      <w:lvlJc w:val="left"/>
      <w:pPr>
        <w:tabs>
          <w:tab w:val="left" w:pos="0"/>
        </w:tabs>
        <w:ind w:left="0" w:firstLine="0"/>
      </w:pPr>
      <w:rPr>
        <w:rFonts w:hint="eastAsia"/>
      </w:rPr>
    </w:lvl>
  </w:abstractNum>
  <w:abstractNum w:abstractNumId="5">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jcyYmYwZjY3MDMzYmU4ZTkzYzdiMjJlZDIxYzAzODgifQ=="/>
  </w:docVars>
  <w:rsids>
    <w:rsidRoot w:val="00000000"/>
    <w:rsid w:val="00BE14FD"/>
    <w:rsid w:val="02881187"/>
    <w:rsid w:val="05960A24"/>
    <w:rsid w:val="07674B52"/>
    <w:rsid w:val="09C868A5"/>
    <w:rsid w:val="0BF91683"/>
    <w:rsid w:val="0C55502D"/>
    <w:rsid w:val="0D3A63F7"/>
    <w:rsid w:val="0D446E80"/>
    <w:rsid w:val="0E6F487E"/>
    <w:rsid w:val="11695D55"/>
    <w:rsid w:val="11A11F45"/>
    <w:rsid w:val="1CA737E6"/>
    <w:rsid w:val="1D306E07"/>
    <w:rsid w:val="2AB57EBF"/>
    <w:rsid w:val="2E3A3D2E"/>
    <w:rsid w:val="300A35B0"/>
    <w:rsid w:val="30B9674D"/>
    <w:rsid w:val="32FD6FBF"/>
    <w:rsid w:val="35213875"/>
    <w:rsid w:val="35BC0A48"/>
    <w:rsid w:val="36EE787F"/>
    <w:rsid w:val="392D520A"/>
    <w:rsid w:val="39BE5B37"/>
    <w:rsid w:val="39FA6443"/>
    <w:rsid w:val="3A973FA9"/>
    <w:rsid w:val="3DD77F4E"/>
    <w:rsid w:val="3ECBD977"/>
    <w:rsid w:val="456316C8"/>
    <w:rsid w:val="45E5459D"/>
    <w:rsid w:val="4C2678E7"/>
    <w:rsid w:val="4D914EB5"/>
    <w:rsid w:val="512B481C"/>
    <w:rsid w:val="52452C7C"/>
    <w:rsid w:val="533008D8"/>
    <w:rsid w:val="538E1C7E"/>
    <w:rsid w:val="56676DAA"/>
    <w:rsid w:val="5677E28B"/>
    <w:rsid w:val="595459CE"/>
    <w:rsid w:val="5FFFD068"/>
    <w:rsid w:val="600409B2"/>
    <w:rsid w:val="6ABF2AD3"/>
    <w:rsid w:val="6BE10CC6"/>
    <w:rsid w:val="6CB0535E"/>
    <w:rsid w:val="6CBD1A92"/>
    <w:rsid w:val="710F4CFD"/>
    <w:rsid w:val="7399A4C6"/>
    <w:rsid w:val="76CEDB65"/>
    <w:rsid w:val="7AF6A152"/>
    <w:rsid w:val="7EEBDB36"/>
    <w:rsid w:val="7FDCFC6B"/>
    <w:rsid w:val="7FFB3C2D"/>
    <w:rsid w:val="BDD17E58"/>
    <w:rsid w:val="E6BF0ABC"/>
    <w:rsid w:val="F76F296F"/>
    <w:rsid w:val="FC9DC42C"/>
    <w:rsid w:val="FCEE3D85"/>
    <w:rsid w:val="FCFFC29F"/>
    <w:rsid w:val="FFAFB2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3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200" w:firstLineChars="200"/>
    </w:pPr>
  </w:style>
  <w:style w:type="paragraph" w:customStyle="1" w:styleId="3">
    <w:name w:val="BodyTextIndent"/>
    <w:basedOn w:val="1"/>
    <w:next w:val="2"/>
    <w:qFormat/>
    <w:uiPriority w:val="0"/>
    <w:pPr>
      <w:spacing w:after="120"/>
      <w:ind w:left="200" w:leftChars="200"/>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next w:val="10"/>
    <w:qFormat/>
    <w:uiPriority w:val="0"/>
    <w:pPr>
      <w:widowControl w:val="0"/>
      <w:spacing w:after="120"/>
      <w:ind w:left="200" w:leftChars="200" w:firstLine="200" w:firstLineChars="200"/>
      <w:jc w:val="both"/>
    </w:pPr>
    <w:rPr>
      <w:rFonts w:ascii="仿宋_GB2312" w:hAnsi="Times New Roman" w:eastAsia="仿宋_GB2312" w:cs="Times New Roman"/>
      <w:kern w:val="2"/>
      <w:sz w:val="32"/>
      <w:szCs w:val="32"/>
      <w:lang w:val="en-US" w:eastAsia="zh-CN" w:bidi="ar-SA"/>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qFormat/>
    <w:uiPriority w:val="0"/>
    <w:pPr>
      <w:ind w:left="200" w:leftChars="200" w:hanging="200" w:hangingChars="200"/>
    </w:pPr>
    <w:rPr>
      <w:rFonts w:ascii="Calibri" w:hAnsi="Calibri" w:eastAsia="宋体" w:cs="Times New Roman"/>
    </w:rPr>
  </w:style>
  <w:style w:type="paragraph" w:styleId="17">
    <w:name w:val="toc 2"/>
    <w:basedOn w:val="1"/>
    <w:next w:val="1"/>
    <w:qFormat/>
    <w:uiPriority w:val="0"/>
    <w:pPr>
      <w:tabs>
        <w:tab w:val="right" w:leader="dot" w:pos="8296"/>
      </w:tabs>
      <w:ind w:left="200" w:leftChars="200"/>
    </w:p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19">
    <w:name w:val="Normal (Web)"/>
    <w:basedOn w:val="1"/>
    <w:qFormat/>
    <w:uiPriority w:val="0"/>
    <w:rPr>
      <w:rFonts w:ascii="Times New Roman" w:hAnsi="Times New Roman" w:eastAsia="宋体"/>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Hyperlink"/>
    <w:basedOn w:val="22"/>
    <w:qFormat/>
    <w:uiPriority w:val="0"/>
    <w:rPr>
      <w:color w:val="0000FF"/>
      <w:u w:val="single"/>
    </w:rPr>
  </w:style>
  <w:style w:type="character" w:customStyle="1" w:styleId="25">
    <w:name w:val="heading 1 Char"/>
    <w:basedOn w:val="22"/>
    <w:link w:val="4"/>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5"/>
    <w:qFormat/>
    <w:uiPriority w:val="0"/>
    <w:rPr>
      <w:rFonts w:ascii="Cambria" w:hAnsi="Cambria" w:eastAsia="宋体" w:cs="Times New Roman"/>
      <w:b/>
      <w:bCs/>
      <w:kern w:val="2"/>
      <w:sz w:val="32"/>
      <w:szCs w:val="32"/>
      <w:lang w:val="en-US" w:eastAsia="zh-CN" w:bidi="ar-SA"/>
    </w:rPr>
  </w:style>
  <w:style w:type="paragraph" w:customStyle="1" w:styleId="27">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8">
    <w:name w:val="Header Char"/>
    <w:basedOn w:val="22"/>
    <w:qFormat/>
    <w:uiPriority w:val="0"/>
    <w:rPr>
      <w:rFonts w:ascii="Times New Roman" w:hAnsi="Times New Roman"/>
      <w:sz w:val="18"/>
      <w:szCs w:val="18"/>
    </w:rPr>
  </w:style>
  <w:style w:type="character" w:customStyle="1" w:styleId="29">
    <w:name w:val="Footer Char"/>
    <w:basedOn w:val="22"/>
    <w:qFormat/>
    <w:uiPriority w:val="0"/>
    <w:rPr>
      <w:rFonts w:ascii="Times New Roman" w:hAnsi="Times New Roman"/>
      <w:sz w:val="18"/>
      <w:szCs w:val="18"/>
    </w:rPr>
  </w:style>
  <w:style w:type="character" w:customStyle="1" w:styleId="30">
    <w:name w:val="Body Text Char"/>
    <w:basedOn w:val="22"/>
    <w:qFormat/>
    <w:uiPriority w:val="0"/>
    <w:rPr>
      <w:rFonts w:ascii="Times New Roman" w:hAnsi="Times New Roman"/>
      <w:szCs w:val="24"/>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2">
    <w:name w:val="List Paragraph"/>
    <w:basedOn w:val="1"/>
    <w:qFormat/>
    <w:uiPriority w:val="0"/>
    <w:pPr>
      <w:ind w:firstLine="200" w:firstLineChars="200"/>
    </w:pPr>
  </w:style>
  <w:style w:type="paragraph" w:customStyle="1" w:styleId="33">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4">
    <w:name w:val="TOC 标题2"/>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table of figures1"/>
    <w:basedOn w:val="1"/>
    <w:next w:val="1"/>
    <w:qFormat/>
    <w:uiPriority w:val="0"/>
    <w:pPr>
      <w:spacing w:before="100" w:beforeAutospacing="1" w:after="100" w:afterAutospacing="1"/>
      <w:ind w:left="400" w:leftChars="200" w:hanging="200" w:hangingChars="200"/>
    </w:pPr>
  </w:style>
  <w:style w:type="character" w:customStyle="1" w:styleId="37">
    <w:name w:val="标题 1 Char"/>
    <w:basedOn w:val="22"/>
    <w:link w:val="4"/>
    <w:qFormat/>
    <w:uiPriority w:val="0"/>
    <w:rPr>
      <w:rFonts w:ascii="Times New Roman" w:hAnsi="Times New Roman" w:eastAsia="宋体" w:cs="Times New Roman"/>
      <w:b/>
      <w:bCs/>
      <w:kern w:val="44"/>
      <w:sz w:val="44"/>
      <w:szCs w:val="44"/>
      <w:lang w:val="en-US" w:eastAsia="zh-CN" w:bidi="ar-SA"/>
    </w:rPr>
  </w:style>
  <w:style w:type="character" w:customStyle="1" w:styleId="38">
    <w:name w:val="标题 2 Char"/>
    <w:basedOn w:val="22"/>
    <w:link w:val="5"/>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宋体" panose="02010600030101010101" charset="-122"/>
                <a:ea typeface="宋体" panose="02010600030101010101" charset="-122"/>
                <a:cs typeface="Lucida Sans" panose="020B0602030504020204"/>
              </a:defRPr>
            </a:pPr>
            <a:r>
              <a:rPr lang="zh-CN"/>
              <a:t>收入支出对比表</a:t>
            </a:r>
            <a:endParaRPr lang="zh-CN"/>
          </a:p>
        </c:rich>
      </c:tx>
      <c:layout/>
      <c:overlay val="0"/>
      <c:spPr>
        <a:ln>
          <a:noFill/>
        </a:ln>
      </c:spPr>
    </c:title>
    <c:autoTitleDeleted val="0"/>
    <c:plotArea>
      <c:layout>
        <c:manualLayout>
          <c:layoutTarget val="inner"/>
          <c:xMode val="edge"/>
          <c:yMode val="edge"/>
          <c:x val="0.10551619"/>
          <c:y val="0.16899315"/>
          <c:w val="0.749888"/>
          <c:h val="0.678939200000001"/>
        </c:manualLayout>
      </c:layout>
      <c:barChart>
        <c:barDir val="col"/>
        <c:grouping val="clustered"/>
        <c:varyColors val="0"/>
        <c:ser>
          <c:idx val="0"/>
          <c:order val="0"/>
          <c:spPr>
            <a:solidFill>
              <a:srgbClr val="4F81BD"/>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r>
                      <a:rPr lang="en-US" altLang="zh-CN"/>
                      <a:t>759.12</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r>
                      <a:rPr lang="en-US" altLang="zh-CN"/>
                      <a:t>856.84</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{"2022年","2023年"}</c:f>
              <c:strCache>
                <c:ptCount val="2"/>
                <c:pt idx="0">
                  <c:v>2022年</c:v>
                </c:pt>
                <c:pt idx="1">
                  <c:v>2023年</c:v>
                </c:pt>
              </c:strCache>
            </c:strRef>
          </c:cat>
          <c:val>
            <c:numRef>
              <c:f>{704.16,781.9}</c:f>
              <c:numCache>
                <c:formatCode>General</c:formatCode>
                <c:ptCount val="2"/>
                <c:pt idx="0">
                  <c:v>704.16</c:v>
                </c:pt>
                <c:pt idx="1">
                  <c:v>781.9</c:v>
                </c:pt>
              </c:numCache>
            </c:numRef>
          </c:val>
        </c:ser>
        <c:ser>
          <c:idx val="1"/>
          <c:order val="1"/>
          <c:spPr>
            <a:solidFill>
              <a:srgbClr val="C0504D"/>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r>
                      <a:rPr lang="en-US" altLang="zh-CN"/>
                      <a:t>759.12</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289855072463768"/>
                  <c:y val="0"/>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r>
                      <a:rPr lang="en-US" altLang="zh-CN"/>
                      <a:t>856.84</a:t>
                    </a:r>
                    <a:endParaRPr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{"2022年","2023年"}</c:f>
              <c:strCache>
                <c:ptCount val="2"/>
                <c:pt idx="0">
                  <c:v>2022年</c:v>
                </c:pt>
                <c:pt idx="1">
                  <c:v>2023年</c:v>
                </c:pt>
              </c:strCache>
            </c:strRef>
          </c:cat>
          <c:val>
            <c:numRef>
              <c:f>{704.16,781.9}</c:f>
              <c:numCache>
                <c:formatCode>General</c:formatCode>
                <c:ptCount val="2"/>
                <c:pt idx="0">
                  <c:v>704.16</c:v>
                </c:pt>
                <c:pt idx="1">
                  <c:v>781.9</c:v>
                </c:pt>
              </c:numCache>
            </c:numRef>
          </c:val>
        </c:ser>
        <c:dLbls>
          <c:showLegendKey val="0"/>
          <c:showVal val="1"/>
          <c:showCatName val="0"/>
          <c:showSerName val="0"/>
          <c:showPercent val="0"/>
          <c:showBubbleSize val="0"/>
        </c:dLbls>
        <c:gapWidth val="150"/>
        <c:axId val="423688832"/>
        <c:axId val="259923968"/>
      </c:barChart>
      <c:catAx>
        <c:axId val="423688832"/>
        <c:scaling>
          <c:orientation val="minMax"/>
        </c:scaling>
        <c:delete val="0"/>
        <c:axPos val="b"/>
        <c:numFmt formatCode="General" sourceLinked="1"/>
        <c:majorTickMark val="out"/>
        <c:minorTickMark val="none"/>
        <c:tickLblPos val="nextTo"/>
        <c:txPr>
          <a:bodyPr rot="0" spcFirstLastPara="0" vertOverflow="ellipsis" vert="horz" wrap="square" anchor="t" anchorCtr="0"/>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p>
        </c:txPr>
        <c:crossAx val="259923968"/>
        <c:crosses val="autoZero"/>
        <c:auto val="1"/>
        <c:lblAlgn val="ctr"/>
        <c:lblOffset val="100"/>
        <c:noMultiLvlLbl val="0"/>
      </c:catAx>
      <c:valAx>
        <c:axId val="259923968"/>
        <c:scaling>
          <c:orientation val="minMax"/>
        </c:scaling>
        <c:delete val="0"/>
        <c:axPos val="l"/>
        <c:numFmt formatCode="General" sourceLinked="1"/>
        <c:majorTickMark val="out"/>
        <c:minorTickMark val="none"/>
        <c:tickLblPos val="nextTo"/>
        <c:txPr>
          <a:bodyPr rot="0" spcFirstLastPara="0" vertOverflow="ellipsis" vert="horz" wrap="square" anchor="t" anchorCtr="0"/>
          <a:lstStyle/>
          <a:p>
            <a:pPr>
              <a:defRPr lang="zh-CN" sz="1000" b="0" i="0" u="none" strike="noStrike" kern="1200" baseline="0">
                <a:solidFill>
                  <a:srgbClr val="000000"/>
                </a:solidFill>
                <a:latin typeface="宋体" panose="02010600030101010101" charset="-122"/>
                <a:ea typeface="宋体" panose="02010600030101010101" charset="-122"/>
                <a:cs typeface="Lucida Sans" panose="020B0602030504020204"/>
              </a:defRPr>
            </a:pPr>
          </a:p>
        </c:txPr>
        <c:crossAx val="423688832"/>
        <c:crossesAt val="1"/>
        <c:crossBetween val="between"/>
      </c:valAx>
      <c:spPr>
        <a:noFill/>
        <a:ln>
          <a:noFill/>
        </a:ln>
      </c:spPr>
    </c:plotArea>
    <c:plotVisOnly val="1"/>
    <c:dispBlanksAs val="gap"/>
    <c:showDLblsOverMax val="0"/>
    <c:extLst>
      <c:ext uri="{0b15fc19-7d7d-44ad-8c2d-2c3a37ce22c3}">
        <chartProps xmlns="https://web.wps.cn/et/2018/main" chartId="{bb002a90-f24b-41d4-a977-6165e8301c6f}"/>
      </c:ext>
    </c:extLst>
  </c:chart>
  <c:txPr>
    <a:bodyPr/>
    <a:lstStyle/>
    <a:p>
      <a:pPr>
        <a:defRPr lang="zh-CN" sz="1000" b="0" i="0" u="none" strike="noStrike" baseline="0">
          <a:solidFill>
            <a:srgbClr val="000000"/>
          </a:solidFill>
          <a:latin typeface="宋体" panose="02010600030101010101" charset="-122"/>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spPr>
              <a:solidFill>
                <a:srgbClr val="4F81BD"/>
              </a:solidFill>
            </c:spPr>
          </c:dPt>
          <c:dPt>
            <c:idx val="1"/>
            <c:bubble3D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en-US" altLang="zh-CN"/>
                      <a:t>856.84</a:t>
                    </a:r>
                    <a:endParaRPr altLang="en-US"/>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781.9</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bca17861-a9f6-4159-ac7a-e92e7c2e7e2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explosion val="0"/>
          <c:dPt>
            <c:idx val="0"/>
            <c:bubble3D val="0"/>
            <c:spPr>
              <a:solidFill>
                <a:srgbClr val="4F81BD"/>
              </a:solidFill>
            </c:spPr>
          </c:dPt>
          <c:dPt>
            <c:idx val="1"/>
            <c:bubble3D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en-US" altLang="zh-CN"/>
                      <a:t>717.65</a:t>
                    </a:r>
                    <a:endParaRPr 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070005055"/>
                  <c:y val="0.07688194"/>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en-US" altLang="zh-CN"/>
                      <a:t>139.19</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536.45</c:v>
                </c:pt>
                <c:pt idx="1">
                  <c:v>245.46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dddbafe4-8960-4b16-9040-ab2b8e70e22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2553091"/>
          <c:y val="0.2546566"/>
          <c:w val="0.86427146"/>
          <c:h val="0.618770200000001"/>
        </c:manualLayout>
      </c:layout>
      <c:barChart>
        <c:barDir val="col"/>
        <c:grouping val="clustered"/>
        <c:varyColors val="0"/>
        <c:ser>
          <c:idx val="0"/>
          <c:order val="0"/>
          <c:tx>
            <c:strRef>
              <c:f>'Sheet1 (4)'!$A$2</c:f>
              <c:strCache>
                <c:ptCount val="1"/>
                <c:pt idx="0">
                  <c:v>2023</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(4)'!$B$2:$C$2</c:f>
              <c:numCache>
                <c:formatCode>General</c:formatCode>
                <c:ptCount val="2"/>
                <c:pt idx="0">
                  <c:v>759.12</c:v>
                </c:pt>
                <c:pt idx="1">
                  <c:v>759.12</c:v>
                </c:pt>
              </c:numCache>
            </c:numRef>
          </c:val>
        </c:ser>
        <c:ser>
          <c:idx val="1"/>
          <c:order val="1"/>
          <c:tx>
            <c:strRef>
              <c:f>'Sheet1 (4)'!$A$3</c:f>
              <c:strCache>
                <c:ptCount val="1"/>
                <c:pt idx="0">
                  <c:v>2024</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General</c:formatCode>
                <c:ptCount val="2"/>
                <c:pt idx="0">
                  <c:v>856.84</c:v>
                </c:pt>
                <c:pt idx="1">
                  <c:v>856.84</c:v>
                </c:pt>
              </c:numCache>
            </c:numRef>
          </c:val>
        </c:ser>
        <c:dLbls>
          <c:showLegendKey val="0"/>
          <c:showVal val="1"/>
          <c:showCatName val="0"/>
          <c:showSerName val="0"/>
          <c:showPercent val="0"/>
          <c:showBubbleSize val="0"/>
        </c:dLbls>
        <c:gapWidth val="219"/>
        <c:overlap val="-27"/>
        <c:axId val="281762816"/>
        <c:axId val="423645952"/>
      </c:barChart>
      <c:dateAx>
        <c:axId val="281762816"/>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forceAA="0"/>
          <a:lstStyle/>
          <a:p>
            <a:pPr>
              <a:defRPr lang="zh-CN" sz="900" b="0" i="0" u="none" strike="noStrike" kern="1200" baseline="0">
                <a:solidFill>
                  <a:srgbClr val="595959"/>
                </a:solidFill>
                <a:latin typeface="AR PL UKai CN"/>
                <a:ea typeface="AR PL UKai CN"/>
                <a:cs typeface="Lucida Sans" panose="020B0602030504020204"/>
              </a:defRPr>
            </a:pPr>
          </a:p>
        </c:txPr>
        <c:crossAx val="423645952"/>
        <c:crosses val="autoZero"/>
        <c:auto val="0"/>
        <c:lblAlgn val="ctr"/>
        <c:lblOffset val="100"/>
        <c:baseTimeUnit val="days"/>
      </c:dateAx>
      <c:valAx>
        <c:axId val="423645952"/>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281762816"/>
        <c:crosses val="autoZero"/>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4971b218-ee13-49a5-b97b-4cfb456c33f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(5)'!$A$2:$A$3</c:f>
              <c:numCache>
                <c:formatCode>General</c:formatCode>
                <c:ptCount val="2"/>
                <c:pt idx="0">
                  <c:v>2024</c:v>
                </c:pt>
                <c:pt idx="1">
                  <c:v>2023</c:v>
                </c:pt>
              </c:numCache>
            </c:numRef>
          </c:cat>
          <c:val>
            <c:numRef>
              <c:f>'Sheet1 (5)'!$B$2:$B$3</c:f>
              <c:numCache>
                <c:formatCode>General</c:formatCode>
                <c:ptCount val="2"/>
                <c:pt idx="0">
                  <c:v>856.84</c:v>
                </c:pt>
                <c:pt idx="1">
                  <c:v>759.12</c:v>
                </c:pt>
              </c:numCache>
            </c:numRef>
          </c:val>
        </c:ser>
        <c:dLbls>
          <c:showLegendKey val="0"/>
          <c:showVal val="1"/>
          <c:showCatName val="0"/>
          <c:showSerName val="0"/>
          <c:showPercent val="0"/>
          <c:showBubbleSize val="0"/>
        </c:dLbls>
        <c:gapWidth val="219"/>
        <c:overlap val="-27"/>
        <c:axId val="432096000"/>
        <c:axId val="432097536"/>
      </c:barChart>
      <c:catAx>
        <c:axId val="432096000"/>
        <c:scaling>
          <c:orientation val="minMax"/>
        </c:scaling>
        <c:delete val="0"/>
        <c:axPos val="b"/>
        <c:numFmt formatCode="General" sourceLinked="1"/>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32097536"/>
        <c:crosses val="autoZero"/>
        <c:auto val="1"/>
        <c:lblAlgn val="ctr"/>
        <c:lblOffset val="100"/>
        <c:noMultiLvlLbl val="0"/>
      </c:catAx>
      <c:valAx>
        <c:axId val="432097536"/>
        <c:scaling>
          <c:orientation val="minMax"/>
          <c:max val="1400"/>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4320960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ceec3fb-bece-4f86-b71f-f53b6bcc23e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dLbl>
              <c:idx val="1"/>
              <c:layout>
                <c:manualLayout>
                  <c:x val="-0.020973645"/>
                  <c:y val="0.04419082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卫生健康支出</c:v>
                </c:pt>
                <c:pt idx="3">
                  <c:v>农林水支出</c:v>
                </c:pt>
                <c:pt idx="4">
                  <c:v>住房保障支出</c:v>
                </c:pt>
                <c:pt idx="5">
                  <c:v>其他支出</c:v>
                </c:pt>
              </c:strCache>
            </c:strRef>
          </c:cat>
          <c:val>
            <c:numRef>
              <c:f>'Sheet1 (6)'!$B$2:$B$7</c:f>
              <c:numCache>
                <c:formatCode>General</c:formatCode>
                <c:ptCount val="6"/>
                <c:pt idx="0">
                  <c:v>268.33</c:v>
                </c:pt>
                <c:pt idx="1">
                  <c:v>66.02</c:v>
                </c:pt>
                <c:pt idx="2">
                  <c:v>27.26</c:v>
                </c:pt>
                <c:pt idx="3">
                  <c:v>261.12</c:v>
                </c:pt>
                <c:pt idx="4">
                  <c:v>37.78</c:v>
                </c:pt>
                <c:pt idx="5">
                  <c:v>121.39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5"/>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7e171537-bcc7-4bb8-8d6d-3eddef26ea5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altLang="en-US"/>
                      <a:t>5.</a:t>
                    </a:r>
                    <a:r>
                      <a:rPr lang="en-US" altLang="zh-CN"/>
                      <a:t>8</a:t>
                    </a:r>
                    <a:endParaRPr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07035216"/>
                  <c:y val="0.005202266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5.79</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d455b442-3b08-4f05-916d-ba286e30d3c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57</Pages>
  <Words>3593</Words>
  <Characters>4017</Characters>
  <Lines>1</Lines>
  <Paragraphs>1</Paragraphs>
  <TotalTime>1</TotalTime>
  <ScaleCrop>false</ScaleCrop>
  <LinksUpToDate>false</LinksUpToDate>
  <CharactersWithSpaces>4118</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2024-08-06T07:12:00Z</dcterms:created>
  <dc:creator>曹颖</dc:creator>
  <cp:lastModifiedBy>Revenge☁</cp:lastModifiedBy>
  <cp:lastPrinted>2025-08-22T03:52:00Z</cp:lastPrinted>
  <dcterms:modified xsi:type="dcterms:W3CDTF">2025-09-04T08:06:44Z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B26BBC6D52E0491DB97DB7635FB901DE_13</vt:lpwstr>
  </property>
  <property fmtid="{D5CDD505-2E9C-101B-9397-08002B2CF9AE}" pid="4" name="KSOTemplateDocerSaveRecord">
    <vt:lpwstr>eyJoZGlkIjoiYjAzNzQzYmM5MDI1ZDAxZTJmMTMzNWY1MGM2MmJkMDQiLCJ1c2VySWQiOiI0MDk4OTk4ODcifQ==</vt:lpwstr>
  </property>
</Properties>
</file>