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8441"/>
      <w:bookmarkStart w:id="4" w:name="_Toc15396597"/>
      <w:bookmarkStart w:id="5" w:name="_Toc15377425"/>
      <w:r>
        <w:rPr>
          <w:rFonts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194"/>
      <w:bookmarkStart w:id="8" w:name="_Toc15396598"/>
      <w:bookmarkStart w:id="9" w:name="_Toc15377426"/>
      <w:bookmarkStart w:id="10" w:name="_Toc15396476"/>
      <w:r>
        <w:rPr>
          <w:rFonts w:hint="eastAsia" w:ascii="方正小标宋简体" w:eastAsia="方正小标宋简体"/>
          <w:color w:val="000000"/>
          <w:sz w:val="72"/>
          <w:szCs w:val="72"/>
        </w:rPr>
        <w:t>四川省阿坝州</w:t>
      </w:r>
      <w:bookmarkEnd w:id="0"/>
      <w:bookmarkStart w:id="11" w:name="_Toc15306268"/>
      <w:r>
        <w:rPr>
          <w:rFonts w:ascii="方正小标宋简体" w:eastAsia="方正小标宋简体"/>
          <w:color w:val="000000"/>
          <w:sz w:val="72"/>
          <w:szCs w:val="72"/>
        </w:rPr>
        <w:t>金川县撒瓦脚乡人民政府</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w:t>
      </w:r>
      <w:r>
        <w:t>21</w:t>
      </w:r>
      <w:r>
        <w:rPr>
          <w:rFonts w:hint="eastAsia"/>
        </w:rPr>
        <w:t>年</w:t>
      </w:r>
      <w:r>
        <w:t>8</w:t>
      </w:r>
      <w:r>
        <w:rPr>
          <w:rFonts w:hint="eastAsia"/>
        </w:rPr>
        <w:t>月</w:t>
      </w:r>
      <w:r>
        <w:t>3</w:t>
      </w:r>
      <w:r>
        <w:rPr>
          <w:rFonts w:hint="eastAsia"/>
        </w:rPr>
        <w:t>日</w:t>
      </w:r>
    </w:p>
    <w:p/>
    <w:p/>
    <w:p/>
    <w:p/>
    <w:p>
      <w:pPr>
        <w:pStyle w:val="11"/>
        <w:rPr>
          <w:rFonts w:cs="Arial"/>
        </w:rPr>
      </w:pPr>
      <w:r>
        <w:fldChar w:fldCharType="begin"/>
      </w:r>
      <w:r>
        <w:instrText xml:space="preserve"> HYPERLINK \l "_Toc15396599" </w:instrText>
      </w:r>
      <w:r>
        <w:fldChar w:fldCharType="separate"/>
      </w:r>
      <w:r>
        <w:rPr>
          <w:rFonts w:hint="eastAsia"/>
        </w:rPr>
        <w:t>第一部分部门概况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四部分附件</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五部分附表</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widowControl/>
        <w:spacing w:line="560" w:lineRule="exact"/>
        <w:ind w:firstLine="960" w:firstLineChars="300"/>
        <w:jc w:val="left"/>
        <w:rPr>
          <w:rFonts w:ascii="仿宋_GB2312" w:eastAsia="仿宋_GB2312"/>
          <w:sz w:val="32"/>
          <w:szCs w:val="32"/>
        </w:rPr>
      </w:pPr>
      <w:r>
        <w:rPr>
          <w:rFonts w:hint="eastAsia" w:ascii="仿宋_GB2312"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贯彻落实党和政府各项路线方针政策。深入贯彻党的十八大、十八届四中、五中全会精神，宣传和贯彻执行党的路线、方针、政策和国家的法律、法令；宣传和贯彻上级机关的政策、法规、规章、决定等；执行本级党代会和人代会的决定、决议；研究决定辖区内政治、经济、文化等重大问题。</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ascii="仿宋_GB2312" w:eastAsia="仿宋_GB2312"/>
          <w:sz w:val="32"/>
          <w:szCs w:val="32"/>
        </w:rPr>
      </w:pPr>
      <w:r>
        <w:rPr>
          <w:rFonts w:hint="eastAsia" w:ascii="仿宋_GB2312"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bCs/>
          <w:color w:val="000000"/>
          <w:sz w:val="32"/>
          <w:szCs w:val="32"/>
          <w:highlight w:val="yellow"/>
        </w:rPr>
      </w:pPr>
      <w:r>
        <w:rPr>
          <w:rFonts w:hint="eastAsia" w:ascii="仿宋_GB2312"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76" w:lineRule="exact"/>
        <w:ind w:firstLine="640" w:firstLineChars="200"/>
        <w:rPr>
          <w:rFonts w:ascii="仿宋_GB2312" w:eastAsia="仿宋_GB2312"/>
          <w:bCs/>
          <w:color w:val="000000"/>
          <w:sz w:val="32"/>
          <w:szCs w:val="32"/>
        </w:rPr>
      </w:pPr>
      <w:bookmarkStart w:id="20" w:name="_Toc15396601"/>
      <w:bookmarkStart w:id="21" w:name="_Toc15377200"/>
      <w:r>
        <w:rPr>
          <w:rFonts w:hint="eastAsia" w:ascii="黑体" w:eastAsia="黑体"/>
          <w:sz w:val="32"/>
          <w:szCs w:val="32"/>
        </w:rPr>
        <w:t>坚持三个“注重”提质量</w:t>
      </w:r>
      <w:r>
        <w:rPr>
          <w:rFonts w:hint="eastAsia" w:ascii="仿宋_GB2312" w:eastAsia="仿宋_GB2312"/>
          <w:bCs/>
          <w:color w:val="000000"/>
          <w:sz w:val="32"/>
          <w:szCs w:val="32"/>
        </w:rPr>
        <w:t>2020年，我乡在县委、县政府的正确领导下，在县级联系部门的关怀下，在乡党委的指导下，在</w:t>
      </w:r>
      <w:r>
        <w:rPr>
          <w:rFonts w:hint="eastAsia" w:ascii="仿宋_GB2312" w:eastAsia="仿宋_GB2312"/>
          <w:bCs/>
          <w:color w:val="000000"/>
          <w:sz w:val="32"/>
          <w:szCs w:val="32"/>
          <w:lang w:eastAsia="zh-CN"/>
        </w:rPr>
        <w:t>乡镇</w:t>
      </w:r>
      <w:r>
        <w:rPr>
          <w:rFonts w:hint="eastAsia" w:ascii="仿宋_GB2312" w:eastAsia="仿宋_GB2312"/>
          <w:bCs/>
          <w:color w:val="000000"/>
          <w:sz w:val="32"/>
          <w:szCs w:val="32"/>
        </w:rPr>
        <w:t>人大的监督支持下，在各村两委的密切配合下，紧紧团结依靠全乡人民，健全完善了相关管理制度，牢牢抓住中央和省州支持民族地区跨越发展的大好机遇，攻坚克难、乘势而上，全面完成了年初既定确定的各项任务。依托资源优势，加快小康进程，建设幸福美丽撒瓦脚”的工作目标，进一步理清工作思路，创新工作方式、振奋精神，抢抓机遇、攻坚破难，继续夯实基础设施，大力发展特色优势产业，积极培育壮大集体经济，奋力推进旅游强乡工作基调，带动群众增收致富。始终把廉政建设放在更加突出的位置，切实履行责任，狠抓工作落实。始终坚持民主集中制，团结协作，勤政廉政，具有较强的凝聚力和工作能力。</w:t>
      </w:r>
    </w:p>
    <w:p>
      <w:pPr>
        <w:spacing w:line="578" w:lineRule="exact"/>
        <w:ind w:firstLine="640" w:firstLineChars="200"/>
        <w:rPr>
          <w:rStyle w:val="18"/>
          <w:b w:val="0"/>
          <w:bCs w:val="0"/>
        </w:rPr>
      </w:pPr>
      <w:r>
        <w:rPr>
          <w:rStyle w:val="18"/>
          <w:rFonts w:hint="eastAsia" w:ascii="黑体" w:eastAsia="黑体"/>
          <w:b w:val="0"/>
          <w:bCs w:val="0"/>
        </w:rPr>
        <w:t>二、机构设置</w:t>
      </w:r>
      <w:bookmarkEnd w:id="20"/>
      <w:bookmarkEnd w:id="21"/>
    </w:p>
    <w:p>
      <w:pPr>
        <w:tabs>
          <w:tab w:val="left" w:pos="0"/>
        </w:tabs>
        <w:snapToGrid w:val="0"/>
        <w:ind w:firstLine="640" w:firstLineChars="200"/>
        <w:rPr>
          <w:rFonts w:ascii="仿宋_GB2312" w:eastAsia="仿宋_GB2312"/>
          <w:bCs/>
          <w:color w:val="000000"/>
          <w:sz w:val="32"/>
          <w:szCs w:val="32"/>
        </w:rPr>
      </w:pPr>
      <w:bookmarkStart w:id="22" w:name="_Toc15377204"/>
      <w:bookmarkStart w:id="23" w:name="_Toc15396602"/>
      <w:r>
        <w:rPr>
          <w:rFonts w:hint="eastAsia" w:ascii="仿宋_GB2312" w:eastAsia="仿宋_GB2312"/>
          <w:bCs/>
          <w:color w:val="000000"/>
          <w:sz w:val="32"/>
          <w:szCs w:val="32"/>
        </w:rPr>
        <w:t>1、机构情况：我乡</w:t>
      </w:r>
      <w:r>
        <w:rPr>
          <w:rFonts w:ascii="仿宋_GB2312" w:eastAsia="仿宋_GB2312"/>
          <w:bCs/>
          <w:color w:val="000000"/>
          <w:sz w:val="32"/>
          <w:szCs w:val="32"/>
        </w:rPr>
        <w:t>2020</w:t>
      </w:r>
      <w:r>
        <w:rPr>
          <w:rFonts w:hint="eastAsia" w:ascii="仿宋_GB2312" w:eastAsia="仿宋_GB2312"/>
          <w:bCs/>
          <w:color w:val="000000"/>
          <w:sz w:val="32"/>
          <w:szCs w:val="32"/>
        </w:rPr>
        <w:t>年有2个机构，增加个0机构。</w:t>
      </w:r>
    </w:p>
    <w:p>
      <w:pPr>
        <w:pStyle w:val="3"/>
        <w:ind w:right="440"/>
        <w:jc w:val="right"/>
      </w:pPr>
      <w:r>
        <w:rPr>
          <w:rFonts w:hint="eastAsia" w:ascii="黑体" w:eastAsia="黑体"/>
          <w:b w:val="0"/>
          <w:color w:val="000000"/>
        </w:rPr>
        <w:t>第二部分</w:t>
      </w:r>
      <w:r>
        <w:rPr>
          <w:rStyle w:val="17"/>
          <w:rFonts w:hint="eastAsia" w:ascii="黑体" w:eastAsia="黑体"/>
          <w:b w:val="0"/>
          <w:bCs w:val="0"/>
        </w:rPr>
        <w:t>2020年度部门决算情况说明</w:t>
      </w:r>
      <w:bookmarkEnd w:id="22"/>
      <w:bookmarkEnd w:id="23"/>
    </w:p>
    <w:p>
      <w:pPr>
        <w:pStyle w:val="23"/>
        <w:numPr>
          <w:ilvl w:val="0"/>
          <w:numId w:val="1"/>
        </w:numPr>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w:t>
      </w:r>
      <w:r>
        <w:rPr>
          <w:rFonts w:ascii="仿宋_GB2312" w:eastAsia="仿宋_GB2312"/>
          <w:color w:val="000000"/>
          <w:spacing w:val="-2"/>
          <w:sz w:val="32"/>
          <w:szCs w:val="32"/>
        </w:rPr>
        <w:t>507.85</w:t>
      </w:r>
      <w:r>
        <w:rPr>
          <w:rFonts w:hint="eastAsia" w:ascii="仿宋_GB2312" w:eastAsia="仿宋_GB2312"/>
          <w:color w:val="000000"/>
          <w:spacing w:val="-2"/>
          <w:sz w:val="32"/>
          <w:szCs w:val="32"/>
        </w:rPr>
        <w:t>万元，较上年收入增加137.58万元，增加37.15%。增加的主要原因是2020年人员增加。</w:t>
      </w:r>
    </w:p>
    <w:p>
      <w:pPr>
        <w:snapToGrid w:val="0"/>
        <w:spacing w:line="520" w:lineRule="exact"/>
        <w:ind w:firstLine="640" w:firstLineChars="200"/>
        <w:rPr>
          <w:rFonts w:ascii="仿宋" w:eastAsia="仿宋"/>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342265</wp:posOffset>
            </wp:positionH>
            <wp:positionV relativeFrom="paragraph">
              <wp:posOffset>1092835</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pacing w:val="-2"/>
          <w:sz w:val="32"/>
          <w:szCs w:val="32"/>
        </w:rPr>
        <w:t>2020年总支出482.85万元，较上年支出增加35.2万元，增加0.78%。主要原因一是当年部门预算安排项目经费较上年有所增加；</w:t>
      </w:r>
    </w:p>
    <w:p>
      <w:pPr>
        <w:spacing w:line="600" w:lineRule="exact"/>
        <w:ind w:firstLine="640" w:firstLineChars="200"/>
        <w:rPr>
          <w:rStyle w:val="18"/>
          <w:rFonts w:ascii="黑体" w:eastAsia="黑体"/>
          <w:b w:val="0"/>
        </w:rPr>
      </w:pP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年总收入</w:t>
      </w:r>
      <w:r>
        <w:rPr>
          <w:rFonts w:ascii="仿宋" w:eastAsia="仿宋"/>
          <w:color w:val="000000"/>
          <w:sz w:val="32"/>
          <w:szCs w:val="32"/>
        </w:rPr>
        <w:t>507.85</w:t>
      </w:r>
      <w:r>
        <w:rPr>
          <w:rFonts w:hint="eastAsia" w:ascii="仿宋" w:eastAsia="仿宋"/>
          <w:color w:val="000000"/>
          <w:sz w:val="32"/>
          <w:szCs w:val="32"/>
        </w:rPr>
        <w:t>万元，其中：一般公共预算财政拨款收入</w:t>
      </w:r>
      <w:r>
        <w:rPr>
          <w:rFonts w:ascii="仿宋" w:eastAsia="仿宋"/>
          <w:color w:val="000000"/>
          <w:sz w:val="32"/>
          <w:szCs w:val="32"/>
        </w:rPr>
        <w:t>507.85</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176530</wp:posOffset>
            </wp:positionH>
            <wp:positionV relativeFrom="paragraph">
              <wp:posOffset>133985</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w:t>
      </w:r>
      <w:r>
        <w:rPr>
          <w:rFonts w:ascii="仿宋" w:eastAsia="仿宋"/>
          <w:color w:val="000000"/>
          <w:sz w:val="32"/>
          <w:szCs w:val="32"/>
        </w:rPr>
        <w:t>482.85</w:t>
      </w:r>
      <w:r>
        <w:rPr>
          <w:rFonts w:hint="eastAsia" w:ascii="仿宋" w:eastAsia="仿宋"/>
          <w:color w:val="000000"/>
          <w:sz w:val="32"/>
          <w:szCs w:val="32"/>
        </w:rPr>
        <w:t>万元，其中：基本支出366.52万元，占</w:t>
      </w:r>
      <w:r>
        <w:rPr>
          <w:rFonts w:ascii="仿宋" w:eastAsia="仿宋"/>
          <w:color w:val="000000"/>
          <w:sz w:val="32"/>
          <w:szCs w:val="32"/>
        </w:rPr>
        <w:t>75.9</w:t>
      </w:r>
      <w:r>
        <w:rPr>
          <w:rFonts w:hint="eastAsia" w:ascii="仿宋" w:eastAsia="仿宋"/>
          <w:color w:val="000000"/>
          <w:sz w:val="32"/>
          <w:szCs w:val="32"/>
        </w:rPr>
        <w:t>%；项目支出</w:t>
      </w:r>
      <w:r>
        <w:rPr>
          <w:rFonts w:ascii="仿宋" w:eastAsia="仿宋"/>
          <w:color w:val="000000"/>
          <w:sz w:val="32"/>
          <w:szCs w:val="32"/>
        </w:rPr>
        <w:t>116.33</w:t>
      </w:r>
      <w:r>
        <w:rPr>
          <w:rFonts w:hint="eastAsia" w:ascii="仿宋" w:eastAsia="仿宋"/>
          <w:color w:val="000000"/>
          <w:sz w:val="32"/>
          <w:szCs w:val="32"/>
        </w:rPr>
        <w:t>万元，占</w:t>
      </w:r>
      <w:r>
        <w:rPr>
          <w:rFonts w:ascii="仿宋" w:eastAsia="仿宋"/>
          <w:color w:val="000000"/>
          <w:sz w:val="32"/>
          <w:szCs w:val="32"/>
        </w:rPr>
        <w:t>24.1</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64135</wp:posOffset>
            </wp:positionH>
            <wp:positionV relativeFrom="paragraph">
              <wp:posOffset>135890</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w:t>
      </w:r>
      <w:r>
        <w:rPr>
          <w:rFonts w:ascii="仿宋" w:eastAsia="仿宋"/>
          <w:color w:val="000000"/>
          <w:sz w:val="32"/>
          <w:szCs w:val="32"/>
        </w:rPr>
        <w:t>507.85</w:t>
      </w:r>
      <w:r>
        <w:rPr>
          <w:rFonts w:hint="eastAsia" w:ascii="仿宋" w:eastAsia="仿宋"/>
          <w:color w:val="000000"/>
          <w:sz w:val="32"/>
          <w:szCs w:val="32"/>
        </w:rPr>
        <w:t>万元。与2019年相比，一般公共预算财政拨款收入较上年</w:t>
      </w:r>
      <w:r>
        <w:rPr>
          <w:rFonts w:hint="eastAsia" w:ascii="仿宋" w:eastAsia="仿宋"/>
          <w:color w:val="000000"/>
          <w:sz w:val="32"/>
          <w:szCs w:val="32"/>
          <w:lang w:eastAsia="zh-CN"/>
        </w:rPr>
        <w:t>增加</w:t>
      </w:r>
      <w:r>
        <w:rPr>
          <w:rFonts w:hint="eastAsia" w:ascii="仿宋_GB2312" w:eastAsia="仿宋_GB2312"/>
          <w:color w:val="000000"/>
          <w:spacing w:val="-2"/>
          <w:sz w:val="32"/>
          <w:szCs w:val="32"/>
        </w:rPr>
        <w:t>137.58万元，增加37.15%。</w:t>
      </w:r>
      <w:r>
        <w:rPr>
          <w:rFonts w:hint="eastAsia" w:ascii="仿宋" w:eastAsia="仿宋"/>
          <w:color w:val="000000"/>
          <w:sz w:val="32"/>
          <w:szCs w:val="32"/>
        </w:rPr>
        <w:t>增加的主要原因是2020年人员增加。2020年财政拨款支出</w:t>
      </w:r>
      <w:r>
        <w:rPr>
          <w:rFonts w:ascii="仿宋" w:eastAsia="仿宋"/>
          <w:color w:val="000000"/>
          <w:sz w:val="32"/>
          <w:szCs w:val="32"/>
        </w:rPr>
        <w:t>482.85</w:t>
      </w:r>
      <w:r>
        <w:rPr>
          <w:rFonts w:hint="eastAsia" w:ascii="仿宋" w:eastAsia="仿宋"/>
          <w:color w:val="000000"/>
          <w:sz w:val="32"/>
          <w:szCs w:val="32"/>
        </w:rPr>
        <w:t>万元，</w:t>
      </w:r>
      <w:r>
        <w:rPr>
          <w:rFonts w:hint="eastAsia" w:ascii="仿宋" w:eastAsia="仿宋"/>
          <w:sz w:val="32"/>
          <w:szCs w:val="32"/>
        </w:rPr>
        <w:t>较上年支出增加35.5万元，增加0.78%</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92710</wp:posOffset>
            </wp:positionH>
            <wp:positionV relativeFrom="paragraph">
              <wp:posOffset>221615</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ascii="仿宋_GB2312" w:eastAsia="仿宋_GB2312"/>
          <w:spacing w:val="-2"/>
          <w:sz w:val="32"/>
          <w:szCs w:val="32"/>
        </w:rPr>
        <w:t>482.85</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支出增加137.58万元，增加37.15%。主要原因一是当年安排部门预算项目经费较上年有所增加；二是2020年财政拨款支出包含了上年结转项目。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176530</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ascii="仿宋" w:eastAsia="仿宋"/>
          <w:color w:val="000000"/>
          <w:sz w:val="32"/>
          <w:szCs w:val="32"/>
        </w:rPr>
        <w:t>482.85</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bookmarkStart w:id="74" w:name="_GoBack"/>
      <w:bookmarkEnd w:id="74"/>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232.15</w:t>
      </w:r>
      <w:r>
        <w:rPr>
          <w:rFonts w:hint="eastAsia" w:ascii="仿宋" w:eastAsia="仿宋"/>
          <w:color w:val="000000"/>
          <w:sz w:val="32"/>
          <w:szCs w:val="32"/>
        </w:rPr>
        <w:t>万元，占</w:t>
      </w:r>
      <w:r>
        <w:rPr>
          <w:rFonts w:ascii="仿宋" w:eastAsia="仿宋"/>
          <w:color w:val="000000"/>
          <w:sz w:val="32"/>
          <w:szCs w:val="32"/>
        </w:rPr>
        <w:t>48.1%</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51.5</w:t>
      </w:r>
      <w:r>
        <w:rPr>
          <w:rFonts w:hint="eastAsia" w:ascii="仿宋" w:eastAsia="仿宋"/>
          <w:color w:val="000000"/>
          <w:sz w:val="32"/>
          <w:szCs w:val="32"/>
        </w:rPr>
        <w:t>万元，占</w:t>
      </w:r>
      <w:r>
        <w:rPr>
          <w:rFonts w:ascii="仿宋" w:eastAsia="仿宋"/>
          <w:color w:val="000000"/>
          <w:sz w:val="32"/>
          <w:szCs w:val="32"/>
        </w:rPr>
        <w:t>10.76%</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24.18</w:t>
      </w:r>
      <w:r>
        <w:rPr>
          <w:rFonts w:hint="eastAsia" w:ascii="仿宋" w:eastAsia="仿宋"/>
          <w:color w:val="000000"/>
          <w:sz w:val="32"/>
          <w:szCs w:val="32"/>
        </w:rPr>
        <w:t>万元，占</w:t>
      </w:r>
      <w:r>
        <w:rPr>
          <w:rFonts w:ascii="仿宋" w:eastAsia="仿宋"/>
          <w:color w:val="000000"/>
          <w:sz w:val="32"/>
          <w:szCs w:val="32"/>
        </w:rPr>
        <w:t>5%</w:t>
      </w:r>
      <w:r>
        <w:rPr>
          <w:rFonts w:hint="eastAsia" w:ascii="仿宋" w:eastAsia="仿宋"/>
          <w:color w:val="000000"/>
          <w:sz w:val="32"/>
          <w:szCs w:val="32"/>
        </w:rPr>
        <w:t>；</w:t>
      </w:r>
      <w:r>
        <w:rPr>
          <w:rFonts w:hint="eastAsia" w:ascii="仿宋" w:eastAsia="仿宋"/>
          <w:b/>
          <w:bCs/>
          <w:color w:val="000000"/>
          <w:sz w:val="32"/>
          <w:szCs w:val="32"/>
        </w:rPr>
        <w:t>农林水支出</w:t>
      </w:r>
      <w:r>
        <w:rPr>
          <w:rFonts w:ascii="仿宋" w:eastAsia="仿宋"/>
          <w:color w:val="000000"/>
          <w:sz w:val="32"/>
          <w:szCs w:val="32"/>
        </w:rPr>
        <w:t>145.41万元，占30.11%；</w:t>
      </w:r>
      <w:r>
        <w:rPr>
          <w:rFonts w:hint="eastAsia" w:ascii="仿宋" w:eastAsia="仿宋"/>
          <w:b/>
          <w:bCs/>
          <w:color w:val="000000"/>
          <w:sz w:val="32"/>
          <w:szCs w:val="32"/>
        </w:rPr>
        <w:t>住房保障支出</w:t>
      </w:r>
      <w:r>
        <w:rPr>
          <w:rFonts w:ascii="仿宋" w:eastAsia="仿宋"/>
          <w:color w:val="000000"/>
          <w:sz w:val="32"/>
          <w:szCs w:val="32"/>
        </w:rPr>
        <w:t>29.12</w:t>
      </w:r>
      <w:r>
        <w:rPr>
          <w:rFonts w:hint="eastAsia" w:ascii="仿宋" w:eastAsia="仿宋"/>
          <w:color w:val="000000"/>
          <w:sz w:val="32"/>
          <w:szCs w:val="32"/>
        </w:rPr>
        <w:t>万元，占</w:t>
      </w:r>
      <w:r>
        <w:rPr>
          <w:rFonts w:ascii="仿宋" w:eastAsia="仿宋"/>
          <w:color w:val="000000"/>
          <w:sz w:val="32"/>
          <w:szCs w:val="32"/>
        </w:rPr>
        <w:t>6.03%</w:t>
      </w:r>
      <w:r>
        <w:rPr>
          <w:rFonts w:hint="eastAsia" w:ascii="仿宋" w:eastAsia="仿宋"/>
          <w:color w:val="000000"/>
          <w:sz w:val="32"/>
          <w:szCs w:val="32"/>
        </w:rPr>
        <w:t>。</w:t>
      </w:r>
      <w:r>
        <w:rPr>
          <w:rFonts w:hint="eastAsia" w:ascii="仿宋" w:eastAsia="仿宋"/>
          <w:color w:val="000000"/>
          <w:sz w:val="32"/>
          <w:szCs w:val="32"/>
          <w:lang w:eastAsia="zh-CN"/>
        </w:rPr>
        <w:t>其他</w:t>
      </w:r>
      <w:r>
        <w:rPr>
          <w:rFonts w:hint="eastAsia" w:ascii="仿宋" w:eastAsia="仿宋"/>
          <w:b/>
          <w:bCs/>
          <w:color w:val="000000"/>
          <w:sz w:val="32"/>
          <w:szCs w:val="32"/>
        </w:rPr>
        <w:t>支出</w:t>
      </w:r>
      <w:r>
        <w:rPr>
          <w:rFonts w:hint="eastAsia" w:ascii="仿宋" w:eastAsia="仿宋"/>
          <w:color w:val="000000"/>
          <w:sz w:val="32"/>
          <w:szCs w:val="32"/>
        </w:rPr>
        <w:t>0.48万元，占0.001%</w:t>
      </w:r>
    </w:p>
    <w:p>
      <w:pPr>
        <w:spacing w:line="600" w:lineRule="exact"/>
        <w:ind w:firstLine="8320" w:firstLineChars="2600"/>
        <w:outlineLvl w:val="2"/>
        <w:rPr>
          <w:rFonts w:ascii="仿宋" w:eastAsia="仿宋"/>
          <w:b/>
          <w:color w:val="000000"/>
          <w:sz w:val="32"/>
          <w:szCs w:val="32"/>
        </w:rPr>
      </w:pPr>
      <w:bookmarkStart w:id="36" w:name="_Toc15378460"/>
      <w:bookmarkStart w:id="37" w:name="_Toc15377444"/>
      <w:bookmarkStart w:id="38" w:name="_Toc15377213"/>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539750</wp:posOffset>
            </wp:positionH>
            <wp:positionV relativeFrom="paragraph">
              <wp:posOffset>-7053580</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2020年一般公共预算数为</w:t>
      </w:r>
      <w:r>
        <w:rPr>
          <w:rFonts w:ascii="仿宋" w:eastAsia="仿宋"/>
          <w:bCs/>
          <w:color w:val="000000"/>
          <w:sz w:val="32"/>
          <w:szCs w:val="32"/>
        </w:rPr>
        <w:t>507.85</w:t>
      </w:r>
      <w:r>
        <w:rPr>
          <w:rFonts w:hint="eastAsia" w:ascii="仿宋" w:eastAsia="仿宋"/>
          <w:bCs/>
          <w:color w:val="000000"/>
          <w:sz w:val="32"/>
          <w:szCs w:val="32"/>
        </w:rPr>
        <w:t>万元，支出决算数为</w:t>
      </w:r>
      <w:r>
        <w:rPr>
          <w:rFonts w:ascii="仿宋" w:eastAsia="仿宋"/>
          <w:bCs/>
          <w:color w:val="000000"/>
          <w:sz w:val="32"/>
          <w:szCs w:val="32"/>
        </w:rPr>
        <w:t>482.85</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成预算9</w:t>
      </w:r>
      <w:r>
        <w:rPr>
          <w:rStyle w:val="15"/>
          <w:rFonts w:ascii="仿宋" w:eastAsia="仿宋"/>
          <w:b w:val="0"/>
          <w:bCs/>
          <w:color w:val="000000"/>
          <w:sz w:val="32"/>
          <w:szCs w:val="32"/>
        </w:rPr>
        <w:t>5</w:t>
      </w:r>
      <w:r>
        <w:rPr>
          <w:rStyle w:val="15"/>
          <w:rFonts w:hint="eastAsia" w:ascii="仿宋" w:eastAsia="仿宋"/>
          <w:b w:val="0"/>
          <w:bCs/>
          <w:color w:val="000000"/>
          <w:sz w:val="32"/>
          <w:szCs w:val="32"/>
        </w:rPr>
        <w:t>.1</w:t>
      </w:r>
      <w:r>
        <w:rPr>
          <w:rStyle w:val="15"/>
          <w:rFonts w:ascii="仿宋" w:eastAsia="仿宋"/>
          <w:b w:val="0"/>
          <w:bCs/>
          <w:color w:val="000000"/>
          <w:sz w:val="32"/>
          <w:szCs w:val="32"/>
        </w:rPr>
        <w:t>%</w:t>
      </w:r>
      <w:r>
        <w:rPr>
          <w:rStyle w:val="15"/>
          <w:rFonts w:hint="eastAsia" w:ascii="仿宋" w:eastAsia="仿宋"/>
          <w:b w:val="0"/>
          <w:bCs/>
          <w:color w:val="000000"/>
          <w:sz w:val="32"/>
          <w:szCs w:val="32"/>
        </w:rPr>
        <w:t>。结转下年</w:t>
      </w:r>
      <w:r>
        <w:rPr>
          <w:rStyle w:val="15"/>
          <w:rFonts w:ascii="仿宋" w:eastAsia="仿宋"/>
          <w:b w:val="0"/>
          <w:bCs/>
          <w:color w:val="000000"/>
          <w:sz w:val="32"/>
          <w:szCs w:val="32"/>
        </w:rPr>
        <w:t>25</w:t>
      </w:r>
      <w:r>
        <w:rPr>
          <w:rStyle w:val="15"/>
          <w:rFonts w:hint="eastAsia" w:ascii="仿宋" w:eastAsia="仿宋"/>
          <w:b w:val="0"/>
          <w:bCs/>
          <w:color w:val="000000"/>
          <w:sz w:val="32"/>
          <w:szCs w:val="32"/>
        </w:rPr>
        <w:t>万元。其中：</w:t>
      </w:r>
      <w:bookmarkEnd w:id="36"/>
      <w:bookmarkEnd w:id="37"/>
      <w:bookmarkEnd w:id="38"/>
    </w:p>
    <w:p>
      <w:pPr>
        <w:spacing w:line="600" w:lineRule="exact"/>
        <w:ind w:left="160" w:leftChars="76" w:firstLine="482" w:firstLineChars="150"/>
        <w:rPr>
          <w:rStyle w:val="15"/>
          <w:rFonts w:ascii="仿宋" w:eastAsia="仿宋"/>
          <w:b w:val="0"/>
          <w:bCs/>
          <w:color w:val="000000"/>
          <w:sz w:val="32"/>
          <w:szCs w:val="32"/>
        </w:rPr>
      </w:pPr>
      <w:r>
        <w:rPr>
          <w:rStyle w:val="15"/>
          <w:rFonts w:hint="eastAsia" w:ascii="仿宋" w:eastAsia="仿宋"/>
          <w:bCs/>
          <w:color w:val="000000"/>
          <w:sz w:val="32"/>
          <w:szCs w:val="32"/>
        </w:rPr>
        <w:t>1.一般公共服务（类）政府办公（室）及相关机构事务</w:t>
      </w:r>
      <w:r>
        <w:rPr>
          <w:rStyle w:val="15"/>
          <w:rFonts w:hint="eastAsia" w:ascii="仿宋" w:eastAsia="仿宋"/>
          <w:b w:val="0"/>
          <w:bCs/>
          <w:color w:val="000000"/>
          <w:sz w:val="32"/>
          <w:szCs w:val="32"/>
        </w:rPr>
        <w:t>支出决算为232.15万元，完成预算100</w:t>
      </w:r>
      <w:r>
        <w:rPr>
          <w:rStyle w:val="15"/>
          <w:rFonts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其他支出</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支出决算为0.48万元。</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社会保障和就业（类）行政事业单位离退休（款）机关事业单位基本养老保险缴费支出（项）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ascii="仿宋" w:eastAsia="仿宋"/>
          <w:b w:val="0"/>
          <w:bCs/>
          <w:color w:val="000000"/>
          <w:sz w:val="32"/>
          <w:szCs w:val="32"/>
        </w:rPr>
        <w:t>51.5</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ascii="仿宋" w:eastAsia="仿宋"/>
          <w:bCs/>
          <w:color w:val="000000"/>
          <w:sz w:val="32"/>
          <w:szCs w:val="32"/>
        </w:rPr>
        <w:t>4</w:t>
      </w:r>
      <w:r>
        <w:rPr>
          <w:rStyle w:val="15"/>
          <w:rFonts w:hint="eastAsia" w:ascii="仿宋" w:eastAsia="仿宋"/>
          <w:bCs/>
          <w:color w:val="000000"/>
          <w:sz w:val="32"/>
          <w:szCs w:val="32"/>
        </w:rPr>
        <w:t>.卫生健康支出（类）行政事业单位医疗（款）行政单位医疗（项）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ascii="仿宋" w:eastAsia="仿宋"/>
          <w:b w:val="0"/>
          <w:bCs/>
          <w:color w:val="000000"/>
          <w:sz w:val="32"/>
          <w:szCs w:val="32"/>
        </w:rPr>
        <w:t>24.18</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bookmarkStart w:id="40" w:name="_Toc15377214"/>
      <w:bookmarkStart w:id="41" w:name="_Toc15396608"/>
      <w:r>
        <w:rPr>
          <w:rStyle w:val="15"/>
          <w:rFonts w:ascii="仿宋" w:eastAsia="仿宋"/>
          <w:bCs/>
          <w:color w:val="000000"/>
          <w:sz w:val="32"/>
          <w:szCs w:val="32"/>
        </w:rPr>
        <w:t>5</w:t>
      </w:r>
      <w:r>
        <w:rPr>
          <w:rStyle w:val="15"/>
          <w:rFonts w:hint="eastAsia" w:ascii="仿宋" w:eastAsia="仿宋"/>
          <w:bCs/>
          <w:color w:val="000000"/>
          <w:sz w:val="32"/>
          <w:szCs w:val="32"/>
        </w:rPr>
        <w:t>.住房保障（类）住房改革支出（款）住房公积金（项）：</w:t>
      </w:r>
      <w:r>
        <w:rPr>
          <w:rStyle w:val="15"/>
          <w:rFonts w:hint="eastAsia" w:ascii="仿宋" w:eastAsia="仿宋"/>
          <w:b w:val="0"/>
          <w:bCs/>
          <w:color w:val="000000"/>
          <w:sz w:val="32"/>
          <w:szCs w:val="32"/>
        </w:rPr>
        <w:t>支出决算为</w:t>
      </w:r>
      <w:r>
        <w:rPr>
          <w:rStyle w:val="15"/>
          <w:rFonts w:ascii="仿宋" w:eastAsia="仿宋"/>
          <w:b w:val="0"/>
          <w:bCs/>
          <w:color w:val="000000"/>
          <w:sz w:val="32"/>
          <w:szCs w:val="32"/>
        </w:rPr>
        <w:t>29.12</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r>
        <w:rPr>
          <w:rStyle w:val="15"/>
          <w:rFonts w:hint="eastAsia" w:ascii="仿宋" w:eastAsia="仿宋"/>
          <w:bCs/>
          <w:color w:val="000000"/>
          <w:sz w:val="32"/>
          <w:szCs w:val="32"/>
        </w:rPr>
        <w:t>6.农林水支出</w:t>
      </w:r>
    </w:p>
    <w:p>
      <w:pPr>
        <w:spacing w:line="600" w:lineRule="exact"/>
      </w:pPr>
      <w:r>
        <w:rPr>
          <w:rStyle w:val="15"/>
          <w:rFonts w:hint="eastAsia" w:ascii="仿宋" w:eastAsia="仿宋"/>
          <w:b w:val="0"/>
          <w:bCs/>
          <w:color w:val="000000"/>
          <w:sz w:val="32"/>
          <w:szCs w:val="32"/>
        </w:rPr>
        <w:t>支出决算为</w:t>
      </w:r>
      <w:r>
        <w:rPr>
          <w:rStyle w:val="15"/>
          <w:rFonts w:ascii="仿宋" w:eastAsia="仿宋"/>
          <w:b w:val="0"/>
          <w:bCs/>
          <w:color w:val="000000"/>
          <w:sz w:val="32"/>
          <w:szCs w:val="32"/>
        </w:rPr>
        <w:t>145.42</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年一般公共预算财政拨款基本支出366.52万元，其中：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295.98</w:t>
      </w:r>
      <w:r>
        <w:rPr>
          <w:rFonts w:hint="eastAsia" w:ascii="仿宋" w:eastAsia="仿宋"/>
          <w:color w:val="000000"/>
          <w:sz w:val="32"/>
          <w:szCs w:val="32"/>
        </w:rPr>
        <w:t>万元，主要包括：基本工资</w:t>
      </w:r>
      <w:r>
        <w:rPr>
          <w:rFonts w:ascii="仿宋" w:eastAsia="仿宋"/>
          <w:color w:val="000000"/>
          <w:sz w:val="32"/>
          <w:szCs w:val="32"/>
        </w:rPr>
        <w:t>71.92</w:t>
      </w:r>
      <w:r>
        <w:rPr>
          <w:rFonts w:hint="eastAsia" w:ascii="仿宋" w:eastAsia="仿宋"/>
          <w:color w:val="000000"/>
          <w:sz w:val="32"/>
          <w:szCs w:val="32"/>
        </w:rPr>
        <w:t>万元、津贴补贴</w:t>
      </w:r>
      <w:r>
        <w:rPr>
          <w:rFonts w:ascii="仿宋" w:eastAsia="仿宋"/>
          <w:color w:val="000000"/>
          <w:sz w:val="32"/>
          <w:szCs w:val="32"/>
        </w:rPr>
        <w:t>112.71</w:t>
      </w:r>
      <w:r>
        <w:rPr>
          <w:rFonts w:hint="eastAsia" w:ascii="仿宋" w:eastAsia="仿宋"/>
          <w:color w:val="000000"/>
          <w:sz w:val="32"/>
          <w:szCs w:val="32"/>
        </w:rPr>
        <w:t>万元、奖金</w:t>
      </w:r>
      <w:r>
        <w:rPr>
          <w:rFonts w:ascii="仿宋" w:eastAsia="仿宋"/>
          <w:color w:val="000000"/>
          <w:sz w:val="32"/>
          <w:szCs w:val="32"/>
        </w:rPr>
        <w:t>6.27</w:t>
      </w:r>
      <w:r>
        <w:rPr>
          <w:rFonts w:hint="eastAsia" w:ascii="仿宋" w:eastAsia="仿宋"/>
          <w:color w:val="000000"/>
          <w:sz w:val="32"/>
          <w:szCs w:val="32"/>
        </w:rPr>
        <w:t>万元、</w:t>
      </w:r>
      <w:r>
        <w:rPr>
          <w:rFonts w:ascii="仿宋" w:eastAsia="仿宋"/>
          <w:color w:val="000000"/>
          <w:sz w:val="32"/>
          <w:szCs w:val="32"/>
        </w:rPr>
        <w:t>绩效工资14.4</w:t>
      </w:r>
      <w:r>
        <w:rPr>
          <w:rFonts w:hint="eastAsia" w:ascii="仿宋" w:eastAsia="仿宋"/>
          <w:color w:val="000000"/>
          <w:sz w:val="32"/>
          <w:szCs w:val="32"/>
        </w:rPr>
        <w:t>万元、机关事业单位基本养老保险缴费</w:t>
      </w:r>
      <w:r>
        <w:rPr>
          <w:rFonts w:ascii="仿宋" w:eastAsia="仿宋"/>
          <w:color w:val="000000"/>
          <w:sz w:val="32"/>
          <w:szCs w:val="32"/>
        </w:rPr>
        <w:t>27.97</w:t>
      </w:r>
      <w:r>
        <w:rPr>
          <w:rFonts w:hint="eastAsia" w:ascii="仿宋" w:eastAsia="仿宋"/>
          <w:color w:val="000000"/>
          <w:sz w:val="32"/>
          <w:szCs w:val="32"/>
        </w:rPr>
        <w:t>万元、职业年金缴费</w:t>
      </w:r>
      <w:r>
        <w:rPr>
          <w:rFonts w:ascii="仿宋" w:eastAsia="仿宋"/>
          <w:color w:val="000000"/>
          <w:sz w:val="32"/>
          <w:szCs w:val="32"/>
        </w:rPr>
        <w:t>13.53</w:t>
      </w:r>
      <w:r>
        <w:rPr>
          <w:rFonts w:hint="eastAsia" w:ascii="仿宋" w:eastAsia="仿宋"/>
          <w:color w:val="000000"/>
          <w:sz w:val="32"/>
          <w:szCs w:val="32"/>
        </w:rPr>
        <w:t>万元、职工基本医疗保险缴费</w:t>
      </w:r>
      <w:r>
        <w:rPr>
          <w:rFonts w:ascii="仿宋" w:eastAsia="仿宋"/>
          <w:color w:val="000000"/>
          <w:sz w:val="32"/>
          <w:szCs w:val="32"/>
        </w:rPr>
        <w:t>13.32</w:t>
      </w:r>
      <w:r>
        <w:rPr>
          <w:rFonts w:hint="eastAsia" w:ascii="仿宋" w:eastAsia="仿宋"/>
          <w:color w:val="000000"/>
          <w:sz w:val="32"/>
          <w:szCs w:val="32"/>
        </w:rPr>
        <w:t>万元、公务员医疗补助缴费</w:t>
      </w:r>
      <w:r>
        <w:rPr>
          <w:rFonts w:ascii="仿宋" w:eastAsia="仿宋"/>
          <w:color w:val="000000"/>
          <w:sz w:val="32"/>
          <w:szCs w:val="32"/>
        </w:rPr>
        <w:t>4.47</w:t>
      </w:r>
      <w:r>
        <w:rPr>
          <w:rFonts w:hint="eastAsia" w:ascii="仿宋" w:eastAsia="仿宋"/>
          <w:color w:val="000000"/>
          <w:sz w:val="32"/>
          <w:szCs w:val="32"/>
        </w:rPr>
        <w:t>万元、其他社会保障缴费</w:t>
      </w:r>
      <w:r>
        <w:rPr>
          <w:rFonts w:ascii="仿宋" w:eastAsia="仿宋"/>
          <w:color w:val="000000"/>
          <w:sz w:val="32"/>
          <w:szCs w:val="32"/>
        </w:rPr>
        <w:t>2.27</w:t>
      </w:r>
      <w:r>
        <w:rPr>
          <w:rFonts w:hint="eastAsia" w:ascii="仿宋" w:eastAsia="仿宋"/>
          <w:color w:val="000000"/>
          <w:sz w:val="32"/>
          <w:szCs w:val="32"/>
        </w:rPr>
        <w:t>万元、其他工资福利支出</w:t>
      </w:r>
      <w:r>
        <w:rPr>
          <w:rFonts w:ascii="仿宋" w:eastAsia="仿宋"/>
          <w:color w:val="000000"/>
          <w:sz w:val="32"/>
          <w:szCs w:val="32"/>
        </w:rPr>
        <w:t>0</w:t>
      </w:r>
      <w:r>
        <w:rPr>
          <w:rFonts w:hint="eastAsia" w:ascii="仿宋" w:eastAsia="仿宋"/>
          <w:color w:val="000000"/>
          <w:sz w:val="32"/>
          <w:szCs w:val="32"/>
        </w:rPr>
        <w:t>万元、生活补助</w:t>
      </w:r>
      <w:r>
        <w:rPr>
          <w:rFonts w:ascii="仿宋" w:eastAsia="仿宋"/>
          <w:color w:val="000000"/>
          <w:sz w:val="32"/>
          <w:szCs w:val="32"/>
        </w:rPr>
        <w:t>0</w:t>
      </w:r>
      <w:r>
        <w:rPr>
          <w:rFonts w:hint="eastAsia" w:ascii="仿宋" w:eastAsia="仿宋"/>
          <w:color w:val="000000"/>
          <w:sz w:val="32"/>
          <w:szCs w:val="32"/>
        </w:rPr>
        <w:t>万元、抚恤金</w:t>
      </w:r>
      <w:r>
        <w:rPr>
          <w:rFonts w:ascii="仿宋" w:eastAsia="仿宋"/>
          <w:color w:val="000000"/>
          <w:sz w:val="32"/>
          <w:szCs w:val="32"/>
        </w:rPr>
        <w:t>0</w:t>
      </w:r>
      <w:r>
        <w:rPr>
          <w:rFonts w:hint="eastAsia" w:ascii="仿宋" w:eastAsia="仿宋"/>
          <w:color w:val="000000"/>
          <w:sz w:val="32"/>
          <w:szCs w:val="32"/>
        </w:rPr>
        <w:t>、住房公积金</w:t>
      </w:r>
      <w:r>
        <w:rPr>
          <w:rFonts w:ascii="仿宋" w:eastAsia="仿宋"/>
          <w:color w:val="000000"/>
          <w:sz w:val="32"/>
          <w:szCs w:val="32"/>
        </w:rPr>
        <w:t>29.12</w:t>
      </w:r>
      <w:r>
        <w:rPr>
          <w:rFonts w:hint="eastAsia" w:ascii="仿宋" w:eastAsia="仿宋"/>
          <w:color w:val="000000"/>
          <w:sz w:val="32"/>
          <w:szCs w:val="32"/>
        </w:rPr>
        <w:t>万元、其他对个人和家庭的补助支出</w:t>
      </w:r>
      <w:r>
        <w:rPr>
          <w:rFonts w:ascii="仿宋" w:eastAsia="仿宋"/>
          <w:color w:val="000000"/>
          <w:sz w:val="32"/>
          <w:szCs w:val="32"/>
        </w:rPr>
        <w:t>50.28</w:t>
      </w:r>
      <w:r>
        <w:rPr>
          <w:rFonts w:hint="eastAsia" w:ascii="仿宋" w:eastAsia="仿宋"/>
          <w:color w:val="000000"/>
          <w:sz w:val="32"/>
          <w:szCs w:val="32"/>
        </w:rPr>
        <w:t>万元等。</w:t>
      </w:r>
      <w:r>
        <w:rPr>
          <w:rFonts w:ascii="仿宋" w:eastAsia="仿宋"/>
          <w:color w:val="000000"/>
          <w:sz w:val="32"/>
          <w:szCs w:val="32"/>
        </w:rPr>
        <w:br w:type="textWrapping"/>
      </w:r>
      <w:r>
        <w:rPr>
          <w:rFonts w:hint="eastAsia" w:ascii="仿宋" w:eastAsia="仿宋"/>
          <w:color w:val="000000"/>
          <w:sz w:val="32"/>
          <w:szCs w:val="32"/>
        </w:rPr>
        <w:t>　　公用经费</w:t>
      </w:r>
      <w:r>
        <w:rPr>
          <w:rFonts w:ascii="仿宋" w:eastAsia="仿宋"/>
          <w:color w:val="000000"/>
          <w:sz w:val="32"/>
          <w:szCs w:val="32"/>
        </w:rPr>
        <w:t>20.26</w:t>
      </w:r>
      <w:r>
        <w:rPr>
          <w:rFonts w:hint="eastAsia" w:ascii="仿宋" w:eastAsia="仿宋"/>
          <w:color w:val="000000"/>
          <w:sz w:val="32"/>
          <w:szCs w:val="32"/>
        </w:rPr>
        <w:t>万元，主要包括：办公费</w:t>
      </w:r>
      <w:r>
        <w:rPr>
          <w:rFonts w:ascii="仿宋" w:eastAsia="仿宋"/>
          <w:color w:val="000000"/>
          <w:sz w:val="32"/>
          <w:szCs w:val="32"/>
        </w:rPr>
        <w:t>7.31</w:t>
      </w:r>
      <w:r>
        <w:rPr>
          <w:rFonts w:hint="eastAsia" w:ascii="仿宋" w:eastAsia="仿宋"/>
          <w:color w:val="000000"/>
          <w:sz w:val="32"/>
          <w:szCs w:val="32"/>
        </w:rPr>
        <w:t>万元、手续费</w:t>
      </w:r>
      <w:r>
        <w:rPr>
          <w:rFonts w:ascii="仿宋" w:eastAsia="仿宋"/>
          <w:color w:val="000000"/>
          <w:sz w:val="32"/>
          <w:szCs w:val="32"/>
        </w:rPr>
        <w:t>0</w:t>
      </w:r>
      <w:r>
        <w:rPr>
          <w:rFonts w:hint="eastAsia" w:ascii="仿宋" w:eastAsia="仿宋"/>
          <w:color w:val="000000"/>
          <w:sz w:val="32"/>
          <w:szCs w:val="32"/>
        </w:rPr>
        <w:t>万元、水费</w:t>
      </w:r>
      <w:r>
        <w:rPr>
          <w:rFonts w:ascii="仿宋" w:eastAsia="仿宋"/>
          <w:color w:val="000000"/>
          <w:sz w:val="32"/>
          <w:szCs w:val="32"/>
        </w:rPr>
        <w:t>0</w:t>
      </w:r>
      <w:r>
        <w:rPr>
          <w:rFonts w:hint="eastAsia" w:ascii="仿宋" w:eastAsia="仿宋"/>
          <w:color w:val="000000"/>
          <w:sz w:val="32"/>
          <w:szCs w:val="32"/>
        </w:rPr>
        <w:t>万元、电费</w:t>
      </w:r>
      <w:r>
        <w:rPr>
          <w:rFonts w:ascii="仿宋" w:eastAsia="仿宋"/>
          <w:color w:val="000000"/>
          <w:sz w:val="32"/>
          <w:szCs w:val="32"/>
        </w:rPr>
        <w:t>1</w:t>
      </w:r>
      <w:r>
        <w:rPr>
          <w:rFonts w:hint="eastAsia" w:ascii="仿宋" w:eastAsia="仿宋"/>
          <w:color w:val="000000"/>
          <w:sz w:val="32"/>
          <w:szCs w:val="32"/>
        </w:rPr>
        <w:t>万元、邮电费</w:t>
      </w:r>
      <w:r>
        <w:rPr>
          <w:rFonts w:ascii="仿宋" w:eastAsia="仿宋"/>
          <w:color w:val="000000"/>
          <w:sz w:val="32"/>
          <w:szCs w:val="32"/>
        </w:rPr>
        <w:t>2</w:t>
      </w:r>
      <w:r>
        <w:rPr>
          <w:rFonts w:hint="eastAsia" w:ascii="仿宋" w:eastAsia="仿宋"/>
          <w:color w:val="000000"/>
          <w:sz w:val="32"/>
          <w:szCs w:val="32"/>
        </w:rPr>
        <w:t>万元、</w:t>
      </w:r>
      <w:r>
        <w:rPr>
          <w:rFonts w:ascii="仿宋" w:eastAsia="仿宋"/>
          <w:color w:val="000000"/>
          <w:sz w:val="32"/>
          <w:szCs w:val="32"/>
        </w:rPr>
        <w:t>取暖</w:t>
      </w:r>
      <w:r>
        <w:rPr>
          <w:rFonts w:hint="eastAsia" w:ascii="仿宋" w:eastAsia="仿宋"/>
          <w:color w:val="000000"/>
          <w:sz w:val="32"/>
          <w:szCs w:val="32"/>
        </w:rPr>
        <w:t>费</w:t>
      </w:r>
      <w:r>
        <w:rPr>
          <w:rFonts w:ascii="仿宋" w:eastAsia="仿宋"/>
          <w:color w:val="000000"/>
          <w:sz w:val="32"/>
          <w:szCs w:val="32"/>
        </w:rPr>
        <w:t>0.7</w:t>
      </w:r>
      <w:r>
        <w:rPr>
          <w:rFonts w:hint="eastAsia" w:ascii="仿宋" w:eastAsia="仿宋"/>
          <w:color w:val="000000"/>
          <w:sz w:val="32"/>
          <w:szCs w:val="32"/>
        </w:rPr>
        <w:t>万元、差旅费</w:t>
      </w:r>
      <w:r>
        <w:rPr>
          <w:rFonts w:ascii="仿宋" w:eastAsia="仿宋"/>
          <w:color w:val="000000"/>
          <w:sz w:val="32"/>
          <w:szCs w:val="32"/>
        </w:rPr>
        <w:t>3.6</w:t>
      </w:r>
      <w:r>
        <w:rPr>
          <w:rFonts w:hint="eastAsia" w:ascii="仿宋" w:eastAsia="仿宋"/>
          <w:color w:val="000000"/>
          <w:sz w:val="32"/>
          <w:szCs w:val="32"/>
        </w:rPr>
        <w:t>万元、因公出国（境）费用</w:t>
      </w:r>
      <w:r>
        <w:rPr>
          <w:rFonts w:ascii="仿宋" w:eastAsia="仿宋"/>
          <w:color w:val="000000"/>
          <w:sz w:val="32"/>
          <w:szCs w:val="32"/>
        </w:rPr>
        <w:t>0</w:t>
      </w:r>
      <w:r>
        <w:rPr>
          <w:rFonts w:hint="eastAsia" w:ascii="仿宋" w:eastAsia="仿宋"/>
          <w:color w:val="000000"/>
          <w:sz w:val="32"/>
          <w:szCs w:val="32"/>
        </w:rPr>
        <w:t>万元、维修（护）费</w:t>
      </w:r>
      <w:r>
        <w:rPr>
          <w:rFonts w:ascii="仿宋" w:eastAsia="仿宋"/>
          <w:color w:val="000000"/>
          <w:sz w:val="32"/>
          <w:szCs w:val="32"/>
        </w:rPr>
        <w:t>0</w:t>
      </w:r>
      <w:r>
        <w:rPr>
          <w:rFonts w:hint="eastAsia" w:ascii="仿宋" w:eastAsia="仿宋"/>
          <w:color w:val="000000"/>
          <w:sz w:val="32"/>
          <w:szCs w:val="32"/>
        </w:rPr>
        <w:t>万元、租赁费</w:t>
      </w:r>
      <w:r>
        <w:rPr>
          <w:rFonts w:ascii="仿宋" w:eastAsia="仿宋"/>
          <w:color w:val="000000"/>
          <w:sz w:val="32"/>
          <w:szCs w:val="32"/>
        </w:rPr>
        <w:t>0</w:t>
      </w:r>
      <w:r>
        <w:rPr>
          <w:rFonts w:hint="eastAsia" w:ascii="仿宋" w:eastAsia="仿宋"/>
          <w:color w:val="000000"/>
          <w:sz w:val="32"/>
          <w:szCs w:val="32"/>
        </w:rPr>
        <w:t>万元、会议费</w:t>
      </w:r>
      <w:r>
        <w:rPr>
          <w:rFonts w:ascii="仿宋" w:eastAsia="仿宋"/>
          <w:color w:val="000000"/>
          <w:sz w:val="32"/>
          <w:szCs w:val="32"/>
        </w:rPr>
        <w:t>0</w:t>
      </w:r>
      <w:r>
        <w:rPr>
          <w:rFonts w:hint="eastAsia" w:ascii="仿宋" w:eastAsia="仿宋"/>
          <w:color w:val="000000"/>
          <w:sz w:val="32"/>
          <w:szCs w:val="32"/>
        </w:rPr>
        <w:t>万元、培训费</w:t>
      </w:r>
      <w:r>
        <w:rPr>
          <w:rFonts w:ascii="仿宋" w:eastAsia="仿宋"/>
          <w:color w:val="000000"/>
          <w:sz w:val="32"/>
          <w:szCs w:val="32"/>
        </w:rPr>
        <w:t>0</w:t>
      </w:r>
      <w:r>
        <w:rPr>
          <w:rFonts w:hint="eastAsia" w:ascii="仿宋" w:eastAsia="仿宋"/>
          <w:color w:val="000000"/>
          <w:sz w:val="32"/>
          <w:szCs w:val="32"/>
        </w:rPr>
        <w:t>万元、</w:t>
      </w:r>
      <w:r>
        <w:rPr>
          <w:rFonts w:ascii="仿宋" w:eastAsia="仿宋"/>
          <w:color w:val="000000"/>
          <w:sz w:val="32"/>
          <w:szCs w:val="32"/>
        </w:rPr>
        <w:t>劳务费1.8</w:t>
      </w:r>
      <w:r>
        <w:rPr>
          <w:rFonts w:hint="eastAsia" w:ascii="仿宋" w:eastAsia="仿宋"/>
          <w:color w:val="000000"/>
          <w:sz w:val="32"/>
          <w:szCs w:val="32"/>
        </w:rPr>
        <w:t>万元、福利费</w:t>
      </w:r>
      <w:r>
        <w:rPr>
          <w:rFonts w:ascii="仿宋" w:eastAsia="仿宋"/>
          <w:color w:val="000000"/>
          <w:sz w:val="32"/>
          <w:szCs w:val="32"/>
        </w:rPr>
        <w:t>0</w:t>
      </w:r>
      <w:r>
        <w:rPr>
          <w:rFonts w:hint="eastAsia" w:ascii="仿宋" w:eastAsia="仿宋"/>
          <w:color w:val="000000"/>
          <w:sz w:val="32"/>
          <w:szCs w:val="32"/>
        </w:rPr>
        <w:t>万元、公务用车运行维护费</w:t>
      </w:r>
      <w:r>
        <w:rPr>
          <w:rFonts w:ascii="仿宋" w:eastAsia="仿宋"/>
          <w:color w:val="000000"/>
          <w:sz w:val="32"/>
          <w:szCs w:val="32"/>
        </w:rPr>
        <w:t>2.85</w:t>
      </w:r>
      <w:r>
        <w:rPr>
          <w:rFonts w:hint="eastAsia" w:ascii="仿宋" w:eastAsia="仿宋"/>
          <w:color w:val="000000"/>
          <w:sz w:val="32"/>
          <w:szCs w:val="32"/>
        </w:rPr>
        <w:t>万元、其他商品和服务支出</w:t>
      </w:r>
      <w:r>
        <w:rPr>
          <w:rFonts w:ascii="仿宋" w:eastAsia="仿宋"/>
          <w:color w:val="000000"/>
          <w:sz w:val="32"/>
          <w:szCs w:val="32"/>
        </w:rPr>
        <w:t>0</w:t>
      </w:r>
      <w:r>
        <w:rPr>
          <w:rFonts w:hint="eastAsia" w:ascii="仿宋" w:eastAsia="仿宋"/>
          <w:color w:val="000000"/>
          <w:sz w:val="32"/>
          <w:szCs w:val="32"/>
        </w:rPr>
        <w:t>万元、办公设备购置</w:t>
      </w:r>
      <w:r>
        <w:rPr>
          <w:rFonts w:ascii="仿宋" w:eastAsia="仿宋"/>
          <w:color w:val="000000"/>
          <w:sz w:val="32"/>
          <w:szCs w:val="32"/>
        </w:rPr>
        <w:t>0</w:t>
      </w:r>
      <w:r>
        <w:rPr>
          <w:rFonts w:hint="eastAsia" w:ascii="仿宋" w:eastAsia="仿宋"/>
          <w:color w:val="000000"/>
          <w:sz w:val="32"/>
          <w:szCs w:val="32"/>
        </w:rPr>
        <w:t>万元、无形资产购置</w:t>
      </w:r>
      <w:r>
        <w:rPr>
          <w:rFonts w:ascii="仿宋" w:eastAsia="仿宋"/>
          <w:color w:val="000000"/>
          <w:sz w:val="32"/>
          <w:szCs w:val="32"/>
        </w:rPr>
        <w:t>0</w:t>
      </w:r>
      <w:r>
        <w:rPr>
          <w:rFonts w:hint="eastAsia" w:ascii="仿宋" w:eastAsia="仿宋"/>
          <w:color w:val="000000"/>
          <w:sz w:val="32"/>
          <w:szCs w:val="32"/>
        </w:rPr>
        <w:t>万元等。</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年“三公”经费财政拨款支出决算为2.85万元，完成预算100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color w:val="000000"/>
          <w:sz w:val="32"/>
          <w:szCs w:val="32"/>
        </w:rPr>
        <w:t>2.85</w:t>
      </w:r>
      <w:r>
        <w:rPr>
          <w:rFonts w:hint="eastAsia" w:ascii="仿宋" w:eastAsia="仿宋"/>
          <w:sz w:val="32"/>
          <w:szCs w:val="32"/>
        </w:rPr>
        <w:t>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；公务用车购置及运行维护费支出决算2.85万元，占100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238760</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增加0万元，增加原因为受出国人次增加和出国目的地消费水平不同的影响，同比增长幅度较大。出国境经费均按相关文件执行。</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2.85万元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9年减少0.15万元，</w:t>
      </w:r>
      <w:r>
        <w:rPr>
          <w:rFonts w:hint="eastAsia" w:ascii="仿宋_GB2312" w:eastAsia="仿宋_GB2312"/>
          <w:sz w:val="32"/>
          <w:szCs w:val="32"/>
        </w:rPr>
        <w:t>下降0.5</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2.85万元。</w:t>
      </w:r>
      <w:r>
        <w:rPr>
          <w:rFonts w:hint="eastAsia" w:ascii="仿宋_GB2312" w:eastAsia="仿宋_GB2312"/>
          <w:color w:val="000000"/>
          <w:sz w:val="32"/>
          <w:szCs w:val="32"/>
        </w:rPr>
        <w:t>主要用我单位所需的公务用车燃料费、维修费、过路过桥费、保险费等支出。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公务接待费0万元，较上年减少0万元，减少0%，减少原因是严格执行有关规定，实行“先审批，后接待”制度，严格控制接待标准和陪餐人数，降低接待费用。</w:t>
      </w:r>
    </w:p>
    <w:p>
      <w:pPr>
        <w:spacing w:line="600" w:lineRule="exact"/>
        <w:ind w:firstLine="640"/>
        <w:outlineLvl w:val="1"/>
        <w:rPr>
          <w:rStyle w:val="18"/>
          <w:rFonts w:ascii="黑体" w:eastAsia="黑体"/>
        </w:rPr>
      </w:pPr>
      <w:bookmarkStart w:id="46" w:name="_Toc15396610"/>
      <w:bookmarkStart w:id="47" w:name="_Toc15377218"/>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3"/>
        </w:numPr>
        <w:spacing w:line="600" w:lineRule="exact"/>
        <w:ind w:firstLine="640"/>
        <w:outlineLvl w:val="1"/>
        <w:rPr>
          <w:rStyle w:val="18"/>
          <w:rFonts w:ascii="黑体" w:eastAsia="黑体"/>
          <w:b w:val="0"/>
        </w:rPr>
      </w:pPr>
      <w:bookmarkStart w:id="48" w:name="_Toc15377219"/>
      <w:bookmarkStart w:id="49" w:name="_Toc15396611"/>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2个项目编制了绩效目标，预算执行过程中，选取2个项目开展绩效监控，年终执行完毕后，对2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。本单位还自行组织了2个项目绩效评价，从评价情况来看我单位年初预算项目基本按照绩效目标完成支付，有部分项目结转质保金在下年质保期后进行支付。</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本部门在2020年度部门决算中反映牧场春场转场牧道建设等2个项目绩效目标实际完成情况。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牧场春场转场牧道建设”项目绩效目标完成情况综述。项目全年预算数25万元，执行数为25万元，完成预算的100%。因受到泥石流等灾害影响，一定程度上影响了群众日常出行，故2020年牧场春场转场牧道建设纳入年初预算，2020年进行了维修改造，年底前完成了改造。</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牧场春场转场牧道建设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通过维修改造，保障群众出行安全。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牧场春场转场牧道建设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牧场春场转场牧道建设宽4.2米，长4公里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材料、人工等费用控制在25万元以内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2.“下达村级建制调整改革资金”项目绩效目标完成情况综述。项目全年预算数10万元，执行数为10万元，完成预算的100%。通过.“下达村级建制调整改革资金”项目保障村级建制工作顺利开展。</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车辆大修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下达村级建制调整改革资金项目</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保质保量完成村级建制工作。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按计划保质保量完成了我乡村级建制工作。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个数</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计划完成3个村村级建制工作</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r>
              <w:rPr>
                <w:rFonts w:hint="eastAsia" w:ascii="宋体" w:cs="宋体"/>
                <w:color w:val="000000"/>
                <w:sz w:val="24"/>
                <w:lang w:eastAsia="zh-CN"/>
              </w:rPr>
              <w:t>完成</w:t>
            </w:r>
            <w:r>
              <w:rPr>
                <w:rFonts w:hint="eastAsia" w:ascii="宋体" w:cs="宋体"/>
                <w:color w:val="000000"/>
                <w:sz w:val="24"/>
              </w:rPr>
              <w:t>村级建制工作</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按计划保质保量完成村级建制工作</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时效指标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按时完成村级建制工作</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按时完成村级建制工作</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《阿坝州金川县撒瓦脚乡2020年部门预算整体支出绩效评价报告》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年，阿坝州人民政府办公室运行经费支出0万元，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年，政府采购支出总额2万元，其中：政府采购货物支出2万元、政府采购服务支出0万元。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p>
    <w:p>
      <w:pPr>
        <w:numPr>
          <w:ilvl w:val="0"/>
          <w:numId w:val="6"/>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黑体" w:eastAsia="黑体"/>
          <w:sz w:val="44"/>
          <w:szCs w:val="44"/>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96614"/>
      <w:bookmarkStart w:id="58" w:name="_Toc15377226"/>
    </w:p>
    <w:p>
      <w:pPr>
        <w:pStyle w:val="4"/>
        <w:rPr>
          <w:rStyle w:val="17"/>
          <w:rFonts w:ascii="仿宋" w:eastAsia="仿宋"/>
          <w:b w:val="0"/>
          <w:bCs w:val="0"/>
          <w:sz w:val="32"/>
          <w:szCs w:val="32"/>
        </w:rPr>
      </w:pPr>
      <w:bookmarkStart w:id="59" w:name="_Toc15396615"/>
    </w:p>
    <w:p/>
    <w:p>
      <w:pPr>
        <w:pStyle w:val="2"/>
        <w:ind w:left="840" w:hanging="420"/>
      </w:pPr>
    </w:p>
    <w:p/>
    <w:p>
      <w:pPr>
        <w:pStyle w:val="4"/>
        <w:rPr>
          <w:rStyle w:val="17"/>
          <w:rFonts w:ascii="仿宋" w:eastAsia="仿宋"/>
          <w:b w:val="0"/>
          <w:bCs w:val="0"/>
          <w:sz w:val="32"/>
          <w:szCs w:val="32"/>
        </w:rPr>
      </w:pPr>
      <w:r>
        <w:rPr>
          <w:rStyle w:val="17"/>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阿坝州金川县撒瓦脚乡人民政府</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阿坝州财政局关于开展2020年财政支出绩效评价工作的通知》（阿州财监绩〔2020〕11号）精神，撒瓦脚乡人民政府对2020年全年和2020年1-6月部门整体支出绩效进行了全面综合评价。经全面综合评价，我乡部门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总分为96分）。现将有关情况报告如下：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widowControl/>
        <w:spacing w:line="540"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lang w:val="zh-CN"/>
        </w:rPr>
        <w:t>撒瓦脚乡人民政府下设“一办四中心一所”：具体组成为：党政综合办公室、综合文化发展中心、社会保障综合服务中心、经济发展中心、撒瓦脚乡财政所。</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widowControl/>
        <w:spacing w:line="540"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eastAsia="仿宋_GB2312" w:cs="仿宋_GB2312"/>
          <w:color w:val="000000"/>
          <w:sz w:val="32"/>
          <w:szCs w:val="32"/>
          <w:lang w:eastAsia="zh-CN"/>
        </w:rPr>
        <w:t>其他事项</w:t>
      </w:r>
      <w:r>
        <w:rPr>
          <w:rFonts w:hint="eastAsia" w:asci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eastAsia="仿宋_GB2312" w:cs="仿宋_GB2312"/>
          <w:color w:val="000000"/>
          <w:sz w:val="32"/>
          <w:szCs w:val="32"/>
        </w:rPr>
        <w:t xml:space="preserve">撒瓦脚乡人民政府2020年年初在职24人，其中行政人员14人，行政工勤2人，事业人员8人；2020年年末在职27人，其中行政人员16人，行政工勤2人，事业人员10人。2021年1-6月独立编制单位机构数为1个，财政供养人员编制为29名，其中行政编制15名，行政工勤编制2名，事业编制12名（其中参照公务员法管理人员编制0人）；2021年1-6月实际财政供养人员29人，其中：行政15人，行政工勤2人， 事业12人，较上年增加5人， </w:t>
      </w:r>
      <w:r>
        <w:rPr>
          <w:rFonts w:hint="eastAsia" w:ascii="仿宋_GB2312" w:eastAsia="仿宋_GB2312"/>
          <w:sz w:val="32"/>
          <w:szCs w:val="32"/>
        </w:rPr>
        <w:t>主要原因是机构改革，人员增加，三站人员编制下划给乡镇。</w:t>
      </w:r>
    </w:p>
    <w:p>
      <w:pPr>
        <w:ind w:firstLine="640" w:firstLineChars="200"/>
        <w:rPr>
          <w:rFonts w:ascii="黑体" w:eastAsia="黑体"/>
          <w:sz w:val="32"/>
          <w:szCs w:val="32"/>
        </w:rPr>
      </w:pPr>
      <w:r>
        <w:rPr>
          <w:rFonts w:hint="eastAsia" w:ascii="黑体" w:eastAsia="黑体"/>
          <w:sz w:val="32"/>
          <w:szCs w:val="32"/>
        </w:rPr>
        <w:t>二、2020年及2020年1-6月财政资金当年收支情况</w:t>
      </w:r>
    </w:p>
    <w:p>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收入情况</w:t>
      </w:r>
    </w:p>
    <w:p>
      <w:pPr>
        <w:snapToGrid w:val="0"/>
        <w:spacing w:line="520" w:lineRule="exact"/>
        <w:ind w:firstLine="640" w:firstLineChars="200"/>
        <w:rPr>
          <w:rFonts w:ascii="仿宋_GB2312" w:eastAsia="仿宋_GB2312"/>
          <w:sz w:val="32"/>
          <w:szCs w:val="32"/>
        </w:rPr>
      </w:pPr>
      <w:r>
        <w:rPr>
          <w:rFonts w:hint="eastAsia" w:ascii="仿宋" w:eastAsia="仿宋"/>
          <w:color w:val="000000"/>
          <w:sz w:val="32"/>
          <w:szCs w:val="32"/>
        </w:rPr>
        <w:t>2020年财政拨款收入</w:t>
      </w:r>
      <w:r>
        <w:rPr>
          <w:rFonts w:ascii="仿宋" w:eastAsia="仿宋"/>
          <w:color w:val="000000"/>
          <w:sz w:val="32"/>
          <w:szCs w:val="32"/>
        </w:rPr>
        <w:t>507.85</w:t>
      </w:r>
      <w:r>
        <w:rPr>
          <w:rFonts w:hint="eastAsia" w:ascii="仿宋" w:eastAsia="仿宋"/>
          <w:color w:val="000000"/>
          <w:sz w:val="32"/>
          <w:szCs w:val="32"/>
        </w:rPr>
        <w:t>万元。与2019年相比，一般公共预算财政拨款收入较上年</w:t>
      </w:r>
      <w:r>
        <w:rPr>
          <w:rFonts w:hint="eastAsia" w:ascii="仿宋" w:eastAsia="仿宋"/>
          <w:color w:val="000000"/>
          <w:sz w:val="32"/>
          <w:szCs w:val="32"/>
          <w:lang w:eastAsia="zh-CN"/>
        </w:rPr>
        <w:t>增加</w:t>
      </w:r>
      <w:r>
        <w:rPr>
          <w:rFonts w:hint="eastAsia" w:ascii="仿宋_GB2312" w:eastAsia="仿宋_GB2312"/>
          <w:color w:val="000000"/>
          <w:spacing w:val="-2"/>
          <w:sz w:val="32"/>
          <w:szCs w:val="32"/>
        </w:rPr>
        <w:t>137.58万元，增加37.15%。</w:t>
      </w:r>
      <w:r>
        <w:rPr>
          <w:rFonts w:hint="eastAsia" w:ascii="仿宋" w:eastAsia="仿宋"/>
          <w:color w:val="000000"/>
          <w:sz w:val="32"/>
          <w:szCs w:val="32"/>
        </w:rPr>
        <w:t>增加的主要原因是2020年人员增加。2020年财政拨款支出</w:t>
      </w:r>
      <w:r>
        <w:rPr>
          <w:rFonts w:ascii="仿宋" w:eastAsia="仿宋"/>
          <w:color w:val="000000"/>
          <w:sz w:val="32"/>
          <w:szCs w:val="32"/>
        </w:rPr>
        <w:t>482.85</w:t>
      </w:r>
      <w:r>
        <w:rPr>
          <w:rFonts w:hint="eastAsia" w:ascii="仿宋" w:eastAsia="仿宋"/>
          <w:color w:val="000000"/>
          <w:sz w:val="32"/>
          <w:szCs w:val="32"/>
        </w:rPr>
        <w:t>万元，</w:t>
      </w:r>
      <w:r>
        <w:rPr>
          <w:rFonts w:hint="eastAsia" w:ascii="仿宋" w:eastAsia="仿宋"/>
          <w:sz w:val="32"/>
          <w:szCs w:val="32"/>
        </w:rPr>
        <w:t>较上年支出增加35.5万元，增加0.78%</w:t>
      </w:r>
      <w:r>
        <w:rPr>
          <w:rFonts w:hint="eastAsia" w:ascii="仿宋_GB2312" w:eastAsia="仿宋_GB2312"/>
          <w:spacing w:val="-2"/>
          <w:sz w:val="32"/>
          <w:szCs w:val="32"/>
        </w:rPr>
        <w:t>。</w:t>
      </w:r>
    </w:p>
    <w:p>
      <w:pPr>
        <w:snapToGrid w:val="0"/>
        <w:spacing w:line="540" w:lineRule="exact"/>
        <w:ind w:firstLine="640" w:firstLineChars="200"/>
      </w:pPr>
      <w:r>
        <w:rPr>
          <w:rFonts w:hint="eastAsia" w:ascii="仿宋_GB2312" w:eastAsia="仿宋_GB2312" w:cs="仿宋_GB2312"/>
          <w:sz w:val="32"/>
          <w:szCs w:val="32"/>
        </w:rPr>
        <w:t>2021年1-6月收入合计</w:t>
      </w:r>
      <w:r>
        <w:rPr>
          <w:rFonts w:hint="eastAsia" w:ascii="仿宋_GB2312" w:eastAsia="仿宋_GB2312" w:cs="仿宋_GB2312"/>
          <w:bCs/>
          <w:sz w:val="32"/>
          <w:szCs w:val="32"/>
        </w:rPr>
        <w:t>346.43万元，其中：一般公共预算财政拨款收入346.43万元。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napToGrid w:val="0"/>
        <w:spacing w:line="520" w:lineRule="exact"/>
        <w:ind w:firstLine="640" w:firstLineChars="200"/>
        <w:rPr>
          <w:rFonts w:ascii="仿宋_GB2312" w:eastAsia="仿宋_GB2312"/>
          <w:sz w:val="32"/>
          <w:szCs w:val="32"/>
        </w:rPr>
      </w:pPr>
      <w:r>
        <w:rPr>
          <w:rFonts w:hint="eastAsia" w:ascii="仿宋" w:eastAsia="仿宋"/>
          <w:color w:val="000000"/>
          <w:sz w:val="32"/>
          <w:szCs w:val="32"/>
        </w:rPr>
        <w:t>2020年财政拨款支出</w:t>
      </w:r>
      <w:r>
        <w:rPr>
          <w:rFonts w:ascii="仿宋" w:eastAsia="仿宋"/>
          <w:color w:val="000000"/>
          <w:sz w:val="32"/>
          <w:szCs w:val="32"/>
        </w:rPr>
        <w:t>482.85</w:t>
      </w:r>
      <w:r>
        <w:rPr>
          <w:rFonts w:hint="eastAsia" w:ascii="仿宋" w:eastAsia="仿宋"/>
          <w:color w:val="000000"/>
          <w:sz w:val="32"/>
          <w:szCs w:val="32"/>
        </w:rPr>
        <w:t>万元，</w:t>
      </w:r>
      <w:r>
        <w:rPr>
          <w:rFonts w:hint="eastAsia" w:ascii="仿宋" w:eastAsia="仿宋"/>
          <w:sz w:val="32"/>
          <w:szCs w:val="32"/>
        </w:rPr>
        <w:t>较上年支出增加35.5万元，增加0.78%</w:t>
      </w:r>
      <w:r>
        <w:rPr>
          <w:rFonts w:hint="eastAsia" w:ascii="仿宋_GB2312" w:eastAsia="仿宋_GB2312"/>
          <w:spacing w:val="-2"/>
          <w:sz w:val="32"/>
          <w:szCs w:val="32"/>
        </w:rPr>
        <w:t>。</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2021年1-6月财政总支出为331.15万元，其中：</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人员经费298.61万元，主要包括：基本工资56.05万元、津贴补贴77.48万元、绩效工资13.24万元、机关事业单位基本养老保险缴费21.04万元、职业年金缴费10.52万元、职工基本医疗保险缴费11万元、公务员医疗补助缴费3.53万元、其他社会保障缴费0.73万元、村干部工资2.54万元、委托业务费2.91万元、其他支出16.14万元、住房公积金22.19万元、奖励金79万元。公用经费10.03万元，主要包括：办公费2.31万元、取暖费0.55万元、邮电费0.64万元、差旅费0.65万元、公务用车运行维护费4.76万元、其他对个人和家庭的补助支出1.1万元。</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2021年1-6月项目支出22.51万元，为木赤村牧场春场转场牧道建设项目。</w:t>
      </w:r>
    </w:p>
    <w:p>
      <w:pPr>
        <w:numPr>
          <w:ilvl w:val="0"/>
          <w:numId w:val="8"/>
        </w:numPr>
        <w:ind w:firstLine="640" w:firstLineChars="200"/>
        <w:rPr>
          <w:rFonts w:ascii="黑体" w:eastAsia="黑体"/>
          <w:sz w:val="32"/>
          <w:szCs w:val="32"/>
        </w:rPr>
      </w:pPr>
      <w:r>
        <w:rPr>
          <w:rFonts w:hint="eastAsia" w:ascii="黑体" w:eastAsia="黑体"/>
          <w:sz w:val="32"/>
          <w:szCs w:val="32"/>
        </w:rPr>
        <w:t>2020年及2021年1-6月年财政支出管理情况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我办严格按照州级部门预算编制通知和有关要求，按时完成基础库、项目库报送工作，按时完成2020、2021年预算编制工作，并及时提交部门预算草案。按规定编制政府采购预算，预算编制全面、科学。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lang w:val="zh-CN"/>
        </w:rPr>
        <w:t>（二）执行管理情况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
          <w:sz w:val="32"/>
          <w:szCs w:val="32"/>
        </w:rPr>
        <w:t>2020年“三公”经费支出决算数为2.85万元，较上年减少支出0.15万元，减少0.5%。</w:t>
      </w:r>
      <w:r>
        <w:rPr>
          <w:rFonts w:hint="eastAsia" w:ascii="仿宋_GB2312" w:eastAsia="仿宋_GB2312" w:cs="仿宋_GB2312"/>
          <w:color w:val="000000"/>
          <w:sz w:val="32"/>
          <w:szCs w:val="32"/>
          <w:lang w:val="zh-CN"/>
        </w:rPr>
        <w:t>部门预算执行情况良好，但基本集中在下半年。支出情况中期评估不足，</w:t>
      </w:r>
      <w:r>
        <w:rPr>
          <w:rFonts w:hint="eastAsia" w:ascii="仿宋_GB2312" w:eastAsia="仿宋_GB2312" w:cs="仿宋_GB2312"/>
          <w:color w:val="000000"/>
          <w:sz w:val="32"/>
          <w:szCs w:val="32"/>
        </w:rPr>
        <w:t>2020年</w:t>
      </w:r>
      <w:r>
        <w:rPr>
          <w:rFonts w:hint="eastAsia" w:ascii="仿宋_GB2312" w:eastAsia="仿宋_GB2312" w:cs="仿宋_GB2312"/>
          <w:color w:val="000000"/>
          <w:sz w:val="32"/>
          <w:szCs w:val="32"/>
          <w:lang w:val="zh-CN"/>
        </w:rPr>
        <w:t>“三公”经费预算</w:t>
      </w:r>
      <w:r>
        <w:rPr>
          <w:rFonts w:hint="eastAsia" w:ascii="仿宋_GB2312" w:eastAsia="仿宋_GB2312" w:cs="仿宋_GB2312"/>
          <w:color w:val="000000"/>
          <w:sz w:val="32"/>
          <w:szCs w:val="32"/>
        </w:rPr>
        <w:t>2.85万元，其中公务接待费0万元，公务用车运行维护费2.85万元，实际支出2.85万元，公务接待费0万元，公务用车运行维护费2.85万元</w:t>
      </w:r>
      <w:r>
        <w:rPr>
          <w:rFonts w:hint="eastAsia" w:ascii="仿宋_GB2312" w:eastAsia="仿宋_GB2312" w:cs="仿宋_GB2312"/>
          <w:color w:val="000000"/>
          <w:sz w:val="32"/>
          <w:szCs w:val="32"/>
          <w:lang w:val="zh-CN"/>
        </w:rPr>
        <w:t>。</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w:t>
      </w:r>
      <w:r>
        <w:rPr>
          <w:rFonts w:hint="eastAsia" w:ascii="仿宋_GB2312" w:eastAsia="仿宋_GB2312" w:cs="仿宋_GB2312"/>
          <w:sz w:val="32"/>
          <w:szCs w:val="32"/>
          <w:lang w:val="zh-CN"/>
        </w:rPr>
        <w:t>“三公”经费预算</w:t>
      </w:r>
      <w:r>
        <w:rPr>
          <w:rFonts w:hint="eastAsia" w:ascii="仿宋_GB2312" w:eastAsia="仿宋_GB2312" w:cs="仿宋_GB2312"/>
          <w:sz w:val="32"/>
          <w:szCs w:val="32"/>
        </w:rPr>
        <w:t>5.8万元，其中公务接待费0万元，严格执行厉行节约的要求，认真贯彻落实中央八项规定及省委省政府十项规定要求，严格控制接待规模及接待标准。</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公务用车运行维护费5.8万元，1-6月实际支出公务接待费0万元，公务用车运行维护费4.76万元。</w:t>
      </w:r>
    </w:p>
    <w:p>
      <w:pPr>
        <w:ind w:firstLine="640" w:firstLineChars="200"/>
        <w:rPr>
          <w:rFonts w:ascii="仿宋" w:eastAsia="仿宋" w:cs="仿宋"/>
          <w:sz w:val="32"/>
          <w:szCs w:val="32"/>
        </w:rPr>
      </w:pPr>
      <w:r>
        <w:rPr>
          <w:rFonts w:hint="eastAsia" w:ascii="仿宋" w:eastAsia="仿宋" w:cs="仿宋"/>
          <w:sz w:val="32"/>
          <w:szCs w:val="32"/>
        </w:rPr>
        <w:t>2021年1-6月“三公”经费公务用车运行费支出</w:t>
      </w:r>
      <w:r>
        <w:rPr>
          <w:rFonts w:hint="eastAsia" w:ascii="仿宋_GB2312" w:eastAsia="仿宋_GB2312" w:cs="仿宋_GB2312"/>
          <w:sz w:val="32"/>
          <w:szCs w:val="32"/>
        </w:rPr>
        <w:t>4.76</w:t>
      </w:r>
      <w:r>
        <w:rPr>
          <w:rFonts w:hint="eastAsia" w:ascii="仿宋" w:eastAsia="仿宋" w:cs="仿宋"/>
          <w:sz w:val="32"/>
          <w:szCs w:val="32"/>
        </w:rPr>
        <w:t>万元，支出进度为82.01%。</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我单位认真贯彻落实中央和省委省政府相关规定，及时为我乡脱贫攻坚等重大工作提供后勤及资金保障。内控上厉行节约，严格控制因公出国（境）费用、会议费、车辆购置及运行费用和公务接待经费。</w:t>
      </w:r>
    </w:p>
    <w:p>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我单位深入贯彻落实“全面实施绩效管理”的要求，努力提升本单位绩效预算管理业务水平。主动公开绩效结果，加大资金使用效率，提升政府管理水平。及时告知各部门预算及项目支出进度。</w:t>
      </w:r>
    </w:p>
    <w:p>
      <w:pPr>
        <w:numPr>
          <w:ilvl w:val="0"/>
          <w:numId w:val="8"/>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r>
        <w:rPr>
          <w:rFonts w:hint="eastAsia" w:ascii="仿宋" w:eastAsia="仿宋" w:cs="仿宋"/>
          <w:sz w:val="32"/>
          <w:szCs w:val="32"/>
        </w:rPr>
        <w:t>扣除不存在的评价指标分值</w:t>
      </w:r>
      <w:r>
        <w:rPr>
          <w:rFonts w:hint="eastAsia" w:ascii="仿宋" w:eastAsia="仿宋" w:cs="仿宋"/>
          <w:sz w:val="32"/>
          <w:szCs w:val="32"/>
          <w:lang w:eastAsia="zh-CN"/>
        </w:rPr>
        <w:t>，</w:t>
      </w:r>
      <w:r>
        <w:rPr>
          <w:rFonts w:hint="eastAsia" w:ascii="仿宋" w:eastAsia="仿宋" w:cs="仿宋"/>
          <w:sz w:val="32"/>
          <w:szCs w:val="32"/>
        </w:rPr>
        <w:t>总分为96分，我办部门预算支出绩效自评得分94.7分。</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今年上半年，由于上半年重点在实现人员经费支出、日常经费正常支付、项目组织实施等方面，大多项目都还处于实施阶段，资金尚未支付，造成财政资金支出进度过慢。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撒瓦脚乡人民政府将采取有效措施，切实加强财务管理，加快财政资金支出进度：一是继续加强财务管理，严把支出审核关。严格执行国库集中支付、公务卡等相关管理制度，规范各项支出审核，严防超支，不断促进财务管理的</w:t>
      </w:r>
      <w:r>
        <w:rPr>
          <w:rFonts w:hint="eastAsia" w:ascii="仿宋_GB2312" w:eastAsia="仿宋_GB2312"/>
          <w:sz w:val="32"/>
          <w:szCs w:val="32"/>
          <w:lang w:eastAsia="zh-CN"/>
        </w:rPr>
        <w:t>法治化</w:t>
      </w:r>
      <w:r>
        <w:rPr>
          <w:rFonts w:hint="eastAsia" w:ascii="仿宋_GB2312" w:eastAsia="仿宋_GB2312"/>
          <w:sz w:val="32"/>
          <w:szCs w:val="32"/>
        </w:rPr>
        <w:t>、科学化、合理化运行。二是进一步加强预算监管，强化预算执行。三是继续加大项目实施力度，加快支出进度。</w:t>
      </w:r>
    </w:p>
    <w:p>
      <w:pPr>
        <w:spacing w:line="600" w:lineRule="exact"/>
        <w:jc w:val="center"/>
        <w:outlineLvl w:val="0"/>
        <w:rPr>
          <w:rFonts w:ascii="仿宋" w:eastAsia="仿宋"/>
          <w:b/>
          <w:color w:val="000000"/>
          <w:sz w:val="44"/>
          <w:szCs w:val="44"/>
        </w:rPr>
      </w:pPr>
    </w:p>
    <w:p>
      <w:pPr>
        <w:spacing w:line="600" w:lineRule="exact"/>
        <w:jc w:val="center"/>
        <w:outlineLvl w:val="0"/>
        <w:rPr>
          <w:rFonts w:ascii="黑体" w:eastAsia="黑体"/>
          <w:color w:val="000000"/>
          <w:sz w:val="44"/>
          <w:szCs w:val="44"/>
        </w:rPr>
      </w:pP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ind w:left="840" w:hanging="420"/>
      </w:pPr>
    </w:p>
    <w:p/>
    <w:p>
      <w:pPr>
        <w:pStyle w:val="2"/>
        <w:ind w:left="840" w:hanging="420"/>
      </w:pPr>
    </w:p>
    <w:p/>
    <w:p>
      <w:pPr>
        <w:pStyle w:val="2"/>
        <w:ind w:left="840" w:hanging="420"/>
      </w:pPr>
    </w:p>
    <w:p/>
    <w:p>
      <w:pPr>
        <w:pStyle w:val="2"/>
        <w:ind w:left="840" w:hanging="420"/>
      </w:pPr>
    </w:p>
    <w:p/>
    <w:p>
      <w:pPr>
        <w:pStyle w:val="2"/>
        <w:ind w:left="840" w:hanging="420"/>
      </w:pPr>
    </w:p>
    <w:p/>
    <w:p>
      <w:pPr>
        <w:pStyle w:val="2"/>
        <w:ind w:left="840" w:hanging="420"/>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2562756"/>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4</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930D3C7"/>
    <w:multiLevelType w:val="singleLevel"/>
    <w:tmpl w:val="5930D3C7"/>
    <w:lvl w:ilvl="0" w:tentative="0">
      <w:start w:val="3"/>
      <w:numFmt w:val="chineseCounting"/>
      <w:suff w:val="nothing"/>
      <w:lvlText w:val="%1、"/>
      <w:lvlJc w:val="left"/>
      <w:pPr>
        <w:ind w:left="0" w:firstLine="0"/>
      </w:pPr>
    </w:lvl>
  </w:abstractNum>
  <w:abstractNum w:abstractNumId="7">
    <w:nsid w:val="63E78AEE"/>
    <w:multiLevelType w:val="singleLevel"/>
    <w:tmpl w:val="63E78AEE"/>
    <w:lvl w:ilvl="0" w:tentative="0">
      <w:start w:val="1"/>
      <w:numFmt w:val="chineseCounting"/>
      <w:suff w:val="nothing"/>
      <w:lvlText w:val="（%1）"/>
      <w:lvlJc w:val="left"/>
      <w:pPr>
        <w:ind w:left="0" w:firstLine="0"/>
      </w:pPr>
      <w:rPr>
        <w:rFonts w:hint="eastAsia"/>
      </w:rPr>
    </w:lvl>
  </w:abstractNum>
  <w:abstractNum w:abstractNumId="8">
    <w:nsid w:val="78D72DD4"/>
    <w:multiLevelType w:val="singleLevel"/>
    <w:tmpl w:val="78D72DD4"/>
    <w:lvl w:ilvl="0" w:tentative="0">
      <w:start w:val="3"/>
      <w:numFmt w:val="decimal"/>
      <w:lvlText w:val="%1."/>
      <w:lvlJc w:val="left"/>
      <w:pPr>
        <w:ind w:left="0" w:firstLine="0"/>
      </w:pPr>
    </w:lvl>
  </w:abstractNum>
  <w:num w:numId="1">
    <w:abstractNumId w:val="4"/>
  </w:num>
  <w:num w:numId="2">
    <w:abstractNumId w:val="8"/>
  </w:num>
  <w:num w:numId="3">
    <w:abstractNumId w:val="0"/>
  </w:num>
  <w:num w:numId="4">
    <w:abstractNumId w:val="5"/>
  </w:num>
  <w:num w:numId="5">
    <w:abstractNumId w:val="2"/>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94315F"/>
    <w:rsid w:val="00124C7F"/>
    <w:rsid w:val="001A44A7"/>
    <w:rsid w:val="00391673"/>
    <w:rsid w:val="0094315F"/>
    <w:rsid w:val="3FB55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4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370.27</c:v>
                </c:pt>
                <c:pt idx="1">
                  <c:v>507.85</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447.65</c:v>
                </c:pt>
                <c:pt idx="1">
                  <c:v>482.85</c:v>
                </c:pt>
              </c:numCache>
            </c:numRef>
          </c:val>
        </c:ser>
        <c:dLbls>
          <c:showLegendKey val="0"/>
          <c:showVal val="0"/>
          <c:showCatName val="0"/>
          <c:showSerName val="0"/>
          <c:showPercent val="0"/>
          <c:showBubbleSize val="0"/>
        </c:dLbls>
        <c:gapWidth val="219"/>
        <c:overlap val="-27"/>
        <c:axId val="90760704"/>
        <c:axId val="90762240"/>
      </c:barChart>
      <c:catAx>
        <c:axId val="90760704"/>
        <c:scaling>
          <c:orientation val="minMax"/>
        </c:scaling>
        <c:delete val="0"/>
        <c:axPos val="b"/>
        <c:numFmt formatCode="General" sourceLinked="1"/>
        <c:majorTickMark val="none"/>
        <c:minorTickMark val="none"/>
        <c:tickLblPos val="nextTo"/>
        <c:spPr>
          <a:ln w="1270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90762240"/>
        <c:crosses val="autoZero"/>
        <c:auto val="1"/>
        <c:lblAlgn val="ctr"/>
        <c:lblOffset val="100"/>
        <c:noMultiLvlLbl val="0"/>
      </c:catAx>
      <c:valAx>
        <c:axId val="90762240"/>
        <c:scaling>
          <c:orientation val="minMax"/>
          <c:max val="4500"/>
          <c:min val="0"/>
        </c:scaling>
        <c:delete val="0"/>
        <c:axPos val="l"/>
        <c:majorGridlines>
          <c:spPr>
            <a:ln w="1270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90760704"/>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507.85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275.69</c:v>
                </c:pt>
                <c:pt idx="1">
                  <c:v>116.33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370.27</c:v>
                </c:pt>
                <c:pt idx="1">
                  <c:v>447.65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507.85</c:v>
                </c:pt>
                <c:pt idx="1">
                  <c:v>482.85</c:v>
                </c:pt>
              </c:numCache>
            </c:numRef>
          </c:val>
        </c:ser>
        <c:dLbls>
          <c:showLegendKey val="0"/>
          <c:showVal val="1"/>
          <c:showCatName val="0"/>
          <c:showSerName val="0"/>
          <c:showPercent val="0"/>
          <c:showBubbleSize val="0"/>
        </c:dLbls>
        <c:gapWidth val="219"/>
        <c:overlap val="-27"/>
        <c:axId val="121946496"/>
        <c:axId val="121948032"/>
      </c:barChart>
      <c:catAx>
        <c:axId val="121946496"/>
        <c:scaling>
          <c:orientation val="minMax"/>
        </c:scaling>
        <c:delete val="0"/>
        <c:axPos val="b"/>
        <c:numFmt formatCode="General" sourceLinked="1"/>
        <c:majorTickMark val="none"/>
        <c:minorTickMark val="none"/>
        <c:tickLblPos val="nextTo"/>
        <c:spPr>
          <a:ln w="1270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21948032"/>
        <c:crosses val="autoZero"/>
        <c:auto val="1"/>
        <c:lblAlgn val="ctr"/>
        <c:lblOffset val="100"/>
        <c:noMultiLvlLbl val="0"/>
      </c:catAx>
      <c:valAx>
        <c:axId val="121948032"/>
        <c:scaling>
          <c:orientation val="minMax"/>
          <c:max val="4500"/>
          <c:min val="0"/>
        </c:scaling>
        <c:delete val="0"/>
        <c:axPos val="l"/>
        <c:majorGridlines>
          <c:spPr>
            <a:ln w="1270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219464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447.65</c:v>
                </c:pt>
                <c:pt idx="1">
                  <c:v>482.85</c:v>
                </c:pt>
              </c:numCache>
            </c:numRef>
          </c:val>
        </c:ser>
        <c:dLbls>
          <c:showLegendKey val="0"/>
          <c:showVal val="1"/>
          <c:showCatName val="0"/>
          <c:showSerName val="0"/>
          <c:showPercent val="0"/>
          <c:showBubbleSize val="0"/>
        </c:dLbls>
        <c:gapWidth val="219"/>
        <c:overlap val="-27"/>
        <c:axId val="122092160"/>
        <c:axId val="124191104"/>
      </c:barChart>
      <c:catAx>
        <c:axId val="122092160"/>
        <c:scaling>
          <c:orientation val="minMax"/>
        </c:scaling>
        <c:delete val="0"/>
        <c:axPos val="b"/>
        <c:numFmt formatCode="General" sourceLinked="1"/>
        <c:majorTickMark val="none"/>
        <c:minorTickMark val="none"/>
        <c:tickLblPos val="nextTo"/>
        <c:spPr>
          <a:ln w="1270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24191104"/>
        <c:crosses val="autoZero"/>
        <c:auto val="1"/>
        <c:lblAlgn val="ctr"/>
        <c:lblOffset val="100"/>
        <c:noMultiLvlLbl val="0"/>
      </c:catAx>
      <c:valAx>
        <c:axId val="124191104"/>
        <c:scaling>
          <c:orientation val="minMax"/>
          <c:max val="4500"/>
          <c:min val="0"/>
        </c:scaling>
        <c:delete val="0"/>
        <c:axPos val="l"/>
        <c:majorGridlines>
          <c:spPr>
            <a:ln w="1270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crossAx val="12209216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gap"/>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其他支出</c:v>
                </c:pt>
                <c:pt idx="3">
                  <c:v>农林水</c:v>
                </c:pt>
                <c:pt idx="4">
                  <c:v>医疗卫生支出</c:v>
                </c:pt>
                <c:pt idx="5">
                  <c:v>住房保障</c:v>
                </c:pt>
              </c:strCache>
            </c:strRef>
          </c:cat>
          <c:val>
            <c:numRef>
              <c:f>'Sheet1 (6)'!$B$2:$B$7</c:f>
              <c:numCache>
                <c:formatCode>General</c:formatCode>
                <c:ptCount val="6"/>
                <c:pt idx="0">
                  <c:v>232.15</c:v>
                </c:pt>
                <c:pt idx="1">
                  <c:v>51.5</c:v>
                </c:pt>
                <c:pt idx="2">
                  <c:v>0.48</c:v>
                </c:pt>
                <c:pt idx="3">
                  <c:v>145.42</c:v>
                </c:pt>
                <c:pt idx="4">
                  <c:v>24.18</c:v>
                </c:pt>
                <c:pt idx="5">
                  <c:v>29.12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Arial" panose="020B0604020202020204" pitchFamily="2"/>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2.85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Arial" panose="020B0604020202020204" pitchFamily="2"/>
            </a:defRPr>
          </a:pPr>
        </a:p>
      </c:txPr>
    </c:legend>
    <c:plotVisOnly val="1"/>
    <c:dispBlanksAs val="zero"/>
    <c:showDLblsOverMax val="0"/>
  </c:chart>
  <c:spPr>
    <a:solidFill>
      <a:srgbClr val="FFFFFF"/>
    </a:solidFill>
    <a:ln w="1270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Arial" panose="020B0604020202020204" pitchFamily="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1677</Words>
  <Characters>9563</Characters>
  <Lines>79</Lines>
  <Paragraphs>22</Paragraphs>
  <TotalTime>1</TotalTime>
  <ScaleCrop>false</ScaleCrop>
  <LinksUpToDate>false</LinksUpToDate>
  <CharactersWithSpaces>11218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2021-09-17T08:16:00Z</dcterms:created>
  <dc:creator>张彬茜</dc:creator>
  <cp:lastModifiedBy>不改</cp:lastModifiedBy>
  <cp:lastPrinted>2021-09-17T07:31:00Z</cp:lastPrinted>
  <dcterms:modified xsi:type="dcterms:W3CDTF">2021-09-27T03:23:57Z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