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cs="Times New Roman"/>
          <w:color w:val="000000"/>
          <w:sz w:val="36"/>
          <w:szCs w:val="36"/>
        </w:rPr>
      </w:pPr>
      <w:r>
        <w:rPr>
          <w:rFonts w:hint="eastAsia" w:ascii="方正小标宋简体" w:hAnsi="宋体" w:eastAsia="方正小标宋简体" w:cs="Times New Roman"/>
          <w:color w:val="000000"/>
          <w:sz w:val="36"/>
          <w:szCs w:val="36"/>
          <w:lang w:eastAsia="zh-CN"/>
        </w:rPr>
        <w:t>阿坝州金川县撒瓦脚乡人民政府</w:t>
      </w:r>
      <w:r>
        <w:rPr>
          <w:rFonts w:hint="eastAsia" w:ascii="方正小标宋简体" w:hAnsi="宋体" w:eastAsia="方正小标宋简体" w:cs="Times New Roman"/>
          <w:color w:val="000000"/>
          <w:sz w:val="36"/>
          <w:szCs w:val="36"/>
        </w:rPr>
        <w:t>201</w:t>
      </w:r>
      <w:r>
        <w:rPr>
          <w:rFonts w:hint="eastAsia" w:ascii="方正小标宋简体" w:hAnsi="宋体" w:eastAsia="方正小标宋简体" w:cs="Times New Roman"/>
          <w:color w:val="000000"/>
          <w:sz w:val="36"/>
          <w:szCs w:val="36"/>
          <w:lang w:val="en-US" w:eastAsia="zh-CN"/>
        </w:rPr>
        <w:t>8</w:t>
      </w:r>
      <w:r>
        <w:rPr>
          <w:rFonts w:hint="eastAsia" w:ascii="方正小标宋简体" w:hAnsi="宋体" w:eastAsia="方正小标宋简体" w:cs="Times New Roman"/>
          <w:color w:val="000000"/>
          <w:sz w:val="36"/>
          <w:szCs w:val="36"/>
        </w:rPr>
        <w:t xml:space="preserve">年决算公开  </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目 录</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一、基本职能及主要工作</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（一）主要职能。</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（二）201</w:t>
      </w:r>
      <w:r>
        <w:rPr>
          <w:rFonts w:hint="eastAsia" w:ascii="仿宋_GB2312" w:hAnsi="Times New Roman" w:eastAsia="仿宋_GB2312" w:cs="Times New Roman"/>
          <w:b w:val="0"/>
          <w:bCs/>
          <w:color w:val="000000"/>
          <w:sz w:val="32"/>
          <w:szCs w:val="32"/>
          <w:lang w:val="en-US" w:eastAsia="zh-CN"/>
        </w:rPr>
        <w:t>8</w:t>
      </w:r>
      <w:r>
        <w:rPr>
          <w:rFonts w:hint="eastAsia" w:ascii="仿宋_GB2312" w:hAnsi="Times New Roman" w:eastAsia="仿宋_GB2312" w:cs="Times New Roman"/>
          <w:b w:val="0"/>
          <w:bCs/>
          <w:color w:val="000000"/>
          <w:sz w:val="32"/>
          <w:szCs w:val="32"/>
        </w:rPr>
        <w:t>年重点工作完成情况。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二、部门概况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三、收支决算总体情况说明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四、财政拨款收入支出决算总体情况说明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五、一般公共预算财政拨款支出决算情况说明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（一）一般公共预算财政拨款支出决算总体情况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（二）一般公共预算财政拨款支出决算结构情况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（三）一般公共预算财政拨款支出决算具体情况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六、一般公共预算财政拨款基本支出决算情况说明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七、“三公”经费财政拨款支出决算情况说明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（一）“三公”经费财政拨款支出决算总体情况说明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（二）“三公”经费财政拨款支出决算具体情况说明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八、政府性基金预算支出决算情况说明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九、国有资本经营预算支出决算情况说明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十、其他重要事项的情况说明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（一）机关运行经费支出情况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（二）政府采购支出情况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（三）国有资产占有使用情况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（四）预算绩效情况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1.绩效目标管理情况。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2.部门整体支出绩效自评开展情况。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3.部门自行组织绩效评价开展情况。</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十一、名词解释</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exact"/>
        <w:jc w:val="center"/>
        <w:rPr>
          <w:rFonts w:hint="eastAsia" w:ascii="方正小标宋简体" w:hAnsi="宋体" w:eastAsia="方正小标宋简体" w:cs="Times New Roman"/>
          <w:color w:val="000000"/>
          <w:sz w:val="36"/>
          <w:szCs w:val="36"/>
          <w:lang w:eastAsia="zh-CN"/>
        </w:rPr>
      </w:pPr>
      <w:r>
        <w:rPr>
          <w:rFonts w:hint="eastAsia" w:ascii="方正小标宋简体" w:hAnsi="宋体" w:eastAsia="方正小标宋简体" w:cs="Times New Roman"/>
          <w:color w:val="000000"/>
          <w:sz w:val="36"/>
          <w:szCs w:val="36"/>
        </w:rPr>
        <w:t>四川省阿坝州</w:t>
      </w:r>
      <w:r>
        <w:rPr>
          <w:rFonts w:hint="eastAsia" w:ascii="方正小标宋简体" w:hAnsi="宋体" w:eastAsia="方正小标宋简体" w:cs="Times New Roman"/>
          <w:color w:val="000000"/>
          <w:sz w:val="36"/>
          <w:szCs w:val="36"/>
          <w:lang w:eastAsia="zh-CN"/>
        </w:rPr>
        <w:t>金川县</w:t>
      </w:r>
      <w:r>
        <w:rPr>
          <w:rFonts w:hint="eastAsia" w:ascii="方正小标宋简体" w:hAnsi="宋体" w:eastAsia="方正小标宋简体" w:cs="Times New Roman"/>
          <w:color w:val="000000"/>
          <w:sz w:val="36"/>
          <w:szCs w:val="36"/>
          <w:lang w:val="en-US" w:eastAsia="zh-CN"/>
        </w:rPr>
        <w:t>撒瓦脚</w:t>
      </w:r>
      <w:r>
        <w:rPr>
          <w:rFonts w:hint="eastAsia" w:ascii="方正小标宋简体" w:hAnsi="宋体" w:eastAsia="方正小标宋简体" w:cs="Times New Roman"/>
          <w:color w:val="000000"/>
          <w:sz w:val="36"/>
          <w:szCs w:val="36"/>
          <w:lang w:eastAsia="zh-CN"/>
        </w:rPr>
        <w:t>乡人民政府</w:t>
      </w:r>
    </w:p>
    <w:p>
      <w:pPr>
        <w:spacing w:line="600" w:lineRule="exact"/>
        <w:jc w:val="center"/>
        <w:rPr>
          <w:rFonts w:hint="eastAsia" w:ascii="方正小标宋简体" w:hAnsi="宋体" w:eastAsia="方正小标宋简体" w:cs="Times New Roman"/>
          <w:color w:val="000000"/>
          <w:sz w:val="36"/>
          <w:szCs w:val="36"/>
        </w:rPr>
      </w:pPr>
    </w:p>
    <w:p>
      <w:pPr>
        <w:spacing w:line="600" w:lineRule="exact"/>
        <w:jc w:val="center"/>
        <w:rPr>
          <w:rFonts w:hint="eastAsia" w:ascii="方正小标宋简体" w:hAnsi="宋体" w:eastAsia="方正小标宋简体" w:cs="Times New Roman"/>
          <w:color w:val="000000"/>
          <w:sz w:val="36"/>
          <w:szCs w:val="36"/>
        </w:rPr>
      </w:pPr>
      <w:r>
        <w:rPr>
          <w:rFonts w:hint="eastAsia" w:ascii="方正小标宋简体" w:hAnsi="宋体" w:eastAsia="方正小标宋简体" w:cs="Times New Roman"/>
          <w:color w:val="000000"/>
          <w:sz w:val="36"/>
          <w:szCs w:val="36"/>
        </w:rPr>
        <w:t>201</w:t>
      </w:r>
      <w:r>
        <w:rPr>
          <w:rFonts w:hint="eastAsia" w:ascii="方正小标宋简体" w:hAnsi="宋体" w:eastAsia="方正小标宋简体" w:cs="Times New Roman"/>
          <w:color w:val="000000"/>
          <w:sz w:val="36"/>
          <w:szCs w:val="36"/>
          <w:lang w:val="en-US" w:eastAsia="zh-CN"/>
        </w:rPr>
        <w:t>8</w:t>
      </w:r>
      <w:r>
        <w:rPr>
          <w:rFonts w:hint="eastAsia" w:ascii="方正小标宋简体" w:hAnsi="宋体" w:eastAsia="方正小标宋简体" w:cs="Times New Roman"/>
          <w:color w:val="000000"/>
          <w:sz w:val="36"/>
          <w:szCs w:val="36"/>
        </w:rPr>
        <w:t>年部门决算编制说明</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exact"/>
        <w:ind w:firstLine="640" w:firstLineChars="200"/>
        <w:rPr>
          <w:rFonts w:hint="eastAsia" w:ascii="黑体" w:hAnsi="Times New Roman" w:eastAsia="黑体" w:cs="Times New Roman"/>
          <w:color w:val="000000"/>
          <w:sz w:val="32"/>
          <w:szCs w:val="32"/>
        </w:rPr>
      </w:pPr>
      <w:r>
        <w:rPr>
          <w:rFonts w:hint="eastAsia" w:ascii="黑体" w:hAnsi="Times New Roman" w:eastAsia="黑体" w:cs="Times New Roman"/>
          <w:color w:val="000000"/>
          <w:sz w:val="32"/>
          <w:szCs w:val="32"/>
        </w:rPr>
        <w:t>一、基本职能及主要工作</w:t>
      </w:r>
    </w:p>
    <w:p>
      <w:pPr>
        <w:spacing w:line="600" w:lineRule="atLeast"/>
        <w:ind w:firstLine="643"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bCs w:val="0"/>
          <w:color w:val="000000"/>
          <w:sz w:val="32"/>
          <w:szCs w:val="32"/>
        </w:rPr>
        <w:t>（一）主要职能</w:t>
      </w:r>
      <w:r>
        <w:rPr>
          <w:rFonts w:hint="eastAsia" w:ascii="仿宋_GB2312" w:hAnsi="Times New Roman" w:eastAsia="仿宋_GB2312" w:cs="Times New Roman"/>
          <w:b w:val="0"/>
          <w:bCs/>
          <w:color w:val="000000"/>
          <w:sz w:val="32"/>
          <w:szCs w:val="32"/>
        </w:rPr>
        <w:t>。</w:t>
      </w:r>
    </w:p>
    <w:p>
      <w:pPr>
        <w:pStyle w:val="2"/>
        <w:adjustRightInd w:val="0"/>
        <w:snapToGrid w:val="0"/>
        <w:spacing w:line="600" w:lineRule="exact"/>
        <w:ind w:firstLine="672" w:firstLineChars="210"/>
        <w:rPr>
          <w:rFonts w:hint="eastAsia"/>
          <w:bCs/>
          <w:color w:val="000000"/>
          <w:sz w:val="32"/>
          <w:szCs w:val="32"/>
          <w:highlight w:val="yellow"/>
        </w:rPr>
      </w:pPr>
      <w:r>
        <w:rPr>
          <w:rFonts w:hint="eastAsia"/>
          <w:bCs/>
          <w:color w:val="000000"/>
          <w:sz w:val="32"/>
          <w:szCs w:val="32"/>
        </w:rPr>
        <w:t>（一）主要职能。</w:t>
      </w:r>
    </w:p>
    <w:p>
      <w:pPr>
        <w:widowControl/>
        <w:spacing w:line="560" w:lineRule="exact"/>
        <w:ind w:firstLine="800" w:firstLineChars="250"/>
        <w:jc w:val="left"/>
        <w:rPr>
          <w:rFonts w:hint="eastAsia" w:ascii="仿宋_GB2312" w:hAnsi="仿宋" w:eastAsia="仿宋_GB2312"/>
          <w:sz w:val="32"/>
          <w:szCs w:val="32"/>
        </w:rPr>
      </w:pPr>
      <w:r>
        <w:rPr>
          <w:rFonts w:hint="eastAsia" w:ascii="仿宋_GB2312" w:hAnsi="仿宋" w:eastAsia="仿宋_GB2312"/>
          <w:sz w:val="32"/>
          <w:szCs w:val="32"/>
        </w:rPr>
        <w:t>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贯彻落实党和政府各项路线方针政策。深入贯彻党的十八大、十八届四中、五中全会精神，宣传和贯彻执行党的路线、方针、政策和国家的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rFonts w:hint="eastAsia"/>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（二）201</w:t>
      </w:r>
      <w:r>
        <w:rPr>
          <w:rFonts w:hint="eastAsia" w:ascii="仿宋_GB2312" w:hAnsi="Times New Roman" w:eastAsia="仿宋_GB2312" w:cs="Times New Roman"/>
          <w:b/>
          <w:bCs w:val="0"/>
          <w:color w:val="000000"/>
          <w:sz w:val="32"/>
          <w:szCs w:val="32"/>
          <w:lang w:val="en-US" w:eastAsia="zh-CN"/>
        </w:rPr>
        <w:t>8</w:t>
      </w:r>
      <w:r>
        <w:rPr>
          <w:rFonts w:hint="eastAsia" w:ascii="仿宋_GB2312" w:hAnsi="Times New Roman" w:eastAsia="仿宋_GB2312" w:cs="Times New Roman"/>
          <w:b/>
          <w:bCs w:val="0"/>
          <w:color w:val="000000"/>
          <w:sz w:val="32"/>
          <w:szCs w:val="32"/>
        </w:rPr>
        <w:t>年重点工作完成情况。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我乡在县委、县政府的正确领导下，在州双联单位、县级联系部门的关怀下，在乡党委的指导下，在乡人大的监督支持下，在各村两委的密切配合下，紧紧团结依靠全乡人民，健全完善了相关管理制度，认真贯彻落实科学发展观、党的十八大及十八届四中、五中全会及十九大精神和习近平总书记系列重要讲话精神。按照省委“三大发展战略”、州委“五为”总体工作要求，把握“夯实基础、增量提质、跨越发展”的工作基调，紧紧围绕县委县政府“一二三四五”发展战略、“一四三四”治县方略，为加快“四地三县”建设，牢牢抓住中央和省州支持民族地区跨越发展的大好机遇，攻坚克难、乘势而上，全面完成了年初既定确定的各项任务。</w:t>
      </w:r>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2018年以来，班子成员以“四个全面”为主线、以脱贫攻坚为主战场，以“党建引领，和谐稳定，补齐短板，调整产业，脱贫奔康，发展旅游，凝心聚力”为思路，以“发展特色产业，拓宽致富渠道，建设生态小康撒瓦脚；发展公益事业，提升民生水平，建设民主和谐撒瓦脚；弘扬孝德文化，壮大旅游产业，建设孝德美丽撒瓦脚；依托资源优势，加快小康进程，建设幸福安康撒瓦脚”的工作目标，进一步理清工作思路，创新工作方式、振奋精神，抢抓机遇、攻坚破难，继续夯实基础设施，大力发展特色优势产业，积极培育壮大集体经济，奋力推进旅游强乡工作基调，带动群众增收致</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二、部门概况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机构情况：我乡2018年有2个机构，增加个0机构。</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人员情况：</w:t>
      </w:r>
      <w:r>
        <w:rPr>
          <w:rFonts w:hint="eastAsia" w:ascii="仿宋_GB2312" w:hAnsi="宋体" w:eastAsia="仿宋_GB2312"/>
          <w:bCs/>
          <w:sz w:val="32"/>
        </w:rPr>
        <w:t>2018年年初在职18人（行政人员12人,机关工勤2人，事业管理4人）。</w:t>
      </w:r>
    </w:p>
    <w:p>
      <w:pPr>
        <w:spacing w:line="600" w:lineRule="atLeast"/>
        <w:ind w:firstLine="640" w:firstLineChars="200"/>
        <w:rPr>
          <w:rFonts w:hint="eastAsia" w:ascii="仿宋_GB2312" w:hAnsi="宋体" w:eastAsia="仿宋_GB2312"/>
          <w:bCs/>
          <w:sz w:val="32"/>
        </w:rPr>
      </w:pPr>
      <w:r>
        <w:rPr>
          <w:rFonts w:hint="eastAsia" w:ascii="仿宋_GB2312" w:hAnsi="宋体" w:eastAsia="仿宋_GB2312"/>
          <w:bCs/>
          <w:sz w:val="32"/>
        </w:rPr>
        <w:t>2018年年末在职18人（行政人员12人,机关工勤2人，事业管理4人）。</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三、收支决算总体情况说明</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2018年撒瓦脚本年收入合计</w:t>
      </w:r>
      <w:r>
        <w:rPr>
          <w:rFonts w:hint="eastAsia" w:eastAsia="仿宋_GB2312"/>
          <w:sz w:val="32"/>
          <w:szCs w:val="32"/>
        </w:rPr>
        <w:t>383.77</w:t>
      </w:r>
      <w:r>
        <w:rPr>
          <w:rFonts w:hint="eastAsia" w:ascii="仿宋_GB2312" w:eastAsia="仿宋_GB2312"/>
          <w:color w:val="000000"/>
          <w:sz w:val="32"/>
          <w:szCs w:val="32"/>
        </w:rPr>
        <w:t>万元，其中：一般公共预算财政拨款收入</w:t>
      </w:r>
      <w:r>
        <w:rPr>
          <w:rFonts w:hint="eastAsia" w:eastAsia="仿宋_GB2312"/>
          <w:sz w:val="32"/>
          <w:szCs w:val="32"/>
        </w:rPr>
        <w:t>383.77</w:t>
      </w:r>
      <w:r>
        <w:rPr>
          <w:rFonts w:hint="eastAsia" w:ascii="仿宋_GB2312" w:eastAsia="仿宋_GB2312"/>
          <w:color w:val="000000"/>
          <w:sz w:val="32"/>
          <w:szCs w:val="32"/>
        </w:rPr>
        <w:t>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2018年撒瓦脚乡本年支出合计</w:t>
      </w:r>
      <w:r>
        <w:rPr>
          <w:rFonts w:hint="eastAsia" w:eastAsia="仿宋_GB2312"/>
          <w:sz w:val="32"/>
          <w:szCs w:val="32"/>
        </w:rPr>
        <w:t>386.29</w:t>
      </w:r>
      <w:r>
        <w:rPr>
          <w:rFonts w:hint="eastAsia" w:ascii="仿宋_GB2312" w:eastAsia="仿宋_GB2312"/>
          <w:color w:val="000000"/>
          <w:sz w:val="32"/>
          <w:szCs w:val="32"/>
        </w:rPr>
        <w:t>万元，基本支出268.16万元，占69%；项目支出118.13万元，占31%，上缴上级支出0万元，占0%；经营支出0万元，占0%；对附属单位补助支出0万元，占0%。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四、财政拨款收入支出决算总体情况说明</w:t>
      </w:r>
    </w:p>
    <w:p>
      <w:pPr>
        <w:spacing w:line="600" w:lineRule="exact"/>
        <w:ind w:firstLine="960" w:firstLineChars="300"/>
        <w:rPr>
          <w:rFonts w:hint="eastAsia" w:ascii="仿宋_GB2312" w:eastAsia="仿宋_GB2312"/>
          <w:color w:val="000000"/>
          <w:sz w:val="32"/>
          <w:szCs w:val="32"/>
        </w:rPr>
      </w:pPr>
      <w:r>
        <w:rPr>
          <w:rFonts w:hint="eastAsia" w:ascii="仿宋_GB2312" w:eastAsia="仿宋_GB2312"/>
          <w:color w:val="000000"/>
          <w:sz w:val="32"/>
          <w:szCs w:val="32"/>
        </w:rPr>
        <w:t>2018年度财政拨款收入总计</w:t>
      </w:r>
      <w:r>
        <w:rPr>
          <w:rFonts w:hint="eastAsia" w:eastAsia="仿宋_GB2312"/>
          <w:sz w:val="32"/>
          <w:szCs w:val="32"/>
        </w:rPr>
        <w:t>383.77</w:t>
      </w:r>
      <w:r>
        <w:rPr>
          <w:rFonts w:hint="eastAsia" w:ascii="仿宋_GB2312" w:eastAsia="仿宋_GB2312"/>
          <w:color w:val="000000"/>
          <w:sz w:val="32"/>
          <w:szCs w:val="32"/>
        </w:rPr>
        <w:t>万元，财政拨款支出</w:t>
      </w:r>
      <w:r>
        <w:rPr>
          <w:rFonts w:hint="eastAsia" w:eastAsia="仿宋_GB2312"/>
          <w:sz w:val="32"/>
          <w:szCs w:val="32"/>
        </w:rPr>
        <w:t>386.29</w:t>
      </w:r>
      <w:r>
        <w:rPr>
          <w:rFonts w:hint="eastAsia" w:ascii="仿宋_GB2312" w:eastAsia="仿宋_GB2312"/>
          <w:color w:val="000000"/>
          <w:sz w:val="32"/>
          <w:szCs w:val="32"/>
        </w:rPr>
        <w:t>万元。2</w:t>
      </w:r>
      <w:r>
        <w:rPr>
          <w:rFonts w:hint="eastAsia" w:ascii="仿宋_GB2312" w:eastAsia="仿宋_GB2312"/>
          <w:sz w:val="32"/>
        </w:rPr>
        <w:t>017年财政拨款收入</w:t>
      </w:r>
      <w:r>
        <w:rPr>
          <w:rFonts w:hint="eastAsia" w:eastAsia="仿宋_GB2312"/>
          <w:sz w:val="32"/>
          <w:szCs w:val="32"/>
        </w:rPr>
        <w:t>359.63</w:t>
      </w:r>
      <w:r>
        <w:rPr>
          <w:rFonts w:hint="eastAsia" w:ascii="仿宋_GB2312" w:eastAsia="仿宋_GB2312"/>
          <w:sz w:val="32"/>
        </w:rPr>
        <w:t>万元，财政拨款支出</w:t>
      </w:r>
      <w:r>
        <w:rPr>
          <w:rFonts w:hint="eastAsia" w:eastAsia="仿宋_GB2312"/>
          <w:sz w:val="32"/>
          <w:szCs w:val="32"/>
        </w:rPr>
        <w:t>359.63</w:t>
      </w:r>
      <w:r>
        <w:rPr>
          <w:rFonts w:hint="eastAsia" w:ascii="仿宋_GB2312" w:eastAsia="仿宋_GB2312"/>
          <w:sz w:val="32"/>
        </w:rPr>
        <w:t>万元，与</w:t>
      </w:r>
      <w:r>
        <w:rPr>
          <w:rFonts w:hint="eastAsia" w:ascii="仿宋_GB2312" w:eastAsia="仿宋_GB2312"/>
          <w:color w:val="000000"/>
          <w:sz w:val="32"/>
          <w:szCs w:val="32"/>
        </w:rPr>
        <w:t>2017年相比，财政拨款收入增加24.14万元，增加6.7%，支出增加26.66万元，增加6.9%。</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五、一般公共预算财政拨款支出决算情况说明</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（一）一般公共预算财政拨款支出决算总体情况</w:t>
      </w:r>
    </w:p>
    <w:p>
      <w:pPr>
        <w:spacing w:line="600" w:lineRule="atLeast"/>
        <w:ind w:firstLine="320" w:firstLineChars="100"/>
        <w:rPr>
          <w:rFonts w:hint="eastAsia" w:ascii="仿宋_GB2312" w:eastAsia="仿宋_GB2312"/>
          <w:color w:val="000000"/>
          <w:sz w:val="32"/>
          <w:szCs w:val="32"/>
        </w:rPr>
      </w:pPr>
      <w:r>
        <w:rPr>
          <w:rFonts w:hint="eastAsia" w:ascii="仿宋_GB2312" w:eastAsia="仿宋_GB2312"/>
          <w:color w:val="000000"/>
          <w:sz w:val="32"/>
          <w:szCs w:val="32"/>
        </w:rPr>
        <w:t>2018年度一般公共预算财政拨款支出</w:t>
      </w:r>
      <w:r>
        <w:rPr>
          <w:rFonts w:hint="eastAsia" w:eastAsia="仿宋_GB2312"/>
          <w:sz w:val="32"/>
          <w:szCs w:val="32"/>
        </w:rPr>
        <w:t>386.29</w:t>
      </w:r>
      <w:r>
        <w:rPr>
          <w:rFonts w:hint="eastAsia" w:ascii="仿宋_GB2312" w:eastAsia="仿宋_GB2312"/>
          <w:color w:val="000000"/>
          <w:sz w:val="32"/>
          <w:szCs w:val="32"/>
        </w:rPr>
        <w:t>万元，占本年支出合计的100%。与2017年相比一般公共预算财政拨款支出增加26.66万元，增加6.9%。</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（二）一般公共预算财政拨款支出决算结构情况</w:t>
      </w:r>
    </w:p>
    <w:p>
      <w:pPr>
        <w:spacing w:line="360" w:lineRule="auto"/>
        <w:ind w:firstLine="800" w:firstLineChars="250"/>
        <w:rPr>
          <w:rFonts w:hint="eastAsia" w:ascii="仿宋_GB2312" w:hAnsi="Times New Roman" w:eastAsia="仿宋_GB2312" w:cs="Times New Roman"/>
          <w:b w:val="0"/>
          <w:bCs/>
          <w:color w:val="000000"/>
          <w:sz w:val="32"/>
          <w:szCs w:val="32"/>
        </w:rPr>
      </w:pPr>
      <w:r>
        <w:rPr>
          <w:rFonts w:hint="eastAsia" w:ascii="仿宋_GB2312" w:eastAsia="仿宋_GB2312"/>
          <w:color w:val="000000"/>
          <w:sz w:val="32"/>
          <w:szCs w:val="32"/>
        </w:rPr>
        <w:t>2018年一般公共预算财政拨款支出</w:t>
      </w:r>
      <w:r>
        <w:rPr>
          <w:rFonts w:hint="eastAsia" w:eastAsia="仿宋_GB2312"/>
          <w:sz w:val="32"/>
          <w:szCs w:val="32"/>
        </w:rPr>
        <w:t>386.29</w:t>
      </w:r>
      <w:r>
        <w:rPr>
          <w:rFonts w:hint="eastAsia" w:ascii="仿宋_GB2312" w:eastAsia="仿宋_GB2312"/>
          <w:color w:val="000000"/>
          <w:sz w:val="32"/>
          <w:szCs w:val="32"/>
        </w:rPr>
        <w:t>万元，主要用于以下方面:一般公共服务支出157.37万元，占40.7%；文化体育与传媒0万元，占0%，社会保障和就业支出38.36万元，占10%；医疗卫生支出12.5万元，占3.2%；农林水支出150.5万元，占39%；住房保障支出22.09万元，占5.7%；其他支出5.48万元，占1.4%。</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（三）一般公共预算财政拨款支出决算具体情况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一般公共服务（类）201（款）: 支出决算为</w:t>
      </w:r>
      <w:r>
        <w:rPr>
          <w:rFonts w:hint="eastAsia" w:ascii="仿宋_GB2312" w:eastAsia="仿宋_GB2312"/>
          <w:color w:val="000000"/>
          <w:sz w:val="32"/>
          <w:szCs w:val="32"/>
        </w:rPr>
        <w:t>157.37</w:t>
      </w:r>
      <w:r>
        <w:rPr>
          <w:rFonts w:hint="eastAsia" w:ascii="仿宋_GB2312" w:hAnsi="Times New Roman" w:eastAsia="仿宋_GB2312" w:cs="Times New Roman"/>
          <w:b w:val="0"/>
          <w:bCs/>
          <w:color w:val="000000"/>
          <w:sz w:val="32"/>
          <w:szCs w:val="32"/>
        </w:rPr>
        <w:t>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2.教育（类）***（款）: 支出决算为0万元，完成预算0%，决算数大于/小于预算数的主要原因是…。</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3.科学技术（类）***（款）: 支出决算为0万元，完成预算0%，决算数大于/小于预算数的主要原因是…。</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4.文化体育与传媒（类）***（款）: 支出决算为0万元，完成预算0%。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5.社会保障和就业（类）208（款）: 支出决算为</w:t>
      </w:r>
      <w:r>
        <w:rPr>
          <w:rFonts w:hint="eastAsia" w:ascii="仿宋_GB2312" w:eastAsia="仿宋_GB2312"/>
          <w:color w:val="000000"/>
          <w:sz w:val="32"/>
          <w:szCs w:val="32"/>
        </w:rPr>
        <w:t>38.36</w:t>
      </w:r>
      <w:r>
        <w:rPr>
          <w:rFonts w:hint="eastAsia" w:ascii="仿宋_GB2312" w:hAnsi="Times New Roman" w:eastAsia="仿宋_GB2312" w:cs="Times New Roman"/>
          <w:b w:val="0"/>
          <w:bCs/>
          <w:color w:val="000000"/>
          <w:sz w:val="32"/>
          <w:szCs w:val="32"/>
        </w:rPr>
        <w:t>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6.医疗卫生与计划生育（类）210（款）:支出决算为</w:t>
      </w:r>
      <w:r>
        <w:rPr>
          <w:rFonts w:hint="eastAsia" w:ascii="仿宋_GB2312" w:eastAsia="仿宋_GB2312"/>
          <w:color w:val="000000"/>
          <w:sz w:val="32"/>
          <w:szCs w:val="32"/>
        </w:rPr>
        <w:t>12.5</w:t>
      </w:r>
      <w:r>
        <w:rPr>
          <w:rFonts w:hint="eastAsia" w:ascii="仿宋_GB2312" w:hAnsi="Times New Roman" w:eastAsia="仿宋_GB2312" w:cs="Times New Roman"/>
          <w:b w:val="0"/>
          <w:bCs/>
          <w:color w:val="000000"/>
          <w:sz w:val="32"/>
          <w:szCs w:val="32"/>
        </w:rPr>
        <w:t>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7.农林水支出（类）213（款）:支出决算为</w:t>
      </w:r>
      <w:r>
        <w:rPr>
          <w:rFonts w:hint="eastAsia" w:ascii="仿宋_GB2312" w:eastAsia="仿宋_GB2312"/>
          <w:color w:val="000000"/>
          <w:sz w:val="32"/>
          <w:szCs w:val="32"/>
        </w:rPr>
        <w:t>150.5</w:t>
      </w:r>
      <w:r>
        <w:rPr>
          <w:rFonts w:hint="eastAsia" w:ascii="仿宋_GB2312" w:hAnsi="Times New Roman" w:eastAsia="仿宋_GB2312" w:cs="Times New Roman"/>
          <w:b w:val="0"/>
          <w:bCs/>
          <w:color w:val="000000"/>
          <w:sz w:val="32"/>
          <w:szCs w:val="32"/>
        </w:rPr>
        <w:t>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8.住房保障支出（类）221（款）:支出决算为</w:t>
      </w:r>
      <w:r>
        <w:rPr>
          <w:rFonts w:hint="eastAsia" w:ascii="仿宋_GB2312" w:eastAsia="仿宋_GB2312"/>
          <w:color w:val="000000"/>
          <w:sz w:val="32"/>
          <w:szCs w:val="32"/>
        </w:rPr>
        <w:t>22.09</w:t>
      </w:r>
      <w:r>
        <w:rPr>
          <w:rFonts w:hint="eastAsia" w:ascii="仿宋_GB2312" w:hAnsi="Times New Roman" w:eastAsia="仿宋_GB2312" w:cs="Times New Roman"/>
          <w:b w:val="0"/>
          <w:bCs/>
          <w:color w:val="000000"/>
          <w:sz w:val="32"/>
          <w:szCs w:val="32"/>
        </w:rPr>
        <w:t>万元，完成预算100%。</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9.其他支出（类）229（款）:支出决算为</w:t>
      </w:r>
      <w:r>
        <w:rPr>
          <w:rFonts w:hint="eastAsia" w:ascii="仿宋_GB2312" w:eastAsia="仿宋_GB2312"/>
          <w:color w:val="000000"/>
          <w:sz w:val="32"/>
          <w:szCs w:val="32"/>
        </w:rPr>
        <w:t>5.48</w:t>
      </w:r>
      <w:r>
        <w:rPr>
          <w:rFonts w:hint="eastAsia" w:ascii="仿宋_GB2312" w:hAnsi="Times New Roman" w:eastAsia="仿宋_GB2312" w:cs="Times New Roman"/>
          <w:b w:val="0"/>
          <w:bCs/>
          <w:color w:val="000000"/>
          <w:sz w:val="32"/>
          <w:szCs w:val="32"/>
        </w:rPr>
        <w:t>万元，完成预算0%。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六、一般公共预算财政拨款基本支出决算情况说明</w:t>
      </w:r>
    </w:p>
    <w:p>
      <w:pPr>
        <w:spacing w:line="600" w:lineRule="exact"/>
        <w:ind w:firstLine="960" w:firstLineChars="300"/>
        <w:rPr>
          <w:rFonts w:hint="eastAsia" w:ascii="仿宋_GB2312" w:eastAsia="仿宋_GB2312"/>
          <w:color w:val="000000"/>
          <w:sz w:val="32"/>
          <w:szCs w:val="32"/>
        </w:rPr>
      </w:pPr>
      <w:r>
        <w:rPr>
          <w:rFonts w:hint="eastAsia" w:ascii="仿宋_GB2312" w:eastAsia="仿宋_GB2312"/>
          <w:color w:val="000000"/>
          <w:sz w:val="32"/>
          <w:szCs w:val="32"/>
        </w:rPr>
        <w:t>2018年度一般公共预算财政拨款基本支出268.16万元，其中：</w:t>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人员经费245.88万元，主要包括：基本工资57.67万元，津贴补贴96.66万元，奖金4.87万元，绩效工资11.96万元，机关事业单位基本养老保险缴费27.4万元，职业年金缴费10.96万元，其他社会保障缴费1.18万元，职工医疗保险12.5万元，其他工资福利支出0万元，离休费0万元，退休费0万元，抚恤金0万元，生活补助0万元，医疗费,0万元，奖励金0.04万元，住房公积金22.09万元，提租补贴0万元、购房补贴0万元、其他对个人和家庭的补助支出0.55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22.28万元，主要包括：办公费8.52万元，印刷1.01万元，咨询费0万元，手续费0万元，水费0万元，电费2.2万元，邮电费1.6万元，取暖费1万元，物业管理费0万元，差旅费3.15万元，因公出国（境）费用0万元，维修（护）费0万元，租赁费0万元，会议费0万元，培训费0万元，公务接待费0万元，劳务费1.8万元，委托业务费0万元，工会经费0万元，福利费0万元，公务用车运行维护费3万元，其他交通费0万元，税金及附加费用0万元，其他商品和服务支出0万元，办公设备购置0万元，公务用车购置0万元，信息网络及软件购置更新0万元，其他资本性支出0万元。</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七、“三公”经费财政拨款支出决算情况说明</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（一）“三公”经费财政拨款支出决算总体情况说明</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2018年度“三公”经费财政拨款支出决算为3万元，完成预算100%，节约开支公务接待费未开支。</w:t>
      </w:r>
    </w:p>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（二）“三公”经费财政拨款支出决算具体情况说明</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2018年度“三公”经费财政拨款支出决算中，因公出国（境）费支出决算0万元，占0%；公务用车购置及运行维护费支出决算3万元，占100%；公务接待费支出决算0万元，占0%。具体情况如下：</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1.因公出国（境）经费支出0万元，全年安排因公出国（境）团组0次，出国（境）0人。因公出国（境）支出决算2018年0万元</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2.公务用车购置及运行维护费支出</w:t>
      </w:r>
      <w:r>
        <w:rPr>
          <w:rFonts w:hint="eastAsia" w:ascii="仿宋_GB2312" w:hAnsi="Times New Roman" w:eastAsia="仿宋_GB2312" w:cs="Times New Roman"/>
          <w:b w:val="0"/>
          <w:bCs/>
          <w:color w:val="000000"/>
          <w:sz w:val="32"/>
          <w:szCs w:val="32"/>
          <w:lang w:val="en-US" w:eastAsia="zh-CN"/>
        </w:rPr>
        <w:t>3</w:t>
      </w:r>
      <w:r>
        <w:rPr>
          <w:rFonts w:hint="eastAsia" w:ascii="仿宋_GB2312" w:hAnsi="Times New Roman" w:eastAsia="仿宋_GB2312" w:cs="Times New Roman"/>
          <w:b w:val="0"/>
          <w:bCs/>
          <w:color w:val="000000"/>
          <w:sz w:val="32"/>
          <w:szCs w:val="32"/>
        </w:rPr>
        <w:t>万元。其中：</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公务用车购置支出0万元。全年按规定更新购置公务用车0辆，其中：轿车0辆、金额0万元，越野车0辆、金额0万元，载客汽车0辆、金额0万元，主要用于下村公务派车。截至2018年12月底，单位共有公务用车</w:t>
      </w:r>
      <w:r>
        <w:rPr>
          <w:rFonts w:hint="eastAsia" w:ascii="仿宋_GB2312" w:hAnsi="Times New Roman" w:eastAsia="仿宋_GB2312" w:cs="Times New Roman"/>
          <w:b w:val="0"/>
          <w:bCs/>
          <w:color w:val="000000"/>
          <w:sz w:val="32"/>
          <w:szCs w:val="32"/>
          <w:lang w:val="en-US" w:eastAsia="zh-CN"/>
        </w:rPr>
        <w:t>2</w:t>
      </w:r>
      <w:r>
        <w:rPr>
          <w:rFonts w:hint="eastAsia" w:ascii="仿宋_GB2312" w:hAnsi="Times New Roman" w:eastAsia="仿宋_GB2312" w:cs="Times New Roman"/>
          <w:b w:val="0"/>
          <w:bCs/>
          <w:color w:val="000000"/>
          <w:sz w:val="32"/>
          <w:szCs w:val="32"/>
        </w:rPr>
        <w:t>辆，其中：轿车</w:t>
      </w:r>
      <w:r>
        <w:rPr>
          <w:rFonts w:hint="eastAsia" w:ascii="仿宋_GB2312" w:hAnsi="Times New Roman" w:eastAsia="仿宋_GB2312" w:cs="Times New Roman"/>
          <w:b w:val="0"/>
          <w:bCs/>
          <w:color w:val="000000"/>
          <w:sz w:val="32"/>
          <w:szCs w:val="32"/>
          <w:lang w:val="en-US" w:eastAsia="zh-CN"/>
        </w:rPr>
        <w:t>1</w:t>
      </w:r>
      <w:r>
        <w:rPr>
          <w:rFonts w:hint="eastAsia" w:ascii="仿宋_GB2312" w:hAnsi="Times New Roman" w:eastAsia="仿宋_GB2312" w:cs="Times New Roman"/>
          <w:b w:val="0"/>
          <w:bCs/>
          <w:color w:val="000000"/>
          <w:sz w:val="32"/>
          <w:szCs w:val="32"/>
        </w:rPr>
        <w:t>辆、越野车1辆、载客汽0辆。</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公务用车运行维护费支出</w:t>
      </w:r>
      <w:r>
        <w:rPr>
          <w:rFonts w:hint="eastAsia" w:ascii="仿宋_GB2312" w:hAnsi="Times New Roman" w:eastAsia="仿宋_GB2312" w:cs="Times New Roman"/>
          <w:b w:val="0"/>
          <w:bCs/>
          <w:color w:val="000000"/>
          <w:sz w:val="32"/>
          <w:szCs w:val="32"/>
          <w:lang w:val="en-US" w:eastAsia="zh-CN"/>
        </w:rPr>
        <w:t>3</w:t>
      </w:r>
      <w:r>
        <w:rPr>
          <w:rFonts w:hint="eastAsia" w:ascii="仿宋_GB2312" w:hAnsi="Times New Roman" w:eastAsia="仿宋_GB2312" w:cs="Times New Roman"/>
          <w:b w:val="0"/>
          <w:bCs/>
          <w:color w:val="000000"/>
          <w:sz w:val="32"/>
          <w:szCs w:val="32"/>
        </w:rPr>
        <w:t>万元。主要用于下村（具体工作）等所需的公务用车燃料费、维修费、过路过桥费、保险费等支出。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公务用车购置及运行维护费支出决算比2017年减少23.9万元，减少</w:t>
      </w:r>
      <w:r>
        <w:rPr>
          <w:rFonts w:hint="eastAsia" w:ascii="仿宋_GB2312" w:hAnsi="Times New Roman" w:eastAsia="仿宋_GB2312" w:cs="Times New Roman"/>
          <w:b w:val="0"/>
          <w:bCs/>
          <w:color w:val="000000"/>
          <w:sz w:val="32"/>
          <w:szCs w:val="32"/>
          <w:lang w:val="en-US" w:eastAsia="zh-CN"/>
        </w:rPr>
        <w:t>88</w:t>
      </w:r>
      <w:r>
        <w:rPr>
          <w:rFonts w:hint="eastAsia" w:ascii="仿宋_GB2312" w:hAnsi="Times New Roman" w:eastAsia="仿宋_GB2312" w:cs="Times New Roman"/>
          <w:b w:val="0"/>
          <w:bCs/>
          <w:color w:val="000000"/>
          <w:sz w:val="32"/>
          <w:szCs w:val="32"/>
        </w:rPr>
        <w:t>.8%，主要原因是2017年新购一辆公务用车。</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公务接待费支出0万元。主要用于执行公务、开展业务活动开支的交通费、住宿费、用餐费等。国内公务接待0批次，0人次（不包括陪同人员），共计支出0万元，具体内容包括：（接待具体项目、金额）。其中：外事接待0批次，0人，共计支出0万元，主要用于接待…（具体项目）。</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公务接待费支出决算比2017年减少0.48，原因是2018年公务接待费未开支。</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八、政府性基金预算支出决算情况说明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2018年度政府性基金预算拨款支出</w:t>
      </w:r>
      <w:r>
        <w:rPr>
          <w:rFonts w:hint="eastAsia" w:ascii="仿宋_GB2312" w:hAnsi="Times New Roman" w:eastAsia="仿宋_GB2312" w:cs="Times New Roman"/>
          <w:b w:val="0"/>
          <w:bCs/>
          <w:color w:val="000000"/>
          <w:sz w:val="32"/>
          <w:szCs w:val="32"/>
          <w:lang w:val="en-US" w:eastAsia="zh-CN"/>
        </w:rPr>
        <w:t>5</w:t>
      </w:r>
      <w:r>
        <w:rPr>
          <w:rFonts w:hint="eastAsia" w:ascii="仿宋_GB2312" w:hAnsi="Times New Roman" w:eastAsia="仿宋_GB2312" w:cs="Times New Roman"/>
          <w:b w:val="0"/>
          <w:bCs/>
          <w:color w:val="000000"/>
          <w:sz w:val="32"/>
          <w:szCs w:val="32"/>
        </w:rPr>
        <w:t>万元。</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九、国有资本经营预算支出决算情况说明</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2018年度国有资本经营预算拨款支出0万元。</w:t>
      </w:r>
    </w:p>
    <w:p>
      <w:pPr>
        <w:numPr>
          <w:ilvl w:val="0"/>
          <w:numId w:val="1"/>
        </w:num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其他重要事项的情况说明</w:t>
      </w:r>
    </w:p>
    <w:p>
      <w:pPr>
        <w:numPr>
          <w:ilvl w:val="0"/>
          <w:numId w:val="0"/>
        </w:num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（一）机关运行经费支出情况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w:t>
      </w:r>
      <w:r>
        <w:rPr>
          <w:rFonts w:hint="eastAsia" w:ascii="仿宋_GB2312" w:hAnsi="Times New Roman" w:eastAsia="仿宋_GB2312" w:cs="Times New Roman"/>
          <w:b w:val="0"/>
          <w:bCs/>
          <w:color w:val="000000"/>
          <w:sz w:val="32"/>
          <w:szCs w:val="32"/>
          <w:lang w:eastAsia="zh-CN"/>
        </w:rPr>
        <w:t>撒瓦脚</w:t>
      </w:r>
      <w:r>
        <w:rPr>
          <w:rFonts w:hint="eastAsia" w:ascii="仿宋_GB2312" w:hAnsi="Times New Roman" w:eastAsia="仿宋_GB2312" w:cs="Times New Roman"/>
          <w:b w:val="0"/>
          <w:bCs/>
          <w:color w:val="000000"/>
          <w:sz w:val="32"/>
          <w:szCs w:val="32"/>
        </w:rPr>
        <w:t>乡机关运行经费支出0万元， 2017年0万元，与2017年持平。</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（二）政府采购支出情况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2018年度，</w:t>
      </w:r>
      <w:r>
        <w:rPr>
          <w:rFonts w:hint="eastAsia" w:ascii="仿宋_GB2312" w:hAnsi="Times New Roman" w:eastAsia="仿宋_GB2312" w:cs="Times New Roman"/>
          <w:b w:val="0"/>
          <w:bCs/>
          <w:color w:val="000000"/>
          <w:sz w:val="32"/>
          <w:szCs w:val="32"/>
          <w:lang w:eastAsia="zh-CN"/>
        </w:rPr>
        <w:t>撒瓦脚</w:t>
      </w:r>
      <w:r>
        <w:rPr>
          <w:rFonts w:hint="eastAsia" w:ascii="仿宋_GB2312" w:hAnsi="Times New Roman" w:eastAsia="仿宋_GB2312" w:cs="Times New Roman"/>
          <w:b w:val="0"/>
          <w:bCs/>
          <w:color w:val="000000"/>
          <w:sz w:val="32"/>
          <w:szCs w:val="32"/>
        </w:rPr>
        <w:t>乡政府采购支出总额0万元，其中：政府采购货物支出0万元、政府采购工程支出0万元、政府采购服务支出0万元。主要用于日常下村（具体工作）。授予中小企业合同金额0万元，占政府采购支出总额的0%，其中：授予小微企业合同金额0万元，占政府采购支出总额的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（三）国有资产占有使用情况</w:t>
      </w:r>
    </w:p>
    <w:p>
      <w:pPr>
        <w:autoSpaceDE w:val="0"/>
        <w:autoSpaceDN w:val="0"/>
        <w:adjustRightInd w:val="0"/>
        <w:spacing w:line="600" w:lineRule="exact"/>
        <w:ind w:firstLine="640" w:firstLineChars="200"/>
        <w:jc w:val="left"/>
        <w:rPr>
          <w:rFonts w:hint="eastAsia" w:ascii="仿宋_GB2312" w:hAnsi="Times New Roman" w:eastAsia="仿宋_GB2312" w:cs="Times New Roman"/>
          <w:b w:val="0"/>
          <w:bCs/>
          <w:color w:val="000000"/>
          <w:sz w:val="32"/>
          <w:szCs w:val="32"/>
        </w:rPr>
      </w:pPr>
      <w:r>
        <w:rPr>
          <w:rFonts w:hint="eastAsia" w:ascii="仿宋_GB2312" w:eastAsia="仿宋_GB2312"/>
          <w:color w:val="000000"/>
          <w:sz w:val="32"/>
          <w:szCs w:val="32"/>
        </w:rPr>
        <w:t>截至2018年12月31日，撒瓦脚乡共有车辆2辆，其中：部级领导干部用车0辆、一般公务用车2辆、一般执法执勤用车0辆、特种专业技术用车0辆、其他用车0辆；单价50万元以上通用设备0台（套），单价100万元以上专用设备0台（套）。</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（四）预算绩效情况</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1.绩效目标管理情况。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按照预算绩效管理要求，本部门对2018年一般公共预算项目支出开展了绩效目标管理，共编制绩效目标0个，涉及财政资金0元，覆盖率达到0%。</w:t>
      </w:r>
    </w:p>
    <w:p>
      <w:pPr>
        <w:spacing w:line="600" w:lineRule="atLeast"/>
        <w:ind w:firstLine="643" w:firstLineChars="2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2.部门整体支出绩效自评开展情况。</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按照预算绩效管理要求，本部门对2018年整体支出开展绩效自评，自评得分80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jc w:val="center"/>
        <w:rPr>
          <w:rFonts w:hint="eastAsia" w:ascii="黑体" w:hAnsi="黑体" w:eastAsia="黑体"/>
          <w:color w:val="000000"/>
          <w:sz w:val="32"/>
          <w:szCs w:val="32"/>
        </w:rPr>
      </w:pPr>
      <w:r>
        <w:rPr>
          <w:rFonts w:hint="eastAsia" w:ascii="黑体" w:hAnsi="黑体" w:eastAsia="黑体"/>
          <w:color w:val="000000"/>
          <w:sz w:val="32"/>
          <w:szCs w:val="32"/>
        </w:rPr>
        <w:t>2018年部门整体支出绩效评价得分表</w:t>
      </w:r>
    </w:p>
    <w:tbl>
      <w:tblPr>
        <w:tblStyle w:val="4"/>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14</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bl>
    <w:p>
      <w:pPr>
        <w:rPr>
          <w:rFonts w:hint="eastAsia"/>
          <w:color w:val="000000"/>
        </w:rPr>
      </w:pPr>
    </w:p>
    <w:p>
      <w:pPr>
        <w:spacing w:line="600" w:lineRule="atLeast"/>
        <w:ind w:firstLine="643" w:firstLineChars="200"/>
        <w:rPr>
          <w:rFonts w:hint="eastAsia" w:ascii="仿宋_GB2312" w:eastAsia="仿宋_GB2312"/>
          <w:b/>
          <w:color w:val="000000"/>
          <w:sz w:val="32"/>
          <w:szCs w:val="32"/>
        </w:rPr>
      </w:pPr>
    </w:p>
    <w:p>
      <w:pPr>
        <w:spacing w:line="600" w:lineRule="atLeas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3.部门自行组织绩效评价开展情况。</w:t>
      </w:r>
    </w:p>
    <w:p>
      <w:pPr>
        <w:spacing w:line="600" w:lineRule="atLeast"/>
        <w:ind w:firstLine="800" w:firstLineChars="250"/>
        <w:rPr>
          <w:rFonts w:hint="eastAsia" w:ascii="仿宋_GB2312" w:eastAsia="仿宋_GB2312"/>
          <w:color w:val="000000"/>
          <w:sz w:val="32"/>
          <w:szCs w:val="32"/>
        </w:rPr>
      </w:pPr>
      <w:r>
        <w:rPr>
          <w:rFonts w:hint="eastAsia" w:ascii="仿宋_GB2312" w:eastAsia="仿宋_GB2312"/>
          <w:color w:val="000000"/>
          <w:sz w:val="32"/>
          <w:szCs w:val="32"/>
          <w:lang w:eastAsia="zh-CN"/>
        </w:rPr>
        <w:t>撒瓦脚</w:t>
      </w:r>
      <w:r>
        <w:rPr>
          <w:rFonts w:hint="eastAsia" w:ascii="仿宋_GB2312" w:eastAsia="仿宋_GB2312"/>
          <w:color w:val="000000"/>
          <w:sz w:val="32"/>
          <w:szCs w:val="32"/>
        </w:rPr>
        <w:t>乡开展了整体支出绩效评价，本部门对2018年整体支出开展绩效自评，自评得分76分，存在的问题：一是履职成效不高，二是内部控制管理不健全，三是目标任务不明确。下一步改进措施：一是改进工作方式，明确预算目标任务，做到相关性、合理性；二是加大对内部控制的管理，建立健全内部控制度，提高绩效管理履职成效。本部门对公共运行维护费项目开展了绩效评价，得分为75分，存在的问题：一是项目决策的可行性、明确性不够，二是项目管理中执行不够规范，三是项目进展缓慢，完成情况低，项目没有达到相应的效益。下一步改进措施：一是提高资金的使用率，加大项目的实施进度提高质量管理，达到最高的效益。二是对项目进行政策依据、完善，提高明确性和合理性。</w:t>
      </w:r>
    </w:p>
    <w:p>
      <w:pPr>
        <w:jc w:val="center"/>
        <w:rPr>
          <w:rFonts w:hint="eastAsia" w:ascii="黑体" w:hAnsi="黑体" w:eastAsia="黑体"/>
          <w:color w:val="000000"/>
          <w:sz w:val="32"/>
          <w:szCs w:val="32"/>
        </w:rPr>
      </w:pPr>
      <w:r>
        <w:rPr>
          <w:rFonts w:hint="eastAsia" w:ascii="黑体" w:hAnsi="黑体" w:eastAsia="黑体"/>
          <w:color w:val="000000"/>
          <w:sz w:val="32"/>
          <w:szCs w:val="32"/>
        </w:rPr>
        <w:t>2018年项目支出绩效评价得分表</w:t>
      </w:r>
    </w:p>
    <w:tbl>
      <w:tblPr>
        <w:tblStyle w:val="4"/>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vAlign w:val="center"/>
          </w:tcPr>
          <w:p>
            <w:pPr>
              <w:widowControl/>
              <w:spacing w:line="260" w:lineRule="exact"/>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vAlign w:val="center"/>
          </w:tcPr>
          <w:p>
            <w:pPr>
              <w:widowControl/>
              <w:spacing w:line="26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金川县</w:t>
            </w:r>
            <w:r>
              <w:rPr>
                <w:rFonts w:hint="eastAsia" w:ascii="宋体" w:hAnsi="宋体" w:cs="宋体"/>
                <w:b/>
                <w:bCs/>
                <w:color w:val="000000"/>
                <w:kern w:val="0"/>
                <w:sz w:val="18"/>
                <w:szCs w:val="18"/>
                <w:lang w:eastAsia="zh-CN"/>
              </w:rPr>
              <w:t>撒瓦脚</w:t>
            </w:r>
            <w:r>
              <w:rPr>
                <w:rFonts w:hint="eastAsia" w:ascii="宋体" w:hAnsi="宋体" w:cs="宋体"/>
                <w:b/>
                <w:bCs/>
                <w:color w:val="000000"/>
                <w:kern w:val="0"/>
                <w:sz w:val="18"/>
                <w:szCs w:val="18"/>
              </w:rPr>
              <w:t>乡人民政府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113"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535"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311" w:type="dxa"/>
            <w:vAlign w:val="center"/>
          </w:tcPr>
          <w:p>
            <w:pPr>
              <w:widowControl/>
              <w:spacing w:line="26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必要性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（政策依据)</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可行性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绩效目标    </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（7分）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textDirection w:val="tbRlV"/>
            <w:vAlign w:val="center"/>
          </w:tcPr>
          <w:p>
            <w:pPr>
              <w:widowControl/>
              <w:spacing w:line="260" w:lineRule="exact"/>
              <w:jc w:val="center"/>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（特性指标70分）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项目绩效  </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Align w:val="top"/>
          </w:tcPr>
          <w:p>
            <w:pPr>
              <w:widowControl/>
              <w:spacing w:line="260" w:lineRule="exact"/>
              <w:jc w:val="left"/>
              <w:rPr>
                <w:rFonts w:hint="default" w:ascii="宋体" w:hAnsi="宋体" w:cs="宋体" w:eastAsiaTheme="minorEastAsia"/>
                <w:color w:val="000000"/>
                <w:kern w:val="0"/>
                <w:sz w:val="15"/>
                <w:szCs w:val="15"/>
                <w:lang w:val="en-US" w:eastAsia="zh-CN"/>
              </w:rPr>
            </w:pPr>
            <w:r>
              <w:rPr>
                <w:rFonts w:hint="eastAsia" w:ascii="宋体" w:hAnsi="宋体" w:cs="宋体"/>
                <w:color w:val="000000"/>
                <w:kern w:val="0"/>
                <w:sz w:val="15"/>
                <w:szCs w:val="15"/>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Align w:val="top"/>
          </w:tcPr>
          <w:p>
            <w:pPr>
              <w:widowControl/>
              <w:spacing w:line="260" w:lineRule="exact"/>
              <w:jc w:val="left"/>
              <w:rPr>
                <w:rFonts w:hint="eastAsia"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311" w:type="dxa"/>
            <w:vAlign w:val="top"/>
          </w:tcPr>
          <w:p>
            <w:pPr>
              <w:widowControl/>
              <w:spacing w:line="260" w:lineRule="exact"/>
              <w:jc w:val="center"/>
              <w:rPr>
                <w:rFonts w:hint="eastAsia"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270" w:type="dxa"/>
            <w:gridSpan w:val="4"/>
            <w:vAlign w:val="center"/>
          </w:tcPr>
          <w:p>
            <w:pPr>
              <w:widowControl/>
              <w:spacing w:line="260" w:lineRule="exact"/>
              <w:jc w:val="center"/>
              <w:rPr>
                <w:rFonts w:hint="default" w:ascii="宋体" w:hAnsi="宋体" w:cs="宋体" w:eastAsiaTheme="minorEastAsia"/>
                <w:color w:val="000000"/>
                <w:kern w:val="0"/>
                <w:sz w:val="15"/>
                <w:szCs w:val="15"/>
                <w:lang w:val="en-US" w:eastAsia="zh-CN"/>
              </w:rPr>
            </w:pPr>
            <w:r>
              <w:rPr>
                <w:rFonts w:hint="eastAsia" w:ascii="宋体" w:hAnsi="宋体" w:cs="宋体"/>
                <w:color w:val="000000"/>
                <w:kern w:val="0"/>
                <w:sz w:val="15"/>
                <w:szCs w:val="15"/>
                <w:lang w:val="en-US" w:eastAsia="zh-CN"/>
              </w:rPr>
              <w:t>76</w:t>
            </w:r>
          </w:p>
        </w:tc>
      </w:tr>
    </w:tbl>
    <w:p>
      <w:pPr>
        <w:spacing w:line="600" w:lineRule="atLeast"/>
        <w:ind w:firstLine="321" w:firstLineChars="100"/>
        <w:rPr>
          <w:rFonts w:hint="eastAsia" w:ascii="仿宋_GB2312" w:hAnsi="Times New Roman" w:eastAsia="仿宋_GB2312" w:cs="Times New Roman"/>
          <w:b/>
          <w:bCs w:val="0"/>
          <w:color w:val="000000"/>
          <w:sz w:val="32"/>
          <w:szCs w:val="32"/>
        </w:rPr>
      </w:pPr>
      <w:r>
        <w:rPr>
          <w:rFonts w:hint="eastAsia" w:ascii="仿宋_GB2312" w:hAnsi="Times New Roman" w:eastAsia="仿宋_GB2312" w:cs="Times New Roman"/>
          <w:b/>
          <w:bCs w:val="0"/>
          <w:color w:val="000000"/>
          <w:sz w:val="32"/>
          <w:szCs w:val="32"/>
        </w:rPr>
        <w:t>十一、名词解释</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1.财政拨款收入：指单位从同级财政部门取得的财政预算资金。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2.其他收入：指单位取得财政拨款收入以外的各项收入。主要是浙江援建的新建档案馆项目经费及省档案局</w:t>
      </w:r>
      <w:r>
        <w:rPr>
          <w:rFonts w:hint="eastAsia" w:ascii="仿宋_GB2312" w:hAnsi="Times New Roman" w:eastAsia="仿宋_GB2312" w:cs="Times New Roman"/>
          <w:b w:val="0"/>
          <w:bCs/>
          <w:color w:val="000000"/>
          <w:sz w:val="32"/>
          <w:szCs w:val="32"/>
          <w:lang w:eastAsia="zh-CN"/>
        </w:rPr>
        <w:t>下拨</w:t>
      </w:r>
      <w:r>
        <w:rPr>
          <w:rFonts w:hint="eastAsia" w:ascii="仿宋_GB2312" w:hAnsi="Times New Roman" w:eastAsia="仿宋_GB2312" w:cs="Times New Roman"/>
          <w:b w:val="0"/>
          <w:bCs/>
          <w:color w:val="000000"/>
          <w:sz w:val="32"/>
          <w:szCs w:val="32"/>
        </w:rPr>
        <w:t>的专项业务经费（收入类型）等。</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3.年初结转和结余：指以前年度尚未完成、结转到本年按有关规定继续使用的资金。</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4、年末结转和结余：指单位按有关规定结转到下年或以后年度继续使用的资金。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5. 一般公共服务（类）201（款）26（项）01——行政运行：指反映行政单位（包括实行公务员管理的事业单位）的基本支出。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6. 一般公共服务（类）201（款）26（项）02——一般行政管理事务：指反映行政单位（包括实行公务员管理的事业单位）未单独设置项级科目的其他项目支出。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7. 一般公共服务（类）201（款）26（项）04——档案馆：指反映中央和地方各级档案馆的支出，包括档案资料征集，档案抢救、保护、编纂、修复、现代化管理、档案信息资源开发、提供、利用、档案馆设备购置、维护、档案陈列展览等方面的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8. 一般公共服务（类）201（款）99（项）99——其他档案事务支出：反映除上述项目以外其他用于档案事务方面的支出。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9.社会保障和就业支出（类）208（款）05（项）05——机关事业单位基本养老保险缴费支出：反映机关事业单位实施养老保险制度的单位缴纳的基本养老保险费支出。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10. 社会保障和就业支出（类）208（款）05（项）06——机关事业单位职业年金缴费支出：反映机关事业单位实施养老保险制度匝单位缴纳的职业年金支出。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11.医疗卫生与计划生育支出(类）210（款）05（项）01——行政单位医疗：反映财政部门集中安排的行政单位基本医疗保险</w:t>
      </w:r>
      <w:r>
        <w:rPr>
          <w:rFonts w:hint="eastAsia" w:ascii="仿宋_GB2312" w:hAnsi="Times New Roman" w:eastAsia="仿宋_GB2312" w:cs="Times New Roman"/>
          <w:b w:val="0"/>
          <w:bCs/>
          <w:color w:val="000000"/>
          <w:sz w:val="32"/>
          <w:szCs w:val="32"/>
          <w:lang w:eastAsia="zh-CN"/>
        </w:rPr>
        <w:t>缴费</w:t>
      </w:r>
      <w:bookmarkStart w:id="0" w:name="_GoBack"/>
      <w:bookmarkEnd w:id="0"/>
      <w:r>
        <w:rPr>
          <w:rFonts w:hint="eastAsia" w:ascii="仿宋_GB2312" w:hAnsi="Times New Roman" w:eastAsia="仿宋_GB2312" w:cs="Times New Roman"/>
          <w:b w:val="0"/>
          <w:bCs/>
          <w:color w:val="000000"/>
          <w:sz w:val="32"/>
          <w:szCs w:val="32"/>
        </w:rPr>
        <w:t>经费。</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12.住房保障支出(类）221（款）02（项）01————住房公积金：反映行政事业单位按人力资源和社会保障部、财政部规定的基本工资和津贴补贴以及规定比例为职工缴纳的住房公积金。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13.年末结转和结余：指本年度或以前年度预算安排、因客观条件发生变化无法按原计划实施，需延迟到以后年度按有关规定继续使用的资金。</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14.基本支出：指为保障机构正常运转、完成日常工作任务而发生的人员支出和公用支出。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15.项目支出：指在基本支出之外为完成特定行政任务和事业发展目标所发生的支出。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16.“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pacing w:line="600" w:lineRule="atLeast"/>
        <w:ind w:firstLine="640" w:firstLineChars="200"/>
        <w:rPr>
          <w:rFonts w:hint="eastAsia" w:ascii="仿宋_GB2312" w:hAnsi="Times New Roman" w:eastAsia="仿宋_GB2312" w:cs="Times New Roman"/>
          <w:b w:val="0"/>
          <w:bCs/>
          <w:color w:val="000000"/>
          <w:sz w:val="32"/>
          <w:szCs w:val="32"/>
        </w:rPr>
      </w:pPr>
    </w:p>
    <w:p>
      <w:pPr>
        <w:spacing w:line="600" w:lineRule="atLeast"/>
        <w:ind w:firstLine="640" w:firstLineChars="200"/>
        <w:rPr>
          <w:rFonts w:hint="eastAsia" w:ascii="仿宋_GB2312" w:hAnsi="Times New Roman" w:eastAsia="仿宋_GB2312" w:cs="Times New Roman"/>
          <w:b w:val="0"/>
          <w:bCs/>
          <w:color w:val="000000"/>
          <w:sz w:val="32"/>
          <w:szCs w:val="32"/>
        </w:rPr>
      </w:pPr>
      <w:r>
        <w:rPr>
          <w:rFonts w:hint="eastAsia" w:ascii="仿宋_GB2312" w:hAnsi="Times New Roman" w:eastAsia="仿宋_GB2312" w:cs="Times New Roman"/>
          <w:b w:val="0"/>
          <w:bCs/>
          <w:color w:val="000000"/>
          <w:sz w:val="32"/>
          <w:szCs w:val="32"/>
        </w:rPr>
        <w:t xml:space="preserve"> </w:t>
      </w:r>
    </w:p>
    <w:p>
      <w:pPr>
        <w:spacing w:line="600" w:lineRule="atLeast"/>
        <w:ind w:firstLine="640" w:firstLineChars="200"/>
        <w:rPr>
          <w:rFonts w:hint="eastAsia" w:ascii="仿宋_GB2312" w:hAnsi="Times New Roman" w:eastAsia="仿宋_GB2312" w:cs="Times New Roman"/>
          <w:b w:val="0"/>
          <w:bCs/>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5459A4"/>
    <w:multiLevelType w:val="singleLevel"/>
    <w:tmpl w:val="4E5459A4"/>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52696C"/>
    <w:rsid w:val="1A4C5880"/>
    <w:rsid w:val="1C5A0237"/>
    <w:rsid w:val="26826F82"/>
    <w:rsid w:val="297019B5"/>
    <w:rsid w:val="2F986C20"/>
    <w:rsid w:val="374016E5"/>
    <w:rsid w:val="4235582A"/>
    <w:rsid w:val="43112EB2"/>
    <w:rsid w:val="46153F71"/>
    <w:rsid w:val="49847BEC"/>
    <w:rsid w:val="4A5908AE"/>
    <w:rsid w:val="5E3F6BA6"/>
    <w:rsid w:val="75B87841"/>
    <w:rsid w:val="7C8072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before="93" w:beforeLines="30"/>
    </w:pPr>
    <w:rPr>
      <w:rFonts w:ascii="仿宋_GB2312" w:eastAsia="仿宋_GB2312"/>
      <w:kern w:val="0"/>
      <w:sz w:val="30"/>
    </w:rPr>
  </w:style>
  <w:style w:type="paragraph" w:styleId="3">
    <w:name w:val="Normal (Web)"/>
    <w:basedOn w:val="1"/>
    <w:qFormat/>
    <w:uiPriority w:val="0"/>
    <w:pPr>
      <w:spacing w:before="0" w:beforeAutospacing="1" w:after="0" w:afterAutospacing="1"/>
      <w:ind w:left="0" w:right="0"/>
      <w:jc w:val="left"/>
    </w:pPr>
    <w:rPr>
      <w:color w:val="FF3300"/>
      <w:kern w:val="0"/>
      <w:sz w:val="24"/>
      <w:u w:val="single"/>
      <w:lang w:val="en-US" w:eastAsia="zh-CN" w:bidi="ar"/>
    </w:rPr>
  </w:style>
  <w:style w:type="character" w:styleId="6">
    <w:name w:val="Strong"/>
    <w:basedOn w:val="5"/>
    <w:qFormat/>
    <w:uiPriority w:val="0"/>
    <w:rPr>
      <w:b/>
    </w:rPr>
  </w:style>
  <w:style w:type="character" w:styleId="7">
    <w:name w:val="FollowedHyperlink"/>
    <w:basedOn w:val="5"/>
    <w:qFormat/>
    <w:uiPriority w:val="0"/>
    <w:rPr>
      <w:color w:val="4E4342"/>
      <w:u w:val="none"/>
    </w:rPr>
  </w:style>
  <w:style w:type="character" w:styleId="8">
    <w:name w:val="Hyperlink"/>
    <w:basedOn w:val="5"/>
    <w:qFormat/>
    <w:uiPriority w:val="0"/>
    <w:rPr>
      <w:color w:val="4E434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cp:lastPrinted>2021-05-21T08:12:00Z</cp:lastPrinted>
  <dcterms:modified xsi:type="dcterms:W3CDTF">2021-06-07T02:55:06Z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1A823E4EDBFA4C37BE86E0EEB249F18E</vt:lpwstr>
  </property>
</Properties>
</file>