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597"/>
      <w:bookmarkStart w:id="1" w:name="_Toc15377425"/>
      <w:bookmarkStart w:id="2" w:name="_Toc15396475"/>
      <w:bookmarkStart w:id="3" w:name="_Toc15377193"/>
      <w:bookmarkStart w:id="4" w:name="_Toc15378441"/>
      <w:bookmarkStart w:id="5" w:name="_Toc15306267"/>
    </w:p>
    <w:p w14:paraId="7D73BD19">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402783EE">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164890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597C79E">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609AE7C3">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14:paraId="6DBC95DC">
      <w:pPr>
        <w:jc w:val="center"/>
        <w:rPr>
          <w:rFonts w:hint="eastAsia" w:ascii="黑体" w:hAnsi="黑体" w:eastAsia="黑体" w:cs="黑体"/>
          <w:b w:val="0"/>
          <w:bCs/>
          <w:color w:val="000000" w:themeColor="text1"/>
          <w:sz w:val="44"/>
          <w:szCs w:val="44"/>
          <w14:textFill>
            <w14:solidFill>
              <w14:schemeClr w14:val="tx1"/>
            </w14:solidFill>
          </w14:textFill>
        </w:rPr>
      </w:pPr>
      <w:bookmarkStart w:id="6" w:name="_Toc15377426"/>
      <w:bookmarkStart w:id="7" w:name="_Toc15396476"/>
      <w:bookmarkStart w:id="8" w:name="_Toc15378442"/>
      <w:bookmarkStart w:id="9" w:name="_Toc15306268"/>
      <w:bookmarkStart w:id="10" w:name="_Toc15396598"/>
      <w:bookmarkStart w:id="11" w:name="_Toc15377194"/>
      <w:r>
        <w:rPr>
          <w:rFonts w:hint="eastAsia" w:ascii="黑体" w:hAnsi="黑体" w:eastAsia="黑体" w:cs="黑体"/>
          <w:b w:val="0"/>
          <w:bCs/>
          <w:color w:val="000000" w:themeColor="text1"/>
          <w:sz w:val="44"/>
          <w:szCs w:val="44"/>
          <w14:textFill>
            <w14:solidFill>
              <w14:schemeClr w14:val="tx1"/>
            </w14:solidFill>
          </w14:textFill>
        </w:rPr>
        <w:t>金川县集沐乡人民政府</w:t>
      </w:r>
      <w:r>
        <w:rPr>
          <w:rFonts w:ascii="黑体" w:hAnsi="黑体" w:eastAsia="黑体" w:cs="黑体"/>
          <w:color w:val="000000"/>
          <w:sz w:val="44"/>
          <w:u w:color="auto"/>
        </w:rPr>
        <w:t>单位决算</w:t>
      </w:r>
      <w:bookmarkEnd w:id="6"/>
      <w:bookmarkEnd w:id="7"/>
      <w:bookmarkEnd w:id="8"/>
      <w:bookmarkEnd w:id="9"/>
      <w:bookmarkEnd w:id="10"/>
      <w:bookmarkEnd w:id="11"/>
    </w:p>
    <w:p w14:paraId="0E2C97A9">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743D9D22">
      <w:pPr>
        <w:pStyle w:val="16"/>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bookmarkStart w:id="95" w:name="_GoBack"/>
      <w:bookmarkEnd w:id="95"/>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30</w:t>
      </w:r>
      <w:r>
        <w:rPr>
          <w:rFonts w:hint="eastAsia"/>
          <w:color w:val="000000" w:themeColor="text1"/>
          <w:highlight w:val="none"/>
          <w14:textFill>
            <w14:solidFill>
              <w14:schemeClr w14:val="tx1"/>
            </w14:solidFill>
          </w14:textFill>
        </w:rPr>
        <w:t>日</w:t>
      </w:r>
    </w:p>
    <w:p w14:paraId="49203D4D">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lang w:val="en-US" w:eastAsia="zh-CN"/>
          <w14:textFill>
            <w14:solidFill>
              <w14:schemeClr w14:val="tx1"/>
            </w14:solidFill>
          </w14:textFill>
        </w:rPr>
        <w:t>3</w:t>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13372F6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4567BA5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2</w:t>
      </w:r>
    </w:p>
    <w:p w14:paraId="71EF486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3</w:t>
      </w:r>
    </w:p>
    <w:p w14:paraId="1C39B0B7">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5</w:t>
      </w:r>
    </w:p>
    <w:p w14:paraId="5185CA32">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9</w:t>
      </w:r>
    </w:p>
    <w:p w14:paraId="49EB3F66">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3</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0</w:t>
      </w:r>
    </w:p>
    <w:p w14:paraId="1D314EC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67C5159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744CBCE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6F1C1D8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1367FA2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4E0B0EA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4EF1114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281F584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23984A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16DAFCA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7A4664B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6E3B3E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0168567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仿宋" w:cs="宋体"/>
          <w:color w:val="000000" w:themeColor="text1"/>
          <w:sz w:val="24"/>
          <w:szCs w:val="24"/>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0</w:t>
      </w:r>
    </w:p>
    <w:p w14:paraId="62FF81B7">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5"/>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9016"/>
      <w:bookmarkStart w:id="14" w:name="_Toc111208495"/>
    </w:p>
    <w:p w14:paraId="521E39E1">
      <w:pPr>
        <w:pStyle w:val="5"/>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Style w:val="36"/>
          <w:rFonts w:hint="eastAsia" w:ascii="黑体" w:hAnsi="黑体" w:eastAsia="黑体" w:cs="黑体"/>
          <w:b w:val="0"/>
          <w:bCs w:val="0"/>
        </w:rPr>
        <w:t>单位</w:t>
      </w:r>
      <w:r>
        <w:rPr>
          <w:rStyle w:val="36"/>
          <w:rFonts w:ascii="黑体" w:hAnsi="黑体" w:eastAsia="黑体" w:cs="黑体"/>
          <w:b w:val="0"/>
          <w:bCs w:val="0"/>
          <w:u w:color="auto"/>
        </w:rPr>
        <w:t>概况</w:t>
      </w:r>
      <w:bookmarkEnd w:id="12"/>
      <w:bookmarkEnd w:id="13"/>
      <w:bookmarkEnd w:id="14"/>
    </w:p>
    <w:p w14:paraId="24C03C62">
      <w:pPr>
        <w:pStyle w:val="6"/>
        <w:ind w:firstLine="640" w:firstLineChars="200"/>
        <w:rPr>
          <w:rFonts w:hint="eastAsia" w:ascii="黑体" w:hAnsi="黑体" w:eastAsia="黑体" w:cs="黑体"/>
          <w:b w:val="0"/>
          <w:bCs/>
          <w:color w:val="000000"/>
          <w:lang w:val="en-US" w:eastAsia="zh-CN"/>
        </w:rPr>
      </w:pPr>
      <w:bookmarkStart w:id="15" w:name="_Toc28564"/>
      <w:bookmarkStart w:id="16" w:name="_Toc111208496"/>
      <w:bookmarkStart w:id="17" w:name="_Toc113981010"/>
      <w:bookmarkStart w:id="18" w:name="_Toc15377197"/>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8445"/>
      <w:bookmarkStart w:id="21" w:name="_Toc15377198"/>
      <w:r>
        <w:rPr>
          <w:rFonts w:hint="eastAsia" w:ascii="黑体" w:hAnsi="黑体" w:eastAsia="黑体" w:cs="黑体"/>
          <w:b w:val="0"/>
          <w:bCs/>
          <w:color w:val="000000"/>
          <w:lang w:val="en-US" w:eastAsia="zh-CN"/>
        </w:rPr>
        <w:t>主要职责</w:t>
      </w:r>
    </w:p>
    <w:bookmarkEnd w:id="20"/>
    <w:bookmarkEnd w:id="21"/>
    <w:p w14:paraId="2F4B16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color w:val="000000"/>
          <w:sz w:val="32"/>
          <w:szCs w:val="32"/>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（2）、制定并组织实施村镇建设规划，部署重点工程建设，地方道路建设及公共设施，水利设施的管理，负责土地、林木、水等自然资源和生态环境的保护，做好护林防火工作。 </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（4）、按计划组织本级财政收入和地方税的征收，完成国家财政计划，不断培植税源，管好财政资金，增强财政实力。 </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（5）、抓好精神文明建设，丰富群众文化生活，提倡移风易俗，反对封建迷信，破除陈规陋习，树立社会主义新风尚。 </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（6）、完成上级政府交办的其它事项。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（7）、执行本级人民代表大会的决议和上级国家行政机关的决定和命令，发布决定和命令。</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（8）、保护社会主义的全民所有的财产和劳动群众集体所有的财产，保护公民私人所有的合法财产，维护社会秩序，保障公民的人身权利、民主权利和其他权利。</w:t>
      </w:r>
    </w:p>
    <w:p w14:paraId="2CF1E803">
      <w:pPr>
        <w:pStyle w:val="6"/>
        <w:ind w:firstLine="640" w:firstLineChars="200"/>
        <w:rPr>
          <w:rFonts w:hint="eastAsia" w:ascii="黑体" w:hAnsi="黑体" w:eastAsia="黑体" w:cs="黑体"/>
          <w:b w:val="0"/>
          <w:bCs/>
          <w:color w:val="000000"/>
        </w:rPr>
      </w:pPr>
      <w:bookmarkStart w:id="22" w:name="_Toc15377200"/>
      <w:bookmarkStart w:id="23" w:name="_Toc111208497"/>
      <w:bookmarkStart w:id="24" w:name="_Toc113981011"/>
      <w:bookmarkStart w:id="25" w:name="_Toc22056"/>
      <w:r>
        <w:rPr>
          <w:rFonts w:hint="eastAsia" w:ascii="黑体" w:hAnsi="黑体" w:eastAsia="黑体" w:cs="黑体"/>
          <w:b w:val="0"/>
          <w:bCs/>
          <w:color w:val="000000"/>
        </w:rPr>
        <w:t>二、机构设置</w:t>
      </w:r>
      <w:bookmarkEnd w:id="22"/>
      <w:bookmarkEnd w:id="23"/>
      <w:bookmarkEnd w:id="24"/>
      <w:bookmarkEnd w:id="25"/>
    </w:p>
    <w:p w14:paraId="35A282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截至2024年末，金川县集沐乡人民政府只有一个行政核算机构。单位编制数31个，其中：公务员编制17个、行政工勤编制2个，事业编制12名。截止2024年12月，单位实有人数30人，其中：在职人数（公务员16个、行政工勤2个，事业12名），退休4人，工资转由社保部门发放。</w:t>
      </w: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5"/>
        <w:jc w:val="center"/>
        <w:rPr>
          <w:rFonts w:hint="eastAsia" w:ascii="黑体" w:hAnsi="黑体" w:eastAsia="黑体" w:cs="黑体"/>
          <w:b w:val="0"/>
          <w:bCs w:val="0"/>
        </w:rPr>
      </w:pPr>
      <w:bookmarkStart w:id="26" w:name="_Toc111208498"/>
      <w:bookmarkStart w:id="27" w:name="_Toc905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6"/>
        <w:ind w:firstLine="640" w:firstLineChars="200"/>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ascii="仿宋" w:hAnsi="仿宋" w:eastAsia="仿宋" w:cs="仿宋"/>
          <w:color w:val="000000"/>
          <w:sz w:val="32"/>
          <w:u w:color="auto"/>
        </w:rPr>
        <w:t>年度收入、支出总计均为875.56</w:t>
      </w:r>
      <w:r>
        <w:rPr>
          <w:rFonts w:hint="eastAsia" w:ascii="仿宋" w:hAnsi="仿宋" w:eastAsia="仿宋" w:cs="仿宋"/>
          <w:color w:val="000000"/>
          <w:sz w:val="32"/>
          <w:szCs w:val="32"/>
        </w:rPr>
        <w:t>万元。与</w:t>
      </w:r>
      <w:r>
        <w:rPr>
          <w:rFonts w:ascii="仿宋" w:hAnsi="仿宋" w:eastAsia="仿宋" w:cs="仿宋"/>
          <w:color w:val="000000"/>
          <w:sz w:val="32"/>
          <w:u w:color="auto"/>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相比，收入、支出总计各</w:t>
      </w:r>
      <w:r>
        <w:rPr>
          <w:rFonts w:ascii="仿宋" w:hAnsi="仿宋" w:eastAsia="仿宋" w:cs="仿宋"/>
          <w:color w:val="000000"/>
          <w:sz w:val="32"/>
          <w:u w:color="auto"/>
        </w:rPr>
        <w:t xml:space="preserve">增加21.22万元，增长2.5%。主要变动原因是年度内人员工资涨幅大。 </w:t>
      </w:r>
    </w:p>
    <w:p w14:paraId="61134D0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590810">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14:paraId="43B3D363">
      <w:pPr>
        <w:pStyle w:val="6"/>
        <w:ind w:firstLine="640" w:firstLineChars="200"/>
        <w:rPr>
          <w:rFonts w:hint="eastAsia" w:ascii="黑体" w:hAnsi="黑体" w:eastAsia="黑体" w:cs="黑体"/>
          <w:bCs w:val="0"/>
          <w:color w:val="000000"/>
        </w:rPr>
      </w:pPr>
      <w:bookmarkStart w:id="31" w:name="_Toc8125"/>
      <w:bookmarkStart w:id="32" w:name="_Toc111208500"/>
      <w:bookmarkStart w:id="33" w:name="_Toc15377206"/>
      <w:r>
        <w:rPr>
          <w:rFonts w:hint="eastAsia" w:ascii="黑体" w:hAnsi="黑体" w:eastAsia="黑体" w:cs="黑体"/>
          <w:b w:val="0"/>
          <w:bCs/>
          <w:color w:val="000000"/>
        </w:rPr>
        <w:t>二、收入决算情况说明</w:t>
      </w:r>
      <w:bookmarkEnd w:id="31"/>
      <w:bookmarkEnd w:id="32"/>
      <w:bookmarkEnd w:id="33"/>
    </w:p>
    <w:p w14:paraId="7DAB4092">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875.56万元</w:t>
      </w:r>
      <w:r>
        <w:rPr>
          <w:rFonts w:hint="eastAsia" w:ascii="仿宋" w:hAnsi="仿宋" w:eastAsia="仿宋" w:cs="仿宋"/>
          <w:color w:val="000000"/>
          <w:sz w:val="32"/>
          <w:szCs w:val="32"/>
          <w:lang w:val="en-US" w:eastAsia="zh-CN"/>
        </w:rPr>
        <w:t>，其中:一般公共预算财政拨款收入875.56万元，占100%</w:t>
      </w:r>
      <w:r>
        <w:rPr>
          <w:rFonts w:hint="eastAsia" w:ascii="仿宋" w:hAnsi="仿宋" w:eastAsia="仿宋" w:cs="仿宋"/>
          <w:color w:val="000000"/>
          <w:sz w:val="32"/>
          <w:szCs w:val="32"/>
        </w:rPr>
        <w:t>。</w:t>
      </w:r>
    </w:p>
    <w:p w14:paraId="6E48941D">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D541CD">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7196F3EB">
      <w:pPr>
        <w:pStyle w:val="6"/>
        <w:ind w:firstLine="640" w:firstLineChars="200"/>
        <w:rPr>
          <w:rFonts w:hint="eastAsia" w:ascii="黑体" w:hAnsi="黑体" w:eastAsia="黑体" w:cs="黑体"/>
          <w:b w:val="0"/>
          <w:bCs/>
          <w:color w:val="000000"/>
        </w:rPr>
      </w:pPr>
      <w:bookmarkStart w:id="34" w:name="_Toc15377207"/>
      <w:bookmarkStart w:id="35" w:name="_Toc111208501"/>
      <w:bookmarkStart w:id="36" w:name="_Toc28283"/>
      <w:r>
        <w:rPr>
          <w:rFonts w:hint="eastAsia" w:ascii="黑体" w:hAnsi="黑体" w:eastAsia="黑体" w:cs="黑体"/>
          <w:b w:val="0"/>
          <w:bCs/>
          <w:color w:val="000000"/>
        </w:rPr>
        <w:t>三、支出决算情况说明</w:t>
      </w:r>
      <w:bookmarkEnd w:id="34"/>
      <w:bookmarkEnd w:id="35"/>
      <w:bookmarkEnd w:id="36"/>
    </w:p>
    <w:p w14:paraId="1753835D">
      <w:pPr>
        <w:pStyle w:val="8"/>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875.56万元</w:t>
      </w:r>
      <w:r>
        <w:rPr>
          <w:rFonts w:hint="eastAsia" w:ascii="仿宋" w:hAnsi="仿宋" w:eastAsia="仿宋" w:cs="仿宋"/>
          <w:color w:val="000000"/>
          <w:sz w:val="32"/>
          <w:szCs w:val="32"/>
          <w:lang w:val="en-US" w:eastAsia="zh-CN"/>
        </w:rPr>
        <w:t>，其中:基本支出718.6万元，占82.1%；项目支出156.96万元，占17.9%</w:t>
      </w:r>
      <w:r>
        <w:rPr>
          <w:rFonts w:hint="eastAsia" w:ascii="仿宋" w:hAnsi="仿宋" w:eastAsia="仿宋" w:cs="仿宋"/>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E40098">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0429694F">
      <w:pPr>
        <w:pStyle w:val="6"/>
        <w:ind w:firstLine="640" w:firstLineChars="200"/>
        <w:rPr>
          <w:rFonts w:hint="eastAsia" w:ascii="黑体" w:hAnsi="黑体" w:eastAsia="黑体" w:cs="黑体"/>
          <w:b w:val="0"/>
          <w:bCs/>
          <w:color w:val="000000"/>
        </w:rPr>
      </w:pPr>
      <w:bookmarkStart w:id="37" w:name="_Toc19521"/>
      <w:bookmarkStart w:id="38" w:name="_Toc111208502"/>
      <w:bookmarkStart w:id="39" w:name="_Toc15377208"/>
      <w:r>
        <w:rPr>
          <w:rFonts w:hint="eastAsia" w:ascii="黑体" w:hAnsi="黑体" w:eastAsia="黑体" w:cs="黑体"/>
          <w:b w:val="0"/>
          <w:bCs/>
          <w:color w:val="000000"/>
        </w:rPr>
        <w:t>四、财政拨款收入支出决算总体情况说明</w:t>
      </w:r>
      <w:bookmarkEnd w:id="37"/>
      <w:bookmarkEnd w:id="38"/>
      <w:bookmarkEnd w:id="39"/>
    </w:p>
    <w:p w14:paraId="66D81735">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总计均为</w:t>
      </w:r>
      <w:r>
        <w:rPr>
          <w:rFonts w:ascii="仿宋" w:hAnsi="仿宋" w:eastAsia="仿宋" w:cs="仿宋"/>
          <w:color w:val="000000"/>
          <w:sz w:val="32"/>
          <w:u w:color="auto"/>
        </w:rPr>
        <w:t>875.56万元。与2023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总计各</w:t>
      </w:r>
      <w:r>
        <w:rPr>
          <w:rFonts w:ascii="仿宋" w:hAnsi="仿宋" w:eastAsia="仿宋" w:cs="仿宋"/>
          <w:color w:val="000000"/>
          <w:sz w:val="32"/>
          <w:u w:color="auto"/>
        </w:rPr>
        <w:t xml:space="preserve">增加875.47万元，增长1,024,734.4%。主要变动原因是年度内人员工资涨幅大。 </w:t>
      </w:r>
    </w:p>
    <w:p w14:paraId="48830107">
      <w:pPr>
        <w:rPr>
          <w:rFonts w:hint="eastAsia" w:ascii="仿宋" w:hAnsi="仿宋" w:eastAsia="仿宋" w:cs="仿宋"/>
          <w:color w:val="000000"/>
          <w:sz w:val="32"/>
          <w:szCs w:val="32"/>
        </w:rPr>
      </w:pPr>
      <w:r>
        <w:rPr>
          <w:rFonts w:hint="eastAsia" w:ascii="仿宋" w:hAnsi="仿宋" w:eastAsia="仿宋" w:cs="仿宋"/>
          <w:color w:val="000000"/>
          <w:sz w:val="32"/>
          <w:szCs w:val="32"/>
        </w:rPr>
        <w:br w:type="page"/>
      </w:r>
    </w:p>
    <w:p w14:paraId="74768A39">
      <w:pPr>
        <w:pStyle w:val="8"/>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9EF25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094987CA">
      <w:pPr>
        <w:pStyle w:val="6"/>
        <w:ind w:firstLine="640" w:firstLineChars="20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spacing w:line="600" w:lineRule="exact"/>
        <w:ind w:firstLine="643" w:firstLineChars="200"/>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875.56万元，占本年支出合计的100%。与2023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 xml:space="preserve">增加875.47万元，增长1,024,734.4%。主要变动原因是年度内人员工资涨幅大。 </w:t>
      </w:r>
    </w:p>
    <w:p w14:paraId="1392859B">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DE6975">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875.56万元，主要用于以下方面: 一般公共服务支出343.69万元，占39.2%；社会保障和就业支出92.46万元，占10.6%；卫生健康支出41.13万元，占4.7%；农林水支出342.32万元，占39.1%；住房保障支出54.53万元，占6.2%；灾害防治及应急管理支出1.43万元，占0.2%。</w:t>
      </w:r>
    </w:p>
    <w:p w14:paraId="68BC5887">
      <w:pPr>
        <w:pStyle w:val="8"/>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D2F421">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14:paraId="7B678BDA">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7444"/>
      <w:bookmarkStart w:id="47" w:name="_Toc15378460"/>
      <w:bookmarkStart w:id="48" w:name="_Toc15377213"/>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875.56万元，完成预算100%。其中：</w:t>
      </w:r>
      <w:bookmarkEnd w:id="46"/>
      <w:bookmarkEnd w:id="47"/>
      <w:bookmarkEnd w:id="48"/>
    </w:p>
    <w:p w14:paraId="7AED4EF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1.一般公共服务支出（类）人大事务（款）行政运行（项）:支出决算20.14万元，完成预算100%。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2.一般公共服务支出（类）人大事务（款）人大会议（项）:支出决算0.2万元，完成预算100%。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3.一般公共服务支出（类）政府办公厅（室）及相关机构事务（款）行政运行（项）:支出决算302.69万元，完成预算100%。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4.一般公共服务支出（类）党委办公厅（室）及相关机构事务（款）行政运行（项）:支出决算20.66万元，完成预算100%。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5.社会保障和就业支出（类）行政事业单位养老支出（款）机关事业单位基本养老保险缴费支出（项）:支出决算61.65万元，完成预算100%。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6.社会保障和就业支出（类）行政事业单位养老支出（款）机关事业单位职业年金缴费支出（项）:支出决算30.81万元，完成预算100%。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7.卫生健康支出（类）行政事业单位医疗（款）行政单位医疗（项）:支出决算21.5万元，完成预算100%。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8.卫生健康支出（类）行政事业单位医疗（款）事业单位医疗（项）:支出决算11.89万元，完成预算100%。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9.卫生健康支出（类）行政事业单位医疗（款）公务员医疗补助（项）:支出决算5.14万元，完成预算100%。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10.卫生健康支出（类）行政事业单位医疗（款）其他行政事业单位医疗支出（项）:支出决算2.6万元，完成预算100%。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11.农林水支出（类）农业农村（款）事业运行（项）:支出决算187万元，完成预算100%。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12.农林水支出（类）农村综合改革（款）对村民委员会和村党支部的补助（项）:支出决算155.33万元，完成预算100%。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13.住房保障支出（类）住房改革支出（款）住房公积金（项）:支出决算54.53万元，完成预算100%。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14.灾害防治及应急管理支出（类）自然灾害救灾及恢复重建支出（款）自然灾害救灾补助（项）:支出决算1.43万元，完成预算100%。</w:t>
      </w:r>
    </w:p>
    <w:p w14:paraId="5F1461C4">
      <w:pPr>
        <w:pStyle w:val="6"/>
        <w:ind w:firstLine="640" w:firstLineChars="200"/>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718.6万元，其中：</w:t>
      </w:r>
    </w:p>
    <w:p w14:paraId="116EF1F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691.08万元，主要包括：基本工资122.14万元、津贴补贴150.74万元、奖金171.46万元、绩效工资36.5万元、机关事业单位基本养老保险缴费61.65万元、职业年金缴费30.81万元、职工基本医疗保险缴费33.39万元、公务员医疗补助缴费5.14万元、其他社会保障缴费10.05万元、住房公积金54.53万元、生活补助14.67万元、奖励金0.01万元。</w:t>
      </w:r>
    </w:p>
    <w:p w14:paraId="39B6CA0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27.52万元，主要包括：办公费10.15万元、印刷费0.45万元、水费0.05万元、电费1万元、邮电费1.8万元、差旅费1.98万元、委托业务费3万元、公务用车运行维护费9.09万元。</w:t>
      </w:r>
    </w:p>
    <w:p w14:paraId="151B178E">
      <w:pPr>
        <w:pStyle w:val="6"/>
        <w:ind w:firstLine="640" w:firstLineChars="200"/>
        <w:rPr>
          <w:rFonts w:hint="eastAsia" w:ascii="黑体" w:hAnsi="黑体" w:eastAsia="黑体" w:cs="黑体"/>
          <w:b w:val="0"/>
          <w:bCs/>
          <w:color w:val="000000"/>
        </w:rPr>
      </w:pPr>
      <w:bookmarkStart w:id="52" w:name="_Toc15377215"/>
      <w:bookmarkStart w:id="53" w:name="_Toc6614"/>
      <w:bookmarkStart w:id="54" w:name="_Toc111208505"/>
      <w:r>
        <w:rPr>
          <w:rFonts w:hint="eastAsia" w:ascii="黑体" w:hAnsi="黑体" w:eastAsia="黑体" w:cs="黑体"/>
          <w:b w:val="0"/>
          <w:bCs/>
          <w:color w:val="000000"/>
        </w:rPr>
        <w:t>七、“三公”经费财政拨款支出决算情况说明</w:t>
      </w:r>
      <w:bookmarkEnd w:id="52"/>
      <w:bookmarkEnd w:id="53"/>
      <w:bookmarkEnd w:id="54"/>
    </w:p>
    <w:p w14:paraId="613FE387">
      <w:pPr>
        <w:spacing w:line="600" w:lineRule="exact"/>
        <w:ind w:firstLine="643"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9.09万元，完成预算100%，较上年度增加0万元，增长0.1%。</w:t>
      </w:r>
      <w:bookmarkStart w:id="56" w:name="_Toc15377217"/>
    </w:p>
    <w:p w14:paraId="1F750F0C">
      <w:pPr>
        <w:spacing w:line="600" w:lineRule="exact"/>
        <w:ind w:firstLine="640"/>
        <w:rPr>
          <w:rFonts w:hint="eastAsia"/>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9.09万元，因公出国（境）费支出决算0万元，占0%；公务用车购置及运行维护费支出决算9.09万元，占100%；公务接待费支出决算0万元，占0%。具体情况如下：</w:t>
      </w:r>
    </w:p>
    <w:p w14:paraId="35A33F8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793809">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14:paraId="1E9D76A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ascii="仿宋" w:hAnsi="仿宋" w:eastAsia="仿宋" w:cs="仿宋"/>
          <w:color w:val="000000"/>
          <w:sz w:val="32"/>
          <w:u w:color="auto"/>
        </w:rPr>
        <w:t xml:space="preserve">万元,完成预算100%。全年安排因公出国（境）团组0次，出国（境）0人。因公出国（境）支出决算比2023年增加0万元，增长0%。 </w:t>
      </w:r>
    </w:p>
    <w:p w14:paraId="327BF985">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9.09</w:t>
      </w:r>
      <w:r>
        <w:rPr>
          <w:rFonts w:ascii="仿宋" w:hAnsi="仿宋" w:eastAsia="仿宋" w:cs="仿宋"/>
          <w:color w:val="000000"/>
          <w:sz w:val="32"/>
          <w:u w:color="auto"/>
        </w:rPr>
        <w:t>万元,完成预算100%。公务用车购置及运行维护费支出决算比2023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w:t>
      </w:r>
      <w:r>
        <w:rPr>
          <w:rFonts w:ascii="仿宋" w:hAnsi="仿宋" w:eastAsia="仿宋" w:cs="仿宋"/>
          <w:color w:val="000000"/>
          <w:sz w:val="32"/>
          <w:u w:color="auto"/>
        </w:rPr>
        <w:t xml:space="preserve">万元，增长0.1%。主要原因是年度内人员工资涨幅大。 </w:t>
      </w:r>
    </w:p>
    <w:p w14:paraId="7D2B639A">
      <w:pPr>
        <w:spacing w:line="600"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其中：</w:t>
      </w:r>
      <w:r>
        <w:rPr>
          <w:rFonts w:hint="eastAsia" w:ascii="仿宋" w:hAnsi="仿宋" w:eastAsia="仿宋" w:cs="仿宋"/>
          <w:b/>
          <w:bCs/>
          <w:color w:val="000000"/>
          <w:sz w:val="32"/>
          <w:szCs w:val="32"/>
          <w:highlight w:val="none"/>
        </w:rPr>
        <w:t>公务用车购置支出</w:t>
      </w:r>
      <w:r>
        <w:rPr>
          <w:rFonts w:hint="eastAsia" w:ascii="仿宋" w:hAnsi="仿宋" w:eastAsia="仿宋" w:cs="仿宋"/>
          <w:color w:val="000000"/>
          <w:sz w:val="32"/>
          <w:szCs w:val="32"/>
          <w:highlight w:val="none"/>
        </w:rPr>
        <w:t>0</w:t>
      </w:r>
      <w:r>
        <w:rPr>
          <w:rFonts w:ascii="仿宋" w:hAnsi="仿宋" w:eastAsia="仿宋" w:cs="仿宋"/>
          <w:color w:val="000000"/>
          <w:sz w:val="32"/>
          <w:highlight w:val="none"/>
          <w:u w:color="auto"/>
        </w:rPr>
        <w:t>万元。全年按规定更新购置公务用车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万元。截至</w:t>
      </w:r>
      <w:r>
        <w:rPr>
          <w:rFonts w:ascii="仿宋" w:hAnsi="仿宋" w:eastAsia="仿宋" w:cs="仿宋"/>
          <w:color w:val="000000"/>
          <w:sz w:val="32"/>
          <w:highlight w:val="none"/>
          <w:u w:color="auto"/>
        </w:rPr>
        <w:t>2024年12月</w:t>
      </w:r>
      <w:r>
        <w:rPr>
          <w:rFonts w:hint="eastAsia" w:ascii="仿宋" w:hAnsi="仿宋" w:eastAsia="仿宋" w:cs="仿宋"/>
          <w:color w:val="000000"/>
          <w:sz w:val="32"/>
          <w:szCs w:val="32"/>
          <w:highlight w:val="none"/>
          <w:lang w:val="en-US" w:eastAsia="zh-CN"/>
        </w:rPr>
        <w:t>31日</w:t>
      </w:r>
      <w:r>
        <w:rPr>
          <w:rFonts w:hint="eastAsia" w:ascii="仿宋" w:hAnsi="仿宋" w:eastAsia="仿宋" w:cs="仿宋"/>
          <w:color w:val="000000"/>
          <w:sz w:val="32"/>
          <w:szCs w:val="32"/>
          <w:highlight w:val="none"/>
        </w:rPr>
        <w:t>，单位共有公务用车</w:t>
      </w:r>
      <w:r>
        <w:rPr>
          <w:rFonts w:ascii="仿宋" w:hAnsi="仿宋" w:eastAsia="仿宋" w:cs="仿宋"/>
          <w:color w:val="000000"/>
          <w:sz w:val="32"/>
          <w:highlight w:val="none"/>
          <w:u w:color="auto"/>
        </w:rPr>
        <w:t>3辆，其中：轿车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辆、越野车</w:t>
      </w:r>
      <w:r>
        <w:rPr>
          <w:rFonts w:hint="eastAsia" w:ascii="仿宋" w:hAnsi="仿宋" w:eastAsia="仿宋" w:cs="仿宋"/>
          <w:color w:val="000000"/>
          <w:sz w:val="32"/>
          <w:szCs w:val="32"/>
          <w:highlight w:val="none"/>
          <w:lang w:val="en-US" w:eastAsia="zh-CN"/>
        </w:rPr>
        <w:t>2</w:t>
      </w:r>
      <w:r>
        <w:rPr>
          <w:rFonts w:hint="eastAsia" w:ascii="仿宋" w:hAnsi="仿宋" w:eastAsia="仿宋" w:cs="仿宋"/>
          <w:color w:val="000000"/>
          <w:sz w:val="32"/>
          <w:szCs w:val="32"/>
          <w:highlight w:val="none"/>
        </w:rPr>
        <w:t>辆、</w:t>
      </w:r>
      <w:r>
        <w:rPr>
          <w:rFonts w:hint="eastAsia" w:ascii="仿宋" w:hAnsi="仿宋" w:eastAsia="仿宋" w:cs="仿宋"/>
          <w:color w:val="000000"/>
          <w:sz w:val="32"/>
          <w:szCs w:val="32"/>
          <w:highlight w:val="none"/>
          <w:lang w:val="en-US" w:eastAsia="zh-CN"/>
        </w:rPr>
        <w:t>消防车1</w:t>
      </w:r>
      <w:r>
        <w:rPr>
          <w:rFonts w:hint="eastAsia" w:ascii="仿宋" w:hAnsi="仿宋" w:eastAsia="仿宋" w:cs="仿宋"/>
          <w:color w:val="000000"/>
          <w:sz w:val="32"/>
          <w:szCs w:val="32"/>
          <w:highlight w:val="none"/>
        </w:rPr>
        <w:t>辆</w:t>
      </w:r>
      <w:r>
        <w:rPr>
          <w:rFonts w:hint="eastAsia" w:ascii="仿宋" w:hAnsi="仿宋" w:eastAsia="仿宋" w:cs="仿宋"/>
          <w:color w:val="000000"/>
          <w:sz w:val="32"/>
          <w:szCs w:val="32"/>
          <w:highlight w:val="none"/>
          <w:lang w:val="en-US" w:eastAsia="zh-CN"/>
        </w:rPr>
        <w:t>。</w:t>
      </w:r>
    </w:p>
    <w:p w14:paraId="2ED6A1A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9.09</w:t>
      </w:r>
      <w:r>
        <w:rPr>
          <w:rFonts w:ascii="仿宋" w:hAnsi="仿宋" w:eastAsia="仿宋" w:cs="仿宋"/>
          <w:color w:val="000000"/>
          <w:sz w:val="32"/>
          <w:u w:color="auto"/>
        </w:rPr>
        <w:t xml:space="preserve">万元。主要用于年度内人员工资涨幅大。 </w:t>
      </w:r>
    </w:p>
    <w:p w14:paraId="2C1431EB">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w:t>
      </w:r>
      <w:r>
        <w:rPr>
          <w:rFonts w:ascii="仿宋" w:hAnsi="仿宋" w:eastAsia="仿宋" w:cs="仿宋"/>
          <w:color w:val="000000"/>
          <w:sz w:val="32"/>
          <w:u w:color="auto"/>
        </w:rPr>
        <w:t>万元，完成预算0%。公务接待费支出决算比2023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w:t>
      </w:r>
      <w:r>
        <w:rPr>
          <w:rFonts w:ascii="仿宋" w:hAnsi="仿宋" w:eastAsia="仿宋" w:cs="仿宋"/>
          <w:color w:val="000000"/>
          <w:sz w:val="32"/>
          <w:u w:color="auto"/>
        </w:rPr>
        <w:t>万元，增长0%。</w:t>
      </w:r>
      <w:bookmarkStart w:id="57" w:name="_Toc15377218"/>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其中：</w:t>
      </w:r>
    </w:p>
    <w:p w14:paraId="7F3EE578">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万元，主要用于执行公务、开展业务活动开支的交通费、住宿费、用餐费等。国内公务接待0批次，0人次（不包括陪同人员），共计支出0万元，具体内容包括：…（接待具体项目、金额）。</w:t>
      </w:r>
    </w:p>
    <w:p w14:paraId="662C5F0F">
      <w:pPr>
        <w:pStyle w:val="8"/>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万元，主要用于接待…（具体项目）。外事接待0批次，0人次（不包括陪同人员），共计支出0万元。</w:t>
      </w:r>
    </w:p>
    <w:p w14:paraId="5DA11626">
      <w:pPr>
        <w:pStyle w:val="6"/>
        <w:ind w:firstLine="640" w:firstLineChars="200"/>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政府性基金预算拨款支出</w:t>
      </w:r>
      <w:r>
        <w:rPr>
          <w:rFonts w:ascii="仿宋" w:hAnsi="仿宋" w:eastAsia="仿宋" w:cs="仿宋"/>
          <w:color w:val="000000"/>
          <w:sz w:val="32"/>
          <w:u w:color="auto"/>
        </w:rPr>
        <w:t>0万元</w:t>
      </w:r>
      <w:bookmarkStart w:id="60" w:name="_Toc15377219"/>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ascii="仿宋" w:hAnsi="仿宋" w:eastAsia="仿宋" w:cs="仿宋"/>
          <w:color w:val="000000"/>
          <w:sz w:val="32"/>
          <w:szCs w:val="32"/>
        </w:rPr>
        <w:t>增加0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增长0%。</w:t>
      </w:r>
      <w:r>
        <w:rPr>
          <w:rFonts w:ascii="仿宋" w:hAnsi="仿宋" w:eastAsia="仿宋" w:cs="仿宋"/>
          <w:color w:val="000000"/>
          <w:sz w:val="32"/>
          <w:u w:color="auto"/>
        </w:rPr>
        <w:t xml:space="preserve"> </w:t>
      </w:r>
    </w:p>
    <w:p w14:paraId="79E1D034">
      <w:pPr>
        <w:pStyle w:val="6"/>
        <w:ind w:firstLine="640" w:firstLineChars="200"/>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19F0375D">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ascii="仿宋" w:hAnsi="仿宋" w:eastAsia="仿宋" w:cs="仿宋"/>
          <w:color w:val="000000"/>
          <w:sz w:val="32"/>
          <w:szCs w:val="32"/>
        </w:rPr>
        <w:t>增加0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增长0%。</w:t>
      </w:r>
      <w:r>
        <w:rPr>
          <w:rFonts w:ascii="仿宋" w:hAnsi="仿宋" w:eastAsia="仿宋" w:cs="仿宋"/>
          <w:color w:val="000000"/>
          <w:sz w:val="32"/>
          <w:u w:color="auto"/>
        </w:rPr>
        <w:t xml:space="preserve"> </w:t>
      </w:r>
    </w:p>
    <w:p w14:paraId="3A5EDB82">
      <w:pPr>
        <w:spacing w:line="600" w:lineRule="exact"/>
        <w:ind w:firstLine="640"/>
        <w:rPr>
          <w:rFonts w:hint="eastAsia"/>
        </w:rPr>
      </w:pPr>
    </w:p>
    <w:p w14:paraId="76FD0E14">
      <w:pPr>
        <w:pStyle w:val="6"/>
        <w:ind w:firstLine="640" w:firstLineChars="200"/>
        <w:rPr>
          <w:rFonts w:hint="eastAsia" w:ascii="黑体" w:hAnsi="黑体" w:eastAsia="黑体" w:cs="黑体"/>
          <w:b w:val="0"/>
          <w:bCs/>
          <w:color w:val="000000"/>
        </w:rPr>
      </w:pPr>
      <w:bookmarkStart w:id="63" w:name="_Toc111208508"/>
      <w:bookmarkStart w:id="64" w:name="_Toc15377221"/>
      <w:bookmarkStart w:id="65" w:name="_Toc18455"/>
      <w:r>
        <w:rPr>
          <w:rFonts w:hint="eastAsia" w:ascii="黑体" w:hAnsi="黑体" w:eastAsia="黑体" w:cs="黑体"/>
          <w:b w:val="0"/>
          <w:bCs/>
          <w:color w:val="000000"/>
        </w:rPr>
        <w:t>十、其他重要事项的情况说明</w:t>
      </w:r>
      <w:bookmarkEnd w:id="63"/>
      <w:bookmarkEnd w:id="64"/>
      <w:bookmarkEnd w:id="65"/>
    </w:p>
    <w:p w14:paraId="019CBB22">
      <w:pPr>
        <w:spacing w:line="600" w:lineRule="exact"/>
        <w:ind w:firstLine="643" w:firstLineChars="200"/>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 xml:space="preserve">金川县集沐乡人民政府机关运行经费支出18.36万元，比2023年增加2.11万元，增长11.5%。主要原因是年度内人员工资涨幅大。 </w:t>
      </w:r>
    </w:p>
    <w:p w14:paraId="66094D57">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金川县集沐乡人民政府政府采购支出总额0万元，其中：政府采购货物支出0万元、政府采购工程支出0万元、政府采购服务支出0万元。授予中小企业合同金额0万元，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0万元，占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0%。</w:t>
      </w:r>
    </w:p>
    <w:p w14:paraId="12B7C937">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17A0ED7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2024年12月31日，金川县集沐乡人民政府共有车辆3辆，其中：主要领导干部用车0辆、机要通信用车0辆、应急保障用车3辆、其他用车0辆。单价100万元以上专用设备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u w:color="auto"/>
        </w:rPr>
        <w:t>台（套）。</w:t>
      </w:r>
    </w:p>
    <w:p w14:paraId="4EF5086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2D5B2E90">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预算编制阶段，组织对</w:t>
      </w:r>
      <w:r>
        <w:rPr>
          <w:rFonts w:hint="eastAsia" w:ascii="仿宋_GB2312" w:hAnsi="Times New Roman" w:eastAsia="仿宋_GB2312" w:cs="Times New Roman"/>
          <w:color w:val="auto"/>
          <w:sz w:val="32"/>
          <w:szCs w:val="32"/>
          <w:highlight w:val="none"/>
          <w:lang w:val="en-US" w:eastAsia="zh-CN"/>
        </w:rPr>
        <w:t>办公费</w:t>
      </w:r>
      <w:r>
        <w:rPr>
          <w:rFonts w:hint="eastAsia" w:ascii="仿宋_GB2312" w:hAnsi="Times New Roman" w:eastAsia="仿宋_GB2312" w:cs="Times New Roman"/>
          <w:color w:val="auto"/>
          <w:sz w:val="32"/>
          <w:szCs w:val="32"/>
          <w:highlight w:val="none"/>
          <w:lang w:eastAsia="zh-CN"/>
        </w:rPr>
        <w:t>（项目名称）等</w:t>
      </w:r>
      <w:r>
        <w:rPr>
          <w:rFonts w:hint="eastAsia" w:ascii="仿宋_GB2312" w:hAnsi="Times New Roman" w:eastAsia="仿宋_GB2312" w:cs="Times New Roman"/>
          <w:color w:val="auto"/>
          <w:sz w:val="32"/>
          <w:szCs w:val="32"/>
          <w:highlight w:val="none"/>
          <w:lang w:val="en-US" w:eastAsia="zh-CN"/>
        </w:rPr>
        <w:t>76个项目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hAnsi="Times New Roman" w:eastAsia="仿宋_GB2312" w:cs="Times New Roman"/>
          <w:color w:val="auto"/>
          <w:sz w:val="32"/>
          <w:szCs w:val="32"/>
          <w:highlight w:val="none"/>
          <w:lang w:val="en-US" w:eastAsia="zh-CN"/>
        </w:rPr>
        <w:t>76</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hAnsi="Times New Roman" w:eastAsia="仿宋_GB2312" w:cs="Times New Roman"/>
          <w:color w:val="auto"/>
          <w:sz w:val="32"/>
          <w:szCs w:val="32"/>
          <w:highlight w:val="none"/>
          <w:lang w:val="en-US" w:eastAsia="zh-CN"/>
        </w:rPr>
        <w:t>76</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hAnsi="Times New Roman" w:eastAsia="仿宋_GB2312" w:cs="Times New Roman"/>
          <w:color w:val="auto"/>
          <w:sz w:val="32"/>
          <w:szCs w:val="32"/>
          <w:highlight w:val="none"/>
          <w:lang w:val="en-US" w:eastAsia="zh-CN"/>
        </w:rPr>
        <w:t>76个项目开展绩效自评，绩效自评表详见第四部分附件。</w:t>
      </w:r>
    </w:p>
    <w:p w14:paraId="2F7CD7A7"/>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5"/>
        <w:jc w:val="center"/>
        <w:rPr>
          <w:rFonts w:hint="eastAsia" w:ascii="黑体" w:hAnsi="黑体" w:eastAsia="黑体" w:cs="黑体"/>
          <w:b w:val="0"/>
          <w:bCs w:val="0"/>
        </w:rPr>
      </w:pPr>
      <w:bookmarkStart w:id="69" w:name="_Toc18122"/>
      <w:bookmarkStart w:id="70" w:name="_Toc15377225"/>
      <w:bookmarkStart w:id="71" w:name="_Toc111208509"/>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9.一般公共服务支出（类）人大事务（款）行政运行（项）:反映行政单位（包括实行公务员管理的事业单位）的基本支出。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10.一般公共服务支出（类）人大事务（款）人大会议（项）:反映各级人大召开人民代表大会等专门会议的支出。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11.一般公共服务支出（类）政府办公厅（室）及相关机构事务（款）行政运行（项）:反映行政单位（包括实行公务员管理的事业单位）的基本支出。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12.一般公共服务支出（类）党委办公厅（室）及相关机构事务（款）行政运行（项）:反映行政单位（包括实行公务员管理的事业单位）的基本支出。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17.卫生健康支出（类）行政事业单位医疗（款）公务员医疗补助（项）:反映财政部门安排的公务员医疗补助经费。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18.卫生健康支出（类）行政事业单位医疗（款）其他行政事业单位医疗支出（项）:反映除上述项目以外的其他用于行政事业单位医疗方面的支出。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19.农林水支出（类）农业农村（款）事业运行（项）:反映用于农业事业单位基本支出，事业单位设施、系统运行与资产维护等方面的支出。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20.农林水支出（类）农村综合改革（款）对村民委员会和村党支部的补助（项）:反映各级财政对村民委员会和村党支部的补助支出，以及支持建立县级基本财力保障机制安排的村级组织运转奖补资金。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21.住房保障支出（类）住房改革支出（款）住房公积金（项）:反映行政事业单位按人力资源和社会保障部、财政部规定的基本工资和津贴补贴以及规定比例为职工缴纳的住房公积金。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22.灾害防治及应急管理支出（类）自然灾害救灾及恢复重建支出（款）自然灾害救灾补助（项）:反映用于应对重大自然灾害应急救援和受灾群众救助的支出。</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23</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24</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25</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26</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27</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28</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widowControl/>
        <w:jc w:val="left"/>
        <w:rPr>
          <w:rStyle w:val="36"/>
          <w:rFonts w:hint="eastAsia" w:ascii="思源黑体 CN Normal" w:hAnsi="思源黑体 CN Normal" w:eastAsia="思源黑体 CN Normal" w:cs="思源黑体 CN Normal"/>
        </w:rPr>
      </w:pPr>
      <w:r>
        <w:rPr>
          <w:rStyle w:val="36"/>
          <w:rFonts w:hint="eastAsia" w:ascii="思源黑体 CN Normal" w:hAnsi="思源黑体 CN Normal" w:eastAsia="思源黑体 CN Normal" w:cs="思源黑体 CN Normal"/>
        </w:rPr>
        <w:br w:type="page"/>
      </w:r>
    </w:p>
    <w:p w14:paraId="06638D99">
      <w:pPr>
        <w:pStyle w:val="5"/>
        <w:jc w:val="center"/>
        <w:rPr>
          <w:rFonts w:hint="eastAsia" w:ascii="黑体" w:hAnsi="黑体" w:eastAsia="黑体" w:cs="黑体"/>
          <w:b w:val="0"/>
          <w:bCs w:val="0"/>
        </w:rPr>
      </w:pPr>
      <w:bookmarkStart w:id="72" w:name="_Toc111208510"/>
      <w:bookmarkStart w:id="73" w:name="_Toc25539"/>
      <w:r>
        <w:rPr>
          <w:rFonts w:hint="eastAsia" w:ascii="黑体" w:hAnsi="黑体" w:eastAsia="黑体" w:cs="黑体"/>
          <w:b w:val="0"/>
          <w:bCs w:val="0"/>
        </w:rPr>
        <w:t>第四部分 附件</w:t>
      </w:r>
      <w:bookmarkEnd w:id="72"/>
      <w:bookmarkEnd w:id="73"/>
    </w:p>
    <w:p w14:paraId="5145994E">
      <w:pPr>
        <w:keepNext w:val="0"/>
        <w:keepLines w:val="0"/>
        <w:pageBreakBefore w:val="0"/>
        <w:widowControl/>
        <w:kinsoku/>
        <w:wordWrap/>
        <w:overflowPunct/>
        <w:topLinePunct w:val="0"/>
        <w:autoSpaceDE/>
        <w:autoSpaceDN/>
        <w:bidi w:val="0"/>
        <w:spacing w:line="578" w:lineRule="exact"/>
        <w:contextualSpacing/>
        <w:jc w:val="both"/>
        <w:textAlignment w:val="auto"/>
        <w:outlineLvl w:val="9"/>
        <w:rPr>
          <w:rFonts w:hint="default" w:ascii="Times New Roman" w:hAnsi="Times New Roman" w:eastAsia="宋体" w:cs="Times New Roman"/>
          <w:b/>
          <w:sz w:val="44"/>
          <w:szCs w:val="44"/>
          <w:highlight w:val="none"/>
          <w:shd w:val="clear" w:color="auto" w:fill="FFFFFF"/>
        </w:rPr>
      </w:pPr>
    </w:p>
    <w:p w14:paraId="7EAE7797">
      <w:pPr>
        <w:spacing w:line="576" w:lineRule="exact"/>
        <w:jc w:val="center"/>
        <w:rPr>
          <w:rFonts w:hint="eastAsia" w:ascii="Times New Roman" w:hAnsi="Times New Roman" w:eastAsia="方正小标宋_GBK"/>
          <w:sz w:val="44"/>
          <w:szCs w:val="44"/>
          <w:lang w:eastAsia="zh-CN"/>
        </w:rPr>
      </w:pPr>
    </w:p>
    <w:p w14:paraId="62936466">
      <w:pPr>
        <w:spacing w:line="576" w:lineRule="exact"/>
        <w:jc w:val="center"/>
        <w:rPr>
          <w:rFonts w:hint="eastAsia" w:ascii="Times New Roman" w:hAnsi="Times New Roman" w:eastAsia="方正小标宋_GBK"/>
          <w:sz w:val="44"/>
          <w:szCs w:val="44"/>
          <w:lang w:eastAsia="zh-CN"/>
        </w:rPr>
      </w:pPr>
      <w:r>
        <w:rPr>
          <w:rFonts w:hint="default" w:ascii="Times New Roman" w:hAnsi="Times New Roman" w:cs="Times New Roman"/>
        </w:rPr>
        <w:pict>
          <v:shape id="_x0000_s1026" o:spid="_x0000_s1026" o:spt="136" type="#_x0000_t136" style="position:absolute;left:0pt;margin-left:-7.3pt;margin-top:8.9pt;height:72.8pt;width:474pt;mso-wrap-distance-left:9pt;mso-wrap-distance-right:9pt;z-index:-251657216;mso-width-relative:page;mso-height-relative:page;" fillcolor="#FF0000" filled="t" stroked="t" coordsize="21600,21600" wrapcoords="15481 -2 5941 0 5931 70 822 72 817 259 814 371 814 401 807 656 790 1003 790 1005 762 1735 755 1902 748 1904 740 2312 719 2764 681 3589 641 4377 600 5130 556 5847 511 6528 464 7172 415 7780 364 8353 312 8889 258 9389 202 9853 144 10281 84 10673 91 11035 500 11037 437 13226 260 13228 362 13924 417 13926 403 14683 393 15043 430 15045 425 15560 454 16057 480 16534 502 16990 522 17427 538 17843 552 18240 562 18616 573 19057 585 19372 619 19596 814 19598 814 19894 91 19896 194 20593 1956 20595 1954 20766 1940 21527 6249 21529 16810 21599 16826 21599 20173 21529 20910 21527 21023 20891 21020 19861 21018 18138 21016 15722 21024 12614 21522 12612 21396 10981 21024 10979 21024 6815 21445 6813 21318 5182 21024 5180 21016 1712 21079 1074 20910 72 20328 70 17022 0 15497 -2 15481 -2" adj="10800">
            <v:path/>
            <v:fill on="t" color2="#FFFFFF" focussize="0,0"/>
            <v:stroke weight="0pt" color="#FF0000"/>
            <v:imagedata o:title=""/>
            <o:lock v:ext="edit" aspectratio="f"/>
            <v:textpath on="t" fitshape="t" fitpath="t" trim="t" xscale="f" string="金川县集沐乡人民政府文件" style="font-family:方正小标宋简体;font-size:16pt;v-text-align:center;"/>
            <w10:wrap type="tight"/>
          </v:shape>
        </w:pict>
      </w:r>
    </w:p>
    <w:p w14:paraId="6A2FFA97">
      <w:pPr>
        <w:jc w:val="both"/>
        <w:rPr>
          <w:rFonts w:hint="default" w:ascii="Times New Roman" w:hAnsi="Times New Roman" w:eastAsia="仿宋_GB2312" w:cs="Times New Roman"/>
          <w:sz w:val="44"/>
          <w:szCs w:val="44"/>
          <w:lang w:val="en-US" w:eastAsia="zh-CN"/>
        </w:rPr>
      </w:pPr>
      <w:r>
        <w:rPr>
          <w:rFonts w:hint="default" w:ascii="Times New Roman" w:hAnsi="Times New Roman" w:cs="Times New Roman"/>
        </w:rPr>
        <w:t>金</w:t>
      </w:r>
      <w:r>
        <w:rPr>
          <w:rFonts w:hint="eastAsia" w:cs="Times New Roman"/>
          <w:lang w:val="en-US" w:eastAsia="zh-CN"/>
        </w:rPr>
        <w:t>集</w:t>
      </w:r>
      <w:r>
        <w:rPr>
          <w:rFonts w:hint="eastAsia" w:cs="Times New Roman"/>
          <w:lang w:eastAsia="zh-CN"/>
        </w:rPr>
        <w:t>府</w:t>
      </w:r>
      <w:r>
        <w:rPr>
          <w:rFonts w:hint="default" w:ascii="Times New Roman" w:hAnsi="Times New Roman" w:cs="Times New Roman"/>
        </w:rPr>
        <w:t>〔202</w:t>
      </w:r>
      <w:r>
        <w:rPr>
          <w:rFonts w:hint="eastAsia" w:cs="Times New Roman"/>
          <w:lang w:val="en-US" w:eastAsia="zh-CN"/>
        </w:rPr>
        <w:t>5</w:t>
      </w:r>
      <w:r>
        <w:rPr>
          <w:rFonts w:hint="default" w:ascii="Times New Roman" w:hAnsi="Times New Roman" w:cs="Times New Roman"/>
        </w:rPr>
        <w:t>〕</w:t>
      </w:r>
      <w:r>
        <w:rPr>
          <w:rFonts w:hint="eastAsia" w:cs="Times New Roman"/>
          <w:lang w:val="en-US" w:eastAsia="zh-CN"/>
        </w:rPr>
        <w:t>49</w:t>
      </w:r>
      <w:r>
        <w:rPr>
          <w:rFonts w:hint="default" w:ascii="Times New Roman" w:hAnsi="Times New Roman" w:cs="Times New Roman"/>
        </w:rPr>
        <w:t>号</w:t>
      </w:r>
      <w:r>
        <w:rPr>
          <w:rFonts w:hint="eastAsia" w:cs="Times New Roman"/>
          <w:lang w:val="en-US" w:eastAsia="zh-CN"/>
        </w:rPr>
        <w:t xml:space="preserve">                     签发人：刘翔</w:t>
      </w:r>
    </w:p>
    <w:p w14:paraId="205CBEE7">
      <w:pPr>
        <w:spacing w:line="576" w:lineRule="exact"/>
        <w:jc w:val="center"/>
        <w:rPr>
          <w:rFonts w:hint="eastAsia" w:ascii="Times New Roman" w:hAnsi="Times New Roman" w:eastAsia="方正小标宋_GBK"/>
          <w:sz w:val="44"/>
          <w:szCs w:val="44"/>
          <w:lang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85725</wp:posOffset>
                </wp:positionV>
                <wp:extent cx="5673725" cy="28575"/>
                <wp:effectExtent l="0" t="7620" r="3175" b="20955"/>
                <wp:wrapNone/>
                <wp:docPr id="5" name="直线 3"/>
                <wp:cNvGraphicFramePr/>
                <a:graphic xmlns:a="http://schemas.openxmlformats.org/drawingml/2006/main">
                  <a:graphicData uri="http://schemas.microsoft.com/office/word/2010/wordprocessingShape">
                    <wps:wsp>
                      <wps:cNvCnPr/>
                      <wps:spPr>
                        <a:xfrm flipV="1">
                          <a:off x="0" y="0"/>
                          <a:ext cx="5673725" cy="28575"/>
                        </a:xfrm>
                        <a:prstGeom prst="line">
                          <a:avLst/>
                        </a:prstGeom>
                        <a:ln w="158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flip:y;margin-left:1.5pt;margin-top:6.75pt;height:2.25pt;width:446.75pt;z-index:251660288;mso-width-relative:page;mso-height-relative:page;" filled="f" stroked="t" coordsize="21600,21600" o:gfxdata="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cfXOtYAAAAHAQAADwAAAAAAAAABACAAAAAiAAAAZHJzL2Rvd25yZXYueG1sUEsBAhQA&#10;FAAAAAgAh07iQAhVyef0AQAA6gMAAA4AAAAAAAAAAQAgAAAAJQEAAGRycy9lMm9Eb2MueG1sUEsF&#10;BgAAAAAGAAYAWQEAAIsFAAAAAA==&#10;">
                <v:fill on="f" focussize="0,0"/>
                <v:stroke weight="1.25pt" color="#FF0000" joinstyle="round"/>
                <v:imagedata o:title=""/>
                <o:lock v:ext="edit" aspectratio="f"/>
              </v:line>
            </w:pict>
          </mc:Fallback>
        </mc:AlternateContent>
      </w:r>
    </w:p>
    <w:p w14:paraId="4B4AC21E">
      <w:pPr>
        <w:keepNext w:val="0"/>
        <w:keepLines w:val="0"/>
        <w:pageBreakBefore w:val="0"/>
        <w:bidi w:val="0"/>
        <w:spacing w:line="560" w:lineRule="exact"/>
        <w:jc w:val="center"/>
        <w:textAlignment w:val="auto"/>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w:t>
      </w:r>
      <w:r>
        <w:rPr>
          <w:rFonts w:hint="eastAsia" w:eastAsia="方正小标宋_GBK"/>
          <w:sz w:val="44"/>
          <w:szCs w:val="44"/>
          <w:lang w:val="en-US" w:eastAsia="zh-CN"/>
        </w:rPr>
        <w:t>集沐</w:t>
      </w:r>
      <w:r>
        <w:rPr>
          <w:rFonts w:hint="eastAsia" w:eastAsia="方正小标宋_GBK"/>
          <w:sz w:val="44"/>
          <w:szCs w:val="44"/>
          <w:lang w:eastAsia="zh-CN"/>
        </w:rPr>
        <w:t>乡人民政府</w:t>
      </w:r>
    </w:p>
    <w:p w14:paraId="3D0D4A22">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hint="default" w:ascii="Times New Roman" w:hAnsi="Times New Roman" w:eastAsia="方正小标宋_GBK"/>
          <w:sz w:val="44"/>
          <w:szCs w:val="44"/>
          <w:lang w:eastAsia="zh-CN"/>
        </w:rPr>
        <w:t>部门预算</w:t>
      </w:r>
      <w:r>
        <w:rPr>
          <w:rFonts w:hint="default"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hint="default" w:ascii="Times New Roman" w:hAnsi="Times New Roman" w:eastAsia="方正小标宋_GBK"/>
          <w:sz w:val="44"/>
          <w:szCs w:val="44"/>
        </w:rPr>
        <w:t>报告</w:t>
      </w:r>
    </w:p>
    <w:p w14:paraId="25D48253">
      <w:pPr>
        <w:keepNext w:val="0"/>
        <w:keepLines w:val="0"/>
        <w:pageBreakBefore w:val="0"/>
        <w:bidi w:val="0"/>
        <w:spacing w:line="560" w:lineRule="exact"/>
        <w:textAlignment w:val="auto"/>
        <w:rPr>
          <w:rFonts w:hint="eastAsia" w:ascii="仿宋" w:hAnsi="仿宋" w:eastAsia="仿宋" w:cs="仿宋"/>
          <w:sz w:val="32"/>
          <w:szCs w:val="32"/>
        </w:rPr>
      </w:pPr>
    </w:p>
    <w:p w14:paraId="3AD62FC2">
      <w:pPr>
        <w:keepNext w:val="0"/>
        <w:keepLines w:val="0"/>
        <w:pageBreakBefore w:val="0"/>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金川县财政局:</w:t>
      </w:r>
    </w:p>
    <w:p w14:paraId="49646D2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rPr>
      </w:pPr>
      <w:r>
        <w:rPr>
          <w:rFonts w:hint="eastAsia" w:ascii="仿宋" w:hAnsi="仿宋" w:eastAsia="仿宋" w:cs="仿宋"/>
          <w:sz w:val="32"/>
          <w:szCs w:val="32"/>
        </w:rPr>
        <w:t>根据《金川县财政局关于</w:t>
      </w:r>
      <w:r>
        <w:rPr>
          <w:rFonts w:hint="eastAsia" w:ascii="仿宋" w:hAnsi="仿宋" w:eastAsia="仿宋" w:cs="仿宋"/>
          <w:sz w:val="32"/>
          <w:szCs w:val="32"/>
          <w:lang w:val="en-US" w:eastAsia="zh-CN"/>
        </w:rPr>
        <w:t>2024年县级部门绩效自评工作</w:t>
      </w:r>
      <w:r>
        <w:rPr>
          <w:rFonts w:hint="eastAsia" w:ascii="仿宋" w:hAnsi="仿宋" w:eastAsia="仿宋" w:cs="仿宋"/>
          <w:sz w:val="32"/>
          <w:szCs w:val="32"/>
        </w:rPr>
        <w:t>的通知》的通知(金财</w:t>
      </w:r>
      <w:r>
        <w:rPr>
          <w:rFonts w:hint="eastAsia" w:ascii="仿宋" w:hAnsi="仿宋" w:eastAsia="仿宋" w:cs="仿宋"/>
          <w:sz w:val="32"/>
          <w:szCs w:val="32"/>
          <w:lang w:val="en-US" w:eastAsia="zh-CN"/>
        </w:rPr>
        <w:t>监绩</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35</w:t>
      </w:r>
      <w:r>
        <w:rPr>
          <w:rFonts w:hint="eastAsia" w:ascii="仿宋" w:hAnsi="仿宋" w:eastAsia="仿宋" w:cs="仿宋"/>
          <w:sz w:val="32"/>
          <w:szCs w:val="32"/>
        </w:rPr>
        <w:t>号)文件要求，我</w:t>
      </w:r>
      <w:r>
        <w:rPr>
          <w:rFonts w:hint="eastAsia" w:ascii="仿宋" w:hAnsi="仿宋" w:eastAsia="仿宋" w:cs="仿宋"/>
          <w:sz w:val="32"/>
          <w:szCs w:val="32"/>
          <w:lang w:eastAsia="zh-CN"/>
        </w:rPr>
        <w:t>乡</w:t>
      </w:r>
      <w:r>
        <w:rPr>
          <w:rFonts w:hint="eastAsia" w:ascii="仿宋" w:hAnsi="仿宋" w:eastAsia="仿宋" w:cs="仿宋"/>
          <w:sz w:val="32"/>
          <w:szCs w:val="32"/>
        </w:rPr>
        <w:t>高度重视，赓即对</w:t>
      </w:r>
      <w:r>
        <w:rPr>
          <w:rFonts w:hint="eastAsia" w:ascii="仿宋" w:hAnsi="仿宋" w:eastAsia="仿宋" w:cs="仿宋"/>
          <w:sz w:val="32"/>
          <w:szCs w:val="32"/>
          <w:lang w:eastAsia="zh-CN"/>
        </w:rPr>
        <w:t>乡政府20</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年</w:t>
      </w:r>
      <w:r>
        <w:rPr>
          <w:rFonts w:hint="default" w:ascii="仿宋" w:hAnsi="仿宋" w:eastAsia="仿宋" w:cs="仿宋"/>
          <w:sz w:val="32"/>
          <w:szCs w:val="32"/>
          <w:lang w:eastAsia="zh-CN"/>
        </w:rPr>
        <w:t>部门预算</w:t>
      </w:r>
      <w:r>
        <w:rPr>
          <w:rFonts w:hint="default" w:ascii="仿宋" w:hAnsi="仿宋" w:eastAsia="仿宋" w:cs="仿宋"/>
          <w:sz w:val="32"/>
          <w:szCs w:val="32"/>
        </w:rPr>
        <w:t>绩效</w:t>
      </w:r>
      <w:r>
        <w:rPr>
          <w:rFonts w:hint="eastAsia" w:ascii="仿宋" w:hAnsi="仿宋" w:eastAsia="仿宋" w:cs="仿宋"/>
          <w:sz w:val="32"/>
          <w:szCs w:val="32"/>
          <w:lang w:val="en-US" w:eastAsia="zh-CN"/>
        </w:rPr>
        <w:t>开展自评工作，</w:t>
      </w:r>
      <w:r>
        <w:rPr>
          <w:rFonts w:hint="eastAsia" w:ascii="仿宋" w:hAnsi="仿宋" w:eastAsia="仿宋" w:cs="仿宋"/>
          <w:sz w:val="32"/>
          <w:szCs w:val="32"/>
          <w:lang w:eastAsia="zh-CN"/>
        </w:rPr>
        <w:t>评价</w:t>
      </w:r>
      <w:r>
        <w:rPr>
          <w:rFonts w:hint="default" w:ascii="仿宋" w:hAnsi="仿宋" w:eastAsia="仿宋" w:cs="仿宋"/>
          <w:sz w:val="32"/>
          <w:szCs w:val="32"/>
        </w:rPr>
        <w:t>报告</w:t>
      </w:r>
      <w:r>
        <w:rPr>
          <w:rFonts w:hint="eastAsia" w:ascii="仿宋" w:hAnsi="仿宋" w:eastAsia="仿宋" w:cs="仿宋"/>
          <w:sz w:val="32"/>
          <w:szCs w:val="32"/>
        </w:rPr>
        <w:t>情况如下。</w:t>
      </w:r>
    </w:p>
    <w:p w14:paraId="34619A6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szCs w:val="32"/>
        </w:rPr>
      </w:pPr>
      <w:r>
        <w:rPr>
          <w:rFonts w:hint="eastAsia" w:eastAsia="黑体" w:cs="Times New Roman"/>
          <w:color w:val="000000"/>
          <w:kern w:val="0"/>
          <w:szCs w:val="32"/>
          <w:highlight w:val="none"/>
          <w:shd w:val="clear" w:color="auto" w:fill="FFFFFF"/>
          <w:lang w:val="zh-CN"/>
        </w:rPr>
        <w:t>一、</w:t>
      </w:r>
      <w:r>
        <w:rPr>
          <w:rFonts w:hint="default" w:ascii="Times New Roman" w:hAnsi="Times New Roman" w:eastAsia="黑体" w:cs="Times New Roman"/>
          <w:color w:val="000000"/>
          <w:kern w:val="0"/>
          <w:szCs w:val="32"/>
          <w:highlight w:val="none"/>
          <w:shd w:val="clear" w:color="auto" w:fill="FFFFFF"/>
          <w:lang w:val="zh-CN"/>
        </w:rPr>
        <w:t>部门（单位）基本情况</w:t>
      </w:r>
    </w:p>
    <w:p w14:paraId="6A6340F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（一）</w:t>
      </w:r>
      <w:r>
        <w:rPr>
          <w:rFonts w:hint="default" w:ascii="Times New Roman" w:hAnsi="Times New Roman" w:eastAsia="楷体_GB2312" w:cs="Times New Roman"/>
          <w:b/>
          <w:bCs/>
          <w:color w:val="000000"/>
          <w:kern w:val="0"/>
          <w:szCs w:val="32"/>
          <w:highlight w:val="none"/>
          <w:shd w:val="clear" w:color="auto" w:fill="FFFFFF"/>
          <w:lang w:val="zh-CN"/>
        </w:rPr>
        <w:t>机构组成。</w:t>
      </w:r>
    </w:p>
    <w:p w14:paraId="55DC1C3D">
      <w:pPr>
        <w:keepNext w:val="0"/>
        <w:keepLines w:val="0"/>
        <w:pageBreakBefore w:val="0"/>
        <w:widowControl/>
        <w:kinsoku/>
        <w:wordWrap/>
        <w:overflowPunct/>
        <w:topLinePunct w:val="0"/>
        <w:autoSpaceDE/>
        <w:autoSpaceDN/>
        <w:bidi w:val="0"/>
        <w:adjustRightInd w:val="0"/>
        <w:snapToGrid w:val="0"/>
        <w:spacing w:line="560" w:lineRule="exact"/>
        <w:ind w:firstLine="776" w:firstLineChars="200"/>
        <w:contextualSpacing/>
        <w:jc w:val="left"/>
        <w:textAlignment w:val="auto"/>
        <w:outlineLvl w:val="9"/>
        <w:rPr>
          <w:rFonts w:hint="eastAsia" w:ascii="仿宋_GB2312" w:hAnsi="仿宋_GB2312" w:eastAsia="仿宋_GB2312" w:cs="仿宋_GB2312"/>
          <w:spacing w:val="34"/>
          <w:sz w:val="32"/>
          <w:szCs w:val="32"/>
          <w:lang w:val="zh-CN" w:bidi="ar"/>
        </w:rPr>
      </w:pPr>
      <w:r>
        <w:rPr>
          <w:rFonts w:hint="eastAsia" w:ascii="仿宋_GB2312" w:hAnsi="仿宋_GB2312" w:eastAsia="仿宋_GB2312" w:cs="仿宋_GB2312"/>
          <w:spacing w:val="34"/>
          <w:sz w:val="32"/>
          <w:szCs w:val="32"/>
          <w:lang w:val="zh-CN" w:bidi="ar"/>
        </w:rPr>
        <w:t>本部门预算单位</w:t>
      </w:r>
      <w:r>
        <w:rPr>
          <w:rFonts w:hint="eastAsia" w:ascii="仿宋_GB2312" w:hAnsi="仿宋_GB2312" w:eastAsia="仿宋_GB2312" w:cs="仿宋_GB2312"/>
          <w:spacing w:val="34"/>
          <w:sz w:val="32"/>
          <w:szCs w:val="32"/>
          <w:lang w:val="en-US" w:eastAsia="zh-CN" w:bidi="ar"/>
        </w:rPr>
        <w:t>1</w:t>
      </w:r>
      <w:r>
        <w:rPr>
          <w:rFonts w:hint="eastAsia" w:ascii="仿宋_GB2312" w:hAnsi="仿宋_GB2312" w:eastAsia="仿宋_GB2312" w:cs="仿宋_GB2312"/>
          <w:spacing w:val="34"/>
          <w:sz w:val="32"/>
          <w:szCs w:val="32"/>
          <w:lang w:val="zh-CN" w:bidi="ar"/>
        </w:rPr>
        <w:t>个，其中内设机构</w:t>
      </w:r>
      <w:r>
        <w:rPr>
          <w:rFonts w:hint="eastAsia" w:ascii="仿宋_GB2312" w:hAnsi="仿宋_GB2312" w:cs="仿宋_GB2312"/>
          <w:spacing w:val="34"/>
          <w:sz w:val="32"/>
          <w:szCs w:val="32"/>
          <w:lang w:val="en-US" w:eastAsia="zh-CN" w:bidi="ar"/>
        </w:rPr>
        <w:t>4</w:t>
      </w:r>
      <w:r>
        <w:rPr>
          <w:rFonts w:hint="eastAsia" w:ascii="仿宋_GB2312" w:hAnsi="仿宋_GB2312" w:eastAsia="仿宋_GB2312" w:cs="仿宋_GB2312"/>
          <w:spacing w:val="34"/>
          <w:sz w:val="32"/>
          <w:szCs w:val="32"/>
          <w:lang w:val="zh-CN" w:bidi="ar"/>
        </w:rPr>
        <w:t>个，分别是</w:t>
      </w:r>
      <w:r>
        <w:rPr>
          <w:rFonts w:hint="eastAsia" w:ascii="仿宋_GB2312" w:hAnsi="仿宋_GB2312" w:cs="仿宋_GB2312"/>
          <w:spacing w:val="34"/>
          <w:sz w:val="32"/>
          <w:szCs w:val="32"/>
          <w:lang w:val="zh-CN" w:bidi="ar"/>
        </w:rPr>
        <w:t>金川县集沐乡人民政府办公室、集沐乡党委办公室、集沐乡人大办公室、集沐乡综合服务中心。</w:t>
      </w:r>
    </w:p>
    <w:p w14:paraId="2E9B87F7">
      <w:pPr>
        <w:keepNext w:val="0"/>
        <w:keepLines w:val="0"/>
        <w:pageBreakBefore w:val="0"/>
        <w:widowControl/>
        <w:numPr>
          <w:ilvl w:val="0"/>
          <w:numId w:val="0"/>
        </w:numPr>
        <w:kinsoku w:val="0"/>
        <w:wordWrap/>
        <w:overflowPunct w:val="0"/>
        <w:topLinePunct w:val="0"/>
        <w:autoSpaceDE w:val="0"/>
        <w:autoSpaceDN w:val="0"/>
        <w:bidi w:val="0"/>
        <w:adjustRightInd/>
        <w:snapToGrid/>
        <w:spacing w:line="560" w:lineRule="exact"/>
        <w:ind w:firstLine="643" w:firstLineChars="200"/>
        <w:jc w:val="left"/>
        <w:textAlignment w:val="auto"/>
        <w:rPr>
          <w:rFonts w:hint="eastAsia"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en-US" w:eastAsia="zh-CN"/>
        </w:rPr>
        <w:t>二</w:t>
      </w:r>
      <w:r>
        <w:rPr>
          <w:rFonts w:hint="eastAsia" w:eastAsia="楷体_GB2312" w:cs="Times New Roman"/>
          <w:b/>
          <w:bCs/>
          <w:color w:val="000000"/>
          <w:kern w:val="0"/>
          <w:szCs w:val="32"/>
          <w:highlight w:val="none"/>
          <w:shd w:val="clear" w:color="auto" w:fill="FFFFFF"/>
          <w:lang w:val="zh-CN"/>
        </w:rPr>
        <w:t>）</w:t>
      </w:r>
      <w:r>
        <w:rPr>
          <w:rFonts w:hint="default" w:ascii="Times New Roman" w:hAnsi="Times New Roman" w:eastAsia="楷体_GB2312" w:cs="Times New Roman"/>
          <w:b/>
          <w:bCs/>
          <w:color w:val="000000"/>
          <w:kern w:val="0"/>
          <w:szCs w:val="32"/>
          <w:highlight w:val="none"/>
          <w:shd w:val="clear" w:color="auto" w:fill="FFFFFF"/>
          <w:lang w:val="zh-CN"/>
        </w:rPr>
        <w:t>机构职能</w:t>
      </w:r>
      <w:r>
        <w:rPr>
          <w:rFonts w:hint="eastAsia" w:eastAsia="楷体_GB2312" w:cs="Times New Roman"/>
          <w:b/>
          <w:bCs/>
          <w:color w:val="000000"/>
          <w:kern w:val="0"/>
          <w:szCs w:val="32"/>
          <w:highlight w:val="none"/>
          <w:shd w:val="clear" w:color="auto" w:fill="FFFFFF"/>
          <w:lang w:val="zh-CN"/>
        </w:rPr>
        <w:t>。</w:t>
      </w:r>
    </w:p>
    <w:p w14:paraId="4B44F7CA">
      <w:pPr>
        <w:snapToGrid w:val="0"/>
        <w:ind w:firstLine="776" w:firstLineChars="200"/>
        <w:rPr>
          <w:rFonts w:ascii="仿宋_GB2312" w:eastAsia="仿宋_GB2312"/>
          <w:bCs/>
          <w:sz w:val="32"/>
        </w:rPr>
      </w:pPr>
      <w:r>
        <w:rPr>
          <w:rFonts w:hint="eastAsia" w:ascii="仿宋_GB2312" w:hAnsi="仿宋_GB2312" w:eastAsia="仿宋_GB2312" w:cs="仿宋_GB2312"/>
          <w:spacing w:val="34"/>
          <w:sz w:val="32"/>
          <w:szCs w:val="32"/>
          <w:lang w:val="zh-CN" w:bidi="ar"/>
        </w:rPr>
        <w:t xml:space="preserve"> </w:t>
      </w:r>
      <w:bookmarkStart w:id="74" w:name="OLE_LINK6"/>
      <w:r>
        <w:rPr>
          <w:rFonts w:hint="eastAsia" w:ascii="仿宋_GB2312" w:hAnsi="宋体" w:eastAsia="仿宋_GB2312" w:cs="宋体"/>
          <w:kern w:val="0"/>
          <w:sz w:val="32"/>
          <w:szCs w:val="32"/>
        </w:rPr>
        <w:t>根据金川府发﹝2009﹞2号文件规定，主要职责是：</w:t>
      </w:r>
    </w:p>
    <w:p w14:paraId="396220EA">
      <w:pPr>
        <w:numPr>
          <w:ilvl w:val="0"/>
          <w:numId w:val="1"/>
        </w:num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（2）、制定并组织实施村镇建设规划，部署重点工程建设，地方道路建设及公共设施，水利设施的管理，负责土地、林木、水等自然资源和生态环境的保护，做好护林防火工作。 </w:t>
      </w:r>
    </w:p>
    <w:p w14:paraId="303B1822">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（4）、按计划组织本级财政收入和地方税的征收，完成国家财政计划，不断培植税源，管好财政资金，增强财政实力。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（5）、抓好精神文明建设，丰富群众文化生活，提倡移风易俗，反对封建迷信，破除陈规陋习，树立社会主义新风尚。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（6）、完成上级政府交办的其它事项。</w:t>
      </w:r>
    </w:p>
    <w:p w14:paraId="5A5F8313">
      <w:pPr>
        <w:spacing w:line="56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（7）、执行本级人民代表大会的决议和上级国家行政机关的决定和命令，发布决定和命令。</w:t>
      </w:r>
    </w:p>
    <w:p w14:paraId="139A37CF">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（8）、保护社会主义的全民所有的财产和劳动群众集体所有的财产，保护公民私人所有的合法财产，维护社会秩序，保障公民的人身权利、民主权利和其他权利。</w:t>
      </w:r>
    </w:p>
    <w:bookmarkEnd w:id="74"/>
    <w:p w14:paraId="6D0043B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p>
    <w:p w14:paraId="51A0E4B0">
      <w:pPr>
        <w:keepNext w:val="0"/>
        <w:keepLines w:val="0"/>
        <w:pageBreakBefore w:val="0"/>
        <w:kinsoku/>
        <w:wordWrap w:val="0"/>
        <w:overflowPunct/>
        <w:autoSpaceDE/>
        <w:autoSpaceDN/>
        <w:bidi w:val="0"/>
        <w:spacing w:line="560" w:lineRule="exact"/>
        <w:ind w:firstLine="643" w:firstLineChars="200"/>
        <w:jc w:val="left"/>
        <w:textAlignment w:val="auto"/>
        <w:rPr>
          <w:rFonts w:hint="eastAsia"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w:t>
      </w:r>
      <w:r>
        <w:rPr>
          <w:rFonts w:hint="eastAsia" w:eastAsia="楷体_GB2312" w:cs="Times New Roman"/>
          <w:b/>
          <w:bCs/>
          <w:color w:val="000000"/>
          <w:kern w:val="0"/>
          <w:szCs w:val="32"/>
          <w:highlight w:val="none"/>
          <w:shd w:val="clear" w:color="auto" w:fill="FFFFFF"/>
          <w:lang w:val="zh-CN"/>
        </w:rPr>
        <w:t>三</w:t>
      </w:r>
      <w:r>
        <w:rPr>
          <w:rFonts w:hint="default" w:ascii="Times New Roman" w:hAnsi="Times New Roman" w:eastAsia="楷体_GB2312" w:cs="Times New Roman"/>
          <w:b/>
          <w:bCs/>
          <w:color w:val="000000"/>
          <w:kern w:val="0"/>
          <w:szCs w:val="32"/>
          <w:highlight w:val="none"/>
          <w:shd w:val="clear" w:color="auto" w:fill="FFFFFF"/>
          <w:lang w:val="zh-CN"/>
        </w:rPr>
        <w:t>）人员概况</w:t>
      </w:r>
      <w:r>
        <w:rPr>
          <w:rFonts w:hint="eastAsia" w:eastAsia="楷体_GB2312" w:cs="Times New Roman"/>
          <w:b/>
          <w:bCs/>
          <w:color w:val="000000"/>
          <w:kern w:val="0"/>
          <w:szCs w:val="32"/>
          <w:highlight w:val="none"/>
          <w:shd w:val="clear" w:color="auto" w:fill="FFFFFF"/>
          <w:lang w:val="zh-CN"/>
        </w:rPr>
        <w:t>。</w:t>
      </w:r>
    </w:p>
    <w:p w14:paraId="49A31910">
      <w:pPr>
        <w:keepNext w:val="0"/>
        <w:keepLines w:val="0"/>
        <w:pageBreakBefore w:val="0"/>
        <w:kinsoku/>
        <w:wordWrap w:val="0"/>
        <w:overflowPunct/>
        <w:autoSpaceDE/>
        <w:autoSpaceDN/>
        <w:bidi w:val="0"/>
        <w:spacing w:line="560" w:lineRule="exact"/>
        <w:ind w:firstLine="640" w:firstLineChars="200"/>
        <w:jc w:val="left"/>
        <w:textAlignment w:val="auto"/>
        <w:rPr>
          <w:rFonts w:hint="default" w:ascii="Times New Roman" w:hAnsi="Times New Roman" w:cs="Times New Roman"/>
          <w:szCs w:val="32"/>
          <w:highlight w:val="none"/>
        </w:rPr>
      </w:pPr>
      <w:r>
        <w:rPr>
          <w:rFonts w:hint="default" w:ascii="Times New Roman" w:hAnsi="Times New Roman" w:cs="Times New Roman"/>
          <w:szCs w:val="32"/>
          <w:highlight w:val="none"/>
        </w:rPr>
        <w:t>截至202</w:t>
      </w:r>
      <w:r>
        <w:rPr>
          <w:rFonts w:hint="eastAsia" w:cs="Times New Roman"/>
          <w:szCs w:val="32"/>
          <w:highlight w:val="none"/>
          <w:lang w:val="en-US" w:eastAsia="zh-CN"/>
        </w:rPr>
        <w:t>4</w:t>
      </w:r>
      <w:r>
        <w:rPr>
          <w:rFonts w:hint="default" w:ascii="Times New Roman" w:hAnsi="Times New Roman" w:cs="Times New Roman"/>
          <w:szCs w:val="32"/>
          <w:highlight w:val="none"/>
        </w:rPr>
        <w:t>年末，</w:t>
      </w:r>
      <w:r>
        <w:rPr>
          <w:rFonts w:hint="eastAsia" w:cs="Times New Roman"/>
          <w:szCs w:val="32"/>
          <w:highlight w:val="none"/>
          <w:lang w:eastAsia="zh-CN"/>
        </w:rPr>
        <w:t>金川县集沐乡人民政府</w:t>
      </w:r>
      <w:r>
        <w:rPr>
          <w:rFonts w:hint="eastAsia" w:ascii="仿宋_GB2312" w:hAnsi="仿宋_GB2312" w:eastAsia="仿宋_GB2312" w:cs="仿宋_GB2312"/>
          <w:sz w:val="32"/>
          <w:szCs w:val="32"/>
          <w:highlight w:val="none"/>
        </w:rPr>
        <w:t>只有一个行政核算机构。</w:t>
      </w:r>
      <w:r>
        <w:rPr>
          <w:rFonts w:hint="eastAsia" w:ascii="仿宋_GB2312" w:hAnsi="仿宋_GB2312" w:eastAsia="仿宋_GB2312" w:cs="仿宋_GB2312"/>
          <w:color w:val="auto"/>
          <w:spacing w:val="34"/>
          <w:sz w:val="32"/>
          <w:szCs w:val="32"/>
          <w:highlight w:val="none"/>
          <w:lang w:val="zh-CN" w:eastAsia="zh-CN" w:bidi="ar"/>
        </w:rPr>
        <w:t>单位编制数</w:t>
      </w:r>
      <w:r>
        <w:rPr>
          <w:rFonts w:hint="eastAsia" w:ascii="仿宋_GB2312" w:hAnsi="仿宋_GB2312" w:cs="仿宋_GB2312"/>
          <w:color w:val="auto"/>
          <w:spacing w:val="34"/>
          <w:sz w:val="32"/>
          <w:szCs w:val="32"/>
          <w:highlight w:val="none"/>
          <w:lang w:val="en-US" w:eastAsia="zh-CN" w:bidi="ar"/>
        </w:rPr>
        <w:t>31</w:t>
      </w:r>
      <w:r>
        <w:rPr>
          <w:rFonts w:hint="eastAsia" w:ascii="仿宋_GB2312" w:hAnsi="仿宋_GB2312" w:eastAsia="仿宋_GB2312" w:cs="仿宋_GB2312"/>
          <w:color w:val="auto"/>
          <w:spacing w:val="34"/>
          <w:sz w:val="32"/>
          <w:szCs w:val="32"/>
          <w:highlight w:val="none"/>
          <w:lang w:val="zh-CN" w:eastAsia="zh-CN" w:bidi="ar"/>
        </w:rPr>
        <w:t>个，其中：公务员编制</w:t>
      </w:r>
      <w:r>
        <w:rPr>
          <w:rFonts w:hint="eastAsia" w:ascii="仿宋_GB2312" w:hAnsi="仿宋_GB2312" w:cs="仿宋_GB2312"/>
          <w:color w:val="auto"/>
          <w:spacing w:val="34"/>
          <w:sz w:val="32"/>
          <w:szCs w:val="32"/>
          <w:highlight w:val="none"/>
          <w:lang w:val="en-US" w:eastAsia="zh-CN" w:bidi="ar"/>
        </w:rPr>
        <w:t>17</w:t>
      </w:r>
      <w:r>
        <w:rPr>
          <w:rFonts w:hint="eastAsia" w:ascii="仿宋_GB2312" w:hAnsi="仿宋_GB2312" w:eastAsia="仿宋_GB2312" w:cs="仿宋_GB2312"/>
          <w:color w:val="auto"/>
          <w:spacing w:val="34"/>
          <w:sz w:val="32"/>
          <w:szCs w:val="32"/>
          <w:highlight w:val="none"/>
          <w:lang w:val="en-US" w:eastAsia="zh-CN" w:bidi="ar"/>
        </w:rPr>
        <w:t>个</w:t>
      </w:r>
      <w:r>
        <w:rPr>
          <w:rFonts w:hint="eastAsia" w:ascii="仿宋_GB2312" w:hAnsi="仿宋_GB2312" w:eastAsia="仿宋_GB2312" w:cs="仿宋_GB2312"/>
          <w:color w:val="auto"/>
          <w:spacing w:val="34"/>
          <w:sz w:val="32"/>
          <w:szCs w:val="32"/>
          <w:highlight w:val="none"/>
          <w:lang w:val="zh-CN" w:eastAsia="zh-CN" w:bidi="ar"/>
        </w:rPr>
        <w:t>、行政工勤编制</w:t>
      </w:r>
      <w:r>
        <w:rPr>
          <w:rFonts w:hint="eastAsia" w:ascii="仿宋_GB2312" w:hAnsi="仿宋_GB2312" w:cs="仿宋_GB2312"/>
          <w:color w:val="auto"/>
          <w:spacing w:val="34"/>
          <w:sz w:val="32"/>
          <w:szCs w:val="32"/>
          <w:highlight w:val="none"/>
          <w:lang w:val="en-US" w:eastAsia="zh-CN" w:bidi="ar"/>
        </w:rPr>
        <w:t>2</w:t>
      </w:r>
      <w:r>
        <w:rPr>
          <w:rFonts w:hint="eastAsia" w:ascii="仿宋_GB2312" w:hAnsi="仿宋_GB2312" w:eastAsia="仿宋_GB2312" w:cs="仿宋_GB2312"/>
          <w:color w:val="auto"/>
          <w:spacing w:val="34"/>
          <w:sz w:val="32"/>
          <w:szCs w:val="32"/>
          <w:highlight w:val="none"/>
          <w:lang w:val="zh-CN" w:eastAsia="zh-CN" w:bidi="ar"/>
        </w:rPr>
        <w:t>个，</w:t>
      </w:r>
      <w:r>
        <w:rPr>
          <w:rFonts w:hint="eastAsia" w:ascii="仿宋_GB2312" w:hAnsi="仿宋_GB2312" w:eastAsia="仿宋_GB2312" w:cs="仿宋_GB2312"/>
          <w:sz w:val="32"/>
          <w:szCs w:val="32"/>
          <w:highlight w:val="none"/>
        </w:rPr>
        <w:t>事业编制</w:t>
      </w:r>
      <w:r>
        <w:rPr>
          <w:rFonts w:hint="eastAsia" w:ascii="仿宋_GB2312" w:hAnsi="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名</w:t>
      </w:r>
      <w:r>
        <w:rPr>
          <w:rFonts w:hint="eastAsia" w:ascii="仿宋_GB2312" w:hAnsi="仿宋_GB2312" w:eastAsia="仿宋_GB2312" w:cs="仿宋_GB2312"/>
          <w:color w:val="auto"/>
          <w:spacing w:val="34"/>
          <w:sz w:val="32"/>
          <w:szCs w:val="32"/>
          <w:highlight w:val="none"/>
          <w:lang w:val="zh-CN" w:eastAsia="zh-CN" w:bidi="ar"/>
        </w:rPr>
        <w:t>。截止20</w:t>
      </w:r>
      <w:r>
        <w:rPr>
          <w:rFonts w:hint="eastAsia" w:ascii="仿宋_GB2312" w:hAnsi="仿宋_GB2312" w:eastAsia="仿宋_GB2312" w:cs="仿宋_GB2312"/>
          <w:color w:val="auto"/>
          <w:spacing w:val="34"/>
          <w:sz w:val="32"/>
          <w:szCs w:val="32"/>
          <w:highlight w:val="none"/>
          <w:lang w:val="en-US" w:eastAsia="zh-CN" w:bidi="ar"/>
        </w:rPr>
        <w:t>2</w:t>
      </w:r>
      <w:r>
        <w:rPr>
          <w:rFonts w:hint="eastAsia" w:ascii="仿宋_GB2312" w:hAnsi="仿宋_GB2312" w:cs="仿宋_GB2312"/>
          <w:color w:val="auto"/>
          <w:spacing w:val="34"/>
          <w:sz w:val="32"/>
          <w:szCs w:val="32"/>
          <w:highlight w:val="none"/>
          <w:lang w:val="en-US" w:eastAsia="zh-CN" w:bidi="ar"/>
        </w:rPr>
        <w:t>4</w:t>
      </w:r>
      <w:r>
        <w:rPr>
          <w:rFonts w:hint="eastAsia" w:ascii="仿宋_GB2312" w:hAnsi="仿宋_GB2312" w:eastAsia="仿宋_GB2312" w:cs="仿宋_GB2312"/>
          <w:color w:val="auto"/>
          <w:spacing w:val="34"/>
          <w:sz w:val="32"/>
          <w:szCs w:val="32"/>
          <w:highlight w:val="none"/>
          <w:lang w:val="zh-CN" w:eastAsia="zh-CN" w:bidi="ar"/>
        </w:rPr>
        <w:t>年</w:t>
      </w:r>
      <w:r>
        <w:rPr>
          <w:rFonts w:hint="eastAsia" w:ascii="仿宋_GB2312" w:hAnsi="仿宋_GB2312" w:eastAsia="仿宋_GB2312" w:cs="仿宋_GB2312"/>
          <w:color w:val="auto"/>
          <w:spacing w:val="34"/>
          <w:sz w:val="32"/>
          <w:szCs w:val="32"/>
          <w:highlight w:val="none"/>
          <w:lang w:val="en-US" w:eastAsia="zh-CN" w:bidi="ar"/>
        </w:rPr>
        <w:t>12月</w:t>
      </w:r>
      <w:r>
        <w:rPr>
          <w:rFonts w:hint="eastAsia" w:ascii="仿宋_GB2312" w:hAnsi="仿宋_GB2312" w:eastAsia="仿宋_GB2312" w:cs="仿宋_GB2312"/>
          <w:color w:val="auto"/>
          <w:spacing w:val="34"/>
          <w:sz w:val="32"/>
          <w:szCs w:val="32"/>
          <w:highlight w:val="none"/>
          <w:lang w:val="zh-CN" w:eastAsia="zh-CN" w:bidi="ar"/>
        </w:rPr>
        <w:t>，单位实有人数</w:t>
      </w:r>
      <w:r>
        <w:rPr>
          <w:rFonts w:hint="eastAsia" w:ascii="仿宋_GB2312" w:hAnsi="仿宋_GB2312" w:cs="仿宋_GB2312"/>
          <w:color w:val="auto"/>
          <w:spacing w:val="34"/>
          <w:sz w:val="32"/>
          <w:szCs w:val="32"/>
          <w:highlight w:val="none"/>
          <w:lang w:val="en-US" w:eastAsia="zh-CN" w:bidi="ar"/>
        </w:rPr>
        <w:t>30</w:t>
      </w:r>
      <w:r>
        <w:rPr>
          <w:rFonts w:hint="eastAsia" w:ascii="仿宋_GB2312" w:hAnsi="仿宋_GB2312" w:eastAsia="仿宋_GB2312" w:cs="仿宋_GB2312"/>
          <w:color w:val="auto"/>
          <w:spacing w:val="34"/>
          <w:sz w:val="32"/>
          <w:szCs w:val="32"/>
          <w:highlight w:val="none"/>
          <w:lang w:val="zh-CN" w:eastAsia="zh-CN" w:bidi="ar"/>
        </w:rPr>
        <w:t>人，其中：在职人</w:t>
      </w:r>
      <w:r>
        <w:rPr>
          <w:rFonts w:hint="eastAsia" w:ascii="仿宋_GB2312" w:hAnsi="仿宋_GB2312" w:cs="仿宋_GB2312"/>
          <w:color w:val="auto"/>
          <w:spacing w:val="34"/>
          <w:sz w:val="32"/>
          <w:szCs w:val="32"/>
          <w:highlight w:val="none"/>
          <w:lang w:val="en-US" w:eastAsia="zh-CN" w:bidi="ar"/>
        </w:rPr>
        <w:t>数</w:t>
      </w:r>
      <w:r>
        <w:rPr>
          <w:rFonts w:hint="eastAsia" w:ascii="仿宋_GB2312" w:hAnsi="仿宋_GB2312" w:eastAsia="仿宋_GB2312" w:cs="仿宋_GB2312"/>
          <w:color w:val="auto"/>
          <w:spacing w:val="34"/>
          <w:sz w:val="32"/>
          <w:szCs w:val="32"/>
          <w:highlight w:val="none"/>
          <w:lang w:val="zh-CN" w:eastAsia="zh-CN" w:bidi="ar"/>
        </w:rPr>
        <w:t>（公务员</w:t>
      </w:r>
      <w:r>
        <w:rPr>
          <w:rFonts w:hint="eastAsia" w:ascii="仿宋_GB2312" w:hAnsi="仿宋_GB2312" w:cs="仿宋_GB2312"/>
          <w:color w:val="auto"/>
          <w:spacing w:val="34"/>
          <w:sz w:val="32"/>
          <w:szCs w:val="32"/>
          <w:highlight w:val="none"/>
          <w:lang w:val="en-US" w:eastAsia="zh-CN" w:bidi="ar"/>
        </w:rPr>
        <w:t>16</w:t>
      </w:r>
      <w:r>
        <w:rPr>
          <w:rFonts w:hint="eastAsia" w:ascii="仿宋_GB2312" w:hAnsi="仿宋_GB2312" w:eastAsia="仿宋_GB2312" w:cs="仿宋_GB2312"/>
          <w:color w:val="auto"/>
          <w:spacing w:val="34"/>
          <w:sz w:val="32"/>
          <w:szCs w:val="32"/>
          <w:highlight w:val="none"/>
          <w:lang w:val="en-US" w:eastAsia="zh-CN" w:bidi="ar"/>
        </w:rPr>
        <w:t>个</w:t>
      </w:r>
      <w:r>
        <w:rPr>
          <w:rFonts w:hint="eastAsia" w:ascii="仿宋_GB2312" w:hAnsi="仿宋_GB2312" w:eastAsia="仿宋_GB2312" w:cs="仿宋_GB2312"/>
          <w:color w:val="auto"/>
          <w:spacing w:val="34"/>
          <w:sz w:val="32"/>
          <w:szCs w:val="32"/>
          <w:highlight w:val="none"/>
          <w:lang w:val="zh-CN" w:eastAsia="zh-CN" w:bidi="ar"/>
        </w:rPr>
        <w:t>、行政工勤</w:t>
      </w:r>
      <w:r>
        <w:rPr>
          <w:rFonts w:hint="eastAsia" w:ascii="仿宋_GB2312" w:hAnsi="仿宋_GB2312" w:cs="仿宋_GB2312"/>
          <w:color w:val="auto"/>
          <w:spacing w:val="34"/>
          <w:sz w:val="32"/>
          <w:szCs w:val="32"/>
          <w:highlight w:val="none"/>
          <w:lang w:val="en-US" w:eastAsia="zh-CN" w:bidi="ar"/>
        </w:rPr>
        <w:t>2</w:t>
      </w:r>
      <w:r>
        <w:rPr>
          <w:rFonts w:hint="eastAsia" w:ascii="仿宋_GB2312" w:hAnsi="仿宋_GB2312" w:eastAsia="仿宋_GB2312" w:cs="仿宋_GB2312"/>
          <w:color w:val="auto"/>
          <w:spacing w:val="34"/>
          <w:sz w:val="32"/>
          <w:szCs w:val="32"/>
          <w:highlight w:val="none"/>
          <w:lang w:val="zh-CN" w:eastAsia="zh-CN" w:bidi="ar"/>
        </w:rPr>
        <w:t>个，</w:t>
      </w:r>
      <w:r>
        <w:rPr>
          <w:rFonts w:hint="eastAsia" w:ascii="仿宋_GB2312" w:hAnsi="仿宋_GB2312" w:eastAsia="仿宋_GB2312" w:cs="仿宋_GB2312"/>
          <w:sz w:val="32"/>
          <w:szCs w:val="32"/>
          <w:highlight w:val="none"/>
        </w:rPr>
        <w:t>事业</w:t>
      </w:r>
      <w:r>
        <w:rPr>
          <w:rFonts w:hint="eastAsia" w:ascii="仿宋_GB2312" w:hAnsi="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名</w:t>
      </w:r>
      <w:r>
        <w:rPr>
          <w:rFonts w:hint="eastAsia" w:ascii="仿宋_GB2312" w:hAnsi="仿宋_GB2312" w:eastAsia="仿宋_GB2312" w:cs="仿宋_GB2312"/>
          <w:color w:val="auto"/>
          <w:spacing w:val="34"/>
          <w:sz w:val="32"/>
          <w:szCs w:val="32"/>
          <w:highlight w:val="none"/>
          <w:lang w:val="zh-CN" w:eastAsia="zh-CN" w:bidi="ar"/>
        </w:rPr>
        <w:t>），退休</w:t>
      </w:r>
      <w:r>
        <w:rPr>
          <w:rFonts w:hint="eastAsia" w:ascii="仿宋_GB2312" w:hAnsi="仿宋_GB2312" w:cs="仿宋_GB2312"/>
          <w:color w:val="auto"/>
          <w:spacing w:val="34"/>
          <w:sz w:val="32"/>
          <w:szCs w:val="32"/>
          <w:highlight w:val="none"/>
          <w:lang w:val="en-US" w:eastAsia="zh-CN" w:bidi="ar"/>
        </w:rPr>
        <w:t>4</w:t>
      </w:r>
      <w:r>
        <w:rPr>
          <w:rFonts w:hint="eastAsia" w:ascii="仿宋_GB2312" w:hAnsi="仿宋_GB2312" w:eastAsia="仿宋_GB2312" w:cs="仿宋_GB2312"/>
          <w:color w:val="auto"/>
          <w:spacing w:val="34"/>
          <w:sz w:val="32"/>
          <w:szCs w:val="32"/>
          <w:highlight w:val="none"/>
          <w:lang w:val="zh-CN" w:eastAsia="zh-CN" w:bidi="ar"/>
        </w:rPr>
        <w:t>人，工资转由社保部门发放。</w:t>
      </w:r>
    </w:p>
    <w:p w14:paraId="6808AC8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rPr>
        <w:t>二、</w:t>
      </w:r>
      <w:r>
        <w:rPr>
          <w:rFonts w:hint="default" w:ascii="Times New Roman" w:hAnsi="Times New Roman" w:eastAsia="黑体" w:cs="Times New Roman"/>
          <w:color w:val="000000"/>
          <w:kern w:val="0"/>
          <w:szCs w:val="32"/>
          <w:highlight w:val="none"/>
          <w:shd w:val="clear" w:color="auto" w:fill="FFFFFF"/>
          <w:lang w:eastAsia="zh-CN"/>
        </w:rPr>
        <w:t>部门</w:t>
      </w:r>
      <w:r>
        <w:rPr>
          <w:rFonts w:hint="default" w:ascii="Times New Roman" w:hAnsi="Times New Roman" w:eastAsia="黑体" w:cs="Times New Roman"/>
          <w:color w:val="000000"/>
          <w:kern w:val="0"/>
          <w:szCs w:val="32"/>
          <w:highlight w:val="none"/>
          <w:shd w:val="clear" w:color="auto" w:fill="FFFFFF"/>
        </w:rPr>
        <w:t>资金收支情况</w:t>
      </w:r>
    </w:p>
    <w:p w14:paraId="129CDC5E">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（一）</w:t>
      </w:r>
      <w:r>
        <w:rPr>
          <w:rFonts w:hint="eastAsia" w:eastAsia="楷体_GB2312" w:cs="Times New Roman"/>
          <w:b/>
          <w:bCs/>
          <w:color w:val="000000"/>
          <w:kern w:val="0"/>
          <w:szCs w:val="32"/>
          <w:highlight w:val="none"/>
          <w:shd w:val="clear" w:color="auto" w:fill="FFFFFF"/>
          <w:lang w:val="zh-CN"/>
        </w:rPr>
        <w:t>收入情况</w:t>
      </w:r>
      <w:r>
        <w:rPr>
          <w:rFonts w:hint="default" w:ascii="Times New Roman" w:hAnsi="Times New Roman" w:eastAsia="楷体_GB2312" w:cs="Times New Roman"/>
          <w:b/>
          <w:bCs/>
          <w:color w:val="000000"/>
          <w:kern w:val="0"/>
          <w:szCs w:val="32"/>
          <w:highlight w:val="none"/>
          <w:shd w:val="clear" w:color="auto" w:fill="FFFFFF"/>
          <w:lang w:val="zh-CN"/>
        </w:rPr>
        <w:t>。</w:t>
      </w:r>
    </w:p>
    <w:p w14:paraId="313FCF81">
      <w:pPr>
        <w:snapToGrid w:val="0"/>
        <w:spacing w:line="360" w:lineRule="auto"/>
        <w:ind w:firstLine="640" w:firstLineChars="200"/>
        <w:rPr>
          <w:rFonts w:hint="eastAsia" w:ascii="Times New Roman" w:hAnsi="Times New Roman" w:cs="Times New Roman"/>
          <w:szCs w:val="32"/>
          <w:lang w:val="en-US" w:eastAsia="zh-CN"/>
        </w:rPr>
      </w:pPr>
      <w:r>
        <w:rPr>
          <w:rFonts w:hint="eastAsia" w:cs="Times New Roman"/>
          <w:szCs w:val="32"/>
          <w:highlight w:val="none"/>
          <w:lang w:val="en-US" w:eastAsia="zh-CN"/>
        </w:rPr>
        <w:t>2024</w:t>
      </w:r>
      <w:r>
        <w:rPr>
          <w:rFonts w:hint="eastAsia" w:ascii="Times New Roman" w:hAnsi="Times New Roman" w:cs="Times New Roman"/>
          <w:szCs w:val="32"/>
          <w:highlight w:val="none"/>
          <w:lang w:val="en-US" w:eastAsia="zh-CN"/>
        </w:rPr>
        <w:t>年度收入总计</w:t>
      </w:r>
      <w:r>
        <w:rPr>
          <w:rFonts w:hint="eastAsia" w:ascii="仿宋_GB2312" w:hAnsi="宋体" w:eastAsia="仿宋_GB2312" w:cs="宋体"/>
          <w:kern w:val="0"/>
          <w:sz w:val="32"/>
          <w:szCs w:val="32"/>
          <w:lang w:val="en-US" w:eastAsia="zh-CN"/>
        </w:rPr>
        <w:t>875.56</w:t>
      </w:r>
      <w:r>
        <w:rPr>
          <w:rFonts w:hint="eastAsia" w:ascii="Times New Roman" w:hAnsi="Times New Roman" w:cs="Times New Roman"/>
          <w:szCs w:val="32"/>
          <w:highlight w:val="none"/>
          <w:lang w:val="en-US" w:eastAsia="zh-CN"/>
        </w:rPr>
        <w:t>万元。与</w:t>
      </w:r>
      <w:r>
        <w:rPr>
          <w:rFonts w:hint="eastAsia" w:cs="Times New Roman"/>
          <w:szCs w:val="32"/>
          <w:highlight w:val="none"/>
          <w:lang w:val="en-US" w:eastAsia="zh-CN"/>
        </w:rPr>
        <w:t>2023</w:t>
      </w:r>
      <w:r>
        <w:rPr>
          <w:rFonts w:hint="eastAsia" w:ascii="Times New Roman" w:hAnsi="Times New Roman" w:cs="Times New Roman"/>
          <w:szCs w:val="32"/>
          <w:highlight w:val="none"/>
          <w:lang w:val="en-US" w:eastAsia="zh-CN"/>
        </w:rPr>
        <w:t>年相比，</w:t>
      </w:r>
      <w:bookmarkStart w:id="75" w:name="_Toc18400"/>
      <w:r>
        <w:rPr>
          <w:rFonts w:hint="eastAsia" w:ascii="仿宋_GB2312" w:hAnsi="宋体" w:eastAsia="仿宋_GB2312" w:cs="宋体"/>
          <w:kern w:val="0"/>
          <w:sz w:val="32"/>
          <w:szCs w:val="32"/>
          <w:lang w:eastAsia="zh-CN"/>
        </w:rPr>
        <w:t>2024</w:t>
      </w:r>
      <w:r>
        <w:rPr>
          <w:rFonts w:hint="eastAsia" w:ascii="仿宋_GB2312" w:hAnsi="宋体" w:eastAsia="仿宋_GB2312" w:cs="宋体"/>
          <w:kern w:val="0"/>
          <w:sz w:val="32"/>
          <w:szCs w:val="32"/>
        </w:rPr>
        <w:t>年年初预算</w:t>
      </w:r>
      <w:bookmarkStart w:id="76" w:name="OLE_LINK7"/>
      <w:r>
        <w:rPr>
          <w:rFonts w:hint="eastAsia" w:ascii="仿宋_GB2312" w:hAnsi="宋体" w:eastAsia="仿宋_GB2312" w:cs="宋体"/>
          <w:kern w:val="0"/>
          <w:sz w:val="32"/>
          <w:szCs w:val="32"/>
          <w:lang w:val="en-US" w:eastAsia="zh-CN"/>
        </w:rPr>
        <w:t>800.79</w:t>
      </w:r>
      <w:r>
        <w:rPr>
          <w:rFonts w:hint="eastAsia" w:ascii="仿宋_GB2312" w:hAnsi="宋体" w:eastAsia="仿宋_GB2312" w:cs="宋体"/>
          <w:kern w:val="0"/>
          <w:sz w:val="32"/>
          <w:szCs w:val="32"/>
        </w:rPr>
        <w:t>万元</w:t>
      </w:r>
      <w:bookmarkEnd w:id="76"/>
      <w:r>
        <w:rPr>
          <w:rFonts w:hint="eastAsia" w:ascii="仿宋_GB2312" w:hAnsi="宋体" w:eastAsia="仿宋_GB2312" w:cs="宋体"/>
          <w:kern w:val="0"/>
          <w:sz w:val="32"/>
          <w:szCs w:val="32"/>
        </w:rPr>
        <w:t>，与上年对比有所</w:t>
      </w:r>
      <w:r>
        <w:rPr>
          <w:rFonts w:hint="eastAsia" w:ascii="仿宋_GB2312" w:hAnsi="宋体" w:eastAsia="仿宋_GB2312" w:cs="宋体"/>
          <w:kern w:val="0"/>
          <w:sz w:val="32"/>
          <w:szCs w:val="32"/>
          <w:lang w:val="en-US" w:eastAsia="zh-CN"/>
        </w:rPr>
        <w:t>增加</w:t>
      </w:r>
      <w:r>
        <w:rPr>
          <w:rFonts w:hint="eastAsia" w:ascii="仿宋_GB2312" w:hAnsi="宋体" w:eastAsia="仿宋_GB2312" w:cs="宋体"/>
          <w:kern w:val="0"/>
          <w:sz w:val="32"/>
          <w:szCs w:val="32"/>
        </w:rPr>
        <w:t>，原因为</w:t>
      </w:r>
      <w:r>
        <w:rPr>
          <w:rFonts w:hint="eastAsia" w:ascii="仿宋_GB2312" w:hAnsi="宋体" w:eastAsia="仿宋_GB2312" w:cs="宋体"/>
          <w:kern w:val="0"/>
          <w:sz w:val="32"/>
          <w:szCs w:val="32"/>
          <w:lang w:val="en-US" w:eastAsia="zh-CN"/>
        </w:rPr>
        <w:t>人员调资</w:t>
      </w:r>
      <w:r>
        <w:rPr>
          <w:rFonts w:hint="eastAsia" w:ascii="Times New Roman" w:hAnsi="Times New Roman" w:cs="Times New Roman"/>
          <w:szCs w:val="32"/>
          <w:lang w:val="en-US" w:eastAsia="zh-CN"/>
        </w:rPr>
        <w:t>。</w:t>
      </w:r>
      <w:bookmarkEnd w:id="75"/>
    </w:p>
    <w:p w14:paraId="470C3EC5">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eastAsia" w:eastAsia="楷体_GB2312" w:cs="Times New Roman"/>
          <w:b/>
          <w:bCs/>
          <w:color w:val="000000"/>
          <w:kern w:val="0"/>
          <w:szCs w:val="32"/>
          <w:highlight w:val="none"/>
          <w:shd w:val="clear" w:color="auto" w:fill="FFFFFF"/>
          <w:lang w:val="zh-CN"/>
        </w:rPr>
        <w:t>支出情况</w:t>
      </w:r>
      <w:r>
        <w:rPr>
          <w:rFonts w:hint="default" w:ascii="Times New Roman" w:hAnsi="Times New Roman" w:eastAsia="楷体_GB2312" w:cs="Times New Roman"/>
          <w:b/>
          <w:bCs/>
          <w:color w:val="000000"/>
          <w:kern w:val="0"/>
          <w:szCs w:val="32"/>
          <w:highlight w:val="none"/>
          <w:shd w:val="clear" w:color="auto" w:fill="FFFFFF"/>
          <w:lang w:val="zh-CN"/>
        </w:rPr>
        <w:t>。</w:t>
      </w:r>
    </w:p>
    <w:p w14:paraId="13B4498A">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cs="Times New Roman"/>
          <w:szCs w:val="32"/>
          <w:lang w:val="en-US" w:eastAsia="zh-CN"/>
        </w:rPr>
        <w:t>2024</w:t>
      </w:r>
      <w:r>
        <w:rPr>
          <w:rFonts w:hint="default" w:ascii="Times New Roman" w:hAnsi="Times New Roman" w:cs="Times New Roman"/>
          <w:szCs w:val="32"/>
          <w:lang w:val="en-US" w:eastAsia="zh-CN"/>
        </w:rPr>
        <w:t>年一般公共预算财政拨款支出</w:t>
      </w:r>
      <w:r>
        <w:rPr>
          <w:rFonts w:hint="eastAsia" w:ascii="仿宋_GB2312" w:hAnsi="宋体" w:eastAsia="仿宋_GB2312" w:cs="宋体"/>
          <w:kern w:val="0"/>
          <w:sz w:val="32"/>
          <w:szCs w:val="32"/>
          <w:lang w:val="en-US" w:eastAsia="zh-CN"/>
        </w:rPr>
        <w:t>875.56</w:t>
      </w:r>
      <w:r>
        <w:rPr>
          <w:rFonts w:hint="eastAsia" w:ascii="Times New Roman" w:hAnsi="Times New Roman" w:cs="Times New Roman"/>
          <w:szCs w:val="32"/>
          <w:lang w:val="en-US" w:eastAsia="zh-CN"/>
        </w:rPr>
        <w:t>万元</w:t>
      </w:r>
      <w:r>
        <w:rPr>
          <w:rFonts w:hint="default" w:ascii="Times New Roman" w:hAnsi="Times New Roman" w:cs="Times New Roman"/>
          <w:szCs w:val="32"/>
          <w:lang w:val="en-US" w:eastAsia="zh-CN"/>
        </w:rPr>
        <w:t>，占本年支出合计的100%。</w:t>
      </w:r>
      <w:r>
        <w:rPr>
          <w:rFonts w:hint="eastAsia" w:ascii="仿宋_GB2312" w:eastAsia="仿宋_GB2312"/>
          <w:color w:val="000000"/>
          <w:sz w:val="32"/>
          <w:szCs w:val="32"/>
          <w:lang w:eastAsia="zh-CN"/>
        </w:rPr>
        <w:t>2024</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718.60</w:t>
      </w:r>
      <w:r>
        <w:rPr>
          <w:rFonts w:hint="eastAsia" w:ascii="仿宋_GB2312" w:eastAsia="仿宋_GB2312"/>
          <w:color w:val="000000"/>
          <w:sz w:val="32"/>
          <w:szCs w:val="32"/>
        </w:rPr>
        <w:t>万元，其中：</w:t>
      </w:r>
      <w:r>
        <w:rPr>
          <w:rFonts w:hint="eastAsia" w:ascii="仿宋_GB2312" w:hAnsi="仿宋" w:eastAsia="仿宋_GB2312"/>
          <w:color w:val="000000"/>
          <w:sz w:val="32"/>
          <w:szCs w:val="32"/>
        </w:rPr>
        <w:t>人员经费支出</w:t>
      </w:r>
      <w:r>
        <w:rPr>
          <w:rFonts w:hint="eastAsia" w:ascii="仿宋_GB2312" w:hAnsi="仿宋" w:eastAsia="仿宋_GB2312"/>
          <w:color w:val="000000"/>
          <w:sz w:val="32"/>
          <w:szCs w:val="32"/>
          <w:lang w:val="en-US" w:eastAsia="zh-CN"/>
        </w:rPr>
        <w:t>691.08</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eastAsia="仿宋_GB2312"/>
          <w:color w:val="000000"/>
          <w:sz w:val="32"/>
          <w:szCs w:val="32"/>
          <w:lang w:val="en-US" w:eastAsia="zh-CN"/>
        </w:rPr>
        <w:t>工资福利支出490.89万元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61.65</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30.81</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54.53</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33.39</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5.14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生活补助14.67万元</w:t>
      </w:r>
      <w:r>
        <w:rPr>
          <w:rFonts w:hint="eastAsia" w:ascii="仿宋_GB2312" w:eastAsia="仿宋_GB2312"/>
          <w:color w:val="000000"/>
          <w:sz w:val="32"/>
          <w:szCs w:val="32"/>
        </w:rPr>
        <w:t>。</w:t>
      </w:r>
    </w:p>
    <w:p w14:paraId="686F7462">
      <w:pPr>
        <w:spacing w:line="600" w:lineRule="exact"/>
        <w:ind w:firstLine="645"/>
        <w:rPr>
          <w:rFonts w:hint="eastAsia" w:ascii="仿宋_GB2312" w:hAnsi="仿宋_GB2312" w:eastAsia="仿宋_GB2312" w:cs="仿宋_GB2312"/>
          <w:color w:val="000000"/>
          <w:sz w:val="32"/>
          <w:szCs w:val="32"/>
          <w:lang w:eastAsia="zh-CN"/>
        </w:rPr>
      </w:pPr>
      <w:r>
        <w:rPr>
          <w:rFonts w:hint="eastAsia" w:ascii="仿宋_GB2312" w:hAnsi="仿宋" w:eastAsia="仿宋_GB2312"/>
          <w:color w:val="000000"/>
          <w:sz w:val="32"/>
          <w:szCs w:val="32"/>
        </w:rPr>
        <w:t>日常公用经费支出</w:t>
      </w:r>
      <w:r>
        <w:rPr>
          <w:rFonts w:hint="eastAsia" w:ascii="仿宋_GB2312" w:hAnsi="仿宋" w:eastAsia="仿宋_GB2312"/>
          <w:color w:val="000000"/>
          <w:sz w:val="32"/>
          <w:szCs w:val="32"/>
          <w:lang w:val="en-US" w:eastAsia="zh-CN"/>
        </w:rPr>
        <w:t>27.52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p>
    <w:p w14:paraId="7E01C015">
      <w:pPr>
        <w:snapToGrid w:val="0"/>
        <w:spacing w:line="520" w:lineRule="exact"/>
        <w:ind w:firstLine="640" w:firstLineChars="200"/>
        <w:rPr>
          <w:rFonts w:hint="eastAsia" w:ascii="仿宋_GB2312" w:hAnsi="仿宋" w:eastAsia="仿宋_GB2312"/>
          <w:b/>
          <w:sz w:val="32"/>
          <w:szCs w:val="32"/>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156.96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w:t>
      </w:r>
    </w:p>
    <w:p w14:paraId="6718F3FD">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outlineLvl w:val="9"/>
        <w:rPr>
          <w:rFonts w:hint="eastAsia" w:ascii="Times New Roman" w:hAnsi="Times New Roman" w:eastAsia="楷体_GB2312" w:cs="Times New Roman"/>
          <w:b/>
          <w:szCs w:val="32"/>
          <w:lang w:eastAsia="zh-CN"/>
        </w:rPr>
      </w:pPr>
      <w:r>
        <w:rPr>
          <w:rFonts w:hint="default" w:ascii="Times New Roman" w:hAnsi="Times New Roman" w:eastAsia="楷体_GB2312" w:cs="Times New Roman"/>
          <w:b/>
          <w:szCs w:val="32"/>
        </w:rPr>
        <w:t>结余分配和结转结余情况</w:t>
      </w:r>
      <w:r>
        <w:rPr>
          <w:rFonts w:hint="eastAsia" w:ascii="Times New Roman" w:hAnsi="Times New Roman" w:eastAsia="楷体_GB2312" w:cs="Times New Roman"/>
          <w:b/>
          <w:szCs w:val="32"/>
          <w:lang w:eastAsia="zh-CN"/>
        </w:rPr>
        <w:t>。</w:t>
      </w:r>
    </w:p>
    <w:p w14:paraId="20CDA35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szCs w:val="32"/>
          <w:lang w:val="zh-CN" w:eastAsia="zh-CN"/>
        </w:rPr>
      </w:pPr>
      <w:r>
        <w:rPr>
          <w:rFonts w:hint="eastAsia" w:ascii="Times New Roman" w:hAnsi="Times New Roman" w:cs="Times New Roman"/>
          <w:szCs w:val="32"/>
          <w:lang w:val="en-US" w:eastAsia="zh-CN"/>
        </w:rPr>
        <w:t>本单位</w:t>
      </w:r>
      <w:r>
        <w:rPr>
          <w:rFonts w:hint="eastAsia" w:cs="Times New Roman"/>
          <w:szCs w:val="32"/>
          <w:lang w:val="en-US" w:eastAsia="zh-CN"/>
        </w:rPr>
        <w:t>2024</w:t>
      </w:r>
      <w:r>
        <w:rPr>
          <w:rFonts w:hint="eastAsia" w:ascii="Times New Roman" w:hAnsi="Times New Roman" w:cs="Times New Roman"/>
          <w:szCs w:val="32"/>
          <w:lang w:val="en-US" w:eastAsia="zh-CN"/>
        </w:rPr>
        <w:t>年决算报表无</w:t>
      </w:r>
      <w:r>
        <w:rPr>
          <w:rFonts w:hint="default" w:ascii="Times New Roman" w:hAnsi="Times New Roman" w:cs="Times New Roman"/>
          <w:szCs w:val="32"/>
          <w:lang w:val="en-US" w:eastAsia="zh-CN"/>
        </w:rPr>
        <w:t>结转结余</w:t>
      </w:r>
      <w:r>
        <w:rPr>
          <w:rFonts w:hint="eastAsia" w:ascii="Times New Roman" w:hAnsi="Times New Roman" w:cs="Times New Roman"/>
          <w:szCs w:val="32"/>
          <w:lang w:val="en-US" w:eastAsia="zh-CN"/>
        </w:rPr>
        <w:t>情况</w:t>
      </w:r>
      <w:r>
        <w:rPr>
          <w:rFonts w:hint="default" w:ascii="Times New Roman" w:hAnsi="Times New Roman" w:cs="Times New Roman"/>
          <w:szCs w:val="32"/>
          <w:lang w:val="en-US" w:eastAsia="zh-CN"/>
        </w:rPr>
        <w:t>。</w:t>
      </w:r>
    </w:p>
    <w:p w14:paraId="7E1CC8F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Cs w:val="32"/>
          <w:highlight w:val="none"/>
          <w:shd w:val="clear" w:color="auto" w:fill="FFFFFF"/>
          <w14:textFill>
            <w14:solidFill>
              <w14:schemeClr w14:val="tx1"/>
            </w14:solidFill>
          </w14:textFill>
        </w:rPr>
      </w:pPr>
      <w:r>
        <w:rPr>
          <w:rFonts w:hint="default" w:ascii="Times New Roman" w:hAnsi="Times New Roman" w:eastAsia="黑体" w:cs="Times New Roman"/>
          <w:color w:val="auto"/>
          <w:kern w:val="0"/>
          <w:szCs w:val="32"/>
          <w:highlight w:val="none"/>
          <w:shd w:val="clear" w:color="auto" w:fill="FFFFFF"/>
        </w:rPr>
        <w:t>三</w:t>
      </w:r>
      <w:r>
        <w:rPr>
          <w:rFonts w:hint="default" w:ascii="Times New Roman" w:hAnsi="Times New Roman" w:eastAsia="黑体" w:cs="Times New Roman"/>
          <w:color w:val="000000"/>
          <w:kern w:val="0"/>
          <w:szCs w:val="32"/>
          <w:highlight w:val="none"/>
          <w:shd w:val="clear" w:color="auto" w:fill="FFFFFF"/>
        </w:rPr>
        <w:t>、</w:t>
      </w:r>
      <w:r>
        <w:rPr>
          <w:rFonts w:hint="default" w:ascii="Times New Roman" w:hAnsi="Times New Roman" w:eastAsia="黑体" w:cs="Times New Roman"/>
          <w:color w:val="000000"/>
          <w:kern w:val="0"/>
          <w:szCs w:val="32"/>
          <w:highlight w:val="none"/>
          <w:u w:val="none"/>
          <w:shd w:val="clear" w:color="auto" w:fill="FFFFFF"/>
        </w:rPr>
        <w:t>部门</w:t>
      </w:r>
      <w:r>
        <w:rPr>
          <w:rFonts w:hint="default" w:ascii="Times New Roman" w:hAnsi="Times New Roman" w:eastAsia="黑体" w:cs="Times New Roman"/>
          <w:color w:val="000000"/>
          <w:kern w:val="0"/>
          <w:szCs w:val="32"/>
          <w:highlight w:val="none"/>
          <w:u w:val="none"/>
          <w:shd w:val="clear" w:color="auto" w:fill="FFFFFF"/>
          <w:lang w:eastAsia="zh-CN"/>
        </w:rPr>
        <w:t>预算</w:t>
      </w:r>
      <w:r>
        <w:rPr>
          <w:rFonts w:hint="default" w:ascii="Times New Roman" w:hAnsi="Times New Roman" w:eastAsia="黑体" w:cs="Times New Roman"/>
          <w:color w:val="000000"/>
          <w:kern w:val="0"/>
          <w:szCs w:val="32"/>
          <w:highlight w:val="none"/>
          <w:u w:val="none"/>
          <w:shd w:val="clear" w:color="auto" w:fill="FFFFFF"/>
        </w:rPr>
        <w:t>绩效</w:t>
      </w:r>
      <w:r>
        <w:rPr>
          <w:rFonts w:hint="default" w:ascii="Times New Roman" w:hAnsi="Times New Roman" w:eastAsia="黑体" w:cs="Times New Roman"/>
          <w:color w:val="000000"/>
          <w:kern w:val="0"/>
          <w:szCs w:val="32"/>
          <w:highlight w:val="none"/>
          <w:u w:val="none"/>
          <w:shd w:val="clear" w:color="auto" w:fill="FFFFFF"/>
          <w:lang w:eastAsia="zh-CN"/>
        </w:rPr>
        <w:t>分析</w:t>
      </w:r>
    </w:p>
    <w:p w14:paraId="100C615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w:t>
      </w:r>
      <w:r>
        <w:rPr>
          <w:rFonts w:hint="eastAsia" w:eastAsia="楷体_GB2312" w:cs="Times New Roman"/>
          <w:b/>
          <w:bCs/>
          <w:color w:val="000000"/>
          <w:kern w:val="0"/>
          <w:szCs w:val="32"/>
          <w:highlight w:val="none"/>
          <w:shd w:val="clear" w:color="auto" w:fill="FFFFFF"/>
          <w:lang w:val="zh-CN"/>
        </w:rPr>
        <w:t>部门预算</w:t>
      </w:r>
      <w:r>
        <w:rPr>
          <w:rFonts w:hint="default" w:ascii="Times New Roman" w:hAnsi="Times New Roman" w:eastAsia="楷体_GB2312" w:cs="Times New Roman"/>
          <w:b/>
          <w:bCs/>
          <w:color w:val="000000"/>
          <w:kern w:val="0"/>
          <w:szCs w:val="32"/>
          <w:highlight w:val="none"/>
          <w:shd w:val="clear" w:color="auto" w:fill="FFFFFF"/>
          <w:lang w:val="zh-CN"/>
        </w:rPr>
        <w:t>总体绩效分析。</w:t>
      </w:r>
    </w:p>
    <w:p w14:paraId="0749EF4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zh-CN"/>
        </w:rPr>
      </w:pPr>
      <w:r>
        <w:rPr>
          <w:rFonts w:hint="eastAsia" w:ascii="Times New Roman" w:hAnsi="Times New Roman" w:cs="Times New Roman"/>
          <w:szCs w:val="32"/>
          <w:lang w:val="zh-CN" w:eastAsia="zh-CN"/>
        </w:rPr>
        <w:t>我</w:t>
      </w:r>
      <w:r>
        <w:rPr>
          <w:rFonts w:hint="eastAsia" w:cs="Times New Roman"/>
          <w:szCs w:val="32"/>
          <w:lang w:val="zh-CN" w:eastAsia="zh-CN"/>
        </w:rPr>
        <w:t>乡</w:t>
      </w:r>
      <w:r>
        <w:rPr>
          <w:rFonts w:hint="eastAsia" w:ascii="Times New Roman" w:hAnsi="Times New Roman" w:cs="Times New Roman"/>
          <w:szCs w:val="32"/>
          <w:lang w:val="zh-CN" w:eastAsia="zh-CN"/>
        </w:rPr>
        <w:t>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C9733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1.</w:t>
      </w:r>
      <w:r>
        <w:rPr>
          <w:rFonts w:hint="eastAsia" w:ascii="楷体_GB2312" w:hAnsi="楷体_GB2312" w:eastAsia="楷体_GB2312" w:cs="楷体_GB2312"/>
          <w:color w:val="000000"/>
          <w:kern w:val="0"/>
          <w:szCs w:val="32"/>
          <w:highlight w:val="none"/>
          <w:shd w:val="clear" w:color="auto" w:fill="FFFFFF"/>
          <w:lang w:val="zh-CN"/>
        </w:rPr>
        <w:t>履职效能。</w:t>
      </w:r>
    </w:p>
    <w:p w14:paraId="4F6BC02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zh-CN" w:eastAsia="zh-CN"/>
        </w:rPr>
      </w:pPr>
      <w:r>
        <w:rPr>
          <w:rFonts w:hint="eastAsia" w:ascii="Times New Roman" w:hAnsi="Times New Roman" w:cs="Times New Roman"/>
          <w:szCs w:val="32"/>
          <w:lang w:val="zh-CN" w:eastAsia="zh-CN"/>
        </w:rPr>
        <w:t>数量指标履职效果</w:t>
      </w:r>
      <w:r>
        <w:rPr>
          <w:rFonts w:hint="eastAsia" w:ascii="Times New Roman" w:hAnsi="Times New Roman" w:cs="Times New Roman"/>
          <w:szCs w:val="32"/>
          <w:lang w:val="en-US" w:eastAsia="zh-CN"/>
        </w:rPr>
        <w:t>:严格控制数量确保无遗漏无浪费，厉行节约</w:t>
      </w:r>
      <w:r>
        <w:rPr>
          <w:rFonts w:hint="eastAsia" w:ascii="Times New Roman" w:hAnsi="Times New Roman" w:cs="Times New Roman"/>
          <w:szCs w:val="32"/>
          <w:lang w:val="zh-CN" w:eastAsia="zh-CN"/>
        </w:rPr>
        <w:t>。</w:t>
      </w:r>
    </w:p>
    <w:p w14:paraId="4AB6399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en-US" w:eastAsia="zh-CN"/>
        </w:rPr>
      </w:pPr>
      <w:r>
        <w:rPr>
          <w:rFonts w:hint="eastAsia" w:ascii="Times New Roman" w:hAnsi="Times New Roman" w:cs="Times New Roman"/>
          <w:szCs w:val="32"/>
          <w:lang w:val="zh-CN" w:eastAsia="zh-CN"/>
        </w:rPr>
        <w:t>质量指标履职效果：</w:t>
      </w:r>
      <w:r>
        <w:rPr>
          <w:rFonts w:hint="eastAsia" w:ascii="Times New Roman" w:hAnsi="Times New Roman" w:cs="Times New Roman"/>
          <w:szCs w:val="32"/>
          <w:lang w:val="en-US" w:eastAsia="zh-CN"/>
        </w:rPr>
        <w:t>严格把控质量关，确保与采购文件相匹配。</w:t>
      </w:r>
    </w:p>
    <w:p w14:paraId="581E059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社会效益指标履职效果：确保每一项采购项目都能实现单位职能，提高社会效益，促进社会发展。</w:t>
      </w:r>
    </w:p>
    <w:p w14:paraId="3E6C0BD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Times New Roman" w:hAnsi="Times New Roman" w:cs="Times New Roman"/>
          <w:szCs w:val="32"/>
          <w:lang w:val="en-US" w:eastAsia="zh-CN"/>
        </w:rPr>
      </w:pPr>
      <w:r>
        <w:rPr>
          <w:rFonts w:hint="default" w:ascii="Times New Roman" w:hAnsi="Times New Roman" w:cs="Times New Roman"/>
          <w:szCs w:val="32"/>
          <w:lang w:val="en-US" w:eastAsia="zh-CN"/>
        </w:rPr>
        <w:t>服务对象满意度</w:t>
      </w:r>
      <w:r>
        <w:rPr>
          <w:rFonts w:hint="eastAsia" w:ascii="Times New Roman" w:hAnsi="Times New Roman" w:cs="Times New Roman"/>
          <w:szCs w:val="32"/>
          <w:lang w:val="en-US" w:eastAsia="zh-CN"/>
        </w:rPr>
        <w:t>指标</w:t>
      </w:r>
      <w:r>
        <w:rPr>
          <w:rFonts w:hint="default" w:ascii="Times New Roman" w:hAnsi="Times New Roman" w:cs="Times New Roman"/>
          <w:szCs w:val="32"/>
          <w:lang w:val="en-US" w:eastAsia="zh-CN"/>
        </w:rPr>
        <w:t>履职效果</w:t>
      </w:r>
      <w:r>
        <w:rPr>
          <w:rFonts w:hint="eastAsia" w:ascii="Times New Roman" w:hAnsi="Times New Roman" w:cs="Times New Roman"/>
          <w:szCs w:val="32"/>
          <w:lang w:val="en-US" w:eastAsia="zh-CN"/>
        </w:rPr>
        <w:t>：以高质量、高标准、高要求实施采购项目，确保受益对象满意度。</w:t>
      </w:r>
    </w:p>
    <w:p w14:paraId="76C8294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cs="Times New Roman"/>
          <w:szCs w:val="32"/>
          <w:lang w:val="en-US" w:eastAsia="zh-CN"/>
        </w:rPr>
      </w:pPr>
      <w:r>
        <w:rPr>
          <w:rFonts w:hint="default" w:ascii="Times New Roman" w:hAnsi="Times New Roman" w:cs="Times New Roman"/>
          <w:szCs w:val="32"/>
          <w:lang w:val="en-US" w:eastAsia="zh-CN"/>
        </w:rPr>
        <w:t>经济成本指标履职效果</w:t>
      </w:r>
      <w:r>
        <w:rPr>
          <w:rFonts w:hint="eastAsia" w:ascii="Times New Roman" w:hAnsi="Times New Roman" w:cs="Times New Roman"/>
          <w:szCs w:val="32"/>
          <w:lang w:val="en-US" w:eastAsia="zh-CN"/>
        </w:rPr>
        <w:t>：经过专业评估，以合理的经济成本实现项目价值。</w:t>
      </w:r>
    </w:p>
    <w:p w14:paraId="5FEC75FB">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2.</w:t>
      </w:r>
      <w:r>
        <w:rPr>
          <w:rFonts w:hint="default" w:ascii="楷体_GB2312" w:hAnsi="楷体_GB2312" w:eastAsia="楷体_GB2312" w:cs="楷体_GB2312"/>
          <w:color w:val="000000"/>
          <w:kern w:val="0"/>
          <w:szCs w:val="32"/>
          <w:highlight w:val="none"/>
          <w:shd w:val="clear" w:color="auto" w:fill="FFFFFF"/>
          <w:lang w:val="zh-CN"/>
        </w:rPr>
        <w:t>预算管理</w:t>
      </w:r>
      <w:r>
        <w:rPr>
          <w:rFonts w:hint="eastAsia" w:ascii="楷体_GB2312" w:hAnsi="楷体_GB2312" w:eastAsia="楷体_GB2312" w:cs="楷体_GB2312"/>
          <w:color w:val="000000"/>
          <w:kern w:val="0"/>
          <w:szCs w:val="32"/>
          <w:highlight w:val="none"/>
          <w:shd w:val="clear" w:color="auto" w:fill="FFFFFF"/>
          <w:lang w:val="zh-CN"/>
        </w:rPr>
        <w:t>。</w:t>
      </w:r>
    </w:p>
    <w:p w14:paraId="3FFBC92D">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Times New Roman" w:hAnsi="Times New Roman" w:cs="Times New Roman"/>
          <w:szCs w:val="32"/>
          <w:lang w:val="zh-CN" w:eastAsia="zh-CN"/>
        </w:rPr>
        <w:t>严格按照县级部门预算编制通知和有关要求，按时完成基础库、项目库报送工作，按时完成</w:t>
      </w:r>
      <w:r>
        <w:rPr>
          <w:rFonts w:hint="eastAsia" w:cs="Times New Roman"/>
          <w:szCs w:val="32"/>
          <w:lang w:val="zh-CN" w:eastAsia="zh-CN"/>
        </w:rPr>
        <w:t>2024</w:t>
      </w:r>
      <w:r>
        <w:rPr>
          <w:rFonts w:hint="eastAsia" w:ascii="Times New Roman" w:hAnsi="Times New Roman" w:cs="Times New Roman"/>
          <w:szCs w:val="32"/>
          <w:lang w:val="zh-CN" w:eastAsia="zh-CN"/>
        </w:rPr>
        <w:t>年预算编制工作，并按时提交部门预算草案。预算编制全面、科学。</w:t>
      </w:r>
      <w:r>
        <w:rPr>
          <w:rFonts w:hint="eastAsia" w:cs="Times New Roman"/>
          <w:szCs w:val="32"/>
          <w:lang w:val="zh-CN" w:eastAsia="zh-CN"/>
        </w:rPr>
        <w:t>2024</w:t>
      </w:r>
      <w:r>
        <w:rPr>
          <w:rFonts w:hint="eastAsia" w:ascii="Times New Roman" w:hAnsi="Times New Roman" w:cs="Times New Roman"/>
          <w:szCs w:val="32"/>
          <w:lang w:val="zh-CN" w:eastAsia="zh-CN"/>
        </w:rPr>
        <w:t>年实际支出和部门决算一致，绩效目标填报及年末结余结转都是严格按照县财政局的要求认真完成，不存在违规违纪使用资金的情况并按时完成202</w:t>
      </w:r>
      <w:r>
        <w:rPr>
          <w:rFonts w:hint="eastAsia" w:ascii="Times New Roman" w:hAnsi="Times New Roman" w:cs="Times New Roman"/>
          <w:szCs w:val="32"/>
          <w:lang w:val="en-US" w:eastAsia="zh-CN"/>
        </w:rPr>
        <w:t>4</w:t>
      </w:r>
      <w:r>
        <w:rPr>
          <w:rFonts w:hint="eastAsia" w:ascii="Times New Roman" w:hAnsi="Times New Roman" w:cs="Times New Roman"/>
          <w:szCs w:val="32"/>
          <w:lang w:val="zh-CN" w:eastAsia="zh-CN"/>
        </w:rPr>
        <w:t>年预算编制工作，及时提交了部门预算草案。</w:t>
      </w:r>
    </w:p>
    <w:p w14:paraId="5EF182F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3.</w:t>
      </w:r>
      <w:r>
        <w:rPr>
          <w:rFonts w:hint="default" w:ascii="楷体_GB2312" w:hAnsi="楷体_GB2312" w:eastAsia="楷体_GB2312" w:cs="楷体_GB2312"/>
          <w:color w:val="000000"/>
          <w:kern w:val="0"/>
          <w:szCs w:val="32"/>
          <w:highlight w:val="none"/>
          <w:shd w:val="clear" w:color="auto" w:fill="FFFFFF"/>
          <w:lang w:val="zh-CN"/>
        </w:rPr>
        <w:t>财务管理</w:t>
      </w:r>
      <w:r>
        <w:rPr>
          <w:rFonts w:hint="eastAsia" w:ascii="楷体_GB2312" w:hAnsi="楷体_GB2312" w:eastAsia="楷体_GB2312" w:cs="楷体_GB2312"/>
          <w:color w:val="000000"/>
          <w:kern w:val="0"/>
          <w:szCs w:val="32"/>
          <w:highlight w:val="none"/>
          <w:shd w:val="clear" w:color="auto" w:fill="FFFFFF"/>
          <w:lang w:val="zh-CN"/>
        </w:rPr>
        <w:t>。</w:t>
      </w:r>
    </w:p>
    <w:p w14:paraId="20E7F1AE">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eastAsia" w:ascii="Times New Roman" w:hAnsi="Times New Roman" w:cs="Times New Roman"/>
          <w:szCs w:val="32"/>
          <w:lang w:val="zh-CN" w:eastAsia="zh-CN"/>
        </w:rPr>
      </w:pPr>
      <w:r>
        <w:rPr>
          <w:rFonts w:hint="eastAsia" w:ascii="仿宋" w:hAnsi="仿宋" w:eastAsia="仿宋" w:cs="仿宋_GB2312"/>
          <w:color w:val="000000"/>
          <w:sz w:val="32"/>
          <w:szCs w:val="32"/>
          <w:lang w:val="zh-CN"/>
        </w:rPr>
        <w:t>根据相关要求，单位使用预算资金基本符合相关的预算财务管理制度。我乡在财政批复后</w:t>
      </w:r>
      <w:r>
        <w:rPr>
          <w:rFonts w:hint="eastAsia" w:ascii="仿宋" w:hAns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hAnsi="仿宋" w:eastAsia="仿宋" w:cs="仿宋_GB2312"/>
          <w:color w:val="000000"/>
          <w:sz w:val="32"/>
          <w:szCs w:val="32"/>
          <w:lang w:val="zh-CN"/>
        </w:rPr>
        <w:t>绩效评价及依法接受财政监督情况等。</w:t>
      </w:r>
    </w:p>
    <w:p w14:paraId="22226747">
      <w:pPr>
        <w:keepNext w:val="0"/>
        <w:keepLines w:val="0"/>
        <w:pageBreakBefore w:val="0"/>
        <w:numPr>
          <w:ilvl w:val="0"/>
          <w:numId w:val="0"/>
        </w:numPr>
        <w:bidi w:val="0"/>
        <w:spacing w:before="0" w:after="0" w:line="560" w:lineRule="exact"/>
        <w:ind w:leftChars="200"/>
        <w:jc w:val="both"/>
        <w:textAlignment w:val="auto"/>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4.</w:t>
      </w:r>
      <w:r>
        <w:rPr>
          <w:rFonts w:hint="default" w:ascii="楷体_GB2312" w:hAnsi="楷体_GB2312" w:eastAsia="楷体_GB2312" w:cs="楷体_GB2312"/>
          <w:color w:val="000000"/>
          <w:kern w:val="0"/>
          <w:szCs w:val="32"/>
          <w:highlight w:val="none"/>
          <w:shd w:val="clear" w:color="auto" w:fill="FFFFFF"/>
          <w:lang w:val="zh-CN"/>
        </w:rPr>
        <w:t>资产管理</w:t>
      </w:r>
      <w:r>
        <w:rPr>
          <w:rFonts w:hint="eastAsia" w:ascii="楷体_GB2312" w:hAnsi="楷体_GB2312" w:eastAsia="楷体_GB2312" w:cs="楷体_GB2312"/>
          <w:color w:val="000000"/>
          <w:kern w:val="0"/>
          <w:szCs w:val="32"/>
          <w:highlight w:val="none"/>
          <w:shd w:val="clear" w:color="auto" w:fill="FFFFFF"/>
          <w:lang w:val="zh-CN"/>
        </w:rPr>
        <w:t>。</w:t>
      </w:r>
    </w:p>
    <w:p w14:paraId="51437C8D">
      <w:pPr>
        <w:keepNext w:val="0"/>
        <w:keepLines w:val="0"/>
        <w:pageBreakBefore w:val="0"/>
        <w:widowControl/>
        <w:wordWrap w:val="0"/>
        <w:topLinePunct/>
        <w:bidi w:val="0"/>
        <w:adjustRightInd w:val="0"/>
        <w:snapToGrid w:val="0"/>
        <w:spacing w:line="560" w:lineRule="exact"/>
        <w:ind w:firstLine="640" w:firstLineChars="200"/>
        <w:jc w:val="left"/>
        <w:textAlignment w:val="auto"/>
        <w:rPr>
          <w:rFonts w:hint="default" w:ascii="Times New Roman" w:hAnsi="Times New Roman" w:cs="Times New Roman"/>
          <w:szCs w:val="32"/>
          <w:lang w:val="en-US" w:eastAsia="zh-CN"/>
        </w:rPr>
      </w:pPr>
      <w:r>
        <w:rPr>
          <w:rFonts w:hint="eastAsia" w:ascii="仿宋" w:hAnsi="仿宋" w:eastAsia="仿宋" w:cs="仿宋_GB2312"/>
          <w:color w:val="000000"/>
          <w:sz w:val="32"/>
          <w:szCs w:val="32"/>
          <w:lang w:val="zh-CN"/>
        </w:rPr>
        <w:t>我乡</w:t>
      </w:r>
      <w:r>
        <w:rPr>
          <w:rFonts w:hint="eastAsia" w:ascii="仿宋" w:hAnsi="仿宋" w:eastAsia="仿宋" w:cs="仿宋_GB2312"/>
          <w:color w:val="000000"/>
          <w:sz w:val="32"/>
          <w:szCs w:val="32"/>
          <w:lang w:eastAsia="zh-CN"/>
        </w:rPr>
        <w:t>2024</w:t>
      </w:r>
      <w:r>
        <w:rPr>
          <w:rFonts w:hint="eastAsia" w:ascii="仿宋" w:hAnsi="仿宋" w:eastAsia="仿宋" w:cs="仿宋_GB2312"/>
          <w:color w:val="000000"/>
          <w:sz w:val="32"/>
          <w:szCs w:val="32"/>
        </w:rPr>
        <w:t>年所有国有资产纳入</w:t>
      </w:r>
      <w:r>
        <w:rPr>
          <w:rFonts w:hint="eastAsia" w:ascii="仿宋" w:hAnsi="仿宋" w:eastAsia="仿宋" w:cs="仿宋_GB2312"/>
          <w:color w:val="000000"/>
          <w:sz w:val="32"/>
          <w:szCs w:val="32"/>
          <w:lang w:val="zh-CN"/>
        </w:rPr>
        <w:t>资产管理系统，及时准确上报并做好资产的管理工作，</w:t>
      </w:r>
      <w:r>
        <w:rPr>
          <w:rFonts w:hint="eastAsia" w:ascii="Times New Roman" w:hAnsi="Times New Roman" w:cs="Times New Roman"/>
          <w:szCs w:val="32"/>
          <w:lang w:val="en-US" w:eastAsia="zh-CN"/>
        </w:rPr>
        <w:t>无闲置资产。</w:t>
      </w:r>
    </w:p>
    <w:p w14:paraId="2298A7A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5.</w:t>
      </w:r>
      <w:r>
        <w:rPr>
          <w:rFonts w:hint="default" w:ascii="楷体_GB2312" w:hAnsi="楷体_GB2312" w:eastAsia="楷体_GB2312" w:cs="楷体_GB2312"/>
          <w:color w:val="000000"/>
          <w:kern w:val="0"/>
          <w:szCs w:val="32"/>
          <w:highlight w:val="none"/>
          <w:shd w:val="clear" w:color="auto" w:fill="FFFFFF"/>
          <w:lang w:val="zh-CN"/>
        </w:rPr>
        <w:t>采购管理</w:t>
      </w:r>
      <w:r>
        <w:rPr>
          <w:rFonts w:hint="eastAsia" w:ascii="楷体_GB2312" w:hAnsi="楷体_GB2312" w:eastAsia="楷体_GB2312" w:cs="楷体_GB2312"/>
          <w:color w:val="000000"/>
          <w:kern w:val="0"/>
          <w:szCs w:val="32"/>
          <w:highlight w:val="none"/>
          <w:shd w:val="clear" w:color="auto" w:fill="FFFFFF"/>
          <w:lang w:val="zh-CN"/>
        </w:rPr>
        <w:t>。</w:t>
      </w:r>
    </w:p>
    <w:p w14:paraId="7D10AFFB">
      <w:pPr>
        <w:keepNext w:val="0"/>
        <w:keepLines w:val="0"/>
        <w:pageBreakBefore w:val="0"/>
        <w:widowControl/>
        <w:numPr>
          <w:ilvl w:val="0"/>
          <w:numId w:val="0"/>
        </w:numPr>
        <w:kinsoku/>
        <w:wordWrap/>
        <w:overflowPunct/>
        <w:topLinePunct w:val="0"/>
        <w:bidi w:val="0"/>
        <w:adjustRightInd w:val="0"/>
        <w:snapToGrid w:val="0"/>
        <w:spacing w:line="560" w:lineRule="exact"/>
        <w:ind w:firstLine="640" w:firstLineChars="200"/>
        <w:contextualSpacing/>
        <w:jc w:val="left"/>
        <w:textAlignment w:val="auto"/>
        <w:rPr>
          <w:rFonts w:hint="eastAsia" w:ascii="Times New Roman" w:hAnsi="Times New Roman" w:cs="Times New Roman"/>
          <w:szCs w:val="32"/>
          <w:lang w:val="zh-CN" w:eastAsia="zh-CN"/>
        </w:rPr>
      </w:pPr>
      <w:r>
        <w:rPr>
          <w:rFonts w:hint="eastAsia" w:ascii="仿宋_GB2312" w:eastAsia="仿宋_GB2312" w:cs="Times New Roman"/>
          <w:kern w:val="2"/>
          <w:sz w:val="32"/>
          <w:szCs w:val="32"/>
          <w:lang w:val="en-US" w:eastAsia="zh-CN" w:bidi="ar-SA"/>
        </w:rPr>
        <w:t>为</w:t>
      </w:r>
      <w:r>
        <w:rPr>
          <w:rFonts w:hint="eastAsia" w:ascii="Times New Roman" w:hAnsi="Times New Roman" w:cs="Times New Roman"/>
          <w:szCs w:val="32"/>
          <w:lang w:val="en-US" w:eastAsia="zh-CN"/>
        </w:rPr>
        <w:t>保障单位正常运转，实现机构只能，根据实际需求按照程序实施政府采购</w:t>
      </w:r>
      <w:r>
        <w:rPr>
          <w:rFonts w:hint="eastAsia" w:ascii="Times New Roman" w:hAnsi="Times New Roman" w:cs="Times New Roman"/>
          <w:szCs w:val="32"/>
          <w:lang w:val="zh-CN" w:eastAsia="zh-CN"/>
        </w:rPr>
        <w:t>、采购</w:t>
      </w:r>
      <w:r>
        <w:rPr>
          <w:rFonts w:hint="eastAsia" w:ascii="Times New Roman" w:hAnsi="Times New Roman" w:cs="Times New Roman"/>
          <w:szCs w:val="32"/>
          <w:lang w:val="en-US" w:eastAsia="zh-CN"/>
        </w:rPr>
        <w:t>项目</w:t>
      </w:r>
      <w:r>
        <w:rPr>
          <w:rFonts w:hint="eastAsia" w:ascii="Times New Roman" w:hAnsi="Times New Roman" w:cs="Times New Roman"/>
          <w:szCs w:val="32"/>
          <w:lang w:val="zh-CN" w:eastAsia="zh-CN"/>
        </w:rPr>
        <w:t>执行率</w:t>
      </w:r>
      <w:r>
        <w:rPr>
          <w:rFonts w:hint="eastAsia" w:ascii="Times New Roman" w:hAnsi="Times New Roman" w:cs="Times New Roman"/>
          <w:szCs w:val="32"/>
          <w:lang w:val="en-US" w:eastAsia="zh-CN"/>
        </w:rPr>
        <w:t>达100%，采购结果与预期目标相匹配，通过科学合理的评价方法和标准，提高采购质量和效益</w:t>
      </w:r>
      <w:r>
        <w:rPr>
          <w:rFonts w:hint="eastAsia" w:ascii="Times New Roman" w:hAnsi="Times New Roman" w:cs="Times New Roman"/>
          <w:szCs w:val="32"/>
          <w:lang w:val="zh-CN" w:eastAsia="zh-CN"/>
        </w:rPr>
        <w:t>。</w:t>
      </w:r>
    </w:p>
    <w:p w14:paraId="37DEE59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Cs w:val="32"/>
          <w:highlight w:val="none"/>
          <w:shd w:val="clear" w:color="auto" w:fill="FFFFFF"/>
          <w:lang w:val="zh-CN"/>
        </w:rPr>
        <w:t>（二）部门预算项目绩效分析。</w:t>
      </w:r>
      <w:r>
        <w:rPr>
          <w:rFonts w:hint="eastAsia" w:ascii="Times New Roman" w:hAnsi="Times New Roman" w:cs="Times New Roman"/>
          <w:color w:val="000000"/>
          <w:kern w:val="0"/>
          <w:szCs w:val="32"/>
          <w:highlight w:val="none"/>
          <w:shd w:val="clear" w:color="auto" w:fill="FFFFFF"/>
          <w:lang w:val="zh-CN" w:eastAsia="zh-CN"/>
        </w:rPr>
        <w:t>填报以下数据，</w:t>
      </w:r>
      <w:r>
        <w:rPr>
          <w:rFonts w:hint="eastAsia" w:cs="Times New Roman"/>
          <w:color w:val="000000"/>
          <w:kern w:val="0"/>
          <w:szCs w:val="32"/>
          <w:highlight w:val="none"/>
          <w:shd w:val="clear" w:color="auto" w:fill="FFFFFF"/>
          <w:lang w:val="zh-CN"/>
        </w:rPr>
        <w:t>并</w:t>
      </w:r>
      <w:r>
        <w:rPr>
          <w:rFonts w:hint="default" w:ascii="Times New Roman" w:hAnsi="Times New Roman" w:cs="Times New Roman"/>
          <w:color w:val="000000"/>
          <w:kern w:val="0"/>
          <w:szCs w:val="32"/>
          <w:highlight w:val="none"/>
          <w:shd w:val="clear" w:color="auto" w:fill="FFFFFF"/>
          <w:lang w:val="zh-CN"/>
        </w:rPr>
        <w:t>根据部门预算绩效评价指标体系“项目绩效”涉及</w:t>
      </w:r>
      <w:r>
        <w:rPr>
          <w:rFonts w:hint="eastAsia" w:ascii="Times New Roman" w:hAnsi="Times New Roman" w:cs="Times New Roman"/>
          <w:color w:val="000000"/>
          <w:kern w:val="0"/>
          <w:szCs w:val="32"/>
          <w:highlight w:val="none"/>
          <w:shd w:val="clear" w:color="auto" w:fill="FFFFFF"/>
          <w:lang w:val="zh-CN"/>
        </w:rPr>
        <w:t>二、三级</w:t>
      </w:r>
      <w:r>
        <w:rPr>
          <w:rFonts w:hint="default" w:ascii="Times New Roman" w:hAnsi="Times New Roman" w:cs="Times New Roman"/>
          <w:color w:val="000000"/>
          <w:kern w:val="0"/>
          <w:szCs w:val="32"/>
          <w:highlight w:val="none"/>
          <w:shd w:val="clear" w:color="auto" w:fill="FFFFFF"/>
          <w:lang w:val="zh-CN"/>
        </w:rPr>
        <w:t>指标进行</w:t>
      </w:r>
      <w:r>
        <w:rPr>
          <w:rFonts w:hint="eastAsia" w:ascii="Times New Roman" w:hAnsi="Times New Roman" w:cs="Times New Roman"/>
          <w:color w:val="000000"/>
          <w:kern w:val="0"/>
          <w:szCs w:val="32"/>
          <w:highlight w:val="none"/>
          <w:shd w:val="clear" w:color="auto" w:fill="FFFFFF"/>
          <w:lang w:val="zh-CN"/>
        </w:rPr>
        <w:t>逐项</w:t>
      </w:r>
      <w:r>
        <w:rPr>
          <w:rFonts w:hint="default" w:ascii="Times New Roman" w:hAnsi="Times New Roman" w:cs="Times New Roman"/>
          <w:color w:val="000000"/>
          <w:kern w:val="0"/>
          <w:szCs w:val="32"/>
          <w:highlight w:val="none"/>
          <w:shd w:val="clear" w:color="auto" w:fill="FFFFFF"/>
          <w:lang w:val="zh-CN"/>
        </w:rPr>
        <w:t>绩效分析</w:t>
      </w:r>
      <w:r>
        <w:rPr>
          <w:rFonts w:hint="eastAsia" w:cs="Times New Roman"/>
          <w:color w:val="000000"/>
          <w:kern w:val="0"/>
          <w:szCs w:val="32"/>
          <w:highlight w:val="none"/>
          <w:shd w:val="clear" w:color="auto" w:fill="FFFFFF"/>
          <w:lang w:val="zh-CN"/>
        </w:rPr>
        <w:t>并评分</w:t>
      </w:r>
      <w:r>
        <w:rPr>
          <w:rFonts w:hint="default" w:ascii="Times New Roman" w:hAnsi="Times New Roman" w:cs="Times New Roman"/>
          <w:color w:val="000000"/>
          <w:kern w:val="0"/>
          <w:szCs w:val="32"/>
          <w:highlight w:val="none"/>
          <w:shd w:val="clear" w:color="auto" w:fill="FFFFFF"/>
          <w:lang w:val="zh-CN"/>
        </w:rPr>
        <w:t>，依次包括项目</w:t>
      </w:r>
      <w:r>
        <w:rPr>
          <w:rFonts w:hint="default" w:ascii="Times New Roman" w:hAnsi="Times New Roman" w:cs="Times New Roman"/>
          <w:color w:val="000000"/>
          <w:kern w:val="0"/>
          <w:szCs w:val="32"/>
          <w:highlight w:val="none"/>
          <w:shd w:val="clear" w:color="auto" w:fill="FFFFFF"/>
          <w:lang w:val="en-US" w:eastAsia="zh-CN"/>
        </w:rPr>
        <w:t>决策、项目执行、目标实现等情况</w:t>
      </w:r>
      <w:r>
        <w:rPr>
          <w:rFonts w:hint="eastAsia" w:ascii="Times New Roman" w:hAnsi="Times New Roman" w:cs="Times New Roman"/>
          <w:color w:val="000000"/>
          <w:kern w:val="0"/>
          <w:szCs w:val="32"/>
          <w:highlight w:val="none"/>
          <w:shd w:val="clear" w:color="auto" w:fill="FFFFFF"/>
          <w:lang w:val="en-US" w:eastAsia="zh-CN"/>
        </w:rPr>
        <w:t>。</w:t>
      </w:r>
    </w:p>
    <w:p w14:paraId="54A391F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cs="Times New Roman"/>
          <w:color w:val="000000"/>
          <w:kern w:val="0"/>
          <w:szCs w:val="32"/>
          <w:highlight w:val="none"/>
          <w:shd w:val="clear" w:color="auto" w:fill="FFFFFF"/>
          <w:lang w:val="zh-CN" w:eastAsia="zh-CN"/>
        </w:rPr>
      </w:pPr>
      <w:r>
        <w:rPr>
          <w:rFonts w:hint="default" w:cs="Times New Roman"/>
          <w:color w:val="000000"/>
          <w:kern w:val="0"/>
          <w:szCs w:val="32"/>
          <w:highlight w:val="none"/>
          <w:shd w:val="clear" w:color="auto" w:fill="FFFFFF"/>
          <w:lang w:val="en-US" w:eastAsia="zh-CN"/>
        </w:rPr>
        <w:t>常年项目绩效分析。</w:t>
      </w:r>
      <w:r>
        <w:rPr>
          <w:rFonts w:hint="default" w:cs="Times New Roman"/>
          <w:color w:val="000000"/>
          <w:kern w:val="0"/>
          <w:szCs w:val="32"/>
          <w:highlight w:val="none"/>
          <w:shd w:val="clear" w:color="auto" w:fill="FFFFFF"/>
          <w:lang w:val="zh-CN" w:eastAsia="zh-CN"/>
        </w:rPr>
        <w:t>该类项目总数</w:t>
      </w:r>
      <w:r>
        <w:rPr>
          <w:rFonts w:hint="eastAsia" w:cs="Times New Roman"/>
          <w:color w:val="000000"/>
          <w:kern w:val="0"/>
          <w:szCs w:val="32"/>
          <w:highlight w:val="none"/>
          <w:shd w:val="clear" w:color="auto" w:fill="FFFFFF"/>
          <w:lang w:val="en-US" w:eastAsia="zh-CN"/>
        </w:rPr>
        <w:t>76</w:t>
      </w:r>
      <w:r>
        <w:rPr>
          <w:rFonts w:hint="default" w:cs="Times New Roman"/>
          <w:color w:val="000000"/>
          <w:kern w:val="0"/>
          <w:szCs w:val="32"/>
          <w:highlight w:val="none"/>
          <w:shd w:val="clear" w:color="auto" w:fill="FFFFFF"/>
          <w:lang w:val="zh-CN" w:eastAsia="zh-CN"/>
        </w:rPr>
        <w:t>个，涉及预算总金额</w:t>
      </w:r>
      <w:r>
        <w:rPr>
          <w:rFonts w:hint="eastAsia" w:cs="Times New Roman"/>
          <w:color w:val="000000"/>
          <w:kern w:val="0"/>
          <w:szCs w:val="32"/>
          <w:highlight w:val="none"/>
          <w:shd w:val="clear" w:color="auto" w:fill="FFFFFF"/>
          <w:lang w:val="en-US" w:eastAsia="zh-CN"/>
        </w:rPr>
        <w:t>718.6</w:t>
      </w:r>
      <w:r>
        <w:rPr>
          <w:rFonts w:hint="default" w:cs="Times New Roman"/>
          <w:color w:val="000000"/>
          <w:kern w:val="0"/>
          <w:szCs w:val="32"/>
          <w:highlight w:val="none"/>
          <w:shd w:val="clear" w:color="auto" w:fill="FFFFFF"/>
          <w:lang w:val="zh-CN" w:eastAsia="zh-CN"/>
        </w:rPr>
        <w:t>万元，</w:t>
      </w:r>
      <w:r>
        <w:rPr>
          <w:rFonts w:hint="default" w:cs="Times New Roman"/>
          <w:color w:val="000000"/>
          <w:kern w:val="0"/>
          <w:szCs w:val="32"/>
          <w:highlight w:val="none"/>
          <w:shd w:val="clear" w:color="auto" w:fill="FFFFFF"/>
          <w:lang w:val="zh-CN"/>
        </w:rPr>
        <w:t>1</w:t>
      </w:r>
      <w:r>
        <w:rPr>
          <w:rFonts w:hint="eastAsia" w:cs="Times New Roman"/>
          <w:color w:val="000000"/>
          <w:kern w:val="0"/>
          <w:szCs w:val="32"/>
          <w:highlight w:val="none"/>
          <w:shd w:val="clear" w:color="auto" w:fill="FFFFFF"/>
          <w:lang w:val="zh-CN" w:eastAsia="zh-CN"/>
        </w:rPr>
        <w:t>—</w:t>
      </w:r>
      <w:r>
        <w:rPr>
          <w:rFonts w:hint="default" w:cs="Times New Roman"/>
          <w:color w:val="000000"/>
          <w:kern w:val="0"/>
          <w:szCs w:val="32"/>
          <w:highlight w:val="none"/>
          <w:shd w:val="clear" w:color="auto" w:fill="FFFFFF"/>
          <w:lang w:val="zh-CN"/>
        </w:rPr>
        <w:t>1</w:t>
      </w:r>
      <w:r>
        <w:rPr>
          <w:rFonts w:hint="default" w:cs="Times New Roman"/>
          <w:color w:val="000000"/>
          <w:kern w:val="0"/>
          <w:szCs w:val="32"/>
          <w:highlight w:val="none"/>
          <w:shd w:val="clear" w:color="auto" w:fill="FFFFFF"/>
          <w:lang w:val="en-US" w:eastAsia="zh-CN"/>
        </w:rPr>
        <w:t>2</w:t>
      </w:r>
      <w:r>
        <w:rPr>
          <w:rFonts w:hint="default" w:cs="Times New Roman"/>
          <w:color w:val="000000"/>
          <w:kern w:val="0"/>
          <w:szCs w:val="32"/>
          <w:highlight w:val="none"/>
          <w:shd w:val="clear" w:color="auto" w:fill="FFFFFF"/>
          <w:lang w:val="zh-CN"/>
        </w:rPr>
        <w:t>月预算执行总体进度为</w:t>
      </w:r>
      <w:r>
        <w:rPr>
          <w:rFonts w:hint="eastAsia" w:cs="Times New Roman"/>
          <w:color w:val="000000"/>
          <w:kern w:val="0"/>
          <w:szCs w:val="32"/>
          <w:highlight w:val="none"/>
          <w:shd w:val="clear" w:color="auto" w:fill="FFFFFF"/>
          <w:lang w:val="en-US" w:eastAsia="zh-CN"/>
        </w:rPr>
        <w:t>100</w:t>
      </w:r>
      <w:r>
        <w:rPr>
          <w:rFonts w:hint="default" w:cs="Times New Roman"/>
          <w:color w:val="000000"/>
          <w:kern w:val="0"/>
          <w:szCs w:val="32"/>
          <w:highlight w:val="none"/>
          <w:shd w:val="clear" w:color="auto" w:fill="FFFFFF"/>
          <w:lang w:val="zh-CN"/>
        </w:rPr>
        <w:t>%，其中：</w:t>
      </w:r>
      <w:r>
        <w:rPr>
          <w:rFonts w:hint="default" w:cs="Times New Roman"/>
          <w:color w:val="000000"/>
          <w:kern w:val="0"/>
          <w:szCs w:val="32"/>
          <w:highlight w:val="none"/>
          <w:shd w:val="clear" w:color="auto" w:fill="FFFFFF"/>
          <w:lang w:val="zh-CN" w:eastAsia="zh-CN"/>
        </w:rPr>
        <w:t>预算结余率大于</w:t>
      </w:r>
      <w:r>
        <w:rPr>
          <w:rFonts w:hint="default" w:cs="Times New Roman"/>
          <w:color w:val="000000"/>
          <w:kern w:val="0"/>
          <w:szCs w:val="32"/>
          <w:highlight w:val="none"/>
          <w:shd w:val="clear" w:color="auto" w:fill="FFFFFF"/>
          <w:lang w:val="en-US" w:eastAsia="zh-CN"/>
        </w:rPr>
        <w:t>10%</w:t>
      </w:r>
      <w:r>
        <w:rPr>
          <w:rFonts w:hint="default" w:cs="Times New Roman"/>
          <w:color w:val="000000"/>
          <w:kern w:val="0"/>
          <w:szCs w:val="32"/>
          <w:highlight w:val="none"/>
          <w:shd w:val="clear" w:color="auto" w:fill="FFFFFF"/>
          <w:lang w:val="zh-CN" w:eastAsia="zh-CN"/>
        </w:rPr>
        <w:t>的项目共计</w:t>
      </w:r>
      <w:r>
        <w:rPr>
          <w:rFonts w:hint="default" w:cs="Times New Roman"/>
          <w:color w:val="000000"/>
          <w:kern w:val="0"/>
          <w:szCs w:val="32"/>
          <w:highlight w:val="none"/>
          <w:shd w:val="clear" w:color="auto" w:fill="FFFFFF"/>
          <w:lang w:val="en-US" w:eastAsia="zh-CN"/>
        </w:rPr>
        <w:t xml:space="preserve"> </w:t>
      </w:r>
      <w:r>
        <w:rPr>
          <w:rFonts w:hint="eastAsia" w:cs="Times New Roman"/>
          <w:color w:val="000000"/>
          <w:kern w:val="0"/>
          <w:szCs w:val="32"/>
          <w:highlight w:val="none"/>
          <w:shd w:val="clear" w:color="auto" w:fill="FFFFFF"/>
          <w:lang w:val="en-US" w:eastAsia="zh-CN"/>
        </w:rPr>
        <w:t>0</w:t>
      </w:r>
      <w:r>
        <w:rPr>
          <w:rFonts w:hint="default" w:cs="Times New Roman"/>
          <w:color w:val="000000"/>
          <w:kern w:val="0"/>
          <w:szCs w:val="32"/>
          <w:highlight w:val="none"/>
          <w:shd w:val="clear" w:color="auto" w:fill="FFFFFF"/>
          <w:lang w:val="en-US" w:eastAsia="zh-CN"/>
        </w:rPr>
        <w:t xml:space="preserve">  </w:t>
      </w:r>
      <w:r>
        <w:rPr>
          <w:rFonts w:hint="default" w:cs="Times New Roman"/>
          <w:color w:val="000000"/>
          <w:kern w:val="0"/>
          <w:szCs w:val="32"/>
          <w:highlight w:val="none"/>
          <w:shd w:val="clear" w:color="auto" w:fill="FFFFFF"/>
          <w:lang w:val="zh-CN" w:eastAsia="zh-CN"/>
        </w:rPr>
        <w:t>个。</w:t>
      </w:r>
    </w:p>
    <w:p w14:paraId="72A7DFD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cs="Times New Roman"/>
          <w:color w:val="000000"/>
          <w:kern w:val="0"/>
          <w:szCs w:val="32"/>
          <w:highlight w:val="none"/>
          <w:shd w:val="clear" w:color="auto" w:fill="FFFFFF"/>
          <w:lang w:val="zh-CN" w:eastAsia="zh-CN"/>
        </w:rPr>
      </w:pPr>
      <w:r>
        <w:rPr>
          <w:rFonts w:hint="default" w:cs="Times New Roman"/>
          <w:color w:val="000000"/>
          <w:kern w:val="0"/>
          <w:szCs w:val="32"/>
          <w:highlight w:val="none"/>
          <w:shd w:val="clear" w:color="auto" w:fill="FFFFFF"/>
          <w:lang w:val="en-US" w:eastAsia="zh-CN"/>
        </w:rPr>
        <w:t>阶段</w:t>
      </w:r>
      <w:r>
        <w:rPr>
          <w:rFonts w:hint="eastAsia" w:cs="Times New Roman"/>
          <w:color w:val="000000"/>
          <w:kern w:val="0"/>
          <w:szCs w:val="32"/>
          <w:highlight w:val="none"/>
          <w:shd w:val="clear" w:color="auto" w:fill="FFFFFF"/>
          <w:lang w:val="en-US" w:eastAsia="zh-CN"/>
        </w:rPr>
        <w:t>（</w:t>
      </w:r>
      <w:r>
        <w:rPr>
          <w:rFonts w:hint="default" w:cs="Times New Roman"/>
          <w:color w:val="000000"/>
          <w:kern w:val="0"/>
          <w:szCs w:val="32"/>
          <w:highlight w:val="none"/>
          <w:shd w:val="clear" w:color="auto" w:fill="FFFFFF"/>
          <w:lang w:val="en-US" w:eastAsia="zh-CN"/>
        </w:rPr>
        <w:t>一次性</w:t>
      </w:r>
      <w:r>
        <w:rPr>
          <w:rFonts w:hint="eastAsia" w:cs="Times New Roman"/>
          <w:color w:val="000000"/>
          <w:kern w:val="0"/>
          <w:szCs w:val="32"/>
          <w:highlight w:val="none"/>
          <w:shd w:val="clear" w:color="auto" w:fill="FFFFFF"/>
          <w:lang w:val="en-US" w:eastAsia="zh-CN"/>
        </w:rPr>
        <w:t>）</w:t>
      </w:r>
      <w:r>
        <w:rPr>
          <w:rFonts w:hint="default" w:cs="Times New Roman"/>
          <w:color w:val="000000"/>
          <w:kern w:val="0"/>
          <w:szCs w:val="32"/>
          <w:highlight w:val="none"/>
          <w:shd w:val="clear" w:color="auto" w:fill="FFFFFF"/>
          <w:lang w:val="en-US" w:eastAsia="zh-CN"/>
        </w:rPr>
        <w:t>项目绩效分析。</w:t>
      </w:r>
      <w:r>
        <w:rPr>
          <w:rFonts w:hint="default" w:cs="Times New Roman"/>
          <w:color w:val="000000"/>
          <w:kern w:val="0"/>
          <w:szCs w:val="32"/>
          <w:highlight w:val="none"/>
          <w:shd w:val="clear" w:color="auto" w:fill="FFFFFF"/>
          <w:lang w:val="zh-CN" w:eastAsia="zh-CN"/>
        </w:rPr>
        <w:t>该类项目总数</w:t>
      </w:r>
      <w:r>
        <w:rPr>
          <w:rFonts w:hint="eastAsia" w:cs="Times New Roman"/>
          <w:color w:val="000000"/>
          <w:kern w:val="0"/>
          <w:szCs w:val="32"/>
          <w:highlight w:val="none"/>
          <w:shd w:val="clear" w:color="auto" w:fill="FFFFFF"/>
          <w:lang w:val="en-US" w:eastAsia="zh-CN"/>
        </w:rPr>
        <w:t>3</w:t>
      </w:r>
      <w:r>
        <w:rPr>
          <w:rFonts w:hint="default" w:cs="Times New Roman"/>
          <w:color w:val="000000"/>
          <w:kern w:val="0"/>
          <w:szCs w:val="32"/>
          <w:highlight w:val="none"/>
          <w:shd w:val="clear" w:color="auto" w:fill="FFFFFF"/>
          <w:lang w:val="zh-CN" w:eastAsia="zh-CN"/>
        </w:rPr>
        <w:t>个，涉及预算总金额</w:t>
      </w:r>
      <w:r>
        <w:rPr>
          <w:rFonts w:hint="eastAsia" w:ascii="仿宋_GB2312" w:hAnsi="仿宋" w:eastAsia="仿宋_GB2312"/>
          <w:color w:val="000000"/>
          <w:sz w:val="32"/>
          <w:szCs w:val="32"/>
          <w:lang w:val="en-US" w:eastAsia="zh-CN"/>
        </w:rPr>
        <w:t>156.96</w:t>
      </w:r>
      <w:r>
        <w:rPr>
          <w:rFonts w:hint="default" w:cs="Times New Roman"/>
          <w:color w:val="000000"/>
          <w:kern w:val="0"/>
          <w:szCs w:val="32"/>
          <w:highlight w:val="none"/>
          <w:shd w:val="clear" w:color="auto" w:fill="FFFFFF"/>
          <w:lang w:val="zh-CN" w:eastAsia="zh-CN"/>
        </w:rPr>
        <w:t>万元，</w:t>
      </w:r>
      <w:r>
        <w:rPr>
          <w:rFonts w:hint="default" w:cs="Times New Roman"/>
          <w:color w:val="000000"/>
          <w:kern w:val="0"/>
          <w:szCs w:val="32"/>
          <w:highlight w:val="none"/>
          <w:shd w:val="clear" w:color="auto" w:fill="FFFFFF"/>
          <w:lang w:val="zh-CN"/>
        </w:rPr>
        <w:t>1</w:t>
      </w:r>
      <w:r>
        <w:rPr>
          <w:rFonts w:hint="eastAsia" w:cs="Times New Roman"/>
          <w:color w:val="000000"/>
          <w:kern w:val="0"/>
          <w:szCs w:val="32"/>
          <w:highlight w:val="none"/>
          <w:shd w:val="clear" w:color="auto" w:fill="FFFFFF"/>
          <w:lang w:val="zh-CN" w:eastAsia="zh-CN"/>
        </w:rPr>
        <w:t>—</w:t>
      </w:r>
      <w:r>
        <w:rPr>
          <w:rFonts w:hint="default" w:cs="Times New Roman"/>
          <w:color w:val="000000"/>
          <w:kern w:val="0"/>
          <w:szCs w:val="32"/>
          <w:highlight w:val="none"/>
          <w:shd w:val="clear" w:color="auto" w:fill="FFFFFF"/>
          <w:lang w:val="zh-CN"/>
        </w:rPr>
        <w:t>1</w:t>
      </w:r>
      <w:r>
        <w:rPr>
          <w:rFonts w:hint="default" w:cs="Times New Roman"/>
          <w:color w:val="000000"/>
          <w:kern w:val="0"/>
          <w:szCs w:val="32"/>
          <w:highlight w:val="none"/>
          <w:shd w:val="clear" w:color="auto" w:fill="FFFFFF"/>
          <w:lang w:val="en-US" w:eastAsia="zh-CN"/>
        </w:rPr>
        <w:t>2</w:t>
      </w:r>
      <w:r>
        <w:rPr>
          <w:rFonts w:hint="default" w:cs="Times New Roman"/>
          <w:color w:val="000000"/>
          <w:kern w:val="0"/>
          <w:szCs w:val="32"/>
          <w:highlight w:val="none"/>
          <w:shd w:val="clear" w:color="auto" w:fill="FFFFFF"/>
          <w:lang w:val="zh-CN"/>
        </w:rPr>
        <w:t>月预算执行总体进度为</w:t>
      </w:r>
      <w:r>
        <w:rPr>
          <w:rFonts w:hint="eastAsia" w:cs="Times New Roman"/>
          <w:color w:val="000000"/>
          <w:kern w:val="0"/>
          <w:szCs w:val="32"/>
          <w:highlight w:val="none"/>
          <w:shd w:val="clear" w:color="auto" w:fill="FFFFFF"/>
          <w:lang w:val="en-US" w:eastAsia="zh-CN"/>
        </w:rPr>
        <w:t>100</w:t>
      </w:r>
      <w:r>
        <w:rPr>
          <w:rFonts w:hint="default" w:cs="Times New Roman"/>
          <w:color w:val="000000"/>
          <w:kern w:val="0"/>
          <w:szCs w:val="32"/>
          <w:highlight w:val="none"/>
          <w:shd w:val="clear" w:color="auto" w:fill="FFFFFF"/>
          <w:lang w:val="en-US" w:eastAsia="zh-CN"/>
        </w:rPr>
        <w:t xml:space="preserve"> </w:t>
      </w:r>
      <w:r>
        <w:rPr>
          <w:rFonts w:hint="default" w:cs="Times New Roman"/>
          <w:color w:val="000000"/>
          <w:kern w:val="0"/>
          <w:szCs w:val="32"/>
          <w:highlight w:val="none"/>
          <w:shd w:val="clear" w:color="auto" w:fill="FFFFFF"/>
          <w:lang w:val="zh-CN"/>
        </w:rPr>
        <w:t>%，其中：</w:t>
      </w:r>
      <w:r>
        <w:rPr>
          <w:rFonts w:hint="default" w:cs="Times New Roman"/>
          <w:color w:val="000000"/>
          <w:kern w:val="0"/>
          <w:szCs w:val="32"/>
          <w:highlight w:val="none"/>
          <w:shd w:val="clear" w:color="auto" w:fill="FFFFFF"/>
          <w:lang w:val="zh-CN" w:eastAsia="zh-CN"/>
        </w:rPr>
        <w:t>预算结余率大于</w:t>
      </w:r>
      <w:r>
        <w:rPr>
          <w:rFonts w:hint="default" w:cs="Times New Roman"/>
          <w:color w:val="000000"/>
          <w:kern w:val="0"/>
          <w:szCs w:val="32"/>
          <w:highlight w:val="none"/>
          <w:shd w:val="clear" w:color="auto" w:fill="FFFFFF"/>
          <w:lang w:val="en-US" w:eastAsia="zh-CN"/>
        </w:rPr>
        <w:t>10%</w:t>
      </w:r>
      <w:r>
        <w:rPr>
          <w:rFonts w:hint="default" w:cs="Times New Roman"/>
          <w:color w:val="000000"/>
          <w:kern w:val="0"/>
          <w:szCs w:val="32"/>
          <w:highlight w:val="none"/>
          <w:shd w:val="clear" w:color="auto" w:fill="FFFFFF"/>
          <w:lang w:val="zh-CN" w:eastAsia="zh-CN"/>
        </w:rPr>
        <w:t>的项目共计</w:t>
      </w:r>
      <w:r>
        <w:rPr>
          <w:rFonts w:hint="default" w:cs="Times New Roman"/>
          <w:color w:val="000000"/>
          <w:kern w:val="0"/>
          <w:szCs w:val="32"/>
          <w:highlight w:val="none"/>
          <w:shd w:val="clear" w:color="auto" w:fill="FFFFFF"/>
          <w:lang w:val="en-US" w:eastAsia="zh-CN"/>
        </w:rPr>
        <w:t xml:space="preserve"> </w:t>
      </w:r>
      <w:r>
        <w:rPr>
          <w:rFonts w:hint="eastAsia" w:cs="Times New Roman"/>
          <w:color w:val="000000"/>
          <w:kern w:val="0"/>
          <w:szCs w:val="32"/>
          <w:highlight w:val="none"/>
          <w:shd w:val="clear" w:color="auto" w:fill="FFFFFF"/>
          <w:lang w:val="en-US" w:eastAsia="zh-CN"/>
        </w:rPr>
        <w:t>0</w:t>
      </w:r>
      <w:r>
        <w:rPr>
          <w:rFonts w:hint="default" w:cs="Times New Roman"/>
          <w:color w:val="000000"/>
          <w:kern w:val="0"/>
          <w:szCs w:val="32"/>
          <w:highlight w:val="none"/>
          <w:shd w:val="clear" w:color="auto" w:fill="FFFFFF"/>
          <w:lang w:val="en-US" w:eastAsia="zh-CN"/>
        </w:rPr>
        <w:t xml:space="preserve"> </w:t>
      </w:r>
      <w:r>
        <w:rPr>
          <w:rFonts w:hint="default" w:cs="Times New Roman"/>
          <w:color w:val="000000"/>
          <w:kern w:val="0"/>
          <w:szCs w:val="32"/>
          <w:highlight w:val="none"/>
          <w:shd w:val="clear" w:color="auto" w:fill="FFFFFF"/>
          <w:lang w:val="zh-CN" w:eastAsia="zh-CN"/>
        </w:rPr>
        <w:t>个。</w:t>
      </w:r>
    </w:p>
    <w:p w14:paraId="6410957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1.</w:t>
      </w:r>
      <w:r>
        <w:rPr>
          <w:rFonts w:hint="eastAsia" w:ascii="楷体_GB2312" w:hAnsi="楷体_GB2312" w:eastAsia="楷体_GB2312" w:cs="楷体_GB2312"/>
          <w:color w:val="000000"/>
          <w:kern w:val="0"/>
          <w:szCs w:val="32"/>
          <w:highlight w:val="none"/>
          <w:shd w:val="clear" w:color="auto" w:fill="FFFFFF"/>
          <w:lang w:val="zh-CN"/>
        </w:rPr>
        <w:t>项目决策。</w:t>
      </w:r>
    </w:p>
    <w:p w14:paraId="47C3B87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cs="Times New Roman"/>
          <w:color w:val="000000"/>
          <w:kern w:val="0"/>
          <w:szCs w:val="32"/>
          <w:highlight w:val="none"/>
          <w:shd w:val="clear" w:color="auto" w:fill="FFFFFF"/>
          <w:lang w:val="zh-CN" w:eastAsia="zh-CN"/>
        </w:rPr>
      </w:pPr>
      <w:r>
        <w:rPr>
          <w:rFonts w:hint="eastAsia" w:cs="Times New Roman"/>
          <w:color w:val="000000"/>
          <w:kern w:val="0"/>
          <w:szCs w:val="32"/>
          <w:highlight w:val="none"/>
          <w:shd w:val="clear" w:color="auto" w:fill="FFFFFF"/>
          <w:lang w:val="en-US" w:eastAsia="zh-CN"/>
        </w:rPr>
        <w:t>本单位</w:t>
      </w:r>
      <w:r>
        <w:rPr>
          <w:rFonts w:hint="eastAsia" w:cs="Times New Roman"/>
          <w:color w:val="000000"/>
          <w:kern w:val="0"/>
          <w:szCs w:val="32"/>
          <w:highlight w:val="none"/>
          <w:shd w:val="clear" w:color="auto" w:fill="FFFFFF"/>
          <w:lang w:val="zh-CN" w:eastAsia="zh-CN"/>
        </w:rPr>
        <w:t>预算项目设立</w:t>
      </w:r>
      <w:r>
        <w:rPr>
          <w:rFonts w:hint="eastAsia" w:cs="Times New Roman"/>
          <w:color w:val="000000"/>
          <w:kern w:val="0"/>
          <w:szCs w:val="32"/>
          <w:highlight w:val="none"/>
          <w:shd w:val="clear" w:color="auto" w:fill="FFFFFF"/>
          <w:lang w:val="en-US" w:eastAsia="zh-CN"/>
        </w:rPr>
        <w:t>都</w:t>
      </w:r>
      <w:r>
        <w:rPr>
          <w:rFonts w:hint="eastAsia" w:cs="Times New Roman"/>
          <w:color w:val="000000"/>
          <w:kern w:val="0"/>
          <w:szCs w:val="32"/>
          <w:highlight w:val="none"/>
          <w:shd w:val="clear" w:color="auto" w:fill="FFFFFF"/>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cs="Times New Roman"/>
          <w:color w:val="000000"/>
          <w:kern w:val="0"/>
          <w:szCs w:val="32"/>
          <w:highlight w:val="none"/>
          <w:shd w:val="clear" w:color="auto" w:fill="FFFFFF"/>
          <w:lang w:val="en-US" w:eastAsia="zh-CN"/>
        </w:rPr>
        <w:t>内</w:t>
      </w:r>
      <w:r>
        <w:rPr>
          <w:rFonts w:hint="eastAsia" w:cs="Times New Roman"/>
          <w:color w:val="000000"/>
          <w:kern w:val="0"/>
          <w:szCs w:val="32"/>
          <w:highlight w:val="none"/>
          <w:shd w:val="clear" w:color="auto" w:fill="FFFFFF"/>
          <w:lang w:val="zh-CN" w:eastAsia="zh-CN"/>
        </w:rPr>
        <w:t>完成项目入库，</w:t>
      </w:r>
      <w:r>
        <w:rPr>
          <w:rFonts w:hint="eastAsia" w:ascii="仿宋" w:hAnsi="仿宋" w:eastAsia="仿宋" w:cs="仿宋_GB2312"/>
          <w:color w:val="000000"/>
          <w:sz w:val="32"/>
          <w:szCs w:val="32"/>
        </w:rPr>
        <w:t>明确绩效目标，控制支行成本，提高项目发挥作用。</w:t>
      </w:r>
    </w:p>
    <w:p w14:paraId="00B9746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2.项目执行</w:t>
      </w:r>
      <w:r>
        <w:rPr>
          <w:rFonts w:hint="eastAsia" w:ascii="楷体_GB2312" w:hAnsi="楷体_GB2312" w:eastAsia="楷体_GB2312" w:cs="楷体_GB2312"/>
          <w:color w:val="000000"/>
          <w:kern w:val="0"/>
          <w:szCs w:val="32"/>
          <w:highlight w:val="none"/>
          <w:shd w:val="clear" w:color="auto" w:fill="FFFFFF"/>
          <w:lang w:val="zh-CN"/>
        </w:rPr>
        <w:t>。</w:t>
      </w:r>
    </w:p>
    <w:p w14:paraId="12CA023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Times New Roman" w:hAnsi="Times New Roman" w:cs="Times New Roman"/>
          <w:color w:val="000000"/>
          <w:kern w:val="0"/>
          <w:szCs w:val="32"/>
          <w:highlight w:val="none"/>
          <w:shd w:val="clear" w:color="auto" w:fill="FFFFFF"/>
          <w:lang w:val="zh-CN"/>
        </w:rPr>
        <w:t>预算项目实际列支内容与绩效目标设置方向相符</w:t>
      </w:r>
      <w:r>
        <w:rPr>
          <w:rFonts w:hint="eastAsia" w:cs="Times New Roman"/>
          <w:color w:val="000000"/>
          <w:kern w:val="0"/>
          <w:szCs w:val="32"/>
          <w:highlight w:val="none"/>
          <w:shd w:val="clear" w:color="auto" w:fill="FFFFFF"/>
          <w:lang w:val="zh-CN"/>
        </w:rPr>
        <w:t>、预算项目采取对应调整措施，</w:t>
      </w:r>
      <w:r>
        <w:rPr>
          <w:rFonts w:hint="eastAsia" w:cs="Times New Roman"/>
          <w:color w:val="000000"/>
          <w:kern w:val="0"/>
          <w:szCs w:val="32"/>
          <w:highlight w:val="none"/>
          <w:shd w:val="clear" w:color="auto" w:fill="FFFFFF"/>
          <w:lang w:val="en-US" w:eastAsia="zh-CN"/>
        </w:rPr>
        <w:t>按程序调整</w:t>
      </w:r>
      <w:r>
        <w:rPr>
          <w:rFonts w:hint="eastAsia" w:cs="Times New Roman"/>
          <w:color w:val="000000"/>
          <w:kern w:val="0"/>
          <w:szCs w:val="32"/>
          <w:highlight w:val="none"/>
          <w:shd w:val="clear" w:color="auto" w:fill="FFFFFF"/>
          <w:lang w:val="zh-CN"/>
        </w:rPr>
        <w:t>、预算项目</w:t>
      </w:r>
      <w:r>
        <w:rPr>
          <w:rFonts w:hint="eastAsia" w:cs="Times New Roman"/>
          <w:color w:val="000000"/>
          <w:kern w:val="0"/>
          <w:szCs w:val="32"/>
          <w:highlight w:val="none"/>
          <w:shd w:val="clear" w:color="auto" w:fill="FFFFFF"/>
          <w:lang w:val="en-US" w:eastAsia="zh-CN"/>
        </w:rPr>
        <w:t>按照文件时间节点有序推进，按时完成并</w:t>
      </w:r>
      <w:r>
        <w:rPr>
          <w:rFonts w:hint="eastAsia" w:ascii="仿宋" w:hAnsi="仿宋" w:eastAsia="仿宋" w:cs="仿宋_GB2312"/>
          <w:color w:val="000000"/>
          <w:sz w:val="32"/>
          <w:szCs w:val="32"/>
          <w:lang w:val="zh-CN"/>
        </w:rPr>
        <w:t>根据财政局统一要求编制了我办整体绩效目标报告及项目整体绩效目标表，并报县财政局。</w:t>
      </w:r>
    </w:p>
    <w:p w14:paraId="1157830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楷体_GB2312" w:hAnsi="楷体_GB2312" w:eastAsia="楷体_GB2312" w:cs="楷体_GB2312"/>
          <w:color w:val="000000"/>
          <w:kern w:val="0"/>
          <w:szCs w:val="32"/>
          <w:highlight w:val="none"/>
          <w:shd w:val="clear" w:color="auto" w:fill="FFFFFF"/>
          <w:lang w:val="en-US" w:eastAsia="zh-CN"/>
        </w:rPr>
        <w:t>3.</w:t>
      </w:r>
      <w:r>
        <w:rPr>
          <w:rFonts w:hint="eastAsia" w:ascii="楷体_GB2312" w:hAnsi="楷体_GB2312" w:eastAsia="楷体_GB2312" w:cs="楷体_GB2312"/>
          <w:color w:val="000000"/>
          <w:kern w:val="0"/>
          <w:szCs w:val="32"/>
          <w:highlight w:val="none"/>
          <w:shd w:val="clear" w:color="auto" w:fill="FFFFFF"/>
          <w:lang w:val="zh-CN"/>
        </w:rPr>
        <w:t>目标实现。</w:t>
      </w:r>
    </w:p>
    <w:p w14:paraId="69305F6F">
      <w:pPr>
        <w:keepNext w:val="0"/>
        <w:keepLines w:val="0"/>
        <w:pageBreakBefore w:val="0"/>
        <w:bidi w:val="0"/>
        <w:spacing w:line="560" w:lineRule="exact"/>
        <w:ind w:firstLine="640" w:firstLineChars="200"/>
        <w:textAlignment w:val="auto"/>
        <w:rPr>
          <w:rFonts w:hint="eastAsia" w:ascii="楷体_GB2312" w:hAnsi="楷体_GB2312" w:eastAsia="楷体_GB2312" w:cs="楷体_GB2312"/>
          <w:color w:val="000000"/>
          <w:kern w:val="0"/>
          <w:szCs w:val="32"/>
          <w:highlight w:val="none"/>
          <w:shd w:val="clear" w:color="auto" w:fill="FFFFFF"/>
          <w:lang w:val="zh-CN" w:eastAsia="zh-CN"/>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4E3B0CF1">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Cs w:val="32"/>
          <w:highlight w:val="none"/>
          <w:shd w:val="clear" w:color="auto" w:fill="FFFFFF"/>
          <w:lang w:val="zh-CN"/>
        </w:rPr>
        <w:t>绩效分析</w:t>
      </w:r>
      <w:r>
        <w:rPr>
          <w:rFonts w:hint="default" w:ascii="Times New Roman" w:hAnsi="Times New Roman" w:eastAsia="楷体_GB2312" w:cs="Times New Roman"/>
          <w:b/>
          <w:bCs/>
          <w:color w:val="000000"/>
          <w:kern w:val="0"/>
          <w:szCs w:val="32"/>
          <w:highlight w:val="none"/>
          <w:shd w:val="clear" w:color="auto" w:fill="FFFFFF"/>
          <w:lang w:val="zh-CN" w:eastAsia="zh-CN"/>
        </w:rPr>
        <w:t>。</w:t>
      </w:r>
    </w:p>
    <w:p w14:paraId="32C98D2D">
      <w:pPr>
        <w:keepNext w:val="0"/>
        <w:keepLines w:val="0"/>
        <w:pageBreakBefore w:val="0"/>
        <w:bidi w:val="0"/>
        <w:spacing w:line="560" w:lineRule="exact"/>
        <w:ind w:firstLine="640" w:firstLineChars="200"/>
        <w:textAlignment w:val="auto"/>
        <w:rPr>
          <w:rFonts w:hint="default" w:ascii="Times New Roman" w:hAnsi="Times New Roman" w:cs="Times New Roman"/>
          <w:color w:val="000000"/>
          <w:kern w:val="0"/>
          <w:szCs w:val="32"/>
          <w:highlight w:val="none"/>
          <w:shd w:val="clear" w:color="auto" w:fill="FFFFFF"/>
          <w:lang w:val="en-US" w:eastAsia="zh-CN"/>
        </w:rPr>
      </w:pP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6F0E0E4A">
      <w:pPr>
        <w:keepNext w:val="0"/>
        <w:keepLines w:val="0"/>
        <w:pageBreakBefore w:val="0"/>
        <w:widowControl w:val="0"/>
        <w:numPr>
          <w:ilvl w:val="0"/>
          <w:numId w:val="3"/>
        </w:numPr>
        <w:kinsoku/>
        <w:wordWrap/>
        <w:overflowPunct/>
        <w:topLinePunct w:val="0"/>
        <w:autoSpaceDE/>
        <w:autoSpaceDN/>
        <w:bidi w:val="0"/>
        <w:snapToGrid w:val="0"/>
        <w:spacing w:line="560" w:lineRule="exact"/>
        <w:ind w:left="0" w:leftChars="0" w:firstLine="643" w:firstLineChars="200"/>
        <w:textAlignment w:val="auto"/>
        <w:rPr>
          <w:rFonts w:hint="eastAsia" w:ascii="Times New Roman" w:hAnsi="Times New Roman" w:eastAsia="楷体_GB2312" w:cs="Times New Roman"/>
          <w:b/>
          <w:bCs/>
          <w:szCs w:val="32"/>
          <w:lang w:val="zh-CN"/>
        </w:rPr>
      </w:pPr>
      <w:r>
        <w:rPr>
          <w:rFonts w:hint="default" w:ascii="Times New Roman" w:hAnsi="Times New Roman" w:eastAsia="楷体_GB2312" w:cs="Times New Roman"/>
          <w:b/>
          <w:bCs/>
          <w:szCs w:val="32"/>
          <w:lang w:val="zh-CN"/>
        </w:rPr>
        <w:t>绩效结果应用情况</w:t>
      </w:r>
      <w:r>
        <w:rPr>
          <w:rFonts w:hint="eastAsia" w:ascii="Times New Roman" w:hAnsi="Times New Roman" w:eastAsia="楷体_GB2312" w:cs="Times New Roman"/>
          <w:b/>
          <w:bCs/>
          <w:szCs w:val="32"/>
          <w:lang w:val="zh-CN"/>
        </w:rPr>
        <w:t>。</w:t>
      </w:r>
    </w:p>
    <w:p w14:paraId="43ACC622">
      <w:pPr>
        <w:keepNext w:val="0"/>
        <w:keepLines w:val="0"/>
        <w:pageBreakBefore w:val="0"/>
        <w:bidi w:val="0"/>
        <w:spacing w:line="560" w:lineRule="exact"/>
        <w:ind w:firstLine="640" w:firstLineChars="200"/>
        <w:textAlignment w:val="auto"/>
        <w:rPr>
          <w:rFonts w:hint="default" w:ascii="Times New Roman" w:hAnsi="Times New Roman" w:cs="Times New Roman"/>
          <w:color w:val="000000"/>
          <w:kern w:val="0"/>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1B8628F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Cs w:val="32"/>
          <w:highlight w:val="none"/>
          <w:shd w:val="clear" w:color="auto" w:fill="FFFFFF"/>
          <w:lang w:eastAsia="zh-CN"/>
        </w:rPr>
        <w:t>四、</w:t>
      </w:r>
      <w:r>
        <w:rPr>
          <w:rFonts w:hint="default" w:ascii="Times New Roman" w:hAnsi="Times New Roman" w:eastAsia="黑体" w:cs="Times New Roman"/>
          <w:color w:val="000000"/>
          <w:kern w:val="0"/>
          <w:szCs w:val="32"/>
          <w:highlight w:val="none"/>
          <w:shd w:val="clear" w:color="auto" w:fill="FFFFFF"/>
        </w:rPr>
        <w:t>评价结论及建议</w:t>
      </w:r>
    </w:p>
    <w:p w14:paraId="31873C2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（一）评价结论。</w:t>
      </w:r>
    </w:p>
    <w:p w14:paraId="12A8E831">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kern w:val="0"/>
          <w:sz w:val="32"/>
          <w:szCs w:val="32"/>
          <w:shd w:val="clear" w:color="auto" w:fill="FFFFFF"/>
          <w:lang w:val="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对</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年度整体支出情况开展自评，得分</w:t>
      </w:r>
      <w:r>
        <w:rPr>
          <w:rFonts w:hint="eastAsia" w:cs="Times New Roman"/>
          <w:bCs/>
          <w:kern w:val="0"/>
          <w:sz w:val="32"/>
          <w:szCs w:val="32"/>
          <w:shd w:val="clear" w:color="auto" w:fill="FFFFFF"/>
          <w:lang w:val="en-US" w:eastAsia="zh-CN"/>
        </w:rPr>
        <w:t>93</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，整体绩效管理合理合规；一般公共预算项目支出完成预算的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年度整体支出绩效评价优好，无违纪违规问题，预算编制、预算执行、完成结果等均达到既定目标管理。</w:t>
      </w:r>
    </w:p>
    <w:p w14:paraId="46F0EAC8">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Cs w:val="32"/>
          <w:highlight w:val="none"/>
          <w:shd w:val="clear" w:color="auto" w:fill="FFFFFF"/>
          <w:lang w:val="zh-CN"/>
        </w:rPr>
        <w:t>存在问题。</w:t>
      </w:r>
    </w:p>
    <w:p w14:paraId="6332AB0A">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个别人员经费和公用经费测算标准及套用公式不够科学精准，部分经济科目在预算执行中存在较早亮红灯</w:t>
      </w:r>
      <w:r>
        <w:rPr>
          <w:rFonts w:hint="eastAsia" w:ascii="Times New Roman" w:hAnsi="Times New Roman" w:eastAsia="仿宋_GB2312" w:cs="Times New Roman"/>
          <w:bCs/>
          <w:kern w:val="0"/>
          <w:sz w:val="32"/>
          <w:szCs w:val="32"/>
          <w:shd w:val="clear" w:color="auto" w:fill="FFFFFF"/>
          <w:lang w:val="zh-CN" w:eastAsia="zh-CN"/>
        </w:rPr>
        <w:t>，预算经费支出进度较快</w:t>
      </w:r>
      <w:r>
        <w:rPr>
          <w:rFonts w:ascii="Times New Roman" w:hAnsi="Times New Roman" w:eastAsia="仿宋_GB2312" w:cs="Times New Roman"/>
          <w:bCs/>
          <w:kern w:val="0"/>
          <w:sz w:val="32"/>
          <w:szCs w:val="32"/>
          <w:shd w:val="clear" w:color="auto" w:fill="FFFFFF"/>
          <w:lang w:val="zh-CN" w:eastAsia="zh-CN"/>
        </w:rPr>
        <w:t>。</w:t>
      </w:r>
    </w:p>
    <w:p w14:paraId="64A6EE90">
      <w:pPr>
        <w:keepNext w:val="0"/>
        <w:keepLines w:val="0"/>
        <w:pageBreakBefore w:val="0"/>
        <w:widowControl/>
        <w:numPr>
          <w:ilvl w:val="0"/>
          <w:numId w:val="4"/>
        </w:numPr>
        <w:kinsoku/>
        <w:wordWrap/>
        <w:overflowPunct/>
        <w:topLinePunct w:val="0"/>
        <w:bidi w:val="0"/>
        <w:adjustRightInd w:val="0"/>
        <w:snapToGrid w:val="0"/>
        <w:spacing w:line="560" w:lineRule="exact"/>
        <w:ind w:left="0" w:leftChars="0" w:firstLine="643" w:firstLineChars="200"/>
        <w:contextualSpacing/>
        <w:jc w:val="left"/>
        <w:textAlignment w:val="auto"/>
        <w:rPr>
          <w:rFonts w:hint="default" w:ascii="Times New Roman" w:hAnsi="Times New Roman" w:eastAsia="楷体_GB2312" w:cs="Times New Roman"/>
          <w:b/>
          <w:bCs/>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Cs w:val="32"/>
          <w:highlight w:val="none"/>
          <w:shd w:val="clear" w:color="auto" w:fill="FFFFFF"/>
          <w:lang w:val="zh-CN" w:eastAsia="zh-CN"/>
        </w:rPr>
        <w:t>改进建议。</w:t>
      </w:r>
      <w:bookmarkStart w:id="77" w:name="_Hlk110546638"/>
    </w:p>
    <w:p w14:paraId="14A6173B">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将积极对接财政部门作出技术调整，优化预算测算标准，科学审批年度预算汇编，使资金真正能够因地制宜，发挥实效。进一步做好预算编制前提调研准备工作，根据实际需要积极评估测算，尽量</w:t>
      </w:r>
      <w:r>
        <w:rPr>
          <w:rFonts w:hint="eastAsia" w:cs="Times New Roman"/>
          <w:bCs/>
          <w:kern w:val="0"/>
          <w:sz w:val="32"/>
          <w:szCs w:val="32"/>
          <w:shd w:val="clear" w:color="auto" w:fill="FFFFFF"/>
          <w:lang w:val="zh-CN" w:eastAsia="zh-CN"/>
        </w:rPr>
        <w:t>增加</w:t>
      </w:r>
      <w:r>
        <w:rPr>
          <w:rFonts w:ascii="Times New Roman" w:hAnsi="Times New Roman" w:eastAsia="仿宋_GB2312" w:cs="Times New Roman"/>
          <w:bCs/>
          <w:kern w:val="0"/>
          <w:sz w:val="32"/>
          <w:szCs w:val="32"/>
          <w:shd w:val="clear" w:color="auto" w:fill="FFFFFF"/>
          <w:lang w:val="zh-CN" w:eastAsia="zh-CN"/>
        </w:rPr>
        <w:t>减轻资金闲置或低使用率现象，启用预算执行绩效监控机制，及时提示项目管理部门按照绩效目标开展实施。</w:t>
      </w:r>
    </w:p>
    <w:p w14:paraId="07BD47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p>
    <w:p w14:paraId="7531B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Times New Roman"/>
          <w:color w:val="000000"/>
          <w:kern w:val="0"/>
          <w:szCs w:val="32"/>
          <w:highlight w:val="none"/>
          <w:shd w:val="clear" w:color="auto" w:fill="FFFFFF"/>
          <w:lang w:val="en-US" w:eastAsia="zh-CN"/>
        </w:rPr>
      </w:pPr>
      <w:r>
        <w:rPr>
          <w:rFonts w:hint="eastAsia" w:ascii="Times New Roman" w:hAnsi="Times New Roman" w:cs="Times New Roman"/>
          <w:color w:val="000000"/>
          <w:kern w:val="0"/>
          <w:szCs w:val="32"/>
          <w:highlight w:val="none"/>
          <w:shd w:val="clear" w:color="auto" w:fill="FFFFFF"/>
          <w:lang w:val="en-US" w:eastAsia="zh-CN"/>
        </w:rPr>
        <w:t>附表：</w:t>
      </w:r>
      <w:r>
        <w:rPr>
          <w:rFonts w:hint="eastAsia" w:cs="Times New Roman"/>
          <w:color w:val="000000"/>
          <w:kern w:val="0"/>
          <w:szCs w:val="32"/>
          <w:highlight w:val="none"/>
          <w:shd w:val="clear" w:color="auto" w:fill="FFFFFF"/>
          <w:lang w:val="en-US" w:eastAsia="zh-CN"/>
        </w:rPr>
        <w:t>1.部门预算绩效自评打分表</w:t>
      </w:r>
    </w:p>
    <w:p w14:paraId="62DFDE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000000"/>
          <w:kern w:val="0"/>
          <w:szCs w:val="32"/>
          <w:highlight w:val="none"/>
          <w:shd w:val="clear" w:color="auto" w:fill="FFFFFF"/>
          <w:lang w:val="en-US" w:eastAsia="zh-CN"/>
        </w:rPr>
      </w:pPr>
      <w:r>
        <w:rPr>
          <w:rFonts w:hint="eastAsia" w:ascii="仿宋" w:hAnsi="仿宋" w:eastAsia="仿宋" w:cs="仿宋"/>
          <w:color w:val="000000"/>
          <w:kern w:val="0"/>
          <w:szCs w:val="32"/>
          <w:highlight w:val="none"/>
          <w:shd w:val="clear" w:color="auto" w:fill="FFFFFF"/>
          <w:lang w:val="en-US" w:eastAsia="zh-CN"/>
        </w:rPr>
        <w:t>2.部门整体绩效目标完成情况自评表</w:t>
      </w:r>
    </w:p>
    <w:p w14:paraId="1B7F1AA6">
      <w:pPr>
        <w:pStyle w:val="42"/>
        <w:numPr>
          <w:ilvl w:val="0"/>
          <w:numId w:val="0"/>
        </w:numPr>
        <w:ind w:leftChars="0" w:firstLine="1600" w:firstLineChars="500"/>
        <w:rPr>
          <w:rFonts w:hint="eastAsia"/>
          <w:lang w:val="en-US" w:eastAsia="zh-CN"/>
        </w:rPr>
      </w:pPr>
      <w:r>
        <w:rPr>
          <w:rFonts w:hint="eastAsia"/>
          <w:lang w:val="en-US" w:eastAsia="zh-CN"/>
        </w:rPr>
        <w:t>3.部门预算项目支出绩效评价表（2024年度）</w:t>
      </w:r>
    </w:p>
    <w:p w14:paraId="5D28BD58">
      <w:pPr>
        <w:rPr>
          <w:rFonts w:hint="default"/>
          <w:lang w:val="en-US" w:eastAsia="zh-CN"/>
        </w:rPr>
      </w:pPr>
    </w:p>
    <w:p w14:paraId="61B6872A">
      <w:pPr>
        <w:pStyle w:val="42"/>
        <w:keepNext w:val="0"/>
        <w:keepLines w:val="0"/>
        <w:pageBreakBefore w:val="0"/>
        <w:bidi w:val="0"/>
        <w:spacing w:line="560" w:lineRule="exact"/>
        <w:ind w:left="1280" w:leftChars="400" w:firstLine="3520" w:firstLineChars="1100"/>
        <w:jc w:val="right"/>
        <w:textAlignment w:val="auto"/>
        <w:rPr>
          <w:rFonts w:hint="eastAsia" w:ascii="仿宋_GB2312" w:hAnsi="仿宋_GB2312" w:cs="仿宋_GB2312"/>
          <w:b w:val="0"/>
          <w:bCs w:val="0"/>
          <w:kern w:val="0"/>
          <w:position w:val="0"/>
          <w:sz w:val="32"/>
          <w:szCs w:val="32"/>
          <w:highlight w:val="none"/>
          <w:lang w:val="en-US" w:eastAsia="zh-CN" w:bidi="ar-SA"/>
        </w:rPr>
      </w:pPr>
      <w:r>
        <w:rPr>
          <w:rFonts w:hint="eastAsia" w:ascii="仿宋_GB2312" w:hAnsi="仿宋_GB2312" w:cs="仿宋_GB2312"/>
          <w:b w:val="0"/>
          <w:bCs w:val="0"/>
          <w:kern w:val="0"/>
          <w:position w:val="0"/>
          <w:sz w:val="32"/>
          <w:szCs w:val="32"/>
          <w:highlight w:val="none"/>
          <w:lang w:val="en-US" w:eastAsia="zh-CN" w:bidi="ar-SA"/>
        </w:rPr>
        <w:t>金川县集沐乡人民政府</w:t>
      </w:r>
    </w:p>
    <w:p w14:paraId="70A35986">
      <w:pPr>
        <w:keepNext w:val="0"/>
        <w:keepLines w:val="0"/>
        <w:pageBreakBefore w:val="0"/>
        <w:bidi w:val="0"/>
        <w:spacing w:line="560" w:lineRule="exact"/>
        <w:ind w:firstLine="5120" w:firstLineChars="1600"/>
        <w:jc w:val="right"/>
        <w:textAlignment w:val="auto"/>
        <w:rPr>
          <w:rFonts w:hint="default"/>
          <w:lang w:val="en-US" w:eastAsia="zh-CN"/>
        </w:rPr>
      </w:pPr>
      <w:r>
        <w:rPr>
          <w:rFonts w:hint="eastAsia" w:ascii="仿宋_GB2312" w:hAnsi="仿宋_GB2312" w:cs="仿宋_GB2312"/>
          <w:b w:val="0"/>
          <w:bCs w:val="0"/>
          <w:kern w:val="0"/>
          <w:position w:val="0"/>
          <w:sz w:val="32"/>
          <w:szCs w:val="32"/>
          <w:highlight w:val="none"/>
          <w:lang w:val="en-US" w:eastAsia="zh-CN" w:bidi="ar-SA"/>
        </w:rPr>
        <w:t>2024年4月30日</w:t>
      </w:r>
    </w:p>
    <w:bookmarkEnd w:id="77"/>
    <w:p w14:paraId="328D791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_GB2312" w:eastAsia="仿宋_GB2312" w:cs="仿宋_GB2312"/>
          <w:b w:val="0"/>
          <w:bCs w:val="0"/>
          <w:kern w:val="0"/>
          <w:position w:val="0"/>
          <w:sz w:val="32"/>
          <w:szCs w:val="32"/>
          <w:highlight w:val="none"/>
          <w:lang w:val="zh-CN" w:eastAsia="zh-CN" w:bidi="ar-SA"/>
        </w:rPr>
      </w:pPr>
    </w:p>
    <w:p w14:paraId="6C5D6F89">
      <w:pPr>
        <w:pStyle w:val="42"/>
        <w:ind w:left="0" w:leftChars="0" w:firstLine="0" w:firstLineChars="0"/>
        <w:rPr>
          <w:rFonts w:hint="default"/>
          <w:lang w:val="en-US" w:eastAsia="zh-CN"/>
        </w:rPr>
      </w:pPr>
    </w:p>
    <w:p w14:paraId="115E7DB8">
      <w:pPr>
        <w:rPr>
          <w:rFonts w:hint="default"/>
          <w:lang w:val="en-US" w:eastAsia="zh-CN"/>
        </w:rPr>
      </w:pPr>
    </w:p>
    <w:p w14:paraId="4290A6C3">
      <w:pPr>
        <w:pStyle w:val="42"/>
        <w:ind w:left="0" w:leftChars="0" w:firstLine="0" w:firstLineChars="0"/>
        <w:rPr>
          <w:rFonts w:hint="default" w:ascii="黑体" w:hAnsi="宋体" w:eastAsia="黑体" w:cs="黑体"/>
          <w:i w:val="0"/>
          <w:iCs w:val="0"/>
          <w:color w:val="000000"/>
          <w:kern w:val="0"/>
          <w:sz w:val="36"/>
          <w:szCs w:val="36"/>
          <w:u w:val="none"/>
          <w:lang w:val="en-US" w:eastAsia="zh-CN" w:bidi="ar"/>
        </w:rPr>
      </w:pPr>
      <w:r>
        <w:rPr>
          <w:rFonts w:hint="eastAsia" w:ascii="黑体" w:hAnsi="宋体" w:eastAsia="黑体" w:cs="黑体"/>
          <w:i w:val="0"/>
          <w:iCs w:val="0"/>
          <w:color w:val="000000"/>
          <w:kern w:val="0"/>
          <w:sz w:val="36"/>
          <w:szCs w:val="36"/>
          <w:u w:val="none"/>
          <w:lang w:val="en-US" w:eastAsia="zh-CN" w:bidi="ar"/>
        </w:rPr>
        <w:t>附表2</w:t>
      </w:r>
    </w:p>
    <w:tbl>
      <w:tblPr>
        <w:tblStyle w:val="20"/>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0F01E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720BEC7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612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2D38D6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254E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3C507F8D">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2626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5F3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A78E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金川县集沐乡人民政府</w:t>
            </w:r>
          </w:p>
        </w:tc>
      </w:tr>
      <w:tr w14:paraId="0EE94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962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D95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EE4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8CEB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4BBC7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5D3E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8C8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800.79</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B8E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800.79</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6F5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1F4FB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19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45E15D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609C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职责绩效目标;职责绩效目标;1、进一步巩固脱贫成果。我乡将接续推进全面脱贫与乡村振兴有效衔接作为工作重点，一是从产业入手，做好发展衔接。坚持因地制宜，培育和发展优势产业及主导产业；二是从机制入手，做好政策衔接。借鉴脱贫攻坚形成的领导体制和工作机制，丰富和完善乡村振兴体制机制；三是从治理入手，做好服务衔接。将脱贫攻坚中形成的治理框架经过一定的再创新后，形成更好服务于乡村振兴的治理体系。持续激发乡村群众的主动性积极性创造性，使乡村振兴获得源源不断的内生动力。</w:t>
            </w:r>
          </w:p>
          <w:p w14:paraId="4563B5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持续做好疫情防控。全乡上下牢固树立“一盘棋”思想，切实加强组织领导，进一步压实疫情防控责任，保持临战状态，强化宣传引导，筑牢疫情防控常态化工作的安全防线，把防控工作全面做实做细，持续巩固好疫情防控成果。大力推进新冠疫苗接种工作。</w:t>
            </w:r>
          </w:p>
          <w:p w14:paraId="248618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3、进一步搞好产业发展。根据各村区域位置和产业特点，在抓好高山菜籽油，中药材种植等主导产业，促进乡村旅游产业发展。</w:t>
            </w:r>
          </w:p>
          <w:p w14:paraId="589AD6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进一步加大项目争取。紧紧围绕乡村振兴战略，继续加大项目争取力度，依托项目扶持，重点围绕农村经济社会发展的关键领域和重点区域，着力改善城乡环境质量、承载功能、居住条件、特色风貌，努力建设生态宜居、美丽幸福家园。加强搞好基础设施完善。</w:t>
            </w:r>
          </w:p>
          <w:p w14:paraId="76E882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进一步注重民生工程。解决好人民群众关心的就业、教育、医疗、住房、社保等问题；加大农村环境卫生综合整治力度，集中整治农村环境“脏、乱、差”，彻底消灭生活垃圾乱倒、柴草乱垛、粪土乱堆、建筑垃圾乱放和牌匾标语、横幅、广告乱贴乱画等现象；把维护社会稳定作为基本民生工程，持续深入开展河口与金子岩乡边境联防联控建设，加强社会治安综合治理，认真开展扫黑除恶专项行动，做好信访维稳工作，强化安全生产和食品药品安全，确保全乡社会大局稳定。</w:t>
            </w:r>
          </w:p>
        </w:tc>
      </w:tr>
      <w:tr w14:paraId="4CC4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0F1E8D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79F939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7ED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DD8E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59D65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3A2137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8467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行政机构主要职责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0B4D8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宣传落实好党的路线、方针、政策和国家的法律、法规，极高、培育村民委员会自制能力。</w:t>
            </w:r>
          </w:p>
        </w:tc>
      </w:tr>
      <w:tr w14:paraId="4F39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315F19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AB23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维护稳定</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8E06C5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突出解决人民群众最关心、最直接、最现实的利益问题，建立健全应急机制、化解农村矛盾，维护农村社会稳定。</w:t>
            </w:r>
          </w:p>
        </w:tc>
      </w:tr>
      <w:tr w14:paraId="0A81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E9DC9B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5227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其他事务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14286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承办上级部门交办的其他事项。</w:t>
            </w:r>
          </w:p>
        </w:tc>
      </w:tr>
      <w:tr w14:paraId="2CD6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A10D9E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E155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事业机构主要职责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4D4F86">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宣传落实好党的路线、方针、政策和国家的法律、法规，极高、培育村民委员会自制能力。</w:t>
            </w:r>
          </w:p>
        </w:tc>
      </w:tr>
      <w:tr w14:paraId="67DC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11F2D8A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D79E1">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开展乡村文化体育和宣传活动</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A8E71F">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开展读书会、村民联欢会等，宣传学习政策法律等。</w:t>
            </w:r>
          </w:p>
        </w:tc>
      </w:tr>
      <w:tr w14:paraId="3069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8866A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E0ED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促进发展</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F9824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科学制定发展规划，完善农业社会化服务体系，加强农村劳动力技能培训，提高社会主义新农村建设水平。</w:t>
            </w:r>
          </w:p>
        </w:tc>
      </w:tr>
      <w:tr w14:paraId="3CDB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82A138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C37AD">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加强管理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3C2BF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加强社会管理，加强社会主义精神文明建设，提高农村人口素质和农牧民生活质量。</w:t>
            </w:r>
          </w:p>
        </w:tc>
      </w:tr>
      <w:tr w14:paraId="3EB3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auto" w:sz="4" w:space="0"/>
              <w:right w:val="single" w:color="000000" w:sz="4" w:space="0"/>
            </w:tcBorders>
            <w:shd w:val="clear" w:color="auto" w:fill="auto"/>
            <w:vAlign w:val="center"/>
          </w:tcPr>
          <w:p w14:paraId="4DF5782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5D45B027">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提供服务</w:t>
            </w:r>
          </w:p>
        </w:tc>
        <w:tc>
          <w:tcPr>
            <w:tcW w:w="6631" w:type="dxa"/>
            <w:gridSpan w:val="7"/>
            <w:tcBorders>
              <w:top w:val="single" w:color="000000" w:sz="4" w:space="0"/>
              <w:left w:val="single" w:color="000000" w:sz="4" w:space="0"/>
              <w:bottom w:val="single" w:color="auto" w:sz="4" w:space="0"/>
              <w:right w:val="single" w:color="000000" w:sz="4" w:space="0"/>
            </w:tcBorders>
            <w:shd w:val="clear" w:color="auto" w:fill="auto"/>
            <w:vAlign w:val="center"/>
          </w:tcPr>
          <w:p w14:paraId="00BC5A8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进一步发展和完善农业社会化服务体系，发展公益性事业，加强农村基础设施建设。</w:t>
            </w:r>
          </w:p>
        </w:tc>
      </w:tr>
      <w:tr w14:paraId="63C8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30CF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34FC68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208657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E7541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1266B9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E01D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1B6994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0CC5D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3E063A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2BC10D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57E4D6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78CE4E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38C9E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2C87A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67A75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31669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数量指标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2BBA929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人大主席组织开展人大日常工作，开展乡镇人大代表学习视察调研工作；乡人大代表联系群众工作办公室认真办理乡人大代表建议批评和意见，通过分解和督办</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FFC14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57C93F0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52FFEC5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次/年</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2980F20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A1355F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20</w:t>
            </w:r>
          </w:p>
        </w:tc>
      </w:tr>
      <w:tr w14:paraId="64F3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D6544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EE6FAE">
            <w:pPr>
              <w:jc w:val="left"/>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59DCB2">
            <w:pPr>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73E907E5">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召开乡镇重要会议</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85690A">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22B20AA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0703F534">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场次</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FA28319">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A268B0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50</w:t>
            </w:r>
          </w:p>
        </w:tc>
      </w:tr>
      <w:tr w14:paraId="5D82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F98B0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796B9E">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7F2B69">
            <w:pPr>
              <w:rPr>
                <w:rFonts w:hint="default" w:ascii="Times New Roman" w:hAnsi="Times New Roman" w:eastAsia="宋体" w:cs="Times New Roman"/>
                <w:i w:val="0"/>
                <w:color w:val="000000"/>
                <w:sz w:val="24"/>
                <w:szCs w:val="24"/>
                <w:u w:val="none"/>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673E781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征订机关刊物</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29E11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27C030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168C514F">
            <w:pPr>
              <w:keepNext w:val="0"/>
              <w:keepLines w:val="0"/>
              <w:widowControl/>
              <w:suppressLineNumbers w:val="0"/>
              <w:jc w:val="left"/>
              <w:textAlignment w:val="center"/>
              <w:rPr>
                <w:rFonts w:hint="eastAsia"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份</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312325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6304B1E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40</w:t>
            </w:r>
          </w:p>
        </w:tc>
      </w:tr>
      <w:tr w14:paraId="7D33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B774A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44FCB2">
            <w:pPr>
              <w:jc w:val="left"/>
              <w:rPr>
                <w:rFonts w:hint="default" w:ascii="Times New Roman" w:hAnsi="Times New Roman" w:eastAsia="宋体" w:cs="Times New Roman"/>
                <w:i w:val="0"/>
                <w:color w:val="000000"/>
                <w:sz w:val="24"/>
                <w:szCs w:val="24"/>
                <w:u w:val="none"/>
              </w:rPr>
            </w:pP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74244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质量指标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3CC2470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各项工作任务完成率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9D31C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57A9BD7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2D6D0D5D">
            <w:pPr>
              <w:keepNext w:val="0"/>
              <w:keepLines w:val="0"/>
              <w:widowControl/>
              <w:suppressLineNumbers w:val="0"/>
              <w:jc w:val="left"/>
              <w:textAlignment w:val="center"/>
              <w:rPr>
                <w:rFonts w:hint="eastAsia"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616CCF5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77FA8CB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r>
      <w:tr w14:paraId="1F6BC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FC876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14A22">
            <w:pPr>
              <w:jc w:val="left"/>
              <w:rPr>
                <w:rFonts w:hint="default" w:ascii="Times New Roman" w:hAnsi="Times New Roman" w:eastAsia="宋体" w:cs="Times New Roman"/>
                <w:i w:val="0"/>
                <w:color w:val="000000"/>
                <w:sz w:val="24"/>
                <w:szCs w:val="24"/>
                <w:u w:val="none"/>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8E69FE">
            <w:pPr>
              <w:rPr>
                <w:rFonts w:hint="default" w:ascii="Times New Roman" w:hAnsi="Times New Roman" w:eastAsia="宋体" w:cs="Times New Roman"/>
                <w:i w:val="0"/>
                <w:color w:val="000000"/>
                <w:sz w:val="24"/>
                <w:szCs w:val="24"/>
                <w:u w:val="none"/>
              </w:rPr>
            </w:pP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1B27CB8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提升上级来文处理质效</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0D077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2A22B29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323A5EA1">
            <w:pPr>
              <w:keepNext w:val="0"/>
              <w:keepLines w:val="0"/>
              <w:widowControl/>
              <w:suppressLineNumbers w:val="0"/>
              <w:jc w:val="left"/>
              <w:textAlignment w:val="center"/>
              <w:rPr>
                <w:rFonts w:hint="eastAsia"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4555F08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14BBB2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r>
      <w:tr w14:paraId="2DC5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1D4C0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63A15">
            <w:pPr>
              <w:jc w:val="left"/>
              <w:rPr>
                <w:rFonts w:hint="eastAsia" w:ascii="Times New Roman" w:hAnsi="Times New Roman" w:eastAsia="宋体" w:cs="Times New Roman"/>
                <w:i w:val="0"/>
                <w:color w:val="000000"/>
                <w:sz w:val="24"/>
                <w:szCs w:val="24"/>
                <w:u w:val="none"/>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6FFDCAA2">
            <w:r>
              <w:rPr>
                <w:rFonts w:hint="eastAsia" w:ascii="宋体" w:hAnsi="宋体" w:eastAsia="宋体" w:cs="宋体"/>
                <w:i w:val="0"/>
                <w:iCs w:val="0"/>
                <w:color w:val="000000"/>
                <w:kern w:val="0"/>
                <w:sz w:val="22"/>
                <w:szCs w:val="22"/>
                <w:u w:val="none"/>
                <w:lang w:val="en-US" w:eastAsia="zh-CN" w:bidi="ar"/>
              </w:rPr>
              <w:t>时效指标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6B0B0215">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各项工作及时完成率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70B629">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7B33F39D">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6EDE2360">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07DFB1A8">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14794EC6">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14:paraId="30B7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60AC0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6B576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效益指标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39379231">
            <w:r>
              <w:rPr>
                <w:rFonts w:hint="eastAsia" w:ascii="宋体" w:hAnsi="宋体" w:eastAsia="宋体" w:cs="宋体"/>
                <w:i w:val="0"/>
                <w:iCs w:val="0"/>
                <w:color w:val="000000"/>
                <w:kern w:val="0"/>
                <w:sz w:val="22"/>
                <w:szCs w:val="22"/>
                <w:u w:val="none"/>
                <w:lang w:val="en-US" w:eastAsia="zh-CN" w:bidi="ar"/>
              </w:rPr>
              <w:t>社会效益指标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4409A8C8">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持续保障政府机关正常运行，做好稳定服务工作，持续提升人民群众幸福指数</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88A4E1">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定性</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2657E10">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优良中低差</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7686EA99">
            <w:pPr>
              <w:jc w:val="left"/>
              <w:rPr>
                <w:rFonts w:hint="default" w:ascii="Times New Roman" w:hAnsi="Times New Roman" w:eastAsia="宋体" w:cs="Times New Roman"/>
                <w:i w:val="0"/>
                <w:color w:val="000000"/>
                <w:kern w:val="2"/>
                <w:sz w:val="24"/>
                <w:szCs w:val="24"/>
                <w:u w:val="none"/>
                <w:lang w:val="en-US" w:eastAsia="zh-CN" w:bidi="ar-SA"/>
              </w:rPr>
            </w:pP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5E164905">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7407FE2">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优良中低差</w:t>
            </w:r>
          </w:p>
        </w:tc>
      </w:tr>
      <w:tr w14:paraId="4C44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238F2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8E762D">
            <w:pPr>
              <w:jc w:val="left"/>
              <w:rPr>
                <w:rFonts w:hint="default" w:ascii="Times New Roman" w:hAnsi="Times New Roman" w:eastAsia="宋体" w:cs="Times New Roman"/>
                <w:i w:val="0"/>
                <w:color w:val="000000"/>
                <w:sz w:val="24"/>
                <w:szCs w:val="24"/>
                <w:u w:val="none"/>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7B274B50">
            <w:r>
              <w:rPr>
                <w:rFonts w:hint="eastAsia" w:ascii="宋体" w:hAnsi="宋体" w:eastAsia="宋体" w:cs="宋体"/>
                <w:i w:val="0"/>
                <w:iCs w:val="0"/>
                <w:color w:val="000000"/>
                <w:kern w:val="0"/>
                <w:sz w:val="22"/>
                <w:szCs w:val="22"/>
                <w:u w:val="none"/>
                <w:lang w:val="en-US" w:eastAsia="zh-CN" w:bidi="ar"/>
              </w:rPr>
              <w:t>可持续发展指标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24B84F6C">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发挥基层党组织先锋模范和战斗堡垒作用，带动全乡建强基层组织。</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B1D17E">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定性</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1DAC0795">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优良中低差</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2E0CAB07">
            <w:pPr>
              <w:jc w:val="left"/>
              <w:rPr>
                <w:rFonts w:hint="default" w:ascii="Times New Roman" w:hAnsi="Times New Roman" w:eastAsia="宋体" w:cs="Times New Roman"/>
                <w:i w:val="0"/>
                <w:color w:val="000000"/>
                <w:kern w:val="2"/>
                <w:sz w:val="24"/>
                <w:szCs w:val="24"/>
                <w:u w:val="none"/>
                <w:lang w:val="en-US" w:eastAsia="zh-CN" w:bidi="ar-SA"/>
              </w:rPr>
            </w:pP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263BA23A">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3E73741A">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优良中低差</w:t>
            </w:r>
          </w:p>
        </w:tc>
      </w:tr>
      <w:tr w14:paraId="541F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6668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325032D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DA1B321">
            <w:r>
              <w:rPr>
                <w:rFonts w:hint="eastAsia" w:ascii="宋体" w:hAnsi="宋体" w:eastAsia="宋体" w:cs="宋体"/>
                <w:i w:val="0"/>
                <w:iCs w:val="0"/>
                <w:color w:val="000000"/>
                <w:kern w:val="0"/>
                <w:sz w:val="22"/>
                <w:szCs w:val="22"/>
                <w:u w:val="none"/>
                <w:lang w:val="en-US" w:eastAsia="zh-CN" w:bidi="ar"/>
              </w:rPr>
              <w:t>服务对象满意度指标</w:t>
            </w:r>
          </w:p>
        </w:tc>
        <w:tc>
          <w:tcPr>
            <w:tcW w:w="1100" w:type="dxa"/>
            <w:tcBorders>
              <w:top w:val="single" w:color="auto" w:sz="4" w:space="0"/>
              <w:left w:val="single" w:color="auto" w:sz="4" w:space="0"/>
              <w:bottom w:val="single" w:color="auto" w:sz="4" w:space="0"/>
              <w:right w:val="single" w:color="auto" w:sz="4" w:space="0"/>
            </w:tcBorders>
            <w:shd w:val="clear" w:color="auto" w:fill="auto"/>
            <w:vAlign w:val="center"/>
          </w:tcPr>
          <w:p w14:paraId="413BE5FE">
            <w:pPr>
              <w:keepNext w:val="0"/>
              <w:keepLines w:val="0"/>
              <w:widowControl/>
              <w:suppressLineNumbers w:val="0"/>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群众办事达到“一站式”效果，做到简政增效，做的办成事，办好事。</w:t>
            </w:r>
          </w:p>
        </w:tc>
        <w:tc>
          <w:tcPr>
            <w:tcW w:w="11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3B2E6D">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1635E10">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1058" w:type="dxa"/>
            <w:tcBorders>
              <w:top w:val="single" w:color="auto" w:sz="4" w:space="0"/>
              <w:left w:val="single" w:color="auto" w:sz="4" w:space="0"/>
              <w:bottom w:val="single" w:color="auto" w:sz="4" w:space="0"/>
              <w:right w:val="single" w:color="auto" w:sz="4" w:space="0"/>
            </w:tcBorders>
            <w:shd w:val="clear" w:color="auto" w:fill="auto"/>
            <w:vAlign w:val="center"/>
          </w:tcPr>
          <w:p w14:paraId="58EB93E6">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w:t>
            </w:r>
          </w:p>
        </w:tc>
        <w:tc>
          <w:tcPr>
            <w:tcW w:w="926" w:type="dxa"/>
            <w:tcBorders>
              <w:top w:val="single" w:color="auto" w:sz="4" w:space="0"/>
              <w:left w:val="single" w:color="auto" w:sz="4" w:space="0"/>
              <w:bottom w:val="single" w:color="auto" w:sz="4" w:space="0"/>
              <w:right w:val="single" w:color="auto" w:sz="4" w:space="0"/>
            </w:tcBorders>
            <w:shd w:val="clear" w:color="auto" w:fill="auto"/>
            <w:vAlign w:val="center"/>
          </w:tcPr>
          <w:p w14:paraId="13EA3193">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0D2B5329">
            <w:pPr>
              <w:keepNext w:val="0"/>
              <w:keepLines w:val="0"/>
              <w:widowControl/>
              <w:suppressLineNumbers w:val="0"/>
              <w:jc w:val="left"/>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r>
    </w:tbl>
    <w:p w14:paraId="098ACB4C">
      <w:pPr>
        <w:rPr>
          <w:rFonts w:hint="default" w:ascii="Times New Roman" w:hAnsi="Times New Roman" w:eastAsia="黑体" w:cs="Times New Roman"/>
          <w:sz w:val="24"/>
          <w:szCs w:val="24"/>
          <w:highlight w:val="none"/>
          <w:lang w:val="en-US" w:eastAsia="zh-CN"/>
        </w:rPr>
      </w:pPr>
    </w:p>
    <w:p w14:paraId="60DA63A6">
      <w:pPr>
        <w:rPr>
          <w:rStyle w:val="41"/>
          <w:rFonts w:hint="eastAsia" w:ascii="黑体" w:hAnsi="黑体" w:eastAsia="黑体"/>
          <w:b w:val="0"/>
          <w:color w:val="auto"/>
          <w:highlight w:val="none"/>
        </w:rPr>
      </w:pPr>
      <w:bookmarkStart w:id="78" w:name="_Toc111208512"/>
      <w:bookmarkStart w:id="79" w:name="_Toc21200"/>
      <w:bookmarkStart w:id="80" w:name="_Toc79163635"/>
      <w:bookmarkStart w:id="81" w:name="_Toc79163885"/>
      <w:r>
        <w:rPr>
          <w:rStyle w:val="41"/>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41"/>
          <w:rFonts w:hint="eastAsia" w:ascii="黑体" w:hAnsi="黑体" w:eastAsia="黑体"/>
          <w:b w:val="0"/>
          <w:color w:val="auto"/>
          <w:highlight w:val="none"/>
        </w:rPr>
        <w:t>第五部分 附表</w:t>
      </w:r>
      <w:bookmarkEnd w:id="78"/>
      <w:bookmarkEnd w:id="79"/>
      <w:bookmarkEnd w:id="80"/>
      <w:bookmarkEnd w:id="81"/>
    </w:p>
    <w:p w14:paraId="39407B2D">
      <w:pPr>
        <w:pStyle w:val="6"/>
        <w:ind w:firstLine="640" w:firstLineChars="200"/>
        <w:rPr>
          <w:rFonts w:hint="eastAsia" w:ascii="仿宋" w:hAnsi="仿宋" w:eastAsia="仿宋" w:cs="仿宋"/>
          <w:b w:val="0"/>
          <w:bCs/>
          <w:color w:val="000000"/>
        </w:rPr>
      </w:pPr>
      <w:bookmarkStart w:id="82" w:name="_Toc16431"/>
      <w:r>
        <w:rPr>
          <w:rFonts w:hint="eastAsia" w:ascii="仿宋" w:hAnsi="仿宋" w:eastAsia="仿宋" w:cs="仿宋"/>
          <w:b w:val="0"/>
          <w:bCs/>
          <w:color w:val="000000"/>
        </w:rPr>
        <w:t>一、收入支出决算总表</w:t>
      </w:r>
      <w:bookmarkEnd w:id="82"/>
    </w:p>
    <w:p w14:paraId="2B7DC4AC">
      <w:pPr>
        <w:pStyle w:val="6"/>
        <w:ind w:firstLine="640" w:firstLineChars="200"/>
        <w:rPr>
          <w:rFonts w:hint="eastAsia" w:ascii="仿宋" w:hAnsi="仿宋" w:eastAsia="仿宋" w:cs="仿宋"/>
          <w:b w:val="0"/>
          <w:bCs/>
          <w:color w:val="000000"/>
        </w:rPr>
      </w:pPr>
      <w:bookmarkStart w:id="83" w:name="_Toc25389"/>
      <w:r>
        <w:rPr>
          <w:rFonts w:hint="eastAsia" w:ascii="仿宋" w:hAnsi="仿宋" w:eastAsia="仿宋" w:cs="仿宋"/>
          <w:b w:val="0"/>
          <w:bCs/>
          <w:color w:val="000000"/>
        </w:rPr>
        <w:t>二、收入决算表</w:t>
      </w:r>
      <w:bookmarkEnd w:id="83"/>
    </w:p>
    <w:p w14:paraId="7858E927">
      <w:pPr>
        <w:pStyle w:val="6"/>
        <w:ind w:firstLine="640" w:firstLineChars="200"/>
        <w:rPr>
          <w:rFonts w:hint="eastAsia" w:ascii="仿宋" w:hAnsi="仿宋" w:eastAsia="仿宋" w:cs="仿宋"/>
          <w:b w:val="0"/>
          <w:bCs/>
          <w:color w:val="000000"/>
        </w:rPr>
      </w:pPr>
      <w:bookmarkStart w:id="84" w:name="_Toc10450"/>
      <w:r>
        <w:rPr>
          <w:rFonts w:hint="eastAsia" w:ascii="仿宋" w:hAnsi="仿宋" w:eastAsia="仿宋" w:cs="仿宋"/>
          <w:b w:val="0"/>
          <w:bCs/>
          <w:color w:val="000000"/>
        </w:rPr>
        <w:t>三、支出决算表</w:t>
      </w:r>
      <w:bookmarkEnd w:id="84"/>
    </w:p>
    <w:p w14:paraId="31EC7FA5">
      <w:pPr>
        <w:pStyle w:val="6"/>
        <w:ind w:firstLine="640" w:firstLineChars="200"/>
        <w:rPr>
          <w:rFonts w:hint="eastAsia" w:ascii="仿宋" w:hAnsi="仿宋" w:eastAsia="仿宋" w:cs="仿宋"/>
          <w:b w:val="0"/>
          <w:bCs/>
          <w:color w:val="000000"/>
        </w:rPr>
      </w:pPr>
      <w:bookmarkStart w:id="85" w:name="_Toc15415"/>
      <w:r>
        <w:rPr>
          <w:rFonts w:hint="eastAsia" w:ascii="仿宋" w:hAnsi="仿宋" w:eastAsia="仿宋" w:cs="仿宋"/>
          <w:b w:val="0"/>
          <w:bCs/>
          <w:color w:val="000000"/>
        </w:rPr>
        <w:t>四、财政拨款收入支出决算总表</w:t>
      </w:r>
      <w:bookmarkEnd w:id="85"/>
    </w:p>
    <w:p w14:paraId="4A2F30BB">
      <w:pPr>
        <w:pStyle w:val="6"/>
        <w:ind w:firstLine="640" w:firstLineChars="200"/>
        <w:rPr>
          <w:rFonts w:hint="eastAsia" w:ascii="仿宋" w:hAnsi="仿宋" w:eastAsia="仿宋" w:cs="仿宋"/>
          <w:b w:val="0"/>
          <w:bCs/>
          <w:color w:val="000000"/>
        </w:rPr>
      </w:pPr>
      <w:bookmarkStart w:id="86" w:name="_Toc17530"/>
      <w:r>
        <w:rPr>
          <w:rFonts w:hint="eastAsia" w:ascii="仿宋" w:hAnsi="仿宋" w:eastAsia="仿宋" w:cs="仿宋"/>
          <w:b w:val="0"/>
          <w:bCs/>
          <w:color w:val="000000"/>
        </w:rPr>
        <w:t>五、财政拨款支出决算明细表</w:t>
      </w:r>
      <w:bookmarkEnd w:id="86"/>
    </w:p>
    <w:p w14:paraId="712C880D">
      <w:pPr>
        <w:pStyle w:val="6"/>
        <w:ind w:firstLine="640" w:firstLineChars="200"/>
        <w:rPr>
          <w:rFonts w:hint="eastAsia" w:ascii="仿宋" w:hAnsi="仿宋" w:eastAsia="仿宋" w:cs="仿宋"/>
          <w:b w:val="0"/>
          <w:bCs/>
          <w:color w:val="000000"/>
        </w:rPr>
      </w:pPr>
      <w:bookmarkStart w:id="87" w:name="_Toc22032"/>
      <w:r>
        <w:rPr>
          <w:rFonts w:hint="eastAsia" w:ascii="仿宋" w:hAnsi="仿宋" w:eastAsia="仿宋" w:cs="仿宋"/>
          <w:b w:val="0"/>
          <w:bCs/>
          <w:color w:val="000000"/>
        </w:rPr>
        <w:t>六、一般公共预算财政拨款支出决算表</w:t>
      </w:r>
      <w:bookmarkEnd w:id="87"/>
    </w:p>
    <w:p w14:paraId="51429EF5">
      <w:pPr>
        <w:pStyle w:val="6"/>
        <w:ind w:firstLine="640" w:firstLineChars="200"/>
        <w:rPr>
          <w:rFonts w:hint="eastAsia" w:ascii="仿宋" w:hAnsi="仿宋" w:eastAsia="仿宋" w:cs="仿宋"/>
          <w:b w:val="0"/>
          <w:bCs/>
          <w:color w:val="000000"/>
        </w:rPr>
      </w:pPr>
      <w:bookmarkStart w:id="88" w:name="_Toc3364"/>
      <w:r>
        <w:rPr>
          <w:rFonts w:hint="eastAsia" w:ascii="仿宋" w:hAnsi="仿宋" w:eastAsia="仿宋" w:cs="仿宋"/>
          <w:b w:val="0"/>
          <w:bCs/>
          <w:color w:val="000000"/>
        </w:rPr>
        <w:t>七、一般公共预算财政拨款支出决算明细表</w:t>
      </w:r>
      <w:bookmarkEnd w:id="88"/>
    </w:p>
    <w:p w14:paraId="672B9B4D">
      <w:pPr>
        <w:pStyle w:val="6"/>
        <w:ind w:firstLine="640" w:firstLineChars="200"/>
        <w:rPr>
          <w:rFonts w:hint="eastAsia" w:ascii="仿宋" w:hAnsi="仿宋" w:eastAsia="仿宋" w:cs="仿宋"/>
          <w:b w:val="0"/>
          <w:bCs/>
          <w:color w:val="000000"/>
        </w:rPr>
      </w:pPr>
      <w:bookmarkStart w:id="89" w:name="_Toc9110"/>
      <w:r>
        <w:rPr>
          <w:rFonts w:hint="eastAsia" w:ascii="仿宋" w:hAnsi="仿宋" w:eastAsia="仿宋" w:cs="仿宋"/>
          <w:b w:val="0"/>
          <w:bCs/>
          <w:color w:val="000000"/>
        </w:rPr>
        <w:t>八、一般公共预算财政拨款基本支出决算表</w:t>
      </w:r>
      <w:bookmarkEnd w:id="89"/>
    </w:p>
    <w:p w14:paraId="2002A273">
      <w:pPr>
        <w:pStyle w:val="6"/>
        <w:ind w:firstLine="640" w:firstLineChars="200"/>
        <w:rPr>
          <w:rFonts w:hint="eastAsia" w:ascii="仿宋" w:hAnsi="仿宋" w:eastAsia="仿宋" w:cs="仿宋"/>
          <w:b w:val="0"/>
          <w:bCs/>
          <w:color w:val="000000"/>
        </w:rPr>
      </w:pPr>
      <w:bookmarkStart w:id="90" w:name="_Toc28582"/>
      <w:r>
        <w:rPr>
          <w:rFonts w:hint="eastAsia" w:ascii="仿宋" w:hAnsi="仿宋" w:eastAsia="仿宋" w:cs="仿宋"/>
          <w:b w:val="0"/>
          <w:bCs/>
          <w:color w:val="000000"/>
        </w:rPr>
        <w:t>九、一般公共预算财政拨款项目支出决算表</w:t>
      </w:r>
      <w:bookmarkEnd w:id="90"/>
    </w:p>
    <w:p w14:paraId="0A36D281">
      <w:pPr>
        <w:pStyle w:val="6"/>
        <w:ind w:firstLine="640" w:firstLineChars="200"/>
        <w:rPr>
          <w:rFonts w:hint="eastAsia" w:ascii="仿宋" w:hAnsi="仿宋" w:eastAsia="仿宋" w:cs="仿宋"/>
          <w:b w:val="0"/>
          <w:bCs/>
          <w:color w:val="000000"/>
        </w:rPr>
      </w:pPr>
      <w:bookmarkStart w:id="91" w:name="_Toc22001"/>
      <w:r>
        <w:rPr>
          <w:rFonts w:hint="eastAsia" w:ascii="仿宋" w:hAnsi="仿宋" w:eastAsia="仿宋" w:cs="仿宋"/>
          <w:b w:val="0"/>
          <w:bCs/>
          <w:color w:val="000000"/>
        </w:rPr>
        <w:t>十、政府性基金预算财政拨款收入支出决算表</w:t>
      </w:r>
      <w:bookmarkEnd w:id="91"/>
    </w:p>
    <w:p w14:paraId="0BD12BAB">
      <w:pPr>
        <w:pStyle w:val="6"/>
        <w:ind w:firstLine="640" w:firstLineChars="200"/>
        <w:rPr>
          <w:rFonts w:hint="eastAsia" w:ascii="仿宋" w:hAnsi="仿宋" w:eastAsia="仿宋" w:cs="仿宋"/>
          <w:b w:val="0"/>
          <w:bCs/>
          <w:color w:val="000000"/>
        </w:rPr>
      </w:pPr>
      <w:bookmarkStart w:id="92" w:name="_Toc6538"/>
      <w:r>
        <w:rPr>
          <w:rFonts w:hint="eastAsia" w:ascii="仿宋" w:hAnsi="仿宋" w:eastAsia="仿宋" w:cs="仿宋"/>
          <w:b w:val="0"/>
          <w:bCs/>
          <w:color w:val="000000"/>
        </w:rPr>
        <w:t>十一、国有资本经营预算财政拨款收入支出决算表</w:t>
      </w:r>
      <w:bookmarkEnd w:id="92"/>
    </w:p>
    <w:p w14:paraId="124CF2DF">
      <w:pPr>
        <w:pStyle w:val="6"/>
        <w:ind w:firstLine="640" w:firstLineChars="200"/>
        <w:rPr>
          <w:rFonts w:hint="eastAsia" w:ascii="仿宋" w:hAnsi="仿宋" w:eastAsia="仿宋" w:cs="仿宋"/>
          <w:b w:val="0"/>
          <w:bCs/>
          <w:color w:val="000000"/>
        </w:rPr>
      </w:pPr>
      <w:bookmarkStart w:id="93" w:name="_Toc10625"/>
      <w:r>
        <w:rPr>
          <w:rFonts w:hint="eastAsia" w:ascii="仿宋" w:hAnsi="仿宋" w:eastAsia="仿宋" w:cs="仿宋"/>
          <w:b w:val="0"/>
          <w:bCs/>
          <w:color w:val="000000"/>
        </w:rPr>
        <w:t>十二、国有资本经营预算财政拨款支出决算表</w:t>
      </w:r>
      <w:bookmarkEnd w:id="93"/>
    </w:p>
    <w:p w14:paraId="39A925A5">
      <w:pPr>
        <w:pStyle w:val="6"/>
        <w:ind w:firstLine="640" w:firstLineChars="200"/>
        <w:rPr>
          <w:rFonts w:hint="eastAsia" w:ascii="仿宋" w:hAnsi="仿宋" w:eastAsia="仿宋" w:cs="仿宋"/>
          <w:b w:val="0"/>
          <w:bCs/>
          <w:color w:val="000000"/>
        </w:rPr>
      </w:pPr>
      <w:bookmarkStart w:id="94" w:name="_Toc28356"/>
      <w:r>
        <w:rPr>
          <w:rFonts w:hint="eastAsia" w:ascii="仿宋" w:hAnsi="仿宋" w:eastAsia="仿宋" w:cs="仿宋"/>
          <w:b w:val="0"/>
          <w:bCs/>
          <w:color w:val="000000"/>
        </w:rPr>
        <w:t>十三、财政拨款“三公”经费支出决算表</w:t>
      </w:r>
      <w:bookmarkEnd w:id="94"/>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5ECA18-43DD-45DB-BC56-DB55FC2CD5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B1FFC495-985A-4A82-B8F1-47D5BDAC0E77}"/>
  </w:font>
  <w:font w:name="仿宋">
    <w:panose1 w:val="02010609060101010101"/>
    <w:charset w:val="86"/>
    <w:family w:val="modern"/>
    <w:pitch w:val="default"/>
    <w:sig w:usb0="800002BF" w:usb1="38CF7CFA" w:usb2="00000016" w:usb3="00000000" w:csb0="00040001" w:csb1="00000000"/>
    <w:embedRegular r:id="rId3" w:fontKey="{7103813A-A2DE-467A-8D36-073184A953C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0000000000000000000"/>
    <w:charset w:val="00"/>
    <w:family w:val="auto"/>
    <w:pitch w:val="default"/>
    <w:sig w:usb0="00000000" w:usb1="00000000" w:usb2="00000000" w:usb3="00000000" w:csb0="00000000" w:csb1="00000000"/>
  </w:font>
  <w:font w:name="思源黑体 CN Normal">
    <w:altName w:val="黑体"/>
    <w:panose1 w:val="020B0400000000000000"/>
    <w:charset w:val="86"/>
    <w:family w:val="auto"/>
    <w:pitch w:val="default"/>
    <w:sig w:usb0="00000000" w:usb1="00000000" w:usb2="00000016" w:usb3="00000000" w:csb0="60060107" w:csb1="00000000"/>
    <w:embedRegular r:id="rId4" w:fontKey="{98EABD86-FD70-4516-AD97-210FAE53ACD7}"/>
  </w:font>
  <w:font w:name="方正小标宋简体">
    <w:panose1 w:val="02000000000000000000"/>
    <w:charset w:val="86"/>
    <w:family w:val="auto"/>
    <w:pitch w:val="default"/>
    <w:sig w:usb0="00000001" w:usb1="08000000" w:usb2="00000000" w:usb3="00000000" w:csb0="00040000" w:csb1="00000000"/>
    <w:embedRegular r:id="rId5" w:fontKey="{1EED6EBA-12C7-43DA-A9C2-A4BFD2421663}"/>
  </w:font>
  <w:font w:name="楷体">
    <w:panose1 w:val="02010609060101010101"/>
    <w:charset w:val="86"/>
    <w:family w:val="auto"/>
    <w:pitch w:val="default"/>
    <w:sig w:usb0="800002BF" w:usb1="38CF7CFA" w:usb2="00000016" w:usb3="00000000" w:csb0="00040001" w:csb1="00000000"/>
    <w:embedRegular r:id="rId6" w:fontKey="{9A2AFCD7-AB5C-4296-85FF-990B33BA4706}"/>
  </w:font>
  <w:font w:name="方正小标宋_GBK">
    <w:panose1 w:val="02000000000000000000"/>
    <w:charset w:val="86"/>
    <w:family w:val="auto"/>
    <w:pitch w:val="default"/>
    <w:sig w:usb0="00000001" w:usb1="080E0000" w:usb2="00000000" w:usb3="00000000" w:csb0="00040000" w:csb1="00000000"/>
    <w:embedRegular r:id="rId7" w:fontKey="{FE60FF73-7CCF-4245-8909-5CF6076AAD03}"/>
  </w:font>
  <w:font w:name="楷体_GB2312">
    <w:altName w:val="楷体"/>
    <w:panose1 w:val="00000000000000000000"/>
    <w:charset w:val="00"/>
    <w:family w:val="auto"/>
    <w:pitch w:val="default"/>
    <w:sig w:usb0="00000000" w:usb1="00000000" w:usb2="00000000" w:usb3="00000000" w:csb0="00000000" w:csb1="00000000"/>
    <w:embedRegular r:id="rId8" w:fontKey="{6B9DB161-83D1-4461-88D5-3997E9FCFAB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4"/>
      <w:jc w:val="center"/>
    </w:pPr>
  </w:p>
  <w:p w14:paraId="40092139">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4"/>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4"/>
                          <w:jc w:val="center"/>
                        </w:pPr>
                        <w:r>
                          <w:fldChar w:fldCharType="begin"/>
                        </w:r>
                        <w:r>
                          <w:instrText xml:space="preserve">PAGE   \* MERGEFORMAT</w:instrText>
                        </w:r>
                        <w:r>
                          <w:fldChar w:fldCharType="separate"/>
                        </w:r>
                        <w:r>
                          <w:rPr>
                            <w:lang w:val="zh-CN"/>
                          </w:rPr>
                          <w:t>4</w:t>
                        </w:r>
                        <w:r>
                          <w:fldChar w:fldCharType="end"/>
                        </w:r>
                      </w:p>
                    </w:sdtContent>
                  </w:sdt>
                  <w:p w14:paraId="0D4E28F1">
                    <w:pPr>
                      <w:pStyle w:val="2"/>
                    </w:pPr>
                  </w:p>
                </w:txbxContent>
              </v:textbox>
            </v:shape>
          </w:pict>
        </mc:Fallback>
      </mc:AlternateContent>
    </w:r>
  </w:p>
  <w:p w14:paraId="6AA3FF4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2"/>
      <w:numFmt w:val="chineseCounting"/>
      <w:suff w:val="nothing"/>
      <w:lvlText w:val="（%1）"/>
      <w:lvlJc w:val="left"/>
      <w:rPr>
        <w:rFonts w:hint="eastAsia"/>
      </w:rPr>
    </w:lvl>
  </w:abstractNum>
  <w:abstractNum w:abstractNumId="1">
    <w:nsid w:val="CF092B84"/>
    <w:multiLevelType w:val="singleLevel"/>
    <w:tmpl w:val="CF092B84"/>
    <w:lvl w:ilvl="0" w:tentative="0">
      <w:start w:val="2"/>
      <w:numFmt w:val="chineseCounting"/>
      <w:suff w:val="nothing"/>
      <w:lvlText w:val="（%1）"/>
      <w:lvlJc w:val="left"/>
      <w:rPr>
        <w:rFonts w:hint="eastAsia"/>
      </w:rPr>
    </w:lvl>
  </w:abstractNum>
  <w:abstractNum w:abstractNumId="2">
    <w:nsid w:val="0053208E"/>
    <w:multiLevelType w:val="singleLevel"/>
    <w:tmpl w:val="0053208E"/>
    <w:lvl w:ilvl="0" w:tentative="0">
      <w:start w:val="1"/>
      <w:numFmt w:val="decimal"/>
      <w:suff w:val="nothing"/>
      <w:lvlText w:val="（%1）"/>
      <w:lvlJc w:val="left"/>
    </w:lvl>
  </w:abstractNum>
  <w:abstractNum w:abstractNumId="3">
    <w:nsid w:val="59ADCABA"/>
    <w:multiLevelType w:val="singleLevel"/>
    <w:tmpl w:val="59ADCABA"/>
    <w:lvl w:ilvl="0" w:tentative="0">
      <w:start w:val="3"/>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8491CA6"/>
    <w:rsid w:val="088F55D5"/>
    <w:rsid w:val="089C4B49"/>
    <w:rsid w:val="09081517"/>
    <w:rsid w:val="091B747D"/>
    <w:rsid w:val="092E626A"/>
    <w:rsid w:val="09A572B6"/>
    <w:rsid w:val="0A19737C"/>
    <w:rsid w:val="0B7218AA"/>
    <w:rsid w:val="0B99373B"/>
    <w:rsid w:val="0BA37CB5"/>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BC7656"/>
    <w:rsid w:val="17EA348C"/>
    <w:rsid w:val="1840212F"/>
    <w:rsid w:val="184656CF"/>
    <w:rsid w:val="193C261A"/>
    <w:rsid w:val="19934117"/>
    <w:rsid w:val="19943114"/>
    <w:rsid w:val="19DE22C0"/>
    <w:rsid w:val="1AB026BC"/>
    <w:rsid w:val="1ABB32B6"/>
    <w:rsid w:val="1B787B60"/>
    <w:rsid w:val="1BF70747"/>
    <w:rsid w:val="1C06153F"/>
    <w:rsid w:val="1C986C96"/>
    <w:rsid w:val="1D7371C3"/>
    <w:rsid w:val="1DDC2BB3"/>
    <w:rsid w:val="1E34479D"/>
    <w:rsid w:val="1EF81F78"/>
    <w:rsid w:val="1F620905"/>
    <w:rsid w:val="1FD12B34"/>
    <w:rsid w:val="201A6AB0"/>
    <w:rsid w:val="203B66A0"/>
    <w:rsid w:val="206D278F"/>
    <w:rsid w:val="211A679A"/>
    <w:rsid w:val="21253DA0"/>
    <w:rsid w:val="21A94BCD"/>
    <w:rsid w:val="22857975"/>
    <w:rsid w:val="23844B7E"/>
    <w:rsid w:val="23850E93"/>
    <w:rsid w:val="23902475"/>
    <w:rsid w:val="23FA0B3C"/>
    <w:rsid w:val="240371BF"/>
    <w:rsid w:val="2435534E"/>
    <w:rsid w:val="244017F7"/>
    <w:rsid w:val="24534F10"/>
    <w:rsid w:val="24DF6C66"/>
    <w:rsid w:val="253D03DB"/>
    <w:rsid w:val="253F66D1"/>
    <w:rsid w:val="25A20B86"/>
    <w:rsid w:val="25B1070F"/>
    <w:rsid w:val="25BC6564"/>
    <w:rsid w:val="25DD571A"/>
    <w:rsid w:val="265C1D1F"/>
    <w:rsid w:val="26BB36DB"/>
    <w:rsid w:val="271C5A93"/>
    <w:rsid w:val="276F1834"/>
    <w:rsid w:val="27B459F9"/>
    <w:rsid w:val="27C51E91"/>
    <w:rsid w:val="280173B2"/>
    <w:rsid w:val="28513369"/>
    <w:rsid w:val="28BF6D42"/>
    <w:rsid w:val="28C822A0"/>
    <w:rsid w:val="292E058E"/>
    <w:rsid w:val="29FD04D3"/>
    <w:rsid w:val="2C1E1BB4"/>
    <w:rsid w:val="2CAE1BBE"/>
    <w:rsid w:val="2CCF04B2"/>
    <w:rsid w:val="2DF079DB"/>
    <w:rsid w:val="2E4C04E0"/>
    <w:rsid w:val="2E67588F"/>
    <w:rsid w:val="2F803D16"/>
    <w:rsid w:val="2FF22B1D"/>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E03620E"/>
    <w:rsid w:val="3E343C22"/>
    <w:rsid w:val="3F512FA9"/>
    <w:rsid w:val="3F7C601F"/>
    <w:rsid w:val="3FAC4683"/>
    <w:rsid w:val="3FEA5DFB"/>
    <w:rsid w:val="40035B02"/>
    <w:rsid w:val="401C35B7"/>
    <w:rsid w:val="40EA7211"/>
    <w:rsid w:val="4119235A"/>
    <w:rsid w:val="41677310"/>
    <w:rsid w:val="422C2C46"/>
    <w:rsid w:val="4251506E"/>
    <w:rsid w:val="42B75819"/>
    <w:rsid w:val="43684120"/>
    <w:rsid w:val="444F07DA"/>
    <w:rsid w:val="44601E28"/>
    <w:rsid w:val="472E4611"/>
    <w:rsid w:val="475E72DC"/>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D0674C"/>
    <w:rsid w:val="57D23F06"/>
    <w:rsid w:val="58BA52C3"/>
    <w:rsid w:val="58BC5D23"/>
    <w:rsid w:val="59177DCC"/>
    <w:rsid w:val="59E040FC"/>
    <w:rsid w:val="59E11CD3"/>
    <w:rsid w:val="5A857BDE"/>
    <w:rsid w:val="5B2A4567"/>
    <w:rsid w:val="5BE202E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725134"/>
    <w:rsid w:val="6B4666B6"/>
    <w:rsid w:val="6BB306BC"/>
    <w:rsid w:val="6CC85DA9"/>
    <w:rsid w:val="6D2A5F93"/>
    <w:rsid w:val="6D8F2D6B"/>
    <w:rsid w:val="6DB91990"/>
    <w:rsid w:val="6DC31436"/>
    <w:rsid w:val="6E6F4E2B"/>
    <w:rsid w:val="6ECB49CF"/>
    <w:rsid w:val="6ECB5A2B"/>
    <w:rsid w:val="6F806E0F"/>
    <w:rsid w:val="70202A42"/>
    <w:rsid w:val="70ED3F4C"/>
    <w:rsid w:val="72227D09"/>
    <w:rsid w:val="724109E7"/>
    <w:rsid w:val="72E476B5"/>
    <w:rsid w:val="72F22338"/>
    <w:rsid w:val="73327580"/>
    <w:rsid w:val="733572FD"/>
    <w:rsid w:val="73BE3A62"/>
    <w:rsid w:val="746C7E4B"/>
    <w:rsid w:val="750E6C6B"/>
    <w:rsid w:val="755E374E"/>
    <w:rsid w:val="75884CEA"/>
    <w:rsid w:val="75B310E7"/>
    <w:rsid w:val="75B318F4"/>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9"/>
    <w:unhideWhenUsed/>
    <w:qFormat/>
    <w:uiPriority w:val="9"/>
    <w:pPr>
      <w:keepNext/>
      <w:keepLines/>
      <w:spacing w:before="260" w:after="260" w:line="416" w:lineRule="auto"/>
      <w:outlineLvl w:val="2"/>
    </w:pPr>
    <w:rPr>
      <w:b/>
      <w:bCs/>
      <w:sz w:val="32"/>
      <w:szCs w:val="32"/>
    </w:rPr>
  </w:style>
  <w:style w:type="character" w:default="1" w:styleId="22">
    <w:name w:val="Default Paragraph Font"/>
    <w:link w:val="23"/>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link w:val="47"/>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qFormat/>
    <w:uiPriority w:val="0"/>
    <w:pPr>
      <w:spacing w:before="156" w:beforeLines="50" w:line="360" w:lineRule="auto"/>
      <w:ind w:firstLine="480" w:firstLineChars="200"/>
    </w:pPr>
    <w:rPr>
      <w:rFonts w:eastAsia="仿宋"/>
      <w:sz w:val="24"/>
      <w:szCs w:val="23"/>
      <w:lang w:eastAsia="ar-SA"/>
    </w:rPr>
  </w:style>
  <w:style w:type="paragraph" w:styleId="9">
    <w:name w:val="Document Map"/>
    <w:basedOn w:val="1"/>
    <w:link w:val="24"/>
    <w:qFormat/>
    <w:uiPriority w:val="0"/>
    <w:rPr>
      <w:rFonts w:ascii="宋体" w:eastAsia="宋体"/>
      <w:sz w:val="18"/>
      <w:szCs w:val="18"/>
    </w:rPr>
  </w:style>
  <w:style w:type="paragraph" w:styleId="10">
    <w:name w:val="annotation text"/>
    <w:basedOn w:val="1"/>
    <w:semiHidden/>
    <w:unhideWhenUsed/>
    <w:qFormat/>
    <w:uiPriority w:val="99"/>
    <w:pPr>
      <w:jc w:val="left"/>
    </w:pPr>
  </w:style>
  <w:style w:type="paragraph" w:styleId="11">
    <w:name w:val="Body Text"/>
    <w:basedOn w:val="1"/>
    <w:link w:val="34"/>
    <w:qFormat/>
    <w:uiPriority w:val="0"/>
    <w:pPr>
      <w:spacing w:after="12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9"/>
    <w:semiHidden/>
    <w:qFormat/>
    <w:uiPriority w:val="0"/>
    <w:rPr>
      <w:sz w:val="18"/>
      <w:szCs w:val="18"/>
    </w:rPr>
  </w:style>
  <w:style w:type="paragraph" w:styleId="14">
    <w:name w:val="footer"/>
    <w:basedOn w:val="1"/>
    <w:link w:val="32"/>
    <w:qFormat/>
    <w:uiPriority w:val="99"/>
    <w:pPr>
      <w:tabs>
        <w:tab w:val="center" w:pos="4153"/>
        <w:tab w:val="right" w:pos="8306"/>
      </w:tabs>
      <w:snapToGrid w:val="0"/>
      <w:jc w:val="left"/>
    </w:pPr>
    <w:rPr>
      <w:rFonts w:eastAsia="宋体"/>
      <w:sz w:val="18"/>
      <w:szCs w:val="18"/>
    </w:rPr>
  </w:style>
  <w:style w:type="paragraph" w:styleId="15">
    <w:name w:val="header"/>
    <w:basedOn w:val="1"/>
    <w:link w:val="30"/>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6">
    <w:name w:val="toc 1"/>
    <w:basedOn w:val="1"/>
    <w:next w:val="1"/>
    <w:qFormat/>
    <w:uiPriority w:val="0"/>
    <w:pPr>
      <w:tabs>
        <w:tab w:val="right" w:leader="dot" w:pos="8296"/>
      </w:tabs>
    </w:pPr>
  </w:style>
  <w:style w:type="paragraph" w:styleId="17">
    <w:name w:val="table of figures"/>
    <w:basedOn w:val="1"/>
    <w:next w:val="1"/>
    <w:autoRedefine/>
    <w:qFormat/>
    <w:uiPriority w:val="0"/>
    <w:pPr>
      <w:ind w:left="200" w:leftChars="200" w:hanging="200" w:hangingChars="200"/>
    </w:pPr>
  </w:style>
  <w:style w:type="paragraph" w:styleId="18">
    <w:name w:val="toc 2"/>
    <w:basedOn w:val="1"/>
    <w:next w:val="1"/>
    <w:autoRedefine/>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四号正文"/>
    <w:basedOn w:val="1"/>
    <w:link w:val="22"/>
    <w:qFormat/>
    <w:uiPriority w:val="0"/>
    <w:pPr>
      <w:spacing w:line="360" w:lineRule="auto"/>
    </w:pPr>
    <w:rPr>
      <w:rFonts w:ascii="??" w:hAnsi="??" w:eastAsia="宋体" w:cs="宋体"/>
      <w:color w:val="000000"/>
      <w:kern w:val="0"/>
      <w:sz w:val="28"/>
      <w:szCs w:val="21"/>
    </w:rPr>
  </w:style>
  <w:style w:type="character" w:styleId="24">
    <w:name w:val="Strong"/>
    <w:basedOn w:val="22"/>
    <w:link w:val="9"/>
    <w:qFormat/>
    <w:uiPriority w:val="99"/>
    <w:rPr>
      <w:b/>
    </w:rPr>
  </w:style>
  <w:style w:type="character" w:styleId="25">
    <w:name w:val="page number"/>
    <w:basedOn w:val="22"/>
    <w:qFormat/>
    <w:uiPriority w:val="0"/>
  </w:style>
  <w:style w:type="character" w:styleId="26">
    <w:name w:val="Hyperlink"/>
    <w:basedOn w:val="22"/>
    <w:unhideWhenUsed/>
    <w:qFormat/>
    <w:uiPriority w:val="99"/>
    <w:rPr>
      <w:color w:val="0000FF" w:themeColor="hyperlink"/>
      <w:u w:val="single"/>
      <w14:textFill>
        <w14:solidFill>
          <w14:schemeClr w14:val="hlink"/>
        </w14:solidFill>
      </w14:textFill>
    </w:rPr>
  </w:style>
  <w:style w:type="character" w:styleId="27">
    <w:name w:val="annotation reference"/>
    <w:basedOn w:val="22"/>
    <w:link w:val="14"/>
    <w:semiHidden/>
    <w:unhideWhenUsed/>
    <w:qFormat/>
    <w:uiPriority w:val="99"/>
    <w:rPr>
      <w:sz w:val="21"/>
      <w:szCs w:val="21"/>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9">
    <w:name w:val="Header Char"/>
    <w:basedOn w:val="22"/>
    <w:semiHidden/>
    <w:qFormat/>
    <w:uiPriority w:val="99"/>
    <w:rPr>
      <w:rFonts w:ascii="Times New Roman" w:hAnsi="Times New Roman"/>
      <w:sz w:val="18"/>
      <w:szCs w:val="18"/>
    </w:rPr>
  </w:style>
  <w:style w:type="character" w:customStyle="1" w:styleId="30">
    <w:name w:val="页眉 字符"/>
    <w:link w:val="15"/>
    <w:semiHidden/>
    <w:qFormat/>
    <w:locked/>
    <w:uiPriority w:val="99"/>
    <w:rPr>
      <w:sz w:val="18"/>
    </w:rPr>
  </w:style>
  <w:style w:type="character" w:customStyle="1" w:styleId="31">
    <w:name w:val="Footer Char"/>
    <w:basedOn w:val="22"/>
    <w:autoRedefine/>
    <w:semiHidden/>
    <w:qFormat/>
    <w:uiPriority w:val="99"/>
    <w:rPr>
      <w:rFonts w:ascii="Times New Roman" w:hAnsi="Times New Roman"/>
      <w:sz w:val="18"/>
      <w:szCs w:val="18"/>
    </w:rPr>
  </w:style>
  <w:style w:type="character" w:customStyle="1" w:styleId="32">
    <w:name w:val="页脚 字符"/>
    <w:link w:val="14"/>
    <w:autoRedefine/>
    <w:qFormat/>
    <w:locked/>
    <w:uiPriority w:val="99"/>
    <w:rPr>
      <w:sz w:val="18"/>
    </w:rPr>
  </w:style>
  <w:style w:type="character" w:customStyle="1" w:styleId="33">
    <w:name w:val="Body Text Char"/>
    <w:basedOn w:val="22"/>
    <w:semiHidden/>
    <w:qFormat/>
    <w:uiPriority w:val="99"/>
    <w:rPr>
      <w:rFonts w:ascii="Times New Roman" w:hAnsi="Times New Roman"/>
      <w:szCs w:val="24"/>
    </w:rPr>
  </w:style>
  <w:style w:type="character" w:customStyle="1" w:styleId="34">
    <w:name w:val="正文文本 字符"/>
    <w:link w:val="11"/>
    <w:qFormat/>
    <w:locked/>
    <w:uiPriority w:val="99"/>
    <w:rPr>
      <w:rFonts w:ascii="仿宋_GB2312" w:hAnsi="Times New Roman" w:eastAsia="仿宋_GB2312"/>
      <w:sz w:val="24"/>
    </w:rPr>
  </w:style>
  <w:style w:type="paragraph" w:styleId="35">
    <w:name w:val="List Paragraph"/>
    <w:basedOn w:val="1"/>
    <w:autoRedefine/>
    <w:qFormat/>
    <w:uiPriority w:val="34"/>
    <w:pPr>
      <w:ind w:firstLine="420" w:firstLineChars="200"/>
    </w:pPr>
  </w:style>
  <w:style w:type="character" w:customStyle="1" w:styleId="36">
    <w:name w:val="标题 1 字符"/>
    <w:basedOn w:val="22"/>
    <w:link w:val="5"/>
    <w:qFormat/>
    <w:uiPriority w:val="9"/>
    <w:rPr>
      <w:rFonts w:ascii="Times New Roman" w:hAnsi="Times New Roman"/>
      <w:b/>
      <w:bCs/>
      <w:kern w:val="44"/>
      <w:sz w:val="44"/>
      <w:szCs w:val="44"/>
    </w:rPr>
  </w:style>
  <w:style w:type="character" w:customStyle="1" w:styleId="37">
    <w:name w:val="标题 2 字符"/>
    <w:basedOn w:val="22"/>
    <w:link w:val="6"/>
    <w:qFormat/>
    <w:uiPriority w:val="9"/>
    <w:rPr>
      <w:rFonts w:asciiTheme="majorHAnsi" w:hAnsiTheme="majorHAnsi" w:eastAsiaTheme="majorEastAsia" w:cstheme="majorBidi"/>
      <w:b/>
      <w:bCs/>
      <w:kern w:val="2"/>
      <w:sz w:val="32"/>
      <w:szCs w:val="32"/>
    </w:rPr>
  </w:style>
  <w:style w:type="paragraph" w:customStyle="1" w:styleId="38">
    <w:name w:val="TOC 标题1"/>
    <w:basedOn w:val="5"/>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9">
    <w:name w:val="批注框文本 字符"/>
    <w:basedOn w:val="22"/>
    <w:link w:val="13"/>
    <w:autoRedefine/>
    <w:semiHidden/>
    <w:qFormat/>
    <w:uiPriority w:val="99"/>
    <w:rPr>
      <w:rFonts w:ascii="Times New Roman" w:hAnsi="Times New Roman"/>
      <w:kern w:val="2"/>
      <w:sz w:val="18"/>
      <w:szCs w:val="18"/>
    </w:rPr>
  </w:style>
  <w:style w:type="character" w:customStyle="1" w:styleId="40">
    <w:name w:val="标题 3 字符"/>
    <w:basedOn w:val="22"/>
    <w:link w:val="7"/>
    <w:autoRedefine/>
    <w:qFormat/>
    <w:uiPriority w:val="9"/>
    <w:rPr>
      <w:rFonts w:ascii="Times New Roman" w:hAnsi="Times New Roman"/>
      <w:b/>
      <w:bCs/>
      <w:kern w:val="2"/>
      <w:sz w:val="32"/>
      <w:szCs w:val="32"/>
    </w:rPr>
  </w:style>
  <w:style w:type="character" w:customStyle="1" w:styleId="41">
    <w:name w:val="标题 1 Char"/>
    <w:basedOn w:val="22"/>
    <w:link w:val="5"/>
    <w:qFormat/>
    <w:uiPriority w:val="9"/>
    <w:rPr>
      <w:b/>
      <w:bCs/>
      <w:kern w:val="44"/>
      <w:sz w:val="44"/>
      <w:szCs w:val="44"/>
    </w:rPr>
  </w:style>
  <w:style w:type="paragraph" w:customStyle="1" w:styleId="42">
    <w:name w:val="table of figures"/>
    <w:basedOn w:val="1"/>
    <w:next w:val="1"/>
    <w:qFormat/>
    <w:uiPriority w:val="0"/>
    <w:pPr>
      <w:spacing w:before="100" w:beforeLines="0" w:beforeAutospacing="1" w:after="100" w:afterLines="0" w:afterAutospacing="1"/>
      <w:ind w:left="200" w:leftChars="200" w:hanging="200" w:hangingChars="200"/>
    </w:pPr>
  </w:style>
  <w:style w:type="paragraph" w:customStyle="1" w:styleId="4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44">
    <w:name w:val="table of figures1"/>
    <w:basedOn w:val="1"/>
    <w:next w:val="1"/>
    <w:qFormat/>
    <w:uiPriority w:val="0"/>
    <w:pPr>
      <w:spacing w:before="100" w:beforeAutospacing="1" w:after="100" w:afterAutospacing="1"/>
      <w:ind w:left="400" w:leftChars="200" w:hanging="200" w:hangingChars="200"/>
    </w:pPr>
  </w:style>
  <w:style w:type="paragraph" w:customStyle="1" w:styleId="45">
    <w:name w:val="图表目录1"/>
    <w:basedOn w:val="1"/>
    <w:next w:val="1"/>
    <w:qFormat/>
    <w:uiPriority w:val="0"/>
    <w:pPr>
      <w:spacing w:beforeAutospacing="1" w:afterAutospacing="1"/>
      <w:ind w:left="200" w:leftChars="200" w:hanging="200" w:hangingChars="200"/>
    </w:pPr>
  </w:style>
  <w:style w:type="character" w:customStyle="1" w:styleId="46">
    <w:name w:val="四号正文 Char"/>
    <w:basedOn w:val="22"/>
    <w:qFormat/>
    <w:uiPriority w:val="0"/>
    <w:rPr>
      <w:rFonts w:ascii="??" w:hAnsi="??" w:eastAsia="宋体" w:cs="宋体"/>
      <w:color w:val="000000"/>
      <w:sz w:val="28"/>
      <w:szCs w:val="21"/>
      <w:lang w:val="en-US" w:eastAsia="zh-CN" w:bidi="ar-SA"/>
    </w:rPr>
  </w:style>
  <w:style w:type="character" w:customStyle="1" w:styleId="47">
    <w:name w:val="文档结构图 Char"/>
    <w:basedOn w:val="22"/>
    <w:link w:val="3"/>
    <w:qFormat/>
    <w:uiPriority w:val="0"/>
    <w:rPr>
      <w:rFonts w:ascii="宋体"/>
      <w:kern w:val="2"/>
      <w:sz w:val="18"/>
      <w:szCs w:val="18"/>
    </w:rPr>
  </w:style>
  <w:style w:type="paragraph" w:customStyle="1" w:styleId="48">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49">
    <w:name w:val="页脚 Char"/>
    <w:basedOn w:val="22"/>
    <w:link w:val="7"/>
    <w:qFormat/>
    <w:uiPriority w:val="99"/>
    <w:rPr>
      <w:kern w:val="2"/>
      <w:sz w:val="18"/>
      <w:szCs w:val="18"/>
    </w:rPr>
  </w:style>
  <w:style w:type="character" w:customStyle="1" w:styleId="50">
    <w:name w:val="font31"/>
    <w:basedOn w:val="22"/>
    <w:qFormat/>
    <w:uiPriority w:val="0"/>
    <w:rPr>
      <w:rFonts w:hint="eastAsia" w:ascii="宋体" w:hAnsi="宋体" w:eastAsia="宋体" w:cs="宋体"/>
      <w:color w:val="000000"/>
      <w:sz w:val="24"/>
      <w:szCs w:val="24"/>
      <w:u w:val="none"/>
    </w:rPr>
  </w:style>
  <w:style w:type="character" w:customStyle="1" w:styleId="51">
    <w:name w:val="font51"/>
    <w:basedOn w:val="22"/>
    <w:qFormat/>
    <w:uiPriority w:val="0"/>
    <w:rPr>
      <w:rFonts w:hint="default" w:ascii="Wingdings 2" w:hAnsi="Wingdings 2" w:eastAsia="Wingdings 2" w:cs="Wingdings 2"/>
      <w:color w:val="000000"/>
      <w:sz w:val="18"/>
      <w:szCs w:val="18"/>
      <w:u w:val="none"/>
    </w:rPr>
  </w:style>
  <w:style w:type="character" w:customStyle="1" w:styleId="52">
    <w:name w:val="font01"/>
    <w:basedOn w:val="22"/>
    <w:qFormat/>
    <w:uiPriority w:val="0"/>
    <w:rPr>
      <w:rFonts w:ascii="宋体" w:hAnsi="宋体" w:eastAsia="宋体" w:cs="宋体"/>
      <w:color w:val="000000"/>
      <w:sz w:val="18"/>
      <w:szCs w:val="18"/>
      <w:u w:val="none"/>
    </w:rPr>
  </w:style>
  <w:style w:type="character" w:customStyle="1" w:styleId="53">
    <w:name w:val="font41"/>
    <w:basedOn w:val="22"/>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{0.09,875.56}</c:f>
              <c:numCache>
                <c:formatCode>General</c:formatCode>
                <c:ptCount val="2"/>
                <c:pt idx="0">
                  <c:v>0.09</c:v>
                </c:pt>
                <c:pt idx="1">
                  <c:v>875.56</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{875.56}</c:f>
              <c:numCache>
                <c:formatCode>General</c:formatCode>
                <c:ptCount val="1"/>
                <c:pt idx="0">
                  <c:v>875.56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{718.6,156.96}</c:f>
              <c:numCache>
                <c:formatCode>General</c:formatCode>
                <c:ptCount val="2"/>
                <c:pt idx="0">
                  <c:v>718.6</c:v>
                </c:pt>
                <c:pt idx="1">
                  <c:v>156.96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{0.09,875.56}</c:f>
              <c:numCache>
                <c:formatCode>General</c:formatCode>
                <c:ptCount val="2"/>
                <c:pt idx="0">
                  <c:v>0.09</c:v>
                </c:pt>
                <c:pt idx="1">
                  <c:v>875.56</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{0.09}</c:f>
              <c:numCache>
                <c:formatCode>General</c:formatCode>
                <c:ptCount val="1"/>
                <c:pt idx="0">
                  <c:v>0.09</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{875.56}</c:f>
              <c:numCache>
                <c:formatCode>General</c:formatCode>
                <c:ptCount val="1"/>
                <c:pt idx="0">
                  <c:v>875.56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{"一般公共服务支出","社会保障和就业支出","卫生健康支出","农林水支出","住房保障支出","灾害防治及应急管理支出"}</c:f>
              <c:strCache>
                <c:ptCount val="6"/>
                <c:pt idx="0">
                  <c:v>一般公共服务支出</c:v>
                </c:pt>
                <c:pt idx="1">
                  <c:v>社会保障和就业支出</c:v>
                </c:pt>
                <c:pt idx="2">
                  <c:v>卫生健康支出</c:v>
                </c:pt>
                <c:pt idx="3">
                  <c:v>农林水支出</c:v>
                </c:pt>
                <c:pt idx="4">
                  <c:v>住房保障支出</c:v>
                </c:pt>
                <c:pt idx="5">
                  <c:v>灾害防治及应急管理支出</c:v>
                </c:pt>
              </c:strCache>
            </c:strRef>
          </c:cat>
          <c:val>
            <c:numRef>
              <c:f>{343.69,92.46,41.13,342.32,54.53,1.43}</c:f>
              <c:numCache>
                <c:formatCode>General</c:formatCode>
                <c:ptCount val="6"/>
                <c:pt idx="0">
                  <c:v>343.69</c:v>
                </c:pt>
                <c:pt idx="1">
                  <c:v>92.46</c:v>
                </c:pt>
                <c:pt idx="2">
                  <c:v>41.13</c:v>
                </c:pt>
                <c:pt idx="3">
                  <c:v>342.32</c:v>
                </c:pt>
                <c:pt idx="4">
                  <c:v>54.53</c:v>
                </c:pt>
                <c:pt idx="5">
                  <c:v>1.43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{0,9.09,0}</c:f>
              <c:numCache>
                <c:formatCode>General</c:formatCode>
                <c:ptCount val="3"/>
                <c:pt idx="0">
                  <c:v>0</c:v>
                </c:pt>
                <c:pt idx="1">
                  <c:v>9.09</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5932</Words>
  <Characters>6517</Characters>
  <Lines>48</Lines>
  <Paragraphs>13</Paragraphs>
  <TotalTime>151</TotalTime>
  <ScaleCrop>false</ScaleCrop>
  <LinksUpToDate>false</LinksUpToDate>
  <CharactersWithSpaces>6722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WPS_1562147671</cp:lastModifiedBy>
  <cp:lastPrinted>2021-09-26T08:39:00Z</cp:lastPrinted>
  <dcterms:modified xsi:type="dcterms:W3CDTF">2025-09-04T07:42:09Z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5F5EAE46023B41039AB8027ACF0B1765_13</vt:lpwstr>
  </property>
  <property fmtid="{D5CDD505-2E9C-101B-9397-08002B2CF9AE}" pid="4" name="KSOTemplateDocerSaveRecord">
    <vt:lpwstr>eyJoZGlkIjoiZjQyZjEwM2M0MmFkMGQyYzg4YjhmMjVlODc5MWY3MjkiLCJ1c2VySWQiOiI1OTk1MDc3NDgifQ==</vt:lpwstr>
  </property>
</Properties>
</file>