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193"/>
      <w:bookmarkStart w:id="1" w:name="_Toc15396475"/>
      <w:bookmarkStart w:id="2" w:name="_Toc15396597"/>
      <w:bookmarkStart w:id="3" w:name="_Toc15377425"/>
      <w:bookmarkStart w:id="4" w:name="_Toc15378441"/>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hint="eastAsia"/>
          <w:sz w:val="72"/>
          <w:szCs w:val="72"/>
          <w:lang w:eastAsia="zh-CN"/>
        </w:rPr>
      </w:pPr>
      <w:bookmarkStart w:id="7" w:name="_Toc26843603"/>
      <w:bookmarkStart w:id="8" w:name="_Toc15306268"/>
      <w:bookmarkStart w:id="9" w:name="_Toc15377194"/>
      <w:bookmarkStart w:id="10" w:name="_Toc15377426"/>
      <w:bookmarkStart w:id="11" w:name="_Toc15396598"/>
      <w:bookmarkStart w:id="12" w:name="_Toc15378442"/>
      <w:bookmarkStart w:id="13" w:name="_Toc15396476"/>
      <w:bookmarkEnd w:id="5"/>
      <w:r>
        <w:rPr>
          <w:rFonts w:ascii="Times New Roman" w:eastAsia="方正小标宋简体" w:cs="Times New Roman" w:hAnsi="Times New Roman" w:hint="eastAsia"/>
          <w:sz w:val="72"/>
          <w:szCs w:val="72"/>
        </w:rPr>
        <w:t>金川县</w:t>
      </w:r>
      <w:r>
        <w:rPr>
          <w:rFonts w:ascii="Times New Roman" w:eastAsia="方正小标宋简体" w:cs="Times New Roman" w:hAnsi="Times New Roman" w:hint="eastAsia"/>
          <w:sz w:val="72"/>
          <w:szCs w:val="72"/>
          <w:lang w:eastAsia="zh-CN"/>
        </w:rPr>
        <w:t>金川县集沐乡人民政府</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ind w:firstLineChars="300" w:firstLine="960"/>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5</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15</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17</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一</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二</w:t>
      </w:r>
      <w:r>
        <w:rPr>
          <w:rFonts w:ascii="Times New Roman" w:cs="Times New Roman" w:hAnsi="Times New Roman"/>
          <w:bCs/>
          <w:sz w:val="24"/>
          <w:lang w:val="en-US" w:eastAsia="zh-CN" w:bidi="ar-SA"/>
        </w:rPr>
        <w:t>、</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w:t>
      </w:r>
      <w:r>
        <w:rPr>
          <w:rFonts w:cs="Times New Roman" w:hint="eastAsia"/>
          <w:sz w:val="24"/>
          <w:lang w:val="en-US" w:eastAsia="zh-CN" w:bidi="ar-SA"/>
        </w:rPr>
        <w:t>三</w:t>
      </w:r>
      <w:r>
        <w:rPr>
          <w:rFonts w:ascii="Times New Roman" w:cs="Times New Roman" w:hAnsi="Times New Roman"/>
          <w:sz w:val="24"/>
          <w:lang w:val="en-US" w:eastAsia="zh-CN" w:bidi="ar-SA"/>
        </w:rPr>
        <w:t>、</w:t>
      </w:r>
      <w:r>
        <w:rPr>
          <w:rFonts w:cs="Times New Roman" w:hint="eastAsia"/>
          <w:sz w:val="24"/>
          <w:lang w:val="en-US" w:eastAsia="zh-CN" w:bidi="ar-SA"/>
        </w:rPr>
        <w:t>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22</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96599"/>
      <w:bookmarkStart w:id="15"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15396600"/>
      <w:bookmarkStart w:id="18" w:name="_Toc15377197"/>
      <w:bookmarkStart w:id="19" w:name="_Toc26843605"/>
      <w:r>
        <w:rPr>
          <w:rStyle w:val="2Char"/>
          <w:rFonts w:ascii="Times New Roman" w:eastAsia="黑体" w:cs="Times New Roman" w:hAnsi="Times New Roman"/>
          <w:b w:val="0"/>
          <w:bCs w:val="0"/>
        </w:rPr>
        <w:t>一、基本职能及主要工作</w:t>
      </w:r>
      <w:bookmarkEnd w:id="17"/>
      <w:bookmarkEnd w:id="18"/>
      <w:bookmarkEnd w:id="19"/>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7198"/>
      <w:bookmarkStart w:id="21" w:name="_Toc15378445"/>
      <w:r>
        <w:rPr>
          <w:rFonts w:ascii="Times New Roman" w:eastAsia="楷体" w:cs="Times New Roman" w:hAnsi="Times New Roman"/>
          <w:b/>
          <w:color w:val="000000"/>
          <w:kern w:val="0"/>
          <w:sz w:val="32"/>
          <w:szCs w:val="32"/>
          <w:shd w:val="clear" w:color="auto" w:fill="auto"/>
        </w:rPr>
        <w:t>（一）主要职能。</w:t>
      </w:r>
      <w:bookmarkEnd w:id="20"/>
      <w:bookmarkEnd w:id="21"/>
    </w:p>
    <w:p>
      <w:pPr>
        <w:ind w:firstLineChars="200" w:firstLine="640"/>
        <w:rPr>
          <w:rFonts w:ascii="仿宋_GB2312" w:eastAsia="仿宋_GB2312" w:hint="eastAsia"/>
          <w:sz w:val="32"/>
          <w:szCs w:val="32"/>
        </w:rPr>
      </w:pPr>
      <w:bookmarkStart w:id="22" w:name="_Hlk14708058"/>
      <w:bookmarkStart w:id="23" w:name="_Toc15378446"/>
      <w:bookmarkStart w:id="24" w:name="_Toc15377199"/>
      <w:r>
        <w:rPr>
          <w:rFonts w:ascii="仿宋_GB2312" w:eastAsia="仿宋_GB2312" w:hint="eastAsia"/>
          <w:kern w:val="0"/>
          <w:sz w:val="32"/>
          <w:szCs w:val="32"/>
        </w:rPr>
        <w:t>20</w:t>
      </w:r>
      <w:r>
        <w:rPr>
          <w:rFonts w:ascii="仿宋_GB2312" w:eastAsia="仿宋_GB2312" w:hint="eastAsia"/>
          <w:kern w:val="0"/>
          <w:sz w:val="32"/>
          <w:szCs w:val="32"/>
          <w:lang w:val="en-US" w:eastAsia="zh-CN"/>
        </w:rPr>
        <w:t>22</w:t>
      </w:r>
      <w:r>
        <w:rPr>
          <w:rFonts w:ascii="仿宋_GB2312" w:eastAsia="仿宋_GB2312" w:hint="eastAsia"/>
          <w:kern w:val="0"/>
          <w:sz w:val="32"/>
          <w:szCs w:val="32"/>
        </w:rPr>
        <w:t>年在县委、县政府的正确领导下，认真贯彻落实党的</w:t>
      </w:r>
      <w:r>
        <w:rPr>
          <w:rFonts w:ascii="仿宋_GB2312" w:eastAsia="仿宋_GB2312" w:hint="eastAsia"/>
          <w:kern w:val="0"/>
          <w:sz w:val="32"/>
          <w:szCs w:val="32"/>
          <w:lang w:val="en-US" w:eastAsia="zh-CN"/>
        </w:rPr>
        <w:t>二十</w:t>
      </w:r>
      <w:r>
        <w:rPr>
          <w:rFonts w:ascii="仿宋_GB2312" w:eastAsia="仿宋_GB2312" w:hint="eastAsia"/>
          <w:kern w:val="0"/>
          <w:sz w:val="32"/>
          <w:szCs w:val="32"/>
        </w:rPr>
        <w:t>大精神</w:t>
      </w:r>
      <w:r>
        <w:rPr>
          <w:rFonts w:ascii="仿宋_GB2312" w:eastAsia="仿宋_GB2312" w:cs="仿宋_GB2312" w:hint="eastAsia"/>
          <w:kern w:val="0"/>
          <w:sz w:val="32"/>
          <w:szCs w:val="32"/>
        </w:rPr>
        <w:t>、</w:t>
      </w:r>
      <w:r>
        <w:rPr>
          <w:rFonts w:ascii="仿宋_GB2312" w:eastAsia="仿宋_GB2312" w:cs="仿宋_GB2312"/>
          <w:kern w:val="0"/>
          <w:sz w:val="32"/>
          <w:szCs w:val="32"/>
        </w:rPr>
        <w:t>习近平总书记</w:t>
      </w:r>
      <w:r>
        <w:rPr>
          <w:rFonts w:ascii="仿宋_GB2312" w:eastAsia="仿宋_GB2312" w:cs="仿宋_GB2312" w:hint="eastAsia"/>
          <w:sz w:val="32"/>
          <w:szCs w:val="32"/>
        </w:rPr>
        <w:t>重要讲话精神，紧紧围绕发展战略和建设目标，坚定信心，主动作为，攻坚克难，创新实干，</w:t>
      </w:r>
      <w:r>
        <w:rPr>
          <w:rFonts w:ascii="仿宋_GB2312" w:eastAsia="仿宋_GB2312" w:hint="eastAsia"/>
          <w:kern w:val="0"/>
          <w:sz w:val="32"/>
          <w:szCs w:val="32"/>
        </w:rPr>
        <w:t>着力抓经济、保稳定、惠民生、促发展，全乡经济和社会各项事业持续健康发展。全乡上下齐心协力，锐意进取，有力推动各项工作顺利开展并较好完成了</w:t>
      </w:r>
      <w:r>
        <w:rPr>
          <w:rFonts w:ascii="仿宋_GB2312" w:eastAsia="仿宋_GB2312" w:hint="eastAsia"/>
          <w:kern w:val="0"/>
          <w:sz w:val="32"/>
          <w:szCs w:val="32"/>
          <w:lang w:val="en-US" w:eastAsia="zh-CN"/>
        </w:rPr>
        <w:t>2022</w:t>
      </w:r>
      <w:r>
        <w:rPr>
          <w:rFonts w:ascii="仿宋_GB2312" w:eastAsia="仿宋_GB2312" w:hint="eastAsia"/>
          <w:kern w:val="0"/>
          <w:sz w:val="32"/>
          <w:szCs w:val="32"/>
        </w:rPr>
        <w:t>年定的各项目标任务。</w:t>
      </w:r>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bookmarkEnd w:id="22"/>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3"/>
      <w:bookmarkEnd w:id="24"/>
    </w:p>
    <w:p>
      <w:pPr>
        <w:pageBreakBefore w:val="0"/>
        <w:widowControl w:val="0"/>
        <w:kinsoku/>
        <w:wordWrap/>
        <w:overflowPunct/>
        <w:topLinePunct w:val="0"/>
        <w:bidi w:val="0"/>
        <w:spacing w:line="576" w:lineRule="exact"/>
        <w:ind w:firstLineChars="200" w:firstLine="640"/>
        <w:rPr>
          <w:rFonts w:eastAsia="方正仿宋_GBK"/>
          <w:sz w:val="32"/>
          <w:szCs w:val="32"/>
        </w:rPr>
      </w:pPr>
      <w:r>
        <w:rPr>
          <w:rFonts w:eastAsia="方正仿宋_GBK" w:hint="eastAsia"/>
          <w:sz w:val="32"/>
          <w:szCs w:val="32"/>
          <w:lang w:val="en-US" w:eastAsia="zh-CN"/>
        </w:rPr>
        <w:t>2022年</w:t>
      </w:r>
      <w:r>
        <w:rPr>
          <w:rFonts w:eastAsia="方正仿宋_GBK"/>
          <w:sz w:val="32"/>
          <w:szCs w:val="32"/>
        </w:rPr>
        <w:t>以来，集沐乡在县委、县政府的正确领导下，坚持以习近平新时代中国特色社会主义思想为指导，扎实工作，领导全乡干部群众团结一致，真抓实干，全乡各项工作取得新成效。</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eastAsia="方正仿宋_GBK"/>
          <w:b/>
          <w:bCs/>
          <w:sz w:val="32"/>
          <w:szCs w:val="32"/>
        </w:rPr>
        <w:t>一是坚持党的政治建设</w:t>
      </w:r>
      <w:r>
        <w:rPr>
          <w:rFonts w:eastAsia="方正仿宋_GBK"/>
          <w:sz w:val="32"/>
          <w:szCs w:val="32"/>
        </w:rPr>
        <w:t>。认真学习贯彻党的十九大、二十大精神、习近平新时代中国特色社会主义思想、习近平总书记来川视察重要指示精神、省第十二次党代会精神及州委、县委党代会精神，全年组织党委理论学习中心组学习12次，党委会学习30余次，职工会学习10余次。督促各支部结合“党史学习教育”主题活动，常态、深入学习。</w:t>
      </w:r>
    </w:p>
    <w:p>
      <w:pPr>
        <w:pageBreakBefore w:val="0"/>
        <w:widowControl w:val="0"/>
        <w:kinsoku/>
        <w:wordWrap/>
        <w:overflowPunct/>
        <w:topLinePunct w:val="0"/>
        <w:bidi w:val="0"/>
        <w:spacing w:line="576" w:lineRule="exact"/>
        <w:ind w:firstLineChars="200" w:firstLine="640"/>
        <w:rPr>
          <w:rFonts w:eastAsia="方正仿宋_GBK"/>
          <w:sz w:val="32"/>
          <w:szCs w:val="32"/>
        </w:rPr>
      </w:pPr>
      <w:r>
        <w:rPr>
          <w:rFonts w:eastAsia="方正仿宋_GBK"/>
          <w:b/>
          <w:bCs/>
          <w:sz w:val="32"/>
          <w:szCs w:val="32"/>
        </w:rPr>
        <w:t>二是坚持党的担当作为。</w:t>
      </w:r>
      <w:r>
        <w:rPr>
          <w:rFonts w:eastAsia="方正仿宋_GBK"/>
          <w:sz w:val="32"/>
          <w:szCs w:val="32"/>
        </w:rPr>
        <w:t>年初与各村支部签订基层党建工作目标责任书，年中选派党建指导员加大对 “三会一课”、组织生活会、党员活动日等进行督查指导，年末开展述职评议考核，促使党支部书记增强抓党建的意识，真正做到“上心用劲”。严格落实主体责任，召开党建工作例会12次，召开党员大会20余场次。</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eastAsia="方正仿宋_GBK"/>
          <w:b/>
          <w:bCs/>
          <w:sz w:val="32"/>
          <w:szCs w:val="32"/>
        </w:rPr>
        <w:t>三是坚持党的宣传方针。</w:t>
      </w:r>
      <w:r>
        <w:rPr>
          <w:rFonts w:eastAsia="方正仿宋_GBK"/>
          <w:sz w:val="32"/>
          <w:szCs w:val="32"/>
        </w:rPr>
        <w:t>通过党委会、乡村干部大会、党员大会、群众大会、发放宣传单等形式，向党员干部和群众进行多次宣传。在深入开展“两联一进”和党史学习教育“我为群众办实事”实践活动中走访群众，注重进农家门、说农家话，广泛深入地宣传解读阐释党中央大政方针、为民利民惠民政策，帮助农村干部群众了解政策、掌握政策，特别是围绕实施乡村振兴战略，把脱贫攻坚、致富兴业、民生保障、生态环保、扫黑除恶等与农民利益密切相关的政策讲清楚、讲明白</w:t>
      </w:r>
      <w:r>
        <w:rPr>
          <w:rFonts w:ascii="Times New Roman" w:eastAsia="仿宋_GB2312" w:cs="Times New Roman" w:hAnsi="Times New Roman"/>
          <w:sz w:val="32"/>
          <w:szCs w:val="32"/>
          <w:lang w:val="en-US" w:eastAsia="zh-CN"/>
        </w:rPr>
        <w:t>。</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5" w:name="_Toc79163605"/>
      <w:bookmarkStart w:id="26" w:name="_Toc79163855"/>
      <w:r>
        <w:rPr>
          <w:rFonts w:ascii="Times New Roman" w:eastAsia="黑体" w:cs="Times New Roman" w:hAnsi="Times New Roman"/>
          <w:b w:val="0"/>
          <w:color w:val="000000"/>
          <w:lang w:val="en-US" w:eastAsia="zh-CN"/>
        </w:rPr>
        <w:t xml:space="preserve">   </w:t>
      </w:r>
      <w:bookmarkStart w:id="27" w:name="_Toc15396601"/>
      <w:bookmarkStart w:id="28" w:name="_Toc26843606"/>
      <w:bookmarkStart w:id="29" w:name="_Toc15377200"/>
      <w:bookmarkEnd w:id="25"/>
      <w:bookmarkEnd w:id="26"/>
      <w:r>
        <w:rPr>
          <w:rStyle w:val="2Char"/>
          <w:rFonts w:ascii="Times New Roman" w:eastAsia="黑体" w:cs="Times New Roman" w:hAnsi="Times New Roman"/>
          <w:b w:val="0"/>
          <w:bCs w:val="0"/>
        </w:rPr>
        <w:t>二、机构设置</w:t>
      </w:r>
      <w:bookmarkEnd w:id="27"/>
      <w:bookmarkEnd w:id="28"/>
      <w:bookmarkEnd w:id="2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eastAsia="仿宋_GB2312" w:cs="Times New Roman" w:hint="eastAsia"/>
          <w:sz w:val="32"/>
          <w:szCs w:val="32"/>
          <w:lang w:val="en-US" w:eastAsia="zh-CN"/>
        </w:rPr>
        <w:t>金川县集沐乡人民政府</w:t>
      </w:r>
      <w:r>
        <w:rPr>
          <w:rFonts w:ascii="Times New Roman" w:eastAsia="仿宋_GB2312" w:cs="Times New Roman" w:hAnsi="Times New Roman"/>
          <w:sz w:val="32"/>
          <w:szCs w:val="32"/>
          <w:lang w:val="en-US" w:eastAsia="zh-CN"/>
        </w:rPr>
        <w:t>，内设：</w:t>
      </w:r>
      <w:r>
        <w:rPr>
          <w:rFonts w:eastAsia="仿宋_GB2312" w:cs="Times New Roman" w:hint="eastAsia"/>
          <w:sz w:val="32"/>
          <w:szCs w:val="32"/>
          <w:lang w:val="en-US" w:eastAsia="zh-CN"/>
        </w:rPr>
        <w:t>集沐乡人民政府办公室</w:t>
      </w:r>
      <w:r>
        <w:rPr>
          <w:rFonts w:ascii="Times New Roman" w:eastAsia="仿宋_GB2312" w:cs="Times New Roman" w:hAnsi="Times New Roman"/>
          <w:sz w:val="32"/>
          <w:szCs w:val="32"/>
          <w:lang w:val="en-US" w:eastAsia="zh-CN"/>
        </w:rPr>
        <w:t>、</w:t>
      </w:r>
      <w:r>
        <w:rPr>
          <w:rFonts w:eastAsia="仿宋_GB2312" w:cs="Times New Roman" w:hint="eastAsia"/>
          <w:sz w:val="32"/>
          <w:szCs w:val="32"/>
          <w:lang w:val="en-US" w:eastAsia="zh-CN"/>
        </w:rPr>
        <w:t>集沐乡党委办公室</w:t>
      </w:r>
      <w:r>
        <w:rPr>
          <w:rFonts w:ascii="Times New Roman" w:eastAsia="仿宋_GB2312" w:cs="Times New Roman" w:hAnsi="Times New Roman"/>
          <w:sz w:val="32"/>
          <w:szCs w:val="32"/>
          <w:lang w:val="en-US" w:eastAsia="zh-CN"/>
        </w:rPr>
        <w:t>、</w:t>
      </w:r>
      <w:r>
        <w:rPr>
          <w:rFonts w:eastAsia="仿宋_GB2312" w:cs="Times New Roman" w:hint="eastAsia"/>
          <w:sz w:val="32"/>
          <w:szCs w:val="32"/>
          <w:lang w:val="en-US" w:eastAsia="zh-CN"/>
        </w:rPr>
        <w:t>集沐乡人大办公室</w:t>
      </w:r>
      <w:r>
        <w:rPr>
          <w:rFonts w:ascii="Times New Roman" w:eastAsia="仿宋_GB2312" w:cs="Times New Roman" w:hAnsi="Times New Roman"/>
          <w:sz w:val="32"/>
          <w:szCs w:val="32"/>
          <w:lang w:val="en-US" w:eastAsia="zh-CN"/>
        </w:rPr>
        <w:t>、</w:t>
      </w:r>
      <w:r>
        <w:rPr>
          <w:rFonts w:eastAsia="仿宋_GB2312" w:cs="Times New Roman" w:hint="eastAsia"/>
          <w:sz w:val="32"/>
          <w:szCs w:val="32"/>
          <w:lang w:val="en-US" w:eastAsia="zh-CN"/>
        </w:rPr>
        <w:t>集沐乡综合服务中心</w:t>
      </w:r>
      <w:r>
        <w:rPr>
          <w:rFonts w:ascii="Times New Roman" w:eastAsia="仿宋_GB2312" w:cs="Times New Roman" w:hAnsi="Times New Roman"/>
          <w:sz w:val="32"/>
          <w:szCs w:val="32"/>
          <w:lang w:val="en-US" w:eastAsia="zh-CN"/>
        </w:rPr>
        <w:t>等</w:t>
      </w:r>
      <w:r>
        <w:rPr>
          <w:rFonts w:eastAsia="仿宋_GB2312" w:cs="Times New Roman" w:hint="eastAsia"/>
          <w:sz w:val="32"/>
          <w:szCs w:val="32"/>
          <w:lang w:val="en-US" w:eastAsia="zh-CN"/>
        </w:rPr>
        <w:t>4</w:t>
      </w:r>
      <w:r>
        <w:rPr>
          <w:rFonts w:ascii="Times New Roman" w:eastAsia="仿宋_GB2312" w:cs="Times New Roman" w:hAnsi="Times New Roman"/>
          <w:sz w:val="32"/>
          <w:szCs w:val="32"/>
          <w:lang w:val="en-US" w:eastAsia="zh-CN"/>
        </w:rPr>
        <w:t>个</w:t>
      </w:r>
      <w:r>
        <w:rPr>
          <w:rFonts w:eastAsia="仿宋_GB2312" w:cs="Times New Roman" w:hint="eastAsia"/>
          <w:sz w:val="32"/>
          <w:szCs w:val="32"/>
          <w:lang w:val="en-US" w:eastAsia="zh-CN"/>
        </w:rPr>
        <w:t>单位</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lang w:val="en-US" w:eastAsia="zh-CN"/>
        </w:rPr>
        <w:t>纳入</w:t>
      </w:r>
      <w:r>
        <w:rPr>
          <w:rFonts w:eastAsia="仿宋_GB2312" w:cs="Times New Roman" w:hint="eastAsia"/>
          <w:sz w:val="32"/>
          <w:szCs w:val="32"/>
          <w:lang w:val="en-US" w:eastAsia="zh-CN"/>
        </w:rPr>
        <w:t>金川县集沐乡人民政府</w:t>
      </w:r>
      <w:r>
        <w:rPr>
          <w:rFonts w:ascii="Times New Roman" w:eastAsia="仿宋_GB2312" w:cs="Times New Roman" w:hAnsi="Times New Roman"/>
          <w:sz w:val="32"/>
          <w:szCs w:val="32"/>
          <w:lang w:val="en-US" w:eastAsia="zh-CN"/>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lang w:val="en-US" w:eastAsia="zh-CN"/>
        </w:rPr>
        <w:t>年度部门决算编制范围的单位包括：</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1.</w:t>
      </w:r>
      <w:r>
        <w:rPr>
          <w:rFonts w:eastAsia="仿宋_GB2312" w:cs="Times New Roman" w:hint="eastAsia"/>
          <w:sz w:val="32"/>
          <w:szCs w:val="32"/>
          <w:lang w:val="en-US" w:eastAsia="zh-CN"/>
        </w:rPr>
        <w:t>集沐乡人民政府办公室</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2.</w:t>
      </w:r>
      <w:r>
        <w:rPr>
          <w:rFonts w:eastAsia="仿宋_GB2312" w:cs="Times New Roman" w:hint="eastAsia"/>
          <w:sz w:val="32"/>
          <w:szCs w:val="32"/>
          <w:lang w:val="en-US" w:eastAsia="zh-CN"/>
        </w:rPr>
        <w:t>集沐乡党委办公室</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3.</w:t>
      </w:r>
      <w:r>
        <w:rPr>
          <w:rFonts w:eastAsia="仿宋_GB2312" w:cs="Times New Roman" w:hint="eastAsia"/>
          <w:sz w:val="32"/>
          <w:szCs w:val="32"/>
          <w:lang w:val="en-US" w:eastAsia="zh-CN"/>
        </w:rPr>
        <w:t>集沐乡人大办公室</w:t>
      </w:r>
      <w:r>
        <w:rPr>
          <w:rFonts w:ascii="Times New Roman" w:eastAsia="仿宋_GB2312" w:cs="Times New Roman" w:hAnsi="Times New Roman"/>
          <w:sz w:val="32"/>
          <w:szCs w:val="32"/>
          <w:lang w:val="en-US" w:eastAsia="zh-CN"/>
        </w:rPr>
        <w:t>。</w:t>
      </w:r>
    </w:p>
    <w:p>
      <w:pPr>
        <w:pStyle w:val="16"/>
        <w:rPr>
          <w:lang w:val="en-US" w:eastAsia="zh-CN"/>
        </w:rPr>
      </w:pPr>
      <w:r>
        <w:rPr>
          <w:rFonts w:ascii="Times New Roman" w:cs="Times New Roman" w:hAnsi="Times New Roman" w:hint="eastAsia"/>
          <w:sz w:val="32"/>
          <w:szCs w:val="32"/>
          <w:lang w:val="en-US" w:eastAsia="zh-CN"/>
        </w:rPr>
        <w:t xml:space="preserve">    4.</w:t>
      </w:r>
      <w:r>
        <w:rPr>
          <w:rFonts w:eastAsia="仿宋_GB2312" w:cs="Times New Roman" w:hint="eastAsia"/>
          <w:sz w:val="32"/>
          <w:szCs w:val="32"/>
          <w:lang w:val="en-US" w:eastAsia="zh-CN"/>
        </w:rPr>
        <w:t>集沐乡综合服务中心</w:t>
      </w:r>
      <w:r>
        <w:rPr>
          <w:rFonts w:cs="Times New Roman" w:hint="eastAsia"/>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eastAsia="仿宋_GB2312" w:cs="Times New Roman" w:hint="eastAsia"/>
          <w:bCs/>
          <w:kern w:val="0"/>
          <w:sz w:val="32"/>
          <w:szCs w:val="32"/>
          <w:shd w:val="clear" w:color="auto" w:fill="FFFFFF"/>
          <w:lang w:val="en-US" w:eastAsia="zh-CN"/>
        </w:rPr>
        <w:t>县</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eastAsia="仿宋_GB2312" w:cs="Times New Roman" w:hint="eastAsia"/>
          <w:bCs/>
          <w:kern w:val="0"/>
          <w:sz w:val="32"/>
          <w:szCs w:val="32"/>
          <w:shd w:val="clear" w:color="auto" w:fill="FFFFFF"/>
          <w:lang w:val="en-US" w:eastAsia="zh-CN"/>
        </w:rPr>
        <w:t>乡</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31</w:t>
      </w:r>
      <w:r>
        <w:rPr>
          <w:rFonts w:ascii="Times New Roman" w:eastAsia="仿宋_GB2312" w:cs="Times New Roman" w:hAnsi="Times New Roman"/>
          <w:bCs/>
          <w:kern w:val="0"/>
          <w:sz w:val="32"/>
          <w:szCs w:val="32"/>
          <w:shd w:val="clear" w:color="auto" w:fill="FFFFFF"/>
          <w:lang w:val="zh-CN"/>
        </w:rPr>
        <w:t>名，其中：公务员编制</w:t>
      </w:r>
      <w:r>
        <w:rPr>
          <w:rFonts w:eastAsia="仿宋_GB2312" w:cs="Times New Roman" w:hint="eastAsia"/>
          <w:bCs/>
          <w:kern w:val="0"/>
          <w:sz w:val="32"/>
          <w:szCs w:val="32"/>
          <w:shd w:val="clear" w:color="auto" w:fill="FFFFFF"/>
          <w:lang w:val="en-US" w:eastAsia="zh-CN"/>
        </w:rPr>
        <w:t>17</w:t>
      </w:r>
      <w:r>
        <w:rPr>
          <w:rFonts w:ascii="Times New Roman" w:eastAsia="仿宋_GB2312" w:cs="Times New Roman" w:hAnsi="Times New Roman"/>
          <w:bCs/>
          <w:kern w:val="0"/>
          <w:sz w:val="32"/>
          <w:szCs w:val="32"/>
          <w:shd w:val="clear" w:color="auto" w:fill="FFFFFF"/>
          <w:lang w:val="zh-CN"/>
        </w:rPr>
        <w:t>名，机关工勤编制</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名</w:t>
      </w:r>
      <w:r>
        <w:rPr>
          <w:rFonts w:ascii="Times New Roman" w:eastAsia="仿宋_GB2312" w:cs="Times New Roman" w:hAnsi="Times New Roman"/>
          <w:bCs/>
          <w:kern w:val="0"/>
          <w:sz w:val="32"/>
          <w:szCs w:val="32"/>
          <w:shd w:val="clear" w:color="auto" w:fill="FFFFFF"/>
          <w:lang w:val="zh-CN" w:eastAsia="zh-CN"/>
        </w:rPr>
        <w:t>，事业编制</w:t>
      </w:r>
      <w:r>
        <w:rPr>
          <w:rFonts w:eastAsia="仿宋_GB2312" w:cs="Times New Roman" w:hint="eastAsia"/>
          <w:bCs/>
          <w:kern w:val="0"/>
          <w:sz w:val="32"/>
          <w:szCs w:val="32"/>
          <w:shd w:val="clear" w:color="auto" w:fill="FFFFFF"/>
          <w:lang w:val="en-US" w:eastAsia="zh-CN"/>
        </w:rPr>
        <w:t>12</w:t>
      </w:r>
      <w:r>
        <w:rPr>
          <w:rFonts w:ascii="Times New Roman" w:eastAsia="仿宋_GB2312" w:cs="Times New Roman" w:hAnsi="Times New Roman"/>
          <w:bCs/>
          <w:kern w:val="0"/>
          <w:sz w:val="32"/>
          <w:szCs w:val="32"/>
          <w:shd w:val="clear" w:color="auto" w:fill="FFFFFF"/>
          <w:lang w:val="zh-CN" w:eastAsia="zh-CN"/>
        </w:rPr>
        <w:t>名。年末实有人数</w:t>
      </w:r>
      <w:r>
        <w:rPr>
          <w:rFonts w:eastAsia="仿宋_GB2312" w:cs="Times New Roman" w:hint="eastAsia"/>
          <w:bCs/>
          <w:kern w:val="0"/>
          <w:sz w:val="32"/>
          <w:szCs w:val="32"/>
          <w:shd w:val="clear" w:color="auto" w:fill="FFFFFF"/>
          <w:lang w:val="en-US" w:eastAsia="zh-CN"/>
        </w:rPr>
        <w:t>31</w:t>
      </w:r>
      <w:r>
        <w:rPr>
          <w:rFonts w:ascii="Times New Roman" w:eastAsia="仿宋_GB2312" w:cs="Times New Roman" w:hAnsi="Times New Roman"/>
          <w:bCs/>
          <w:kern w:val="0"/>
          <w:sz w:val="32"/>
          <w:szCs w:val="32"/>
          <w:shd w:val="clear" w:color="auto" w:fill="FFFFFF"/>
          <w:lang w:val="zh-CN" w:eastAsia="zh-CN"/>
        </w:rPr>
        <w:t>名，其中：行政公务员</w:t>
      </w:r>
      <w:r>
        <w:rPr>
          <w:rFonts w:eastAsia="仿宋_GB2312" w:cs="Times New Roman" w:hint="eastAsia"/>
          <w:bCs/>
          <w:kern w:val="0"/>
          <w:sz w:val="32"/>
          <w:szCs w:val="32"/>
          <w:shd w:val="clear" w:color="auto" w:fill="FFFFFF"/>
          <w:lang w:val="en-US" w:eastAsia="zh-CN"/>
        </w:rPr>
        <w:t>17</w:t>
      </w:r>
      <w:r>
        <w:rPr>
          <w:rFonts w:ascii="Times New Roman" w:eastAsia="仿宋_GB2312" w:cs="Times New Roman" w:hAnsi="Times New Roman"/>
          <w:bCs/>
          <w:kern w:val="0"/>
          <w:sz w:val="32"/>
          <w:szCs w:val="32"/>
          <w:shd w:val="clear" w:color="auto" w:fill="FFFFFF"/>
          <w:lang w:val="zh-CN" w:eastAsia="zh-CN"/>
        </w:rPr>
        <w:t>名，</w:t>
      </w:r>
      <w:r>
        <w:rPr>
          <w:rFonts w:eastAsia="仿宋_GB2312" w:cs="Times New Roman" w:hint="eastAsia"/>
          <w:bCs/>
          <w:kern w:val="0"/>
          <w:sz w:val="32"/>
          <w:szCs w:val="32"/>
          <w:shd w:val="clear" w:color="auto" w:fill="FFFFFF"/>
          <w:lang w:val="en-US" w:eastAsia="zh-CN"/>
        </w:rPr>
        <w:t>机关</w:t>
      </w:r>
      <w:r>
        <w:rPr>
          <w:rFonts w:ascii="Times New Roman" w:eastAsia="仿宋_GB2312" w:cs="Times New Roman" w:hAnsi="Times New Roman"/>
          <w:bCs/>
          <w:kern w:val="0"/>
          <w:sz w:val="32"/>
          <w:szCs w:val="32"/>
          <w:shd w:val="clear" w:color="auto" w:fill="FFFFFF"/>
          <w:lang w:val="zh-CN" w:eastAsia="zh-CN"/>
        </w:rPr>
        <w:t>工勤</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名，事业人员1</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名。</w:t>
      </w: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15396602"/>
      <w:bookmarkStart w:id="31" w:name="_Toc26843607"/>
      <w:bookmarkStart w:id="32" w:name="_Toc15377204"/>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26843608"/>
      <w:bookmarkStart w:id="34" w:name="_Toc15396603"/>
      <w:bookmarkStart w:id="35"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年度收、支总计</w:t>
      </w:r>
      <w:r>
        <w:rPr>
          <w:rFonts w:eastAsia="仿宋_GB2312" w:cs="Times New Roman" w:hint="eastAsia"/>
          <w:spacing w:val="-2"/>
          <w:kern w:val="2"/>
          <w:sz w:val="32"/>
          <w:szCs w:val="32"/>
          <w:lang w:val="en-US" w:eastAsia="zh-CN" w:bidi="ar-SA"/>
        </w:rPr>
        <w:t>787.32</w:t>
      </w:r>
      <w:r>
        <w:rPr>
          <w:rFonts w:ascii="Times New Roman" w:eastAsia="仿宋_GB2312" w:cs="Times New Roman" w:hAnsi="Times New Roman"/>
          <w:sz w:val="32"/>
          <w:szCs w:val="32"/>
        </w:rPr>
        <w:t>万元。与202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年相比，收、支总计各增加</w:t>
      </w:r>
      <w:r>
        <w:rPr>
          <w:rFonts w:eastAsia="仿宋_GB2312" w:cs="Times New Roman" w:hint="eastAsia"/>
          <w:sz w:val="32"/>
          <w:szCs w:val="32"/>
          <w:lang w:val="en-US" w:eastAsia="zh-CN"/>
        </w:rPr>
        <w:t>81.46</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11.5</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在职人员数量增加以及村干部待遇上涨等</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420"/>
        <w:rPr>
          <w:rFonts w:ascii="Times New Roman" w:eastAsia="仿宋" w:cs="Times New Roman" w:hAnsi="Times New Roman"/>
          <w:sz w:val="32"/>
          <w:szCs w:val="32"/>
        </w:rPr>
      </w:pPr>
      <w:r>
        <w:drawing>
          <wp:anchor distT="0" distB="0" distL="114300" distR="114300" simplePos="0" relativeHeight="2" behindDoc="1" locked="0" layoutInCell="1" hidden="0" allowOverlap="1">
            <wp:simplePos x="0" y="0"/>
            <wp:positionH relativeFrom="column">
              <wp:posOffset>4445</wp:posOffset>
            </wp:positionH>
            <wp:positionV relativeFrom="paragraph">
              <wp:posOffset>60325</wp:posOffset>
            </wp:positionV>
            <wp:extent cx="4886959" cy="2399665"/>
            <wp:effectExtent l="0" t="0" r="0" b="0"/>
            <wp:wrapNone/>
            <wp:docPr id="1" name="图表 9" descr="7b0a202020202263686172745265734964223a20223230343736303834220a7d0a"/>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26843609"/>
      <w:bookmarkStart w:id="37" w:name="_Toc15396604"/>
      <w:bookmarkStart w:id="38"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pageBreakBefore w:val="0"/>
        <w:widowControl w:val="0"/>
        <w:kinsoku/>
        <w:wordWrap/>
        <w:overflowPunct/>
        <w:topLinePunct w:val="0"/>
        <w:bidi w:val="0"/>
        <w:spacing w:line="576" w:lineRule="exact"/>
        <w:ind w:firstLineChars="200" w:firstLine="420"/>
        <w:outlineLvl w:val="1"/>
        <w:rPr>
          <w:rFonts w:ascii="Times New Roman" w:eastAsia="仿宋" w:cs="Times New Roman" w:hAnsi="Times New Roman"/>
          <w:color w:val="FF0000"/>
          <w:sz w:val="32"/>
          <w:szCs w:val="32"/>
        </w:rPr>
      </w:pPr>
      <w:bookmarkStart w:id="39" w:name="_Toc26843610"/>
      <w:r>
        <w:drawing>
          <wp:anchor distT="0" distB="0" distL="114300" distR="114300" simplePos="0" relativeHeight="4" behindDoc="1" locked="0" layoutInCell="1" hidden="0" allowOverlap="1">
            <wp:simplePos x="0" y="0"/>
            <wp:positionH relativeFrom="column">
              <wp:posOffset>118745</wp:posOffset>
            </wp:positionH>
            <wp:positionV relativeFrom="paragraph">
              <wp:posOffset>2539365</wp:posOffset>
            </wp:positionV>
            <wp:extent cx="4790440" cy="1791335"/>
            <wp:effectExtent l="0" t="0" r="0" b="0"/>
            <wp:wrapNone/>
            <wp:docPr id="2" name="图表 12" descr="7b0a202020202263686172745265734964223a2022383733373732220a7d0a"/>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ascii="仿宋_GB2312" w:eastAsia="仿宋_GB2312" w:cs="宋体" w:hint="eastAsia"/>
          <w:kern w:val="0"/>
          <w:sz w:val="32"/>
          <w:szCs w:val="32"/>
          <w:lang w:val="en-US" w:eastAsia="zh-CN"/>
        </w:rPr>
        <w:t>787.32</w:t>
      </w:r>
      <w:r>
        <w:rPr>
          <w:rFonts w:ascii="Times New Roman" w:eastAsia="仿宋_GB2312" w:cs="Times New Roman" w:hAnsi="Times New Roman"/>
          <w:sz w:val="32"/>
          <w:szCs w:val="32"/>
        </w:rPr>
        <w:t>万元，其中：一般公共预算财政拨款收入</w:t>
      </w:r>
      <w:r>
        <w:rPr>
          <w:rFonts w:ascii="仿宋_GB2312" w:eastAsia="仿宋_GB2312" w:cs="宋体" w:hint="eastAsia"/>
          <w:kern w:val="0"/>
          <w:sz w:val="32"/>
          <w:szCs w:val="32"/>
          <w:lang w:val="en-US" w:eastAsia="zh-CN"/>
        </w:rPr>
        <w:t>787.32</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9"/>
      <w:r>
        <w:rPr>
          <w:rFonts w:ascii="Times New Roman" w:eastAsia="仿宋_GB2312" w:cs="Times New Roman" w:hAnsi="Times New Roman"/>
          <w:sz w:val="32"/>
          <w:szCs w:val="32"/>
        </w:rPr>
        <w:t>本年度财政应返还额度</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eastAsia="仿宋_GB2312" w:cs="Times New Roman"/>
          <w:sz w:val="32"/>
          <w:szCs w:val="32"/>
          <w:lang w:val="en-US" w:eastAsia="zh-CN"/>
        </w:rPr>
      </w:pPr>
    </w:p>
    <w:p>
      <w:pPr>
        <w:pStyle w:val="16"/>
        <w:rPr>
          <w:lang w:val="en-US" w:eastAsia="zh-C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0" w:name="_Toc15396605"/>
      <w:bookmarkStart w:id="41" w:name="_Toc26843612"/>
      <w:bookmarkStart w:id="42" w:name="_Toc15377207"/>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0"/>
      <w:bookmarkEnd w:id="41"/>
      <w:bookmarkEnd w:id="42"/>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3" w:name="_Toc26843613"/>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年度支出合计</w:t>
      </w:r>
      <w:r>
        <w:rPr>
          <w:rFonts w:eastAsia="仿宋_GB2312" w:cs="Times New Roman" w:hint="eastAsia"/>
          <w:spacing w:val="-2"/>
          <w:kern w:val="2"/>
          <w:sz w:val="32"/>
          <w:szCs w:val="32"/>
          <w:lang w:val="en-US" w:eastAsia="zh-CN" w:bidi="ar-SA"/>
        </w:rPr>
        <w:t>787.32</w:t>
      </w:r>
      <w:r>
        <w:rPr>
          <w:rFonts w:ascii="Times New Roman" w:eastAsia="仿宋_GB2312" w:cs="Times New Roman" w:hAnsi="Times New Roman"/>
          <w:sz w:val="32"/>
          <w:szCs w:val="32"/>
        </w:rPr>
        <w:t>万元，其中：基本支出</w:t>
      </w:r>
      <w:r>
        <w:rPr>
          <w:rFonts w:eastAsia="仿宋_GB2312" w:cs="Times New Roman" w:hint="eastAsia"/>
          <w:sz w:val="32"/>
          <w:szCs w:val="32"/>
          <w:lang w:val="en-US" w:eastAsia="zh-CN"/>
        </w:rPr>
        <w:t>624.21</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79.2%</w:t>
      </w:r>
      <w:r>
        <w:rPr>
          <w:rFonts w:ascii="Times New Roman" w:eastAsia="仿宋_GB2312" w:cs="Times New Roman" w:hAnsi="Times New Roman"/>
          <w:sz w:val="32"/>
          <w:szCs w:val="32"/>
        </w:rPr>
        <w:t>；项目支出</w:t>
      </w:r>
      <w:r>
        <w:rPr>
          <w:rFonts w:eastAsia="仿宋_GB2312" w:cs="Times New Roman" w:hint="eastAsia"/>
          <w:sz w:val="32"/>
          <w:szCs w:val="32"/>
          <w:lang w:val="en-US" w:eastAsia="zh-CN"/>
        </w:rPr>
        <w:t>163.11</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20.8%</w:t>
      </w:r>
      <w:r>
        <w:rPr>
          <w:rFonts w:ascii="Times New Roman" w:eastAsia="仿宋_GB2312" w:cs="Times New Roman" w:hAnsi="Times New Roman"/>
          <w:sz w:val="32"/>
          <w:szCs w:val="32"/>
        </w:rPr>
        <w:t>；上缴上级支出0万元，占0%；经营支出0万元，占0%；对附属单位补助支出0万元，占0%。</w:t>
      </w:r>
      <w:bookmarkEnd w:id="4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420"/>
        <w:rPr>
          <w:rFonts w:ascii="Times New Roman" w:eastAsia="仿宋_GB2312" w:cs="Times New Roman" w:hAnsi="Times New Roman"/>
          <w:sz w:val="32"/>
          <w:szCs w:val="32"/>
        </w:rPr>
      </w:pPr>
      <w:r>
        <w:drawing>
          <wp:anchor distT="0" distB="0" distL="114300" distR="114300" simplePos="0" relativeHeight="6" behindDoc="1" locked="0" layoutInCell="1" hidden="0" allowOverlap="1">
            <wp:simplePos x="0" y="0"/>
            <wp:positionH relativeFrom="column">
              <wp:posOffset>271145</wp:posOffset>
            </wp:positionH>
            <wp:positionV relativeFrom="paragraph">
              <wp:posOffset>-2465070</wp:posOffset>
            </wp:positionV>
            <wp:extent cx="4572000" cy="2743200"/>
            <wp:effectExtent l="0" t="0" r="0" b="0"/>
            <wp:wrapNone/>
            <wp:docPr id="3" name="图表 19"/>
            <wp:cNvGraphicFramePr>
              <a:graphicFrameLocks noChangeAspect="0"/>
            </wp:cNvGraphicFramePr>
            <a:graphic>
              <a:graphicData uri="http://schemas.openxmlformats.org/drawingml/2006/chart">
                <c:chart xmlns:c="http://schemas.openxmlformats.org/drawingml/2006/chart" r:id="rId6"/>
              </a:graphicData>
            </a:graphic>
          </wp:anchor>
        </w:drawing>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4" w:name="_Toc26843615"/>
      <w:bookmarkStart w:id="45" w:name="_Toc15396606"/>
      <w:bookmarkStart w:id="46" w:name="_Toc15377208"/>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4"/>
      <w:bookmarkEnd w:id="45"/>
      <w:bookmarkEnd w:id="46"/>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ascii="Times New Roman" w:cs="Times New Roman" w:hAnsi="Times New Roman" w:hint="eastAsia"/>
          <w:sz w:val="32"/>
          <w:szCs w:val="32"/>
          <w:lang w:val="en-US" w:eastAsia="zh-CN"/>
        </w:rPr>
        <w:t>787.32</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年相比，财政拨款收、支总计各增加</w:t>
      </w:r>
      <w:r>
        <w:rPr>
          <w:rFonts w:eastAsia="仿宋_GB2312" w:cs="Times New Roman" w:hint="eastAsia"/>
          <w:sz w:val="32"/>
          <w:szCs w:val="32"/>
          <w:lang w:val="en-US" w:eastAsia="zh-CN"/>
        </w:rPr>
        <w:t>81.46</w:t>
      </w:r>
      <w:r>
        <w:rPr>
          <w:rFonts w:ascii="Times New Roman" w:eastAsia="仿宋_GB2312" w:cs="Times New Roman" w:hAnsi="Times New Roman"/>
          <w:sz w:val="32"/>
          <w:szCs w:val="32"/>
          <w:lang w:val="en-US" w:eastAsia="zh-CN"/>
        </w:rPr>
        <w:t>万元，增长</w:t>
      </w:r>
      <w:r>
        <w:rPr>
          <w:rFonts w:eastAsia="仿宋_GB2312" w:cs="Times New Roman" w:hint="eastAsia"/>
          <w:sz w:val="32"/>
          <w:szCs w:val="32"/>
          <w:lang w:val="en-US" w:eastAsia="zh-CN"/>
        </w:rPr>
        <w:t>11.5</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在职人员数量增加以及村干部待遇上涨等</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7" w:name="_Toc15396607"/>
      <w:bookmarkStart w:id="48" w:name="_Toc15377209"/>
      <w:bookmarkStart w:id="49" w:name="_Toc26843616"/>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7"/>
      <w:bookmarkEnd w:id="48"/>
      <w:bookmarkEnd w:id="49"/>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0"/>
      <w:r>
        <w:rPr>
          <w:rFonts w:ascii="Times New Roman" w:eastAsia="仿宋" w:cs="Times New Roman" w:hAnsi="Times New Roman"/>
          <w:b/>
          <w:sz w:val="32"/>
          <w:szCs w:val="32"/>
        </w:rPr>
        <w:t>（一）一般公共预算财政拨款支出决算总体情况</w:t>
      </w:r>
      <w:bookmarkEnd w:id="50"/>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eastAsia="仿宋_GB2312" w:cs="Times New Roman" w:hint="eastAsia"/>
          <w:sz w:val="32"/>
          <w:szCs w:val="32"/>
          <w:lang w:val="en-US" w:eastAsia="zh-CN"/>
        </w:rPr>
        <w:t>787.32</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年相比，一般公共预算财政拨款支出增加</w:t>
      </w:r>
      <w:r>
        <w:rPr>
          <w:rFonts w:eastAsia="仿宋_GB2312" w:cs="Times New Roman" w:hint="eastAsia"/>
          <w:sz w:val="32"/>
          <w:szCs w:val="32"/>
          <w:lang w:val="en-US" w:eastAsia="zh-CN"/>
        </w:rPr>
        <w:t>81.46</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11.5</w:t>
      </w:r>
      <w:r>
        <w:rPr>
          <w:rFonts w:ascii="Times New Roman" w:eastAsia="仿宋_GB2312" w:cs="Times New Roman" w:hAnsi="Times New Roman"/>
          <w:sz w:val="32"/>
          <w:szCs w:val="32"/>
        </w:rPr>
        <w:t>%。是本年度</w:t>
      </w:r>
      <w:r>
        <w:rPr>
          <w:rFonts w:eastAsia="仿宋_GB2312" w:cs="Times New Roman" w:hint="eastAsia"/>
          <w:sz w:val="32"/>
          <w:szCs w:val="32"/>
          <w:lang w:val="en-US" w:eastAsia="zh-CN"/>
        </w:rPr>
        <w:t>在职人员数量增加以及村干部待遇上涨等</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100" w:firstLine="320"/>
        <w:outlineLvl w:val="2"/>
        <w:rPr>
          <w:rFonts w:ascii="Times New Roman" w:eastAsia="仿宋" w:cs="Times New Roman" w:hAnsi="Times New Roman"/>
          <w:b/>
          <w:sz w:val="32"/>
          <w:szCs w:val="32"/>
        </w:rPr>
      </w:pPr>
      <w:bookmarkStart w:id="51" w:name="_Toc15377211"/>
      <w:r>
        <w:rPr>
          <w:rFonts w:ascii="Times New Roman" w:eastAsia="仿宋" w:cs="Times New Roman" w:hAnsi="Times New Roman"/>
          <w:b/>
          <w:sz w:val="32"/>
          <w:szCs w:val="32"/>
        </w:rPr>
        <w:t>（二）一般公共预算财政拨款支出决算结构情况</w:t>
      </w:r>
      <w:bookmarkEnd w:id="51"/>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highlight w:val="auto"/>
        </w:rPr>
      </w:pPr>
      <w:r>
        <w:rPr>
          <w:rFonts w:ascii="Times New Roman" w:eastAsia="仿宋" w:cs="Times New Roman" w:hAnsi="Times New Roman"/>
          <w:sz w:val="32"/>
          <w:szCs w:val="32"/>
          <w:highlight w:val="auto"/>
        </w:rPr>
        <w:t>202</w:t>
      </w:r>
      <w:r>
        <w:rPr>
          <w:rFonts w:eastAsia="仿宋" w:cs="Times New Roman" w:hint="eastAsia"/>
          <w:sz w:val="32"/>
          <w:szCs w:val="32"/>
          <w:lang w:val="en-US" w:eastAsia="zh-CN"/>
          <w:highlight w:val="auto"/>
        </w:rPr>
        <w:t>2</w:t>
      </w:r>
      <w:r>
        <w:rPr>
          <w:rFonts w:ascii="Times New Roman" w:eastAsia="仿宋" w:cs="Times New Roman" w:hAnsi="Times New Roman"/>
          <w:sz w:val="32"/>
          <w:szCs w:val="32"/>
          <w:highlight w:val="auto"/>
        </w:rPr>
        <w:t>年一般公共预算财政拨款支出</w:t>
      </w:r>
      <w:r>
        <w:rPr>
          <w:rFonts w:eastAsia="仿宋" w:cs="Times New Roman" w:hint="eastAsia"/>
          <w:sz w:val="32"/>
          <w:szCs w:val="32"/>
          <w:lang w:val="en-US" w:eastAsia="zh-CN"/>
          <w:highlight w:val="auto"/>
        </w:rPr>
        <w:t>787.32</w:t>
      </w:r>
      <w:r>
        <w:rPr>
          <w:rFonts w:ascii="Times New Roman" w:eastAsia="仿宋" w:cs="Times New Roman" w:hAnsi="Times New Roman"/>
          <w:sz w:val="32"/>
          <w:szCs w:val="32"/>
          <w:highlight w:val="auto"/>
        </w:rPr>
        <w:t>万元，主要用于以下方面:</w:t>
      </w:r>
      <w:r>
        <w:rPr>
          <w:rFonts w:ascii="Times New Roman" w:eastAsia="仿宋" w:cs="Times New Roman" w:hAnsi="Times New Roman"/>
          <w:b/>
          <w:sz w:val="32"/>
          <w:szCs w:val="32"/>
          <w:highlight w:val="auto"/>
        </w:rPr>
        <w:t>一般公共服务（201）</w:t>
      </w:r>
      <w:r>
        <w:rPr>
          <w:rFonts w:ascii="Times New Roman" w:eastAsia="仿宋" w:cs="Times New Roman" w:hAnsi="Times New Roman"/>
          <w:sz w:val="32"/>
          <w:szCs w:val="32"/>
          <w:highlight w:val="auto"/>
        </w:rPr>
        <w:t>支出</w:t>
      </w:r>
      <w:r>
        <w:rPr>
          <w:rFonts w:eastAsia="仿宋" w:cs="Times New Roman" w:hint="eastAsia"/>
          <w:sz w:val="32"/>
          <w:szCs w:val="32"/>
          <w:lang w:val="en-US" w:eastAsia="zh-CN"/>
          <w:highlight w:val="auto"/>
        </w:rPr>
        <w:t>307.1</w:t>
      </w:r>
      <w:r>
        <w:rPr>
          <w:rFonts w:ascii="Times New Roman" w:eastAsia="仿宋" w:cs="Times New Roman" w:hAnsi="Times New Roman"/>
          <w:sz w:val="32"/>
          <w:szCs w:val="32"/>
          <w:highlight w:val="auto"/>
        </w:rPr>
        <w:t>万元，占</w:t>
      </w:r>
      <w:r>
        <w:rPr>
          <w:rFonts w:eastAsia="仿宋" w:cs="Times New Roman" w:hint="eastAsia"/>
          <w:sz w:val="32"/>
          <w:szCs w:val="32"/>
          <w:lang w:val="en-US" w:eastAsia="zh-CN"/>
          <w:highlight w:val="auto"/>
        </w:rPr>
        <w:t>39</w:t>
      </w:r>
      <w:r>
        <w:rPr>
          <w:rFonts w:ascii="Times New Roman" w:eastAsia="仿宋" w:cs="Times New Roman" w:hAnsi="Times New Roman"/>
          <w:sz w:val="32"/>
          <w:szCs w:val="32"/>
          <w:highlight w:val="auto"/>
        </w:rPr>
        <w:t>%；</w:t>
      </w:r>
      <w:r>
        <w:rPr>
          <w:rFonts w:ascii="Times New Roman" w:eastAsia="仿宋" w:cs="Times New Roman" w:hAnsi="Times New Roman" w:hint="eastAsia"/>
          <w:b/>
          <w:sz w:val="32"/>
          <w:szCs w:val="32"/>
          <w:highlight w:val="auto"/>
        </w:rPr>
        <w:t>社会保障和就业支出</w:t>
      </w:r>
      <w:r>
        <w:rPr>
          <w:rFonts w:ascii="Times New Roman" w:eastAsia="仿宋" w:cs="Times New Roman" w:hAnsi="Times New Roman"/>
          <w:b/>
          <w:sz w:val="32"/>
          <w:szCs w:val="32"/>
          <w:highlight w:val="auto"/>
        </w:rPr>
        <w:t>（20</w:t>
      </w:r>
      <w:r>
        <w:rPr>
          <w:rFonts w:eastAsia="仿宋" w:cs="Times New Roman" w:hint="eastAsia"/>
          <w:b/>
          <w:sz w:val="32"/>
          <w:szCs w:val="32"/>
          <w:lang w:val="en-US" w:eastAsia="zh-CN"/>
          <w:highlight w:val="auto"/>
        </w:rPr>
        <w:t>8</w:t>
      </w:r>
      <w:r>
        <w:rPr>
          <w:rFonts w:ascii="Times New Roman" w:eastAsia="仿宋" w:cs="Times New Roman" w:hAnsi="Times New Roman"/>
          <w:b/>
          <w:sz w:val="32"/>
          <w:szCs w:val="32"/>
          <w:highlight w:val="auto"/>
        </w:rPr>
        <w:t>）</w:t>
      </w:r>
      <w:r>
        <w:rPr>
          <w:rFonts w:ascii="Times New Roman" w:eastAsia="仿宋" w:cs="Times New Roman" w:hAnsi="Times New Roman"/>
          <w:sz w:val="32"/>
          <w:szCs w:val="32"/>
          <w:highlight w:val="auto"/>
        </w:rPr>
        <w:t>支出</w:t>
      </w:r>
      <w:r>
        <w:rPr>
          <w:rFonts w:eastAsia="仿宋" w:cs="Times New Roman" w:hint="eastAsia"/>
          <w:sz w:val="32"/>
          <w:szCs w:val="32"/>
          <w:lang w:val="en-US" w:eastAsia="zh-CN"/>
          <w:highlight w:val="auto"/>
        </w:rPr>
        <w:t>65.62</w:t>
      </w:r>
      <w:r>
        <w:rPr>
          <w:rFonts w:ascii="Times New Roman" w:eastAsia="仿宋" w:cs="Times New Roman" w:hAnsi="Times New Roman"/>
          <w:sz w:val="32"/>
          <w:szCs w:val="32"/>
          <w:highlight w:val="auto"/>
        </w:rPr>
        <w:t>万元，占</w:t>
      </w:r>
      <w:r>
        <w:rPr>
          <w:rFonts w:eastAsia="仿宋" w:cs="Times New Roman" w:hint="eastAsia"/>
          <w:sz w:val="32"/>
          <w:szCs w:val="32"/>
          <w:lang w:val="en-US" w:eastAsia="zh-CN"/>
          <w:highlight w:val="auto"/>
        </w:rPr>
        <w:t>8.3</w:t>
      </w:r>
      <w:r>
        <w:rPr>
          <w:rFonts w:ascii="Times New Roman" w:eastAsia="仿宋" w:cs="Times New Roman" w:hAnsi="Times New Roman"/>
          <w:sz w:val="32"/>
          <w:szCs w:val="32"/>
          <w:highlight w:val="auto"/>
        </w:rPr>
        <w:t>%；</w:t>
      </w:r>
      <w:r>
        <w:rPr>
          <w:rFonts w:ascii="Times New Roman" w:eastAsia="仿宋" w:cs="Times New Roman" w:hAnsi="Times New Roman" w:hint="eastAsia"/>
          <w:b/>
          <w:sz w:val="32"/>
          <w:szCs w:val="32"/>
          <w:highlight w:val="auto"/>
        </w:rPr>
        <w:t>卫生健康支出</w:t>
      </w:r>
      <w:r>
        <w:rPr>
          <w:rFonts w:eastAsia="仿宋" w:cs="Times New Roman" w:hint="eastAsia"/>
          <w:b/>
          <w:sz w:val="32"/>
          <w:szCs w:val="32"/>
          <w:lang w:eastAsia="zh-CN"/>
          <w:highlight w:val="auto"/>
        </w:rPr>
        <w:t>（</w:t>
      </w:r>
      <w:r>
        <w:rPr>
          <w:rFonts w:ascii="Times New Roman" w:eastAsia="仿宋" w:cs="Times New Roman" w:hAnsi="Times New Roman" w:hint="eastAsia"/>
          <w:b/>
          <w:sz w:val="32"/>
          <w:szCs w:val="32"/>
          <w:highlight w:val="auto"/>
        </w:rPr>
        <w:t>210</w:t>
      </w:r>
      <w:r>
        <w:rPr>
          <w:rFonts w:ascii="Times New Roman" w:eastAsia="仿宋" w:cs="Times New Roman" w:hAnsi="Times New Roman"/>
          <w:b/>
          <w:sz w:val="32"/>
          <w:szCs w:val="32"/>
          <w:highlight w:val="auto"/>
        </w:rPr>
        <w:t>）</w:t>
      </w:r>
      <w:r>
        <w:rPr>
          <w:rFonts w:ascii="Times New Roman" w:eastAsia="仿宋" w:cs="Times New Roman" w:hAnsi="Times New Roman"/>
          <w:sz w:val="32"/>
          <w:szCs w:val="32"/>
          <w:highlight w:val="auto"/>
        </w:rPr>
        <w:t>支出</w:t>
      </w:r>
      <w:r>
        <w:rPr>
          <w:rFonts w:eastAsia="仿宋" w:cs="Times New Roman" w:hint="eastAsia"/>
          <w:sz w:val="32"/>
          <w:szCs w:val="32"/>
          <w:lang w:val="en-US" w:eastAsia="zh-CN"/>
          <w:highlight w:val="auto"/>
        </w:rPr>
        <w:t>37.1</w:t>
      </w:r>
      <w:r>
        <w:rPr>
          <w:rFonts w:ascii="Times New Roman" w:eastAsia="仿宋" w:cs="Times New Roman" w:hAnsi="Times New Roman"/>
          <w:sz w:val="32"/>
          <w:szCs w:val="32"/>
          <w:highlight w:val="auto"/>
        </w:rPr>
        <w:t>万元，占</w:t>
      </w:r>
      <w:r>
        <w:rPr>
          <w:rFonts w:eastAsia="仿宋" w:cs="Times New Roman" w:hint="eastAsia"/>
          <w:sz w:val="32"/>
          <w:szCs w:val="32"/>
          <w:lang w:val="en-US" w:eastAsia="zh-CN"/>
          <w:highlight w:val="auto"/>
        </w:rPr>
        <w:t>4.7</w:t>
      </w:r>
      <w:r>
        <w:rPr>
          <w:rFonts w:ascii="Times New Roman" w:eastAsia="仿宋" w:cs="Times New Roman" w:hAnsi="Times New Roman"/>
          <w:sz w:val="32"/>
          <w:szCs w:val="32"/>
          <w:highlight w:val="auto"/>
        </w:rPr>
        <w:t>%；</w:t>
      </w:r>
      <w:r>
        <w:rPr>
          <w:rFonts w:ascii="Times New Roman" w:eastAsia="仿宋" w:cs="Times New Roman" w:hAnsi="Times New Roman" w:hint="eastAsia"/>
          <w:b/>
          <w:bCs/>
          <w:sz w:val="32"/>
          <w:szCs w:val="32"/>
          <w:highlight w:val="auto"/>
        </w:rPr>
        <w:t>农林水支出</w:t>
      </w:r>
      <w:r>
        <w:rPr>
          <w:rFonts w:ascii="Times New Roman" w:eastAsia="仿宋" w:cs="Times New Roman" w:hAnsi="Times New Roman"/>
          <w:b/>
          <w:bCs/>
          <w:sz w:val="32"/>
          <w:szCs w:val="32"/>
          <w:highlight w:val="auto"/>
        </w:rPr>
        <w:t>（21</w:t>
      </w:r>
      <w:r>
        <w:rPr>
          <w:rFonts w:eastAsia="仿宋" w:cs="Times New Roman" w:hint="eastAsia"/>
          <w:b/>
          <w:bCs/>
          <w:sz w:val="32"/>
          <w:szCs w:val="32"/>
          <w:lang w:val="en-US" w:eastAsia="zh-CN"/>
          <w:highlight w:val="auto"/>
        </w:rPr>
        <w:t>3</w:t>
      </w:r>
      <w:r>
        <w:rPr>
          <w:rFonts w:ascii="Times New Roman" w:eastAsia="仿宋" w:cs="Times New Roman" w:hAnsi="Times New Roman"/>
          <w:b/>
          <w:bCs/>
          <w:sz w:val="32"/>
          <w:szCs w:val="32"/>
          <w:highlight w:val="auto"/>
        </w:rPr>
        <w:t>）</w:t>
      </w:r>
      <w:r>
        <w:rPr>
          <w:rFonts w:ascii="Times New Roman" w:eastAsia="仿宋" w:cs="Times New Roman" w:hAnsi="Times New Roman"/>
          <w:bCs/>
          <w:sz w:val="32"/>
          <w:szCs w:val="32"/>
          <w:highlight w:val="auto"/>
        </w:rPr>
        <w:t>支出</w:t>
      </w:r>
      <w:r>
        <w:rPr>
          <w:rFonts w:eastAsia="仿宋" w:cs="Times New Roman" w:hint="eastAsia"/>
          <w:bCs/>
          <w:sz w:val="32"/>
          <w:szCs w:val="32"/>
          <w:lang w:val="en-US" w:eastAsia="zh-CN"/>
          <w:highlight w:val="auto"/>
        </w:rPr>
        <w:t>333.2</w:t>
      </w:r>
      <w:r>
        <w:rPr>
          <w:rFonts w:ascii="Times New Roman" w:eastAsia="仿宋" w:cs="Times New Roman" w:hAnsi="Times New Roman"/>
          <w:sz w:val="32"/>
          <w:szCs w:val="32"/>
          <w:highlight w:val="auto"/>
        </w:rPr>
        <w:t>万元，占</w:t>
      </w:r>
      <w:r>
        <w:rPr>
          <w:rFonts w:eastAsia="仿宋" w:cs="Times New Roman" w:hint="eastAsia"/>
          <w:sz w:val="32"/>
          <w:szCs w:val="32"/>
          <w:lang w:val="en-US" w:eastAsia="zh-CN"/>
          <w:highlight w:val="auto"/>
        </w:rPr>
        <w:t>42.3</w:t>
      </w:r>
      <w:r>
        <w:rPr>
          <w:rFonts w:ascii="Times New Roman" w:eastAsia="仿宋" w:cs="Times New Roman" w:hAnsi="Times New Roman"/>
          <w:sz w:val="32"/>
          <w:szCs w:val="32"/>
          <w:highlight w:val="auto"/>
        </w:rPr>
        <w:t>%；</w:t>
      </w:r>
      <w:r>
        <w:rPr>
          <w:rFonts w:ascii="Times New Roman" w:eastAsia="仿宋" w:cs="Times New Roman" w:hAnsi="Times New Roman"/>
          <w:b/>
          <w:bCs/>
          <w:sz w:val="32"/>
          <w:szCs w:val="32"/>
          <w:highlight w:val="auto"/>
        </w:rPr>
        <w:t>住房保障（221）</w:t>
      </w:r>
      <w:r>
        <w:rPr>
          <w:rFonts w:ascii="Times New Roman" w:eastAsia="仿宋" w:cs="Times New Roman" w:hAnsi="Times New Roman"/>
          <w:sz w:val="32"/>
          <w:szCs w:val="32"/>
          <w:highlight w:val="auto"/>
        </w:rPr>
        <w:t>支出</w:t>
      </w:r>
      <w:r>
        <w:rPr>
          <w:rFonts w:eastAsia="仿宋" w:cs="Times New Roman" w:hint="eastAsia"/>
          <w:sz w:val="32"/>
          <w:szCs w:val="32"/>
          <w:lang w:val="en-US" w:eastAsia="zh-CN"/>
          <w:highlight w:val="auto"/>
        </w:rPr>
        <w:t>41.9</w:t>
      </w:r>
      <w:r>
        <w:rPr>
          <w:rFonts w:ascii="Times New Roman" w:eastAsia="仿宋" w:cs="Times New Roman" w:hAnsi="Times New Roman"/>
          <w:sz w:val="32"/>
          <w:szCs w:val="32"/>
          <w:highlight w:val="auto"/>
        </w:rPr>
        <w:t>万元，占</w:t>
      </w:r>
      <w:r>
        <w:rPr>
          <w:rFonts w:eastAsia="仿宋" w:cs="Times New Roman" w:hint="eastAsia"/>
          <w:sz w:val="32"/>
          <w:szCs w:val="32"/>
          <w:lang w:val="en-US" w:eastAsia="zh-CN"/>
          <w:highlight w:val="auto"/>
        </w:rPr>
        <w:t>5.3</w:t>
      </w:r>
      <w:r>
        <w:rPr>
          <w:rFonts w:ascii="Times New Roman" w:eastAsia="仿宋" w:cs="Times New Roman" w:hAnsi="Times New Roman"/>
          <w:sz w:val="32"/>
          <w:szCs w:val="32"/>
          <w:highlight w:val="auto"/>
        </w:rPr>
        <w:t>%</w:t>
      </w:r>
      <w:r>
        <w:rPr>
          <w:rFonts w:eastAsia="仿宋" w:cs="Times New Roman" w:hint="eastAsia"/>
          <w:sz w:val="32"/>
          <w:szCs w:val="32"/>
          <w:lang w:eastAsia="zh-CN"/>
          <w:highlight w:val="auto"/>
        </w:rPr>
        <w:t>；</w:t>
      </w:r>
      <w:r>
        <w:rPr>
          <w:rFonts w:ascii="Times New Roman" w:eastAsia="仿宋" w:cs="Times New Roman" w:hAnsi="Times New Roman" w:hint="eastAsia"/>
          <w:b/>
          <w:bCs/>
          <w:sz w:val="32"/>
          <w:szCs w:val="32"/>
          <w:lang w:val="en-US" w:eastAsia="zh-CN"/>
          <w:highlight w:val="auto"/>
        </w:rPr>
        <w:t>其他支出</w:t>
      </w:r>
      <w:r>
        <w:rPr>
          <w:rFonts w:eastAsia="仿宋" w:cs="Times New Roman" w:hint="eastAsia"/>
          <w:sz w:val="32"/>
          <w:szCs w:val="32"/>
          <w:lang w:val="en-US" w:eastAsia="zh-CN"/>
          <w:highlight w:val="auto"/>
        </w:rPr>
        <w:t>（</w:t>
      </w:r>
      <w:r>
        <w:rPr>
          <w:rFonts w:eastAsia="仿宋" w:cs="Times New Roman" w:hint="eastAsia"/>
          <w:sz w:val="32"/>
          <w:szCs w:val="32"/>
          <w:lang w:eastAsia="zh-CN"/>
          <w:highlight w:val="auto"/>
        </w:rPr>
        <w:t>229</w:t>
      </w:r>
      <w:r>
        <w:rPr>
          <w:rFonts w:eastAsia="仿宋" w:cs="Times New Roman" w:hint="eastAsia"/>
          <w:sz w:val="32"/>
          <w:szCs w:val="32"/>
          <w:lang w:val="en-US" w:eastAsia="zh-CN"/>
          <w:highlight w:val="auto"/>
        </w:rPr>
        <w:t>）2.4万元，</w:t>
      </w:r>
      <w:r>
        <w:rPr>
          <w:rFonts w:ascii="Times New Roman" w:eastAsia="仿宋" w:cs="Times New Roman" w:hAnsi="Times New Roman"/>
          <w:sz w:val="32"/>
          <w:szCs w:val="32"/>
          <w:highlight w:val="auto"/>
        </w:rPr>
        <w:t>占</w:t>
      </w:r>
      <w:r>
        <w:rPr>
          <w:rFonts w:eastAsia="仿宋" w:cs="Times New Roman" w:hint="eastAsia"/>
          <w:sz w:val="32"/>
          <w:szCs w:val="32"/>
          <w:lang w:val="en-US" w:eastAsia="zh-CN"/>
          <w:highlight w:val="auto"/>
        </w:rPr>
        <w:t>0.4</w:t>
      </w:r>
      <w:r>
        <w:rPr>
          <w:rFonts w:ascii="Times New Roman" w:eastAsia="仿宋" w:cs="Times New Roman" w:hAnsi="Times New Roman"/>
          <w:sz w:val="32"/>
          <w:szCs w:val="32"/>
          <w:highlight w:val="auto"/>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p>
    <w:p>
      <w:pPr>
        <w:pStyle w:val="16"/>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420"/>
        <w:rPr>
          <w:rFonts w:ascii="Times New Roman" w:eastAsia="仿宋" w:cs="Times New Roman" w:hAnsi="Times New Roman"/>
          <w:color w:val="auto"/>
          <w:sz w:val="32"/>
          <w:szCs w:val="32"/>
        </w:rPr>
      </w:pPr>
      <w:r>
        <w:drawing>
          <wp:anchor distT="0" distB="0" distL="114300" distR="114300" simplePos="0" relativeHeight="8" behindDoc="1" locked="0" layoutInCell="1" hidden="0" allowOverlap="1">
            <wp:simplePos x="0" y="0"/>
            <wp:positionH relativeFrom="column">
              <wp:posOffset>271145</wp:posOffset>
            </wp:positionH>
            <wp:positionV relativeFrom="paragraph">
              <wp:posOffset>-2465070</wp:posOffset>
            </wp:positionV>
            <wp:extent cx="4572000" cy="2743200"/>
            <wp:effectExtent l="0" t="0" r="0" b="0"/>
            <wp:wrapNone/>
            <wp:docPr id="4" name="图表 4" descr="7b0a202020202263686172745265734964223a2022383733373732220a7d0a"/>
            <wp:cNvGraphicFramePr>
              <a:graphicFrameLocks noChangeAspect="0"/>
            </wp:cNvGraphicFramePr>
            <a:graphic>
              <a:graphicData uri="http://schemas.openxmlformats.org/drawingml/2006/chart">
                <c:chart xmlns:c="http://schemas.openxmlformats.org/drawingml/2006/chart" r:id="rId7"/>
              </a:graphicData>
            </a:graphic>
          </wp:anchor>
        </w:drawing>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2" w:name="_Toc15377212"/>
      <w:r>
        <w:rPr>
          <w:rFonts w:ascii="Times New Roman" w:eastAsia="仿宋" w:cs="Times New Roman" w:hAnsi="Times New Roman"/>
          <w:b/>
          <w:sz w:val="32"/>
          <w:szCs w:val="32"/>
        </w:rPr>
        <w:t>（三）一般公共预算财政拨款支出决算具体情况</w:t>
      </w:r>
      <w:bookmarkEnd w:id="5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53" w:name="_Toc15377444"/>
      <w:bookmarkStart w:id="54" w:name="_Toc15377213"/>
      <w:bookmarkStart w:id="55" w:name="_Toc15378460"/>
      <w:r>
        <w:rPr>
          <w:rFonts w:ascii="Times New Roman" w:eastAsia="仿宋" w:cs="Times New Roman" w:hAnsi="Times New Roman"/>
          <w:b/>
          <w:sz w:val="32"/>
          <w:szCs w:val="32"/>
        </w:rPr>
        <w:t>202</w:t>
      </w:r>
      <w:r>
        <w:rPr>
          <w:rFonts w:eastAsia="仿宋" w:cs="Times New Roman" w:hint="eastAsia"/>
          <w:b/>
          <w:sz w:val="32"/>
          <w:szCs w:val="32"/>
          <w:lang w:val="en-US" w:eastAsia="zh-CN"/>
        </w:rPr>
        <w:t>2</w:t>
      </w:r>
      <w:r>
        <w:rPr>
          <w:rFonts w:ascii="Times New Roman" w:eastAsia="仿宋" w:cs="Times New Roman" w:hAnsi="Times New Roman"/>
          <w:b/>
          <w:sz w:val="32"/>
          <w:szCs w:val="32"/>
        </w:rPr>
        <w:t>年一般公共预算支出决算数为</w:t>
      </w:r>
      <w:r>
        <w:rPr>
          <w:rFonts w:eastAsia="仿宋" w:cs="Times New Roman" w:hint="eastAsia"/>
          <w:b/>
          <w:sz w:val="32"/>
          <w:szCs w:val="32"/>
          <w:lang w:val="en-US" w:eastAsia="zh-CN"/>
        </w:rPr>
        <w:t>787.32</w:t>
      </w:r>
      <w:r>
        <w:rPr>
          <w:rFonts w:ascii="Times New Roman" w:eastAsia="仿宋" w:cs="Times New Roman" w:hAnsi="Times New Roman"/>
          <w:sz w:val="32"/>
          <w:szCs w:val="32"/>
        </w:rPr>
        <w:t>，</w:t>
      </w:r>
      <w:r>
        <w:rPr>
          <w:rStyle w:val="23"/>
          <w:rFonts w:ascii="Times New Roman" w:eastAsia="仿宋" w:cs="Times New Roman" w:hAnsi="Times New Roman"/>
          <w:bCs/>
          <w:sz w:val="32"/>
          <w:szCs w:val="32"/>
        </w:rPr>
        <w:t>完成预算100%。其中：</w:t>
      </w:r>
      <w:bookmarkEnd w:id="53"/>
      <w:bookmarkEnd w:id="54"/>
      <w:bookmarkEnd w:id="55"/>
    </w:p>
    <w:p>
      <w:pPr>
        <w:pageBreakBefore w:val="0"/>
        <w:widowControl w:val="0"/>
        <w:numPr>
          <w:ilvl w:val="0"/>
          <w:numId w:val="2"/>
        </w:numPr>
        <w:kinsoku/>
        <w:wordWrap/>
        <w:overflowPunct/>
        <w:topLinePunct w:val="0"/>
        <w:bidi w:val="0"/>
        <w:spacing w:line="576" w:lineRule="exact"/>
        <w:ind w:left="0" w:firstLineChars="200" w:firstLine="640"/>
        <w:rPr>
          <w:rStyle w:val="23"/>
          <w:rFonts w:ascii="Times New Roman" w:eastAsia="仿宋" w:cs="Times New Roman" w:hAnsi="Times New Roman"/>
          <w:bCs/>
          <w:sz w:val="32"/>
          <w:szCs w:val="32"/>
        </w:rPr>
      </w:pPr>
      <w:r>
        <w:rPr>
          <w:rStyle w:val="23"/>
          <w:rFonts w:ascii="Times New Roman" w:eastAsia="仿宋" w:cs="Times New Roman" w:hAnsi="Times New Roman"/>
          <w:bCs/>
          <w:sz w:val="32"/>
          <w:szCs w:val="32"/>
        </w:rPr>
        <w:t>一般公共服务（201），支出决算为</w:t>
      </w:r>
      <w:r>
        <w:rPr>
          <w:rStyle w:val="23"/>
          <w:rFonts w:eastAsia="仿宋" w:cs="Times New Roman" w:hint="eastAsia"/>
          <w:bCs/>
          <w:sz w:val="32"/>
          <w:szCs w:val="32"/>
          <w:lang w:val="en-US" w:eastAsia="zh-CN"/>
        </w:rPr>
        <w:t>307.1</w:t>
      </w:r>
      <w:r>
        <w:rPr>
          <w:rStyle w:val="23"/>
          <w:rFonts w:ascii="Times New Roman" w:eastAsia="仿宋" w:cs="Times New Roman" w:hAnsi="Times New Roman"/>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1</w:t>
      </w:r>
      <w:r>
        <w:rPr>
          <w:rFonts w:ascii="Times New Roman" w:cs="Times New Roman" w:hAnsi="Times New Roman"/>
        </w:rPr>
        <w:t>.1</w:t>
      </w:r>
      <w:r>
        <w:rPr>
          <w:rFonts w:ascii="Times New Roman" w:cs="Times New Roman" w:hAnsi="Times New Roman" w:hint="eastAsia"/>
        </w:rPr>
        <w:t>人大事务</w:t>
      </w:r>
      <w:r>
        <w:rPr>
          <w:rFonts w:ascii="Times New Roman" w:cs="Times New Roman" w:hAnsi="Times New Roman" w:hint="eastAsia"/>
          <w:lang w:eastAsia="zh-CN"/>
        </w:rPr>
        <w:t>（20101）</w:t>
      </w:r>
      <w:r>
        <w:rPr>
          <w:rFonts w:ascii="Times New Roman" w:cs="Times New Roman" w:hAnsi="Times New Roman" w:hint="eastAsia"/>
          <w:lang w:val="en-US" w:eastAsia="zh-CN"/>
        </w:rPr>
        <w:t>行政运行（</w:t>
      </w:r>
      <w:r>
        <w:rPr>
          <w:rFonts w:ascii="Times New Roman" w:cs="Times New Roman" w:hAnsi="Times New Roman" w:hint="eastAsia"/>
          <w:lang w:eastAsia="zh-CN"/>
        </w:rPr>
        <w:t>01</w:t>
      </w:r>
      <w:r>
        <w:rPr>
          <w:rFonts w:ascii="Times New Roman" w:cs="Times New Roman" w:hAnsi="Times New Roman" w:hint="eastAsia"/>
          <w:lang w:val="en-US" w:eastAsia="zh-CN"/>
        </w:rPr>
        <w:t>）</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18.7</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1</w:t>
      </w:r>
      <w:r>
        <w:rPr>
          <w:rFonts w:ascii="Times New Roman" w:cs="Times New Roman" w:hAnsi="Times New Roman"/>
        </w:rPr>
        <w:t>.</w:t>
      </w:r>
      <w:r>
        <w:rPr>
          <w:rFonts w:ascii="Times New Roman" w:cs="Times New Roman" w:hAnsi="Times New Roman" w:hint="eastAsia"/>
          <w:lang w:val="en-US" w:eastAsia="zh-CN"/>
        </w:rPr>
        <w:t>2</w:t>
      </w:r>
      <w:r>
        <w:rPr>
          <w:rFonts w:ascii="Times New Roman" w:cs="Times New Roman" w:hAnsi="Times New Roman" w:hint="eastAsia"/>
        </w:rPr>
        <w:t>政府办公厅（室）及相关机构事务</w:t>
      </w:r>
      <w:r>
        <w:rPr>
          <w:rFonts w:ascii="Times New Roman" w:cs="Times New Roman" w:hAnsi="Times New Roman" w:hint="eastAsia"/>
          <w:lang w:eastAsia="zh-CN"/>
        </w:rPr>
        <w:t>（2010</w:t>
      </w:r>
      <w:r>
        <w:rPr>
          <w:rFonts w:ascii="Times New Roman" w:cs="Times New Roman" w:hAnsi="Times New Roman" w:hint="eastAsia"/>
          <w:lang w:val="en-US" w:eastAsia="zh-CN"/>
        </w:rPr>
        <w:t>3</w:t>
      </w:r>
      <w:r>
        <w:rPr>
          <w:rFonts w:ascii="Times New Roman" w:cs="Times New Roman" w:hAnsi="Times New Roman" w:hint="eastAsia"/>
          <w:lang w:eastAsia="zh-CN"/>
        </w:rPr>
        <w:t>）</w:t>
      </w:r>
      <w:r>
        <w:rPr>
          <w:rFonts w:ascii="Times New Roman" w:cs="Times New Roman" w:hAnsi="Times New Roman" w:hint="eastAsia"/>
          <w:lang w:val="en-US" w:eastAsia="zh-CN"/>
        </w:rPr>
        <w:t>行政运行（</w:t>
      </w:r>
      <w:r>
        <w:rPr>
          <w:rFonts w:ascii="Times New Roman" w:cs="Times New Roman" w:hAnsi="Times New Roman" w:hint="eastAsia"/>
          <w:lang w:eastAsia="zh-CN"/>
        </w:rPr>
        <w:t>01</w:t>
      </w:r>
      <w:r>
        <w:rPr>
          <w:rFonts w:ascii="Times New Roman" w:cs="Times New Roman" w:hAnsi="Times New Roman" w:hint="eastAsia"/>
          <w:lang w:val="en-US" w:eastAsia="zh-CN"/>
        </w:rPr>
        <w:t>）</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270.2</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Fonts w:ascii="Times New Roman" w:eastAsia="仿宋" w:cs="Times New Roman" w:hAnsi="Times New Roman"/>
          <w:b/>
          <w:sz w:val="32"/>
          <w:szCs w:val="32"/>
        </w:rPr>
      </w:pPr>
      <w:r>
        <w:rPr>
          <w:rFonts w:ascii="Times New Roman" w:cs="Times New Roman" w:hAnsi="Times New Roman" w:hint="eastAsia"/>
          <w:lang w:val="en-US" w:eastAsia="zh-CN"/>
        </w:rPr>
        <w:t>1</w:t>
      </w:r>
      <w:r>
        <w:rPr>
          <w:rFonts w:ascii="Times New Roman" w:cs="Times New Roman" w:hAnsi="Times New Roman"/>
        </w:rPr>
        <w:t>.</w:t>
      </w:r>
      <w:r>
        <w:rPr>
          <w:rFonts w:ascii="Times New Roman" w:cs="Times New Roman" w:hAnsi="Times New Roman" w:hint="eastAsia"/>
          <w:lang w:val="en-US" w:eastAsia="zh-CN"/>
        </w:rPr>
        <w:t>3</w:t>
      </w:r>
      <w:r>
        <w:rPr>
          <w:rFonts w:ascii="Times New Roman" w:cs="Times New Roman" w:hAnsi="Times New Roman" w:hint="eastAsia"/>
        </w:rPr>
        <w:t>党委办公厅（室）及相关机构事务</w:t>
      </w:r>
      <w:r>
        <w:rPr>
          <w:rFonts w:ascii="Times New Roman" w:cs="Times New Roman" w:hAnsi="Times New Roman" w:hint="eastAsia"/>
          <w:lang w:eastAsia="zh-CN"/>
        </w:rPr>
        <w:t>（201</w:t>
      </w:r>
      <w:r>
        <w:rPr>
          <w:rFonts w:ascii="Times New Roman" w:cs="Times New Roman" w:hAnsi="Times New Roman" w:hint="eastAsia"/>
          <w:lang w:val="en-US" w:eastAsia="zh-CN"/>
        </w:rPr>
        <w:t>31</w:t>
      </w:r>
      <w:r>
        <w:rPr>
          <w:rFonts w:ascii="Times New Roman" w:cs="Times New Roman" w:hAnsi="Times New Roman" w:hint="eastAsia"/>
          <w:lang w:eastAsia="zh-CN"/>
        </w:rPr>
        <w:t>）</w:t>
      </w:r>
      <w:r>
        <w:rPr>
          <w:rFonts w:ascii="Times New Roman" w:cs="Times New Roman" w:hAnsi="Times New Roman" w:hint="eastAsia"/>
          <w:lang w:val="en-US" w:eastAsia="zh-CN"/>
        </w:rPr>
        <w:t>行政运行（</w:t>
      </w:r>
      <w:r>
        <w:rPr>
          <w:rFonts w:ascii="Times New Roman" w:cs="Times New Roman" w:hAnsi="Times New Roman" w:hint="eastAsia"/>
          <w:lang w:eastAsia="zh-CN"/>
        </w:rPr>
        <w:t>01</w:t>
      </w:r>
      <w:r>
        <w:rPr>
          <w:rFonts w:ascii="Times New Roman" w:cs="Times New Roman" w:hAnsi="Times New Roman" w:hint="eastAsia"/>
          <w:lang w:val="en-US" w:eastAsia="zh-CN"/>
        </w:rPr>
        <w:t>）</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18.2</w:t>
      </w:r>
      <w:r>
        <w:rPr>
          <w:rStyle w:val="23"/>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Cs/>
          <w:sz w:val="32"/>
          <w:szCs w:val="32"/>
        </w:rPr>
        <w:t>3.社会保障和就业（208）行政事业单位养老（05），</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65.62</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rPr>
        <w:t>3.1机关事业单位基本养老保险缴费（05）：</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43.74</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Fonts w:ascii="Times New Roman" w:cs="Times New Roman" w:hAnsi="Times New Roman"/>
        </w:rPr>
      </w:pPr>
      <w:r>
        <w:rPr>
          <w:rStyle w:val="23"/>
          <w:rFonts w:ascii="Times New Roman" w:eastAsia="仿宋" w:cs="Times New Roman" w:hAnsi="Times New Roman"/>
          <w:b w:val="0"/>
          <w:bCs/>
          <w:sz w:val="32"/>
          <w:szCs w:val="32"/>
        </w:rPr>
        <w:t>3.2</w:t>
      </w:r>
      <w:r>
        <w:rPr>
          <w:rFonts w:ascii="Times New Roman" w:cs="Times New Roman" w:hAnsi="Times New Roman"/>
        </w:rPr>
        <w:t>机关事业单位职业年金缴费（06）：</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21.88</w:t>
      </w:r>
      <w:r>
        <w:rPr>
          <w:rStyle w:val="23"/>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Cs/>
          <w:sz w:val="32"/>
          <w:szCs w:val="32"/>
        </w:rPr>
        <w:t>4.</w:t>
      </w:r>
      <w:r>
        <w:rPr>
          <w:rFonts w:ascii="Times New Roman" w:eastAsia="仿宋" w:cs="Times New Roman" w:hAnsi="Times New Roman"/>
          <w:b/>
          <w:bCs/>
          <w:sz w:val="32"/>
          <w:szCs w:val="32"/>
        </w:rPr>
        <w:t>卫生健康</w:t>
      </w:r>
      <w:r>
        <w:rPr>
          <w:rStyle w:val="23"/>
          <w:rFonts w:ascii="Times New Roman" w:eastAsia="仿宋" w:cs="Times New Roman" w:hAnsi="Times New Roman"/>
          <w:bCs/>
          <w:sz w:val="32"/>
          <w:szCs w:val="32"/>
        </w:rPr>
        <w:t>（210）:</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37.1</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rPr>
        <w:t>4.1</w:t>
      </w:r>
      <w:r>
        <w:rPr>
          <w:rFonts w:ascii="Times New Roman" w:cs="Times New Roman" w:hAnsi="Times New Roman" w:hint="eastAsia"/>
        </w:rPr>
        <w:t>公共卫生</w:t>
      </w:r>
      <w:r>
        <w:rPr>
          <w:rFonts w:ascii="Times New Roman" w:cs="Times New Roman" w:hAnsi="Times New Roman"/>
        </w:rPr>
        <w:t>（</w:t>
      </w:r>
      <w:r>
        <w:rPr>
          <w:rFonts w:ascii="Times New Roman" w:cs="Times New Roman" w:hAnsi="Times New Roman" w:hint="eastAsia"/>
        </w:rPr>
        <w:t>04</w:t>
      </w:r>
      <w:r>
        <w:rPr>
          <w:rFonts w:ascii="Times New Roman" w:cs="Times New Roman" w:hAnsi="Times New Roman"/>
        </w:rPr>
        <w:t>）</w:t>
      </w:r>
      <w:r>
        <w:rPr>
          <w:rFonts w:ascii="Times New Roman" w:cs="Times New Roman" w:hAnsi="Times New Roman" w:hint="eastAsia"/>
        </w:rPr>
        <w:t>突发公共卫生事件应急处理</w:t>
      </w:r>
      <w:r>
        <w:rPr>
          <w:rFonts w:ascii="Times New Roman" w:cs="Times New Roman" w:hAnsi="Times New Roman" w:hint="eastAsia"/>
          <w:lang w:eastAsia="zh-CN"/>
        </w:rPr>
        <w:t>（10）</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9.98</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rPr>
        <w:t>4.</w:t>
      </w:r>
      <w:r>
        <w:rPr>
          <w:rFonts w:ascii="Times New Roman" w:cs="Times New Roman" w:hAnsi="Times New Roman" w:hint="eastAsia"/>
          <w:lang w:val="en-US" w:eastAsia="zh-CN"/>
        </w:rPr>
        <w:t>2</w:t>
      </w:r>
      <w:r>
        <w:rPr>
          <w:rFonts w:ascii="Times New Roman" w:cs="Times New Roman" w:hAnsi="Times New Roman" w:hint="eastAsia"/>
        </w:rPr>
        <w:t>行政事业单位医疗</w:t>
      </w:r>
      <w:r>
        <w:rPr>
          <w:rFonts w:ascii="Times New Roman" w:cs="Times New Roman" w:hAnsi="Times New Roman"/>
        </w:rPr>
        <w:t>（</w:t>
      </w:r>
      <w:r>
        <w:rPr>
          <w:rFonts w:ascii="Times New Roman" w:cs="Times New Roman" w:hAnsi="Times New Roman" w:hint="eastAsia"/>
          <w:lang w:val="en-US" w:eastAsia="zh-CN"/>
        </w:rPr>
        <w:t>11</w:t>
      </w:r>
      <w:r>
        <w:rPr>
          <w:rFonts w:ascii="Times New Roman" w:cs="Times New Roman" w:hAnsi="Times New Roman"/>
        </w:rPr>
        <w:t>）</w:t>
      </w:r>
      <w:r>
        <w:rPr>
          <w:rStyle w:val="23"/>
          <w:rFonts w:ascii="Times New Roman" w:eastAsia="仿宋" w:cs="Times New Roman" w:hAnsi="Times New Roman" w:hint="eastAsia"/>
          <w:b w:val="0"/>
          <w:bCs/>
          <w:sz w:val="32"/>
          <w:szCs w:val="32"/>
        </w:rPr>
        <w:t>行政单位医疗</w:t>
      </w:r>
      <w:r>
        <w:rPr>
          <w:rStyle w:val="23"/>
          <w:rFonts w:ascii="Times New Roman" w:eastAsia="仿宋" w:cs="Times New Roman" w:hAnsi="Times New Roman"/>
          <w:b w:val="0"/>
          <w:bCs/>
          <w:sz w:val="32"/>
          <w:szCs w:val="32"/>
        </w:rPr>
        <w:t>（</w:t>
      </w:r>
      <w:r>
        <w:rPr>
          <w:rStyle w:val="23"/>
          <w:rFonts w:ascii="Times New Roman" w:eastAsia="仿宋" w:cs="Times New Roman" w:hAnsi="Times New Roman" w:hint="eastAsia"/>
          <w:b w:val="0"/>
          <w:bCs/>
          <w:sz w:val="32"/>
          <w:szCs w:val="32"/>
          <w:lang w:val="en-US" w:eastAsia="zh-CN"/>
        </w:rPr>
        <w:t>01</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14.2</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 w:val="0"/>
          <w:bCs/>
          <w:sz w:val="32"/>
          <w:szCs w:val="32"/>
        </w:rPr>
        <w:t>4.2</w:t>
      </w:r>
      <w:r>
        <w:rPr>
          <w:rFonts w:ascii="Times New Roman" w:cs="Times New Roman" w:hAnsi="Times New Roman" w:hint="eastAsia"/>
        </w:rPr>
        <w:t>行政事业单位医疗</w:t>
      </w:r>
      <w:r>
        <w:rPr>
          <w:rFonts w:ascii="Times New Roman" w:cs="Times New Roman" w:hAnsi="Times New Roman"/>
        </w:rPr>
        <w:t>（</w:t>
      </w:r>
      <w:r>
        <w:rPr>
          <w:rFonts w:ascii="Times New Roman" w:cs="Times New Roman" w:hAnsi="Times New Roman" w:hint="eastAsia"/>
          <w:lang w:val="en-US" w:eastAsia="zh-CN"/>
        </w:rPr>
        <w:t>11</w:t>
      </w:r>
      <w:r>
        <w:rPr>
          <w:rFonts w:ascii="Times New Roman" w:cs="Times New Roman" w:hAnsi="Times New Roman"/>
        </w:rPr>
        <w:t>）</w:t>
      </w:r>
      <w:r>
        <w:rPr>
          <w:rStyle w:val="23"/>
          <w:rFonts w:ascii="Times New Roman" w:eastAsia="仿宋" w:cs="Times New Roman" w:hAnsi="Times New Roman"/>
          <w:b w:val="0"/>
          <w:bCs/>
          <w:sz w:val="32"/>
          <w:szCs w:val="32"/>
        </w:rPr>
        <w:t>事业单位医疗（02）：支出决算为6.6万元，完成预算100%。</w:t>
      </w:r>
    </w:p>
    <w:p>
      <w:pPr>
        <w:pStyle w:val="16"/>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 w:val="0"/>
          <w:bCs/>
          <w:sz w:val="32"/>
          <w:szCs w:val="32"/>
        </w:rPr>
        <w:t>4.3</w:t>
      </w:r>
      <w:r>
        <w:rPr>
          <w:rFonts w:ascii="Times New Roman" w:cs="Times New Roman" w:hAnsi="Times New Roman" w:hint="eastAsia"/>
        </w:rPr>
        <w:t>行政事业单位医疗</w:t>
      </w:r>
      <w:r>
        <w:rPr>
          <w:rFonts w:ascii="Times New Roman" w:cs="Times New Roman" w:hAnsi="Times New Roman"/>
        </w:rPr>
        <w:t>（</w:t>
      </w:r>
      <w:r>
        <w:rPr>
          <w:rFonts w:ascii="Times New Roman" w:cs="Times New Roman" w:hAnsi="Times New Roman" w:hint="eastAsia"/>
          <w:lang w:val="en-US" w:eastAsia="zh-CN"/>
        </w:rPr>
        <w:t>11</w:t>
      </w:r>
      <w:r>
        <w:rPr>
          <w:rFonts w:ascii="Times New Roman" w:cs="Times New Roman" w:hAnsi="Times New Roman"/>
        </w:rPr>
        <w:t>）</w:t>
      </w:r>
      <w:r>
        <w:rPr>
          <w:rStyle w:val="23"/>
          <w:rFonts w:ascii="Times New Roman" w:eastAsia="仿宋" w:cs="Times New Roman" w:hAnsi="Times New Roman"/>
          <w:b w:val="0"/>
          <w:bCs/>
          <w:sz w:val="32"/>
          <w:szCs w:val="32"/>
        </w:rPr>
        <w:t>公务员医疗补助（03）：支出决算为</w:t>
      </w:r>
      <w:r>
        <w:rPr>
          <w:rStyle w:val="23"/>
          <w:rFonts w:ascii="Times New Roman" w:eastAsia="仿宋" w:cs="Times New Roman" w:hAnsi="Times New Roman" w:hint="eastAsia"/>
          <w:b w:val="0"/>
          <w:bCs/>
          <w:sz w:val="32"/>
          <w:szCs w:val="32"/>
          <w:lang w:val="en-US" w:eastAsia="zh-CN"/>
        </w:rPr>
        <w:t>4.3</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r>
        <w:rPr>
          <w:rStyle w:val="23"/>
          <w:rFonts w:ascii="Times New Roman" w:eastAsia="仿宋" w:cs="Times New Roman" w:hAnsi="Times New Roman"/>
          <w:b w:val="0"/>
          <w:bCs/>
          <w:sz w:val="32"/>
          <w:szCs w:val="32"/>
        </w:rPr>
        <w:t>4.4</w:t>
      </w:r>
      <w:r>
        <w:rPr>
          <w:rFonts w:ascii="Times New Roman" w:cs="Times New Roman" w:hAnsi="Times New Roman" w:hint="eastAsia"/>
        </w:rPr>
        <w:t>行政事业单位医疗</w:t>
      </w:r>
      <w:r>
        <w:rPr>
          <w:rFonts w:ascii="Times New Roman" w:cs="Times New Roman" w:hAnsi="Times New Roman"/>
        </w:rPr>
        <w:t>（</w:t>
      </w:r>
      <w:r>
        <w:rPr>
          <w:rFonts w:ascii="Times New Roman" w:cs="Times New Roman" w:hAnsi="Times New Roman" w:hint="eastAsia"/>
          <w:lang w:val="en-US" w:eastAsia="zh-CN"/>
        </w:rPr>
        <w:t>11</w:t>
      </w:r>
      <w:r>
        <w:rPr>
          <w:rFonts w:ascii="Times New Roman" w:cs="Times New Roman" w:hAnsi="Times New Roman"/>
        </w:rPr>
        <w:t>）</w:t>
      </w:r>
      <w:r>
        <w:rPr>
          <w:rStyle w:val="23"/>
          <w:rFonts w:ascii="Times New Roman" w:eastAsia="仿宋" w:cs="Times New Roman" w:hAnsi="Times New Roman"/>
          <w:b w:val="0"/>
          <w:bCs/>
          <w:sz w:val="32"/>
          <w:szCs w:val="32"/>
        </w:rPr>
        <w:t>其他行政事业单位医疗（99）：支出决算为</w:t>
      </w:r>
      <w:r>
        <w:rPr>
          <w:rStyle w:val="23"/>
          <w:rFonts w:ascii="Times New Roman" w:eastAsia="仿宋" w:cs="Times New Roman" w:hAnsi="Times New Roman" w:hint="eastAsia"/>
          <w:b w:val="0"/>
          <w:bCs/>
          <w:sz w:val="32"/>
          <w:szCs w:val="32"/>
          <w:lang w:val="en-US" w:eastAsia="zh-CN"/>
        </w:rPr>
        <w:t>2.02</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3"/>
          <w:rFonts w:ascii="Times New Roman" w:eastAsia="仿宋" w:cs="Times New Roman" w:hAnsi="Times New Roman"/>
          <w:b w:val="0"/>
          <w:bCs/>
          <w:sz w:val="32"/>
          <w:szCs w:val="32"/>
        </w:rPr>
      </w:pPr>
    </w:p>
    <w:p>
      <w:pPr>
        <w:pageBreakBefore w:val="0"/>
        <w:widowControl w:val="0"/>
        <w:numPr>
          <w:ilvl w:val="0"/>
          <w:numId w:val="3"/>
        </w:numPr>
        <w:kinsoku/>
        <w:wordWrap/>
        <w:overflowPunct/>
        <w:topLinePunct w:val="0"/>
        <w:bidi w:val="0"/>
        <w:spacing w:line="576" w:lineRule="exact"/>
        <w:ind w:left="0" w:firstLineChars="200" w:firstLine="640"/>
        <w:rPr>
          <w:rStyle w:val="23"/>
          <w:rFonts w:ascii="Times New Roman" w:eastAsia="仿宋" w:cs="Times New Roman" w:hAnsi="Times New Roman"/>
          <w:bCs/>
          <w:sz w:val="32"/>
          <w:szCs w:val="32"/>
        </w:rPr>
      </w:pPr>
      <w:r>
        <w:rPr>
          <w:rFonts w:ascii="Times New Roman" w:eastAsia="仿宋" w:cs="Times New Roman" w:hAnsi="Times New Roman"/>
          <w:b/>
          <w:bCs/>
          <w:sz w:val="32"/>
          <w:szCs w:val="32"/>
        </w:rPr>
        <w:t>住房保障</w:t>
      </w:r>
      <w:r>
        <w:rPr>
          <w:rStyle w:val="23"/>
          <w:rFonts w:ascii="Times New Roman" w:eastAsia="仿宋" w:cs="Times New Roman" w:hAnsi="Times New Roman"/>
          <w:bCs/>
          <w:sz w:val="32"/>
          <w:szCs w:val="32"/>
        </w:rPr>
        <w:t>（221）住房改革（02）住房公积金（01）:</w:t>
      </w:r>
      <w:r>
        <w:rPr>
          <w:rStyle w:val="23"/>
          <w:rFonts w:ascii="Times New Roman" w:eastAsia="仿宋" w:cs="Times New Roman" w:hAnsi="Times New Roman"/>
          <w:b w:val="0"/>
          <w:bCs/>
          <w:sz w:val="32"/>
          <w:szCs w:val="32"/>
        </w:rPr>
        <w:t>支出决算为</w:t>
      </w:r>
      <w:r>
        <w:rPr>
          <w:rStyle w:val="23"/>
          <w:rFonts w:eastAsia="仿宋" w:cs="Times New Roman" w:hint="eastAsia"/>
          <w:b w:val="0"/>
          <w:bCs/>
          <w:sz w:val="32"/>
          <w:szCs w:val="32"/>
          <w:lang w:val="en-US" w:eastAsia="zh-CN"/>
        </w:rPr>
        <w:t>41.9</w:t>
      </w:r>
      <w:r>
        <w:rPr>
          <w:rStyle w:val="23"/>
          <w:rFonts w:ascii="Times New Roman" w:eastAsia="仿宋" w:cs="Times New Roman" w:hAnsi="Times New Roman"/>
          <w:b w:val="0"/>
          <w:bCs/>
          <w:sz w:val="32"/>
          <w:szCs w:val="32"/>
        </w:rPr>
        <w:t>万元，完成预算100%。</w:t>
      </w:r>
    </w:p>
    <w:p>
      <w:pPr>
        <w:pageBreakBefore w:val="0"/>
        <w:widowControl w:val="0"/>
        <w:numPr>
          <w:ilvl w:val="0"/>
          <w:numId w:val="3"/>
        </w:numPr>
        <w:kinsoku/>
        <w:wordWrap/>
        <w:overflowPunct/>
        <w:topLinePunct w:val="0"/>
        <w:bidi w:val="0"/>
        <w:spacing w:line="576" w:lineRule="exact"/>
        <w:ind w:left="0" w:firstLineChars="200" w:firstLine="640"/>
        <w:rPr>
          <w:rStyle w:val="23"/>
          <w:rFonts w:ascii="Times New Roman" w:eastAsia="仿宋" w:cs="Times New Roman" w:hAnsi="Times New Roman"/>
          <w:bCs/>
          <w:sz w:val="32"/>
          <w:szCs w:val="32"/>
        </w:rPr>
      </w:pPr>
      <w:r>
        <w:rPr>
          <w:rStyle w:val="23"/>
          <w:rFonts w:ascii="Times New Roman" w:eastAsia="仿宋" w:cs="Times New Roman" w:hAnsi="Times New Roman" w:hint="eastAsia"/>
          <w:bCs/>
          <w:sz w:val="32"/>
          <w:szCs w:val="32"/>
        </w:rPr>
        <w:t>农林水支出</w:t>
      </w:r>
      <w:r>
        <w:rPr>
          <w:rStyle w:val="23"/>
          <w:rFonts w:ascii="Times New Roman" w:eastAsia="仿宋" w:cs="Times New Roman" w:hAnsi="Times New Roman"/>
          <w:bCs/>
          <w:sz w:val="32"/>
          <w:szCs w:val="32"/>
        </w:rPr>
        <w:t>（2</w:t>
      </w:r>
      <w:r>
        <w:rPr>
          <w:rStyle w:val="23"/>
          <w:rFonts w:eastAsia="仿宋" w:cs="Times New Roman" w:hint="eastAsia"/>
          <w:bCs/>
          <w:sz w:val="32"/>
          <w:szCs w:val="32"/>
          <w:lang w:val="en-US" w:eastAsia="zh-CN"/>
        </w:rPr>
        <w:t>13</w:t>
      </w:r>
      <w:r>
        <w:rPr>
          <w:rStyle w:val="23"/>
          <w:rFonts w:ascii="Times New Roman" w:eastAsia="仿宋" w:cs="Times New Roman" w:hAnsi="Times New Roman"/>
          <w:bCs/>
          <w:sz w:val="32"/>
          <w:szCs w:val="32"/>
        </w:rPr>
        <w:t>），支出决算为</w:t>
      </w:r>
      <w:r>
        <w:rPr>
          <w:rStyle w:val="23"/>
          <w:rFonts w:eastAsia="仿宋" w:cs="Times New Roman" w:hint="eastAsia"/>
          <w:bCs/>
          <w:sz w:val="32"/>
          <w:szCs w:val="32"/>
          <w:lang w:val="en-US" w:eastAsia="zh-CN"/>
        </w:rPr>
        <w:t>333.2</w:t>
      </w:r>
      <w:r>
        <w:rPr>
          <w:rStyle w:val="23"/>
          <w:rFonts w:ascii="Times New Roman" w:eastAsia="仿宋" w:cs="Times New Roman" w:hAnsi="Times New Roman"/>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6</w:t>
      </w:r>
      <w:r>
        <w:rPr>
          <w:rFonts w:ascii="Times New Roman" w:cs="Times New Roman" w:hAnsi="Times New Roman"/>
        </w:rPr>
        <w:t>.1</w:t>
      </w:r>
      <w:r>
        <w:rPr>
          <w:rFonts w:ascii="Times New Roman" w:cs="Times New Roman" w:hAnsi="Times New Roman" w:hint="eastAsia"/>
        </w:rPr>
        <w:t>农业农村</w:t>
      </w:r>
      <w:r>
        <w:rPr>
          <w:rFonts w:ascii="Times New Roman" w:cs="Times New Roman" w:hAnsi="Times New Roman" w:hint="eastAsia"/>
          <w:lang w:eastAsia="zh-CN"/>
        </w:rPr>
        <w:t>（21301）</w:t>
      </w:r>
      <w:r>
        <w:rPr>
          <w:rFonts w:ascii="Times New Roman" w:cs="Times New Roman" w:hAnsi="Times New Roman" w:hint="eastAsia"/>
          <w:lang w:val="en-US" w:eastAsia="zh-CN"/>
        </w:rPr>
        <w:t>事业运行（</w:t>
      </w:r>
      <w:r>
        <w:rPr>
          <w:rFonts w:ascii="Times New Roman" w:cs="Times New Roman" w:hAnsi="Times New Roman" w:hint="eastAsia"/>
          <w:lang w:eastAsia="zh-CN"/>
        </w:rPr>
        <w:t>0</w:t>
      </w:r>
      <w:r>
        <w:rPr>
          <w:rFonts w:ascii="Times New Roman" w:cs="Times New Roman" w:hAnsi="Times New Roman" w:hint="eastAsia"/>
          <w:lang w:val="en-US" w:eastAsia="zh-CN"/>
        </w:rPr>
        <w:t>4）</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182.48</w:t>
      </w:r>
      <w:r>
        <w:rPr>
          <w:rStyle w:val="23"/>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3"/>
          <w:rFonts w:ascii="Times New Roman" w:eastAsia="仿宋" w:cs="Times New Roman" w:hAnsi="Times New Roman"/>
          <w:b w:val="0"/>
          <w:bCs/>
          <w:sz w:val="32"/>
          <w:szCs w:val="32"/>
        </w:rPr>
      </w:pPr>
      <w:r>
        <w:rPr>
          <w:rFonts w:ascii="Times New Roman" w:cs="Times New Roman" w:hAnsi="Times New Roman" w:hint="eastAsia"/>
          <w:lang w:val="en-US" w:eastAsia="zh-CN"/>
        </w:rPr>
        <w:t>6</w:t>
      </w:r>
      <w:r>
        <w:rPr>
          <w:rFonts w:ascii="Times New Roman" w:cs="Times New Roman" w:hAnsi="Times New Roman"/>
        </w:rPr>
        <w:t>.</w:t>
      </w:r>
      <w:r>
        <w:rPr>
          <w:rFonts w:ascii="Times New Roman" w:cs="Times New Roman" w:hAnsi="Times New Roman" w:hint="eastAsia"/>
          <w:lang w:val="en-US" w:eastAsia="zh-CN"/>
        </w:rPr>
        <w:t>2</w:t>
      </w:r>
      <w:r>
        <w:rPr>
          <w:rFonts w:ascii="Times New Roman" w:cs="Times New Roman" w:hAnsi="Times New Roman" w:hint="eastAsia"/>
        </w:rPr>
        <w:t>农村综合改革</w:t>
      </w:r>
      <w:r>
        <w:rPr>
          <w:rFonts w:ascii="Times New Roman" w:cs="Times New Roman" w:hAnsi="Times New Roman" w:hint="eastAsia"/>
          <w:lang w:eastAsia="zh-CN"/>
        </w:rPr>
        <w:t>（21301）</w:t>
      </w:r>
      <w:r>
        <w:rPr>
          <w:rFonts w:ascii="Times New Roman" w:cs="Times New Roman" w:hAnsi="Times New Roman" w:hint="eastAsia"/>
          <w:lang w:val="en-US" w:eastAsia="zh-CN"/>
        </w:rPr>
        <w:t>对村民委员会和村党支部的补助（</w:t>
      </w:r>
      <w:r>
        <w:rPr>
          <w:rFonts w:ascii="Times New Roman" w:cs="Times New Roman" w:hAnsi="Times New Roman" w:hint="eastAsia"/>
          <w:lang w:eastAsia="zh-CN"/>
        </w:rPr>
        <w:t>0</w:t>
      </w:r>
      <w:r>
        <w:rPr>
          <w:rFonts w:ascii="Times New Roman" w:cs="Times New Roman" w:hAnsi="Times New Roman" w:hint="eastAsia"/>
          <w:lang w:val="en-US" w:eastAsia="zh-CN"/>
        </w:rPr>
        <w:t>5）</w:t>
      </w:r>
      <w:r>
        <w:rPr>
          <w:rFonts w:ascii="Times New Roman" w:cs="Times New Roman" w:hAnsi="Times New Roman"/>
        </w:rPr>
        <w:t>：</w:t>
      </w:r>
      <w:r>
        <w:rPr>
          <w:rStyle w:val="23"/>
          <w:rFonts w:ascii="Times New Roman" w:eastAsia="仿宋" w:cs="Times New Roman" w:hAnsi="Times New Roman"/>
          <w:b w:val="0"/>
          <w:bCs/>
          <w:sz w:val="32"/>
          <w:szCs w:val="32"/>
        </w:rPr>
        <w:t>支出决算为</w:t>
      </w:r>
      <w:r>
        <w:rPr>
          <w:rStyle w:val="23"/>
          <w:rFonts w:ascii="Times New Roman" w:eastAsia="仿宋" w:cs="Times New Roman" w:hAnsi="Times New Roman" w:hint="eastAsia"/>
          <w:b w:val="0"/>
          <w:bCs/>
          <w:sz w:val="32"/>
          <w:szCs w:val="32"/>
          <w:lang w:val="en-US" w:eastAsia="zh-CN"/>
        </w:rPr>
        <w:t>150.72</w:t>
      </w:r>
      <w:r>
        <w:rPr>
          <w:rStyle w:val="23"/>
          <w:rFonts w:ascii="Times New Roman" w:eastAsia="仿宋" w:cs="Times New Roman" w:hAnsi="Times New Roman"/>
          <w:b w:val="0"/>
          <w:bCs/>
          <w:sz w:val="32"/>
          <w:szCs w:val="32"/>
        </w:rPr>
        <w:t>万元，完成预算100%。</w:t>
      </w:r>
    </w:p>
    <w:p>
      <w:pPr>
        <w:pStyle w:val="16"/>
        <w:pageBreakBefore w:val="0"/>
        <w:widowControl w:val="0"/>
        <w:numPr>
          <w:ilvl w:val="0"/>
          <w:numId w:val="3"/>
        </w:numPr>
        <w:kinsoku/>
        <w:wordWrap/>
        <w:overflowPunct/>
        <w:topLinePunct w:val="0"/>
        <w:bidi w:val="0"/>
        <w:spacing w:line="576" w:lineRule="exact"/>
        <w:ind w:left="0" w:firstLineChars="200" w:firstLine="640"/>
      </w:pPr>
      <w:r>
        <w:rPr>
          <w:rStyle w:val="23"/>
          <w:rFonts w:ascii="Times New Roman" w:eastAsia="仿宋" w:cs="Times New Roman" w:hAnsi="Times New Roman" w:hint="eastAsia"/>
          <w:bCs/>
          <w:kern w:val="2"/>
          <w:sz w:val="32"/>
          <w:szCs w:val="32"/>
          <w:lang w:val="en-US" w:eastAsia="zh-CN" w:bidi="ar-SA"/>
        </w:rPr>
        <w:t>其他支出（229</w:t>
      </w:r>
      <w:r>
        <w:rPr>
          <w:rStyle w:val="23"/>
          <w:rFonts w:ascii="Times New Roman" w:eastAsia="仿宋" w:cs="Times New Roman" w:hAnsi="Times New Roman"/>
          <w:bCs/>
          <w:sz w:val="32"/>
          <w:szCs w:val="32"/>
        </w:rPr>
        <w:t>），</w:t>
      </w:r>
      <w:r>
        <w:rPr>
          <w:rStyle w:val="23"/>
          <w:rFonts w:ascii="Times New Roman" w:eastAsia="仿宋" w:cs="Times New Roman" w:hAnsi="Times New Roman" w:hint="eastAsia"/>
          <w:bCs/>
          <w:sz w:val="32"/>
          <w:szCs w:val="32"/>
        </w:rPr>
        <w:t>其他支出</w:t>
      </w:r>
      <w:r>
        <w:rPr>
          <w:rStyle w:val="23"/>
          <w:rFonts w:eastAsia="仿宋" w:cs="Times New Roman" w:hint="eastAsia"/>
          <w:bCs/>
          <w:sz w:val="32"/>
          <w:szCs w:val="32"/>
          <w:lang w:eastAsia="zh-CN"/>
        </w:rPr>
        <w:t>（</w:t>
      </w:r>
      <w:r>
        <w:rPr>
          <w:rStyle w:val="23"/>
          <w:rFonts w:eastAsia="仿宋" w:cs="Times New Roman" w:hint="eastAsia"/>
          <w:bCs/>
          <w:sz w:val="32"/>
          <w:szCs w:val="32"/>
          <w:lang w:val="en-US" w:eastAsia="zh-CN"/>
        </w:rPr>
        <w:t>99</w:t>
      </w:r>
      <w:r>
        <w:rPr>
          <w:rStyle w:val="23"/>
          <w:rFonts w:eastAsia="仿宋" w:cs="Times New Roman" w:hint="eastAsia"/>
          <w:bCs/>
          <w:sz w:val="32"/>
          <w:szCs w:val="32"/>
          <w:lang w:eastAsia="zh-CN"/>
        </w:rPr>
        <w:t>）</w:t>
      </w:r>
      <w:r>
        <w:rPr>
          <w:rStyle w:val="23"/>
          <w:rFonts w:ascii="Times New Roman" w:eastAsia="仿宋" w:cs="Times New Roman" w:hAnsi="Times New Roman" w:hint="eastAsia"/>
          <w:bCs/>
          <w:sz w:val="32"/>
          <w:szCs w:val="32"/>
        </w:rPr>
        <w:t>其他支出</w:t>
      </w:r>
      <w:r>
        <w:rPr>
          <w:rStyle w:val="23"/>
          <w:rFonts w:eastAsia="仿宋" w:cs="Times New Roman" w:hint="eastAsia"/>
          <w:bCs/>
          <w:sz w:val="32"/>
          <w:szCs w:val="32"/>
          <w:lang w:eastAsia="zh-CN"/>
        </w:rPr>
        <w:t>（</w:t>
      </w:r>
      <w:r>
        <w:rPr>
          <w:rStyle w:val="23"/>
          <w:rFonts w:eastAsia="仿宋" w:cs="Times New Roman" w:hint="eastAsia"/>
          <w:bCs/>
          <w:sz w:val="32"/>
          <w:szCs w:val="32"/>
          <w:lang w:val="en-US" w:eastAsia="zh-CN"/>
        </w:rPr>
        <w:t>99</w:t>
      </w:r>
      <w:r>
        <w:rPr>
          <w:rStyle w:val="23"/>
          <w:rFonts w:eastAsia="仿宋" w:cs="Times New Roman" w:hint="eastAsia"/>
          <w:bCs/>
          <w:sz w:val="32"/>
          <w:szCs w:val="32"/>
          <w:lang w:eastAsia="zh-CN"/>
        </w:rPr>
        <w:t>）</w:t>
      </w:r>
      <w:r>
        <w:rPr>
          <w:rStyle w:val="23"/>
          <w:rFonts w:ascii="Times New Roman" w:eastAsia="仿宋" w:cs="Times New Roman" w:hAnsi="Times New Roman"/>
          <w:bCs/>
          <w:sz w:val="32"/>
          <w:szCs w:val="32"/>
        </w:rPr>
        <w:t>支出决算为</w:t>
      </w:r>
      <w:r>
        <w:rPr>
          <w:rStyle w:val="23"/>
          <w:rFonts w:eastAsia="仿宋" w:cs="Times New Roman" w:hint="eastAsia"/>
          <w:bCs/>
          <w:sz w:val="32"/>
          <w:szCs w:val="32"/>
          <w:lang w:val="en-US" w:eastAsia="zh-CN"/>
        </w:rPr>
        <w:t>2.4</w:t>
      </w:r>
      <w:r>
        <w:rPr>
          <w:rStyle w:val="23"/>
          <w:rFonts w:ascii="Times New Roman" w:eastAsia="仿宋" w:cs="Times New Roman" w:hAnsi="Times New Roman"/>
          <w:bCs/>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56" w:name="_Toc15396608"/>
      <w:bookmarkStart w:id="57" w:name="_Toc15377214"/>
      <w:bookmarkStart w:id="58" w:name="_Toc26843617"/>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6"/>
      <w:bookmarkEnd w:id="57"/>
      <w:r>
        <w:rPr>
          <w:rStyle w:val="2Char"/>
          <w:rFonts w:ascii="Times New Roman" w:eastAsia="黑体" w:cs="Times New Roman" w:hAnsi="Times New Roman"/>
          <w:b w:val="0"/>
        </w:rPr>
        <w:tab/>
      </w:r>
      <w:bookmarkEnd w:id="58"/>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年一般公共预算财政拨款基本支出</w:t>
      </w:r>
      <w:r>
        <w:rPr>
          <w:rFonts w:eastAsia="仿宋_GB2312" w:cs="Times New Roman"/>
          <w:sz w:val="32"/>
          <w:szCs w:val="32"/>
          <w:lang w:val="en-US" w:eastAsia="zh-CN"/>
        </w:rPr>
        <w:t>624.22</w:t>
      </w:r>
      <w:r>
        <w:rPr>
          <w:rFonts w:ascii="Times New Roman" w:eastAsia="仿宋_GB2312" w:cs="Times New Roman" w:hAnsi="Times New Roman"/>
          <w:sz w:val="32"/>
          <w:szCs w:val="32"/>
        </w:rPr>
        <w:t>万元，其中：</w:t>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人员经费</w:t>
      </w:r>
      <w:r>
        <w:rPr>
          <w:rFonts w:eastAsia="仿宋_GB2312" w:cs="Times New Roman"/>
          <w:sz w:val="32"/>
          <w:szCs w:val="32"/>
          <w:lang w:val="en-US" w:eastAsia="zh-CN"/>
        </w:rPr>
        <w:t>516.63</w:t>
      </w:r>
      <w:r>
        <w:rPr>
          <w:rFonts w:ascii="Times New Roman" w:eastAsia="仿宋_GB2312" w:cs="Times New Roman" w:hAnsi="Times New Roman"/>
          <w:sz w:val="32"/>
          <w:szCs w:val="32"/>
        </w:rPr>
        <w:t>万元，主要包括：基本工资</w:t>
      </w:r>
      <w:r>
        <w:rPr>
          <w:rFonts w:eastAsia="仿宋_GB2312" w:cs="Times New Roman" w:hint="eastAsia"/>
          <w:sz w:val="32"/>
          <w:szCs w:val="32"/>
          <w:lang w:val="en-US" w:eastAsia="zh-CN"/>
        </w:rPr>
        <w:t>109.0</w:t>
      </w:r>
      <w:r>
        <w:rPr>
          <w:rFonts w:eastAsia="仿宋_GB2312" w:cs="Times New Roman"/>
          <w:sz w:val="32"/>
          <w:szCs w:val="32"/>
          <w:lang w:val="en-US" w:eastAsia="zh-CN"/>
        </w:rPr>
        <w:t>5</w:t>
      </w:r>
      <w:r>
        <w:rPr>
          <w:rFonts w:ascii="Times New Roman" w:eastAsia="仿宋_GB2312" w:cs="Times New Roman" w:hAnsi="Times New Roman"/>
          <w:sz w:val="32"/>
          <w:szCs w:val="32"/>
        </w:rPr>
        <w:t>万元、津贴补贴</w:t>
      </w:r>
      <w:r>
        <w:rPr>
          <w:rFonts w:eastAsia="仿宋_GB2312" w:cs="Times New Roman" w:hint="eastAsia"/>
          <w:sz w:val="32"/>
          <w:szCs w:val="32"/>
          <w:lang w:val="en-US" w:eastAsia="zh-CN"/>
        </w:rPr>
        <w:t>128.5</w:t>
      </w:r>
      <w:r>
        <w:rPr>
          <w:rFonts w:eastAsia="仿宋_GB2312" w:cs="Times New Roman"/>
          <w:sz w:val="32"/>
          <w:szCs w:val="32"/>
          <w:lang w:val="en-US" w:eastAsia="zh-CN"/>
        </w:rPr>
        <w:t>3</w:t>
      </w:r>
      <w:r>
        <w:rPr>
          <w:rFonts w:ascii="Times New Roman" w:eastAsia="仿宋_GB2312" w:cs="Times New Roman" w:hAnsi="Times New Roman"/>
          <w:sz w:val="32"/>
          <w:szCs w:val="32"/>
        </w:rPr>
        <w:t>万元、奖金</w:t>
      </w:r>
      <w:r>
        <w:rPr>
          <w:rFonts w:eastAsia="仿宋_GB2312" w:cs="Times New Roman" w:hint="eastAsia"/>
          <w:sz w:val="32"/>
          <w:szCs w:val="32"/>
          <w:lang w:val="en-US" w:eastAsia="zh-CN"/>
        </w:rPr>
        <w:t>105.5</w:t>
      </w:r>
      <w:r>
        <w:rPr>
          <w:rFonts w:ascii="Times New Roman" w:eastAsia="仿宋_GB2312" w:cs="Times New Roman" w:hAnsi="Times New Roman"/>
          <w:sz w:val="32"/>
          <w:szCs w:val="32"/>
        </w:rPr>
        <w:t>万元、绩效工资3</w:t>
      </w:r>
      <w:r>
        <w:rPr>
          <w:rFonts w:eastAsia="仿宋_GB2312" w:cs="Times New Roman" w:hint="eastAsia"/>
          <w:sz w:val="32"/>
          <w:szCs w:val="32"/>
          <w:lang w:val="en-US" w:eastAsia="zh-CN"/>
        </w:rPr>
        <w:t>4</w:t>
      </w:r>
      <w:r>
        <w:rPr>
          <w:rFonts w:ascii="Times New Roman" w:eastAsia="仿宋_GB2312" w:cs="Times New Roman" w:hAnsi="Times New Roman"/>
          <w:sz w:val="32"/>
          <w:szCs w:val="32"/>
        </w:rPr>
        <w:t>.</w:t>
      </w:r>
      <w:r>
        <w:rPr>
          <w:rFonts w:eastAsia="仿宋_GB2312" w:cs="Times New Roman" w:hint="eastAsia"/>
          <w:sz w:val="32"/>
          <w:szCs w:val="32"/>
          <w:lang w:val="en-US" w:eastAsia="zh-CN"/>
        </w:rPr>
        <w:t>0</w:t>
      </w:r>
      <w:r>
        <w:rPr>
          <w:rFonts w:eastAsia="仿宋_GB2312" w:cs="Times New Roman"/>
          <w:sz w:val="32"/>
          <w:szCs w:val="32"/>
          <w:lang w:val="en-US" w:eastAsia="zh-CN"/>
        </w:rPr>
        <w:t>4</w:t>
      </w:r>
      <w:r>
        <w:rPr>
          <w:rFonts w:ascii="Times New Roman" w:eastAsia="仿宋_GB2312" w:cs="Times New Roman" w:hAnsi="Times New Roman"/>
          <w:sz w:val="32"/>
          <w:szCs w:val="32"/>
        </w:rPr>
        <w:t>万元、机关事业单位基本养老保险缴费</w:t>
      </w:r>
      <w:r>
        <w:rPr>
          <w:rFonts w:eastAsia="仿宋_GB2312" w:cs="Times New Roman" w:hint="eastAsia"/>
          <w:sz w:val="32"/>
          <w:szCs w:val="32"/>
          <w:lang w:val="en-US" w:eastAsia="zh-CN"/>
        </w:rPr>
        <w:t>43.74</w:t>
      </w:r>
      <w:r>
        <w:rPr>
          <w:rFonts w:ascii="Times New Roman" w:eastAsia="仿宋_GB2312" w:cs="Times New Roman" w:hAnsi="Times New Roman"/>
          <w:sz w:val="32"/>
          <w:szCs w:val="32"/>
        </w:rPr>
        <w:t>万元、职业年金缴费</w:t>
      </w:r>
      <w:r>
        <w:rPr>
          <w:rFonts w:eastAsia="仿宋_GB2312" w:cs="Times New Roman" w:hint="eastAsia"/>
          <w:sz w:val="32"/>
          <w:szCs w:val="32"/>
          <w:lang w:val="en-US" w:eastAsia="zh-CN"/>
        </w:rPr>
        <w:t>21.8</w:t>
      </w:r>
      <w:r>
        <w:rPr>
          <w:rFonts w:eastAsia="仿宋_GB2312" w:cs="Times New Roman"/>
          <w:sz w:val="32"/>
          <w:szCs w:val="32"/>
          <w:lang w:val="en-US" w:eastAsia="zh-CN"/>
        </w:rPr>
        <w:t>7</w:t>
      </w:r>
      <w:r>
        <w:rPr>
          <w:rFonts w:ascii="Times New Roman" w:eastAsia="仿宋_GB2312" w:cs="Times New Roman" w:hAnsi="Times New Roman"/>
          <w:sz w:val="32"/>
          <w:szCs w:val="32"/>
        </w:rPr>
        <w:t>万元、职工基本医疗保险缴费</w:t>
      </w:r>
      <w:r>
        <w:rPr>
          <w:rFonts w:eastAsia="仿宋_GB2312" w:cs="Times New Roman" w:hint="eastAsia"/>
          <w:sz w:val="32"/>
          <w:szCs w:val="32"/>
          <w:lang w:val="en-US" w:eastAsia="zh-CN"/>
        </w:rPr>
        <w:t>20.8</w:t>
      </w:r>
      <w:r>
        <w:rPr>
          <w:rFonts w:eastAsia="仿宋_GB2312" w:cs="Times New Roman"/>
          <w:sz w:val="32"/>
          <w:szCs w:val="32"/>
          <w:lang w:val="en-US" w:eastAsia="zh-CN"/>
        </w:rPr>
        <w:t>3</w:t>
      </w:r>
      <w:r>
        <w:rPr>
          <w:rFonts w:ascii="Times New Roman" w:eastAsia="仿宋_GB2312" w:cs="Times New Roman" w:hAnsi="Times New Roman"/>
          <w:sz w:val="32"/>
          <w:szCs w:val="32"/>
        </w:rPr>
        <w:t>万元、公务员医疗补助缴费</w:t>
      </w:r>
      <w:r>
        <w:rPr>
          <w:rFonts w:eastAsia="仿宋_GB2312" w:cs="Times New Roman" w:hint="eastAsia"/>
          <w:sz w:val="32"/>
          <w:szCs w:val="32"/>
          <w:lang w:val="en-US" w:eastAsia="zh-CN"/>
        </w:rPr>
        <w:t>4.3</w:t>
      </w:r>
      <w:r>
        <w:rPr>
          <w:rFonts w:ascii="Times New Roman" w:eastAsia="仿宋_GB2312" w:cs="Times New Roman" w:hAnsi="Times New Roman"/>
          <w:sz w:val="32"/>
          <w:szCs w:val="32"/>
        </w:rPr>
        <w:t>万元、其他社会保障缴费</w:t>
      </w:r>
      <w:r>
        <w:rPr>
          <w:rFonts w:eastAsia="仿宋_GB2312" w:cs="Times New Roman" w:hint="eastAsia"/>
          <w:sz w:val="32"/>
          <w:szCs w:val="32"/>
          <w:lang w:val="en-US" w:eastAsia="zh-CN"/>
        </w:rPr>
        <w:t>6.</w:t>
      </w:r>
      <w:r>
        <w:rPr>
          <w:rFonts w:eastAsia="仿宋_GB2312" w:cs="Times New Roman"/>
          <w:sz w:val="32"/>
          <w:szCs w:val="32"/>
          <w:lang w:val="en-US" w:eastAsia="zh-CN"/>
        </w:rPr>
        <w:t>88</w:t>
      </w:r>
      <w:r>
        <w:rPr>
          <w:rFonts w:ascii="Times New Roman" w:eastAsia="仿宋_GB2312" w:cs="Times New Roman" w:hAnsi="Times New Roman"/>
          <w:sz w:val="32"/>
          <w:szCs w:val="32"/>
        </w:rPr>
        <w:t>万元、住房公积金</w:t>
      </w:r>
      <w:r>
        <w:rPr>
          <w:rFonts w:eastAsia="仿宋_GB2312" w:cs="Times New Roman" w:hint="eastAsia"/>
          <w:sz w:val="32"/>
          <w:szCs w:val="32"/>
          <w:lang w:val="en-US" w:eastAsia="zh-CN"/>
        </w:rPr>
        <w:t>41.</w:t>
      </w:r>
      <w:r>
        <w:rPr>
          <w:rFonts w:eastAsia="仿宋_GB2312" w:cs="Times New Roman"/>
          <w:sz w:val="32"/>
          <w:szCs w:val="32"/>
          <w:lang w:val="en-US" w:eastAsia="zh-CN"/>
        </w:rPr>
        <w:t>89</w:t>
      </w:r>
      <w:r>
        <w:rPr>
          <w:rFonts w:ascii="Times New Roman" w:eastAsia="仿宋_GB2312" w:cs="Times New Roman" w:hAnsi="Times New Roman"/>
          <w:sz w:val="32"/>
          <w:szCs w:val="32"/>
        </w:rPr>
        <w:t>万元</w:t>
      </w:r>
      <w:r>
        <w:rPr>
          <w:rFonts w:eastAsia="仿宋_GB2312" w:cs="Times New Roman" w:hint="eastAsia"/>
          <w:sz w:val="32"/>
          <w:szCs w:val="32"/>
          <w:lang w:eastAsia="zh-CN"/>
        </w:rPr>
        <w:t>、</w:t>
      </w:r>
      <w:r>
        <w:rPr>
          <w:rFonts w:ascii="Times New Roman" w:eastAsia="仿宋_GB2312" w:cs="Times New Roman" w:hAnsi="Times New Roman"/>
          <w:sz w:val="32"/>
          <w:szCs w:val="32"/>
        </w:rPr>
        <w:t>等。</w:t>
      </w:r>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公用经费</w:t>
      </w:r>
      <w:r>
        <w:rPr>
          <w:rFonts w:eastAsia="仿宋_GB2312" w:cs="Times New Roman" w:hint="eastAsia"/>
          <w:sz w:val="32"/>
          <w:szCs w:val="32"/>
          <w:lang w:val="en-US" w:eastAsia="zh-CN"/>
        </w:rPr>
        <w:t>83.19</w:t>
      </w:r>
      <w:r>
        <w:rPr>
          <w:rFonts w:ascii="Times New Roman" w:eastAsia="仿宋_GB2312" w:cs="Times New Roman" w:hAnsi="Times New Roman"/>
          <w:sz w:val="32"/>
          <w:szCs w:val="32"/>
        </w:rPr>
        <w:t>万元，主要包括：办公费</w:t>
      </w:r>
      <w:r>
        <w:rPr>
          <w:rFonts w:eastAsia="仿宋_GB2312" w:cs="Times New Roman" w:hint="eastAsia"/>
          <w:sz w:val="32"/>
          <w:szCs w:val="32"/>
          <w:lang w:val="en-US" w:eastAsia="zh-CN"/>
        </w:rPr>
        <w:t>39.6</w:t>
      </w:r>
      <w:r>
        <w:rPr>
          <w:rFonts w:eastAsia="仿宋_GB2312" w:cs="Times New Roman"/>
          <w:sz w:val="32"/>
          <w:szCs w:val="32"/>
          <w:lang w:val="en-US" w:eastAsia="zh-CN"/>
        </w:rPr>
        <w:t>4</w:t>
      </w:r>
      <w:r>
        <w:rPr>
          <w:rFonts w:ascii="Times New Roman" w:eastAsia="仿宋_GB2312" w:cs="Times New Roman" w:hAnsi="Times New Roman"/>
          <w:sz w:val="32"/>
          <w:szCs w:val="32"/>
        </w:rPr>
        <w:t>万元、印刷费</w:t>
      </w:r>
      <w:r>
        <w:rPr>
          <w:rFonts w:eastAsia="仿宋_GB2312" w:cs="Times New Roman" w:hint="eastAsia"/>
          <w:sz w:val="32"/>
          <w:szCs w:val="32"/>
          <w:lang w:val="en-US" w:eastAsia="zh-CN"/>
        </w:rPr>
        <w:t>0.49</w:t>
      </w:r>
      <w:r>
        <w:rPr>
          <w:rFonts w:ascii="Times New Roman" w:eastAsia="仿宋_GB2312" w:cs="Times New Roman" w:hAnsi="Times New Roman"/>
          <w:sz w:val="32"/>
          <w:szCs w:val="32"/>
        </w:rPr>
        <w:t>万元、水费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万元、电费</w:t>
      </w:r>
      <w:r>
        <w:rPr>
          <w:rFonts w:eastAsia="仿宋_GB2312" w:cs="Times New Roman" w:hint="eastAsia"/>
          <w:sz w:val="32"/>
          <w:szCs w:val="32"/>
          <w:lang w:val="en-US" w:eastAsia="zh-CN"/>
        </w:rPr>
        <w:t>0.5</w:t>
      </w:r>
      <w:r>
        <w:rPr>
          <w:rFonts w:ascii="Times New Roman" w:eastAsia="仿宋_GB2312" w:cs="Times New Roman" w:hAnsi="Times New Roman"/>
          <w:sz w:val="32"/>
          <w:szCs w:val="32"/>
        </w:rPr>
        <w:t>万元、邮电费</w:t>
      </w:r>
      <w:r>
        <w:rPr>
          <w:rFonts w:eastAsia="仿宋_GB2312" w:cs="Times New Roman" w:hint="eastAsia"/>
          <w:sz w:val="32"/>
          <w:szCs w:val="32"/>
          <w:lang w:val="en-US" w:eastAsia="zh-CN"/>
        </w:rPr>
        <w:t>1.46</w:t>
      </w:r>
      <w:r>
        <w:rPr>
          <w:rFonts w:ascii="Times New Roman" w:eastAsia="仿宋_GB2312" w:cs="Times New Roman" w:hAnsi="Times New Roman"/>
          <w:sz w:val="32"/>
          <w:szCs w:val="32"/>
        </w:rPr>
        <w:t>万元、差旅费</w:t>
      </w:r>
      <w:r>
        <w:rPr>
          <w:rFonts w:eastAsia="仿宋_GB2312" w:cs="Times New Roman" w:hint="eastAsia"/>
          <w:sz w:val="32"/>
          <w:szCs w:val="32"/>
          <w:lang w:val="en-US" w:eastAsia="zh-CN"/>
        </w:rPr>
        <w:t>1.0</w:t>
      </w:r>
      <w:r>
        <w:rPr>
          <w:rFonts w:eastAsia="仿宋_GB2312" w:cs="Times New Roman"/>
          <w:sz w:val="32"/>
          <w:szCs w:val="32"/>
          <w:lang w:val="en-US" w:eastAsia="zh-CN"/>
        </w:rPr>
        <w:t>1</w:t>
      </w:r>
      <w:r>
        <w:rPr>
          <w:rFonts w:ascii="Times New Roman" w:eastAsia="仿宋_GB2312" w:cs="Times New Roman" w:hAnsi="Times New Roman"/>
          <w:sz w:val="32"/>
          <w:szCs w:val="32"/>
        </w:rPr>
        <w:t>万元、维修（护）费</w:t>
      </w:r>
      <w:r>
        <w:rPr>
          <w:rFonts w:eastAsia="仿宋_GB2312" w:cs="Times New Roman" w:hint="eastAsia"/>
          <w:sz w:val="32"/>
          <w:szCs w:val="32"/>
          <w:lang w:val="en-US" w:eastAsia="zh-CN"/>
        </w:rPr>
        <w:t>28</w:t>
      </w:r>
      <w:r>
        <w:rPr>
          <w:rFonts w:ascii="Times New Roman" w:eastAsia="仿宋_GB2312" w:cs="Times New Roman" w:hAnsi="Times New Roman"/>
          <w:sz w:val="32"/>
          <w:szCs w:val="32"/>
        </w:rPr>
        <w:t>万元、租赁费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万元、会议费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万元、培训费0万元、公务接待费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万元、劳务费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万元、委托业务费</w:t>
      </w:r>
      <w:r>
        <w:rPr>
          <w:rFonts w:eastAsia="仿宋_GB2312" w:cs="Times New Roman" w:hint="eastAsia"/>
          <w:sz w:val="32"/>
          <w:szCs w:val="32"/>
          <w:lang w:val="en-US" w:eastAsia="zh-CN"/>
        </w:rPr>
        <w:t>3</w:t>
      </w:r>
      <w:r>
        <w:rPr>
          <w:rFonts w:ascii="Times New Roman" w:eastAsia="仿宋_GB2312" w:cs="Times New Roman" w:hAnsi="Times New Roman"/>
          <w:sz w:val="32"/>
          <w:szCs w:val="32"/>
        </w:rPr>
        <w:t>万元、工会经费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万元、福利费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万元、公务用车运行维护费</w:t>
      </w:r>
      <w:r>
        <w:rPr>
          <w:rFonts w:eastAsia="仿宋_GB2312" w:cs="Times New Roman" w:hint="eastAsia"/>
          <w:sz w:val="32"/>
          <w:szCs w:val="32"/>
          <w:lang w:val="en-US" w:eastAsia="zh-CN"/>
        </w:rPr>
        <w:t>9.0</w:t>
      </w:r>
      <w:r>
        <w:rPr>
          <w:rFonts w:eastAsia="仿宋_GB2312" w:cs="Times New Roman"/>
          <w:sz w:val="32"/>
          <w:szCs w:val="32"/>
          <w:lang w:val="en-US" w:eastAsia="zh-CN"/>
        </w:rPr>
        <w:t>9</w:t>
      </w:r>
      <w:r>
        <w:rPr>
          <w:rFonts w:ascii="Times New Roman" w:eastAsia="仿宋_GB2312" w:cs="Times New Roman" w:hAnsi="Times New Roman"/>
          <w:sz w:val="32"/>
          <w:szCs w:val="32"/>
        </w:rPr>
        <w:t>万元、其他交通费</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万元、办公设备购置</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万元、公务用车购置</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万元等。</w:t>
      </w: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59" w:name="_Toc26843618"/>
      <w:bookmarkStart w:id="60" w:name="_Toc15396609"/>
      <w:bookmarkStart w:id="61" w:name="_Toc15377215"/>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9"/>
      <w:bookmarkEnd w:id="60"/>
      <w:bookmarkEnd w:id="61"/>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2" w:name="_Toc15377216"/>
      <w:r>
        <w:rPr>
          <w:rFonts w:ascii="Times New Roman" w:eastAsia="仿宋" w:cs="Times New Roman" w:hAnsi="Times New Roman"/>
          <w:b/>
          <w:sz w:val="32"/>
          <w:szCs w:val="32"/>
        </w:rPr>
        <w:t>（一）“三公”经费财政拨款支出决算总体情况说明</w:t>
      </w:r>
      <w:bookmarkEnd w:id="62"/>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eastAsia="仿宋_GB2312" w:cs="Times New Roman" w:hint="eastAsia"/>
          <w:sz w:val="32"/>
          <w:szCs w:val="32"/>
          <w:lang w:val="en-US" w:eastAsia="zh-CN"/>
        </w:rPr>
        <w:t>9.0</w:t>
      </w:r>
      <w:r>
        <w:rPr>
          <w:rFonts w:eastAsia="仿宋_GB2312" w:cs="Times New Roman"/>
          <w:sz w:val="32"/>
          <w:szCs w:val="32"/>
          <w:lang w:val="en-US" w:eastAsia="zh-CN"/>
        </w:rPr>
        <w:t>9</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3" w:name="_Toc15377217"/>
      <w:r>
        <w:rPr>
          <w:rFonts w:ascii="Times New Roman" w:eastAsia="仿宋" w:cs="Times New Roman" w:hAnsi="Times New Roman"/>
          <w:b/>
          <w:sz w:val="32"/>
          <w:szCs w:val="32"/>
        </w:rPr>
        <w:t>（二）“三公”经费财政拨款支出决算具体情况说明</w:t>
      </w:r>
      <w:bookmarkEnd w:id="6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年“三公”经费财政拨款支出决算中，因公出国（境）费支出决算0万元，占0%；公务用车购置及运行维护费支出决算</w:t>
      </w:r>
      <w:r>
        <w:rPr>
          <w:rFonts w:eastAsia="仿宋_GB2312" w:cs="Times New Roman" w:hint="eastAsia"/>
          <w:sz w:val="32"/>
          <w:szCs w:val="32"/>
          <w:lang w:val="en-US" w:eastAsia="zh-CN"/>
        </w:rPr>
        <w:t>9.0</w:t>
      </w:r>
      <w:r>
        <w:rPr>
          <w:rFonts w:eastAsia="仿宋_GB2312" w:cs="Times New Roman"/>
          <w:sz w:val="32"/>
          <w:szCs w:val="32"/>
          <w:lang w:val="en-US" w:eastAsia="zh-CN"/>
        </w:rPr>
        <w:t>9</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w:t>
      </w:r>
      <w:r>
        <w:rPr>
          <w:rFonts w:eastAsia="仿宋" w:cs="Times New Roman" w:hint="eastAsia"/>
          <w:sz w:val="32"/>
          <w:szCs w:val="32"/>
          <w:lang w:val="en-US" w:eastAsia="zh-CN"/>
        </w:rPr>
        <w:t>0</w:t>
      </w:r>
      <w:r>
        <w:rPr>
          <w:rFonts w:ascii="Times New Roman" w:eastAsia="仿宋" w:cs="Times New Roman" w:hAnsi="Times New Roman"/>
          <w:sz w:val="32"/>
          <w:szCs w:val="32"/>
        </w:rPr>
        <w:t>%。具体情况如下：</w:t>
      </w: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640"/>
        <w:rPr>
          <w:rFonts w:ascii="Times New Roman" w:eastAsia="仿宋" w:cs="Times New Roman" w:hAnsi="Times New Roman"/>
          <w:color w:val="FF0000"/>
          <w:sz w:val="32"/>
          <w:szCs w:val="32"/>
        </w:rPr>
      </w:pPr>
      <w:r>
        <w:drawing>
          <wp:anchor distT="0" distB="0" distL="114300" distR="114300" simplePos="0" relativeHeight="10" behindDoc="1" locked="0" layoutInCell="1" hidden="0" allowOverlap="1">
            <wp:simplePos x="0" y="0"/>
            <wp:positionH relativeFrom="column">
              <wp:posOffset>410210</wp:posOffset>
            </wp:positionH>
            <wp:positionV relativeFrom="paragraph">
              <wp:posOffset>-2465070</wp:posOffset>
            </wp:positionV>
            <wp:extent cx="4572000" cy="2743200"/>
            <wp:effectExtent l="0" t="0" r="0" b="0"/>
            <wp:wrapNone/>
            <wp:docPr id="5" name="图表 8" descr="7b0a202020202263686172745265734964223a202234353236383334220a7d0a"/>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全年安排因公出国（境）团组0次，出国（境）0人。因公出国（境）支出决算比2020年持平。</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b/>
          <w:sz w:val="32"/>
          <w:szCs w:val="32"/>
        </w:rPr>
        <w:t>2.</w:t>
      </w:r>
      <w:r>
        <w:rPr>
          <w:rFonts w:ascii="Times New Roman" w:eastAsia="仿宋_GB2312" w:cs="Times New Roman" w:hAnsi="Times New Roman"/>
          <w:b/>
          <w:bCs/>
          <w:sz w:val="32"/>
          <w:szCs w:val="32"/>
        </w:rPr>
        <w:t>公务用车运行维护费支出</w:t>
      </w:r>
      <w:r>
        <w:rPr>
          <w:rFonts w:eastAsia="仿宋_GB2312" w:cs="Times New Roman" w:hint="eastAsia"/>
          <w:sz w:val="32"/>
          <w:szCs w:val="32"/>
          <w:lang w:val="en-US" w:eastAsia="zh-CN"/>
        </w:rPr>
        <w:t>9.0</w:t>
      </w:r>
      <w:r>
        <w:rPr>
          <w:rFonts w:eastAsia="仿宋_GB2312" w:cs="Times New Roman"/>
          <w:sz w:val="32"/>
          <w:szCs w:val="32"/>
          <w:lang w:val="en-US" w:eastAsia="zh-CN"/>
        </w:rPr>
        <w:t>9</w:t>
      </w:r>
      <w:r>
        <w:rPr>
          <w:rFonts w:ascii="Times New Roman" w:eastAsia="仿宋_GB2312" w:cs="Times New Roman" w:hAnsi="Times New Roman"/>
          <w:sz w:val="32"/>
          <w:szCs w:val="32"/>
        </w:rPr>
        <w:t>万元。</w:t>
      </w:r>
      <w:r>
        <w:rPr>
          <w:rFonts w:ascii="Times New Roman" w:eastAsia="仿宋_GB2312" w:cs="Times New Roman" w:hAnsi="Times New Roman"/>
          <w:sz w:val="32"/>
          <w:szCs w:val="32"/>
          <w:lang w:eastAsia="zh-CN"/>
        </w:rPr>
        <w:t>乡（镇）基层调研及检查工作</w:t>
      </w:r>
      <w:r>
        <w:rPr>
          <w:rFonts w:ascii="Times New Roman" w:eastAsia="仿宋_GB2312" w:cs="Times New Roman" w:hAnsi="Times New Roman"/>
          <w:sz w:val="32"/>
          <w:szCs w:val="32"/>
        </w:rPr>
        <w:t>等所需的公务用车燃料费、维修费、过路过桥费、保险费等支出。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Times New Roman" w:eastAsia="仿宋_GB2312" w:cs="Times New Roman" w:hAnsi="Times New Roman"/>
          <w:b/>
          <w:sz w:val="32"/>
          <w:szCs w:val="32"/>
        </w:rPr>
        <w:t>3.公务接待费支出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Fonts w:eastAsia="仿宋_GB2312" w:cs="Times New Roman" w:hint="eastAsia"/>
          <w:sz w:val="32"/>
          <w:szCs w:val="32"/>
          <w:lang w:eastAsia="zh-CN"/>
        </w:rPr>
        <w:t>。</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rPr>
      </w:pPr>
      <w:bookmarkStart w:id="64" w:name="_Toc15377218"/>
      <w:bookmarkStart w:id="65" w:name="_Toc15396610"/>
      <w:bookmarkStart w:id="66"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4"/>
      <w:bookmarkEnd w:id="65"/>
      <w:bookmarkEnd w:id="66"/>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7" w:name="_Toc15396611"/>
      <w:bookmarkStart w:id="68" w:name="_Toc15377219"/>
      <w:bookmarkStart w:id="69" w:name="_Toc26843620"/>
      <w:r>
        <w:rPr>
          <w:rStyle w:val="2Char"/>
          <w:rFonts w:ascii="Times New Roman" w:eastAsia="黑体" w:cs="Times New Roman" w:hAnsi="Times New Roman"/>
          <w:b w:val="0"/>
        </w:rPr>
        <w:t>国有资本经营预算支出决算情况说明</w:t>
      </w:r>
      <w:bookmarkEnd w:id="67"/>
      <w:bookmarkEnd w:id="68"/>
      <w:bookmarkEnd w:id="69"/>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4"/>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0" w:name="_Toc26843621"/>
      <w:bookmarkStart w:id="71" w:name="_Toc15377221"/>
      <w:bookmarkStart w:id="72" w:name="_Toc15396612"/>
      <w:r>
        <w:rPr>
          <w:rStyle w:val="2Char"/>
          <w:rFonts w:ascii="Times New Roman" w:eastAsia="黑体" w:cs="Times New Roman" w:hAnsi="Times New Roman"/>
          <w:b w:val="0"/>
        </w:rPr>
        <w:t>其他重要事项的情况说明</w:t>
      </w:r>
      <w:bookmarkEnd w:id="70"/>
      <w:bookmarkEnd w:id="71"/>
      <w:bookmarkEnd w:id="7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73" w:name="_Toc15377222"/>
      <w:r>
        <w:rPr>
          <w:rFonts w:ascii="Times New Roman" w:eastAsia="仿宋" w:cs="Times New Roman" w:hAnsi="Times New Roman"/>
          <w:b/>
          <w:sz w:val="32"/>
          <w:szCs w:val="32"/>
        </w:rPr>
        <w:t>（一）机关运行经费支出情况</w:t>
      </w:r>
      <w:bookmarkEnd w:id="73"/>
    </w:p>
    <w:p>
      <w:pPr>
        <w:spacing w:line="600" w:lineRule="exact"/>
        <w:ind w:firstLineChars="200" w:firstLine="640"/>
        <w:rPr>
          <w:rFonts w:ascii="仿宋_GB2312" w:eastAsia="仿宋_GB2312" w:hint="eastAsia"/>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金川县集沐乡人民政府机关运行经费</w:t>
      </w:r>
      <w:r>
        <w:rPr>
          <w:rFonts w:eastAsia="仿宋_GB2312" w:cs="Times New Roman"/>
          <w:sz w:val="32"/>
          <w:szCs w:val="32"/>
          <w:lang w:val="en-US" w:eastAsia="zh-CN"/>
        </w:rPr>
        <w:t>19.7</w:t>
      </w:r>
      <w:r>
        <w:rPr>
          <w:rFonts w:cs="Times New Roman" w:hint="eastAsia"/>
          <w:sz w:val="32"/>
          <w:szCs w:val="32"/>
          <w:lang w:val="en-US" w:eastAsia="zh-CN"/>
        </w:rPr>
        <w:t>万元</w:t>
      </w:r>
      <w:r>
        <w:rPr>
          <w:rFonts w:ascii="Times New Roman" w:eastAsia="仿宋_GB2312" w:cs="Times New Roman" w:hAnsi="Times New Roman"/>
          <w:sz w:val="32"/>
          <w:szCs w:val="32"/>
          <w:lang w:val="en-US" w:eastAsia="zh-CN"/>
        </w:rPr>
        <w:t>。</w:t>
      </w:r>
      <w:r>
        <w:rPr>
          <w:rFonts w:ascii="仿宋_GB2312" w:eastAsia="仿宋_GB2312" w:hint="eastAsia"/>
          <w:sz w:val="32"/>
          <w:szCs w:val="32"/>
        </w:rPr>
        <w:t>比2021年增加</w:t>
      </w:r>
      <w:r>
        <w:rPr>
          <w:rFonts w:ascii="仿宋_GB2312" w:eastAsia="仿宋_GB2312"/>
          <w:sz w:val="32"/>
          <w:szCs w:val="32"/>
        </w:rPr>
        <w:t>19.7</w:t>
      </w:r>
      <w:bookmarkStart w:id="74" w:name="_GoBack"/>
      <w:bookmarkEnd w:id="74"/>
      <w:r>
        <w:rPr>
          <w:rFonts w:ascii="仿宋_GB2312" w:eastAsia="仿宋_GB2312" w:hint="eastAsia"/>
          <w:sz w:val="32"/>
          <w:szCs w:val="32"/>
        </w:rPr>
        <w:t>元，增长</w:t>
      </w:r>
      <w:r>
        <w:rPr>
          <w:rFonts w:ascii="仿宋_GB2312" w:eastAsia="仿宋_GB2312"/>
          <w:sz w:val="32"/>
          <w:szCs w:val="32"/>
        </w:rPr>
        <w:t>100</w:t>
      </w:r>
      <w:r>
        <w:rPr>
          <w:rFonts w:ascii="仿宋_GB2312" w:eastAsia="仿宋_GB2312" w:hint="eastAsia"/>
          <w:sz w:val="32"/>
          <w:szCs w:val="32"/>
        </w:rPr>
        <w:t>%</w:t>
      </w:r>
      <w:r>
        <w:rPr>
          <w:rFonts w:ascii="仿宋_GB2312" w:eastAsia="仿宋_GB2312"/>
          <w:sz w:val="32"/>
          <w:szCs w:val="32"/>
        </w:rPr>
        <w:t>，</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5" w:name="_Toc15377223"/>
      <w:r>
        <w:rPr>
          <w:rFonts w:ascii="Times New Roman" w:eastAsia="仿宋" w:cs="Times New Roman" w:hAnsi="Times New Roman"/>
          <w:b/>
          <w:sz w:val="32"/>
          <w:szCs w:val="32"/>
        </w:rPr>
        <w:t>（二）政府采购支出情况</w:t>
      </w:r>
      <w:bookmarkEnd w:id="7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金川县集沐乡人民政府</w:t>
      </w:r>
      <w:r>
        <w:rPr>
          <w:rFonts w:ascii="Times New Roman" w:eastAsia="仿宋_GB2312" w:cs="Times New Roman" w:hAnsi="Times New Roman"/>
          <w:sz w:val="32"/>
          <w:szCs w:val="32"/>
        </w:rPr>
        <w:t>采购支出总额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万元，其中：政府采购货物支出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万元、政府采购工程支出0万元、政府采购服务支出0万元。主要用于公务用车购置、办公设备购置、电动伸缩门等。授予中小企业合同金额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万元，占政府采购支出总额的</w:t>
      </w:r>
      <w:r>
        <w:rPr>
          <w:rFonts w:eastAsia="仿宋_GB2312" w:cs="Times New Roman" w:hint="eastAsia"/>
          <w:sz w:val="32"/>
          <w:szCs w:val="32"/>
          <w:lang w:val="en-US" w:eastAsia="zh-CN"/>
        </w:rPr>
        <w:t>0</w:t>
      </w:r>
      <w:r>
        <w:rPr>
          <w:rFonts w:ascii="Times New Roman" w:eastAsia="仿宋_GB2312" w:cs="Times New Roman" w:hAnsi="Times New Roman"/>
          <w:sz w:val="32"/>
          <w:szCs w:val="32"/>
        </w:rPr>
        <w:t>%，其中：授予小微企业合同金额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万元，占政府采购支出总额的</w:t>
      </w:r>
      <w:r>
        <w:rPr>
          <w:rFonts w:eastAsia="仿宋_GB2312" w:cs="Times New Roman" w:hint="eastAsia"/>
          <w:sz w:val="32"/>
          <w:szCs w:val="32"/>
          <w:lang w:val="en-US" w:eastAsia="zh-CN"/>
        </w:rPr>
        <w:t>0</w:t>
      </w:r>
      <w:r>
        <w:rPr>
          <w:rFonts w:ascii="Times New Roman" w:eastAsia="仿宋_GB2312" w:cs="Times New Roman" w:hAnsi="Times New Roman"/>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6" w:name="_Toc15377224"/>
      <w:r>
        <w:rPr>
          <w:rFonts w:ascii="Times New Roman" w:eastAsia="仿宋" w:cs="Times New Roman" w:hAnsi="Times New Roman"/>
          <w:b/>
          <w:sz w:val="32"/>
          <w:szCs w:val="32"/>
        </w:rPr>
        <w:t>（三）国有资产占有使用情况</w:t>
      </w:r>
      <w:bookmarkEnd w:id="76"/>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w:t>
      </w:r>
      <w:r>
        <w:rPr>
          <w:rFonts w:eastAsia="仿宋_GB2312" w:cs="Times New Roman" w:hint="eastAsia"/>
          <w:sz w:val="32"/>
          <w:szCs w:val="32"/>
          <w:lang w:val="en-US" w:eastAsia="zh-CN"/>
        </w:rPr>
        <w:t>金川县集沐乡人民政府</w:t>
      </w:r>
      <w:r>
        <w:rPr>
          <w:rFonts w:ascii="Times New Roman" w:eastAsia="仿宋_GB2312" w:cs="Times New Roman" w:hAnsi="Times New Roman"/>
          <w:sz w:val="32"/>
          <w:szCs w:val="32"/>
        </w:rPr>
        <w:t>共有车辆</w:t>
      </w:r>
      <w:r>
        <w:rPr>
          <w:rFonts w:eastAsia="仿宋_GB2312" w:cs="Times New Roman" w:hint="eastAsia"/>
          <w:sz w:val="32"/>
          <w:szCs w:val="32"/>
          <w:lang w:val="en-US" w:eastAsia="zh-CN"/>
        </w:rPr>
        <w:t>3</w:t>
      </w:r>
      <w:r>
        <w:rPr>
          <w:rFonts w:ascii="Times New Roman" w:eastAsia="仿宋_GB2312" w:cs="Times New Roman" w:hAnsi="Times New Roman"/>
          <w:sz w:val="32"/>
          <w:szCs w:val="32"/>
        </w:rPr>
        <w:t>辆，其中：主要领导干部用车0辆、机要通信用车0辆、应急保障用车</w:t>
      </w:r>
      <w:r>
        <w:rPr>
          <w:rFonts w:eastAsia="仿宋_GB2312" w:cs="Times New Roman" w:hint="eastAsia"/>
          <w:sz w:val="32"/>
          <w:szCs w:val="32"/>
          <w:lang w:val="en-US" w:eastAsia="zh-CN"/>
        </w:rPr>
        <w:t>2</w:t>
      </w:r>
      <w:r>
        <w:rPr>
          <w:rFonts w:ascii="Times New Roman" w:eastAsia="仿宋_GB2312" w:cs="Times New Roman" w:hAnsi="Times New Roman"/>
          <w:sz w:val="32"/>
          <w:szCs w:val="32"/>
        </w:rPr>
        <w:t>辆、其他用车1辆，其他用车主要是用于通信应急保障车辆。单价50万元以上通用设备</w:t>
      </w:r>
      <w:r>
        <w:rPr>
          <w:rFonts w:eastAsia="仿宋_GB2312" w:cs="Times New Roman" w:hint="eastAsia"/>
          <w:sz w:val="32"/>
          <w:szCs w:val="32"/>
          <w:lang w:val="en-US" w:eastAsia="zh-CN"/>
        </w:rPr>
        <w:t>0</w:t>
      </w:r>
      <w:r>
        <w:rPr>
          <w:rFonts w:ascii="Times New Roman" w:eastAsia="仿宋_GB2312" w:cs="Times New Roman" w:hAnsi="Times New Roman"/>
          <w:sz w:val="32"/>
          <w:szCs w:val="32"/>
        </w:rPr>
        <w:t>台（套），单价</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年度预算编制阶段，对202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3</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金川县集沐乡人民政府</w:t>
      </w:r>
      <w:r>
        <w:rPr>
          <w:rFonts w:ascii="Times New Roman" w:eastAsia="仿宋_GB2312" w:cs="Times New Roman" w:hAnsi="Times New Roman"/>
          <w:sz w:val="32"/>
          <w:szCs w:val="32"/>
        </w:rPr>
        <w:t>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5"/>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7" w:name="_Toc15396613"/>
      <w:bookmarkStart w:id="78" w:name="_Toc26843622"/>
      <w:bookmarkStart w:id="79"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7"/>
      <w:bookmarkEnd w:id="78"/>
      <w:bookmarkEnd w:id="79"/>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80" w:name="_Toc15377226"/>
      <w:r>
        <w:rPr>
          <w:rFonts w:ascii="Times New Roman" w:cs="Times New Roman" w:hAnsi="Times New Roman"/>
          <w:b/>
          <w:sz w:val="44"/>
          <w:szCs w:val="44"/>
        </w:rPr>
        <w:br w:type="page"/>
      </w:r>
      <w:bookmarkStart w:id="81" w:name="_Toc26843623"/>
      <w:bookmarkStart w:id="82" w:name="_Toc15396614"/>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81"/>
      <w:bookmarkEnd w:id="82"/>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83" w:name="_Toc26843624"/>
      <w:r>
        <w:rPr>
          <w:rFonts w:ascii="Times New Roman" w:eastAsia="黑体" w:cs="Times New Roman" w:hAnsi="Times New Roman"/>
          <w:sz w:val="32"/>
          <w:szCs w:val="32"/>
        </w:rPr>
        <w:t>附件</w:t>
      </w:r>
      <w:bookmarkEnd w:id="83"/>
    </w:p>
    <w:p>
      <w:pPr>
        <w:spacing w:line="560" w:lineRule="exact"/>
        <w:jc w:val="center"/>
        <w:rPr>
          <w:rFonts w:ascii="方正小标宋简体" w:eastAsia="方正小标宋简体" w:hint="eastAsia"/>
          <w:sz w:val="44"/>
          <w:szCs w:val="44"/>
          <w:lang w:eastAsia="zh-CN"/>
        </w:rPr>
      </w:pPr>
      <w:r>
        <w:rPr>
          <w:rFonts w:ascii="方正小标宋简体" w:eastAsia="方正小标宋简体" w:hint="eastAsia"/>
          <w:sz w:val="44"/>
          <w:szCs w:val="44"/>
        </w:rPr>
        <w:t>金川县</w:t>
      </w:r>
      <w:r>
        <w:rPr>
          <w:rFonts w:ascii="方正小标宋简体" w:eastAsia="方正小标宋简体" w:hint="eastAsia"/>
          <w:sz w:val="44"/>
          <w:szCs w:val="44"/>
          <w:lang w:eastAsia="zh-CN"/>
        </w:rPr>
        <w:t>集沐乡人民政府</w:t>
      </w:r>
    </w:p>
    <w:p>
      <w:pPr>
        <w:spacing w:line="560" w:lineRule="exact"/>
        <w:jc w:val="center"/>
        <w:rPr>
          <w:rFonts w:ascii="方正小标宋简体" w:eastAsia="方正小标宋简体"/>
          <w:sz w:val="44"/>
          <w:szCs w:val="44"/>
        </w:rPr>
      </w:pPr>
      <w:r>
        <w:rPr>
          <w:rFonts w:ascii="方正小标宋简体" w:eastAsia="方正小标宋简体" w:hint="eastAsia"/>
          <w:sz w:val="44"/>
          <w:szCs w:val="44"/>
          <w:lang w:eastAsia="zh-CN"/>
        </w:rPr>
        <w:t>202</w:t>
      </w:r>
      <w:r>
        <w:rPr>
          <w:rFonts w:ascii="方正小标宋简体" w:eastAsia="方正小标宋简体" w:hint="eastAsia"/>
          <w:sz w:val="44"/>
          <w:szCs w:val="44"/>
          <w:lang w:val="en-US" w:eastAsia="zh-CN"/>
        </w:rPr>
        <w:t>3</w:t>
      </w:r>
      <w:r>
        <w:rPr>
          <w:rFonts w:ascii="方正小标宋简体" w:eastAsia="方正小标宋简体" w:hint="eastAsia"/>
          <w:sz w:val="44"/>
          <w:szCs w:val="44"/>
        </w:rPr>
        <w:t>年部门整体支出绩效报告</w:t>
      </w:r>
    </w:p>
    <w:p>
      <w:pPr>
        <w:spacing w:line="560" w:lineRule="exact"/>
        <w:jc w:val="center"/>
        <w:rPr>
          <w:rFonts w:ascii="方正小标宋简体" w:eastAsia="方正小标宋简体"/>
          <w:sz w:val="44"/>
          <w:szCs w:val="44"/>
        </w:rPr>
      </w:pPr>
    </w:p>
    <w:p>
      <w:pPr>
        <w:widowControl/>
        <w:adjustRightInd w:val="0"/>
        <w:snapToGrid w:val="0"/>
        <w:spacing w:line="560" w:lineRule="exact"/>
        <w:ind w:firstLine="720"/>
        <w:jc w:val="left"/>
        <w:rPr>
          <w:rFonts w:ascii="仿宋_GB2312" w:eastAsia="仿宋_GB2312" w:cs="仿宋_GB2312"/>
          <w:b/>
          <w:color w:val="000000"/>
          <w:kern w:val="0"/>
          <w:sz w:val="32"/>
          <w:lang w:val="zh-CN"/>
        </w:rPr>
      </w:pPr>
      <w:r>
        <w:rPr>
          <w:rFonts w:ascii="仿宋_GB2312" w:eastAsia="仿宋_GB2312" w:cs="仿宋_GB2312" w:hint="eastAsia"/>
          <w:b/>
          <w:color w:val="000000"/>
          <w:kern w:val="0"/>
          <w:sz w:val="32"/>
        </w:rPr>
        <w:t>一、</w:t>
      </w:r>
      <w:r>
        <w:rPr>
          <w:rFonts w:ascii="仿宋_GB2312" w:eastAsia="仿宋_GB2312" w:cs="仿宋_GB2312" w:hint="eastAsia"/>
          <w:b/>
          <w:color w:val="000000"/>
          <w:kern w:val="0"/>
          <w:sz w:val="32"/>
          <w:lang w:val="zh-CN"/>
        </w:rPr>
        <w:t>部门（单位）概况</w:t>
      </w:r>
    </w:p>
    <w:p>
      <w:pPr>
        <w:widowControl/>
        <w:adjustRightInd w:val="0"/>
        <w:snapToGrid w:val="0"/>
        <w:spacing w:line="560" w:lineRule="exact"/>
        <w:ind w:firstLine="720"/>
        <w:jc w:val="left"/>
        <w:rPr>
          <w:rFonts w:ascii="仿宋_GB2312" w:eastAsia="仿宋_GB2312" w:cs="宋体"/>
          <w:b/>
          <w:color w:val="000000"/>
          <w:kern w:val="0"/>
          <w:sz w:val="32"/>
          <w:szCs w:val="32"/>
          <w:lang w:val="zh-CN"/>
        </w:rPr>
      </w:pPr>
      <w:r>
        <w:rPr>
          <w:rFonts w:ascii="仿宋" w:eastAsia="仿宋" w:hint="eastAsia"/>
          <w:b/>
          <w:color w:val="000000"/>
          <w:sz w:val="32"/>
          <w:szCs w:val="32"/>
          <w:lang w:val="zh-CN"/>
        </w:rPr>
        <w:t>（一）机构组成。</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根据《</w:t>
      </w:r>
      <w:r>
        <w:rPr>
          <w:rFonts w:ascii="仿宋_GB2312" w:eastAsia="仿宋_GB2312" w:hint="eastAsia"/>
          <w:color w:val="000000"/>
          <w:sz w:val="32"/>
          <w:szCs w:val="32"/>
          <w:lang w:val="en-US" w:eastAsia="zh-CN"/>
        </w:rPr>
        <w:t>金川县</w:t>
      </w:r>
      <w:r>
        <w:rPr>
          <w:rFonts w:ascii="仿宋_GB2312" w:eastAsia="仿宋_GB2312" w:hint="eastAsia"/>
          <w:color w:val="000000"/>
          <w:sz w:val="32"/>
          <w:szCs w:val="32"/>
        </w:rPr>
        <w:t>财政局关于开展</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部门、政策和项目</w:t>
      </w:r>
      <w:r>
        <w:rPr>
          <w:rFonts w:ascii="仿宋_GB2312" w:eastAsia="仿宋_GB2312" w:hint="eastAsia"/>
          <w:color w:val="000000"/>
          <w:sz w:val="32"/>
          <w:szCs w:val="32"/>
        </w:rPr>
        <w:t>支出绩效评价工作的通知》（阿州财</w:t>
      </w:r>
      <w:r>
        <w:rPr>
          <w:rFonts w:ascii="仿宋_GB2312" w:eastAsia="仿宋_GB2312" w:hint="eastAsia"/>
          <w:color w:val="000000"/>
          <w:sz w:val="32"/>
          <w:szCs w:val="32"/>
          <w:lang w:val="en-US" w:eastAsia="zh-CN"/>
        </w:rPr>
        <w:t>金</w:t>
      </w:r>
      <w:r>
        <w:rPr>
          <w:rFonts w:ascii="仿宋_GB2312" w:eastAsia="仿宋_GB2312" w:hint="eastAsia"/>
          <w:color w:val="000000"/>
          <w:sz w:val="32"/>
          <w:szCs w:val="32"/>
        </w:rPr>
        <w:t>监绩〔</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号）文件精神，组建金川县</w:t>
      </w:r>
      <w:r>
        <w:rPr>
          <w:rFonts w:ascii="仿宋_GB2312" w:eastAsia="仿宋_GB2312" w:hint="eastAsia"/>
          <w:color w:val="000000"/>
          <w:sz w:val="32"/>
          <w:szCs w:val="32"/>
          <w:lang w:eastAsia="zh-CN"/>
        </w:rPr>
        <w:t>集沐乡人民政府</w:t>
      </w:r>
      <w:r>
        <w:rPr>
          <w:rFonts w:ascii="仿宋_GB2312" w:eastAsia="仿宋_GB2312" w:hint="eastAsia"/>
          <w:color w:val="000000"/>
          <w:sz w:val="32"/>
          <w:szCs w:val="32"/>
        </w:rPr>
        <w:t>，为正科级。</w:t>
      </w:r>
    </w:p>
    <w:p>
      <w:pPr>
        <w:widowControl/>
        <w:adjustRightInd w:val="0"/>
        <w:snapToGrid w:val="0"/>
        <w:spacing w:line="56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（二）机构职能。</w:t>
      </w:r>
    </w:p>
    <w:p>
      <w:pPr>
        <w:widowControl/>
        <w:spacing w:line="54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lang w:val="zh-CN"/>
        </w:rPr>
        <w:t>集沐乡人民政府下设“一办四中心一所”：具体组成为：党政综合办公室、综合文化发展中心、社会保障综合服务中心、经济发展中心、集沐乡财政所。</w:t>
      </w:r>
    </w:p>
    <w:p>
      <w:pPr>
        <w:widowControl/>
        <w:spacing w:line="540"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widowControl/>
        <w:adjustRightInd w:val="0"/>
        <w:snapToGrid w:val="0"/>
        <w:spacing w:line="56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（三）人员情况。</w:t>
      </w:r>
    </w:p>
    <w:p>
      <w:pPr>
        <w:snapToGrid w:val="0"/>
        <w:spacing w:line="520" w:lineRule="exact"/>
        <w:ind w:firstLineChars="200" w:firstLine="640"/>
        <w:rPr>
          <w:rFonts w:ascii="仿宋_GB2312" w:eastAsia="仿宋_GB2312" w:cs="仿宋_GB2312"/>
          <w:b/>
          <w:bCs/>
          <w:color w:val="000000"/>
          <w:kern w:val="0"/>
          <w:sz w:val="32"/>
          <w:szCs w:val="32"/>
          <w:lang w:val="zh-CN"/>
        </w:rPr>
      </w:pPr>
      <w:r>
        <w:rPr>
          <w:rFonts w:ascii="仿宋_GB2312" w:eastAsia="仿宋_GB2312" w:cs="仿宋_GB2312" w:hint="eastAsia"/>
          <w:color w:val="000000"/>
          <w:sz w:val="32"/>
          <w:szCs w:val="32"/>
        </w:rPr>
        <w:t>集沐乡人民政府202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年年初在职2</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人，其中行政人员1</w:t>
      </w:r>
      <w:r>
        <w:rPr>
          <w:rFonts w:ascii="仿宋_GB2312" w:eastAsia="仿宋_GB2312" w:cs="仿宋_GB2312" w:hint="eastAsia"/>
          <w:color w:val="000000"/>
          <w:sz w:val="32"/>
          <w:szCs w:val="32"/>
          <w:lang w:val="en-US" w:eastAsia="zh-CN"/>
        </w:rPr>
        <w:t>5</w:t>
      </w:r>
      <w:r>
        <w:rPr>
          <w:rFonts w:ascii="仿宋_GB2312" w:eastAsia="仿宋_GB2312" w:cs="仿宋_GB2312" w:hint="eastAsia"/>
          <w:color w:val="000000"/>
          <w:sz w:val="32"/>
          <w:szCs w:val="32"/>
        </w:rPr>
        <w:t>人，行政工勤1人，事业人员</w:t>
      </w:r>
      <w:r>
        <w:rPr>
          <w:rFonts w:ascii="仿宋_GB2312" w:eastAsia="仿宋_GB2312" w:cs="仿宋_GB2312" w:hint="eastAsia"/>
          <w:color w:val="000000"/>
          <w:sz w:val="32"/>
          <w:szCs w:val="32"/>
          <w:lang w:val="en-US" w:eastAsia="zh-CN"/>
        </w:rPr>
        <w:t>10</w:t>
      </w:r>
      <w:r>
        <w:rPr>
          <w:rFonts w:ascii="仿宋_GB2312" w:eastAsia="仿宋_GB2312" w:cs="仿宋_GB2312" w:hint="eastAsia"/>
          <w:color w:val="000000"/>
          <w:sz w:val="32"/>
          <w:szCs w:val="32"/>
        </w:rPr>
        <w:t>人，事业工勤1人；202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年年末在职</w:t>
      </w:r>
      <w:r>
        <w:rPr>
          <w:rFonts w:ascii="仿宋_GB2312" w:eastAsia="仿宋_GB2312" w:cs="仿宋_GB2312" w:hint="eastAsia"/>
          <w:color w:val="000000"/>
          <w:sz w:val="32"/>
          <w:szCs w:val="32"/>
          <w:lang w:val="en-US" w:eastAsia="zh-CN"/>
        </w:rPr>
        <w:t>31</w:t>
      </w:r>
      <w:r>
        <w:rPr>
          <w:rFonts w:ascii="仿宋_GB2312" w:eastAsia="仿宋_GB2312" w:cs="仿宋_GB2312" w:hint="eastAsia"/>
          <w:color w:val="000000"/>
          <w:sz w:val="32"/>
          <w:szCs w:val="32"/>
        </w:rPr>
        <w:t>人，其中行政人员1</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人，行政工勤</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人，事业人员</w:t>
      </w:r>
      <w:r>
        <w:rPr>
          <w:rFonts w:ascii="仿宋_GB2312" w:eastAsia="仿宋_GB2312" w:cs="仿宋_GB2312" w:hint="eastAsia"/>
          <w:color w:val="000000"/>
          <w:sz w:val="32"/>
          <w:szCs w:val="32"/>
          <w:lang w:val="en-US" w:eastAsia="zh-CN"/>
        </w:rPr>
        <w:t>11</w:t>
      </w:r>
      <w:r>
        <w:rPr>
          <w:rFonts w:ascii="仿宋_GB2312" w:eastAsia="仿宋_GB2312" w:cs="仿宋_GB2312" w:hint="eastAsia"/>
          <w:color w:val="000000"/>
          <w:sz w:val="32"/>
          <w:szCs w:val="32"/>
        </w:rPr>
        <w:t>人，事业工勤1人。202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年1-</w:t>
      </w:r>
      <w:r>
        <w:rPr>
          <w:rFonts w:ascii="仿宋_GB2312" w:eastAsia="仿宋_GB2312" w:cs="仿宋_GB2312" w:hint="eastAsia"/>
          <w:color w:val="000000"/>
          <w:sz w:val="32"/>
          <w:szCs w:val="32"/>
          <w:lang w:val="en-US" w:eastAsia="zh-CN"/>
        </w:rPr>
        <w:t>12</w:t>
      </w:r>
      <w:r>
        <w:rPr>
          <w:rFonts w:ascii="仿宋_GB2312" w:eastAsia="仿宋_GB2312" w:cs="仿宋_GB2312" w:hint="eastAsia"/>
          <w:color w:val="000000"/>
          <w:sz w:val="32"/>
          <w:szCs w:val="32"/>
        </w:rPr>
        <w:t>月独立编制单位机构数为1个，财政供养人员编制为</w:t>
      </w:r>
      <w:r>
        <w:rPr>
          <w:rFonts w:ascii="仿宋_GB2312" w:eastAsia="仿宋_GB2312" w:cs="仿宋_GB2312" w:hint="eastAsia"/>
          <w:color w:val="000000"/>
          <w:sz w:val="32"/>
          <w:szCs w:val="32"/>
          <w:lang w:val="en-US" w:eastAsia="zh-CN"/>
        </w:rPr>
        <w:t>31</w:t>
      </w:r>
      <w:r>
        <w:rPr>
          <w:rFonts w:ascii="仿宋_GB2312" w:eastAsia="仿宋_GB2312" w:cs="仿宋_GB2312" w:hint="eastAsia"/>
          <w:color w:val="000000"/>
          <w:sz w:val="32"/>
          <w:szCs w:val="32"/>
        </w:rPr>
        <w:t>名，其中行政编制1</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名，行政工勤编制</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名，事业编制12名（其中参照公务员法管理人员编制0人）</w:t>
      </w:r>
      <w:r>
        <w:rPr>
          <w:rFonts w:ascii="仿宋_GB2312" w:eastAsia="仿宋_GB2312" w:hint="eastAsia"/>
          <w:sz w:val="32"/>
          <w:szCs w:val="32"/>
        </w:rPr>
        <w:t>。</w:t>
      </w:r>
    </w:p>
    <w:p>
      <w:pPr>
        <w:widowControl/>
        <w:adjustRightInd w:val="0"/>
        <w:snapToGrid w:val="0"/>
        <w:spacing w:line="560" w:lineRule="exact"/>
        <w:ind w:firstLine="720"/>
        <w:jc w:val="left"/>
        <w:rPr>
          <w:rFonts w:ascii="仿宋_GB2312" w:eastAsia="仿宋_GB2312" w:cs="仿宋_GB2312"/>
          <w:b/>
          <w:color w:val="000000"/>
          <w:kern w:val="0"/>
          <w:sz w:val="32"/>
          <w:szCs w:val="32"/>
        </w:rPr>
      </w:pPr>
      <w:r>
        <w:rPr>
          <w:rFonts w:ascii="仿宋_GB2312" w:eastAsia="仿宋_GB2312" w:cs="仿宋_GB2312" w:hint="eastAsia"/>
          <w:b/>
          <w:color w:val="000000"/>
          <w:kern w:val="0"/>
          <w:sz w:val="32"/>
          <w:szCs w:val="32"/>
        </w:rPr>
        <w:t>二、部门财政资金收支情况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w:t>
      </w:r>
      <w:r>
        <w:rPr>
          <w:rFonts w:ascii="仿宋_GB2312" w:eastAsia="仿宋_GB2312" w:hint="eastAsia"/>
          <w:color w:val="000000"/>
          <w:sz w:val="32"/>
          <w:szCs w:val="32"/>
        </w:rPr>
        <w:t>一</w:t>
      </w:r>
      <w:r>
        <w:rPr>
          <w:rFonts w:ascii="仿宋_GB2312" w:eastAsia="仿宋_GB2312" w:hint="eastAsia"/>
          <w:color w:val="000000"/>
          <w:sz w:val="32"/>
          <w:szCs w:val="32"/>
          <w:lang w:val="zh-CN"/>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lang w:val="zh-CN"/>
        </w:rPr>
        <w:t>年金川县集沐乡人民政府本年收入合计</w:t>
      </w:r>
      <w:r>
        <w:rPr>
          <w:rFonts w:ascii="仿宋_GB2312" w:eastAsia="仿宋_GB2312" w:hint="eastAsia"/>
          <w:color w:val="000000"/>
          <w:sz w:val="32"/>
          <w:szCs w:val="32"/>
          <w:lang w:val="en-US" w:eastAsia="zh-CN"/>
        </w:rPr>
        <w:t>787.32</w:t>
      </w:r>
      <w:r>
        <w:rPr>
          <w:rFonts w:ascii="仿宋_GB2312" w:eastAsia="仿宋_GB2312" w:hint="eastAsia"/>
          <w:color w:val="000000"/>
          <w:sz w:val="32"/>
          <w:szCs w:val="32"/>
          <w:lang w:val="zh-CN"/>
        </w:rPr>
        <w:t>万元，其中：财政拨款收入</w:t>
      </w:r>
      <w:r>
        <w:rPr>
          <w:rFonts w:ascii="仿宋_GB2312" w:eastAsia="仿宋_GB2312" w:hint="eastAsia"/>
          <w:color w:val="000000"/>
          <w:sz w:val="32"/>
          <w:szCs w:val="32"/>
          <w:lang w:val="en-US" w:eastAsia="zh-CN"/>
        </w:rPr>
        <w:t>787.32</w:t>
      </w:r>
      <w:r>
        <w:rPr>
          <w:rFonts w:ascii="仿宋_GB2312" w:eastAsia="仿宋_GB2312" w:hint="eastAsia"/>
          <w:color w:val="000000"/>
          <w:sz w:val="32"/>
          <w:szCs w:val="32"/>
          <w:lang w:val="zh-CN"/>
        </w:rPr>
        <w:t>万元。</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（二）部门财政资金支出情况。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财政拨款支出</w:t>
      </w:r>
      <w:r>
        <w:rPr>
          <w:rFonts w:ascii="仿宋_GB2312" w:eastAsia="仿宋_GB2312" w:hint="eastAsia"/>
          <w:color w:val="000000"/>
          <w:sz w:val="32"/>
          <w:szCs w:val="32"/>
          <w:lang w:val="en-US" w:eastAsia="zh-CN"/>
        </w:rPr>
        <w:t>787.32</w:t>
      </w:r>
      <w:r>
        <w:rPr>
          <w:rFonts w:ascii="仿宋_GB2312" w:eastAsia="仿宋_GB2312" w:hint="eastAsia"/>
          <w:color w:val="000000"/>
          <w:sz w:val="32"/>
          <w:szCs w:val="32"/>
          <w:lang w:val="zh-CN"/>
        </w:rPr>
        <w:t>万元，各项支出占总支出的比重：</w:t>
      </w:r>
      <w:r>
        <w:rPr>
          <w:rFonts w:ascii="仿宋_GB2312" w:eastAsia="仿宋_GB2312" w:hint="eastAsia"/>
          <w:color w:val="000000"/>
          <w:sz w:val="32"/>
          <w:szCs w:val="32"/>
          <w:lang w:val="en-US" w:eastAsia="zh-CN"/>
        </w:rPr>
        <w:t>一般公共服务支出307.1万元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39</w:t>
      </w:r>
      <w:r>
        <w:rPr>
          <w:rFonts w:ascii="仿宋_GB2312" w:eastAsia="仿宋_GB2312" w:hint="eastAsia"/>
          <w:color w:val="000000"/>
          <w:sz w:val="32"/>
          <w:szCs w:val="32"/>
          <w:lang w:val="zh-CN"/>
        </w:rPr>
        <w:t>%；社会保障和就业支出</w:t>
      </w:r>
      <w:r>
        <w:rPr>
          <w:rFonts w:ascii="仿宋_GB2312" w:eastAsia="仿宋_GB2312" w:hint="eastAsia"/>
          <w:color w:val="000000"/>
          <w:sz w:val="32"/>
          <w:szCs w:val="32"/>
          <w:lang w:val="en-US" w:eastAsia="zh-CN"/>
        </w:rPr>
        <w:t>65.62万元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8.3</w:t>
      </w:r>
      <w:r>
        <w:rPr>
          <w:rFonts w:ascii="仿宋_GB2312" w:eastAsia="仿宋_GB2312" w:hint="eastAsia"/>
          <w:color w:val="000000"/>
          <w:sz w:val="32"/>
          <w:szCs w:val="32"/>
          <w:lang w:val="zh-CN"/>
        </w:rPr>
        <w:t>%；农林水支出</w:t>
      </w:r>
      <w:r>
        <w:rPr>
          <w:rFonts w:ascii="仿宋_GB2312" w:eastAsia="仿宋_GB2312" w:hint="eastAsia"/>
          <w:color w:val="000000"/>
          <w:sz w:val="32"/>
          <w:szCs w:val="32"/>
          <w:lang w:val="en-US" w:eastAsia="zh-CN"/>
        </w:rPr>
        <w:t>333.2万元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42.4</w:t>
      </w:r>
      <w:r>
        <w:rPr>
          <w:rFonts w:ascii="仿宋_GB2312" w:eastAsia="仿宋_GB2312" w:hint="eastAsia"/>
          <w:color w:val="000000"/>
          <w:sz w:val="32"/>
          <w:szCs w:val="32"/>
          <w:lang w:val="zh-CN"/>
        </w:rPr>
        <w:t>%；住房保障支出</w:t>
      </w:r>
      <w:r>
        <w:rPr>
          <w:rFonts w:ascii="仿宋_GB2312" w:eastAsia="仿宋_GB2312" w:hint="eastAsia"/>
          <w:color w:val="000000"/>
          <w:sz w:val="32"/>
          <w:szCs w:val="32"/>
          <w:lang w:val="en-US" w:eastAsia="zh-CN"/>
        </w:rPr>
        <w:t>41.9万元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5.3</w:t>
      </w:r>
      <w:r>
        <w:rPr>
          <w:rFonts w:ascii="仿宋_GB2312" w:eastAsia="仿宋_GB2312" w:hint="eastAsia"/>
          <w:color w:val="000000"/>
          <w:sz w:val="32"/>
          <w:szCs w:val="32"/>
          <w:lang w:val="zh-CN"/>
        </w:rPr>
        <w:t>%；其他支出</w:t>
      </w:r>
      <w:r>
        <w:rPr>
          <w:rFonts w:ascii="仿宋_GB2312" w:eastAsia="仿宋_GB2312" w:hint="eastAsia"/>
          <w:color w:val="000000"/>
          <w:sz w:val="32"/>
          <w:szCs w:val="32"/>
          <w:lang w:val="en-US" w:eastAsia="zh-CN"/>
        </w:rPr>
        <w:t>2.4万元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lang w:val="zh-CN"/>
        </w:rPr>
        <w:t>%</w:t>
      </w:r>
      <w:r>
        <w:rPr>
          <w:rFonts w:ascii="仿宋_GB2312" w:eastAsia="仿宋_GB2312" w:hint="eastAsia"/>
          <w:color w:val="000000"/>
          <w:sz w:val="32"/>
          <w:szCs w:val="32"/>
          <w:lang w:val="en-US" w:eastAsia="zh-CN"/>
        </w:rPr>
        <w:t>；卫生健康支出37.1万元</w:t>
      </w:r>
      <w:r>
        <w:rPr>
          <w:rFonts w:ascii="仿宋_GB2312" w:eastAsia="仿宋_GB2312" w:hint="eastAsia"/>
          <w:color w:val="000000"/>
          <w:sz w:val="32"/>
          <w:szCs w:val="32"/>
          <w:lang w:val="zh-CN"/>
        </w:rPr>
        <w:t>占比</w:t>
      </w:r>
      <w:r>
        <w:rPr>
          <w:rFonts w:ascii="仿宋_GB2312" w:eastAsia="仿宋_GB2312" w:hint="eastAsia"/>
          <w:color w:val="000000"/>
          <w:sz w:val="32"/>
          <w:szCs w:val="32"/>
          <w:lang w:val="en-US" w:eastAsia="zh-CN"/>
        </w:rPr>
        <w:t>4.7</w:t>
      </w:r>
      <w:r>
        <w:rPr>
          <w:rFonts w:ascii="仿宋_GB2312" w:eastAsia="仿宋_GB2312" w:hint="eastAsia"/>
          <w:color w:val="000000"/>
          <w:sz w:val="32"/>
          <w:szCs w:val="32"/>
          <w:lang w:val="zh-CN"/>
        </w:rPr>
        <w:t>%。</w:t>
      </w:r>
    </w:p>
    <w:p>
      <w:pPr>
        <w:widowControl/>
        <w:adjustRightInd w:val="0"/>
        <w:snapToGrid w:val="0"/>
        <w:spacing w:line="560" w:lineRule="exact"/>
        <w:ind w:firstLine="720"/>
        <w:jc w:val="left"/>
        <w:rPr>
          <w:rFonts w:ascii="仿宋_GB2312" w:eastAsia="仿宋_GB2312" w:cs="仿宋_GB2312"/>
          <w:b/>
          <w:color w:val="000000"/>
          <w:kern w:val="0"/>
          <w:sz w:val="32"/>
        </w:rPr>
      </w:pPr>
      <w:r>
        <w:rPr>
          <w:rFonts w:ascii="仿宋_GB2312" w:eastAsia="仿宋_GB2312" w:cs="仿宋_GB2312" w:hint="eastAsia"/>
          <w:b/>
          <w:color w:val="000000"/>
          <w:kern w:val="0"/>
          <w:sz w:val="32"/>
        </w:rPr>
        <w:t>三、部门财政支出管理情况</w:t>
      </w:r>
    </w:p>
    <w:p>
      <w:pPr>
        <w:widowControl/>
        <w:adjustRightInd w:val="0"/>
        <w:snapToGrid w:val="0"/>
        <w:spacing w:line="480" w:lineRule="exact"/>
        <w:ind w:firstLine="720"/>
        <w:jc w:val="left"/>
        <w:rPr>
          <w:rFonts w:ascii="仿宋_GB2312" w:eastAsia="仿宋_GB2312" w:cs="仿宋_GB2312"/>
          <w:sz w:val="32"/>
          <w:szCs w:val="32"/>
          <w:lang w:val="zh-CN"/>
        </w:rPr>
      </w:pPr>
      <w:r>
        <w:rPr>
          <w:rFonts w:ascii="仿宋_GB2312" w:eastAsia="仿宋_GB2312" w:cs="仿宋_GB2312" w:hint="eastAsia"/>
          <w:sz w:val="32"/>
          <w:szCs w:val="32"/>
          <w:lang w:val="zh-CN"/>
        </w:rPr>
        <w:t>（一）预算编制情况。</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严格按照县级部门预算编制通知和有关要求，按时完成基础库、项目库报送工作，按时完成2023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p>
    <w:p>
      <w:pPr>
        <w:ind w:firstLineChars="150" w:firstLine="480"/>
        <w:rPr>
          <w:rFonts w:ascii="仿宋_GB2312" w:eastAsia="仿宋_GB2312"/>
          <w:color w:val="000000"/>
          <w:kern w:val="0"/>
          <w:sz w:val="32"/>
          <w:szCs w:val="32"/>
          <w:lang w:val="zh-CN"/>
        </w:rPr>
      </w:pPr>
      <w:r>
        <w:rPr>
          <w:rFonts w:ascii="仿宋_GB2312" w:eastAsia="仿宋_GB2312" w:hint="eastAsia"/>
          <w:color w:val="333333"/>
          <w:kern w:val="0"/>
          <w:sz w:val="32"/>
          <w:szCs w:val="32"/>
        </w:rPr>
        <w:t xml:space="preserve"> </w:t>
      </w:r>
      <w:r>
        <w:rPr>
          <w:rFonts w:ascii="仿宋_GB2312" w:eastAsia="仿宋_GB2312" w:hint="eastAsia"/>
          <w:color w:val="000000"/>
          <w:kern w:val="0"/>
          <w:sz w:val="32"/>
          <w:szCs w:val="32"/>
          <w:lang w:val="zh-CN"/>
        </w:rPr>
        <w:t>（二）执行管理情况。</w:t>
        <w:tab/>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w:t>
      </w:r>
      <w:r>
        <w:rPr>
          <w:rFonts w:ascii="仿宋_GB2312" w:eastAsia="仿宋_GB2312" w:hint="eastAsia"/>
          <w:color w:val="000000"/>
          <w:sz w:val="32"/>
          <w:szCs w:val="32"/>
          <w:lang w:val="en-US" w:eastAsia="zh-CN"/>
        </w:rPr>
        <w:t>乡</w:t>
      </w:r>
      <w:r>
        <w:rPr>
          <w:rFonts w:ascii="仿宋_GB2312" w:eastAsia="仿宋_GB2312" w:hint="eastAsia"/>
          <w:color w:val="000000"/>
          <w:sz w:val="32"/>
          <w:szCs w:val="32"/>
          <w:lang w:val="zh-CN"/>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lang w:val="zh-CN"/>
        </w:rPr>
        <w:t>年、2023上半年严格执行</w:t>
      </w:r>
      <w:r>
        <w:rPr>
          <w:rFonts w:ascii="仿宋_GB2312" w:eastAsia="仿宋_GB2312"/>
          <w:color w:val="000000"/>
          <w:sz w:val="32"/>
          <w:szCs w:val="32"/>
          <w:lang w:val="zh-CN"/>
        </w:rPr>
        <w:t>《中华人民共和国预算法》</w:t>
      </w:r>
      <w:r>
        <w:rPr>
          <w:rFonts w:ascii="仿宋_GB2312" w:eastAsia="仿宋_GB2312" w:hint="eastAsia"/>
          <w:color w:val="000000"/>
          <w:sz w:val="32"/>
          <w:szCs w:val="32"/>
          <w:lang w:val="zh-CN"/>
        </w:rPr>
        <w:t>按要求严格预算执行管理，按规定及时分配财力专项预算，按规定在一个月内分配上级专款，严格执行“三公经费”预算，无超预算支出。集沐乡人民政府202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lang w:val="zh-CN"/>
        </w:rPr>
        <w:t>年度“三公”经费财政拨款支出决算为</w:t>
      </w:r>
      <w:r>
        <w:rPr>
          <w:rFonts w:ascii="仿宋_GB2312" w:eastAsia="仿宋_GB2312" w:hint="eastAsia"/>
          <w:color w:val="000000"/>
          <w:sz w:val="32"/>
          <w:szCs w:val="32"/>
          <w:lang w:val="en-US" w:eastAsia="zh-CN"/>
        </w:rPr>
        <w:t>9.0</w:t>
      </w:r>
      <w:r>
        <w:rPr>
          <w:rFonts w:ascii="仿宋_GB2312" w:eastAsia="仿宋_GB2312"/>
          <w:color w:val="000000"/>
          <w:sz w:val="32"/>
          <w:szCs w:val="32"/>
          <w:lang w:val="en-US" w:eastAsia="zh-CN"/>
        </w:rPr>
        <w:t>9</w:t>
      </w:r>
      <w:r>
        <w:rPr>
          <w:rFonts w:ascii="仿宋_GB2312" w:eastAsia="仿宋_GB2312" w:hint="eastAsia"/>
          <w:color w:val="000000"/>
          <w:sz w:val="32"/>
          <w:szCs w:val="32"/>
          <w:lang w:val="zh-CN"/>
        </w:rPr>
        <w:t>万元，完成预算100%，其中：无因公出国（境）费支出；公务用车运行维护费支出决算为</w:t>
      </w:r>
      <w:r>
        <w:rPr>
          <w:rFonts w:ascii="仿宋_GB2312" w:eastAsia="仿宋_GB2312" w:hint="eastAsia"/>
          <w:color w:val="000000"/>
          <w:sz w:val="32"/>
          <w:szCs w:val="32"/>
          <w:lang w:val="en-US" w:eastAsia="zh-CN"/>
        </w:rPr>
        <w:t>9.0</w:t>
      </w:r>
      <w:r>
        <w:rPr>
          <w:rFonts w:ascii="仿宋_GB2312" w:eastAsia="仿宋_GB2312"/>
          <w:color w:val="000000"/>
          <w:sz w:val="32"/>
          <w:szCs w:val="32"/>
          <w:lang w:val="en-US" w:eastAsia="zh-CN"/>
        </w:rPr>
        <w:t>9</w:t>
      </w:r>
      <w:r>
        <w:rPr>
          <w:rFonts w:ascii="仿宋_GB2312" w:eastAsia="仿宋_GB2312" w:hint="eastAsia"/>
          <w:color w:val="000000"/>
          <w:sz w:val="32"/>
          <w:szCs w:val="32"/>
          <w:lang w:val="zh-CN"/>
        </w:rPr>
        <w:t>万元，完成预算100%；公务接待费支出决算为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lang w:val="zh-CN"/>
        </w:rPr>
        <w:t>万元，完成预算100%。</w:t>
      </w:r>
    </w:p>
    <w:p>
      <w:pPr>
        <w:widowControl/>
        <w:adjustRightInd w:val="0"/>
        <w:snapToGrid w:val="0"/>
        <w:spacing w:line="480" w:lineRule="exact"/>
        <w:ind w:firstLineChars="200" w:firstLine="640"/>
        <w:jc w:val="left"/>
        <w:rPr>
          <w:rFonts w:ascii="仿宋_GB2312" w:eastAsia="仿宋_GB2312" w:cs="仿宋_GB2312"/>
          <w:sz w:val="32"/>
          <w:szCs w:val="32"/>
          <w:lang w:val="zh-CN"/>
        </w:rPr>
      </w:pPr>
      <w:r>
        <w:rPr>
          <w:rFonts w:ascii="仿宋_GB2312" w:eastAsia="仿宋_GB2312" w:cs="仿宋_GB2312" w:hint="eastAsia"/>
          <w:sz w:val="32"/>
          <w:szCs w:val="32"/>
        </w:rPr>
        <w:t>（三）</w:t>
      </w:r>
      <w:r>
        <w:rPr>
          <w:rFonts w:ascii="仿宋_GB2312" w:eastAsia="仿宋_GB2312" w:cs="仿宋_GB2312" w:hint="eastAsia"/>
          <w:sz w:val="32"/>
          <w:szCs w:val="32"/>
          <w:lang w:val="zh-CN"/>
        </w:rPr>
        <w:t>综合管理情况。</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zh-CN"/>
        </w:rPr>
        <w:t>资产管理、本单位固定资产按科学合理、优化资产结构勤俭节约的原则和专门的资产管理系统进行管理，</w:t>
      </w:r>
      <w:r>
        <w:rPr>
          <w:rFonts w:ascii="仿宋_GB2312" w:eastAsia="仿宋_GB2312" w:hint="eastAsia"/>
          <w:color w:val="000000"/>
          <w:sz w:val="32"/>
          <w:szCs w:val="32"/>
        </w:rPr>
        <w:t>固定资产账面数据和固定资产管理系统数据一致。</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2、</w:t>
      </w:r>
      <w:r>
        <w:rPr>
          <w:rFonts w:ascii="仿宋_GB2312" w:eastAsia="仿宋_GB2312" w:hint="eastAsia"/>
          <w:color w:val="000000"/>
          <w:sz w:val="32"/>
          <w:szCs w:val="32"/>
          <w:lang w:val="zh-CN"/>
        </w:rPr>
        <w:t>内控制度管理：为进一步做好行政事业单位内部控制基础性工作，结合我部实际制定以下制度：</w:t>
      </w:r>
    </w:p>
    <w:p>
      <w:pPr>
        <w:ind w:leftChars="304" w:left="638" w:firstLine="0"/>
        <w:rPr>
          <w:rFonts w:ascii="仿宋_GB2312" w:eastAsia="仿宋_GB2312"/>
          <w:color w:val="000000"/>
          <w:sz w:val="32"/>
          <w:szCs w:val="32"/>
        </w:rPr>
      </w:pPr>
      <w:r>
        <w:rPr>
          <w:rFonts w:ascii="仿宋_GB2312" w:eastAsia="仿宋_GB2312" w:hint="eastAsia"/>
          <w:color w:val="000000"/>
          <w:sz w:val="32"/>
          <w:szCs w:val="32"/>
        </w:rPr>
        <w:t>1采购管理制度、2合同管理制度、3建设项目管理制度、4收支业务管理制度、5预算管理制度、6资产管理制度。</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信息公开：预算决算公开按财政局的要求在收到财政批复后20个工作日在金川县政府中心的信息网站进行公开。</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绩效评价及财政监督情况：按金财</w:t>
      </w:r>
      <w:r>
        <w:rPr>
          <w:rFonts w:ascii="仿宋_GB2312" w:eastAsia="仿宋_GB2312" w:hint="eastAsia"/>
          <w:color w:val="000000"/>
          <w:sz w:val="32"/>
          <w:szCs w:val="32"/>
          <w:lang w:val="en-US" w:eastAsia="zh-CN"/>
        </w:rPr>
        <w:t>监绩</w:t>
      </w:r>
      <w:r>
        <w:rPr>
          <w:rFonts w:ascii="仿宋_GB2312" w:eastAsia="仿宋_GB2312" w:hint="eastAsia"/>
          <w:color w:val="000000"/>
          <w:sz w:val="32"/>
          <w:szCs w:val="32"/>
          <w:lang w:eastAsia="zh-CN"/>
        </w:rPr>
        <w:t>〔2023〕</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号文件附件</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部门支出绩效评价指标体系进行单位自评，按财政要求收支并接受财政的监督管理。</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w:t>
      </w:r>
      <w:r>
        <w:rPr>
          <w:rFonts w:ascii="仿宋_GB2312" w:eastAsia="仿宋_GB2312" w:hint="eastAsia"/>
          <w:color w:val="000000"/>
          <w:sz w:val="32"/>
          <w:szCs w:val="32"/>
        </w:rPr>
        <w:t>四</w:t>
      </w:r>
      <w:r>
        <w:rPr>
          <w:rFonts w:ascii="仿宋_GB2312" w:eastAsia="仿宋_GB2312" w:hint="eastAsia"/>
          <w:color w:val="000000"/>
          <w:sz w:val="32"/>
          <w:szCs w:val="32"/>
          <w:lang w:val="zh-CN"/>
        </w:rPr>
        <w:t>）整体绩效。</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我单位财务管理制度健全，执行制度严格合规，会计核算符合相关规定，资金专款专用，资金支付依据和开支标准合法合规，严格执行政府采购。</w:t>
      </w:r>
    </w:p>
    <w:p>
      <w:pPr>
        <w:widowControl/>
        <w:adjustRightInd w:val="0"/>
        <w:snapToGrid w:val="0"/>
        <w:spacing w:line="560" w:lineRule="exact"/>
        <w:ind w:firstLine="720"/>
        <w:jc w:val="left"/>
        <w:rPr>
          <w:rFonts w:ascii="仿宋_GB2312" w:eastAsia="仿宋_GB2312" w:cs="仿宋_GB2312"/>
          <w:b/>
          <w:color w:val="000000"/>
          <w:kern w:val="0"/>
          <w:sz w:val="32"/>
        </w:rPr>
      </w:pPr>
      <w:r>
        <w:rPr>
          <w:rFonts w:ascii="仿宋_GB2312" w:eastAsia="仿宋_GB2312" w:cs="仿宋_GB2312" w:hint="eastAsia"/>
          <w:b/>
          <w:color w:val="000000"/>
          <w:kern w:val="0"/>
          <w:sz w:val="32"/>
        </w:rPr>
        <w:t>四、评价结论及建议</w:t>
      </w:r>
    </w:p>
    <w:p>
      <w:pPr>
        <w:widowControl/>
        <w:adjustRightInd w:val="0"/>
        <w:snapToGrid w:val="0"/>
        <w:spacing w:line="480" w:lineRule="exact"/>
        <w:ind w:firstLine="720"/>
        <w:jc w:val="left"/>
        <w:rPr>
          <w:rFonts w:ascii="仿宋_GB2312" w:eastAsia="仿宋_GB2312" w:cs="仿宋_GB2312"/>
          <w:sz w:val="32"/>
          <w:szCs w:val="32"/>
          <w:lang w:val="zh-CN"/>
        </w:rPr>
      </w:pPr>
      <w:r>
        <w:rPr>
          <w:rFonts w:ascii="仿宋_GB2312" w:eastAsia="仿宋_GB2312" w:cs="仿宋_GB2312" w:hint="eastAsia"/>
          <w:sz w:val="32"/>
          <w:szCs w:val="32"/>
          <w:lang w:val="zh-CN"/>
        </w:rPr>
        <w:t>（一）评价结论</w:t>
      </w:r>
    </w:p>
    <w:p>
      <w:pPr>
        <w:ind w:firstLineChars="200" w:firstLine="640"/>
        <w:rPr>
          <w:rFonts w:ascii="仿宋_GB2312" w:eastAsia="仿宋_GB2312" w:hint="eastAsia"/>
          <w:color w:val="000000"/>
          <w:sz w:val="32"/>
          <w:szCs w:val="32"/>
          <w:lang w:val="zh-CN"/>
        </w:rPr>
      </w:pPr>
      <w:r>
        <w:rPr>
          <w:rFonts w:ascii="仿宋_GB2312" w:eastAsia="仿宋_GB2312" w:hint="eastAsia"/>
          <w:color w:val="000000"/>
          <w:sz w:val="32"/>
          <w:szCs w:val="32"/>
          <w:lang w:val="zh-CN"/>
        </w:rPr>
        <w:t>我单位严格执行支出绩效评价，自评打分9</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lang w:val="zh-CN"/>
        </w:rPr>
        <w:t>分，部门整体绩效运行良好。</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我单位无收费项目，无其他行政事业性收费，故无预算外资金。自侦案件暂扣款根据案件实际情况随案移送、上缴国库、退还当事人。</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我单位严格按照《行政单位会计制度》、《行政单位财务规则》财政部等有关规定执行，所有经费开支都坚持做到了“经手人提供原始凭证、填制相关单据，相关人员证明，财务初审，分管局长复审，局长终审”的签字制度。大额开支提交局党组集体研究决定。</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（二）存在问题。</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en-US" w:eastAsia="zh-CN"/>
        </w:rPr>
        <w:t>人员专业性需加强，</w:t>
      </w:r>
      <w:r>
        <w:rPr>
          <w:rFonts w:ascii="仿宋_GB2312" w:eastAsia="仿宋_GB2312" w:hint="eastAsia"/>
          <w:color w:val="000000"/>
          <w:sz w:val="32"/>
          <w:szCs w:val="32"/>
          <w:lang w:val="zh-CN"/>
        </w:rPr>
        <w:t>预算编制还需进一步细化，需要加强内部控制制度的执行。</w:t>
      </w:r>
    </w:p>
    <w:p>
      <w:pPr>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（三）改进建议。</w:t>
      </w:r>
    </w:p>
    <w:p>
      <w:pPr>
        <w:ind w:firstLineChars="200" w:firstLine="640"/>
        <w:rPr>
          <w:rFonts w:ascii="仿宋_GB2312" w:eastAsia="仿宋_GB2312" w:hint="eastAsia"/>
          <w:color w:val="000000"/>
          <w:sz w:val="32"/>
          <w:szCs w:val="32"/>
          <w:lang w:val="zh-CN"/>
        </w:rPr>
      </w:pPr>
      <w:r>
        <w:rPr>
          <w:rFonts w:ascii="仿宋_GB2312" w:eastAsia="仿宋_GB2312" w:hint="eastAsia"/>
          <w:color w:val="00000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r>
    </w:p>
    <w:p>
      <w:pPr>
        <w:ind w:firstLineChars="200" w:firstLine="640"/>
        <w:rPr>
          <w:rFonts w:ascii="仿宋_GB2312" w:eastAsia="仿宋_GB2312" w:hint="eastAsia"/>
          <w:color w:val="000000"/>
          <w:sz w:val="32"/>
          <w:szCs w:val="32"/>
          <w:lang w:val="zh-CN"/>
        </w:rPr>
      </w:pPr>
      <w:r>
        <w:rPr>
          <w:rFonts w:ascii="仿宋_GB2312" w:eastAsia="仿宋_GB2312" w:hint="eastAsia"/>
          <w:color w:val="000000"/>
          <w:sz w:val="32"/>
          <w:szCs w:val="32"/>
          <w:lang w:val="zh-CN"/>
        </w:rPr>
        <w:t>2、严格控制“三公”经费。认真贯彻落实中央、省委省政府和县委县政府相关规定，严格“三公”经费支出的审核和审批，合理压缩“三公”经费支出。</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ageBreakBefore w:val="0"/>
        <w:widowControl/>
        <w:kinsoku/>
        <w:wordWrap/>
        <w:overflowPunct/>
        <w:topLinePunct w:val="0"/>
        <w:bidi w:val="0"/>
        <w:spacing w:line="576" w:lineRule="exact"/>
        <w:ind w:firstLineChars="600" w:firstLine="2640"/>
        <w:jc w:val="left"/>
        <w:rPr>
          <w:rFonts w:ascii="Times New Roman" w:eastAsia="仿宋" w:cs="Times New Roman" w:hAnsi="Times New Roman"/>
        </w:rPr>
      </w:pPr>
      <w:bookmarkStart w:id="84" w:name="_Toc15396618"/>
      <w:bookmarkStart w:id="85" w:name="_Toc26843625"/>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6" w:name="_Toc15396619"/>
      <w:bookmarkEnd w:id="80"/>
      <w:bookmarkEnd w:id="84"/>
      <w:bookmarkEnd w:id="8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7"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6"/>
      <w:bookmarkEnd w:id="8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8" w:name="_Toc15396620"/>
      <w:bookmarkStart w:id="89" w:name="_Toc26843627"/>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8"/>
      <w:bookmarkEnd w:id="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0" w:name="_Toc15396621"/>
      <w:bookmarkStart w:id="91"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2" w:name="_Toc15396622"/>
      <w:bookmarkStart w:id="93" w:name="_Toc26843629"/>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2"/>
      <w:bookmarkEnd w:id="9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4" w:name="_Toc26843630"/>
      <w:bookmarkStart w:id="95"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6" w:name="_Toc15396624"/>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6"/>
      <w:bookmarkEnd w:id="9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8" w:name="_Toc15396625"/>
      <w:bookmarkStart w:id="99"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0" w:name="_Toc15396626"/>
      <w:bookmarkStart w:id="101" w:name="_Toc2684363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0"/>
      <w:bookmarkEnd w:id="1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2" w:name="_Toc15396627"/>
      <w:bookmarkStart w:id="103"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2"/>
      <w:bookmarkEnd w:id="1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4" w:name="_Toc15396629"/>
      <w:bookmarkStart w:id="105" w:name="_Toc26843636"/>
      <w:r>
        <w:rPr>
          <w:rStyle w:val="2Char"/>
          <w:rFonts w:ascii="Times New Roman" w:eastAsia="仿宋" w:cs="Times New Roman" w:hAnsi="Times New Roman"/>
          <w:b w:val="0"/>
          <w:bCs w:val="0"/>
        </w:rPr>
        <w:t>十、</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4"/>
      <w:bookmarkEnd w:id="1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6" w:name="_Toc15396630"/>
      <w:bookmarkStart w:id="107" w:name="_Toc26843637"/>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rPr>
        <w:t>一、国有资本经营预算财政拨款收入支出决算</w:t>
      </w:r>
      <w:r>
        <w:rPr>
          <w:rStyle w:val="2Char"/>
          <w:rFonts w:ascii="Times New Roman" w:eastAsia="仿宋" w:cs="Times New Roman" w:hAnsi="Times New Roman"/>
          <w:b w:val="0"/>
          <w:bCs w:val="0"/>
        </w:rPr>
        <w:t>表</w:t>
      </w:r>
      <w:bookmarkEnd w:id="106"/>
      <w:bookmarkEnd w:id="10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8" w:name="_Toc26843638"/>
      <w:bookmarkStart w:id="109" w:name="_Toc15396631"/>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rPr>
        <w:t>二</w:t>
      </w:r>
      <w:r>
        <w:rPr>
          <w:rStyle w:val="2Char"/>
          <w:rFonts w:ascii="Times New Roman" w:eastAsia="仿宋" w:cs="Times New Roman" w:hAnsi="Times New Roman"/>
          <w:b w:val="0"/>
          <w:bCs w:val="0"/>
        </w:rPr>
        <w:t>、</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有资本经营预算财政拨款支出决算表</w:t>
      </w:r>
      <w:bookmarkEnd w:id="108"/>
      <w:bookmarkEnd w:id="109"/>
    </w:p>
    <w:p>
      <w:pPr>
        <w:pageBreakBefore w:val="0"/>
        <w:widowControl w:val="0"/>
        <w:kinsoku/>
        <w:wordWrap/>
        <w:overflowPunct/>
        <w:topLinePunct w:val="0"/>
        <w:bidi w:val="0"/>
        <w:spacing w:line="576" w:lineRule="exact"/>
        <w:rPr>
          <w:rFonts w:ascii="Times New Roman" w:eastAsia="仿宋" w:cs="Times New Roman" w:hAnsi="Times New Roman"/>
          <w:lang w:val="en-US"/>
        </w:rPr>
      </w:pPr>
      <w:bookmarkStart w:id="110" w:name="_Toc26843639"/>
      <w:r>
        <w:rPr>
          <w:rStyle w:val="2Char"/>
          <w:rFonts w:ascii="Times New Roman" w:eastAsia="仿宋" w:cs="Times New Roman" w:hAnsi="Times New Roman"/>
          <w:b w:val="0"/>
          <w:bCs w:val="0"/>
        </w:rPr>
        <w:t>十</w:t>
      </w:r>
      <w:r>
        <w:rPr>
          <w:rStyle w:val="2Char"/>
          <w:rFonts w:eastAsia="仿宋" w:cs="Times New Roman" w:hint="eastAsia"/>
          <w:b w:val="0"/>
          <w:bCs w:val="0"/>
          <w:lang w:val="en-US"/>
        </w:rPr>
        <w:t>三</w:t>
      </w:r>
      <w:r>
        <w:rPr>
          <w:rStyle w:val="2Char"/>
          <w:rFonts w:ascii="Times New Roman" w:eastAsia="仿宋" w:cs="Times New Roman" w:hAnsi="Times New Roman"/>
          <w:b w:val="0"/>
          <w:bCs w:val="0"/>
        </w:rPr>
        <w:t>、</w:t>
      </w:r>
      <w:bookmarkEnd w:id="110"/>
      <w:r>
        <w:rPr>
          <w:rStyle w:val="2Char"/>
          <w:rFonts w:eastAsia="仿宋" w:cs="Times New Roman" w:hint="eastAsia"/>
          <w:b w:val="0"/>
          <w:bCs w:val="0"/>
          <w:lang w:val="en-US"/>
        </w:rPr>
        <w:t>财政拨款“三公”经费支出决算表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方正黑体_GBK"/>
    <w:panose1 w:val="02000000000000000000"/>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楷体_GBK">
    <w:altName w:val="微软雅黑"/>
    <w:panose1 w:val="03000509000000000000"/>
    <w:charset w:val="86"/>
    <w:family w:val="auto"/>
    <w:pitch w:val="variable"/>
    <w:sig w:usb0="00000000" w:usb1="00000000" w:usb2="00000000" w:usb3="00000000" w:csb0="00040000" w:csb1="00000000"/>
  </w:font>
  <w:font w:name="方正仿宋_GBK">
    <w:altName w:val="微软雅黑"/>
    <w:panose1 w:val="02000000000000000000"/>
    <w:charset w:val="86"/>
    <w:family w:val="script"/>
    <w:pitch w:val="variable"/>
    <w:sig w:usb0="00000000" w:usb1="0000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14499231"/>
    </w:sdtPr>
    <w:sdtContent>
      <w:p>
        <w:pPr>
          <w:pStyle w:val="19"/>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DCBA127A"/>
    <w:multiLevelType w:val="singleLevel"/>
    <w:tmpl w:val="DCBA127A"/>
    <w:lvl w:ilvl="0">
      <w:start w:val="1"/>
      <w:numFmt w:val="decimal"/>
      <w:lvlRestart w:val="0"/>
      <w:lvlText w:val="%1."/>
      <w:lvlJc w:val="left"/>
      <w:pPr>
        <w:tabs>
          <w:tab w:val="num" w:pos="0"/>
        </w:tabs>
        <w:ind w:left="0" w:hanging="0"/>
      </w:pPr>
    </w:lvl>
  </w:abstractNum>
  <w:abstractNum w:abstractNumId="2">
    <w:nsid w:val="270DCDFC"/>
    <w:multiLevelType w:val="singleLevel"/>
    <w:tmpl w:val="270DCDFC"/>
    <w:lvl w:ilvl="0">
      <w:start w:val="5"/>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mJkN2IyOWE1YjAzMDllNWRkODUxMTliNTEzYzExM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44444"/>
          <c:y val="0.061342593"/>
          <c:w val="0.8883889"/>
          <c:h val="0.5646759"/>
        </c:manualLayout>
      </c:layout>
      <c:barChart>
        <c:barDir val="col"/>
        <c:grouping val="clustered"/>
        <c:varyColors val="0"/>
        <c:ser>
          <c:idx val="0"/>
          <c:order val="0"/>
          <c:spPr>
            <a:gradFill rotWithShape="1">
              <a:gsLst>
                <a:gs pos="0">
                  <a:srgbClr val="FFD75E">
                    <a:alpha val="100000"/>
                  </a:srgbClr>
                </a:gs>
                <a:gs pos="100000">
                  <a:srgbClr val="F2B600">
                    <a:alpha val="100000"/>
                  </a:srgbClr>
                </a:gs>
              </a:gsLst>
              <a:lin ang="5400000" scaled="1"/>
            </a:gradFill>
            <a:ln w="19050">
              <a:solidFill>
                <a:srgbClr val="F2B600"/>
              </a:solidFill>
              <a:prstDash val="solid"/>
            </a:ln>
          </c:spPr>
          <c:invertIfNegative val="0"/>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General" sourceLinked="1"/>
            <c:dLblPos val="inBase"/>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3"/>
              <c:pt idx="0">
                <c:v>2021年支出数</c:v>
              </c:pt>
              <c:pt idx="1">
                <c:v>2022年支出数</c:v>
              </c:pt>
              <c:pt idx="2">
                <c:v>&amp;sxmk&amp;</c:v>
              </c:pt>
              <c:pt idx="8">
                <c:v>&amp;sxmk&amp;</c:v>
              </c:pt>
              <c:pt idx="14">
                <c:v>&amp;sxmk&amp;</c:v>
              </c:pt>
              <c:pt idx="18">
                <c:v>705.86</c:v>
              </c:pt>
              <c:pt idx="20">
                <c:v>&amp;sxmk&amp;</c:v>
              </c:pt>
              <c:pt idx="22">
                <c:v>787.32</c:v>
              </c:pt>
              <c:pt idx="26">
                <c:v>&amp;sxmk&amp;</c:v>
              </c:pt>
              <c:pt idx="30">
                <c:v>2021年收入数</c:v>
              </c:pt>
              <c:pt idx="32">
                <c:v>&amp;sxmk&amp;</c:v>
              </c:pt>
              <c:pt idx="34">
                <c:v>2022年收入数</c:v>
              </c:pt>
              <c:pt idx="38">
                <c:v>&amp;sxmk&amp;</c:v>
              </c:pt>
              <c:pt idx="44">
                <c:v>&amp;sxmk&amp;</c:v>
              </c:pt>
              <c:pt idx="50">
                <c:v>&amp;sxmk&amp;</c:v>
              </c:pt>
              <c:pt idx="56">
                <c:v>&amp;sxmk&amp;</c:v>
              </c:pt>
              <c:pt idx="62">
                <c:v>&amp;sxmk&amp;</c:v>
              </c:pt>
            </c:strLit>
          </c:cat>
          <c:val>
            <c:numRef>
              <c:f/>
            </c:numRef>
          </c:val>
        </c:ser>
        <c:ser>
          <c:idx val="1"/>
          <c:order val="1"/>
          <c:spPr>
            <a:gradFill rotWithShape="1">
              <a:gsLst>
                <a:gs pos="0">
                  <a:srgbClr val="C3EA6F">
                    <a:alpha val="100000"/>
                  </a:srgbClr>
                </a:gs>
                <a:gs pos="100000">
                  <a:srgbClr val="96CE1E">
                    <a:alpha val="100000"/>
                  </a:srgbClr>
                </a:gs>
              </a:gsLst>
              <a:lin ang="5400000" scaled="1"/>
            </a:gradFill>
            <a:ln w="19050">
              <a:solidFill>
                <a:srgbClr val="96CE1E"/>
              </a:solidFill>
              <a:prstDash val="solid"/>
            </a:ln>
          </c:spPr>
          <c:invertIfNegative val="0"/>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General" sourceLinked="1"/>
            <c:dLblPos val="inBase"/>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3"/>
              <c:pt idx="0">
                <c:v>2021年支出数</c:v>
              </c:pt>
              <c:pt idx="1">
                <c:v>2022年支出数</c:v>
              </c:pt>
              <c:pt idx="2">
                <c:v>&amp;sxmk&amp;</c:v>
              </c:pt>
              <c:pt idx="8">
                <c:v>&amp;sxmk&amp;</c:v>
              </c:pt>
              <c:pt idx="14">
                <c:v>&amp;sxmk&amp;</c:v>
              </c:pt>
              <c:pt idx="18">
                <c:v>705.86</c:v>
              </c:pt>
              <c:pt idx="20">
                <c:v>&amp;sxmk&amp;</c:v>
              </c:pt>
              <c:pt idx="22">
                <c:v>787.32</c:v>
              </c:pt>
              <c:pt idx="26">
                <c:v>&amp;sxmk&amp;</c:v>
              </c:pt>
              <c:pt idx="30">
                <c:v>2021年收入数</c:v>
              </c:pt>
              <c:pt idx="32">
                <c:v>&amp;sxmk&amp;</c:v>
              </c:pt>
              <c:pt idx="34">
                <c:v>2022年收入数</c:v>
              </c:pt>
              <c:pt idx="38">
                <c:v>&amp;sxmk&amp;</c:v>
              </c:pt>
              <c:pt idx="44">
                <c:v>&amp;sxmk&amp;</c:v>
              </c:pt>
              <c:pt idx="50">
                <c:v>&amp;sxmk&amp;</c:v>
              </c:pt>
              <c:pt idx="56">
                <c:v>&amp;sxmk&amp;</c:v>
              </c:pt>
              <c:pt idx="62">
                <c:v>&amp;sxmk&amp;</c:v>
              </c:pt>
            </c:strLit>
          </c:cat>
          <c:val>
            <c:numRef>
              <c:f/>
            </c:numRef>
          </c:val>
        </c:ser>
        <c:ser>
          <c:idx val="2"/>
          <c:order val="2"/>
          <c:spPr>
            <a:gradFill rotWithShape="1">
              <a:gsLst>
                <a:gs pos="0">
                  <a:srgbClr val="66BAFC">
                    <a:alpha val="100000"/>
                  </a:srgbClr>
                </a:gs>
                <a:gs pos="100000">
                  <a:srgbClr val="058CF5">
                    <a:alpha val="100000"/>
                  </a:srgbClr>
                </a:gs>
              </a:gsLst>
              <a:lin ang="5400000" scaled="1"/>
            </a:gradFill>
            <a:ln w="19050">
              <a:solidFill>
                <a:srgbClr val="058CF5"/>
              </a:solidFill>
              <a:prstDash val="solid"/>
            </a:ln>
          </c:spPr>
          <c:invertIfNegative val="0"/>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General" sourceLinked="1"/>
            <c:dLblPos val="inBase"/>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3"/>
              <c:pt idx="0">
                <c:v>2021年支出数</c:v>
              </c:pt>
              <c:pt idx="1">
                <c:v>2022年支出数</c:v>
              </c:pt>
              <c:pt idx="2">
                <c:v>&amp;sxmk&amp;</c:v>
              </c:pt>
              <c:pt idx="8">
                <c:v>&amp;sxmk&amp;</c:v>
              </c:pt>
              <c:pt idx="14">
                <c:v>&amp;sxmk&amp;</c:v>
              </c:pt>
              <c:pt idx="18">
                <c:v>705.86</c:v>
              </c:pt>
              <c:pt idx="20">
                <c:v>&amp;sxmk&amp;</c:v>
              </c:pt>
              <c:pt idx="22">
                <c:v>787.32</c:v>
              </c:pt>
              <c:pt idx="26">
                <c:v>&amp;sxmk&amp;</c:v>
              </c:pt>
              <c:pt idx="30">
                <c:v>2021年收入数</c:v>
              </c:pt>
              <c:pt idx="32">
                <c:v>&amp;sxmk&amp;</c:v>
              </c:pt>
              <c:pt idx="34">
                <c:v>2022年收入数</c:v>
              </c:pt>
              <c:pt idx="38">
                <c:v>&amp;sxmk&amp;</c:v>
              </c:pt>
              <c:pt idx="44">
                <c:v>&amp;sxmk&amp;</c:v>
              </c:pt>
              <c:pt idx="50">
                <c:v>&amp;sxmk&amp;</c:v>
              </c:pt>
              <c:pt idx="56">
                <c:v>&amp;sxmk&amp;</c:v>
              </c:pt>
              <c:pt idx="62">
                <c:v>&amp;sxmk&amp;</c:v>
              </c:pt>
            </c:strLit>
          </c:cat>
          <c:val>
            <c:numRef>
              <c:f/>
            </c:numRef>
          </c:val>
        </c:ser>
        <c:ser>
          <c:idx val="3"/>
          <c:order val="3"/>
          <c:spPr>
            <a:gradFill rotWithShape="1">
              <a:gsLst>
                <a:gs pos="0">
                  <a:srgbClr val="6BE9EA">
                    <a:alpha val="100000"/>
                  </a:srgbClr>
                </a:gs>
                <a:gs pos="100000">
                  <a:srgbClr val="1CC6C8">
                    <a:alpha val="100000"/>
                  </a:srgbClr>
                </a:gs>
              </a:gsLst>
              <a:lin ang="5400000" scaled="1"/>
            </a:gradFill>
            <a:ln w="19050">
              <a:solidFill>
                <a:srgbClr val="1CC6C8"/>
              </a:solidFill>
              <a:prstDash val="solid"/>
            </a:ln>
          </c:spPr>
          <c:invertIfNegative val="0"/>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General" sourceLinked="0"/>
            <c:dLblPos val="inBase"/>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3"/>
              <c:pt idx="0">
                <c:v>2021年支出数</c:v>
              </c:pt>
              <c:pt idx="1">
                <c:v>2022年支出数</c:v>
              </c:pt>
              <c:pt idx="2">
                <c:v>&amp;sxmk&amp;</c:v>
              </c:pt>
              <c:pt idx="8">
                <c:v>&amp;sxmk&amp;</c:v>
              </c:pt>
              <c:pt idx="14">
                <c:v>&amp;sxmk&amp;</c:v>
              </c:pt>
              <c:pt idx="18">
                <c:v>705.86</c:v>
              </c:pt>
              <c:pt idx="20">
                <c:v>&amp;sxmk&amp;</c:v>
              </c:pt>
              <c:pt idx="22">
                <c:v>787.32</c:v>
              </c:pt>
              <c:pt idx="26">
                <c:v>&amp;sxmk&amp;</c:v>
              </c:pt>
              <c:pt idx="30">
                <c:v>2021年收入数</c:v>
              </c:pt>
              <c:pt idx="32">
                <c:v>&amp;sxmk&amp;</c:v>
              </c:pt>
              <c:pt idx="34">
                <c:v>2022年收入数</c:v>
              </c:pt>
              <c:pt idx="38">
                <c:v>&amp;sxmk&amp;</c:v>
              </c:pt>
              <c:pt idx="44">
                <c:v>&amp;sxmk&amp;</c:v>
              </c:pt>
              <c:pt idx="50">
                <c:v>&amp;sxmk&amp;</c:v>
              </c:pt>
              <c:pt idx="56">
                <c:v>&amp;sxmk&amp;</c:v>
              </c:pt>
              <c:pt idx="62">
                <c:v>&amp;sxmk&amp;</c:v>
              </c:pt>
            </c:strLit>
          </c:cat>
          <c:val>
            <c:numRef>
              <c:f/>
              <c:numCache>
                <c:formatCode>General</c:formatCode>
                <c:ptCount val="5"/>
                <c:pt idx="0">
                  <c:v>705.86</c:v>
                </c:pt>
                <c:pt idx="4">
                  <c:v>787.32</c:v>
                </c:pt>
              </c:numCache>
            </c:numRef>
          </c:val>
        </c:ser>
        <c:overlap val="-22"/>
        <c:gapWidth val="153"/>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一般公共预算财政拨款收入</c:v>
          </c:tx>
          <c:spPr>
            <a:ln>
              <a:noFill/>
            </a:ln>
          </c:spPr>
          <c:dPt>
            <c:idx val="0"/>
            <c:bubble3D val="0"/>
            <c:spPr>
              <a:solidFill>
                <a:srgbClr val="406A9C"/>
              </a:soli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AABAD7"/>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2022年收入决算数</c:v>
              </c:pt>
            </c:strLit>
          </c:cat>
          <c:val>
            <c:numRef>
              <c:f/>
              <c:numCache>
                <c:formatCode>General</c:formatCode>
                <c:ptCount val="3"/>
                <c:pt idx="0">
                  <c:v>787.32</c:v>
                </c:pt>
                <c:pt idx="1">
                  <c:v>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787.32</a:t>
            </a:r>
          </a:p>
        </c:rich>
      </c:tx>
      <c:layout/>
      <c:overlay val="0"/>
      <c:spPr>
        <a:noFill/>
        <a:ln>
          <a:noFill/>
        </a:ln>
      </c:spPr>
    </c:title>
    <c:autoTitleDeleted val="1"/>
    <c:plotArea>
      <c:layout/>
      <c:pieChart>
        <c:varyColors val="1"/>
        <c:ser>
          <c:idx val="0"/>
          <c:order val="0"/>
          <c:tx>
            <c:v>787.32</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7"/>
              <c:pt idx="0">
                <c:v>2022年支出决算数</c:v>
              </c:pt>
            </c:strLit>
          </c:cat>
          <c:val>
            <c:numRef>
              <c:f/>
              <c:numCache>
                <c:formatCode>General</c:formatCode>
                <c:ptCount val="7"/>
                <c:pt idx="0">
                  <c:v>0.0</c:v>
                </c:pt>
                <c:pt idx="1">
                  <c:v>624.21</c:v>
                </c:pt>
                <c:pt idx="4">
                  <c:v>0.0</c:v>
                </c:pt>
                <c:pt idx="5">
                  <c:v>163.11</c:v>
                </c:pt>
              </c:numCache>
            </c:numRef>
          </c:val>
        </c:ser>
        <c:firstSliceAng val="0"/>
      </c:pieChart>
      <c:spPr>
        <a:noFill/>
        <a:ln>
          <a:noFill/>
        </a:ln>
      </c:spPr>
    </c:plotArea>
    <c:legend>
      <c:legendPos val="b"/>
      <c:layout>
        <c:manualLayout>
          <c:xMode val="edge"/>
          <c:yMode val="edge"/>
          <c:x val="0.3313889"/>
          <c:y val="0.915509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 </a:t>
            </a:r>
          </a:p>
        </c:rich>
      </c:tx>
      <c:layout/>
      <c:overlay val="0"/>
      <c:spPr>
        <a:noFill/>
        <a:ln>
          <a:noFill/>
        </a:ln>
      </c:spPr>
    </c:title>
    <c:autoTitleDeleted val="1"/>
    <c:plotArea>
      <c:layout/>
      <c:pieChart>
        <c:varyColors val="1"/>
        <c:ser>
          <c:idx val="0"/>
          <c:order val="0"/>
          <c:tx>
            <c:v>金额</c:v>
          </c:tx>
          <c:spPr>
            <a:ln w="6350">
              <a:solidFill>
                <a:srgbClr val="FFFFFF"/>
              </a:solidFill>
              <a:prstDash val="solid"/>
            </a:ln>
            <a:effectLst>
              <a:outerShdw dist="35921" dir="2700000" algn="br">
                <a:srgbClr val="000000"/>
              </a:outerShdw>
            </a:effectLst>
          </c:spPr>
          <c:dPt>
            <c:idx val="0"/>
            <c:bubble3D val="0"/>
            <c:spPr>
              <a:gradFill rotWithShape="1">
                <a:gsLst>
                  <a:gs pos="0">
                    <a:srgbClr val="8598FF">
                      <a:alpha val="100000"/>
                    </a:srgbClr>
                  </a:gs>
                  <a:gs pos="50000">
                    <a:srgbClr val="3354FF">
                      <a:alpha val="100000"/>
                    </a:srgbClr>
                  </a:gs>
                </a:gsLst>
                <a:lin ang="2700000" scaled="1"/>
              </a:gradFill>
              <a:ln w="6350">
                <a:solidFill>
                  <a:srgbClr val="FFFFFF"/>
                </a:solidFill>
                <a:prstDash val="solid"/>
              </a:ln>
              <a:effectLst>
                <a:outerShdw dist="35921" dir="2700000" algn="br">
                  <a:srgbClr val="000000"/>
                </a:outerShdw>
              </a:effectLst>
            </c:spPr>
          </c:dPt>
          <c:dPt>
            <c:idx val="1"/>
            <c:bubble3D val="0"/>
            <c:spPr>
              <a:gradFill rotWithShape="1">
                <a:gsLst>
                  <a:gs pos="0">
                    <a:srgbClr val="63BBFF">
                      <a:alpha val="100000"/>
                    </a:srgbClr>
                  </a:gs>
                  <a:gs pos="60000">
                    <a:srgbClr val="008DFA">
                      <a:alpha val="100000"/>
                    </a:srgbClr>
                  </a:gs>
                </a:gsLst>
                <a:lin ang="2700000" scaled="1"/>
              </a:gradFill>
              <a:ln w="6350">
                <a:solidFill>
                  <a:srgbClr val="FFFFFF"/>
                </a:solidFill>
                <a:prstDash val="solid"/>
              </a:ln>
              <a:effectLst>
                <a:outerShdw dist="35921" dir="2700000" algn="br">
                  <a:srgbClr val="000000"/>
                </a:outerShdw>
              </a:effectLst>
            </c:spPr>
          </c:dPt>
          <c:dPt>
            <c:idx val="2"/>
            <c:bubble3D val="0"/>
            <c:spPr>
              <a:gradFill rotWithShape="1">
                <a:gsLst>
                  <a:gs pos="0">
                    <a:srgbClr val="FFDD64">
                      <a:alpha val="100000"/>
                    </a:srgbClr>
                  </a:gs>
                  <a:gs pos="60000">
                    <a:srgbClr val="FCC400">
                      <a:alpha val="100000"/>
                    </a:srgbClr>
                  </a:gs>
                </a:gsLst>
                <a:lin ang="2700000" scaled="1"/>
              </a:gradFill>
              <a:ln w="6350">
                <a:solidFill>
                  <a:srgbClr val="FFFFFF"/>
                </a:solidFill>
                <a:prstDash val="solid"/>
              </a:ln>
              <a:effectLst>
                <a:outerShdw dist="35921" dir="2700000" algn="br">
                  <a:srgbClr val="000000"/>
                </a:outerShdw>
              </a:effectLst>
            </c:spPr>
          </c:dPt>
          <c:dPt>
            <c:idx val="3"/>
            <c:bubble3D val="0"/>
            <c:spPr>
              <a:gradFill rotWithShape="1">
                <a:gsLst>
                  <a:gs pos="0">
                    <a:srgbClr val="C3F17C">
                      <a:alpha val="100000"/>
                    </a:srgbClr>
                  </a:gs>
                  <a:gs pos="60000">
                    <a:srgbClr val="9BE724">
                      <a:alpha val="100000"/>
                    </a:srgbClr>
                  </a:gs>
                </a:gsLst>
                <a:lin ang="2700000" scaled="1"/>
              </a:gradFill>
              <a:ln w="6350">
                <a:solidFill>
                  <a:srgbClr val="FFFFFF"/>
                </a:solidFill>
                <a:prstDash val="solid"/>
              </a:ln>
              <a:effectLst>
                <a:outerShdw dist="35921" dir="2700000" algn="br">
                  <a:srgbClr val="000000"/>
                </a:outerShdw>
              </a:effectLst>
            </c:spPr>
          </c:dPt>
          <c:dPt>
            <c:idx val="4"/>
            <c:bubble3D val="0"/>
            <c:spPr>
              <a:solidFill>
                <a:srgbClr val="9AA2FF"/>
              </a:solidFill>
              <a:ln w="6350">
                <a:solidFill>
                  <a:srgbClr val="FFFFFF"/>
                </a:solidFill>
                <a:prstDash val="solid"/>
              </a:ln>
              <a:effectLst>
                <a:outerShdw dist="35921" dir="2700000" algn="br">
                  <a:srgbClr val="000000"/>
                </a:outerShdw>
              </a:effectLst>
            </c:spPr>
          </c:dPt>
          <c:dPt>
            <c:idx val="5"/>
            <c:bubble3D val="0"/>
            <c:spPr>
              <a:solidFill>
                <a:srgbClr val="BEC3FF"/>
              </a:solidFill>
              <a:ln w="6350">
                <a:solidFill>
                  <a:srgbClr val="FFFFFF"/>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6"/>
              <c:pt idx="0">
                <c:v>一般公共服务支出</c:v>
              </c:pt>
              <c:pt idx="1">
                <c:v>社会保障和就业支出</c:v>
              </c:pt>
              <c:pt idx="2">
                <c:v>卫生健康支出</c:v>
              </c:pt>
              <c:pt idx="3">
                <c:v>农林水支出</c:v>
              </c:pt>
              <c:pt idx="4">
                <c:v>住房保障支出</c:v>
              </c:pt>
              <c:pt idx="5">
                <c:v>其他支出</c:v>
              </c:pt>
            </c:strLit>
          </c:cat>
          <c:val>
            <c:numRef>
              <c:f/>
              <c:numCache>
                <c:formatCode>General</c:formatCode>
                <c:ptCount val="6"/>
                <c:pt idx="0">
                  <c:v>307.1</c:v>
                </c:pt>
                <c:pt idx="1">
                  <c:v>65.62</c:v>
                </c:pt>
                <c:pt idx="2">
                  <c:v>37.1</c:v>
                </c:pt>
                <c:pt idx="3">
                  <c:v>333.2</c:v>
                </c:pt>
                <c:pt idx="4">
                  <c:v>41.9</c:v>
                </c:pt>
                <c:pt idx="5">
                  <c:v>2.4</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BFBFBF"/>
              </a:solidFill>
              <a:latin typeface="Times New Roman"/>
              <a:ea typeface="宋体"/>
              <a:cs typeface="Lucida Sans"/>
            </a:defRPr>
          </a:pPr>
          <a:endParaRPr lang="zh-CN"/>
        </a:p>
      </c:txPr>
    </c:legend>
    <c:plotVisOnly val="1"/>
    <c:dispBlanksAs val="gap"/>
    <c:showDLblsOverMax val="0"/>
  </c:chart>
  <c:spPr>
    <a:gradFill rotWithShape="1">
      <a:gsLst>
        <a:gs pos="0">
          <a:srgbClr val="595959">
            <a:alpha val="100000"/>
          </a:srgbClr>
        </a:gs>
        <a:gs pos="100000">
          <a:srgbClr val="262626">
            <a:alpha val="100000"/>
          </a:srgbClr>
        </a:gs>
      </a:gsLst>
      <a:path path="circle">
        <a:fillToRect l="50000" t="50000" r="50000" b="50000"/>
      </a:path>
      <a:tileRect/>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158332"/>
          <c:y val="0.21361111"/>
          <c:w val="0.40516666"/>
          <c:h val="0.67527777"/>
        </c:manualLayout>
      </c:layout>
      <c:pieChart>
        <c:varyColors val="1"/>
        <c:ser>
          <c:idx val="0"/>
          <c:order val="0"/>
          <c:tx>
            <c:v>金额</c:v>
          </c:tx>
          <c:spPr>
            <a:ln>
              <a:noFill/>
            </a:ln>
            <a:effectLst>
              <a:outerShdw dist="35921" dir="2700000" algn="br">
                <a:srgbClr val="000000"/>
              </a:outerShdw>
            </a:effectLst>
          </c:spPr>
          <c:explosion val="4"/>
          <c:dPt>
            <c:idx val="0"/>
            <c:bubble3D val="0"/>
            <c:explosion val="0"/>
            <c:spPr>
              <a:solidFill>
                <a:srgbClr val="6F59FF"/>
              </a:solidFill>
              <a:ln>
                <a:noFill/>
              </a:ln>
              <a:effectLst>
                <a:outerShdw dist="35921" dir="2700000" algn="br">
                  <a:srgbClr val="000000"/>
                </a:outerShdw>
              </a:effectLst>
            </c:spPr>
          </c:dPt>
          <c:dPt>
            <c:idx val="1"/>
            <c:bubble3D val="0"/>
            <c:explosion val="0"/>
            <c:spPr>
              <a:solidFill>
                <a:srgbClr val="8063FF"/>
              </a:solidFill>
              <a:ln>
                <a:noFill/>
              </a:ln>
              <a:effectLst>
                <a:outerShdw dist="35921" dir="2700000" algn="br">
                  <a:srgbClr val="000000"/>
                </a:outerShdw>
              </a:effectLst>
            </c:spPr>
          </c:dPt>
          <c:dPt>
            <c:idx val="2"/>
            <c:bubble3D val="0"/>
            <c:explosion val="0"/>
            <c:spPr>
              <a:solidFill>
                <a:srgbClr val="8D6EFF"/>
              </a:solid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numFmt formatCode="0%" sourceLinked="0"/>
            <c:showLegendKey val="0"/>
            <c:showVal val="0"/>
            <c:showCatName val="1"/>
            <c:showSerName val="0"/>
            <c:showPercent val="1"/>
            <c:showBubbleSize val="0"/>
            <c:showLeaderLines val="1"/>
          </c:dLbls>
          <c:cat>
            <c:strLit>
              <c:ptCount val="3"/>
              <c:pt idx="0">
                <c:v>因公出国（境）费支出 </c:v>
              </c:pt>
              <c:pt idx="1">
                <c:v>公务用车购置及运行维护费支出</c:v>
              </c:pt>
              <c:pt idx="2">
                <c:v>公务接待费支出</c:v>
              </c:pt>
            </c:strLit>
          </c:cat>
          <c:val>
            <c:numRef>
              <c:f/>
              <c:numCache>
                <c:formatCode>General</c:formatCode>
                <c:ptCount val="3"/>
                <c:pt idx="0">
                  <c:v>0.0</c:v>
                </c:pt>
                <c:pt idx="1">
                  <c:v>9.08</c:v>
                </c:pt>
                <c:pt idx="2">
                  <c:v>0.0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2F2F2">
            <a:alpha val="100000"/>
          </a:srgbClr>
        </a:gs>
        <a:gs pos="100000">
          <a:srgbClr val="808080">
            <a:alpha val="100000"/>
          </a:srgbClr>
        </a:gs>
      </a:gsLst>
      <a:path path="circle">
        <a:fillToRect l="50000" t="50000" r="50000" b="50000"/>
      </a:path>
      <a:tileRect/>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22</Pages>
  <Words>7399</Words>
  <Characters>8140</Characters>
  <Lines>453</Lines>
  <Paragraphs>182</Paragraphs>
  <CharactersWithSpaces>8215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2023-08-30T07:01:41Z</cp:lastPrinted>
  <dcterms:created xsi:type="dcterms:W3CDTF">2020-08-05T01:49:00Z</dcterms:created>
  <dcterms:modified xsi:type="dcterms:W3CDTF">2023-09-22T01:01:35Z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2052-11.1.0.11830</vt:lpwstr>
  </property>
  <property fmtid="{D5CDD505-2E9C-101B-9397-08002B2CF9AE}" pid="3" name="ICV">
    <vt:lpwstr>1F675EE7F647466A9DE1E723B93B8627_13</vt:lpwstr>
  </property>
</Properties>
</file>