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2796"/>
      <w:bookmarkStart w:id="3" w:name="_Toc15396597"/>
      <w:bookmarkStart w:id="4" w:name="_Toc15377193"/>
      <w:bookmarkStart w:id="5" w:name="_Toc15378441"/>
      <w:bookmarkStart w:id="6" w:name="_Toc15396475"/>
      <w:r>
        <w:rPr>
          <w:rFonts w:ascii="黑体" w:eastAsia="黑体"/>
          <w:color w:val="000000"/>
          <w:sz w:val="72"/>
          <w:szCs w:val="72"/>
        </w:rPr>
        <w:t>202</w:t>
      </w:r>
      <w:r>
        <w:rPr>
          <w:rFonts w:hint="eastAsia" w:ascii="黑体" w:eastAsia="黑体"/>
          <w:color w:val="000000"/>
          <w:sz w:val="72"/>
          <w:szCs w:val="72"/>
        </w:rPr>
        <w:t>1</w:t>
      </w:r>
      <w:r>
        <w:rPr>
          <w:rFonts w:hint="eastAsia" w:ascii="方正小标宋简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96476"/>
      <w:bookmarkStart w:id="8" w:name="_Toc15378442"/>
      <w:bookmarkStart w:id="9" w:name="_Toc15377194"/>
      <w:bookmarkStart w:id="10" w:name="_Toc15377426"/>
      <w:bookmarkStart w:id="11" w:name="_Toc15396598"/>
      <w:bookmarkStart w:id="12" w:name="_Toc6811"/>
      <w:r>
        <w:rPr>
          <w:rFonts w:hint="eastAsia" w:ascii="方正小标宋简体" w:eastAsia="方正小标宋简体"/>
          <w:color w:val="000000"/>
          <w:sz w:val="72"/>
          <w:szCs w:val="72"/>
        </w:rPr>
        <w:t>四川省</w:t>
      </w:r>
      <w:bookmarkEnd w:id="0"/>
      <w:bookmarkStart w:id="13" w:name="_Toc15306268"/>
      <w:r>
        <w:rPr>
          <w:rFonts w:hint="eastAsia" w:ascii="方正小标宋简体" w:eastAsia="方正小标宋简体"/>
          <w:color w:val="000000"/>
          <w:sz w:val="72"/>
          <w:szCs w:val="72"/>
        </w:rPr>
        <w:t>金川县</w:t>
      </w:r>
      <w:r>
        <w:rPr>
          <w:rFonts w:hint="eastAsia" w:ascii="方正小标宋简体" w:eastAsia="方正小标宋简体"/>
          <w:color w:val="000000"/>
          <w:sz w:val="72"/>
          <w:szCs w:val="72"/>
          <w:lang w:val="en-US" w:eastAsia="zh-CN"/>
        </w:rPr>
        <w:t>集沐</w:t>
      </w:r>
      <w:r>
        <w:rPr>
          <w:rFonts w:hint="eastAsia" w:ascii="方正小标宋简体" w:eastAsia="方正小标宋简体"/>
          <w:color w:val="000000"/>
          <w:sz w:val="72"/>
          <w:szCs w:val="72"/>
        </w:rPr>
        <w:t>乡人民政府部门决算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hint="eastAsia" w:ascii="黑体" w:eastAsia="黑体"/>
          <w:color w:val="000000"/>
          <w:sz w:val="48"/>
          <w:szCs w:val="48"/>
        </w:rPr>
        <w:t>目录</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3"/>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3"/>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3"/>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3"/>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3"/>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3"/>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3"/>
        <w:rPr>
          <w:rFonts w:ascii="仿宋" w:eastAsia="仿宋"/>
          <w:sz w:val="28"/>
          <w:szCs w:val="28"/>
        </w:rPr>
      </w:pPr>
      <w:r>
        <w:rPr>
          <w:rStyle w:val="18"/>
          <w:rFonts w:hint="eastAsia" w:ascii="仿宋" w:eastAsia="仿宋"/>
          <w:bCs/>
          <w:sz w:val="28"/>
          <w:szCs w:val="28"/>
        </w:rPr>
        <w:t xml:space="preserve"> 十、预算绩效情况说明..................................15</w:t>
      </w:r>
    </w:p>
    <w:p/>
    <w:p>
      <w:pPr>
        <w:pStyle w:val="13"/>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p>
    <w:p>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rFonts w:hint="eastAsia"/>
          <w:b/>
          <w:bCs/>
          <w:shd w:val="clear" w:color="FFFFFF" w:fill="D9D9D9"/>
        </w:rPr>
        <w:t>第</w:t>
      </w:r>
      <w:r>
        <w:rPr>
          <w:rFonts w:hint="eastAsia"/>
          <w:b/>
          <w:bCs/>
          <w:kern w:val="44"/>
          <w:shd w:val="clear" w:color="FFFFFF" w:fill="D9D9D9"/>
        </w:rPr>
        <w:t>四部分</w:t>
      </w:r>
      <w:r>
        <w:rPr>
          <w:b/>
          <w:bCs/>
          <w:kern w:val="44"/>
          <w:shd w:val="clear" w:color="FFFFFF" w:fill="D9D9D9"/>
        </w:rPr>
        <w:t xml:space="preserve"> </w:t>
      </w:r>
      <w:r>
        <w:rPr>
          <w:rFonts w:hint="eastAsia"/>
          <w:b/>
          <w:bCs/>
          <w:kern w:val="44"/>
          <w:shd w:val="clear" w:color="FFFFFF" w:fill="D9D9D9"/>
        </w:rPr>
        <w:t>附件</w:t>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rPr>
        <w:t>6</w:t>
      </w:r>
    </w:p>
    <w:p>
      <w:pPr>
        <w:pStyle w:val="13"/>
        <w:keepNext w:val="0"/>
        <w:keepLines w:val="0"/>
        <w:pageBreakBefore w:val="0"/>
        <w:widowControl w:val="0"/>
        <w:kinsoku/>
        <w:wordWrap/>
        <w:overflowPunct/>
        <w:topLinePunct w:val="0"/>
        <w:autoSpaceDE/>
        <w:autoSpaceDN/>
        <w:bidi w:val="0"/>
        <w:adjustRightInd/>
        <w:snapToGrid/>
        <w:spacing w:line="360" w:lineRule="auto"/>
        <w:ind w:left="420" w:firstLine="210" w:firstLineChars="100"/>
        <w:textAlignment w:val="auto"/>
        <w:rPr>
          <w:rFonts w:ascii="仿宋" w:eastAsia="仿宋" w:cs="Arial"/>
          <w:sz w:val="28"/>
          <w:szCs w:val="28"/>
          <w:shd w:val="clear" w:color="FFFFFF" w:fill="D9D9D9"/>
        </w:rPr>
      </w:pPr>
      <w:r>
        <w:rPr>
          <w:shd w:val="clear" w:color="FFFFFF" w:fill="D9D9D9"/>
        </w:rPr>
        <w:fldChar w:fldCharType="begin"/>
      </w:r>
      <w:r>
        <w:rPr>
          <w:shd w:val="clear" w:color="FFFFFF" w:fill="D9D9D9"/>
        </w:rPr>
        <w:instrText xml:space="preserve"> HYPERLINK \l "_Toc15396615" </w:instrText>
      </w:r>
      <w:r>
        <w:rPr>
          <w:shd w:val="clear" w:color="FFFFFF" w:fill="D9D9D9"/>
        </w:rPr>
        <w:fldChar w:fldCharType="separate"/>
      </w:r>
      <w:r>
        <w:rPr>
          <w:rFonts w:hint="eastAsia" w:ascii="仿宋_GB2312" w:eastAsia="仿宋_GB2312" w:cs="仿宋_GB2312"/>
          <w:b w:val="0"/>
          <w:bCs w:val="0"/>
          <w:color w:val="auto"/>
          <w:lang w:val="en-US" w:eastAsia="zh-CN" w:bidi="ar-SA"/>
        </w:rPr>
        <w:t>阿坝州金川县</w:t>
      </w:r>
      <w:r>
        <w:rPr>
          <w:rFonts w:hint="eastAsia" w:ascii="仿宋_GB2312" w:eastAsia="仿宋_GB2312" w:cs="仿宋_GB2312"/>
          <w:b w:val="0"/>
          <w:bCs w:val="0"/>
          <w:color w:val="auto"/>
          <w:lang w:eastAsia="zh-CN" w:bidi="ar-SA"/>
        </w:rPr>
        <w:t>集沐</w:t>
      </w:r>
      <w:r>
        <w:rPr>
          <w:rFonts w:hint="default" w:ascii="仿宋_GB2312" w:eastAsia="仿宋_GB2312" w:cs="仿宋_GB2312"/>
          <w:b w:val="0"/>
          <w:bCs w:val="0"/>
          <w:color w:val="auto"/>
          <w:lang w:eastAsia="zh-CN" w:bidi="ar-SA"/>
        </w:rPr>
        <w:t>乡人民政府</w:t>
      </w:r>
      <w:r>
        <w:rPr>
          <w:rFonts w:hint="eastAsia" w:ascii="仿宋_GB2312" w:eastAsia="仿宋_GB2312" w:cs="仿宋_GB2312"/>
          <w:b w:val="0"/>
          <w:bCs w:val="0"/>
          <w:color w:val="auto"/>
          <w:lang w:bidi="ar-SA"/>
        </w:rPr>
        <w:t>202</w:t>
      </w:r>
      <w:r>
        <w:rPr>
          <w:rFonts w:hint="eastAsia" w:ascii="仿宋_GB2312" w:eastAsia="仿宋_GB2312" w:cs="仿宋_GB2312"/>
          <w:b w:val="0"/>
          <w:bCs w:val="0"/>
          <w:color w:val="auto"/>
          <w:lang w:val="en-US" w:eastAsia="zh-CN" w:bidi="ar-SA"/>
        </w:rPr>
        <w:t>1</w:t>
      </w:r>
      <w:r>
        <w:rPr>
          <w:rFonts w:hint="eastAsia" w:ascii="仿宋_GB2312" w:eastAsia="仿宋_GB2312" w:cs="仿宋_GB2312"/>
          <w:b w:val="0"/>
          <w:bCs w:val="0"/>
          <w:color w:val="auto"/>
          <w:lang w:bidi="ar-SA"/>
        </w:rPr>
        <w:t>年部门整体支出绩效评价报告</w:t>
      </w:r>
      <w:r>
        <w:rPr>
          <w:rFonts w:ascii="仿宋" w:eastAsia="仿宋"/>
          <w:sz w:val="28"/>
          <w:szCs w:val="28"/>
          <w:shd w:val="clear" w:color="FFFFFF" w:fill="D9D9D9"/>
        </w:rPr>
        <w:tab/>
      </w:r>
      <w:r>
        <w:rPr>
          <w:rFonts w:hint="eastAsia" w:ascii="仿宋" w:eastAsia="仿宋"/>
          <w:sz w:val="28"/>
          <w:szCs w:val="28"/>
          <w:shd w:val="clear" w:color="FFFFFF" w:fill="D9D9D9"/>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rPr>
        <w:t>6</w:t>
      </w:r>
    </w:p>
    <w:p>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b/>
          <w:bCs/>
          <w:shd w:val="clear" w:color="FFFFFF" w:fill="D9D9D9"/>
        </w:rPr>
        <w:fldChar w:fldCharType="begin"/>
      </w:r>
      <w:r>
        <w:rPr>
          <w:b/>
          <w:bCs/>
          <w:shd w:val="clear" w:color="FFFFFF" w:fill="D9D9D9"/>
        </w:rPr>
        <w:instrText xml:space="preserve"> HYPERLINK \l "_Toc15396618" </w:instrText>
      </w:r>
      <w:r>
        <w:rPr>
          <w:b/>
          <w:bCs/>
          <w:shd w:val="clear" w:color="FFFFFF" w:fill="D9D9D9"/>
        </w:rPr>
        <w:fldChar w:fldCharType="separate"/>
      </w:r>
      <w:r>
        <w:rPr>
          <w:rFonts w:hint="eastAsia"/>
          <w:b/>
          <w:bCs/>
          <w:shd w:val="clear" w:color="FFFFFF" w:fill="D9D9D9"/>
        </w:rPr>
        <w:t>第</w:t>
      </w:r>
      <w:r>
        <w:rPr>
          <w:rFonts w:hint="eastAsia"/>
          <w:b/>
          <w:bCs/>
          <w:kern w:val="44"/>
          <w:shd w:val="clear" w:color="FFFFFF" w:fill="D9D9D9"/>
        </w:rPr>
        <w:t>五部分</w:t>
      </w:r>
      <w:r>
        <w:rPr>
          <w:b/>
          <w:bCs/>
          <w:kern w:val="44"/>
          <w:shd w:val="clear" w:color="FFFFFF" w:fill="D9D9D9"/>
        </w:rPr>
        <w:t xml:space="preserve"> </w:t>
      </w:r>
      <w:r>
        <w:rPr>
          <w:rFonts w:hint="eastAsia"/>
          <w:b/>
          <w:bCs/>
          <w:kern w:val="44"/>
          <w:shd w:val="clear" w:color="FFFFFF" w:fill="D9D9D9"/>
        </w:rPr>
        <w:t>附表</w:t>
      </w:r>
      <w:r>
        <w:rPr>
          <w:rFonts w:hint="eastAsia"/>
          <w:b/>
          <w:bCs/>
          <w:shd w:val="clear" w:color="FFFFFF" w:fill="D9D9D9"/>
        </w:rPr>
        <w:fldChar w:fldCharType="end"/>
      </w: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lang w:val="en-US" w:eastAsia="zh-CN"/>
        </w:rPr>
        <w:t>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Arial"/>
          <w:sz w:val="28"/>
          <w:szCs w:val="28"/>
          <w:shd w:val="clear" w:color="FFFFFF" w:fill="D9D9D9"/>
          <w:lang w:val="en-US" w:eastAsia="zh-CN"/>
        </w:rPr>
      </w:pPr>
      <w:r>
        <w:rPr>
          <w:rFonts w:hint="eastAsia" w:ascii="仿宋" w:eastAsia="仿宋"/>
          <w:sz w:val="28"/>
          <w:szCs w:val="28"/>
          <w:shd w:val="clear" w:color="FFFFFF" w:fill="D9D9D9"/>
        </w:rPr>
        <w:t>一、</w:t>
      </w:r>
      <w:r>
        <w:rPr>
          <w:shd w:val="clear" w:color="FFFFFF" w:fill="D9D9D9"/>
        </w:rPr>
        <w:fldChar w:fldCharType="begin"/>
      </w:r>
      <w:r>
        <w:rPr>
          <w:shd w:val="clear" w:color="FFFFFF" w:fill="D9D9D9"/>
        </w:rPr>
        <w:instrText xml:space="preserve"> HYPERLINK \l "_Toc15396619" </w:instrText>
      </w:r>
      <w:r>
        <w:rPr>
          <w:shd w:val="clear" w:color="FFFFFF" w:fill="D9D9D9"/>
        </w:rPr>
        <w:fldChar w:fldCharType="separate"/>
      </w:r>
      <w:r>
        <w:rPr>
          <w:rFonts w:hint="eastAsia" w:ascii="仿宋" w:eastAsia="仿宋"/>
          <w:sz w:val="28"/>
          <w:szCs w:val="28"/>
          <w:shd w:val="clear" w:color="FFFFFF" w:fill="D9D9D9"/>
        </w:rPr>
        <w:t>收入支出决算总表</w:t>
      </w:r>
      <w:r>
        <w:rPr>
          <w:rFonts w:ascii="仿宋" w:eastAsia="仿宋"/>
          <w:sz w:val="28"/>
          <w:szCs w:val="28"/>
          <w:shd w:val="clear" w:color="FFFFFF" w:fill="D9D9D9"/>
        </w:rPr>
        <w:tab/>
      </w:r>
      <w:r>
        <w:rPr>
          <w:rFonts w:hint="eastAsia" w:ascii="仿宋" w:eastAsia="仿宋"/>
          <w:sz w:val="28"/>
          <w:szCs w:val="28"/>
          <w:shd w:val="clear" w:color="FFFFFF" w:fill="D9D9D9"/>
          <w:lang w:val="en-US" w:eastAsia="zh-CN"/>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Arial"/>
          <w:sz w:val="28"/>
          <w:szCs w:val="28"/>
          <w:shd w:val="clear" w:color="FFFFFF" w:fill="D9D9D9"/>
          <w:lang w:val="en-US" w:eastAsia="zh-CN"/>
        </w:rPr>
      </w:pPr>
      <w:r>
        <w:rPr>
          <w:rFonts w:hint="eastAsia" w:ascii="仿宋" w:eastAsia="仿宋"/>
          <w:sz w:val="28"/>
          <w:szCs w:val="28"/>
          <w:shd w:val="clear" w:color="FFFFFF" w:fill="D9D9D9"/>
        </w:rPr>
        <w:t>二、</w:t>
      </w:r>
      <w:r>
        <w:rPr>
          <w:shd w:val="clear" w:color="FFFFFF" w:fill="D9D9D9"/>
        </w:rPr>
        <w:fldChar w:fldCharType="begin"/>
      </w:r>
      <w:r>
        <w:rPr>
          <w:shd w:val="clear" w:color="FFFFFF" w:fill="D9D9D9"/>
        </w:rPr>
        <w:instrText xml:space="preserve"> HYPERLINK \l "_Toc15396620" </w:instrText>
      </w:r>
      <w:r>
        <w:rPr>
          <w:shd w:val="clear" w:color="FFFFFF" w:fill="D9D9D9"/>
        </w:rPr>
        <w:fldChar w:fldCharType="separate"/>
      </w:r>
      <w:r>
        <w:rPr>
          <w:rFonts w:hint="eastAsia" w:ascii="仿宋" w:eastAsia="仿宋"/>
          <w:sz w:val="28"/>
          <w:szCs w:val="28"/>
          <w:shd w:val="clear" w:color="FFFFFF" w:fill="D9D9D9"/>
        </w:rPr>
        <w:t>收入总表</w:t>
      </w:r>
      <w:r>
        <w:rPr>
          <w:rFonts w:ascii="仿宋" w:eastAsia="仿宋"/>
          <w:sz w:val="28"/>
          <w:szCs w:val="28"/>
          <w:shd w:val="clear" w:color="FFFFFF" w:fill="D9D9D9"/>
        </w:rPr>
        <w:tab/>
      </w:r>
      <w:r>
        <w:rPr>
          <w:rFonts w:hint="eastAsia" w:ascii="仿宋" w:eastAsia="仿宋"/>
          <w:sz w:val="28"/>
          <w:szCs w:val="28"/>
          <w:shd w:val="clear" w:color="FFFFFF" w:fill="D9D9D9"/>
          <w:lang w:val="en-US" w:eastAsia="zh-CN"/>
        </w:rPr>
        <w:t>1</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7</w:t>
      </w:r>
    </w:p>
    <w:p>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rPr>
      </w:pPr>
      <w:r>
        <w:rPr>
          <w:rFonts w:hint="eastAsia"/>
          <w:sz w:val="28"/>
          <w:szCs w:val="28"/>
          <w:shd w:val="clear" w:color="FFFFFF" w:fill="D9D9D9"/>
          <w:lang w:val="en-US" w:eastAsia="zh-CN"/>
        </w:rPr>
        <w:t xml:space="preserve">   </w:t>
      </w:r>
      <w:r>
        <w:rPr>
          <w:rFonts w:hint="eastAsia" w:ascii="仿宋" w:eastAsia="仿宋"/>
          <w:sz w:val="28"/>
          <w:szCs w:val="28"/>
          <w:shd w:val="clear" w:color="FFFFFF" w:fill="D9D9D9"/>
        </w:rPr>
        <w:t>三、</w:t>
      </w:r>
      <w:r>
        <w:rPr>
          <w:shd w:val="clear" w:color="FFFFFF" w:fill="D9D9D9"/>
        </w:rPr>
        <w:fldChar w:fldCharType="begin"/>
      </w:r>
      <w:r>
        <w:rPr>
          <w:shd w:val="clear" w:color="FFFFFF" w:fill="D9D9D9"/>
        </w:rPr>
        <w:instrText xml:space="preserve"> HYPERLINK \l "_Toc15396621" </w:instrText>
      </w:r>
      <w:r>
        <w:rPr>
          <w:shd w:val="clear" w:color="FFFFFF" w:fill="D9D9D9"/>
        </w:rPr>
        <w:fldChar w:fldCharType="separate"/>
      </w:r>
      <w:r>
        <w:rPr>
          <w:rFonts w:hint="eastAsia" w:ascii="仿宋" w:eastAsia="仿宋"/>
          <w:sz w:val="28"/>
          <w:szCs w:val="28"/>
          <w:shd w:val="clear" w:color="FFFFFF" w:fill="D9D9D9"/>
        </w:rPr>
        <w:t>支出总表</w:t>
      </w:r>
      <w:r>
        <w:rPr>
          <w:b/>
          <w:bCs/>
          <w:shd w:val="clear" w:color="FFFFFF" w:fill="D9D9D9"/>
        </w:rPr>
        <w:fldChar w:fldCharType="begin"/>
      </w:r>
      <w:r>
        <w:rPr>
          <w:b/>
          <w:bCs/>
          <w:shd w:val="clear" w:color="FFFFFF" w:fill="D9D9D9"/>
        </w:rPr>
        <w:instrText xml:space="preserve"> HYPERLINK \l "_Toc15396614" </w:instrText>
      </w:r>
      <w:r>
        <w:rPr>
          <w:b/>
          <w:bCs/>
          <w:shd w:val="clear" w:color="FFFFFF" w:fill="D9D9D9"/>
        </w:rPr>
        <w:fldChar w:fldCharType="separate"/>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lang w:val="en-US" w:eastAsia="zh-CN"/>
        </w:rPr>
        <w:t>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 xml:space="preserve"> </w:t>
      </w:r>
      <w:r>
        <w:rPr>
          <w:rFonts w:hint="eastAsia" w:ascii="仿宋" w:eastAsia="仿宋"/>
          <w:sz w:val="28"/>
          <w:szCs w:val="28"/>
          <w:shd w:val="clear" w:color="FFFFFF" w:fill="D9D9D9"/>
        </w:rPr>
        <w:t>四、财政拨款收入支出决算总表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五、财政拨款支出决算明细表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六、一般公共预算财政拨款支出决算表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七、一般公共预算财政拨款支出决算明细表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rPr>
      </w:pPr>
      <w:r>
        <w:rPr>
          <w:rFonts w:hint="eastAsia" w:ascii="仿宋" w:eastAsia="仿宋"/>
          <w:sz w:val="28"/>
          <w:szCs w:val="28"/>
          <w:shd w:val="clear" w:color="FFFFFF" w:fill="D9D9D9"/>
        </w:rPr>
        <w:t>八、一般公共预算财政拨款基本支出决算表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17</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t>九、一般公共预算财政拨款项目支出决算表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十、一般公共预算财政拨款“三公”经费支出决算表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十一、政府性基金预算财政拨款收入支出决算表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t>十二、政府性基金预算财政拨款“三公”经费支出决算表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十三、国有资本经营预算财政拨款支出决算表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eastAsia="仿宋"/>
          <w:sz w:val="28"/>
          <w:szCs w:val="28"/>
          <w:shd w:val="clear" w:color="FFFFFF" w:fill="D9D9D9"/>
          <w:lang w:val="en-US" w:eastAsia="zh-CN"/>
        </w:rPr>
      </w:pPr>
      <w:r>
        <w:rPr>
          <w:rFonts w:hint="eastAsia" w:ascii="仿宋" w:eastAsia="仿宋"/>
          <w:sz w:val="28"/>
          <w:szCs w:val="28"/>
          <w:shd w:val="clear" w:color="FFFFFF" w:fill="D9D9D9"/>
        </w:rPr>
        <w:t>十四、国有资本经营预算财政拨款支出决算表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21</w:t>
      </w:r>
    </w:p>
    <w:p>
      <w:pPr>
        <w:rPr>
          <w:rFonts w:hint="eastAsia"/>
          <w:lang w:val="en-US" w:eastAsia="zh-CN"/>
        </w:rPr>
      </w:pPr>
    </w:p>
    <w:p>
      <w:pPr>
        <w:rPr>
          <w:rFonts w:hint="default"/>
        </w:rPr>
      </w:pPr>
    </w:p>
    <w:p>
      <w:pPr>
        <w:pStyle w:val="3"/>
        <w:jc w:val="center"/>
        <w:rPr>
          <w:rFonts w:ascii="黑体" w:eastAsia="黑体"/>
          <w:color w:val="000000"/>
          <w:sz w:val="32"/>
          <w:szCs w:val="32"/>
        </w:rPr>
      </w:pPr>
      <w:bookmarkStart w:id="15" w:name="_Toc27352"/>
      <w:r>
        <w:rPr>
          <w:rFonts w:hint="eastAsia" w:ascii="黑体" w:eastAsia="黑体"/>
          <w:b w:val="0"/>
        </w:rPr>
        <w:t xml:space="preserve">第一部分 </w:t>
      </w:r>
      <w:r>
        <w:rPr>
          <w:rStyle w:val="19"/>
          <w:rFonts w:hint="eastAsia" w:ascii="黑体" w:eastAsia="黑体"/>
          <w:b w:val="0"/>
          <w:bCs w:val="0"/>
        </w:rPr>
        <w:t>部门概况</w:t>
      </w:r>
      <w:bookmarkEnd w:id="14"/>
      <w:bookmarkEnd w:id="15"/>
    </w:p>
    <w:p>
      <w:pPr>
        <w:pStyle w:val="4"/>
        <w:spacing w:before="0" w:after="0" w:line="240" w:lineRule="auto"/>
        <w:ind w:left="640" w:hanging="640" w:hangingChars="200"/>
        <w:rPr>
          <w:rStyle w:val="20"/>
          <w:rFonts w:ascii="黑体" w:eastAsia="黑体"/>
          <w:b w:val="0"/>
          <w:bCs w:val="0"/>
        </w:rPr>
      </w:pPr>
      <w:bookmarkStart w:id="16" w:name="_Toc20678"/>
      <w:bookmarkStart w:id="17" w:name="_Toc15377197"/>
      <w:r>
        <w:rPr>
          <w:rFonts w:hint="eastAsia" w:ascii="黑体" w:eastAsia="黑体"/>
          <w:b w:val="0"/>
          <w:color w:val="000000"/>
        </w:rPr>
        <w:t>一、基</w:t>
      </w:r>
      <w:r>
        <w:rPr>
          <w:rStyle w:val="20"/>
          <w:rFonts w:hint="eastAsia" w:ascii="黑体" w:eastAsia="黑体"/>
          <w:b w:val="0"/>
          <w:bCs w:val="0"/>
        </w:rPr>
        <w:t>本职能及主要工作</w:t>
      </w:r>
      <w:bookmarkEnd w:id="16"/>
      <w:bookmarkEnd w:id="17"/>
      <w:bookmarkStart w:id="18" w:name="_Toc15377198"/>
      <w:bookmarkStart w:id="19" w:name="_Toc15378445"/>
    </w:p>
    <w:p>
      <w:pPr>
        <w:pStyle w:val="4"/>
        <w:spacing w:before="0" w:after="0" w:line="240" w:lineRule="auto"/>
        <w:ind w:left="642" w:leftChars="153" w:hanging="321" w:hangingChars="100"/>
        <w:rPr>
          <w:rFonts w:hint="eastAsia" w:ascii="楷体" w:eastAsia="楷体" w:cs="楷体"/>
          <w:color w:val="000000"/>
          <w:lang w:eastAsia="zh-CN"/>
        </w:rPr>
      </w:pPr>
      <w:bookmarkStart w:id="20" w:name="_Toc31800"/>
      <w:r>
        <w:rPr>
          <w:rFonts w:hint="eastAsia" w:ascii="楷体" w:eastAsia="楷体" w:cs="楷体"/>
          <w:color w:val="000000"/>
        </w:rPr>
        <w:t>（一）</w:t>
      </w:r>
      <w:bookmarkEnd w:id="18"/>
      <w:bookmarkEnd w:id="19"/>
      <w:bookmarkEnd w:id="20"/>
      <w:bookmarkStart w:id="21" w:name="_Toc15377199"/>
      <w:bookmarkStart w:id="22" w:name="_Toc15378446"/>
      <w:r>
        <w:rPr>
          <w:rFonts w:hint="eastAsia" w:ascii="楷体" w:eastAsia="楷体" w:cs="楷体"/>
          <w:color w:val="000000"/>
          <w:lang w:val="en-US" w:eastAsia="zh-CN"/>
        </w:rPr>
        <w:t>基本情况</w:t>
      </w:r>
    </w:p>
    <w:p>
      <w:pPr>
        <w:ind w:firstLine="640" w:firstLineChars="200"/>
        <w:rPr>
          <w:rFonts w:hint="eastAsia" w:ascii="仿宋_GB2312" w:hAnsi="仿宋" w:eastAsia="仿宋_GB2312"/>
          <w:sz w:val="32"/>
          <w:szCs w:val="32"/>
        </w:rPr>
      </w:pPr>
      <w:bookmarkStart w:id="23" w:name="_Hlk14708058"/>
      <w:bookmarkStart w:id="24" w:name="OLE_LINK6"/>
      <w:r>
        <w:rPr>
          <w:rFonts w:hint="eastAsia" w:ascii="仿宋_GB2312" w:eastAsia="仿宋_GB2312"/>
          <w:kern w:val="0"/>
          <w:sz w:val="32"/>
          <w:szCs w:val="32"/>
        </w:rPr>
        <w:t>20</w:t>
      </w:r>
      <w:r>
        <w:rPr>
          <w:rFonts w:hint="eastAsia" w:ascii="仿宋_GB2312" w:eastAsia="仿宋_GB2312"/>
          <w:kern w:val="0"/>
          <w:sz w:val="32"/>
          <w:szCs w:val="32"/>
          <w:lang w:val="en-US" w:eastAsia="zh-CN"/>
        </w:rPr>
        <w:t>21</w:t>
      </w:r>
      <w:r>
        <w:rPr>
          <w:rFonts w:hint="eastAsia" w:ascii="仿宋_GB2312" w:eastAsia="仿宋_GB2312"/>
          <w:kern w:val="0"/>
          <w:sz w:val="32"/>
          <w:szCs w:val="32"/>
        </w:rPr>
        <w:t>年在县委、县政府的正确领导下，在县级有关部门及其他兄弟乡镇的大力支持和帮助下，在乡党委的正确带领下，集沐乡人民政府高举邓小平理论伟大旗帜，以“三个代表” 重要思想和科学发展观为指导，认真贯彻落实党的十九大会议精神</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习总书记重要讲话精神，紧紧围绕发展战略和建设目标，坚定信心，主动作为，攻坚克难，创新实干，</w:t>
      </w:r>
      <w:r>
        <w:rPr>
          <w:rFonts w:hint="eastAsia" w:ascii="仿宋_GB2312" w:eastAsia="仿宋_GB2312"/>
          <w:kern w:val="0"/>
          <w:sz w:val="32"/>
          <w:szCs w:val="32"/>
        </w:rPr>
        <w:t>着力抓经济、保稳定、惠民生、促发展，全乡经济和社会各项事业持续健康发展。全乡上下齐心协力，锐意进取，有力推动各项工作顺利开展并较好完成了</w:t>
      </w:r>
      <w:r>
        <w:rPr>
          <w:rFonts w:hint="eastAsia" w:ascii="仿宋_GB2312" w:eastAsia="仿宋_GB2312"/>
          <w:kern w:val="0"/>
          <w:sz w:val="32"/>
          <w:szCs w:val="32"/>
          <w:lang w:val="en-US" w:eastAsia="zh-CN"/>
        </w:rPr>
        <w:t>2021</w:t>
      </w:r>
      <w:r>
        <w:rPr>
          <w:rFonts w:hint="eastAsia" w:ascii="仿宋_GB2312" w:eastAsia="仿宋_GB2312"/>
          <w:kern w:val="0"/>
          <w:sz w:val="32"/>
          <w:szCs w:val="32"/>
        </w:rPr>
        <w:t>年定的各项目标任务。</w:t>
      </w:r>
    </w:p>
    <w:bookmarkEnd w:id="23"/>
    <w:bookmarkEnd w:id="24"/>
    <w:p>
      <w:pPr>
        <w:pStyle w:val="4"/>
        <w:spacing w:before="0" w:after="0" w:line="240" w:lineRule="auto"/>
        <w:ind w:firstLine="643" w:firstLineChars="200"/>
        <w:rPr>
          <w:rFonts w:ascii="楷体" w:eastAsia="楷体" w:cs="楷体"/>
          <w:color w:val="000000"/>
        </w:rPr>
      </w:pPr>
      <w:bookmarkStart w:id="25" w:name="_Toc21487"/>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rPr>
        <w:t>1年重点工作完成情况</w:t>
      </w:r>
      <w:bookmarkEnd w:id="21"/>
      <w:bookmarkEnd w:id="22"/>
      <w:bookmarkEnd w:id="25"/>
    </w:p>
    <w:p>
      <w:pPr>
        <w:numPr>
          <w:ilvl w:val="0"/>
          <w:numId w:val="1"/>
        </w:numPr>
        <w:spacing w:line="578" w:lineRule="exact"/>
        <w:ind w:left="-10" w:leftChars="0" w:firstLine="640" w:firstLineChars="0"/>
        <w:rPr>
          <w:rFonts w:hint="eastAsia" w:ascii="仿宋_GB2312" w:eastAsia="仿宋_GB2312"/>
          <w:sz w:val="32"/>
          <w:szCs w:val="32"/>
        </w:rPr>
      </w:pPr>
      <w:bookmarkStart w:id="26" w:name="_Toc15377200"/>
      <w:r>
        <w:rPr>
          <w:rFonts w:hint="eastAsia" w:ascii="黑体" w:eastAsia="黑体"/>
          <w:sz w:val="32"/>
          <w:szCs w:val="32"/>
        </w:rPr>
        <w:t>坚持三个“注重”提质量</w:t>
      </w:r>
      <w:r>
        <w:rPr>
          <w:rFonts w:hint="eastAsia" w:ascii="仿宋_GB2312" w:eastAsia="仿宋_GB2312"/>
          <w:sz w:val="32"/>
          <w:szCs w:val="32"/>
        </w:rPr>
        <w:t>金川县集沐乡人民政府始终围绕中心工作，在文电会务办理方面履职尽责，扎实工作，</w:t>
      </w:r>
      <w:r>
        <w:rPr>
          <w:rFonts w:hint="eastAsia" w:eastAsia="仿宋_GB2312"/>
          <w:color w:val="000000"/>
          <w:sz w:val="32"/>
          <w:szCs w:val="32"/>
        </w:rPr>
        <w:t>办文办会办事能力不断提升</w:t>
      </w:r>
      <w:r>
        <w:rPr>
          <w:rFonts w:hint="eastAsia" w:ascii="仿宋_GB2312" w:eastAsia="仿宋_GB2312"/>
          <w:sz w:val="32"/>
          <w:szCs w:val="32"/>
        </w:rPr>
        <w:t>。</w:t>
      </w:r>
      <w:r>
        <w:rPr>
          <w:rFonts w:hint="eastAsia" w:ascii="黑体" w:eastAsia="黑体"/>
          <w:sz w:val="32"/>
          <w:szCs w:val="32"/>
        </w:rPr>
        <w:t>2、坚持三个“精细”</w:t>
      </w:r>
      <w:r>
        <w:rPr>
          <w:rFonts w:hint="eastAsia" w:ascii="黑体" w:eastAsia="黑体"/>
          <w:color w:val="000000"/>
          <w:sz w:val="32"/>
          <w:szCs w:val="32"/>
        </w:rPr>
        <w:t>展亮点</w:t>
      </w:r>
      <w:r>
        <w:rPr>
          <w:rFonts w:hint="eastAsia" w:ascii="仿宋_GB2312" w:eastAsia="仿宋_GB2312"/>
          <w:sz w:val="32"/>
          <w:szCs w:val="32"/>
        </w:rPr>
        <w:t>金川县集沐乡人民政府</w:t>
      </w:r>
      <w:r>
        <w:rPr>
          <w:rFonts w:hint="eastAsia" w:ascii="仿宋_GB2312" w:eastAsia="仿宋_GB2312"/>
          <w:kern w:val="32"/>
          <w:sz w:val="32"/>
          <w:szCs w:val="32"/>
        </w:rPr>
        <w:t>始终把规范、精细、高效作为基本要求，突出重点，抓住关键，增添措施，以文辅政水平不断提高。</w:t>
      </w:r>
      <w:r>
        <w:rPr>
          <w:rFonts w:hint="eastAsia" w:ascii="黑体" w:eastAsia="黑体"/>
          <w:color w:val="000000"/>
          <w:sz w:val="32"/>
          <w:szCs w:val="32"/>
        </w:rPr>
        <w:t>3、坚持三个“强化”</w:t>
      </w:r>
      <w:r>
        <w:rPr>
          <w:rFonts w:hint="eastAsia" w:ascii="黑体" w:eastAsia="黑体"/>
          <w:sz w:val="32"/>
          <w:szCs w:val="32"/>
        </w:rPr>
        <w:t>优服务</w:t>
      </w:r>
      <w:r>
        <w:rPr>
          <w:rFonts w:hint="eastAsia" w:ascii="仿宋_GB2312" w:eastAsia="仿宋_GB2312"/>
          <w:sz w:val="32"/>
          <w:szCs w:val="32"/>
        </w:rPr>
        <w:t>金川县集沐乡人民政府始终坚持创新工作，在平台建设、信息报送、政务信息公开和网站建设等方面下实功夫，工作有力有序有效推进。4、</w:t>
      </w:r>
      <w:r>
        <w:rPr>
          <w:rFonts w:hint="eastAsia" w:ascii="黑体" w:eastAsia="黑体"/>
          <w:sz w:val="32"/>
          <w:szCs w:val="32"/>
        </w:rPr>
        <w:t>坚持三个“落实”</w:t>
      </w:r>
      <w:r>
        <w:rPr>
          <w:rFonts w:hint="eastAsia" w:ascii="黑体" w:eastAsia="黑体"/>
          <w:color w:val="000000"/>
          <w:sz w:val="32"/>
          <w:szCs w:val="32"/>
        </w:rPr>
        <w:t>树形象</w:t>
      </w:r>
      <w:r>
        <w:rPr>
          <w:rFonts w:hint="eastAsia" w:ascii="仿宋_GB2312" w:eastAsia="仿宋_GB2312"/>
          <w:sz w:val="32"/>
          <w:szCs w:val="32"/>
        </w:rPr>
        <w:t>金川县集沐乡人民政府</w:t>
      </w:r>
      <w:r>
        <w:rPr>
          <w:rFonts w:hint="eastAsia" w:ascii="仿宋_GB2312" w:eastAsia="仿宋_GB2312"/>
          <w:bCs/>
          <w:kern w:val="32"/>
          <w:sz w:val="32"/>
          <w:szCs w:val="32"/>
        </w:rPr>
        <w:t>始终把廉政建设放在更加突出的位置，</w:t>
      </w:r>
      <w:r>
        <w:rPr>
          <w:rFonts w:hint="eastAsia" w:ascii="仿宋_GB2312" w:eastAsia="仿宋_GB2312"/>
          <w:sz w:val="32"/>
          <w:szCs w:val="32"/>
        </w:rPr>
        <w:t>切实履行责任，</w:t>
      </w:r>
      <w:r>
        <w:rPr>
          <w:rFonts w:hint="eastAsia" w:ascii="仿宋_GB2312" w:eastAsia="仿宋_GB2312"/>
          <w:bCs/>
          <w:kern w:val="32"/>
          <w:sz w:val="32"/>
          <w:szCs w:val="32"/>
        </w:rPr>
        <w:t>狠抓工作落实。</w:t>
      </w:r>
      <w:r>
        <w:rPr>
          <w:rFonts w:hint="eastAsia" w:ascii="仿宋_GB2312" w:eastAsia="仿宋_GB2312"/>
          <w:sz w:val="32"/>
          <w:szCs w:val="32"/>
        </w:rPr>
        <w:t>始终坚持民主集中制，团结协作，勤政廉政，具有较强的凝聚力和工作能力。</w:t>
      </w:r>
    </w:p>
    <w:p>
      <w:pPr>
        <w:spacing w:line="560" w:lineRule="exact"/>
        <w:ind w:firstLine="640" w:firstLineChars="200"/>
        <w:rPr>
          <w:rFonts w:ascii="仿宋_GB2312" w:eastAsia="仿宋_GB2312" w:cs="仿宋_GB2312"/>
          <w:sz w:val="32"/>
          <w:szCs w:val="32"/>
        </w:rPr>
      </w:pPr>
    </w:p>
    <w:p>
      <w:pPr>
        <w:spacing w:line="578" w:lineRule="exact"/>
        <w:ind w:firstLine="640" w:firstLineChars="200"/>
        <w:rPr>
          <w:rStyle w:val="20"/>
          <w:b w:val="0"/>
          <w:bCs w:val="0"/>
        </w:rPr>
      </w:pPr>
      <w:bookmarkStart w:id="27" w:name="_Toc15978"/>
      <w:r>
        <w:rPr>
          <w:rStyle w:val="20"/>
          <w:rFonts w:hint="eastAsia" w:ascii="黑体" w:eastAsia="黑体"/>
          <w:b w:val="0"/>
          <w:bCs w:val="0"/>
        </w:rPr>
        <w:t>二、机构设置</w:t>
      </w:r>
      <w:bookmarkEnd w:id="26"/>
    </w:p>
    <w:bookmarkEnd w:id="27"/>
    <w:p>
      <w:pPr>
        <w:snapToGrid w:val="0"/>
        <w:spacing w:line="560" w:lineRule="exact"/>
        <w:ind w:firstLine="640" w:firstLineChars="200"/>
        <w:rPr>
          <w:rFonts w:ascii="仿宋_GB2312" w:eastAsia="仿宋_GB2312" w:cs="仿宋_GB2312"/>
          <w:bCs/>
          <w:sz w:val="32"/>
        </w:rPr>
      </w:pPr>
      <w:bookmarkStart w:id="28" w:name="_Toc15377204"/>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rPr>
        <w:t>1年有2个机构，较上年无变动。</w:t>
      </w:r>
      <w:r>
        <w:rPr>
          <w:rFonts w:hint="eastAsia" w:ascii="仿宋_GB2312" w:eastAsia="仿宋_GB2312" w:cs="仿宋_GB2312"/>
          <w:bCs/>
          <w:sz w:val="32"/>
          <w:lang w:val="en-US" w:eastAsia="zh-CN"/>
        </w:rPr>
        <w:t>单位编制数31人，其中：公务员编制17人、行政工勤编制2人、事业编制12人；</w:t>
      </w:r>
      <w:r>
        <w:rPr>
          <w:rFonts w:hint="eastAsia" w:ascii="仿宋_GB2312" w:hAnsi="仿宋" w:eastAsia="仿宋_GB2312"/>
          <w:sz w:val="32"/>
          <w:szCs w:val="32"/>
        </w:rPr>
        <w:t>202</w:t>
      </w:r>
      <w:r>
        <w:rPr>
          <w:rFonts w:hint="eastAsia" w:ascii="仿宋_GB2312" w:hAnsi="仿宋" w:eastAsia="仿宋_GB2312"/>
          <w:sz w:val="32"/>
          <w:szCs w:val="32"/>
          <w:lang w:val="en-US" w:eastAsia="zh-CN"/>
        </w:rPr>
        <w:t>1</w:t>
      </w:r>
      <w:r>
        <w:rPr>
          <w:rFonts w:hint="eastAsia" w:ascii="仿宋_GB2312" w:hAnsi="仿宋" w:eastAsia="仿宋_GB2312"/>
          <w:sz w:val="32"/>
          <w:szCs w:val="32"/>
        </w:rPr>
        <w:t>年年末在职</w:t>
      </w:r>
      <w:r>
        <w:rPr>
          <w:rFonts w:hint="eastAsia" w:ascii="仿宋_GB2312" w:hAnsi="仿宋" w:eastAsia="仿宋_GB2312"/>
          <w:sz w:val="32"/>
          <w:szCs w:val="32"/>
          <w:lang w:val="en-US" w:eastAsia="zh-CN"/>
        </w:rPr>
        <w:t>27</w:t>
      </w:r>
      <w:r>
        <w:rPr>
          <w:rFonts w:hint="eastAsia" w:ascii="仿宋_GB2312" w:hAnsi="仿宋" w:eastAsia="仿宋_GB2312"/>
          <w:sz w:val="32"/>
          <w:szCs w:val="32"/>
        </w:rPr>
        <w:t>人（行政人员1</w:t>
      </w:r>
      <w:r>
        <w:rPr>
          <w:rFonts w:hint="eastAsia" w:ascii="仿宋_GB2312" w:hAnsi="仿宋" w:eastAsia="仿宋_GB2312"/>
          <w:sz w:val="32"/>
          <w:szCs w:val="32"/>
          <w:lang w:val="en-US" w:eastAsia="zh-CN"/>
        </w:rPr>
        <w:t>5</w:t>
      </w:r>
      <w:r>
        <w:rPr>
          <w:rFonts w:hint="eastAsia" w:ascii="仿宋_GB2312" w:hAnsi="仿宋" w:eastAsia="仿宋_GB2312"/>
          <w:sz w:val="32"/>
          <w:szCs w:val="32"/>
        </w:rPr>
        <w:t>人，行政工勤</w:t>
      </w:r>
      <w:r>
        <w:rPr>
          <w:rFonts w:hint="eastAsia" w:ascii="仿宋_GB2312" w:hAnsi="仿宋" w:eastAsia="仿宋_GB2312"/>
          <w:sz w:val="32"/>
          <w:szCs w:val="32"/>
          <w:lang w:val="en-US" w:eastAsia="zh-CN"/>
        </w:rPr>
        <w:t>1</w:t>
      </w:r>
      <w:r>
        <w:rPr>
          <w:rFonts w:hint="eastAsia" w:ascii="仿宋_GB2312" w:hAnsi="仿宋" w:eastAsia="仿宋_GB2312"/>
          <w:sz w:val="32"/>
          <w:szCs w:val="32"/>
        </w:rPr>
        <w:t>人，事业管理6人，事业工勤</w:t>
      </w:r>
      <w:r>
        <w:rPr>
          <w:rFonts w:hint="eastAsia" w:ascii="仿宋_GB2312" w:hAnsi="仿宋" w:eastAsia="仿宋_GB2312"/>
          <w:sz w:val="32"/>
          <w:szCs w:val="32"/>
          <w:lang w:val="en-US" w:eastAsia="zh-CN"/>
        </w:rPr>
        <w:t>1</w:t>
      </w:r>
      <w:r>
        <w:rPr>
          <w:rFonts w:hint="eastAsia" w:ascii="仿宋_GB2312" w:hAnsi="仿宋" w:eastAsia="仿宋_GB2312"/>
          <w:sz w:val="32"/>
          <w:szCs w:val="32"/>
        </w:rPr>
        <w:t>人</w:t>
      </w:r>
      <w:r>
        <w:rPr>
          <w:rFonts w:hint="eastAsia" w:ascii="仿宋_GB2312" w:hAnsi="仿宋" w:eastAsia="仿宋_GB2312"/>
          <w:sz w:val="32"/>
          <w:szCs w:val="32"/>
          <w:lang w:eastAsia="zh-CN"/>
        </w:rPr>
        <w:t>，事业专技</w:t>
      </w:r>
      <w:r>
        <w:rPr>
          <w:rFonts w:hint="eastAsia" w:ascii="仿宋_GB2312" w:hAnsi="仿宋" w:eastAsia="仿宋_GB2312"/>
          <w:sz w:val="32"/>
          <w:szCs w:val="32"/>
          <w:lang w:val="en-US" w:eastAsia="zh-CN"/>
        </w:rPr>
        <w:t>4人</w:t>
      </w:r>
      <w:r>
        <w:rPr>
          <w:rFonts w:hint="eastAsia" w:ascii="仿宋_GB2312" w:hAnsi="仿宋" w:eastAsia="仿宋_GB2312"/>
          <w:sz w:val="32"/>
          <w:szCs w:val="32"/>
        </w:rPr>
        <w:t>）。</w:t>
      </w:r>
    </w:p>
    <w:p>
      <w:pPr>
        <w:snapToGrid w:val="0"/>
        <w:spacing w:line="360" w:lineRule="auto"/>
        <w:ind w:firstLine="640" w:firstLineChars="200"/>
        <w:rPr>
          <w:rFonts w:ascii="仿宋_GB2312" w:eastAsia="仿宋_GB2312"/>
          <w:sz w:val="32"/>
          <w:szCs w:val="32"/>
        </w:rPr>
      </w:pPr>
    </w:p>
    <w:p>
      <w:pPr>
        <w:pStyle w:val="3"/>
        <w:ind w:right="440"/>
        <w:jc w:val="both"/>
      </w:pPr>
      <w:bookmarkStart w:id="29" w:name="_Toc32723"/>
      <w:r>
        <w:rPr>
          <w:rFonts w:hint="eastAsia" w:ascii="黑体" w:eastAsia="黑体"/>
          <w:b w:val="0"/>
          <w:color w:val="000000"/>
        </w:rPr>
        <w:t>第二部分</w:t>
      </w:r>
      <w:r>
        <w:rPr>
          <w:rFonts w:hint="eastAsia" w:ascii="黑体" w:eastAsia="黑体"/>
          <w:color w:val="000000"/>
        </w:rPr>
        <w:t xml:space="preserve"> </w:t>
      </w:r>
      <w:r>
        <w:rPr>
          <w:rStyle w:val="19"/>
          <w:rFonts w:ascii="黑体" w:eastAsia="黑体"/>
          <w:b w:val="0"/>
          <w:bCs w:val="0"/>
        </w:rPr>
        <w:t>202</w:t>
      </w:r>
      <w:r>
        <w:rPr>
          <w:rStyle w:val="19"/>
          <w:rFonts w:hint="eastAsia" w:ascii="黑体" w:eastAsia="黑体"/>
          <w:b w:val="0"/>
          <w:bCs w:val="0"/>
        </w:rPr>
        <w:t>1年度部门决算情况说明</w:t>
      </w:r>
      <w:bookmarkEnd w:id="28"/>
      <w:bookmarkEnd w:id="29"/>
    </w:p>
    <w:p>
      <w:pPr>
        <w:pStyle w:val="26"/>
        <w:numPr>
          <w:ilvl w:val="0"/>
          <w:numId w:val="2"/>
        </w:numPr>
        <w:ind w:left="0" w:firstLine="0" w:firstLineChars="0"/>
        <w:outlineLvl w:val="1"/>
        <w:rPr>
          <w:rStyle w:val="20"/>
          <w:rFonts w:ascii="黑体" w:eastAsia="黑体"/>
          <w:b w:val="0"/>
        </w:rPr>
      </w:pPr>
      <w:bookmarkStart w:id="30" w:name="_Toc15377205"/>
      <w:bookmarkStart w:id="31" w:name="_Toc14461"/>
      <w:r>
        <w:rPr>
          <w:rFonts w:hint="eastAsia" w:ascii="黑体" w:eastAsia="黑体"/>
          <w:color w:val="000000"/>
          <w:sz w:val="32"/>
          <w:szCs w:val="32"/>
        </w:rPr>
        <w:t>收</w:t>
      </w:r>
      <w:r>
        <w:rPr>
          <w:rStyle w:val="20"/>
          <w:rFonts w:hint="eastAsia" w:ascii="黑体" w:eastAsia="黑体"/>
          <w:b w:val="0"/>
        </w:rPr>
        <w:t>入支出决算总体情况说明</w:t>
      </w:r>
      <w:bookmarkEnd w:id="30"/>
      <w:bookmarkEnd w:id="31"/>
    </w:p>
    <w:p>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w:t>
      </w:r>
      <w:r>
        <w:rPr>
          <w:rFonts w:hint="eastAsia" w:ascii="仿宋_GB2312" w:eastAsia="仿宋_GB2312"/>
          <w:color w:val="000000"/>
          <w:spacing w:val="-2"/>
          <w:sz w:val="32"/>
          <w:szCs w:val="32"/>
        </w:rPr>
        <w:t>1年度总收入</w:t>
      </w:r>
      <w:r>
        <w:rPr>
          <w:rFonts w:hint="eastAsia" w:ascii="仿宋_GB2312" w:eastAsia="仿宋_GB2312"/>
          <w:color w:val="000000"/>
          <w:sz w:val="32"/>
          <w:szCs w:val="32"/>
          <w:shd w:val="clear" w:color="auto" w:fill="FFFFFF"/>
          <w:lang w:val="en-US" w:eastAsia="zh-CN"/>
        </w:rPr>
        <w:t>705.86</w:t>
      </w:r>
      <w:r>
        <w:rPr>
          <w:rFonts w:hint="eastAsia" w:ascii="仿宋_GB2312" w:eastAsia="仿宋_GB2312"/>
          <w:color w:val="000000"/>
          <w:spacing w:val="-2"/>
          <w:sz w:val="32"/>
          <w:szCs w:val="32"/>
        </w:rPr>
        <w:t>万元，较上年收入增加</w:t>
      </w:r>
      <w:r>
        <w:rPr>
          <w:rFonts w:hint="eastAsia" w:ascii="仿宋_GB2312" w:eastAsia="仿宋_GB2312"/>
          <w:color w:val="0000FF"/>
          <w:spacing w:val="-2"/>
          <w:sz w:val="32"/>
          <w:szCs w:val="32"/>
          <w:lang w:val="en-US" w:eastAsia="zh-CN"/>
        </w:rPr>
        <w:t>181.38</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34.58</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rPr>
        <w:t>1年人员增加，工资变动。</w:t>
      </w:r>
    </w:p>
    <w:p>
      <w:pPr>
        <w:snapToGrid w:val="0"/>
        <w:spacing w:line="520" w:lineRule="exact"/>
        <w:ind w:firstLine="632" w:firstLineChars="200"/>
        <w:rPr>
          <w:rFonts w:hint="eastAsia"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rPr>
        <w:t>1年总支出</w:t>
      </w:r>
      <w:r>
        <w:rPr>
          <w:rFonts w:hint="eastAsia" w:ascii="仿宋_GB2312" w:eastAsia="仿宋_GB2312"/>
          <w:spacing w:val="-2"/>
          <w:sz w:val="32"/>
          <w:szCs w:val="32"/>
          <w:lang w:val="en-US" w:eastAsia="zh-CN"/>
        </w:rPr>
        <w:t>705.86</w:t>
      </w:r>
      <w:r>
        <w:rPr>
          <w:rFonts w:hint="eastAsia" w:ascii="仿宋_GB2312" w:eastAsia="仿宋_GB2312"/>
          <w:spacing w:val="-2"/>
          <w:sz w:val="32"/>
          <w:szCs w:val="32"/>
        </w:rPr>
        <w:t>万元，较上年支出增加</w:t>
      </w:r>
      <w:r>
        <w:rPr>
          <w:rFonts w:hint="eastAsia" w:ascii="仿宋_GB2312" w:eastAsia="仿宋_GB2312"/>
          <w:color w:val="0000FF"/>
          <w:spacing w:val="-2"/>
          <w:sz w:val="32"/>
          <w:szCs w:val="32"/>
          <w:lang w:val="en-US" w:eastAsia="zh-CN"/>
        </w:rPr>
        <w:t>181.38</w:t>
      </w:r>
      <w:r>
        <w:rPr>
          <w:rFonts w:hint="eastAsia" w:ascii="仿宋_GB2312" w:eastAsia="仿宋_GB2312"/>
          <w:spacing w:val="-2"/>
          <w:sz w:val="32"/>
          <w:szCs w:val="32"/>
        </w:rPr>
        <w:t>万元，增加</w:t>
      </w:r>
      <w:r>
        <w:rPr>
          <w:rFonts w:hint="eastAsia" w:ascii="仿宋_GB2312" w:eastAsia="仿宋_GB2312"/>
          <w:spacing w:val="-2"/>
          <w:sz w:val="32"/>
          <w:szCs w:val="32"/>
          <w:lang w:val="en-US" w:eastAsia="zh-CN"/>
        </w:rPr>
        <w:t>34.58</w:t>
      </w:r>
      <w:r>
        <w:rPr>
          <w:rFonts w:hint="eastAsia" w:ascii="仿宋_GB2312" w:eastAsia="仿宋_GB2312"/>
          <w:spacing w:val="-2"/>
          <w:sz w:val="32"/>
          <w:szCs w:val="32"/>
        </w:rPr>
        <w:t>%。主要原因一是</w:t>
      </w:r>
      <w:r>
        <w:rPr>
          <w:rFonts w:hint="eastAsia" w:ascii="仿宋_GB2312" w:eastAsia="仿宋_GB2312"/>
          <w:spacing w:val="-2"/>
          <w:sz w:val="32"/>
          <w:szCs w:val="32"/>
          <w:lang w:val="en-US" w:eastAsia="zh-CN"/>
        </w:rPr>
        <w:t>2021年人员增加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pPr>
        <w:pStyle w:val="2"/>
      </w:pPr>
      <w:r>
        <w:drawing>
          <wp:inline distT="0" distB="0" distL="114300" distR="114300">
            <wp:extent cx="4572000" cy="2743200"/>
            <wp:effectExtent l="0" t="0" r="0" b="0"/>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Style w:val="20"/>
          <w:rFonts w:ascii="黑体" w:eastAsia="黑体"/>
          <w:b w:val="0"/>
        </w:rPr>
      </w:pPr>
      <w:bookmarkStart w:id="32" w:name="_Toc15377206"/>
      <w:r>
        <w:rPr>
          <w:rFonts w:hint="eastAsia" w:ascii="黑体" w:eastAsia="黑体"/>
          <w:color w:val="000000"/>
          <w:sz w:val="32"/>
          <w:szCs w:val="32"/>
        </w:rPr>
        <w:t>二、收入决</w:t>
      </w:r>
      <w:r>
        <w:rPr>
          <w:rStyle w:val="20"/>
          <w:rFonts w:hint="eastAsia" w:ascii="黑体" w:eastAsia="黑体"/>
          <w:b w:val="0"/>
        </w:rPr>
        <w:t>算情况说明</w:t>
      </w:r>
      <w:bookmarkEnd w:id="32"/>
    </w:p>
    <w:p>
      <w:pPr>
        <w:spacing w:line="600" w:lineRule="exact"/>
        <w:ind w:firstLine="640" w:firstLineChars="200"/>
        <w:outlineLvl w:val="1"/>
        <w:rPr>
          <w:rFonts w:ascii="仿宋" w:eastAsia="仿宋"/>
          <w:color w:val="000000"/>
          <w:sz w:val="32"/>
          <w:szCs w:val="32"/>
        </w:rPr>
      </w:pPr>
      <w:bookmarkStart w:id="33" w:name="_Toc22912"/>
      <w:r>
        <w:rPr>
          <w:rFonts w:ascii="仿宋" w:eastAsia="仿宋"/>
          <w:color w:val="000000"/>
          <w:sz w:val="32"/>
          <w:szCs w:val="32"/>
        </w:rPr>
        <w:t>202</w:t>
      </w:r>
      <w:r>
        <w:rPr>
          <w:rFonts w:hint="eastAsia" w:ascii="仿宋" w:eastAsia="仿宋"/>
          <w:color w:val="000000"/>
          <w:sz w:val="32"/>
          <w:szCs w:val="32"/>
        </w:rPr>
        <w:t>1年总收入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万元，其中：一般公共预算财政拨款收入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33"/>
    </w:p>
    <w:p>
      <w:pPr>
        <w:spacing w:line="600" w:lineRule="exact"/>
        <w:ind w:firstLine="640" w:firstLineChars="200"/>
        <w:outlineLvl w:val="1"/>
        <w:rPr>
          <w:rStyle w:val="20"/>
          <w:rFonts w:ascii="黑体" w:eastAsia="黑体"/>
          <w:b w:val="0"/>
        </w:rPr>
      </w:pPr>
      <w:bookmarkStart w:id="34" w:name="_Toc4194"/>
      <w:bookmarkStart w:id="35" w:name="_Toc15377207"/>
      <w:r>
        <w:rPr>
          <w:rFonts w:hint="eastAsia" w:ascii="黑体" w:eastAsia="黑体"/>
          <w:color w:val="000000"/>
          <w:sz w:val="32"/>
          <w:szCs w:val="32"/>
        </w:rPr>
        <w:t>三、支出决</w:t>
      </w:r>
      <w:r>
        <w:rPr>
          <w:rStyle w:val="20"/>
          <w:rFonts w:hint="eastAsia" w:ascii="黑体" w:eastAsia="黑体"/>
          <w:b w:val="0"/>
        </w:rPr>
        <w:t>算情况说明</w:t>
      </w:r>
      <w:bookmarkEnd w:id="34"/>
      <w:bookmarkEnd w:id="35"/>
    </w:p>
    <w:p>
      <w:pPr>
        <w:spacing w:line="600" w:lineRule="exact"/>
        <w:ind w:firstLine="640"/>
        <w:rPr>
          <w:rFonts w:ascii="仿宋" w:eastAsia="仿宋"/>
          <w:color w:val="000000"/>
          <w:sz w:val="32"/>
          <w:szCs w:val="32"/>
        </w:rPr>
      </w:pPr>
      <w:r>
        <w:rPr>
          <w:rFonts w:hint="eastAsia" w:ascii="仿宋" w:eastAsia="仿宋"/>
          <w:color w:val="000000"/>
          <w:sz w:val="32"/>
          <w:szCs w:val="32"/>
        </w:rPr>
        <w:t>2021年本年总支出</w:t>
      </w:r>
      <w:r>
        <w:rPr>
          <w:rFonts w:hint="eastAsia" w:ascii="仿宋_GB2312" w:eastAsia="仿宋_GB2312"/>
          <w:spacing w:val="-2"/>
          <w:sz w:val="32"/>
          <w:szCs w:val="32"/>
          <w:lang w:val="en-US" w:eastAsia="zh-CN"/>
        </w:rPr>
        <w:t>705.86</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573.86</w:t>
      </w:r>
      <w:r>
        <w:rPr>
          <w:rFonts w:hint="eastAsia" w:ascii="仿宋" w:eastAsia="仿宋"/>
          <w:color w:val="000000"/>
          <w:sz w:val="32"/>
          <w:szCs w:val="32"/>
        </w:rPr>
        <w:t>万元，占</w:t>
      </w:r>
      <w:r>
        <w:rPr>
          <w:rFonts w:hint="eastAsia" w:ascii="仿宋" w:eastAsia="仿宋"/>
          <w:color w:val="000000"/>
          <w:sz w:val="32"/>
          <w:szCs w:val="32"/>
          <w:lang w:val="en-US" w:eastAsia="zh-CN"/>
        </w:rPr>
        <w:t>81.29</w:t>
      </w:r>
      <w:r>
        <w:rPr>
          <w:rFonts w:hint="eastAsia" w:ascii="仿宋" w:eastAsia="仿宋"/>
          <w:color w:val="000000"/>
          <w:sz w:val="32"/>
          <w:szCs w:val="32"/>
        </w:rPr>
        <w:t>%；项目支出</w:t>
      </w:r>
      <w:r>
        <w:rPr>
          <w:rFonts w:hint="eastAsia" w:ascii="仿宋" w:eastAsia="仿宋"/>
          <w:color w:val="000000"/>
          <w:sz w:val="32"/>
          <w:szCs w:val="32"/>
          <w:lang w:val="en-US" w:eastAsia="zh-CN"/>
        </w:rPr>
        <w:t>132</w:t>
      </w:r>
      <w:r>
        <w:rPr>
          <w:rFonts w:hint="eastAsia" w:ascii="仿宋" w:eastAsia="仿宋"/>
          <w:color w:val="000000"/>
          <w:sz w:val="32"/>
          <w:szCs w:val="32"/>
        </w:rPr>
        <w:t>万元，占</w:t>
      </w:r>
      <w:r>
        <w:rPr>
          <w:rFonts w:hint="eastAsia" w:ascii="仿宋" w:eastAsia="仿宋"/>
          <w:color w:val="000000"/>
          <w:sz w:val="32"/>
          <w:szCs w:val="32"/>
          <w:lang w:val="en-US" w:eastAsia="zh-CN"/>
        </w:rPr>
        <w:t>18.71</w:t>
      </w:r>
      <w:r>
        <w:rPr>
          <w:rFonts w:hint="eastAsia" w:ascii="仿宋" w:eastAsia="仿宋"/>
          <w:color w:val="000000"/>
          <w:sz w:val="32"/>
          <w:szCs w:val="32"/>
        </w:rPr>
        <w:t>%。</w:t>
      </w:r>
    </w:p>
    <w:p>
      <w:pPr>
        <w:spacing w:line="600" w:lineRule="exact"/>
        <w:ind w:firstLine="640" w:firstLineChars="200"/>
        <w:outlineLvl w:val="1"/>
        <w:rPr>
          <w:rStyle w:val="20"/>
          <w:rFonts w:ascii="黑体" w:eastAsia="黑体"/>
          <w:b w:val="0"/>
        </w:rPr>
      </w:pPr>
      <w:bookmarkStart w:id="36" w:name="_Toc27948"/>
      <w:bookmarkStart w:id="37" w:name="_Toc15377208"/>
      <w:r>
        <w:rPr>
          <w:rFonts w:hint="eastAsia" w:ascii="黑体" w:eastAsia="黑体"/>
          <w:color w:val="000000"/>
          <w:sz w:val="32"/>
          <w:szCs w:val="32"/>
        </w:rPr>
        <w:t>四、财</w:t>
      </w:r>
      <w:r>
        <w:rPr>
          <w:rStyle w:val="20"/>
          <w:rFonts w:hint="eastAsia" w:ascii="黑体" w:eastAsia="黑体"/>
          <w:b w:val="0"/>
        </w:rPr>
        <w:t>政拨款收入支出决算总体情况说明</w:t>
      </w:r>
      <w:bookmarkEnd w:id="36"/>
      <w:bookmarkEnd w:id="37"/>
    </w:p>
    <w:p>
      <w:pPr>
        <w:snapToGrid w:val="0"/>
        <w:spacing w:line="520" w:lineRule="exact"/>
        <w:ind w:firstLine="640" w:firstLineChars="200"/>
        <w:rPr>
          <w:rFonts w:ascii="仿宋_GB2312" w:eastAsia="仿宋_GB2312"/>
          <w:color w:val="000000"/>
          <w:spacing w:val="-2"/>
          <w:sz w:val="32"/>
          <w:szCs w:val="32"/>
        </w:rPr>
      </w:pPr>
      <w:r>
        <w:rPr>
          <w:rFonts w:ascii="仿宋" w:eastAsia="仿宋"/>
          <w:color w:val="000000"/>
          <w:sz w:val="32"/>
          <w:szCs w:val="32"/>
        </w:rPr>
        <w:t>202</w:t>
      </w:r>
      <w:r>
        <w:rPr>
          <w:rFonts w:hint="eastAsia" w:ascii="仿宋" w:eastAsia="仿宋"/>
          <w:color w:val="000000"/>
          <w:sz w:val="32"/>
          <w:szCs w:val="32"/>
        </w:rPr>
        <w:t>1年财政拨款收入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万元。与2020年相比，一般公共预算财政拨款收入</w:t>
      </w:r>
      <w:r>
        <w:rPr>
          <w:rFonts w:hint="eastAsia" w:ascii="仿宋_GB2312" w:eastAsia="仿宋_GB2312"/>
          <w:color w:val="000000"/>
          <w:spacing w:val="-2"/>
          <w:sz w:val="32"/>
          <w:szCs w:val="32"/>
        </w:rPr>
        <w:t>较上年收入增加</w:t>
      </w:r>
      <w:r>
        <w:rPr>
          <w:rFonts w:hint="eastAsia" w:ascii="仿宋_GB2312" w:eastAsia="仿宋_GB2312"/>
          <w:color w:val="0000FF"/>
          <w:spacing w:val="-2"/>
          <w:sz w:val="32"/>
          <w:szCs w:val="32"/>
        </w:rPr>
        <w:t>1</w:t>
      </w:r>
      <w:r>
        <w:rPr>
          <w:rFonts w:hint="eastAsia" w:ascii="仿宋_GB2312" w:eastAsia="仿宋_GB2312"/>
          <w:color w:val="0000FF"/>
          <w:spacing w:val="-2"/>
          <w:sz w:val="32"/>
          <w:szCs w:val="32"/>
          <w:lang w:val="en-US" w:eastAsia="zh-CN"/>
        </w:rPr>
        <w:t>81.38</w:t>
      </w:r>
      <w:r>
        <w:rPr>
          <w:rFonts w:hint="eastAsia" w:ascii="仿宋_GB2312" w:eastAsia="仿宋_GB2312"/>
          <w:color w:val="000000"/>
          <w:spacing w:val="-2"/>
          <w:sz w:val="32"/>
          <w:szCs w:val="32"/>
        </w:rPr>
        <w:t>万元</w:t>
      </w:r>
      <w:r>
        <w:rPr>
          <w:rFonts w:hint="eastAsia" w:ascii="仿宋" w:eastAsia="仿宋"/>
          <w:color w:val="000000"/>
          <w:sz w:val="32"/>
          <w:szCs w:val="32"/>
        </w:rPr>
        <w:t>，</w:t>
      </w:r>
      <w:r>
        <w:rPr>
          <w:rFonts w:hint="eastAsia" w:ascii="仿宋_GB2312" w:eastAsia="仿宋_GB2312"/>
          <w:color w:val="000000"/>
          <w:spacing w:val="-2"/>
          <w:sz w:val="32"/>
          <w:szCs w:val="32"/>
        </w:rPr>
        <w:t>增加</w:t>
      </w:r>
      <w:r>
        <w:rPr>
          <w:rFonts w:hint="eastAsia" w:ascii="仿宋_GB2312" w:eastAsia="仿宋_GB2312"/>
          <w:color w:val="000000"/>
          <w:spacing w:val="-2"/>
          <w:sz w:val="32"/>
          <w:szCs w:val="32"/>
          <w:lang w:val="en-US" w:eastAsia="zh-CN"/>
        </w:rPr>
        <w:t>34.58</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rPr>
        <w:t>1年人员增加，工资变动。</w:t>
      </w:r>
    </w:p>
    <w:p>
      <w:pPr>
        <w:spacing w:line="600" w:lineRule="exact"/>
        <w:ind w:firstLine="632" w:firstLineChars="200"/>
        <w:rPr>
          <w:rFonts w:ascii="仿宋_GB2312" w:eastAsia="仿宋_GB2312"/>
          <w:spacing w:val="-2"/>
          <w:sz w:val="32"/>
          <w:szCs w:val="32"/>
        </w:rPr>
      </w:pPr>
      <w:r>
        <w:rPr>
          <w:rFonts w:hint="eastAsia" w:ascii="仿宋_GB2312" w:eastAsia="仿宋_GB2312"/>
          <w:spacing w:val="-2"/>
          <w:sz w:val="32"/>
          <w:szCs w:val="32"/>
        </w:rPr>
        <w:t>2021年支出</w:t>
      </w:r>
      <w:r>
        <w:rPr>
          <w:rFonts w:hint="eastAsia" w:ascii="仿宋_GB2312" w:eastAsia="仿宋_GB2312"/>
          <w:spacing w:val="-2"/>
          <w:sz w:val="32"/>
          <w:szCs w:val="32"/>
          <w:lang w:val="en-US" w:eastAsia="zh-CN"/>
        </w:rPr>
        <w:t>705.86</w:t>
      </w:r>
      <w:r>
        <w:rPr>
          <w:rFonts w:hint="eastAsia" w:ascii="仿宋_GB2312" w:eastAsia="仿宋_GB2312"/>
          <w:spacing w:val="-2"/>
          <w:sz w:val="32"/>
          <w:szCs w:val="32"/>
        </w:rPr>
        <w:t>万元，较上年支出增加</w:t>
      </w:r>
      <w:r>
        <w:rPr>
          <w:rFonts w:hint="eastAsia" w:ascii="仿宋_GB2312" w:eastAsia="仿宋_GB2312"/>
          <w:color w:val="0000FF"/>
          <w:spacing w:val="-2"/>
          <w:sz w:val="32"/>
          <w:szCs w:val="32"/>
          <w:lang w:val="en-US" w:eastAsia="zh-CN"/>
        </w:rPr>
        <w:t>181.38</w:t>
      </w:r>
      <w:r>
        <w:rPr>
          <w:rFonts w:hint="eastAsia" w:ascii="仿宋_GB2312" w:eastAsia="仿宋_GB2312"/>
          <w:spacing w:val="-2"/>
          <w:sz w:val="32"/>
          <w:szCs w:val="32"/>
        </w:rPr>
        <w:t>万元，增加</w:t>
      </w:r>
      <w:r>
        <w:rPr>
          <w:rFonts w:hint="eastAsia" w:ascii="仿宋_GB2312" w:eastAsia="仿宋_GB2312"/>
          <w:spacing w:val="-2"/>
          <w:sz w:val="32"/>
          <w:szCs w:val="32"/>
          <w:lang w:val="en-US" w:eastAsia="zh-CN"/>
        </w:rPr>
        <w:t>34.58</w:t>
      </w:r>
      <w:r>
        <w:rPr>
          <w:rFonts w:hint="eastAsia" w:ascii="仿宋_GB2312" w:eastAsia="仿宋_GB2312"/>
          <w:spacing w:val="-2"/>
          <w:sz w:val="32"/>
          <w:szCs w:val="32"/>
        </w:rPr>
        <w:t>%。主要原因一是</w:t>
      </w:r>
      <w:r>
        <w:rPr>
          <w:rFonts w:hint="eastAsia" w:ascii="仿宋_GB2312" w:eastAsia="仿宋_GB2312"/>
          <w:spacing w:val="-2"/>
          <w:sz w:val="32"/>
          <w:szCs w:val="32"/>
          <w:lang w:val="en-US" w:eastAsia="zh-CN"/>
        </w:rPr>
        <w:t>2021年人员增加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pPr>
        <w:spacing w:line="600" w:lineRule="exact"/>
        <w:ind w:firstLine="640" w:firstLineChars="200"/>
        <w:rPr>
          <w:rStyle w:val="20"/>
          <w:rFonts w:ascii="黑体" w:eastAsia="黑体"/>
          <w:b w:val="0"/>
        </w:rPr>
      </w:pPr>
      <w:bookmarkStart w:id="38" w:name="_Toc15377209"/>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38"/>
    </w:p>
    <w:p>
      <w:pPr>
        <w:spacing w:line="600" w:lineRule="exact"/>
        <w:ind w:firstLine="643" w:firstLineChars="200"/>
        <w:outlineLvl w:val="2"/>
        <w:rPr>
          <w:rFonts w:ascii="仿宋" w:eastAsia="仿宋"/>
          <w:b/>
          <w:color w:val="000000"/>
          <w:sz w:val="32"/>
          <w:szCs w:val="32"/>
        </w:rPr>
      </w:pPr>
      <w:bookmarkStart w:id="39" w:name="_Toc15377210"/>
      <w:r>
        <w:rPr>
          <w:rFonts w:hint="eastAsia" w:ascii="仿宋" w:eastAsia="仿宋"/>
          <w:b/>
          <w:color w:val="000000"/>
          <w:sz w:val="32"/>
          <w:szCs w:val="32"/>
        </w:rPr>
        <w:t>（一）一般公共预算财政拨款支出决算总体情况</w:t>
      </w:r>
      <w:bookmarkEnd w:id="39"/>
    </w:p>
    <w:p>
      <w:pPr>
        <w:spacing w:line="600" w:lineRule="exact"/>
        <w:ind w:firstLine="640" w:firstLineChars="200"/>
        <w:rPr>
          <w:rFonts w:ascii="仿宋_GB2312" w:eastAsia="仿宋_GB2312"/>
          <w:spacing w:val="-2"/>
          <w:sz w:val="32"/>
          <w:szCs w:val="32"/>
        </w:rPr>
      </w:pPr>
      <w:r>
        <w:rPr>
          <w:rFonts w:ascii="仿宋" w:eastAsia="仿宋"/>
          <w:color w:val="000000"/>
          <w:sz w:val="32"/>
          <w:szCs w:val="32"/>
        </w:rPr>
        <w:t>202</w:t>
      </w:r>
      <w:r>
        <w:rPr>
          <w:rFonts w:hint="eastAsia" w:ascii="仿宋" w:eastAsia="仿宋"/>
          <w:color w:val="000000"/>
          <w:sz w:val="32"/>
          <w:szCs w:val="32"/>
        </w:rPr>
        <w:t>1年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705.86</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。与2020年相比，一般公共预算财政拨款</w:t>
      </w:r>
      <w:r>
        <w:rPr>
          <w:rFonts w:hint="eastAsia" w:ascii="仿宋_GB2312" w:eastAsia="仿宋_GB2312"/>
          <w:spacing w:val="-2"/>
          <w:sz w:val="32"/>
          <w:szCs w:val="32"/>
        </w:rPr>
        <w:t>支出较上年支出增加</w:t>
      </w:r>
      <w:r>
        <w:rPr>
          <w:rFonts w:hint="eastAsia" w:ascii="仿宋_GB2312" w:eastAsia="仿宋_GB2312"/>
          <w:color w:val="0000FF"/>
          <w:spacing w:val="-2"/>
          <w:sz w:val="32"/>
          <w:szCs w:val="32"/>
          <w:lang w:val="en-US" w:eastAsia="zh-CN"/>
        </w:rPr>
        <w:t>181.38</w:t>
      </w:r>
      <w:r>
        <w:rPr>
          <w:rFonts w:hint="eastAsia" w:ascii="仿宋_GB2312" w:eastAsia="仿宋_GB2312"/>
          <w:spacing w:val="-2"/>
          <w:sz w:val="32"/>
          <w:szCs w:val="32"/>
        </w:rPr>
        <w:t>万元，增加</w:t>
      </w:r>
      <w:r>
        <w:rPr>
          <w:rFonts w:hint="eastAsia" w:ascii="仿宋_GB2312" w:eastAsia="仿宋_GB2312"/>
          <w:spacing w:val="-2"/>
          <w:sz w:val="32"/>
          <w:szCs w:val="32"/>
          <w:lang w:val="en-US" w:eastAsia="zh-CN"/>
        </w:rPr>
        <w:t>34.58</w:t>
      </w:r>
      <w:r>
        <w:rPr>
          <w:rFonts w:hint="eastAsia" w:ascii="仿宋_GB2312" w:eastAsia="仿宋_GB2312"/>
          <w:spacing w:val="-2"/>
          <w:sz w:val="32"/>
          <w:szCs w:val="32"/>
        </w:rPr>
        <w:t>%。主要原因一是</w:t>
      </w:r>
      <w:r>
        <w:rPr>
          <w:rFonts w:hint="eastAsia" w:ascii="仿宋_GB2312" w:eastAsia="仿宋_GB2312"/>
          <w:spacing w:val="-2"/>
          <w:sz w:val="32"/>
          <w:szCs w:val="32"/>
          <w:lang w:val="en-US" w:eastAsia="zh-CN"/>
        </w:rPr>
        <w:t>2021年人员增加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pPr>
        <w:numPr>
          <w:ilvl w:val="0"/>
          <w:numId w:val="3"/>
        </w:numPr>
        <w:spacing w:line="600" w:lineRule="exact"/>
        <w:ind w:left="0" w:firstLine="643" w:firstLineChars="200"/>
        <w:outlineLvl w:val="2"/>
        <w:rPr>
          <w:rFonts w:ascii="仿宋" w:eastAsia="仿宋"/>
          <w:b/>
          <w:color w:val="000000"/>
          <w:sz w:val="32"/>
          <w:szCs w:val="32"/>
        </w:rPr>
      </w:pPr>
      <w:bookmarkStart w:id="40" w:name="_Toc15377211"/>
      <w:r>
        <w:rPr>
          <w:rFonts w:hint="eastAsia" w:ascii="仿宋" w:eastAsia="仿宋"/>
          <w:b/>
          <w:color w:val="000000"/>
          <w:sz w:val="32"/>
          <w:szCs w:val="32"/>
        </w:rPr>
        <w:t>一般公共预算财政拨款支出决算结构情况</w:t>
      </w:r>
      <w:bookmarkEnd w:id="40"/>
    </w:p>
    <w:p>
      <w:pPr>
        <w:spacing w:line="600" w:lineRule="exact"/>
        <w:ind w:firstLine="640" w:firstLineChars="200"/>
        <w:outlineLvl w:val="2"/>
        <w:rPr>
          <w:rFonts w:ascii="仿宋" w:eastAsia="仿宋"/>
          <w:bCs/>
          <w:color w:val="000000"/>
          <w:sz w:val="32"/>
          <w:szCs w:val="32"/>
        </w:rPr>
      </w:pPr>
      <w:r>
        <w:rPr>
          <w:rFonts w:ascii="仿宋" w:eastAsia="仿宋"/>
          <w:bCs/>
          <w:color w:val="000000"/>
          <w:sz w:val="32"/>
          <w:szCs w:val="32"/>
        </w:rPr>
        <w:t>202</w:t>
      </w:r>
      <w:r>
        <w:rPr>
          <w:rFonts w:hint="eastAsia" w:ascii="仿宋" w:eastAsia="仿宋"/>
          <w:bCs/>
          <w:color w:val="000000"/>
          <w:sz w:val="32"/>
          <w:szCs w:val="32"/>
        </w:rPr>
        <w:t>1年</w:t>
      </w:r>
      <w:r>
        <w:rPr>
          <w:rFonts w:hint="eastAsia" w:ascii="仿宋" w:eastAsia="仿宋"/>
          <w:color w:val="000000"/>
          <w:sz w:val="32"/>
          <w:szCs w:val="32"/>
        </w:rPr>
        <w:t>一般公共预算财政拨款收入</w:t>
      </w:r>
      <w:r>
        <w:rPr>
          <w:rFonts w:hint="eastAsia" w:ascii="仿宋_GB2312" w:eastAsia="仿宋_GB2312"/>
          <w:color w:val="000000"/>
          <w:sz w:val="32"/>
          <w:szCs w:val="32"/>
          <w:shd w:val="clear" w:color="auto" w:fill="FFFFFF"/>
          <w:lang w:val="en-US" w:eastAsia="zh-CN"/>
        </w:rPr>
        <w:t>705.86</w:t>
      </w:r>
      <w:r>
        <w:rPr>
          <w:rFonts w:hint="eastAsia" w:ascii="仿宋" w:eastAsia="仿宋"/>
          <w:color w:val="000000"/>
          <w:sz w:val="32"/>
          <w:szCs w:val="32"/>
        </w:rPr>
        <w:t>万元；政府性基金预算财政拨款收入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bCs/>
          <w:color w:val="000000"/>
          <w:sz w:val="32"/>
          <w:szCs w:val="32"/>
        </w:rPr>
        <w:t>。其中：一般公共服务支出为</w:t>
      </w:r>
      <w:r>
        <w:rPr>
          <w:rFonts w:hint="eastAsia" w:ascii="仿宋" w:eastAsia="仿宋"/>
          <w:bCs/>
          <w:color w:val="000000"/>
          <w:sz w:val="32"/>
          <w:szCs w:val="32"/>
          <w:lang w:val="en-US" w:eastAsia="zh-CN"/>
        </w:rPr>
        <w:t>355.01</w:t>
      </w:r>
      <w:r>
        <w:rPr>
          <w:rFonts w:hint="eastAsia" w:ascii="仿宋" w:eastAsia="仿宋"/>
          <w:bCs/>
          <w:color w:val="000000"/>
          <w:sz w:val="32"/>
          <w:szCs w:val="32"/>
        </w:rPr>
        <w:t>万元，占比</w:t>
      </w:r>
      <w:r>
        <w:rPr>
          <w:rFonts w:hint="eastAsia" w:ascii="仿宋" w:eastAsia="仿宋"/>
          <w:bCs/>
          <w:color w:val="000000"/>
          <w:sz w:val="32"/>
          <w:szCs w:val="32"/>
          <w:lang w:val="en-US" w:eastAsia="zh-CN"/>
        </w:rPr>
        <w:t>50.29</w:t>
      </w:r>
      <w:r>
        <w:rPr>
          <w:rFonts w:hint="eastAsia" w:ascii="仿宋" w:eastAsia="仿宋"/>
          <w:bCs/>
          <w:color w:val="000000"/>
          <w:sz w:val="32"/>
          <w:szCs w:val="32"/>
        </w:rPr>
        <w:t>%；社会保障和就业支出为</w:t>
      </w:r>
      <w:r>
        <w:rPr>
          <w:rFonts w:hint="eastAsia" w:ascii="仿宋" w:eastAsia="仿宋"/>
          <w:bCs/>
          <w:color w:val="000000"/>
          <w:sz w:val="32"/>
          <w:szCs w:val="32"/>
          <w:lang w:val="en-US" w:eastAsia="zh-CN"/>
        </w:rPr>
        <w:t>53.95</w:t>
      </w:r>
      <w:r>
        <w:rPr>
          <w:rFonts w:hint="eastAsia" w:ascii="仿宋" w:eastAsia="仿宋"/>
          <w:bCs/>
          <w:color w:val="000000"/>
          <w:sz w:val="32"/>
          <w:szCs w:val="32"/>
        </w:rPr>
        <w:t>万元，占比</w:t>
      </w:r>
      <w:r>
        <w:rPr>
          <w:rFonts w:hint="eastAsia" w:ascii="仿宋" w:eastAsia="仿宋"/>
          <w:bCs/>
          <w:color w:val="000000"/>
          <w:sz w:val="32"/>
          <w:szCs w:val="32"/>
          <w:lang w:val="en-US" w:eastAsia="zh-CN"/>
        </w:rPr>
        <w:t>7.64</w:t>
      </w:r>
      <w:r>
        <w:rPr>
          <w:rFonts w:hint="eastAsia" w:ascii="仿宋" w:eastAsia="仿宋"/>
          <w:bCs/>
          <w:color w:val="000000"/>
          <w:sz w:val="32"/>
          <w:szCs w:val="32"/>
        </w:rPr>
        <w:t>%；卫生健康支出为</w:t>
      </w:r>
      <w:r>
        <w:rPr>
          <w:rFonts w:hint="eastAsia" w:ascii="仿宋" w:eastAsia="仿宋"/>
          <w:bCs/>
          <w:color w:val="000000"/>
          <w:sz w:val="32"/>
          <w:szCs w:val="32"/>
          <w:lang w:val="en-US" w:eastAsia="zh-CN"/>
        </w:rPr>
        <w:t>25.01</w:t>
      </w:r>
      <w:r>
        <w:rPr>
          <w:rFonts w:hint="eastAsia" w:ascii="仿宋" w:eastAsia="仿宋"/>
          <w:bCs/>
          <w:color w:val="000000"/>
          <w:sz w:val="32"/>
          <w:szCs w:val="32"/>
        </w:rPr>
        <w:t>万元，占比3.</w:t>
      </w:r>
      <w:r>
        <w:rPr>
          <w:rFonts w:hint="eastAsia" w:ascii="仿宋" w:eastAsia="仿宋"/>
          <w:bCs/>
          <w:color w:val="000000"/>
          <w:sz w:val="32"/>
          <w:szCs w:val="32"/>
          <w:lang w:val="en-US" w:eastAsia="zh-CN"/>
        </w:rPr>
        <w:t>54</w:t>
      </w:r>
      <w:r>
        <w:rPr>
          <w:rFonts w:hint="eastAsia" w:ascii="仿宋" w:eastAsia="仿宋"/>
          <w:bCs/>
          <w:color w:val="000000"/>
          <w:sz w:val="32"/>
          <w:szCs w:val="32"/>
        </w:rPr>
        <w:t>%；农林水支出为</w:t>
      </w:r>
      <w:r>
        <w:rPr>
          <w:rFonts w:hint="eastAsia" w:ascii="仿宋" w:eastAsia="仿宋"/>
          <w:bCs/>
          <w:color w:val="000000"/>
          <w:sz w:val="32"/>
          <w:szCs w:val="32"/>
          <w:lang w:val="en-US" w:eastAsia="zh-CN"/>
        </w:rPr>
        <w:t>228.57</w:t>
      </w:r>
      <w:r>
        <w:rPr>
          <w:rFonts w:hint="eastAsia" w:ascii="仿宋" w:eastAsia="仿宋"/>
          <w:bCs/>
          <w:color w:val="000000"/>
          <w:sz w:val="32"/>
          <w:szCs w:val="32"/>
        </w:rPr>
        <w:t>万元，占比</w:t>
      </w:r>
      <w:r>
        <w:rPr>
          <w:rFonts w:hint="eastAsia" w:ascii="仿宋" w:eastAsia="仿宋"/>
          <w:bCs/>
          <w:color w:val="000000"/>
          <w:sz w:val="32"/>
          <w:szCs w:val="32"/>
          <w:lang w:val="en-US" w:eastAsia="zh-CN"/>
        </w:rPr>
        <w:t>32.38</w:t>
      </w:r>
      <w:r>
        <w:rPr>
          <w:rFonts w:hint="eastAsia" w:ascii="仿宋" w:eastAsia="仿宋"/>
          <w:bCs/>
          <w:color w:val="000000"/>
          <w:sz w:val="32"/>
          <w:szCs w:val="32"/>
        </w:rPr>
        <w:t>%；住房保障支出为</w:t>
      </w:r>
      <w:r>
        <w:rPr>
          <w:rFonts w:hint="eastAsia" w:ascii="仿宋" w:eastAsia="仿宋"/>
          <w:bCs/>
          <w:color w:val="000000"/>
          <w:sz w:val="32"/>
          <w:szCs w:val="32"/>
          <w:lang w:val="en-US" w:eastAsia="zh-CN"/>
        </w:rPr>
        <w:t>39.96</w:t>
      </w:r>
      <w:r>
        <w:rPr>
          <w:rFonts w:hint="eastAsia" w:ascii="仿宋" w:eastAsia="仿宋"/>
          <w:bCs/>
          <w:color w:val="000000"/>
          <w:sz w:val="32"/>
          <w:szCs w:val="32"/>
        </w:rPr>
        <w:t>万元，占比5.</w:t>
      </w:r>
      <w:r>
        <w:rPr>
          <w:rFonts w:hint="eastAsia" w:ascii="仿宋" w:eastAsia="仿宋"/>
          <w:bCs/>
          <w:color w:val="000000"/>
          <w:sz w:val="32"/>
          <w:szCs w:val="32"/>
          <w:lang w:val="en-US" w:eastAsia="zh-CN"/>
        </w:rPr>
        <w:t>67</w:t>
      </w:r>
      <w:r>
        <w:rPr>
          <w:rFonts w:hint="eastAsia" w:ascii="仿宋" w:eastAsia="仿宋"/>
          <w:bCs/>
          <w:color w:val="000000"/>
          <w:sz w:val="32"/>
          <w:szCs w:val="32"/>
        </w:rPr>
        <w:t>%；其他支出为</w:t>
      </w:r>
      <w:r>
        <w:rPr>
          <w:rFonts w:hint="eastAsia" w:ascii="仿宋" w:eastAsia="仿宋"/>
          <w:bCs/>
          <w:color w:val="000000"/>
          <w:sz w:val="32"/>
          <w:szCs w:val="32"/>
          <w:lang w:val="en-US" w:eastAsia="zh-CN"/>
        </w:rPr>
        <w:t>3.36</w:t>
      </w:r>
      <w:r>
        <w:rPr>
          <w:rFonts w:hint="eastAsia" w:ascii="仿宋" w:eastAsia="仿宋"/>
          <w:bCs/>
          <w:color w:val="000000"/>
          <w:sz w:val="32"/>
          <w:szCs w:val="32"/>
        </w:rPr>
        <w:t>万元，占比</w:t>
      </w:r>
      <w:r>
        <w:rPr>
          <w:rFonts w:hint="eastAsia" w:ascii="仿宋" w:eastAsia="仿宋"/>
          <w:bCs/>
          <w:color w:val="000000"/>
          <w:sz w:val="32"/>
          <w:szCs w:val="32"/>
          <w:lang w:val="en-US" w:eastAsia="zh-CN"/>
        </w:rPr>
        <w:t>0.48</w:t>
      </w:r>
      <w:r>
        <w:rPr>
          <w:rFonts w:hint="eastAsia" w:ascii="仿宋" w:eastAsia="仿宋"/>
          <w:bCs/>
          <w:color w:val="000000"/>
          <w:sz w:val="32"/>
          <w:szCs w:val="32"/>
        </w:rPr>
        <w:t>%。</w:t>
      </w:r>
    </w:p>
    <w:p>
      <w:pPr>
        <w:spacing w:line="600" w:lineRule="exact"/>
        <w:ind w:firstLine="321" w:firstLineChars="100"/>
        <w:outlineLvl w:val="2"/>
        <w:rPr>
          <w:rFonts w:ascii="仿宋" w:eastAsia="仿宋"/>
          <w:b/>
          <w:color w:val="000000"/>
          <w:sz w:val="32"/>
          <w:szCs w:val="32"/>
        </w:rPr>
      </w:pPr>
      <w:bookmarkStart w:id="41" w:name="_Toc15377212"/>
      <w:bookmarkStart w:id="42" w:name="_Toc15377444"/>
      <w:bookmarkStart w:id="43" w:name="_Toc15378460"/>
      <w:bookmarkStart w:id="44" w:name="_Toc15377213"/>
      <w:r>
        <w:rPr>
          <w:rFonts w:hint="eastAsia" w:ascii="仿宋" w:eastAsia="仿宋"/>
          <w:b/>
          <w:color w:val="000000"/>
          <w:sz w:val="32"/>
          <w:szCs w:val="32"/>
        </w:rPr>
        <w:t>（三）一般公共预算财政拨款支出决算具体情况</w:t>
      </w:r>
      <w:bookmarkEnd w:id="41"/>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w:t>
      </w:r>
      <w:r>
        <w:rPr>
          <w:rFonts w:ascii="仿宋" w:eastAsia="仿宋"/>
          <w:bCs/>
          <w:color w:val="000000"/>
          <w:sz w:val="32"/>
          <w:szCs w:val="32"/>
        </w:rPr>
        <w:t>202</w:t>
      </w:r>
      <w:r>
        <w:rPr>
          <w:rFonts w:hint="eastAsia" w:ascii="仿宋" w:eastAsia="仿宋"/>
          <w:bCs/>
          <w:color w:val="000000"/>
          <w:sz w:val="32"/>
          <w:szCs w:val="32"/>
        </w:rPr>
        <w:t>1年一般公共预算数为396.37万元，支出决算数为</w:t>
      </w:r>
      <w:r>
        <w:rPr>
          <w:rFonts w:hint="eastAsia" w:ascii="仿宋_GB2312" w:eastAsia="仿宋_GB2312"/>
          <w:spacing w:val="-2"/>
          <w:sz w:val="32"/>
          <w:szCs w:val="32"/>
        </w:rPr>
        <w:t>671.87</w:t>
      </w:r>
      <w:r>
        <w:rPr>
          <w:rFonts w:hint="eastAsia" w:ascii="仿宋" w:eastAsia="仿宋"/>
          <w:bCs/>
          <w:color w:val="000000"/>
          <w:sz w:val="32"/>
          <w:szCs w:val="32"/>
        </w:rPr>
        <w:t>万元，完</w:t>
      </w:r>
      <w:r>
        <w:rPr>
          <w:rStyle w:val="17"/>
          <w:rFonts w:hint="eastAsia" w:ascii="仿宋" w:eastAsia="仿宋"/>
          <w:b w:val="0"/>
          <w:bCs/>
          <w:color w:val="000000"/>
          <w:sz w:val="32"/>
          <w:szCs w:val="32"/>
        </w:rPr>
        <w:t>成预算169.51</w:t>
      </w:r>
      <w:r>
        <w:rPr>
          <w:rStyle w:val="17"/>
          <w:rFonts w:ascii="仿宋" w:eastAsia="仿宋"/>
          <w:b w:val="0"/>
          <w:bCs/>
          <w:color w:val="000000"/>
          <w:sz w:val="32"/>
          <w:szCs w:val="32"/>
        </w:rPr>
        <w:t>%</w:t>
      </w:r>
      <w:r>
        <w:rPr>
          <w:rStyle w:val="17"/>
          <w:rFonts w:hint="eastAsia" w:ascii="仿宋" w:eastAsia="仿宋"/>
          <w:b w:val="0"/>
          <w:bCs/>
          <w:color w:val="000000"/>
          <w:sz w:val="32"/>
          <w:szCs w:val="32"/>
        </w:rPr>
        <w:t>，其中：</w:t>
      </w:r>
      <w:bookmarkEnd w:id="42"/>
      <w:bookmarkEnd w:id="43"/>
      <w:bookmarkEnd w:id="44"/>
    </w:p>
    <w:p>
      <w:pPr>
        <w:spacing w:line="600" w:lineRule="exact"/>
        <w:ind w:firstLine="643" w:firstLineChars="200"/>
        <w:rPr>
          <w:rStyle w:val="17"/>
          <w:rFonts w:ascii="仿宋" w:eastAsia="仿宋"/>
          <w:b w:val="0"/>
          <w:bCs/>
          <w:color w:val="000000"/>
          <w:sz w:val="32"/>
          <w:szCs w:val="32"/>
        </w:rPr>
      </w:pPr>
      <w:bookmarkStart w:id="45" w:name="_Toc15377214"/>
      <w:r>
        <w:rPr>
          <w:rStyle w:val="17"/>
          <w:rFonts w:hint="eastAsia" w:ascii="仿宋" w:eastAsia="仿宋"/>
          <w:bCs/>
          <w:color w:val="000000"/>
          <w:sz w:val="32"/>
          <w:szCs w:val="32"/>
        </w:rPr>
        <w:t>1.一般公共服务（类）政府办公厅（室）及相关机构事务（款）行政运行（项）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336.03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Style w:val="17"/>
          <w:rFonts w:ascii="仿宋" w:eastAsia="仿宋"/>
          <w:b w:val="0"/>
          <w:bCs/>
          <w:color w:val="000000"/>
          <w:sz w:val="32"/>
          <w:szCs w:val="32"/>
        </w:rPr>
      </w:pPr>
      <w:r>
        <w:rPr>
          <w:rStyle w:val="17"/>
          <w:rFonts w:ascii="仿宋" w:eastAsia="仿宋"/>
          <w:bCs/>
          <w:color w:val="000000"/>
          <w:sz w:val="32"/>
          <w:szCs w:val="32"/>
        </w:rPr>
        <w:t>2.</w:t>
      </w:r>
      <w:r>
        <w:rPr>
          <w:rStyle w:val="17"/>
          <w:rFonts w:hint="eastAsia" w:ascii="仿宋" w:eastAsia="仿宋"/>
          <w:bCs/>
          <w:color w:val="000000"/>
          <w:sz w:val="32"/>
          <w:szCs w:val="32"/>
        </w:rPr>
        <w:t>一般公共服务（类）党委办公室（室）及相关机构事务（款）一般行政管理事务（项）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9.4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3.一般公共服务（类）人大事务（款）一般行政管理事务（项）: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9.4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4.一般公共服务（类）人大事务（款）人大会议（项）:</w:t>
      </w:r>
      <w:r>
        <w:rPr>
          <w:rStyle w:val="17"/>
          <w:rFonts w:hint="eastAsia" w:ascii="仿宋" w:eastAsia="仿宋"/>
          <w:b w:val="0"/>
          <w:bCs/>
          <w:color w:val="000000"/>
          <w:sz w:val="32"/>
          <w:szCs w:val="32"/>
        </w:rPr>
        <w:t>支出决算为0.</w:t>
      </w:r>
      <w:r>
        <w:rPr>
          <w:rStyle w:val="17"/>
          <w:rFonts w:hint="eastAsia" w:ascii="仿宋" w:eastAsia="仿宋"/>
          <w:b w:val="0"/>
          <w:bCs/>
          <w:color w:val="000000"/>
          <w:sz w:val="32"/>
          <w:szCs w:val="32"/>
          <w:lang w:val="en-US" w:eastAsia="zh-CN"/>
        </w:rPr>
        <w:t>2</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pStyle w:val="2"/>
        <w:ind w:left="0" w:leftChars="0"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rPr>
        <w:t>5.社会保障和就业支出（类）民政管理事务（款）基层政权建设和治理（项）：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pPr>
        <w:pStyle w:val="2"/>
        <w:ind w:left="0" w:leftChars="0" w:firstLine="643" w:firstLineChars="200"/>
        <w:rPr>
          <w:rFonts w:ascii="仿宋" w:eastAsia="仿宋"/>
          <w:b/>
          <w:color w:val="000000"/>
          <w:sz w:val="32"/>
          <w:szCs w:val="32"/>
        </w:rPr>
      </w:pPr>
      <w:r>
        <w:rPr>
          <w:rStyle w:val="17"/>
          <w:rFonts w:hint="eastAsia" w:ascii="仿宋" w:eastAsia="仿宋"/>
          <w:bCs/>
          <w:color w:val="000000"/>
          <w:sz w:val="32"/>
          <w:szCs w:val="32"/>
        </w:rPr>
        <w:t>6</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Cs/>
          <w:color w:val="000000"/>
          <w:sz w:val="32"/>
          <w:szCs w:val="32"/>
        </w:rPr>
        <w:t>社会保障和就业（类）行政事业单位离退休（款）机关事业单位基本养老保险缴费支出（项）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35.96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rPr>
        <w:t>7</w:t>
      </w:r>
      <w:r>
        <w:rPr>
          <w:rStyle w:val="17"/>
          <w:rFonts w:ascii="仿宋" w:eastAsia="仿宋"/>
          <w:bCs/>
          <w:color w:val="000000"/>
          <w:sz w:val="32"/>
          <w:szCs w:val="32"/>
        </w:rPr>
        <w:t>.</w:t>
      </w:r>
      <w:r>
        <w:rPr>
          <w:rStyle w:val="17"/>
          <w:rFonts w:hint="eastAsia" w:ascii="仿宋" w:eastAsia="仿宋"/>
          <w:bCs/>
          <w:color w:val="000000"/>
          <w:sz w:val="32"/>
          <w:szCs w:val="32"/>
        </w:rPr>
        <w:t>社会保障和就业（类）行政事业单位离退休（款）机关事业单位基本职业年金缴费支出（项）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18</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rPr>
        <w:t>8.卫生健康支出（类）行政事业单位医疗（款）行政单位医疗（项）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18.99</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rPr>
        <w:t>9.卫生健康支出（类）行政事业单位医疗（款）公务员医疗补助（项）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10.住房保障（类）住房改革支出（款）住房公积金（项）：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39.95</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11.城乡社区支出（类） 农村基础设施建设支出 农业土地开发资金安排的支出（款）项）：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12.农林水支出（类）农业农村（款）事业运行（项）：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100.14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r>
        <w:rPr>
          <w:rStyle w:val="17"/>
          <w:rFonts w:hint="eastAsia" w:ascii="仿宋" w:eastAsia="仿宋"/>
          <w:color w:val="000000"/>
          <w:sz w:val="32"/>
          <w:szCs w:val="32"/>
        </w:rPr>
        <w:t>农林水支出（类）农业农村（款）农村道路建设（项）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13.农林水支出（类）农村综合改革（款）对村民委员会和党支部的补助（项）：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128.43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 xml:space="preserve">，决算数等于预算数。       </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14.农林水支出（类）其他农林水支出（款）其他农林水支出（项）：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15.灾害防治和应急管理支出（类）自然灾害防治（款）地质灾害防治（项）：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16.其他支出（类）其他支出（款）其他支出（项）：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3.36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tabs>
          <w:tab w:val="right" w:pos="7663"/>
        </w:tabs>
        <w:spacing w:line="600" w:lineRule="exact"/>
        <w:rPr>
          <w:rStyle w:val="17"/>
          <w:rFonts w:ascii="仿宋" w:eastAsia="仿宋"/>
          <w:b w:val="0"/>
          <w:bCs/>
          <w:color w:val="000000"/>
          <w:sz w:val="32"/>
          <w:szCs w:val="32"/>
        </w:rPr>
      </w:pPr>
    </w:p>
    <w:p>
      <w:pPr>
        <w:spacing w:line="600" w:lineRule="exact"/>
        <w:ind w:firstLine="640"/>
        <w:rPr>
          <w:rStyle w:val="20"/>
        </w:rPr>
      </w:pPr>
      <w:r>
        <w:rPr>
          <w:rFonts w:hint="eastAsia" w:ascii="黑体" w:eastAsia="黑体"/>
          <w:color w:val="000000"/>
          <w:sz w:val="32"/>
          <w:szCs w:val="32"/>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45"/>
      <w:r>
        <w:rPr>
          <w:rStyle w:val="20"/>
          <w:rFonts w:ascii="黑体" w:eastAsia="黑体"/>
          <w:b w:val="0"/>
        </w:rPr>
        <w:tab/>
      </w:r>
    </w:p>
    <w:p>
      <w:pPr>
        <w:spacing w:line="600" w:lineRule="exact"/>
        <w:ind w:firstLine="645"/>
        <w:rPr>
          <w:rFonts w:hint="eastAsia" w:ascii="仿宋" w:eastAsia="仿宋"/>
          <w:color w:val="000000"/>
          <w:sz w:val="32"/>
          <w:szCs w:val="32"/>
          <w:lang w:eastAsia="zh-CN"/>
        </w:rPr>
      </w:pPr>
      <w:r>
        <w:rPr>
          <w:rFonts w:ascii="仿宋" w:eastAsia="仿宋"/>
          <w:color w:val="000000"/>
          <w:sz w:val="32"/>
          <w:szCs w:val="32"/>
        </w:rPr>
        <w:t>202</w:t>
      </w:r>
      <w:r>
        <w:rPr>
          <w:rFonts w:hint="eastAsia" w:ascii="仿宋" w:eastAsia="仿宋"/>
          <w:color w:val="000000"/>
          <w:sz w:val="32"/>
          <w:szCs w:val="32"/>
        </w:rPr>
        <w:t>1年一般公共预算财政拨款支出</w:t>
      </w:r>
      <w:r>
        <w:rPr>
          <w:rFonts w:hint="eastAsia" w:ascii="仿宋" w:eastAsia="仿宋"/>
          <w:bCs/>
          <w:color w:val="000000"/>
          <w:sz w:val="32"/>
          <w:szCs w:val="32"/>
          <w:lang w:val="en-US" w:eastAsia="zh-CN"/>
        </w:rPr>
        <w:t>705.86</w:t>
      </w:r>
      <w:r>
        <w:rPr>
          <w:rFonts w:hint="eastAsia" w:ascii="仿宋" w:eastAsia="仿宋"/>
          <w:color w:val="000000"/>
          <w:sz w:val="32"/>
          <w:szCs w:val="32"/>
        </w:rPr>
        <w:t>万元</w:t>
      </w:r>
      <w:r>
        <w:rPr>
          <w:rFonts w:hint="eastAsia" w:ascii="仿宋" w:eastAsia="仿宋"/>
          <w:color w:val="000000"/>
          <w:sz w:val="32"/>
          <w:szCs w:val="32"/>
          <w:lang w:eastAsia="zh-CN"/>
        </w:rPr>
        <w:t>。</w:t>
      </w:r>
    </w:p>
    <w:p>
      <w:pPr>
        <w:snapToGrid w:val="0"/>
        <w:spacing w:line="520" w:lineRule="exact"/>
        <w:ind w:firstLine="640" w:firstLineChars="200"/>
        <w:rPr>
          <w:rFonts w:ascii="仿宋_GB2312" w:eastAsia="仿宋_GB2312"/>
          <w:color w:val="000000"/>
          <w:sz w:val="32"/>
          <w:szCs w:val="32"/>
        </w:rPr>
      </w:pPr>
      <w:bookmarkStart w:id="46" w:name="_Toc15377215"/>
      <w:r>
        <w:rPr>
          <w:rFonts w:hint="eastAsia" w:ascii="仿宋_GB2312" w:eastAsia="仿宋_GB2312" w:cs="仿宋_GB2312"/>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94.7</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127.04</w:t>
      </w:r>
      <w:r>
        <w:rPr>
          <w:rFonts w:hint="eastAsia" w:ascii="仿宋_GB2312" w:eastAsia="仿宋_GB2312"/>
          <w:color w:val="000000"/>
          <w:sz w:val="32"/>
          <w:szCs w:val="32"/>
        </w:rPr>
        <w:t>万元、奖金7.</w:t>
      </w:r>
      <w:r>
        <w:rPr>
          <w:rFonts w:hint="eastAsia" w:ascii="仿宋_GB2312" w:eastAsia="仿宋_GB2312"/>
          <w:color w:val="000000"/>
          <w:sz w:val="32"/>
          <w:szCs w:val="32"/>
          <w:lang w:val="en-US" w:eastAsia="zh-CN"/>
        </w:rPr>
        <w:t>87</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34.4</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35.95</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3.51</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39.96</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6.02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奖励金</w:t>
      </w:r>
      <w:r>
        <w:rPr>
          <w:rFonts w:hint="eastAsia" w:ascii="仿宋_GB2312" w:eastAsia="仿宋_GB2312"/>
          <w:color w:val="000000"/>
          <w:sz w:val="32"/>
          <w:szCs w:val="32"/>
          <w:lang w:val="en-US" w:eastAsia="zh-CN"/>
        </w:rPr>
        <w:t>101.82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抚恤金47.67万元、生活补助8.6万元</w:t>
      </w:r>
      <w:r>
        <w:rPr>
          <w:rFonts w:hint="eastAsia" w:ascii="仿宋_GB2312" w:eastAsia="仿宋_GB2312"/>
          <w:color w:val="000000"/>
          <w:sz w:val="32"/>
          <w:szCs w:val="32"/>
        </w:rPr>
        <w:t>。</w:t>
      </w:r>
    </w:p>
    <w:p>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公用经费支出为</w:t>
      </w:r>
      <w:r>
        <w:rPr>
          <w:rFonts w:hint="eastAsia" w:ascii="仿宋_GB2312" w:eastAsia="仿宋_GB2312"/>
          <w:color w:val="000000"/>
          <w:sz w:val="32"/>
          <w:szCs w:val="32"/>
          <w:lang w:val="en-US" w:eastAsia="zh-CN"/>
        </w:rPr>
        <w:t>29.33</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万元、印刷费3</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万元、手续费</w:t>
      </w:r>
      <w:r>
        <w:rPr>
          <w:rFonts w:hint="eastAsia" w:ascii="仿宋_GB2312" w:eastAsia="仿宋_GB2312"/>
          <w:color w:val="000000"/>
          <w:sz w:val="32"/>
          <w:szCs w:val="32"/>
          <w:lang w:val="en-US" w:eastAsia="zh-CN"/>
        </w:rPr>
        <w:t>0.01</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万元、邮电费2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3.74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取暖费0万元、</w:t>
      </w:r>
      <w:r>
        <w:rPr>
          <w:rFonts w:hint="eastAsia" w:ascii="仿宋_GB2312" w:eastAsia="仿宋_GB2312"/>
          <w:color w:val="000000"/>
          <w:sz w:val="32"/>
          <w:szCs w:val="32"/>
        </w:rPr>
        <w:t>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万元、委托业务费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万元，其他交通费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9.03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水费0.05万元</w:t>
      </w:r>
      <w:r>
        <w:rPr>
          <w:rFonts w:hint="eastAsia" w:ascii="仿宋_GB2312" w:eastAsia="仿宋_GB2312"/>
          <w:color w:val="000000"/>
          <w:sz w:val="32"/>
          <w:szCs w:val="32"/>
        </w:rPr>
        <w:t>。</w:t>
      </w:r>
    </w:p>
    <w:p>
      <w:pPr>
        <w:snapToGrid w:val="0"/>
        <w:spacing w:line="520" w:lineRule="exact"/>
        <w:ind w:firstLine="640" w:firstLineChars="200"/>
        <w:rPr>
          <w:rFonts w:eastAsia="仿宋_GB2312"/>
        </w:rPr>
      </w:pP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131.99</w:t>
      </w:r>
      <w:r>
        <w:rPr>
          <w:rFonts w:hint="eastAsia" w:ascii="仿宋_GB2312" w:eastAsia="仿宋_GB2312"/>
          <w:color w:val="000000"/>
          <w:sz w:val="32"/>
          <w:szCs w:val="32"/>
        </w:rPr>
        <w:t>万元，主要包括：人大会议费0.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万元，对村干部生活补助支出</w:t>
      </w:r>
      <w:r>
        <w:rPr>
          <w:rFonts w:hint="eastAsia" w:ascii="仿宋_GB2312" w:eastAsia="仿宋_GB2312"/>
          <w:color w:val="000000"/>
          <w:sz w:val="32"/>
          <w:szCs w:val="32"/>
          <w:lang w:val="en-US" w:eastAsia="zh-CN"/>
        </w:rPr>
        <w:t>84.1</w:t>
      </w:r>
      <w:r>
        <w:rPr>
          <w:rFonts w:hint="eastAsia" w:ascii="仿宋_GB2312" w:eastAsia="仿宋_GB2312"/>
          <w:color w:val="000000"/>
          <w:sz w:val="32"/>
          <w:szCs w:val="32"/>
        </w:rPr>
        <w:t>万元，村级维护费办公费</w:t>
      </w:r>
      <w:r>
        <w:rPr>
          <w:rFonts w:hint="eastAsia" w:ascii="仿宋_GB2312" w:eastAsia="仿宋_GB2312"/>
          <w:color w:val="000000"/>
          <w:sz w:val="32"/>
          <w:szCs w:val="32"/>
          <w:lang w:val="en-US" w:eastAsia="zh-CN"/>
        </w:rPr>
        <w:t>44</w:t>
      </w:r>
      <w:r>
        <w:rPr>
          <w:rFonts w:hint="eastAsia" w:ascii="仿宋_GB2312" w:eastAsia="仿宋_GB2312"/>
          <w:color w:val="000000"/>
          <w:sz w:val="32"/>
          <w:szCs w:val="32"/>
        </w:rPr>
        <w:t>万元</w:t>
      </w:r>
      <w:r>
        <w:rPr>
          <w:rFonts w:hint="eastAsia" w:ascii="仿宋_GB2312" w:eastAsia="仿宋_GB2312" w:cs="仿宋_GB2312"/>
          <w:color w:val="000000"/>
          <w:sz w:val="32"/>
          <w:szCs w:val="32"/>
        </w:rPr>
        <w:t>（其中公共运行维护费</w:t>
      </w:r>
      <w:r>
        <w:rPr>
          <w:rFonts w:hint="eastAsia" w:ascii="仿宋_GB2312" w:eastAsia="仿宋_GB2312" w:cs="仿宋_GB2312"/>
          <w:color w:val="000000"/>
          <w:sz w:val="32"/>
          <w:szCs w:val="32"/>
          <w:lang w:val="en-US" w:eastAsia="zh-CN"/>
        </w:rPr>
        <w:t>28</w:t>
      </w:r>
      <w:r>
        <w:rPr>
          <w:rFonts w:hint="eastAsia" w:ascii="仿宋_GB2312" w:eastAsia="仿宋_GB2312" w:cs="仿宋_GB2312"/>
          <w:color w:val="000000"/>
          <w:sz w:val="32"/>
          <w:szCs w:val="32"/>
        </w:rPr>
        <w:t>万元、基层党组织活动经费</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万元、办公费</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万元）</w:t>
      </w:r>
      <w:r>
        <w:rPr>
          <w:rFonts w:hint="eastAsia" w:ascii="仿宋_GB2312" w:eastAsia="仿宋_GB2312"/>
          <w:color w:val="000000"/>
          <w:sz w:val="32"/>
          <w:szCs w:val="32"/>
        </w:rPr>
        <w:t>，基层政权和社区治理的办公费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万元，地质灾害防治租赁费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万元，其他政府办公厅（室）及相关机构事务办公费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s="仿宋_GB2312"/>
          <w:bCs/>
          <w:sz w:val="32"/>
          <w:szCs w:val="32"/>
          <w:lang w:eastAsia="zh-CN"/>
        </w:rPr>
        <w:t>集沐</w:t>
      </w:r>
      <w:r>
        <w:rPr>
          <w:rFonts w:hint="eastAsia" w:ascii="仿宋_GB2312" w:eastAsia="仿宋_GB2312" w:cs="仿宋_GB2312"/>
          <w:bCs/>
          <w:sz w:val="32"/>
          <w:szCs w:val="32"/>
        </w:rPr>
        <w:t>乡铁基村定居点道路硬化建设项目</w:t>
      </w:r>
      <w:r>
        <w:rPr>
          <w:rFonts w:hint="eastAsia" w:ascii="仿宋_GB2312" w:eastAsia="仿宋_GB2312" w:cs="仿宋_GB2312"/>
          <w:bCs/>
          <w:sz w:val="32"/>
          <w:szCs w:val="32"/>
          <w:lang w:val="en-US" w:eastAsia="zh-CN"/>
        </w:rPr>
        <w:t>0</w:t>
      </w:r>
      <w:r>
        <w:rPr>
          <w:rFonts w:hint="eastAsia" w:ascii="仿宋_GB2312" w:eastAsia="仿宋_GB2312" w:cs="仿宋_GB2312"/>
          <w:bCs/>
          <w:sz w:val="32"/>
          <w:szCs w:val="32"/>
        </w:rPr>
        <w:t>万元，2020年第一批革命老区转移支付资金</w:t>
      </w:r>
      <w:r>
        <w:rPr>
          <w:rFonts w:hint="eastAsia" w:ascii="仿宋_GB2312" w:eastAsia="仿宋_GB2312" w:cs="仿宋_GB2312"/>
          <w:bCs/>
          <w:sz w:val="32"/>
          <w:szCs w:val="32"/>
          <w:lang w:val="en-US" w:eastAsia="zh-CN"/>
        </w:rPr>
        <w:t>0</w:t>
      </w:r>
      <w:r>
        <w:rPr>
          <w:rFonts w:hint="eastAsia" w:ascii="仿宋_GB2312" w:eastAsia="仿宋_GB2312" w:cs="仿宋_GB2312"/>
          <w:bCs/>
          <w:sz w:val="32"/>
          <w:szCs w:val="32"/>
        </w:rPr>
        <w:t>万元，</w:t>
      </w:r>
      <w:r>
        <w:rPr>
          <w:rFonts w:hint="eastAsia" w:ascii="仿宋_GB2312" w:eastAsia="仿宋_GB2312" w:cs="仿宋_GB2312"/>
          <w:bCs/>
          <w:sz w:val="32"/>
          <w:szCs w:val="32"/>
          <w:lang w:val="en-US" w:eastAsia="zh-CN"/>
        </w:rPr>
        <w:t>其他支出三老干部生活补助3.36万元、其他社会保障缴费支出0.33万元</w:t>
      </w:r>
      <w:r>
        <w:rPr>
          <w:rFonts w:hint="eastAsia" w:ascii="仿宋_GB2312" w:eastAsia="仿宋_GB2312" w:cs="仿宋_GB2312"/>
          <w:bCs/>
          <w:sz w:val="32"/>
          <w:szCs w:val="32"/>
        </w:rPr>
        <w:t>。</w:t>
      </w:r>
    </w:p>
    <w:p>
      <w:pPr>
        <w:spacing w:line="600" w:lineRule="exact"/>
        <w:ind w:firstLine="640" w:firstLineChars="200"/>
        <w:outlineLvl w:val="1"/>
        <w:rPr>
          <w:rStyle w:val="20"/>
          <w:rFonts w:ascii="黑体" w:eastAsia="黑体"/>
          <w:b w:val="0"/>
        </w:rPr>
      </w:pPr>
      <w:bookmarkStart w:id="47" w:name="_Toc9449"/>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46"/>
      <w:bookmarkEnd w:id="47"/>
    </w:p>
    <w:p>
      <w:pPr>
        <w:spacing w:line="600" w:lineRule="exact"/>
        <w:ind w:firstLine="640"/>
        <w:outlineLvl w:val="2"/>
        <w:rPr>
          <w:rFonts w:ascii="仿宋" w:eastAsia="仿宋"/>
          <w:b/>
          <w:color w:val="000000"/>
          <w:sz w:val="32"/>
          <w:szCs w:val="32"/>
        </w:rPr>
      </w:pPr>
      <w:bookmarkStart w:id="48" w:name="_Toc15377216"/>
      <w:r>
        <w:rPr>
          <w:rFonts w:hint="eastAsia" w:ascii="仿宋" w:eastAsia="仿宋"/>
          <w:b/>
          <w:color w:val="000000"/>
          <w:sz w:val="32"/>
          <w:szCs w:val="32"/>
        </w:rPr>
        <w:t>（一）“三公”经费财政拨款支出决算总体情况说明</w:t>
      </w:r>
      <w:bookmarkEnd w:id="48"/>
    </w:p>
    <w:p>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1年“三公”经费财政拨款支出决算为</w:t>
      </w:r>
      <w:r>
        <w:rPr>
          <w:rFonts w:hint="eastAsia" w:ascii="仿宋" w:eastAsia="仿宋"/>
          <w:color w:val="000000"/>
          <w:sz w:val="32"/>
          <w:szCs w:val="32"/>
          <w:lang w:val="en-US" w:eastAsia="zh-CN"/>
        </w:rPr>
        <w:t>9.03</w:t>
      </w:r>
      <w:r>
        <w:rPr>
          <w:rFonts w:hint="eastAsia" w:ascii="仿宋" w:eastAsia="仿宋"/>
          <w:color w:val="000000"/>
          <w:sz w:val="32"/>
          <w:szCs w:val="32"/>
        </w:rPr>
        <w:t>万元，预算数</w:t>
      </w:r>
      <w:r>
        <w:rPr>
          <w:rFonts w:hint="eastAsia" w:ascii="仿宋" w:eastAsia="仿宋"/>
          <w:color w:val="000000"/>
          <w:sz w:val="32"/>
          <w:szCs w:val="32"/>
          <w:lang w:val="en-US" w:eastAsia="zh-CN"/>
        </w:rPr>
        <w:t>为9.03万元，</w:t>
      </w:r>
      <w:r>
        <w:rPr>
          <w:rFonts w:hint="eastAsia" w:ascii="仿宋" w:eastAsia="仿宋"/>
          <w:color w:val="000000"/>
          <w:sz w:val="32"/>
          <w:szCs w:val="32"/>
        </w:rPr>
        <w:t>完成预算100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决算数与预算数持平</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49" w:name="_Toc15377217"/>
      <w:r>
        <w:rPr>
          <w:rFonts w:hint="eastAsia" w:ascii="仿宋" w:eastAsia="仿宋"/>
          <w:b/>
          <w:color w:val="000000"/>
          <w:sz w:val="32"/>
          <w:szCs w:val="32"/>
        </w:rPr>
        <w:t>（二）“三公”经费财政拨款支出决算具体情况说明</w:t>
      </w:r>
      <w:bookmarkEnd w:id="49"/>
    </w:p>
    <w:p>
      <w:pPr>
        <w:spacing w:line="600" w:lineRule="exact"/>
        <w:ind w:firstLine="640"/>
        <w:rPr>
          <w:rFonts w:hint="eastAsia"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1年“三公”经费财政拨款支出</w:t>
      </w:r>
      <w:r>
        <w:rPr>
          <w:rFonts w:hint="eastAsia" w:ascii="仿宋" w:eastAsia="仿宋"/>
          <w:sz w:val="32"/>
          <w:szCs w:val="32"/>
        </w:rPr>
        <w:t>决算</w:t>
      </w:r>
      <w:r>
        <w:rPr>
          <w:rFonts w:hint="eastAsia" w:ascii="仿宋" w:eastAsia="仿宋"/>
          <w:sz w:val="32"/>
          <w:szCs w:val="32"/>
          <w:lang w:val="en-US" w:eastAsia="zh-CN"/>
        </w:rPr>
        <w:t>9.03</w:t>
      </w:r>
      <w:r>
        <w:rPr>
          <w:rFonts w:hint="eastAsia" w:ascii="仿宋" w:eastAsia="仿宋"/>
          <w:sz w:val="32"/>
          <w:szCs w:val="32"/>
        </w:rPr>
        <w:t>万元</w:t>
      </w:r>
      <w:r>
        <w:rPr>
          <w:rFonts w:hint="eastAsia" w:ascii="仿宋" w:eastAsia="仿宋"/>
          <w:color w:val="000000"/>
          <w:sz w:val="32"/>
          <w:szCs w:val="32"/>
        </w:rPr>
        <w:t>，其中：公务用车购置及运行维护费支出决算</w:t>
      </w:r>
      <w:r>
        <w:rPr>
          <w:rFonts w:hint="eastAsia" w:ascii="仿宋" w:eastAsia="仿宋"/>
          <w:color w:val="000000"/>
          <w:sz w:val="32"/>
          <w:szCs w:val="32"/>
          <w:lang w:val="en-US" w:eastAsia="zh-CN"/>
        </w:rPr>
        <w:t>9.03</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hint="eastAsia" w:ascii="仿宋_GB2312" w:eastAsia="仿宋_GB2312"/>
          <w:color w:val="000000"/>
          <w:sz w:val="30"/>
          <w:szCs w:val="30"/>
        </w:rPr>
      </w:pPr>
      <w:r>
        <w:rPr>
          <w:rFonts w:hint="default" w:ascii="仿宋" w:eastAsia="仿宋"/>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0"/>
          <w:szCs w:val="30"/>
        </w:rPr>
        <w:t>20</w:t>
      </w:r>
      <w:r>
        <w:rPr>
          <w:rFonts w:hint="eastAsia" w:ascii="仿宋_GB2312" w:eastAsia="仿宋_GB2312"/>
          <w:color w:val="000000"/>
          <w:sz w:val="30"/>
          <w:szCs w:val="30"/>
        </w:rPr>
        <w:t>21年因公出国（境）费0万元。</w:t>
      </w:r>
    </w:p>
    <w:p>
      <w:pPr>
        <w:numPr>
          <w:ilvl w:val="0"/>
          <w:numId w:val="0"/>
        </w:numPr>
        <w:spacing w:line="600" w:lineRule="exact"/>
        <w:ind w:firstLine="643" w:firstLineChars="200"/>
        <w:rPr>
          <w:rFonts w:ascii="仿宋_GB2312" w:eastAsia="仿宋_GB2312"/>
          <w:b/>
          <w:sz w:val="32"/>
          <w:szCs w:val="32"/>
        </w:rPr>
      </w:pPr>
      <w:r>
        <w:rPr>
          <w:rFonts w:hint="default"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b/>
          <w:color w:val="000000"/>
          <w:sz w:val="32"/>
          <w:szCs w:val="32"/>
          <w:lang w:val="en-US" w:eastAsia="zh-CN"/>
        </w:rPr>
        <w:t>9.03</w:t>
      </w:r>
      <w:r>
        <w:rPr>
          <w:rFonts w:hint="eastAsia" w:ascii="仿宋_GB2312" w:eastAsia="仿宋_GB2312"/>
          <w:color w:val="000000"/>
          <w:sz w:val="32"/>
          <w:szCs w:val="32"/>
        </w:rPr>
        <w:t>万元,</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w:t>
      </w:r>
      <w:r>
        <w:rPr>
          <w:rFonts w:hint="eastAsia" w:ascii="仿宋_GB2312" w:eastAsia="仿宋_GB2312"/>
          <w:color w:val="000000"/>
          <w:sz w:val="32"/>
          <w:szCs w:val="32"/>
          <w:lang w:val="en-US" w:eastAsia="zh-CN"/>
        </w:rPr>
        <w:t>增加3.86</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w:t>
      </w:r>
      <w:r>
        <w:rPr>
          <w:rFonts w:hint="eastAsia" w:ascii="仿宋_GB2312" w:eastAsia="仿宋_GB2312"/>
          <w:sz w:val="32"/>
          <w:szCs w:val="32"/>
          <w:lang w:val="en-US" w:eastAsia="zh-CN"/>
        </w:rPr>
        <w:t>74.66</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我单位本年度</w:t>
      </w:r>
      <w:r>
        <w:rPr>
          <w:rFonts w:hint="eastAsia" w:ascii="仿宋_GB2312" w:eastAsia="仿宋_GB2312" w:cs="仿宋"/>
          <w:color w:val="000000"/>
          <w:sz w:val="32"/>
          <w:szCs w:val="32"/>
          <w:lang w:val="en-US" w:eastAsia="zh-CN"/>
        </w:rPr>
        <w:t>增加了一辆车辆且走访搬迁户次数增多</w:t>
      </w:r>
      <w:r>
        <w:rPr>
          <w:rFonts w:hint="eastAsia" w:ascii="仿宋_GB2312" w:eastAsia="仿宋_GB2312" w:cs="仿宋"/>
          <w:color w:val="000000"/>
          <w:sz w:val="32"/>
          <w:szCs w:val="32"/>
        </w:rPr>
        <w:t>。</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日，共有车辆1辆，其中：部级领导干部用车0辆、主要领导干部用车0辆、机要通信用车0辆、应急保障用车1辆、执法执勤用车0辆、特种专业技术用车0辆、离退休干部用车0辆、其他用车0辆；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9.03</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autoSpaceDE w:val="0"/>
        <w:autoSpaceDN w:val="0"/>
        <w:adjustRightInd w:val="0"/>
        <w:spacing w:line="600" w:lineRule="exact"/>
        <w:ind w:firstLine="643" w:firstLineChars="200"/>
        <w:jc w:val="left"/>
        <w:rPr>
          <w:rFonts w:hint="default" w:ascii="仿宋_GB2312" w:eastAsia="仿宋_GB2312"/>
          <w:color w:val="000000"/>
          <w:sz w:val="32"/>
          <w:szCs w:val="32"/>
          <w:lang w:val="en-US"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：2021年公务接待费0万元。</w:t>
      </w:r>
    </w:p>
    <w:p>
      <w:pPr>
        <w:autoSpaceDE w:val="0"/>
        <w:autoSpaceDN w:val="0"/>
        <w:adjustRightInd w:val="0"/>
        <w:spacing w:line="600" w:lineRule="exact"/>
        <w:ind w:firstLine="643" w:firstLineChars="200"/>
        <w:jc w:val="left"/>
        <w:rPr>
          <w:rFonts w:hint="default" w:ascii="仿宋_GB2312" w:eastAsia="仿宋_GB2312"/>
          <w:color w:val="000000"/>
          <w:sz w:val="32"/>
          <w:szCs w:val="32"/>
          <w:lang w:val="en-US" w:eastAsia="zh-CN"/>
        </w:rPr>
      </w:pPr>
      <w:r>
        <w:rPr>
          <w:rFonts w:hint="eastAsia" w:ascii="仿宋_GB2312" w:eastAsia="仿宋_GB2312"/>
          <w:b/>
          <w:color w:val="000000"/>
          <w:sz w:val="32"/>
          <w:szCs w:val="32"/>
          <w:lang w:val="en-US" w:eastAsia="zh-CN"/>
        </w:rPr>
        <w:t>4.公务用车运行维护支出2021年预算金额：</w:t>
      </w:r>
      <w:r>
        <w:rPr>
          <w:rFonts w:hint="eastAsia" w:ascii="仿宋_GB2312" w:eastAsia="仿宋_GB2312"/>
          <w:color w:val="000000"/>
          <w:sz w:val="32"/>
          <w:szCs w:val="32"/>
          <w:lang w:val="en-US" w:eastAsia="zh-CN"/>
        </w:rPr>
        <w:t>9.03万元</w:t>
      </w:r>
    </w:p>
    <w:p>
      <w:pPr>
        <w:spacing w:line="600" w:lineRule="exact"/>
        <w:ind w:firstLine="320" w:firstLineChars="100"/>
        <w:outlineLvl w:val="1"/>
        <w:rPr>
          <w:rStyle w:val="20"/>
          <w:rFonts w:ascii="黑体" w:eastAsia="黑体"/>
        </w:rPr>
      </w:pPr>
      <w:bookmarkStart w:id="50" w:name="_Toc15377218"/>
      <w:bookmarkStart w:id="51" w:name="_Toc23573"/>
      <w:r>
        <w:rPr>
          <w:rFonts w:hint="eastAsia" w:ascii="黑体" w:eastAsia="黑体"/>
          <w:color w:val="000000"/>
          <w:sz w:val="32"/>
          <w:szCs w:val="32"/>
        </w:rPr>
        <w:t>八、</w:t>
      </w:r>
      <w:r>
        <w:rPr>
          <w:rStyle w:val="20"/>
          <w:rFonts w:hint="eastAsia" w:ascii="黑体" w:eastAsia="黑体"/>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left="0" w:firstLine="640"/>
        <w:outlineLvl w:val="1"/>
        <w:rPr>
          <w:rStyle w:val="20"/>
          <w:rFonts w:ascii="黑体" w:eastAsia="黑体"/>
          <w:b w:val="0"/>
        </w:rPr>
      </w:pPr>
      <w:bookmarkStart w:id="52" w:name="_Toc351"/>
      <w:bookmarkStart w:id="53" w:name="_Toc15377219"/>
      <w:r>
        <w:rPr>
          <w:rStyle w:val="20"/>
          <w:rFonts w:hint="eastAsia" w:ascii="黑体" w:eastAsia="黑体"/>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1年国有资本经营预算拨款支出0万元。</w:t>
      </w:r>
    </w:p>
    <w:p>
      <w:pPr>
        <w:pStyle w:val="26"/>
        <w:numPr>
          <w:ilvl w:val="0"/>
          <w:numId w:val="5"/>
        </w:numPr>
        <w:spacing w:line="580" w:lineRule="exact"/>
        <w:ind w:firstLineChars="0"/>
        <w:rPr>
          <w:rStyle w:val="20"/>
          <w:rFonts w:ascii="黑体" w:eastAsia="黑体"/>
          <w:b w:val="0"/>
        </w:rPr>
      </w:pPr>
      <w:bookmarkStart w:id="54" w:name="_Toc16199"/>
      <w:r>
        <w:rPr>
          <w:rStyle w:val="20"/>
          <w:rFonts w:hint="eastAsia" w:ascii="黑体" w:eastAsia="黑体"/>
          <w:b w:val="0"/>
        </w:rPr>
        <w:t>预算绩效情况说明</w:t>
      </w:r>
    </w:p>
    <w:bookmarkEnd w:id="54"/>
    <w:p>
      <w:pPr>
        <w:numPr>
          <w:ilvl w:val="0"/>
          <w:numId w:val="6"/>
        </w:numPr>
        <w:spacing w:line="580" w:lineRule="exact"/>
        <w:ind w:left="0" w:firstLine="640" w:firstLineChars="200"/>
        <w:rPr>
          <w:rStyle w:val="20"/>
          <w:rFonts w:ascii="黑体" w:eastAsia="黑体"/>
          <w:b w:val="0"/>
        </w:rPr>
      </w:pPr>
      <w:bookmarkStart w:id="55" w:name="_Toc4523"/>
      <w:r>
        <w:rPr>
          <w:rStyle w:val="20"/>
          <w:rFonts w:hint="eastAsia" w:ascii="黑体" w:eastAsia="黑体"/>
          <w:b w:val="0"/>
        </w:rPr>
        <w:t>预算绩效管理工作开展情况。</w:t>
      </w:r>
    </w:p>
    <w:bookmarkEnd w:id="55"/>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rPr>
        <w:t>1年部门整体支出开展绩效自评，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。本单位还自行组织了5个项目绩效评价，从评价情况来看我单位年初预算项目基本按照绩效目标完成支付，有部分项目结转质保金在下年质保期后进行支付。</w:t>
      </w:r>
    </w:p>
    <w:p>
      <w:pPr>
        <w:autoSpaceDE w:val="0"/>
        <w:autoSpaceDN w:val="0"/>
        <w:adjustRightInd w:val="0"/>
        <w:jc w:val="left"/>
        <w:rPr>
          <w:rFonts w:ascii="宋体" w:cs="宋体"/>
          <w:color w:val="000000"/>
          <w:sz w:val="24"/>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w:t>
      </w:r>
      <w:r>
        <w:rPr>
          <w:rFonts w:hint="eastAsia" w:ascii="仿宋_GB2312" w:eastAsia="仿宋_GB2312" w:cs="仿宋_GB2312"/>
          <w:b/>
          <w:sz w:val="32"/>
          <w:szCs w:val="32"/>
        </w:rPr>
        <w:t>（二）、</w:t>
      </w:r>
      <w:r>
        <w:rPr>
          <w:rFonts w:hint="eastAsia" w:ascii="仿宋_GB2312" w:eastAsia="仿宋_GB2312" w:cs="仿宋_GB2312"/>
          <w:sz w:val="32"/>
          <w:szCs w:val="32"/>
        </w:rPr>
        <w:t>本部门在</w:t>
      </w:r>
      <w:r>
        <w:rPr>
          <w:rFonts w:ascii="仿宋_GB2312" w:eastAsia="仿宋_GB2312" w:cs="仿宋_GB2312"/>
          <w:sz w:val="32"/>
          <w:szCs w:val="32"/>
        </w:rPr>
        <w:t>202</w:t>
      </w:r>
      <w:r>
        <w:rPr>
          <w:rFonts w:hint="eastAsia" w:ascii="仿宋_GB2312" w:eastAsia="仿宋_GB2312" w:cs="仿宋_GB2312"/>
          <w:sz w:val="32"/>
          <w:szCs w:val="32"/>
        </w:rPr>
        <w:t>1年度部门决算中反映“对村民委员会和村党支部的补助</w:t>
      </w:r>
      <w:r>
        <w:rPr>
          <w:rFonts w:ascii="仿宋_GB2312" w:eastAsia="仿宋_GB2312" w:cs="仿宋_GB2312"/>
          <w:sz w:val="32"/>
          <w:szCs w:val="32"/>
        </w:rPr>
        <w:t>”</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1.“对村民委员会和村党支部的补助”运转类项目绩效目标完成情况综述。项目全年预算数</w:t>
      </w:r>
      <w:r>
        <w:rPr>
          <w:rFonts w:hint="eastAsia" w:ascii="仿宋_GB2312" w:eastAsia="仿宋_GB2312" w:cs="仿宋_GB2312"/>
          <w:sz w:val="32"/>
          <w:szCs w:val="32"/>
          <w:lang w:val="en-US" w:eastAsia="zh-CN"/>
        </w:rPr>
        <w:t>128.43</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128.43</w:t>
      </w:r>
      <w:r>
        <w:rPr>
          <w:rFonts w:hint="eastAsia" w:ascii="仿宋_GB2312" w:eastAsia="仿宋_GB2312" w:cs="仿宋_GB2312"/>
          <w:sz w:val="32"/>
          <w:szCs w:val="32"/>
        </w:rPr>
        <w:t>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6"/>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对村民委员会和村党支部的补助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金川县集沐乡人民政府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rPr>
              <w:t>保证</w:t>
            </w:r>
            <w:r>
              <w:rPr>
                <w:rFonts w:hint="eastAsia" w:ascii="宋体" w:cs="宋体"/>
                <w:color w:val="000000"/>
                <w:sz w:val="24"/>
                <w:lang w:val="en-US" w:eastAsia="zh-CN"/>
              </w:rPr>
              <w:t>集沐乡村级运行维护费和办公费有效实施，保证村干部民生</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完全实现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拨付对村民委员会和村党支部的补助</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128.43</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对村民委员会和村党支部的补助拨付到位及时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对村民委员会和村党支部的补助资金比例</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全乡职工满意度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numPr>
          <w:ilvl w:val="0"/>
          <w:numId w:val="7"/>
        </w:numPr>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人大会议费</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2万元，执行数为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2万元，完成预算的100%。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2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6"/>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 xml:space="preserve">  人大会议费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firstLine="1680" w:firstLineChars="700"/>
              <w:textAlignment w:val="center"/>
              <w:rPr>
                <w:rFonts w:hint="default" w:ascii="宋体" w:eastAsia="宋体" w:cs="宋体"/>
                <w:color w:val="000000"/>
                <w:sz w:val="24"/>
                <w:lang w:val="en-US" w:eastAsia="zh-CN"/>
              </w:rPr>
            </w:pPr>
            <w:r>
              <w:rPr>
                <w:rFonts w:hint="eastAsia" w:ascii="宋体" w:cs="宋体"/>
                <w:color w:val="000000"/>
                <w:sz w:val="24"/>
              </w:rPr>
              <w:t>金川县</w:t>
            </w:r>
            <w:r>
              <w:rPr>
                <w:rFonts w:hint="eastAsia" w:ascii="宋体" w:cs="宋体"/>
                <w:color w:val="000000"/>
                <w:sz w:val="24"/>
                <w:lang w:val="en-US" w:eastAsia="zh-CN"/>
              </w:rPr>
              <w:t>集沐乡人民政府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0.2</w:t>
            </w:r>
            <w:r>
              <w:rPr>
                <w:rFonts w:hint="eastAsia" w:ascii="宋体" w:cs="宋体"/>
                <w:color w:val="000000"/>
                <w:kern w:val="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解决我乡</w:t>
            </w:r>
            <w:r>
              <w:rPr>
                <w:rFonts w:hint="eastAsia" w:ascii="微软雅黑" w:eastAsia="微软雅黑" w:cs="微软雅黑"/>
                <w:kern w:val="0"/>
                <w:sz w:val="22"/>
                <w:szCs w:val="22"/>
                <w:lang w:val="en-US" w:eastAsia="zh-CN"/>
              </w:rPr>
              <w:t>人大会议费0.2万元</w:t>
            </w:r>
            <w:r>
              <w:rPr>
                <w:rFonts w:hint="eastAsia" w:ascii="微软雅黑" w:eastAsia="微软雅黑" w:cs="微软雅黑"/>
                <w:kern w:val="0"/>
                <w:sz w:val="22"/>
                <w:szCs w:val="22"/>
              </w:rPr>
              <w:t>。</w:t>
            </w:r>
          </w:p>
          <w:p>
            <w:pPr>
              <w:widowControl/>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ascii="Calibri" w:hAnsi="Calibri" w:eastAsia="Times New Roman"/>
                <w:kern w:val="0"/>
                <w:sz w:val="22"/>
                <w:szCs w:val="22"/>
              </w:rPr>
            </w:pPr>
            <w:r>
              <w:rPr>
                <w:rFonts w:hint="eastAsia" w:ascii="微软雅黑" w:eastAsia="微软雅黑" w:cs="微软雅黑"/>
                <w:kern w:val="0"/>
                <w:sz w:val="22"/>
                <w:szCs w:val="22"/>
              </w:rPr>
              <w:t>解决我乡</w:t>
            </w:r>
            <w:r>
              <w:rPr>
                <w:rFonts w:hint="eastAsia" w:ascii="微软雅黑" w:eastAsia="微软雅黑" w:cs="微软雅黑"/>
                <w:kern w:val="0"/>
                <w:sz w:val="22"/>
                <w:szCs w:val="22"/>
                <w:lang w:val="en-US" w:eastAsia="zh-CN"/>
              </w:rPr>
              <w:t>人大会议费0.2万元</w:t>
            </w:r>
            <w:r>
              <w:rPr>
                <w:rFonts w:hint="eastAsia" w:ascii="微软雅黑" w:eastAsia="微软雅黑" w:cs="微软雅黑"/>
                <w:kern w:val="0"/>
                <w:sz w:val="22"/>
                <w:szCs w:val="22"/>
              </w:rPr>
              <w:t>。</w:t>
            </w:r>
          </w:p>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utoSpaceDE w:val="0"/>
              <w:autoSpaceDN w:val="0"/>
              <w:adjustRightInd w:val="0"/>
              <w:jc w:val="left"/>
              <w:rPr>
                <w:rFonts w:hint="eastAsia" w:ascii="Calibri" w:hAnsi="Calibri" w:eastAsia="微软雅黑"/>
                <w:kern w:val="0"/>
                <w:sz w:val="22"/>
                <w:szCs w:val="22"/>
                <w:lang w:eastAsia="zh-CN"/>
              </w:rPr>
            </w:pPr>
            <w:r>
              <w:rPr>
                <w:rFonts w:hint="eastAsia" w:ascii="微软雅黑" w:eastAsia="微软雅黑" w:cs="微软雅黑"/>
                <w:kern w:val="0"/>
                <w:sz w:val="22"/>
                <w:szCs w:val="22"/>
              </w:rPr>
              <w:t>解决我乡解决我乡</w:t>
            </w:r>
            <w:r>
              <w:rPr>
                <w:rFonts w:hint="eastAsia" w:ascii="微软雅黑" w:eastAsia="微软雅黑" w:cs="微软雅黑"/>
                <w:kern w:val="0"/>
                <w:sz w:val="22"/>
                <w:szCs w:val="22"/>
                <w:lang w:val="en-US" w:eastAsia="zh-CN"/>
              </w:rPr>
              <w:t>人大会议费，</w:t>
            </w:r>
            <w:r>
              <w:rPr>
                <w:rFonts w:hint="eastAsia" w:ascii="微软雅黑" w:eastAsia="微软雅黑" w:cs="微软雅黑"/>
                <w:kern w:val="0"/>
                <w:sz w:val="22"/>
                <w:szCs w:val="22"/>
              </w:rPr>
              <w:t>用于打字复印等费用</w:t>
            </w:r>
            <w:r>
              <w:rPr>
                <w:rFonts w:hint="eastAsia" w:ascii="微软雅黑" w:eastAsia="微软雅黑" w:cs="微软雅黑"/>
                <w:kern w:val="0"/>
                <w:sz w:val="22"/>
                <w:szCs w:val="22"/>
                <w:lang w:eastAsia="zh-CN"/>
              </w:rPr>
              <w:t>。</w:t>
            </w:r>
          </w:p>
          <w:p>
            <w:pPr>
              <w:widowControl/>
              <w:jc w:val="center"/>
              <w:textAlignment w:val="center"/>
              <w:rPr>
                <w:rFonts w:ascii="宋体" w:cs="宋体"/>
                <w:color w:val="000000"/>
                <w:sz w:val="24"/>
              </w:rPr>
            </w:pP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微软雅黑" w:eastAsia="微软雅黑" w:cs="微软雅黑"/>
                <w:kern w:val="0"/>
                <w:sz w:val="22"/>
                <w:szCs w:val="22"/>
              </w:rPr>
              <w:t>打字复印费</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微软雅黑" w:eastAsia="微软雅黑" w:cs="微软雅黑"/>
                <w:kern w:val="0"/>
                <w:sz w:val="22"/>
                <w:szCs w:val="22"/>
              </w:rPr>
              <w:t>打字复印费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质量达标率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打字复印费</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0.</w:t>
            </w:r>
            <w:r>
              <w:rPr>
                <w:rFonts w:hint="eastAsia" w:ascii="宋体" w:cs="宋体"/>
                <w:color w:val="000000"/>
                <w:sz w:val="24"/>
              </w:rPr>
              <w:t>2万元</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0.</w:t>
            </w:r>
            <w:r>
              <w:rPr>
                <w:rFonts w:hint="eastAsia" w:ascii="宋体" w:cs="宋体"/>
                <w:color w:val="000000"/>
                <w:sz w:val="24"/>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职工满意度</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hint="eastAsia" w:ascii="宋体" w:cs="宋体"/>
                <w:color w:val="000000"/>
                <w:sz w:val="24"/>
              </w:rPr>
              <w:t>97%</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t>≥</w:t>
            </w:r>
            <w:r>
              <w:rPr>
                <w:rFonts w:hint="eastAsia" w:ascii="宋体" w:cs="宋体"/>
                <w:color w:val="000000"/>
                <w:sz w:val="24"/>
              </w:rPr>
              <w:t>97%</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rPr>
          <w:rFonts w:ascii="Calibri" w:hAnsi="Calibri" w:eastAsia="Times New Roman"/>
          <w:kern w:val="0"/>
          <w:sz w:val="22"/>
          <w:szCs w:val="22"/>
        </w:rPr>
      </w:pPr>
      <w:r>
        <w:rPr>
          <w:rFonts w:hint="eastAsia" w:ascii="仿宋_GB2312" w:eastAsia="仿宋_GB2312" w:cs="仿宋_GB2312"/>
          <w:sz w:val="32"/>
          <w:szCs w:val="32"/>
        </w:rPr>
        <w:t>3.“  三老干部生活补助”项目绩效目标完成情况综述。项目全年预算数</w:t>
      </w:r>
      <w:r>
        <w:rPr>
          <w:rFonts w:hint="eastAsia" w:ascii="仿宋_GB2312" w:eastAsia="仿宋_GB2312" w:cs="仿宋_GB2312"/>
          <w:sz w:val="32"/>
          <w:szCs w:val="32"/>
          <w:lang w:val="en-US" w:eastAsia="zh-CN"/>
        </w:rPr>
        <w:t>3.36</w:t>
      </w:r>
      <w:r>
        <w:rPr>
          <w:rFonts w:hint="eastAsia" w:ascii="仿宋_GB2312" w:eastAsia="仿宋_GB2312" w:cs="仿宋_GB2312"/>
          <w:sz w:val="32"/>
          <w:szCs w:val="32"/>
        </w:rPr>
        <w:t>万元，其中部门预算执行数为</w:t>
      </w:r>
      <w:r>
        <w:rPr>
          <w:rFonts w:hint="eastAsia" w:ascii="仿宋_GB2312" w:eastAsia="仿宋_GB2312" w:cs="仿宋_GB2312"/>
          <w:sz w:val="32"/>
          <w:szCs w:val="32"/>
          <w:lang w:val="en-US" w:eastAsia="zh-CN"/>
        </w:rPr>
        <w:t>3.36</w:t>
      </w:r>
      <w:r>
        <w:rPr>
          <w:rFonts w:hint="eastAsia" w:ascii="仿宋_GB2312" w:eastAsia="仿宋_GB2312" w:cs="仿宋_GB2312"/>
          <w:sz w:val="32"/>
          <w:szCs w:val="32"/>
        </w:rPr>
        <w:t>万元，完成预算的100%。</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 xml:space="preserve">  三老干部生活补助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val="en-US" w:eastAsia="zh-CN"/>
              </w:rPr>
              <w:t>集沐</w:t>
            </w:r>
            <w:r>
              <w:rPr>
                <w:rFonts w:hint="eastAsia" w:ascii="宋体" w:cs="宋体"/>
                <w:color w:val="000000"/>
                <w:sz w:val="24"/>
              </w:rPr>
              <w:t>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3.36</w:t>
            </w:r>
            <w:r>
              <w:rPr>
                <w:rFonts w:hint="eastAsia" w:ascii="宋体" w:cs="宋体"/>
                <w:color w:val="000000"/>
                <w:sz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保障三老干部民生</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保障三老干部民生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pPr>
            <w:r>
              <w:rPr>
                <w:rFonts w:hint="eastAsia" w:ascii="宋体" w:cs="宋体"/>
                <w:color w:val="000000"/>
                <w:sz w:val="24"/>
              </w:rPr>
              <w:t xml:space="preserve">              </w:t>
            </w:r>
            <w:r>
              <w:rPr>
                <w:rFonts w:hint="eastAsia" w:ascii="宋体" w:cs="宋体"/>
                <w:color w:val="000000"/>
                <w:sz w:val="24"/>
                <w:lang w:val="en-US" w:eastAsia="zh-CN"/>
              </w:rPr>
              <w:t>保障三老干部民生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3.36万元民生资金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保障三老干部民生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kern w:val="0"/>
                <w:sz w:val="24"/>
              </w:rPr>
              <w:t>项目</w:t>
            </w:r>
            <w:r>
              <w:rPr>
                <w:rFonts w:hint="eastAsia" w:ascii="宋体" w:cs="宋体"/>
                <w:color w:val="000000"/>
                <w:kern w:val="0"/>
                <w:sz w:val="24"/>
                <w:lang w:val="en-US" w:eastAsia="zh-CN"/>
              </w:rPr>
              <w:t>满意指标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rPr>
                <w:rFonts w:ascii="宋体" w:cs="宋体"/>
                <w:color w:val="000000"/>
                <w:sz w:val="24"/>
              </w:rPr>
            </w:pPr>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rPr>
                <w:rFonts w:ascii="宋体" w:cs="宋体"/>
                <w:color w:val="000000"/>
                <w:sz w:val="24"/>
              </w:rPr>
            </w:pPr>
            <w:r>
              <w:rPr>
                <w:rFonts w:hint="eastAsia" w:ascii="宋体" w:cs="宋体"/>
                <w:color w:val="000000"/>
                <w:sz w:val="24"/>
              </w:rPr>
              <w:t xml:space="preserve">              全乡职工满意度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满意</w:t>
            </w:r>
          </w:p>
        </w:tc>
      </w:tr>
    </w:tbl>
    <w:p>
      <w:pPr>
        <w:spacing w:line="600" w:lineRule="exact"/>
        <w:ind w:firstLine="640" w:firstLineChars="200"/>
        <w:outlineLvl w:val="1"/>
        <w:rPr>
          <w:rStyle w:val="20"/>
          <w:rFonts w:ascii="黑体" w:eastAsia="黑体"/>
        </w:rPr>
      </w:pPr>
      <w:bookmarkStart w:id="56" w:name="_Toc15377221"/>
      <w:bookmarkStart w:id="57" w:name="_Toc30171"/>
      <w:r>
        <w:rPr>
          <w:rFonts w:hint="eastAsia" w:ascii="黑体" w:eastAsia="黑体"/>
          <w:color w:val="000000"/>
          <w:sz w:val="32"/>
          <w:szCs w:val="32"/>
        </w:rPr>
        <w:t>十</w:t>
      </w:r>
      <w:r>
        <w:rPr>
          <w:rStyle w:val="20"/>
          <w:rFonts w:hint="eastAsia" w:ascii="黑体" w:eastAsia="黑体"/>
        </w:rPr>
        <w:t>一、</w:t>
      </w:r>
      <w:r>
        <w:rPr>
          <w:rStyle w:val="20"/>
          <w:rFonts w:hint="eastAsia" w:ascii="黑体" w:eastAsia="黑体"/>
          <w:b w:val="0"/>
        </w:rPr>
        <w:t>其他重要事项的情况说明</w:t>
      </w:r>
      <w:bookmarkEnd w:id="56"/>
      <w:bookmarkEnd w:id="57"/>
    </w:p>
    <w:p>
      <w:pPr>
        <w:spacing w:line="600" w:lineRule="exact"/>
        <w:ind w:firstLine="643" w:firstLineChars="200"/>
        <w:outlineLvl w:val="2"/>
        <w:rPr>
          <w:rFonts w:ascii="仿宋" w:eastAsia="仿宋"/>
          <w:color w:val="000000"/>
          <w:sz w:val="32"/>
          <w:szCs w:val="32"/>
        </w:rPr>
      </w:pPr>
      <w:bookmarkStart w:id="58" w:name="_Toc15377222"/>
      <w:r>
        <w:rPr>
          <w:rFonts w:hint="eastAsia" w:ascii="仿宋" w:eastAsia="仿宋"/>
          <w:b/>
          <w:color w:val="000000"/>
          <w:sz w:val="32"/>
          <w:szCs w:val="32"/>
        </w:rPr>
        <w:t>（一）机关运行经费支出情况</w:t>
      </w:r>
      <w:bookmarkEnd w:id="58"/>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val="en-US" w:eastAsia="zh-CN"/>
        </w:rPr>
        <w:t>集沐</w:t>
      </w:r>
      <w:r>
        <w:rPr>
          <w:rFonts w:hint="eastAsia" w:ascii="仿宋_GB2312" w:eastAsia="仿宋_GB2312"/>
          <w:color w:val="000000"/>
          <w:sz w:val="32"/>
          <w:szCs w:val="32"/>
        </w:rPr>
        <w:t>乡人民政府运行经费支出0万元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9" w:name="_Toc15377224"/>
      <w:r>
        <w:rPr>
          <w:rFonts w:hint="eastAsia" w:ascii="仿宋" w:eastAsia="仿宋"/>
          <w:b/>
          <w:color w:val="000000"/>
          <w:sz w:val="32"/>
          <w:szCs w:val="32"/>
        </w:rPr>
        <w:t>（二）国有资产占有使用情况</w:t>
      </w:r>
      <w:bookmarkEnd w:id="59"/>
    </w:p>
    <w:p>
      <w:pPr>
        <w:widowControl/>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辆，为日常工作及应急保障用车。</w:t>
      </w:r>
    </w:p>
    <w:p>
      <w:pPr>
        <w:widowControl/>
        <w:numPr>
          <w:ilvl w:val="0"/>
          <w:numId w:val="6"/>
        </w:numPr>
        <w:ind w:left="0"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政府采购支出情况   </w:t>
      </w:r>
    </w:p>
    <w:p>
      <w:pPr>
        <w:widowControl/>
        <w:tabs>
          <w:tab w:val="left" w:pos="0"/>
        </w:tabs>
        <w:ind w:left="420" w:leftChars="200" w:firstLine="320" w:firstLineChars="100"/>
        <w:jc w:val="left"/>
        <w:rPr>
          <w:rFonts w:ascii="仿宋_GB2312" w:eastAsia="仿宋_GB2312"/>
          <w:color w:val="000000"/>
          <w:sz w:val="32"/>
          <w:szCs w:val="32"/>
        </w:rPr>
      </w:pPr>
      <w:r>
        <w:rPr>
          <w:rFonts w:hint="eastAsia" w:ascii="仿宋_GB2312" w:eastAsia="仿宋_GB2312"/>
          <w:color w:val="000000"/>
          <w:sz w:val="32"/>
          <w:szCs w:val="32"/>
        </w:rPr>
        <w:t>无政府采购支出。</w:t>
      </w:r>
    </w:p>
    <w:p>
      <w:pPr>
        <w:widowControl/>
        <w:tabs>
          <w:tab w:val="left" w:pos="0"/>
        </w:tabs>
        <w:ind w:left="420" w:left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8"/>
        </w:numPr>
        <w:spacing w:line="600" w:lineRule="exact"/>
        <w:ind w:left="0" w:firstLine="663" w:firstLineChars="150"/>
        <w:jc w:val="center"/>
        <w:outlineLvl w:val="0"/>
        <w:rPr>
          <w:rStyle w:val="19"/>
          <w:rFonts w:ascii="黑体" w:eastAsia="黑体"/>
          <w:b w:val="0"/>
        </w:rPr>
      </w:pPr>
      <w:bookmarkStart w:id="60" w:name="_Toc15377225"/>
      <w:bookmarkStart w:id="61" w:name="_Toc30760"/>
      <w:r>
        <w:rPr>
          <w:rFonts w:hint="eastAsia" w:ascii="黑体" w:eastAsia="黑体"/>
          <w:b/>
          <w:color w:val="000000"/>
          <w:sz w:val="44"/>
          <w:szCs w:val="44"/>
        </w:rPr>
        <w:t>名</w:t>
      </w:r>
      <w:r>
        <w:rPr>
          <w:rStyle w:val="19"/>
          <w:rFonts w:hint="eastAsia" w:ascii="黑体" w:eastAsia="黑体"/>
          <w:b w:val="0"/>
        </w:rPr>
        <w:t>词解释</w:t>
      </w:r>
      <w:bookmarkEnd w:id="60"/>
      <w:bookmarkEnd w:id="61"/>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rPr>
          <w:rStyle w:val="19"/>
          <w:rFonts w:ascii="仿宋" w:eastAsia="仿宋"/>
          <w:b w:val="0"/>
          <w:bCs w:val="0"/>
          <w:sz w:val="32"/>
          <w:szCs w:val="32"/>
        </w:rPr>
      </w:pPr>
      <w:bookmarkStart w:id="62" w:name="_Toc15377226"/>
      <w:bookmarkStart w:id="63" w:name="_Toc15396614"/>
    </w:p>
    <w:p>
      <w:pPr>
        <w:pStyle w:val="4"/>
        <w:rPr>
          <w:rStyle w:val="19"/>
          <w:rFonts w:hint="eastAsia" w:ascii="仿宋" w:eastAsia="仿宋"/>
          <w:b w:val="0"/>
          <w:bCs w:val="0"/>
          <w:sz w:val="32"/>
          <w:szCs w:val="32"/>
        </w:rPr>
      </w:pPr>
    </w:p>
    <w:p>
      <w:pPr>
        <w:pStyle w:val="4"/>
        <w:rPr>
          <w:rStyle w:val="19"/>
          <w:rFonts w:hint="eastAsia" w:ascii="仿宋" w:eastAsia="仿宋"/>
          <w:b w:val="0"/>
          <w:bCs w:val="0"/>
          <w:sz w:val="32"/>
          <w:szCs w:val="32"/>
        </w:rPr>
      </w:pPr>
    </w:p>
    <w:p>
      <w:pPr>
        <w:rPr>
          <w:rStyle w:val="19"/>
          <w:rFonts w:hint="eastAsia" w:ascii="仿宋" w:eastAsia="仿宋"/>
          <w:b w:val="0"/>
          <w:bCs w:val="0"/>
          <w:sz w:val="32"/>
          <w:szCs w:val="32"/>
        </w:rPr>
      </w:pPr>
    </w:p>
    <w:p>
      <w:pPr>
        <w:pStyle w:val="2"/>
        <w:rPr>
          <w:rStyle w:val="19"/>
          <w:rFonts w:hint="eastAsia" w:ascii="仿宋" w:eastAsia="仿宋"/>
          <w:b w:val="0"/>
          <w:bCs w:val="0"/>
          <w:sz w:val="32"/>
          <w:szCs w:val="32"/>
        </w:rPr>
      </w:pPr>
    </w:p>
    <w:p>
      <w:pPr>
        <w:rPr>
          <w:rStyle w:val="19"/>
          <w:rFonts w:hint="eastAsia" w:ascii="仿宋" w:eastAsia="仿宋"/>
          <w:b w:val="0"/>
          <w:bCs w:val="0"/>
          <w:sz w:val="32"/>
          <w:szCs w:val="32"/>
        </w:rPr>
      </w:pPr>
    </w:p>
    <w:p>
      <w:pPr>
        <w:pStyle w:val="2"/>
        <w:rPr>
          <w:rStyle w:val="19"/>
          <w:rFonts w:hint="eastAsia" w:ascii="仿宋" w:eastAsia="仿宋"/>
          <w:b w:val="0"/>
          <w:bCs w:val="0"/>
          <w:sz w:val="32"/>
          <w:szCs w:val="32"/>
        </w:rPr>
      </w:pPr>
    </w:p>
    <w:p>
      <w:pPr>
        <w:rPr>
          <w:rStyle w:val="19"/>
          <w:rFonts w:hint="eastAsia" w:ascii="仿宋" w:eastAsia="仿宋"/>
          <w:b w:val="0"/>
          <w:bCs w:val="0"/>
          <w:sz w:val="32"/>
          <w:szCs w:val="32"/>
        </w:rPr>
      </w:pPr>
    </w:p>
    <w:p>
      <w:pPr>
        <w:pStyle w:val="2"/>
        <w:rPr>
          <w:rStyle w:val="19"/>
          <w:rFonts w:hint="eastAsia" w:ascii="仿宋" w:eastAsia="仿宋"/>
          <w:b w:val="0"/>
          <w:bCs w:val="0"/>
          <w:sz w:val="32"/>
          <w:szCs w:val="32"/>
        </w:rPr>
      </w:pPr>
    </w:p>
    <w:p>
      <w:pPr>
        <w:rPr>
          <w:rStyle w:val="19"/>
          <w:rFonts w:hint="eastAsia" w:ascii="仿宋" w:eastAsia="仿宋"/>
          <w:b w:val="0"/>
          <w:bCs w:val="0"/>
          <w:sz w:val="32"/>
          <w:szCs w:val="32"/>
        </w:rPr>
      </w:pPr>
    </w:p>
    <w:p>
      <w:pPr>
        <w:pStyle w:val="2"/>
        <w:rPr>
          <w:rFonts w:hint="eastAsia"/>
        </w:rPr>
      </w:pPr>
      <w:bookmarkStart w:id="78" w:name="_GoBack"/>
      <w:bookmarkEnd w:id="78"/>
    </w:p>
    <w:p>
      <w:pPr>
        <w:pStyle w:val="4"/>
        <w:rPr>
          <w:rFonts w:ascii="仿宋" w:eastAsia="仿宋"/>
          <w:b w:val="0"/>
          <w:bCs w:val="0"/>
          <w:kern w:val="44"/>
        </w:rPr>
      </w:pPr>
      <w:r>
        <w:rPr>
          <w:rStyle w:val="19"/>
          <w:rFonts w:hint="eastAsia" w:ascii="仿宋" w:eastAsia="仿宋"/>
          <w:b w:val="0"/>
          <w:bCs w:val="0"/>
          <w:sz w:val="32"/>
          <w:szCs w:val="32"/>
        </w:rPr>
        <w:t>附件1</w:t>
      </w:r>
    </w:p>
    <w:p>
      <w:pPr>
        <w:numPr>
          <w:ilvl w:val="0"/>
          <w:numId w:val="8"/>
        </w:numPr>
        <w:spacing w:line="600" w:lineRule="exact"/>
        <w:ind w:left="0" w:firstLine="660" w:firstLineChars="150"/>
        <w:jc w:val="center"/>
        <w:outlineLvl w:val="0"/>
        <w:rPr>
          <w:rStyle w:val="19"/>
          <w:rFonts w:ascii="黑体" w:eastAsia="黑体"/>
          <w:b w:val="0"/>
        </w:rPr>
      </w:pPr>
      <w:r>
        <w:rPr>
          <w:rStyle w:val="19"/>
          <w:rFonts w:hint="eastAsia" w:ascii="黑体" w:eastAsia="黑体"/>
          <w:b w:val="0"/>
        </w:rPr>
        <w:t>附件</w:t>
      </w:r>
    </w:p>
    <w:p>
      <w:pPr>
        <w:widowControl/>
        <w:spacing w:line="560" w:lineRule="atLeast"/>
        <w:jc w:val="center"/>
        <w:rPr>
          <w:rFonts w:ascii="宋体" w:eastAsia="宋体" w:cs="宋体"/>
          <w:b/>
          <w:sz w:val="44"/>
          <w:szCs w:val="44"/>
          <w:lang w:val="en-US" w:eastAsia="zh-CN"/>
        </w:rPr>
      </w:pPr>
      <w:r>
        <w:rPr>
          <w:rFonts w:hint="eastAsia" w:ascii="宋体" w:cs="宋体"/>
          <w:b/>
          <w:sz w:val="44"/>
          <w:szCs w:val="44"/>
          <w:lang w:val="en-US" w:eastAsia="zh-CN"/>
        </w:rPr>
        <w:t>金川县集沐乡人民政府</w:t>
      </w:r>
    </w:p>
    <w:p>
      <w:pPr>
        <w:widowControl/>
        <w:spacing w:line="560" w:lineRule="atLeast"/>
        <w:jc w:val="center"/>
        <w:rPr>
          <w:rFonts w:ascii="仿宋_GB2312" w:hAnsi="仿宋_GB2312"/>
          <w:color w:val="000000"/>
          <w:kern w:val="0"/>
          <w:shd w:val="clear" w:color="auto" w:fill="FFFFFF"/>
        </w:rPr>
      </w:pPr>
      <w:r>
        <w:rPr>
          <w:rFonts w:hint="eastAsia" w:ascii="宋体" w:cs="宋体"/>
          <w:b/>
          <w:sz w:val="44"/>
          <w:szCs w:val="44"/>
        </w:rPr>
        <w:t>2021年部门整体支出绩效评价报告</w:t>
      </w:r>
    </w:p>
    <w:p>
      <w:pPr>
        <w:widowControl/>
        <w:adjustRightInd w:val="0"/>
        <w:snapToGrid w:val="0"/>
        <w:spacing w:line="540" w:lineRule="exact"/>
        <w:ind w:firstLine="480" w:firstLineChars="150"/>
        <w:jc w:val="left"/>
        <w:rPr>
          <w:rFonts w:ascii="黑体" w:eastAsia="黑体" w:cs="宋体"/>
          <w:color w:val="000000"/>
          <w:kern w:val="0"/>
          <w:lang w:val="zh-CN"/>
        </w:rPr>
      </w:pPr>
      <w:r>
        <w:rPr>
          <w:rFonts w:hint="eastAsia" w:ascii="黑体" w:eastAsia="黑体" w:cs="宋体"/>
          <w:color w:val="000000"/>
          <w:kern w:val="0"/>
          <w:sz w:val="32"/>
        </w:rPr>
        <w:t>一、</w:t>
      </w:r>
      <w:r>
        <w:rPr>
          <w:rFonts w:hint="eastAsia" w:ascii="黑体" w:eastAsia="黑体" w:cs="宋体"/>
          <w:color w:val="000000"/>
          <w:kern w:val="0"/>
          <w:sz w:val="32"/>
          <w:lang w:val="zh-CN"/>
        </w:rPr>
        <w:t>部门（单位）概况</w:t>
      </w:r>
    </w:p>
    <w:p>
      <w:pPr>
        <w:ind w:firstLine="480" w:firstLineChars="150"/>
        <w:rPr>
          <w:rFonts w:ascii="仿宋" w:eastAsia="仿宋" w:cs="宋体"/>
          <w:color w:val="000000"/>
          <w:sz w:val="32"/>
          <w:szCs w:val="32"/>
        </w:rPr>
      </w:pPr>
      <w:r>
        <w:rPr>
          <w:rFonts w:hint="eastAsia" w:ascii="仿宋" w:eastAsia="仿宋" w:cs="宋体"/>
          <w:color w:val="000000"/>
          <w:sz w:val="32"/>
          <w:szCs w:val="32"/>
        </w:rPr>
        <w:t>1、主要职能</w:t>
      </w:r>
    </w:p>
    <w:p>
      <w:pPr>
        <w:snapToGrid w:val="0"/>
        <w:spacing w:line="360" w:lineRule="auto"/>
        <w:ind w:firstLine="640" w:firstLineChars="200"/>
        <w:outlineLvl w:val="1"/>
        <w:rPr>
          <w:rFonts w:ascii="仿宋_GB2312" w:eastAsia="仿宋_GB2312" w:cs="仿宋_GB2312"/>
          <w:sz w:val="32"/>
          <w:szCs w:val="32"/>
        </w:rPr>
      </w:pPr>
      <w:r>
        <w:rPr>
          <w:rFonts w:hint="eastAsia" w:ascii="仿宋_GB2312"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hint="eastAsia" w:ascii="仿宋_GB2312" w:eastAsia="仿宋_GB2312" w:cs="仿宋_GB2312"/>
          <w:sz w:val="32"/>
          <w:szCs w:val="32"/>
          <w:lang w:eastAsia="zh-CN"/>
        </w:rPr>
        <w:t>集沐</w:t>
      </w:r>
      <w:r>
        <w:rPr>
          <w:rFonts w:hint="eastAsia" w:ascii="仿宋_GB2312" w:eastAsia="仿宋_GB2312" w:cs="仿宋_GB2312"/>
          <w:sz w:val="32"/>
          <w:szCs w:val="32"/>
        </w:rPr>
        <w:t>发展的新局面。</w:t>
      </w:r>
    </w:p>
    <w:p>
      <w:pPr>
        <w:ind w:firstLine="480" w:firstLineChars="150"/>
        <w:rPr>
          <w:rFonts w:ascii="仿宋" w:eastAsia="仿宋" w:cs="宋体"/>
          <w:color w:val="000000"/>
          <w:sz w:val="32"/>
          <w:szCs w:val="32"/>
        </w:rPr>
      </w:pPr>
      <w:r>
        <w:rPr>
          <w:rFonts w:hint="eastAsia" w:ascii="仿宋" w:eastAsia="仿宋" w:cs="宋体"/>
          <w:color w:val="000000"/>
          <w:sz w:val="32"/>
          <w:szCs w:val="32"/>
        </w:rPr>
        <w:t>2.机构情况</w:t>
      </w:r>
    </w:p>
    <w:p>
      <w:pPr>
        <w:ind w:firstLine="480" w:firstLineChars="150"/>
        <w:rPr>
          <w:rFonts w:hint="eastAsia" w:ascii="仿宋_GB2312" w:eastAsia="仿宋_GB2312" w:cs="仿宋_GB2312"/>
          <w:bCs/>
          <w:sz w:val="32"/>
        </w:rPr>
      </w:pPr>
      <w:r>
        <w:rPr>
          <w:rFonts w:hint="eastAsia" w:ascii="仿宋" w:eastAsia="仿宋" w:cs="宋体"/>
          <w:color w:val="000000"/>
          <w:sz w:val="32"/>
          <w:szCs w:val="32"/>
        </w:rPr>
        <w:t xml:space="preserve"> </w:t>
      </w:r>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rPr>
        <w:t>1年有2个机构，较上年无变动。</w:t>
      </w:r>
    </w:p>
    <w:p>
      <w:pPr>
        <w:ind w:firstLine="480" w:firstLineChars="150"/>
        <w:rPr>
          <w:rFonts w:ascii="仿宋" w:eastAsia="仿宋" w:cs="宋体"/>
          <w:color w:val="000000"/>
          <w:sz w:val="32"/>
          <w:szCs w:val="32"/>
        </w:rPr>
      </w:pPr>
      <w:r>
        <w:rPr>
          <w:rFonts w:hint="eastAsia" w:ascii="仿宋" w:eastAsia="仿宋" w:cs="宋体"/>
          <w:color w:val="000000"/>
          <w:sz w:val="32"/>
          <w:szCs w:val="32"/>
        </w:rPr>
        <w:t>3.人员情况</w:t>
      </w:r>
    </w:p>
    <w:p>
      <w:pPr>
        <w:snapToGrid w:val="0"/>
        <w:spacing w:line="560" w:lineRule="exact"/>
        <w:ind w:firstLine="640" w:firstLineChars="200"/>
        <w:rPr>
          <w:rFonts w:ascii="仿宋_GB2312" w:eastAsia="仿宋_GB2312" w:cs="仿宋_GB2312"/>
          <w:bCs/>
          <w:sz w:val="32"/>
        </w:rPr>
      </w:pPr>
      <w:r>
        <w:rPr>
          <w:rFonts w:hint="eastAsia" w:ascii="仿宋" w:eastAsia="仿宋" w:cs="宋体"/>
          <w:color w:val="000000"/>
          <w:sz w:val="32"/>
          <w:szCs w:val="32"/>
        </w:rPr>
        <w:t xml:space="preserve"> </w:t>
      </w:r>
      <w:r>
        <w:rPr>
          <w:rFonts w:hint="eastAsia" w:ascii="仿宋_GB2312" w:eastAsia="仿宋_GB2312" w:cs="仿宋_GB2312"/>
          <w:bCs/>
          <w:sz w:val="32"/>
          <w:lang w:val="en-US" w:eastAsia="zh-CN"/>
        </w:rPr>
        <w:t>单位编制数31人，其中：公务员编制17人、行政工勤编制2人、事业编制12人；</w:t>
      </w:r>
      <w:r>
        <w:rPr>
          <w:rFonts w:hint="eastAsia" w:ascii="仿宋_GB2312" w:eastAsia="仿宋_GB2312" w:cs="仿宋_GB2312"/>
          <w:bCs/>
          <w:sz w:val="32"/>
        </w:rPr>
        <w:t>我乡本年度年末实有人数为27人（行政人员15，机关工勤</w:t>
      </w:r>
      <w:r>
        <w:rPr>
          <w:rFonts w:hint="eastAsia" w:ascii="仿宋_GB2312" w:eastAsia="仿宋_GB2312" w:cs="仿宋_GB2312"/>
          <w:bCs/>
          <w:sz w:val="32"/>
          <w:lang w:val="en-US" w:eastAsia="zh-CN"/>
        </w:rPr>
        <w:t>1</w:t>
      </w:r>
      <w:r>
        <w:rPr>
          <w:rFonts w:hint="eastAsia" w:ascii="仿宋_GB2312" w:eastAsia="仿宋_GB2312" w:cs="仿宋_GB2312"/>
          <w:bCs/>
          <w:sz w:val="32"/>
        </w:rPr>
        <w:t>人，事业人员1</w:t>
      </w:r>
      <w:r>
        <w:rPr>
          <w:rFonts w:hint="eastAsia" w:ascii="仿宋_GB2312" w:eastAsia="仿宋_GB2312" w:cs="仿宋_GB2312"/>
          <w:bCs/>
          <w:sz w:val="32"/>
          <w:lang w:val="en-US" w:eastAsia="zh-CN"/>
        </w:rPr>
        <w:t>1</w:t>
      </w:r>
      <w:r>
        <w:rPr>
          <w:rFonts w:hint="eastAsia" w:ascii="仿宋_GB2312" w:eastAsia="仿宋_GB2312" w:cs="仿宋_GB2312"/>
          <w:bCs/>
          <w:sz w:val="32"/>
        </w:rPr>
        <w:t>人）</w:t>
      </w:r>
      <w:r>
        <w:rPr>
          <w:rFonts w:hint="eastAsia" w:ascii="仿宋_GB2312" w:eastAsia="仿宋_GB2312" w:cs="仿宋_GB2312"/>
          <w:bCs/>
          <w:sz w:val="32"/>
          <w:lang w:eastAsia="zh-CN"/>
        </w:rPr>
        <w:t>。</w:t>
      </w:r>
    </w:p>
    <w:p>
      <w:pPr>
        <w:ind w:firstLine="480" w:firstLineChars="150"/>
        <w:rPr>
          <w:rFonts w:ascii="仿宋" w:eastAsia="仿宋" w:cs="宋体"/>
          <w:color w:val="000000"/>
          <w:sz w:val="32"/>
          <w:szCs w:val="32"/>
        </w:rPr>
      </w:pPr>
    </w:p>
    <w:p>
      <w:pPr>
        <w:widowControl/>
        <w:adjustRightInd w:val="0"/>
        <w:snapToGrid w:val="0"/>
        <w:spacing w:line="540" w:lineRule="exact"/>
        <w:ind w:firstLine="480" w:firstLineChars="150"/>
        <w:jc w:val="left"/>
        <w:rPr>
          <w:rFonts w:ascii="黑体" w:eastAsia="黑体" w:cs="宋体"/>
          <w:color w:val="000000"/>
          <w:kern w:val="0"/>
          <w:sz w:val="32"/>
        </w:rPr>
      </w:pPr>
      <w:r>
        <w:rPr>
          <w:rFonts w:hint="eastAsia" w:ascii="黑体" w:eastAsia="黑体" w:cs="宋体"/>
          <w:color w:val="000000"/>
          <w:kern w:val="0"/>
          <w:sz w:val="32"/>
        </w:rPr>
        <w:t>二、部门财政资金收支情况</w:t>
      </w:r>
    </w:p>
    <w:p>
      <w:pPr>
        <w:spacing w:line="54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（一）收入支出预算安排情况</w:t>
      </w:r>
    </w:p>
    <w:p>
      <w:pPr>
        <w:ind w:firstLine="480" w:firstLineChars="150"/>
        <w:rPr>
          <w:rFonts w:ascii="仿宋" w:eastAsia="仿宋" w:cs="宋体"/>
          <w:color w:val="000000"/>
          <w:sz w:val="32"/>
          <w:szCs w:val="32"/>
        </w:rPr>
      </w:pPr>
      <w:r>
        <w:rPr>
          <w:rFonts w:hint="eastAsia" w:ascii="仿宋" w:eastAsia="仿宋" w:cs="宋体"/>
          <w:color w:val="000000"/>
          <w:sz w:val="32"/>
          <w:szCs w:val="32"/>
        </w:rPr>
        <w:t>2021年财政拨款年初预算收入</w:t>
      </w:r>
      <w:r>
        <w:rPr>
          <w:rFonts w:hint="eastAsia" w:ascii="仿宋" w:eastAsia="仿宋" w:cs="宋体"/>
          <w:color w:val="000000"/>
          <w:sz w:val="32"/>
          <w:szCs w:val="32"/>
          <w:lang w:val="en-US" w:eastAsia="zh-CN"/>
        </w:rPr>
        <w:t>521.73</w:t>
      </w:r>
      <w:r>
        <w:rPr>
          <w:rFonts w:hint="eastAsia" w:ascii="仿宋" w:eastAsia="仿宋" w:cs="宋体"/>
          <w:color w:val="000000"/>
          <w:sz w:val="32"/>
          <w:szCs w:val="32"/>
        </w:rPr>
        <w:t>万元，财政拨款收入</w:t>
      </w:r>
      <w:r>
        <w:rPr>
          <w:rFonts w:hint="eastAsia" w:ascii="仿宋" w:eastAsia="仿宋" w:cs="宋体"/>
          <w:color w:val="000000"/>
          <w:sz w:val="32"/>
          <w:szCs w:val="32"/>
          <w:lang w:val="en-US" w:eastAsia="zh-CN"/>
        </w:rPr>
        <w:t>705.86</w:t>
      </w:r>
      <w:r>
        <w:rPr>
          <w:rFonts w:hint="eastAsia" w:ascii="仿宋" w:eastAsia="仿宋" w:cs="宋体"/>
          <w:color w:val="000000"/>
          <w:sz w:val="32"/>
          <w:szCs w:val="32"/>
        </w:rPr>
        <w:t>万元；2021年财政拨款支出</w:t>
      </w:r>
      <w:r>
        <w:rPr>
          <w:rFonts w:hint="eastAsia" w:ascii="仿宋" w:eastAsia="仿宋" w:cs="宋体"/>
          <w:color w:val="000000"/>
          <w:sz w:val="32"/>
          <w:szCs w:val="32"/>
          <w:lang w:val="en-US" w:eastAsia="zh-CN"/>
        </w:rPr>
        <w:t>705.86</w:t>
      </w:r>
      <w:r>
        <w:rPr>
          <w:rFonts w:hint="eastAsia" w:ascii="仿宋" w:eastAsia="仿宋" w:cs="宋体"/>
          <w:color w:val="000000"/>
          <w:sz w:val="32"/>
          <w:szCs w:val="32"/>
        </w:rPr>
        <w:t>万元，其中：</w:t>
      </w:r>
      <w:r>
        <w:rPr>
          <w:rFonts w:hint="eastAsia" w:ascii="仿宋" w:eastAsia="仿宋"/>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占比77.15%</w:t>
      </w:r>
      <w:r>
        <w:rPr>
          <w:rFonts w:hint="eastAsia" w:ascii="仿宋" w:eastAsia="仿宋"/>
          <w:color w:val="000000"/>
          <w:sz w:val="32"/>
          <w:szCs w:val="32"/>
        </w:rPr>
        <w:t>；</w:t>
      </w:r>
      <w:r>
        <w:rPr>
          <w:rFonts w:hint="eastAsia" w:ascii="仿宋_GB2312" w:eastAsia="仿宋_GB2312"/>
          <w:color w:val="000000"/>
          <w:sz w:val="32"/>
          <w:szCs w:val="32"/>
        </w:rPr>
        <w:t>公用经费支出为</w:t>
      </w:r>
      <w:r>
        <w:rPr>
          <w:rFonts w:hint="eastAsia" w:ascii="仿宋_GB2312" w:eastAsia="仿宋_GB2312"/>
          <w:color w:val="000000"/>
          <w:sz w:val="32"/>
          <w:szCs w:val="32"/>
          <w:lang w:val="en-US" w:eastAsia="zh-CN"/>
        </w:rPr>
        <w:t>29.33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占比4.16%，</w:t>
      </w:r>
      <w:r>
        <w:rPr>
          <w:rFonts w:hint="eastAsia" w:ascii="仿宋" w:eastAsia="仿宋"/>
          <w:color w:val="000000"/>
          <w:sz w:val="32"/>
          <w:szCs w:val="32"/>
        </w:rPr>
        <w:t>项目支出</w:t>
      </w:r>
      <w:r>
        <w:rPr>
          <w:rFonts w:hint="eastAsia" w:ascii="仿宋" w:eastAsia="仿宋"/>
          <w:color w:val="000000"/>
          <w:sz w:val="32"/>
          <w:szCs w:val="32"/>
          <w:lang w:val="en-US" w:eastAsia="zh-CN"/>
        </w:rPr>
        <w:t>131.99</w:t>
      </w:r>
      <w:r>
        <w:rPr>
          <w:rFonts w:hint="eastAsia"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lang w:val="en-US" w:eastAsia="zh-CN"/>
        </w:rPr>
        <w:t>占比18.69%</w:t>
      </w:r>
      <w:r>
        <w:rPr>
          <w:rFonts w:hint="eastAsia" w:ascii="仿宋" w:eastAsia="仿宋"/>
          <w:color w:val="000000"/>
          <w:sz w:val="32"/>
          <w:szCs w:val="32"/>
        </w:rPr>
        <w:t>。</w:t>
      </w:r>
    </w:p>
    <w:p>
      <w:pPr>
        <w:snapToGrid w:val="0"/>
        <w:spacing w:line="520" w:lineRule="exact"/>
        <w:ind w:firstLine="640" w:firstLineChars="200"/>
        <w:rPr>
          <w:rFonts w:ascii="仿宋" w:eastAsia="仿宋" w:cs="仿宋_GB2312"/>
          <w:bCs/>
          <w:sz w:val="32"/>
          <w:szCs w:val="32"/>
        </w:rPr>
      </w:pPr>
      <w:r>
        <w:rPr>
          <w:rFonts w:hint="eastAsia" w:ascii="仿宋" w:eastAsia="仿宋" w:cs="仿宋_GB2312"/>
          <w:color w:val="000000"/>
          <w:sz w:val="32"/>
          <w:szCs w:val="32"/>
          <w:lang w:val="zh-CN"/>
        </w:rPr>
        <w:t>（二）</w:t>
      </w:r>
      <w:r>
        <w:rPr>
          <w:rFonts w:hint="eastAsia" w:ascii="仿宋" w:eastAsia="仿宋" w:cs="仿宋_GB2312"/>
          <w:bCs/>
          <w:sz w:val="32"/>
          <w:szCs w:val="32"/>
        </w:rPr>
        <w:t>2021年一般公共预算财政拨款支出</w:t>
      </w:r>
      <w:r>
        <w:rPr>
          <w:rFonts w:hint="eastAsia" w:ascii="仿宋" w:eastAsia="仿宋" w:cs="仿宋_GB2312"/>
          <w:color w:val="000000"/>
          <w:sz w:val="32"/>
          <w:szCs w:val="32"/>
          <w:lang w:val="en-US" w:eastAsia="zh-CN"/>
        </w:rPr>
        <w:t>705.86</w:t>
      </w:r>
      <w:r>
        <w:rPr>
          <w:rFonts w:hint="eastAsia" w:ascii="仿宋" w:eastAsia="仿宋" w:cs="仿宋_GB2312"/>
          <w:bCs/>
          <w:sz w:val="32"/>
          <w:szCs w:val="32"/>
        </w:rPr>
        <w:t>万元，主要用于以下方面:一般公共服务支出</w:t>
      </w:r>
      <w:r>
        <w:rPr>
          <w:rFonts w:hint="eastAsia" w:ascii="仿宋" w:eastAsia="仿宋" w:cs="仿宋_GB2312"/>
          <w:bCs/>
          <w:sz w:val="32"/>
          <w:szCs w:val="32"/>
          <w:lang w:val="en-US" w:eastAsia="zh-CN"/>
        </w:rPr>
        <w:t>355.01</w:t>
      </w:r>
      <w:r>
        <w:rPr>
          <w:rFonts w:hint="eastAsia" w:ascii="仿宋" w:eastAsia="仿宋" w:cs="仿宋_GB2312"/>
          <w:bCs/>
          <w:sz w:val="32"/>
          <w:szCs w:val="32"/>
        </w:rPr>
        <w:t>万元，占</w:t>
      </w:r>
      <w:r>
        <w:rPr>
          <w:rFonts w:hint="eastAsia" w:ascii="仿宋" w:eastAsia="仿宋" w:cs="仿宋_GB2312"/>
          <w:bCs/>
          <w:sz w:val="32"/>
          <w:szCs w:val="32"/>
          <w:lang w:val="en-US" w:eastAsia="zh-CN"/>
        </w:rPr>
        <w:t>50.29</w:t>
      </w:r>
      <w:r>
        <w:rPr>
          <w:rFonts w:hint="eastAsia" w:ascii="仿宋" w:eastAsia="仿宋" w:cs="仿宋_GB2312"/>
          <w:bCs/>
          <w:sz w:val="32"/>
          <w:szCs w:val="32"/>
        </w:rPr>
        <w:t>%；社会保障和就业支出</w:t>
      </w:r>
      <w:r>
        <w:rPr>
          <w:rFonts w:hint="eastAsia" w:ascii="仿宋" w:eastAsia="仿宋" w:cs="仿宋_GB2312"/>
          <w:bCs/>
          <w:sz w:val="32"/>
          <w:szCs w:val="32"/>
          <w:lang w:val="en-US" w:eastAsia="zh-CN"/>
        </w:rPr>
        <w:t>53.95</w:t>
      </w:r>
      <w:r>
        <w:rPr>
          <w:rFonts w:hint="eastAsia" w:ascii="仿宋" w:eastAsia="仿宋" w:cs="仿宋_GB2312"/>
          <w:bCs/>
          <w:sz w:val="32"/>
          <w:szCs w:val="32"/>
        </w:rPr>
        <w:t>万元，占</w:t>
      </w:r>
      <w:r>
        <w:rPr>
          <w:rFonts w:hint="eastAsia" w:ascii="仿宋" w:eastAsia="仿宋" w:cs="仿宋_GB2312"/>
          <w:bCs/>
          <w:sz w:val="32"/>
          <w:szCs w:val="32"/>
          <w:lang w:val="en-US" w:eastAsia="zh-CN"/>
        </w:rPr>
        <w:t>7.64</w:t>
      </w:r>
      <w:r>
        <w:rPr>
          <w:rFonts w:hint="eastAsia" w:ascii="仿宋" w:eastAsia="仿宋" w:cs="仿宋_GB2312"/>
          <w:bCs/>
          <w:sz w:val="32"/>
          <w:szCs w:val="32"/>
        </w:rPr>
        <w:t>%；卫生健康支出</w:t>
      </w:r>
      <w:r>
        <w:rPr>
          <w:rFonts w:hint="eastAsia" w:ascii="仿宋" w:eastAsia="仿宋" w:cs="仿宋_GB2312"/>
          <w:bCs/>
          <w:sz w:val="32"/>
          <w:szCs w:val="32"/>
          <w:lang w:val="en-US" w:eastAsia="zh-CN"/>
        </w:rPr>
        <w:t>25</w:t>
      </w:r>
      <w:r>
        <w:rPr>
          <w:rFonts w:hint="eastAsia" w:ascii="仿宋" w:eastAsia="仿宋" w:cs="仿宋_GB2312"/>
          <w:bCs/>
          <w:sz w:val="32"/>
          <w:szCs w:val="32"/>
        </w:rPr>
        <w:t>万元，占3.</w:t>
      </w:r>
      <w:r>
        <w:rPr>
          <w:rFonts w:hint="eastAsia" w:ascii="仿宋" w:eastAsia="仿宋" w:cs="仿宋_GB2312"/>
          <w:bCs/>
          <w:sz w:val="32"/>
          <w:szCs w:val="32"/>
          <w:lang w:val="en-US" w:eastAsia="zh-CN"/>
        </w:rPr>
        <w:t>54</w:t>
      </w:r>
      <w:r>
        <w:rPr>
          <w:rFonts w:hint="eastAsia" w:ascii="仿宋" w:eastAsia="仿宋" w:cs="仿宋_GB2312"/>
          <w:bCs/>
          <w:sz w:val="32"/>
          <w:szCs w:val="32"/>
        </w:rPr>
        <w:t>%；住房保障支出</w:t>
      </w:r>
      <w:r>
        <w:rPr>
          <w:rFonts w:hint="eastAsia" w:ascii="仿宋" w:eastAsia="仿宋" w:cs="仿宋_GB2312"/>
          <w:bCs/>
          <w:sz w:val="32"/>
          <w:szCs w:val="32"/>
          <w:lang w:val="en-US" w:eastAsia="zh-CN"/>
        </w:rPr>
        <w:t>39.96</w:t>
      </w:r>
      <w:r>
        <w:rPr>
          <w:rFonts w:hint="eastAsia" w:ascii="仿宋" w:eastAsia="仿宋" w:cs="仿宋_GB2312"/>
          <w:bCs/>
          <w:sz w:val="32"/>
          <w:szCs w:val="32"/>
        </w:rPr>
        <w:t>万元，占</w:t>
      </w:r>
      <w:r>
        <w:rPr>
          <w:rFonts w:hint="eastAsia" w:ascii="仿宋" w:eastAsia="仿宋" w:cs="仿宋_GB2312"/>
          <w:bCs/>
          <w:sz w:val="32"/>
          <w:szCs w:val="32"/>
          <w:lang w:val="en-US" w:eastAsia="zh-CN"/>
        </w:rPr>
        <w:t>5.68</w:t>
      </w:r>
      <w:r>
        <w:rPr>
          <w:rFonts w:hint="eastAsia" w:ascii="仿宋" w:eastAsia="仿宋" w:cs="仿宋_GB2312"/>
          <w:bCs/>
          <w:sz w:val="32"/>
          <w:szCs w:val="32"/>
        </w:rPr>
        <w:t>%</w:t>
      </w:r>
      <w:r>
        <w:rPr>
          <w:rFonts w:hint="eastAsia" w:ascii="仿宋" w:eastAsia="仿宋" w:cs="仿宋_GB2312"/>
          <w:bCs/>
          <w:sz w:val="32"/>
          <w:szCs w:val="32"/>
          <w:lang w:eastAsia="zh-CN"/>
        </w:rPr>
        <w:t>，农林水支出</w:t>
      </w:r>
      <w:r>
        <w:rPr>
          <w:rFonts w:hint="eastAsia" w:ascii="仿宋" w:eastAsia="仿宋" w:cs="仿宋_GB2312"/>
          <w:bCs/>
          <w:sz w:val="32"/>
          <w:szCs w:val="32"/>
          <w:lang w:val="en-US" w:eastAsia="zh-CN"/>
        </w:rPr>
        <w:t>228.57万元，占比32.38%；其他支出3.36万元，占比0.47%</w:t>
      </w:r>
      <w:r>
        <w:rPr>
          <w:rFonts w:hint="eastAsia" w:ascii="仿宋" w:eastAsia="仿宋" w:cs="仿宋_GB2312"/>
          <w:bCs/>
          <w:sz w:val="32"/>
          <w:szCs w:val="32"/>
        </w:rPr>
        <w:t>。</w:t>
      </w:r>
    </w:p>
    <w:p>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544.54</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94.7</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127.04</w:t>
      </w:r>
      <w:r>
        <w:rPr>
          <w:rFonts w:hint="eastAsia" w:ascii="仿宋_GB2312" w:eastAsia="仿宋_GB2312"/>
          <w:color w:val="000000"/>
          <w:sz w:val="32"/>
          <w:szCs w:val="32"/>
        </w:rPr>
        <w:t>万元、奖金7.</w:t>
      </w:r>
      <w:r>
        <w:rPr>
          <w:rFonts w:hint="eastAsia" w:ascii="仿宋_GB2312" w:eastAsia="仿宋_GB2312"/>
          <w:color w:val="000000"/>
          <w:sz w:val="32"/>
          <w:szCs w:val="32"/>
          <w:lang w:val="en-US" w:eastAsia="zh-CN"/>
        </w:rPr>
        <w:t>87</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34.4</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35.95</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3.51</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39.96</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6.02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奖励金</w:t>
      </w:r>
      <w:r>
        <w:rPr>
          <w:rFonts w:hint="eastAsia" w:ascii="仿宋_GB2312" w:eastAsia="仿宋_GB2312"/>
          <w:color w:val="000000"/>
          <w:sz w:val="32"/>
          <w:szCs w:val="32"/>
          <w:lang w:val="en-US" w:eastAsia="zh-CN"/>
        </w:rPr>
        <w:t>101.82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抚恤金47.67万元、生活补助8.6万元</w:t>
      </w:r>
      <w:r>
        <w:rPr>
          <w:rFonts w:hint="eastAsia" w:ascii="仿宋_GB2312" w:eastAsia="仿宋_GB2312"/>
          <w:color w:val="000000"/>
          <w:sz w:val="32"/>
          <w:szCs w:val="32"/>
        </w:rPr>
        <w:t>。</w:t>
      </w:r>
    </w:p>
    <w:p>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公用经费支出为</w:t>
      </w:r>
      <w:r>
        <w:rPr>
          <w:rFonts w:hint="eastAsia" w:ascii="仿宋_GB2312" w:eastAsia="仿宋_GB2312"/>
          <w:color w:val="000000"/>
          <w:sz w:val="32"/>
          <w:szCs w:val="32"/>
          <w:lang w:val="en-US" w:eastAsia="zh-CN"/>
        </w:rPr>
        <w:t>29.33</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9.1</w:t>
      </w:r>
      <w:r>
        <w:rPr>
          <w:rFonts w:hint="eastAsia" w:ascii="仿宋_GB2312" w:eastAsia="仿宋_GB2312"/>
          <w:color w:val="000000"/>
          <w:sz w:val="32"/>
          <w:szCs w:val="32"/>
        </w:rPr>
        <w:t>万元、印刷费3</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万元、手续费</w:t>
      </w:r>
      <w:r>
        <w:rPr>
          <w:rFonts w:hint="eastAsia" w:ascii="仿宋_GB2312" w:eastAsia="仿宋_GB2312"/>
          <w:color w:val="000000"/>
          <w:sz w:val="32"/>
          <w:szCs w:val="32"/>
          <w:lang w:val="en-US" w:eastAsia="zh-CN"/>
        </w:rPr>
        <w:t>0.01</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万元、邮电费2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3.74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取暖费0万元、</w:t>
      </w:r>
      <w:r>
        <w:rPr>
          <w:rFonts w:hint="eastAsia" w:ascii="仿宋_GB2312" w:eastAsia="仿宋_GB2312"/>
          <w:color w:val="000000"/>
          <w:sz w:val="32"/>
          <w:szCs w:val="32"/>
        </w:rPr>
        <w:t>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万元、委托业务费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万元，其他交通费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9.03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水费0.05万元</w:t>
      </w:r>
      <w:r>
        <w:rPr>
          <w:rFonts w:hint="eastAsia" w:ascii="仿宋_GB2312" w:eastAsia="仿宋_GB2312"/>
          <w:color w:val="000000"/>
          <w:sz w:val="32"/>
          <w:szCs w:val="32"/>
        </w:rPr>
        <w:t>。</w:t>
      </w:r>
    </w:p>
    <w:p>
      <w:pPr>
        <w:snapToGrid w:val="0"/>
        <w:spacing w:line="520" w:lineRule="exact"/>
        <w:ind w:firstLine="640" w:firstLineChars="200"/>
        <w:rPr>
          <w:rFonts w:ascii="仿宋" w:eastAsia="仿宋"/>
          <w:color w:val="000000"/>
          <w:sz w:val="32"/>
          <w:szCs w:val="32"/>
        </w:rPr>
      </w:pP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131.99</w:t>
      </w:r>
      <w:r>
        <w:rPr>
          <w:rFonts w:hint="eastAsia" w:ascii="仿宋_GB2312" w:eastAsia="仿宋_GB2312"/>
          <w:color w:val="000000"/>
          <w:sz w:val="32"/>
          <w:szCs w:val="32"/>
        </w:rPr>
        <w:t>万元</w:t>
      </w:r>
      <w:r>
        <w:rPr>
          <w:rFonts w:hint="eastAsia" w:ascii="仿宋" w:eastAsia="仿宋"/>
          <w:color w:val="000000"/>
          <w:sz w:val="32"/>
          <w:szCs w:val="32"/>
        </w:rPr>
        <w:t>万元。</w:t>
      </w:r>
    </w:p>
    <w:p>
      <w:pPr>
        <w:widowControl/>
        <w:adjustRightInd w:val="0"/>
        <w:snapToGrid w:val="0"/>
        <w:spacing w:line="540" w:lineRule="exact"/>
        <w:ind w:firstLine="480" w:firstLineChars="150"/>
        <w:jc w:val="left"/>
        <w:rPr>
          <w:rFonts w:ascii="黑体" w:eastAsia="黑体" w:cs="宋体"/>
          <w:color w:val="000000"/>
          <w:kern w:val="0"/>
          <w:sz w:val="32"/>
        </w:rPr>
      </w:pPr>
      <w:r>
        <w:rPr>
          <w:rFonts w:hint="eastAsia" w:ascii="黑体" w:eastAsia="黑体" w:cs="宋体"/>
          <w:color w:val="000000"/>
          <w:kern w:val="0"/>
          <w:sz w:val="32"/>
        </w:rPr>
        <w:t>三、部门财政支出管理情况</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（一）预算编制情况。</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(1)预算编制质量：</w:t>
      </w:r>
      <w:r>
        <w:rPr>
          <w:rFonts w:hint="eastAsia" w:ascii="仿宋" w:eastAsia="仿宋" w:cs="仿宋_GB2312"/>
          <w:sz w:val="32"/>
          <w:szCs w:val="32"/>
        </w:rPr>
        <w:t>2021年预算</w:t>
      </w:r>
      <w:r>
        <w:rPr>
          <w:rFonts w:hint="eastAsia" w:ascii="仿宋" w:eastAsia="仿宋" w:cs="宋体"/>
          <w:color w:val="000000"/>
          <w:sz w:val="32"/>
          <w:szCs w:val="32"/>
          <w:lang w:val="en-US" w:eastAsia="zh-CN"/>
        </w:rPr>
        <w:t>521.72</w:t>
      </w:r>
      <w:r>
        <w:rPr>
          <w:rFonts w:hint="eastAsia" w:ascii="仿宋" w:eastAsia="仿宋" w:cs="仿宋_GB2312"/>
          <w:sz w:val="32"/>
          <w:szCs w:val="32"/>
        </w:rPr>
        <w:t>万元，其中人员经费</w:t>
      </w:r>
      <w:r>
        <w:rPr>
          <w:rFonts w:hint="eastAsia" w:ascii="仿宋" w:eastAsia="仿宋" w:cs="仿宋_GB2312"/>
          <w:sz w:val="32"/>
          <w:szCs w:val="32"/>
          <w:lang w:val="en-US" w:eastAsia="zh-CN"/>
        </w:rPr>
        <w:t>445.73</w:t>
      </w:r>
      <w:r>
        <w:rPr>
          <w:rFonts w:hint="eastAsia" w:ascii="仿宋" w:eastAsia="仿宋" w:cs="仿宋_GB2312"/>
          <w:sz w:val="32"/>
          <w:szCs w:val="32"/>
        </w:rPr>
        <w:t>万元，公用经费</w:t>
      </w:r>
      <w:r>
        <w:rPr>
          <w:rFonts w:hint="eastAsia" w:ascii="仿宋" w:eastAsia="仿宋" w:cs="仿宋_GB2312"/>
          <w:sz w:val="32"/>
          <w:szCs w:val="32"/>
          <w:lang w:val="en-US" w:eastAsia="zh-CN"/>
        </w:rPr>
        <w:t>75.99</w:t>
      </w:r>
      <w:r>
        <w:rPr>
          <w:rFonts w:hint="eastAsia" w:ascii="仿宋" w:eastAsia="仿宋" w:cs="仿宋_GB2312"/>
          <w:sz w:val="32"/>
          <w:szCs w:val="32"/>
        </w:rPr>
        <w:t>万元。2021年部门收入预算总额为</w:t>
      </w:r>
      <w:r>
        <w:rPr>
          <w:rFonts w:hint="eastAsia" w:ascii="仿宋" w:eastAsia="仿宋" w:cs="仿宋_GB2312"/>
          <w:sz w:val="32"/>
          <w:szCs w:val="32"/>
          <w:lang w:val="en-US" w:eastAsia="zh-CN"/>
        </w:rPr>
        <w:t>521.72</w:t>
      </w:r>
      <w:r>
        <w:rPr>
          <w:rFonts w:hint="eastAsia" w:ascii="仿宋" w:eastAsia="仿宋" w:cs="仿宋_GB2312"/>
          <w:sz w:val="32"/>
          <w:szCs w:val="32"/>
        </w:rPr>
        <w:t>元，较上年增加</w:t>
      </w:r>
      <w:r>
        <w:rPr>
          <w:rFonts w:hint="eastAsia" w:ascii="仿宋" w:eastAsia="仿宋" w:cs="仿宋_GB2312"/>
          <w:sz w:val="32"/>
          <w:szCs w:val="32"/>
          <w:lang w:val="en-US" w:eastAsia="zh-CN"/>
        </w:rPr>
        <w:t>96.93</w:t>
      </w:r>
      <w:r>
        <w:rPr>
          <w:rFonts w:hint="eastAsia" w:ascii="仿宋" w:eastAsia="仿宋" w:cs="仿宋_GB2312"/>
          <w:sz w:val="32"/>
          <w:szCs w:val="32"/>
        </w:rPr>
        <w:t>万元，增加</w:t>
      </w:r>
      <w:r>
        <w:rPr>
          <w:rFonts w:hint="eastAsia" w:ascii="仿宋" w:eastAsia="仿宋" w:cs="仿宋_GB2312"/>
          <w:sz w:val="32"/>
          <w:szCs w:val="32"/>
          <w:lang w:val="en-US" w:eastAsia="zh-CN"/>
        </w:rPr>
        <w:t>22.82</w:t>
      </w:r>
      <w:r>
        <w:rPr>
          <w:rFonts w:hint="eastAsia" w:ascii="仿宋" w:eastAsia="仿宋" w:cs="仿宋_GB2312"/>
          <w:sz w:val="32"/>
          <w:szCs w:val="32"/>
        </w:rPr>
        <w:t>%。其中：当年财政拨款收入</w:t>
      </w:r>
      <w:r>
        <w:rPr>
          <w:rFonts w:hint="eastAsia" w:ascii="仿宋" w:eastAsia="仿宋" w:cs="仿宋_GB2312"/>
          <w:sz w:val="32"/>
          <w:szCs w:val="32"/>
          <w:lang w:val="en-US" w:eastAsia="zh-CN"/>
        </w:rPr>
        <w:t>521.72</w:t>
      </w:r>
      <w:r>
        <w:rPr>
          <w:rFonts w:hint="eastAsia" w:ascii="仿宋" w:eastAsia="仿宋" w:cs="仿宋_GB2312"/>
          <w:sz w:val="32"/>
          <w:szCs w:val="32"/>
        </w:rPr>
        <w:t>万元，其他收入 0万元，上年结转收入0万元。相应安排支出预算</w:t>
      </w:r>
      <w:r>
        <w:rPr>
          <w:rFonts w:hint="eastAsia" w:ascii="仿宋" w:eastAsia="仿宋" w:cs="仿宋_GB2312"/>
          <w:sz w:val="32"/>
          <w:szCs w:val="32"/>
          <w:lang w:val="en-US" w:eastAsia="zh-CN"/>
        </w:rPr>
        <w:t>521.72</w:t>
      </w:r>
      <w:r>
        <w:rPr>
          <w:rFonts w:hint="eastAsia" w:ascii="仿宋" w:eastAsia="仿宋" w:cs="仿宋_GB2312"/>
          <w:sz w:val="32"/>
          <w:szCs w:val="32"/>
        </w:rPr>
        <w:t>万元，其中：基本支出预算</w:t>
      </w:r>
      <w:r>
        <w:rPr>
          <w:rFonts w:hint="eastAsia" w:ascii="仿宋" w:eastAsia="仿宋" w:cs="仿宋_GB2312"/>
          <w:sz w:val="32"/>
          <w:szCs w:val="32"/>
          <w:lang w:val="en-US" w:eastAsia="zh-CN"/>
        </w:rPr>
        <w:t>521.72</w:t>
      </w:r>
      <w:r>
        <w:rPr>
          <w:rFonts w:hint="eastAsia" w:ascii="仿宋" w:eastAsia="仿宋" w:cs="仿宋_GB2312"/>
          <w:sz w:val="32"/>
          <w:szCs w:val="32"/>
        </w:rPr>
        <w:t>万元，项目支出</w:t>
      </w:r>
      <w:r>
        <w:rPr>
          <w:rFonts w:hint="eastAsia" w:ascii="仿宋" w:eastAsia="仿宋" w:cs="仿宋_GB2312"/>
          <w:sz w:val="32"/>
          <w:szCs w:val="32"/>
          <w:lang w:val="en-US" w:eastAsia="zh-CN"/>
        </w:rPr>
        <w:t>0</w:t>
      </w:r>
      <w:r>
        <w:rPr>
          <w:rFonts w:hint="eastAsia" w:ascii="仿宋" w:eastAsia="仿宋" w:cs="仿宋_GB2312"/>
          <w:sz w:val="32"/>
          <w:szCs w:val="32"/>
        </w:rPr>
        <w:t>万元。</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（2）绩效目标填报：</w:t>
      </w:r>
      <w:r>
        <w:rPr>
          <w:rFonts w:hint="eastAsia" w:ascii="仿宋" w:eastAsia="仿宋" w:cs="仿宋_GB2312"/>
          <w:color w:val="000000"/>
          <w:sz w:val="32"/>
          <w:szCs w:val="32"/>
        </w:rPr>
        <w:t>项目申报严格按照上级要求，明确绩效目标，控制支行成本，提高项目发挥作用。并</w:t>
      </w:r>
      <w:r>
        <w:rPr>
          <w:rFonts w:hint="eastAsia" w:ascii="仿宋" w:eastAsia="仿宋" w:cs="仿宋_GB2312"/>
          <w:color w:val="000000"/>
          <w:sz w:val="32"/>
          <w:szCs w:val="32"/>
          <w:lang w:val="zh-CN"/>
        </w:rPr>
        <w:t>根据财政局统一要求编制了我乡整体绩效目标报告及项目整体绩效目标表，并报县财政局。</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（二）执行管理情况。</w:t>
      </w:r>
      <w:r>
        <w:rPr>
          <w:rFonts w:hint="eastAsia" w:ascii="仿宋_GB2312" w:eastAsia="仿宋_GB2312" w:cs="仿宋_GB2312"/>
          <w:color w:val="000000"/>
          <w:sz w:val="32"/>
          <w:szCs w:val="32"/>
          <w:lang w:val="zh-CN"/>
        </w:rPr>
        <w:tab/>
      </w:r>
    </w:p>
    <w:p>
      <w:pPr>
        <w:ind w:firstLine="709"/>
        <w:rPr>
          <w:rFonts w:ascii="仿宋" w:eastAsia="仿宋"/>
          <w:bCs/>
          <w:sz w:val="32"/>
          <w:szCs w:val="32"/>
        </w:rPr>
      </w:pPr>
      <w:r>
        <w:rPr>
          <w:rFonts w:hint="eastAsia" w:ascii="仿宋" w:eastAsia="仿宋" w:cs="仿宋_GB2312"/>
          <w:color w:val="000000"/>
          <w:sz w:val="32"/>
          <w:szCs w:val="32"/>
          <w:lang w:val="zh-CN"/>
        </w:rPr>
        <w:t>部门预算执行情况良好，但基本集中在下半年。支出情况中期评估不足，</w:t>
      </w:r>
      <w:r>
        <w:rPr>
          <w:rFonts w:hint="eastAsia" w:ascii="仿宋" w:eastAsia="仿宋"/>
          <w:bCs/>
          <w:sz w:val="32"/>
          <w:szCs w:val="32"/>
        </w:rPr>
        <w:t>2021年我单位“三公”经费支出总额为</w:t>
      </w:r>
      <w:r>
        <w:rPr>
          <w:rFonts w:hint="eastAsia" w:ascii="仿宋" w:eastAsia="仿宋"/>
          <w:bCs/>
          <w:sz w:val="32"/>
          <w:szCs w:val="32"/>
          <w:lang w:val="en-US" w:eastAsia="zh-CN"/>
        </w:rPr>
        <w:t>9.03</w:t>
      </w:r>
      <w:r>
        <w:rPr>
          <w:rFonts w:hint="eastAsia" w:ascii="仿宋" w:eastAsia="仿宋"/>
          <w:bCs/>
          <w:sz w:val="32"/>
          <w:szCs w:val="32"/>
        </w:rPr>
        <w:t>万元。主要是公务用车运行维护费</w:t>
      </w:r>
      <w:r>
        <w:rPr>
          <w:rFonts w:hint="eastAsia" w:ascii="仿宋" w:eastAsia="仿宋"/>
          <w:bCs/>
          <w:sz w:val="32"/>
          <w:szCs w:val="32"/>
          <w:lang w:val="en-US" w:eastAsia="zh-CN"/>
        </w:rPr>
        <w:t>9.03</w:t>
      </w:r>
      <w:r>
        <w:rPr>
          <w:rFonts w:hint="eastAsia" w:ascii="仿宋" w:eastAsia="仿宋"/>
          <w:bCs/>
          <w:sz w:val="32"/>
          <w:szCs w:val="32"/>
        </w:rPr>
        <w:t>万元。2021年我单位公务用车运行维护费年初预算数为</w:t>
      </w:r>
      <w:r>
        <w:rPr>
          <w:rFonts w:hint="eastAsia" w:ascii="仿宋" w:eastAsia="仿宋"/>
          <w:bCs/>
          <w:sz w:val="32"/>
          <w:szCs w:val="32"/>
          <w:lang w:val="en-US" w:eastAsia="zh-CN"/>
        </w:rPr>
        <w:t>9.03</w:t>
      </w:r>
      <w:r>
        <w:rPr>
          <w:rFonts w:hint="eastAsia" w:ascii="仿宋" w:eastAsia="仿宋"/>
          <w:bCs/>
          <w:sz w:val="32"/>
          <w:szCs w:val="32"/>
        </w:rPr>
        <w:t>万元，决算数为</w:t>
      </w:r>
      <w:r>
        <w:rPr>
          <w:rFonts w:hint="eastAsia" w:ascii="仿宋" w:eastAsia="仿宋"/>
          <w:bCs/>
          <w:sz w:val="32"/>
          <w:szCs w:val="32"/>
          <w:lang w:val="en-US" w:eastAsia="zh-CN"/>
        </w:rPr>
        <w:t>9.03</w:t>
      </w:r>
      <w:r>
        <w:rPr>
          <w:rFonts w:hint="eastAsia" w:ascii="仿宋" w:eastAsia="仿宋"/>
          <w:bCs/>
          <w:sz w:val="32"/>
          <w:szCs w:val="32"/>
        </w:rPr>
        <w:t>万元，上年决算数为</w:t>
      </w:r>
      <w:r>
        <w:rPr>
          <w:rFonts w:hint="eastAsia" w:ascii="仿宋" w:eastAsia="仿宋"/>
          <w:bCs/>
          <w:sz w:val="32"/>
          <w:szCs w:val="32"/>
          <w:lang w:val="en-US" w:eastAsia="zh-CN"/>
        </w:rPr>
        <w:t>5.17</w:t>
      </w:r>
      <w:r>
        <w:rPr>
          <w:rFonts w:hint="eastAsia" w:ascii="仿宋" w:eastAsia="仿宋"/>
          <w:bCs/>
          <w:sz w:val="32"/>
          <w:szCs w:val="32"/>
        </w:rPr>
        <w:t>万元，与上年同期相比</w:t>
      </w:r>
      <w:r>
        <w:rPr>
          <w:rFonts w:hint="eastAsia" w:ascii="仿宋" w:eastAsia="仿宋"/>
          <w:bCs/>
          <w:sz w:val="32"/>
          <w:szCs w:val="32"/>
          <w:lang w:val="en-US" w:eastAsia="zh-CN"/>
        </w:rPr>
        <w:t>增加3.86</w:t>
      </w:r>
      <w:r>
        <w:rPr>
          <w:rFonts w:hint="eastAsia" w:ascii="仿宋" w:eastAsia="仿宋"/>
          <w:bCs/>
          <w:sz w:val="32"/>
          <w:szCs w:val="32"/>
        </w:rPr>
        <w:t>万元。公务接待数202</w:t>
      </w:r>
      <w:r>
        <w:rPr>
          <w:rFonts w:hint="eastAsia" w:ascii="仿宋" w:eastAsia="仿宋"/>
          <w:bCs/>
          <w:sz w:val="32"/>
          <w:szCs w:val="32"/>
          <w:lang w:val="en-US" w:eastAsia="zh-CN"/>
        </w:rPr>
        <w:t>1</w:t>
      </w:r>
      <w:r>
        <w:rPr>
          <w:rFonts w:hint="eastAsia" w:ascii="仿宋" w:eastAsia="仿宋"/>
          <w:bCs/>
          <w:sz w:val="32"/>
          <w:szCs w:val="32"/>
        </w:rPr>
        <w:t>年决算数为</w:t>
      </w:r>
      <w:r>
        <w:rPr>
          <w:rFonts w:hint="eastAsia" w:ascii="仿宋" w:eastAsia="仿宋"/>
          <w:bCs/>
          <w:sz w:val="32"/>
          <w:szCs w:val="32"/>
          <w:lang w:val="en-US" w:eastAsia="zh-CN"/>
        </w:rPr>
        <w:t>0</w:t>
      </w:r>
      <w:r>
        <w:rPr>
          <w:rFonts w:hint="eastAsia" w:ascii="仿宋" w:eastAsia="仿宋"/>
          <w:bCs/>
          <w:sz w:val="32"/>
          <w:szCs w:val="32"/>
        </w:rPr>
        <w:t>万元，上年决算为</w:t>
      </w:r>
      <w:r>
        <w:rPr>
          <w:rFonts w:hint="eastAsia" w:ascii="仿宋" w:eastAsia="仿宋"/>
          <w:bCs/>
          <w:sz w:val="32"/>
          <w:szCs w:val="32"/>
          <w:lang w:val="en-US" w:eastAsia="zh-CN"/>
        </w:rPr>
        <w:t>0</w:t>
      </w:r>
      <w:r>
        <w:rPr>
          <w:rFonts w:hint="eastAsia" w:ascii="仿宋" w:eastAsia="仿宋"/>
          <w:bCs/>
          <w:sz w:val="32"/>
          <w:szCs w:val="32"/>
        </w:rPr>
        <w:t>万元，与上年同期相比减少</w:t>
      </w:r>
      <w:r>
        <w:rPr>
          <w:rFonts w:hint="eastAsia" w:ascii="仿宋" w:eastAsia="仿宋"/>
          <w:bCs/>
          <w:sz w:val="32"/>
          <w:szCs w:val="32"/>
          <w:lang w:val="en-US" w:eastAsia="zh-CN"/>
        </w:rPr>
        <w:t>0</w:t>
      </w:r>
      <w:r>
        <w:rPr>
          <w:rFonts w:hint="eastAsia" w:ascii="仿宋" w:eastAsia="仿宋"/>
          <w:bCs/>
          <w:sz w:val="32"/>
          <w:szCs w:val="32"/>
        </w:rPr>
        <w:t>万元。</w:t>
      </w:r>
    </w:p>
    <w:p>
      <w:pPr>
        <w:spacing w:line="54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（三）综合管理情况。</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我乡</w:t>
      </w:r>
      <w:r>
        <w:rPr>
          <w:rFonts w:hint="eastAsia" w:ascii="仿宋" w:eastAsia="仿宋" w:cs="仿宋_GB2312"/>
          <w:color w:val="000000"/>
          <w:sz w:val="32"/>
          <w:szCs w:val="32"/>
        </w:rPr>
        <w:t>2021年无预算、支出政府采购。所有国有资产纳入</w:t>
      </w:r>
      <w:r>
        <w:rPr>
          <w:rFonts w:hint="eastAsia" w:ascii="仿宋" w:eastAsia="仿宋" w:cs="仿宋_GB2312"/>
          <w:color w:val="000000"/>
          <w:sz w:val="32"/>
          <w:szCs w:val="32"/>
          <w:lang w:val="zh-CN"/>
        </w:rPr>
        <w:t>资产管理系统，及时准确上报并做好资产的管理工作。根据相关要求，单位使用预算资金基本符合相关的预算财务管理制度。我乡在财政批复后</w:t>
      </w:r>
      <w:r>
        <w:rPr>
          <w:rFonts w:hint="eastAsia" w:asci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eastAsia="仿宋" w:cs="仿宋_GB2312"/>
          <w:color w:val="000000"/>
          <w:sz w:val="32"/>
          <w:szCs w:val="32"/>
          <w:lang w:val="zh-CN"/>
        </w:rPr>
        <w:t>绩效评价及依法接受财政监督情况等。</w:t>
      </w:r>
    </w:p>
    <w:p>
      <w:pPr>
        <w:spacing w:line="540" w:lineRule="exact"/>
        <w:ind w:firstLine="640" w:firstLineChars="200"/>
        <w:rPr>
          <w:rFonts w:ascii="仿宋_GB2312" w:eastAsia="仿宋_GB2312" w:cs="仿宋_GB2312"/>
          <w:color w:val="000000"/>
          <w:sz w:val="32"/>
          <w:szCs w:val="32"/>
          <w:lang w:val="zh-CN"/>
        </w:rPr>
      </w:pPr>
      <w:r>
        <w:rPr>
          <w:rFonts w:hint="eastAsia" w:ascii="仿宋_GB2312" w:eastAsia="仿宋_GB2312" w:cs="仿宋_GB2312"/>
          <w:color w:val="000000"/>
          <w:sz w:val="32"/>
          <w:szCs w:val="32"/>
          <w:lang w:val="zh-CN"/>
        </w:rPr>
        <w:t>（四）整体绩效。</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eastAsia="黑体" w:cs="宋体"/>
          <w:color w:val="000000"/>
          <w:kern w:val="0"/>
          <w:sz w:val="32"/>
        </w:rPr>
      </w:pPr>
      <w:r>
        <w:rPr>
          <w:rFonts w:hint="eastAsia" w:ascii="黑体" w:eastAsia="黑体" w:cs="宋体"/>
          <w:color w:val="000000"/>
          <w:kern w:val="0"/>
          <w:sz w:val="32"/>
        </w:rPr>
        <w:t>四、评价结论及建议</w:t>
      </w:r>
    </w:p>
    <w:p>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（一）评价结论</w:t>
      </w:r>
    </w:p>
    <w:p>
      <w:pPr>
        <w:spacing w:line="540" w:lineRule="exact"/>
        <w:ind w:firstLine="640" w:firstLineChars="200"/>
        <w:rPr>
          <w:rFonts w:ascii="仿宋" w:eastAsia="仿宋" w:cs="仿宋_GB2312"/>
          <w:color w:val="000000"/>
          <w:sz w:val="32"/>
          <w:szCs w:val="32"/>
          <w:lang w:val="zh-CN"/>
        </w:rPr>
      </w:pP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p>
    <w:p>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（二）存在问题</w:t>
      </w:r>
    </w:p>
    <w:p>
      <w:pPr>
        <w:spacing w:line="540" w:lineRule="exact"/>
        <w:ind w:firstLine="643" w:firstLineChars="200"/>
        <w:rPr>
          <w:rFonts w:ascii="仿宋" w:eastAsia="仿宋" w:cs="仿宋_GB2312"/>
          <w:color w:val="000000"/>
          <w:sz w:val="32"/>
          <w:szCs w:val="32"/>
          <w:shd w:val="clear" w:color="auto" w:fill="FFFFFF"/>
        </w:rPr>
      </w:pPr>
      <w:r>
        <w:rPr>
          <w:rFonts w:hint="eastAsia" w:ascii="仿宋" w:eastAsia="仿宋" w:cs="仿宋_GB2312"/>
          <w:b/>
          <w:bCs/>
          <w:color w:val="000000"/>
          <w:kern w:val="0"/>
          <w:sz w:val="32"/>
          <w:szCs w:val="32"/>
        </w:rPr>
        <w:t xml:space="preserve"> </w:t>
      </w:r>
      <w:r>
        <w:rPr>
          <w:rFonts w:hint="eastAsia" w:ascii="仿宋" w:eastAsia="仿宋" w:cs="仿宋_GB2312"/>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579" w:firstLineChars="200"/>
        <w:rPr>
          <w:rFonts w:ascii="仿宋_GB2312" w:eastAsia="仿宋_GB2312" w:cs="仿宋_GB2312"/>
          <w:b/>
          <w:bCs/>
          <w:w w:val="90"/>
          <w:sz w:val="32"/>
          <w:szCs w:val="32"/>
        </w:rPr>
      </w:pPr>
      <w:r>
        <w:rPr>
          <w:rFonts w:hint="eastAsia" w:ascii="仿宋_GB2312" w:eastAsia="仿宋_GB2312" w:cs="仿宋_GB2312"/>
          <w:b/>
          <w:bCs/>
          <w:w w:val="90"/>
          <w:sz w:val="32"/>
          <w:szCs w:val="32"/>
        </w:rPr>
        <w:t>（三）改进建议</w:t>
      </w:r>
    </w:p>
    <w:p>
      <w:pPr>
        <w:pStyle w:val="14"/>
        <w:widowControl/>
        <w:shd w:val="clear" w:color="auto" w:fill="FFFFFF"/>
        <w:spacing w:beforeAutospacing="0" w:afterAutospacing="0" w:line="576" w:lineRule="exact"/>
        <w:ind w:firstLine="640" w:firstLineChars="200"/>
        <w:rPr>
          <w:rFonts w:ascii="仿宋" w:eastAsia="仿宋" w:cs="仿宋_GB2312"/>
          <w:color w:val="000000"/>
          <w:sz w:val="32"/>
          <w:szCs w:val="32"/>
          <w:shd w:val="clear" w:color="auto" w:fill="FFFFFF"/>
        </w:rPr>
      </w:pPr>
      <w:r>
        <w:rPr>
          <w:rFonts w:hint="eastAsia" w:ascii="仿宋" w:eastAsia="仿宋" w:cs="仿宋_GB2312"/>
          <w:color w:val="000000"/>
          <w:sz w:val="32"/>
          <w:szCs w:val="32"/>
        </w:rPr>
        <w:t>一是合理规范使用财政预算资金。二是</w:t>
      </w:r>
      <w:r>
        <w:rPr>
          <w:rFonts w:hint="eastAsia" w:ascii="仿宋" w:eastAsia="仿宋"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1760" w:firstLineChars="400"/>
        <w:outlineLvl w:val="0"/>
        <w:rPr>
          <w:rFonts w:hint="eastAsia" w:ascii="黑体" w:eastAsia="黑体"/>
          <w:color w:val="000000"/>
          <w:sz w:val="44"/>
          <w:szCs w:val="44"/>
        </w:rPr>
      </w:pPr>
    </w:p>
    <w:p>
      <w:pPr>
        <w:spacing w:line="600" w:lineRule="exact"/>
        <w:ind w:firstLine="2640" w:firstLineChars="600"/>
        <w:outlineLvl w:val="0"/>
        <w:rPr>
          <w:rStyle w:val="19"/>
          <w:rFonts w:ascii="黑体" w:eastAsia="黑体"/>
          <w:b w:val="0"/>
        </w:rPr>
      </w:pPr>
      <w:r>
        <w:rPr>
          <w:rFonts w:hint="eastAsia" w:ascii="黑体" w:eastAsia="黑体"/>
          <w:color w:val="000000"/>
          <w:sz w:val="44"/>
          <w:szCs w:val="44"/>
        </w:rPr>
        <w:t>第</w:t>
      </w:r>
      <w:r>
        <w:rPr>
          <w:rStyle w:val="19"/>
          <w:rFonts w:hint="eastAsia" w:ascii="黑体" w:eastAsia="黑体"/>
          <w:b w:val="0"/>
        </w:rPr>
        <w:t>五部分 附表</w:t>
      </w:r>
    </w:p>
    <w:p>
      <w:pPr>
        <w:pStyle w:val="4"/>
        <w:rPr>
          <w:rFonts w:ascii="仿宋" w:eastAsia="仿宋"/>
          <w:color w:val="000000"/>
        </w:rPr>
      </w:pPr>
      <w:r>
        <w:rPr>
          <w:rFonts w:hint="eastAsia" w:ascii="仿宋" w:eastAsia="仿宋"/>
          <w:b w:val="0"/>
          <w:color w:val="000000"/>
        </w:rPr>
        <w:t>一、收</w:t>
      </w:r>
      <w:r>
        <w:rPr>
          <w:rStyle w:val="20"/>
          <w:rFonts w:hint="eastAsia" w:ascii="仿宋" w:eastAsia="仿宋"/>
          <w:b w:val="0"/>
          <w:bCs w:val="0"/>
        </w:rPr>
        <w:t>入支出决算总表</w:t>
      </w:r>
    </w:p>
    <w:p>
      <w:pPr>
        <w:pStyle w:val="4"/>
        <w:rPr>
          <w:rFonts w:ascii="仿宋" w:eastAsia="仿宋"/>
          <w:color w:val="000000"/>
        </w:rPr>
      </w:pPr>
      <w:bookmarkStart w:id="64" w:name="_Toc15396620"/>
      <w:r>
        <w:rPr>
          <w:rFonts w:hint="eastAsia" w:ascii="仿宋" w:eastAsia="仿宋"/>
          <w:b w:val="0"/>
          <w:color w:val="000000"/>
        </w:rPr>
        <w:t>二、收</w:t>
      </w:r>
      <w:r>
        <w:rPr>
          <w:rStyle w:val="20"/>
          <w:rFonts w:hint="eastAsia" w:ascii="仿宋" w:eastAsia="仿宋"/>
          <w:b w:val="0"/>
          <w:bCs w:val="0"/>
        </w:rPr>
        <w:t>入总表</w:t>
      </w:r>
      <w:bookmarkEnd w:id="64"/>
    </w:p>
    <w:p>
      <w:pPr>
        <w:pStyle w:val="4"/>
        <w:rPr>
          <w:rFonts w:ascii="仿宋" w:eastAsia="仿宋"/>
          <w:color w:val="000000"/>
        </w:rPr>
      </w:pPr>
      <w:bookmarkStart w:id="65" w:name="_Toc15396621"/>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出总表</w:t>
      </w:r>
      <w:bookmarkEnd w:id="65"/>
    </w:p>
    <w:p>
      <w:pPr>
        <w:pStyle w:val="4"/>
        <w:rPr>
          <w:rFonts w:ascii="仿宋" w:eastAsia="仿宋"/>
          <w:b w:val="0"/>
          <w:color w:val="000000"/>
        </w:rPr>
      </w:pPr>
      <w:bookmarkStart w:id="66" w:name="_Toc15396622"/>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66"/>
    </w:p>
    <w:p>
      <w:pPr>
        <w:pStyle w:val="4"/>
        <w:rPr>
          <w:rFonts w:ascii="仿宋" w:eastAsia="仿宋"/>
          <w:color w:val="000000"/>
        </w:rPr>
      </w:pPr>
      <w:bookmarkStart w:id="67" w:name="_Toc15396623"/>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政拨款支出决算明细表（政府经济分类科目）</w:t>
      </w:r>
      <w:bookmarkEnd w:id="67"/>
    </w:p>
    <w:p>
      <w:pPr>
        <w:pStyle w:val="4"/>
        <w:rPr>
          <w:rFonts w:ascii="仿宋" w:eastAsia="仿宋"/>
          <w:color w:val="000000"/>
        </w:rPr>
      </w:pPr>
      <w:bookmarkStart w:id="68" w:name="_Toc15396624"/>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68"/>
    </w:p>
    <w:p>
      <w:pPr>
        <w:pStyle w:val="4"/>
        <w:rPr>
          <w:rFonts w:ascii="仿宋" w:eastAsia="仿宋"/>
          <w:color w:val="000000"/>
        </w:rPr>
      </w:pPr>
      <w:bookmarkStart w:id="69" w:name="_Toc15396625"/>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69"/>
    </w:p>
    <w:p>
      <w:pPr>
        <w:pStyle w:val="4"/>
        <w:rPr>
          <w:rFonts w:ascii="仿宋" w:eastAsia="仿宋"/>
          <w:color w:val="000000"/>
        </w:rPr>
      </w:pPr>
      <w:bookmarkStart w:id="70" w:name="_Toc15396626"/>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70"/>
    </w:p>
    <w:p>
      <w:pPr>
        <w:pStyle w:val="4"/>
        <w:rPr>
          <w:rFonts w:ascii="仿宋" w:eastAsia="仿宋"/>
          <w:color w:val="000000"/>
        </w:rPr>
      </w:pPr>
      <w:bookmarkStart w:id="71" w:name="_Toc15396627"/>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71"/>
    </w:p>
    <w:p>
      <w:pPr>
        <w:pStyle w:val="4"/>
        <w:rPr>
          <w:rFonts w:ascii="仿宋" w:eastAsia="仿宋"/>
          <w:color w:val="000000"/>
        </w:rPr>
      </w:pPr>
      <w:bookmarkStart w:id="72" w:name="_Toc15396628"/>
      <w:r>
        <w:rPr>
          <w:rStyle w:val="20"/>
          <w:rFonts w:hint="eastAsia" w:ascii="仿宋" w:eastAsia="仿宋"/>
          <w:b w:val="0"/>
          <w:bCs w:val="0"/>
        </w:rPr>
        <w:t>十、</w:t>
      </w:r>
      <w:r>
        <w:rPr>
          <w:rFonts w:hint="eastAsia" w:ascii="仿宋" w:eastAsia="仿宋"/>
          <w:b w:val="0"/>
          <w:color w:val="000000"/>
        </w:rPr>
        <w:t>一</w:t>
      </w:r>
      <w:r>
        <w:rPr>
          <w:rStyle w:val="20"/>
          <w:rFonts w:hint="eastAsia" w:ascii="仿宋" w:eastAsia="仿宋"/>
          <w:b w:val="0"/>
          <w:bCs w:val="0"/>
        </w:rPr>
        <w:t>般公共预算财政拨款“三公”经费支出决算表</w:t>
      </w:r>
      <w:bookmarkEnd w:id="72"/>
    </w:p>
    <w:p>
      <w:pPr>
        <w:pStyle w:val="4"/>
        <w:rPr>
          <w:rFonts w:ascii="仿宋" w:eastAsia="仿宋"/>
          <w:color w:val="000000"/>
        </w:rPr>
      </w:pPr>
      <w:bookmarkStart w:id="73" w:name="_Toc15396629"/>
      <w:r>
        <w:rPr>
          <w:rStyle w:val="20"/>
          <w:rFonts w:hint="eastAsia" w:ascii="仿宋" w:eastAsia="仿宋"/>
          <w:b w:val="0"/>
          <w:bCs w:val="0"/>
        </w:rPr>
        <w:t>十一、</w:t>
      </w:r>
      <w:r>
        <w:rPr>
          <w:rFonts w:hint="eastAsia" w:ascii="仿宋" w:eastAsia="仿宋"/>
          <w:b w:val="0"/>
          <w:color w:val="000000"/>
        </w:rPr>
        <w:t>政</w:t>
      </w:r>
      <w:r>
        <w:rPr>
          <w:rStyle w:val="20"/>
          <w:rFonts w:hint="eastAsia" w:ascii="仿宋" w:eastAsia="仿宋"/>
          <w:b w:val="0"/>
          <w:bCs w:val="0"/>
        </w:rPr>
        <w:t>府性基金预算财政拨款收入支出决算表</w:t>
      </w:r>
      <w:bookmarkEnd w:id="73"/>
    </w:p>
    <w:p>
      <w:pPr>
        <w:pStyle w:val="4"/>
        <w:rPr>
          <w:rFonts w:ascii="仿宋" w:eastAsia="仿宋"/>
          <w:color w:val="000000"/>
        </w:rPr>
      </w:pPr>
      <w:bookmarkStart w:id="74" w:name="_Toc15396630"/>
      <w:r>
        <w:rPr>
          <w:rStyle w:val="20"/>
          <w:rFonts w:hint="eastAsia" w:ascii="仿宋" w:eastAsia="仿宋"/>
          <w:b w:val="0"/>
          <w:bCs w:val="0"/>
        </w:rPr>
        <w:t>十二、</w:t>
      </w:r>
      <w:r>
        <w:rPr>
          <w:rFonts w:hint="eastAsia" w:ascii="仿宋" w:eastAsia="仿宋"/>
          <w:b w:val="0"/>
          <w:color w:val="000000"/>
        </w:rPr>
        <w:t>政</w:t>
      </w:r>
      <w:r>
        <w:rPr>
          <w:rStyle w:val="20"/>
          <w:rFonts w:hint="eastAsia" w:ascii="仿宋" w:eastAsia="仿宋"/>
          <w:b w:val="0"/>
          <w:bCs w:val="0"/>
        </w:rPr>
        <w:t>府性基金预算财政拨款“三公”经费支出决算表</w:t>
      </w:r>
      <w:bookmarkEnd w:id="74"/>
    </w:p>
    <w:p>
      <w:pPr>
        <w:pStyle w:val="4"/>
        <w:rPr>
          <w:rFonts w:ascii="仿宋" w:eastAsia="仿宋"/>
          <w:color w:val="000000"/>
        </w:rPr>
      </w:pPr>
      <w:bookmarkStart w:id="75" w:name="_Toc15396631"/>
      <w:r>
        <w:rPr>
          <w:rStyle w:val="20"/>
          <w:rFonts w:hint="eastAsia" w:ascii="仿宋" w:eastAsia="仿宋"/>
          <w:b w:val="0"/>
          <w:bCs w:val="0"/>
        </w:rPr>
        <w:t>十三、</w:t>
      </w:r>
      <w:r>
        <w:rPr>
          <w:rFonts w:hint="eastAsia" w:ascii="仿宋" w:eastAsia="仿宋"/>
          <w:b w:val="0"/>
          <w:color w:val="000000"/>
        </w:rPr>
        <w:t>国</w:t>
      </w:r>
      <w:r>
        <w:rPr>
          <w:rStyle w:val="20"/>
          <w:rFonts w:hint="eastAsia" w:ascii="仿宋" w:eastAsia="仿宋"/>
          <w:b w:val="0"/>
          <w:bCs w:val="0"/>
        </w:rPr>
        <w:t>有资本经营预算支出决算表</w:t>
      </w:r>
      <w:bookmarkEnd w:id="75"/>
    </w:p>
    <w:p>
      <w:pPr>
        <w:pStyle w:val="4"/>
        <w:rPr>
          <w:rFonts w:ascii="仿宋" w:eastAsia="仿宋"/>
          <w:color w:val="000000"/>
        </w:rPr>
      </w:pPr>
    </w:p>
    <w:p>
      <w:pPr>
        <w:pStyle w:val="4"/>
        <w:rPr>
          <w:rStyle w:val="19"/>
          <w:rFonts w:ascii="仿宋" w:eastAsia="仿宋"/>
          <w:b w:val="0"/>
          <w:bCs w:val="0"/>
          <w:sz w:val="32"/>
          <w:szCs w:val="32"/>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bookmarkEnd w:id="62"/>
    <w:bookmarkEnd w:id="63"/>
    <w:p>
      <w:pPr>
        <w:spacing w:line="600" w:lineRule="exact"/>
        <w:outlineLvl w:val="0"/>
        <w:rPr>
          <w:rFonts w:ascii="黑体" w:eastAsia="黑体"/>
          <w:color w:val="000000"/>
          <w:sz w:val="44"/>
          <w:szCs w:val="44"/>
        </w:rPr>
      </w:pPr>
      <w:bookmarkStart w:id="76" w:name="_Toc15396619"/>
      <w:bookmarkStart w:id="77" w:name="_Toc15396618"/>
    </w:p>
    <w:bookmarkEnd w:id="76"/>
    <w:bookmarkEnd w:id="77"/>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宋体"/>
    <w:panose1 w:val="02000503000000000000"/>
    <w:charset w:val="86"/>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2246095"/>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22</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21B58365"/>
    <w:multiLevelType w:val="singleLevel"/>
    <w:tmpl w:val="21B58365"/>
    <w:lvl w:ilvl="0" w:tentative="0">
      <w:start w:val="2"/>
      <w:numFmt w:val="chineseCounting"/>
      <w:suff w:val="nothing"/>
      <w:lvlText w:val="（%1）"/>
      <w:lvlJc w:val="left"/>
      <w:pPr>
        <w:tabs>
          <w:tab w:val="left" w:pos="0"/>
        </w:tabs>
        <w:ind w:left="0" w:firstLine="0"/>
      </w:pPr>
      <w:rPr>
        <w:rFonts w:hint="eastAsia"/>
      </w:rPr>
    </w:lvl>
  </w:abstractNum>
  <w:abstractNum w:abstractNumId="6">
    <w:nsid w:val="4F65A696"/>
    <w:multiLevelType w:val="singleLevel"/>
    <w:tmpl w:val="4F65A696"/>
    <w:lvl w:ilvl="0" w:tentative="0">
      <w:start w:val="1"/>
      <w:numFmt w:val="decimal"/>
      <w:suff w:val="nothing"/>
      <w:lvlText w:val="%1、"/>
      <w:lvlJc w:val="left"/>
      <w:pPr>
        <w:tabs>
          <w:tab w:val="left" w:pos="0"/>
        </w:tabs>
        <w:ind w:left="-10" w:firstLine="0"/>
      </w:pPr>
      <w:rPr>
        <w:rFonts w:hint="default"/>
        <w:b/>
        <w:bCs/>
      </w:rPr>
    </w:lvl>
  </w:abstractNum>
  <w:abstractNum w:abstractNumId="7">
    <w:nsid w:val="747B1FF4"/>
    <w:multiLevelType w:val="singleLevel"/>
    <w:tmpl w:val="747B1FF4"/>
    <w:lvl w:ilvl="0" w:tentative="0">
      <w:start w:val="2"/>
      <w:numFmt w:val="decimal"/>
      <w:lvlText w:val="%1."/>
      <w:lvlJc w:val="left"/>
      <w:pPr>
        <w:tabs>
          <w:tab w:val="left" w:pos="0"/>
        </w:tabs>
        <w:ind w:left="0" w:firstLine="0"/>
      </w:pPr>
    </w:lvl>
  </w:abstractNum>
  <w:num w:numId="1">
    <w:abstractNumId w:val="6"/>
  </w:num>
  <w:num w:numId="2">
    <w:abstractNumId w:val="3"/>
  </w:num>
  <w:num w:numId="3">
    <w:abstractNumId w:val="5"/>
  </w:num>
  <w:num w:numId="4">
    <w:abstractNumId w:val="0"/>
  </w:num>
  <w:num w:numId="5">
    <w:abstractNumId w:val="4"/>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YzM0YmI2ZWZiYzI1MTNlNjhlMTE2YTU2MjlhZjQifQ=="/>
  </w:docVars>
  <w:rsids>
    <w:rsidRoot w:val="00000000"/>
    <w:rsid w:val="1AE6564F"/>
    <w:rsid w:val="2BFC2527"/>
    <w:rsid w:val="33DB7348"/>
    <w:rsid w:val="36C6703C"/>
    <w:rsid w:val="379D2640"/>
    <w:rsid w:val="3C0517AD"/>
    <w:rsid w:val="4A141185"/>
    <w:rsid w:val="4E8B61F0"/>
    <w:rsid w:val="4FD76FFD"/>
    <w:rsid w:val="51C464C9"/>
    <w:rsid w:val="58757677"/>
    <w:rsid w:val="59F13E41"/>
    <w:rsid w:val="5B194DC6"/>
    <w:rsid w:val="5E738B4B"/>
    <w:rsid w:val="6D3B3A6C"/>
    <w:rsid w:val="79644A00"/>
    <w:rsid w:val="7AEE6F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0"/>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图表目录1"/>
    <w:basedOn w:val="1"/>
    <w:next w:val="1"/>
    <w:qFormat/>
    <w:uiPriority w:val="0"/>
    <w:pPr>
      <w:spacing w:beforeAutospacing="1" w:afterAutospacing="1"/>
      <w:ind w:left="400" w:leftChars="200" w:hanging="200" w:hangingChars="20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able of figures"/>
    <w:basedOn w:val="1"/>
    <w:next w:val="1"/>
    <w:semiHidden/>
    <w:qFormat/>
    <w:uiPriority w:val="99"/>
    <w:pPr>
      <w:ind w:left="200" w:leftChars="200" w:hanging="200" w:hangingChars="200"/>
    </w:p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0"/>
    <w:pPr>
      <w:widowControl/>
      <w:spacing w:beforeAutospacing="1" w:afterAutospacing="1"/>
      <w:jc w:val="left"/>
    </w:pPr>
    <w:rPr>
      <w:rFonts w:ascii="宋体"/>
      <w:kern w:val="0"/>
      <w:sz w:val="24"/>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heading 1 Char"/>
    <w:basedOn w:val="16"/>
    <w:link w:val="3"/>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6"/>
    <w:link w:val="4"/>
    <w:qFormat/>
    <w:uiPriority w:val="0"/>
    <w:rPr>
      <w:rFonts w:ascii="Cambria" w:hAnsi="Cambria" w:eastAsia="宋体" w:cs="Times New Roman"/>
      <w:b/>
      <w:bCs/>
      <w:kern w:val="2"/>
      <w:sz w:val="32"/>
      <w:szCs w:val="32"/>
      <w:lang w:val="en-US" w:eastAsia="zh-CN" w:bidi="ar-SA"/>
    </w:rPr>
  </w:style>
  <w:style w:type="paragraph" w:customStyle="1" w:styleId="21">
    <w:name w:val="图表目录11"/>
    <w:basedOn w:val="1"/>
    <w:next w:val="1"/>
    <w:qFormat/>
    <w:uiPriority w:val="0"/>
    <w:pPr>
      <w:spacing w:beforeAutospacing="1" w:afterAutospacing="1"/>
      <w:ind w:left="400" w:leftChars="200" w:hanging="200" w:hangingChars="200"/>
    </w:p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8">
    <w:name w:val="普通(网站) Char"/>
    <w:basedOn w:val="1"/>
    <w:qFormat/>
    <w:uiPriority w:val="0"/>
    <w:pPr>
      <w:spacing w:before="100" w:beforeAutospacing="1" w:after="100" w:afterAutospacing="1"/>
    </w:pPr>
  </w:style>
  <w:style w:type="paragraph" w:customStyle="1" w:styleId="29">
    <w:name w:val="table of figures"/>
    <w:basedOn w:val="1"/>
    <w:next w:val="1"/>
    <w:uiPriority w:val="0"/>
    <w:pPr>
      <w:spacing w:before="100" w:beforeAutospacing="1" w:after="100" w:afterAutospacing="1"/>
      <w:ind w:left="400" w:leftChars="200" w:hanging="200" w:hanging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image" Target="../media/image1.png"/><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rPr lang="zh-CN" altLang="en-US"/>
              <a:t>标题</a:t>
            </a:r>
            <a:endParaRPr lang="zh-CN" altLang="en-US"/>
          </a:p>
        </c:rich>
      </c:tx>
      <c:layout/>
      <c:overlay val="0"/>
      <c:spPr>
        <a:noFill/>
        <a:ln>
          <a:noFill/>
        </a:ln>
        <a:effectLst/>
      </c:spPr>
    </c:title>
    <c:autoTitleDeleted val="0"/>
    <c:plotArea>
      <c:layout/>
      <c:barChart>
        <c:barDir val="col"/>
        <c:grouping val="clustered"/>
        <c:varyColors val="0"/>
        <c:ser>
          <c:idx val="0"/>
          <c:order val="0"/>
          <c:tx>
            <c:strRef>
              <c:f>[工作簿1]Sheet1!$G$1:$G$3</c:f>
              <c:strCache>
                <c:ptCount val="1"/>
                <c:pt idx="0">
                  <c:v>收入</c:v>
                </c:pt>
              </c:strCache>
            </c:strRef>
          </c:tx>
          <c:spPr>
            <a:solidFill>
              <a:srgbClr val="EB7068"/>
            </a:solidFill>
            <a:ln>
              <a:solidFill>
                <a:srgbClr val="FFFFFF"/>
              </a:solidFill>
            </a:ln>
            <a:effectLst>
              <a:outerShdw blurRad="50800" dist="38100" dir="18900000" algn="bl" rotWithShape="0">
                <a:prstClr val="black">
                  <a:alpha val="10000"/>
                </a:prstClr>
              </a:outerShdw>
            </a:effectLst>
          </c:spPr>
          <c:invertIfNegative val="0"/>
          <c:dPt>
            <c:idx val="0"/>
            <c:invertIfNegative val="0"/>
            <c:bubble3D val="0"/>
            <c:spPr>
              <a:solidFill>
                <a:srgbClr val="EB7068"/>
              </a:solidFill>
              <a:ln>
                <a:solidFill>
                  <a:srgbClr val="FFFFFF"/>
                </a:solidFill>
              </a:ln>
              <a:effectLst>
                <a:outerShdw blurRad="50800" dist="38100" dir="18900000" algn="bl" rotWithShape="0">
                  <a:prstClr val="black">
                    <a:alpha val="10000"/>
                  </a:prstClr>
                </a:outerShdw>
              </a:effectLst>
            </c:spPr>
          </c:dPt>
          <c:dPt>
            <c:idx val="1"/>
            <c:invertIfNegative val="0"/>
            <c:bubble3D val="0"/>
            <c:spPr>
              <a:solidFill>
                <a:srgbClr val="EB7068"/>
              </a:solidFill>
              <a:ln>
                <a:solidFill>
                  <a:srgbClr val="FFFFFF"/>
                </a:solidFill>
              </a:ln>
              <a:effectLst>
                <a:outerShdw blurRad="50800" dist="38100" dir="18900000" algn="bl" rotWithShape="0">
                  <a:prstClr val="black">
                    <a:alpha val="10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[工作簿1]Sheet1!$F$4:$F$8</c:f>
              <c:numCache>
                <c:formatCode>General</c:formatCode>
                <c:ptCount val="5"/>
                <c:pt idx="0">
                  <c:v>2020</c:v>
                </c:pt>
                <c:pt idx="4">
                  <c:v>2021</c:v>
                </c:pt>
              </c:numCache>
            </c:numRef>
          </c:cat>
          <c:val>
            <c:numRef>
              <c:f>[工作簿1]Sheet1!$G$4:$G$8</c:f>
              <c:numCache>
                <c:formatCode>General</c:formatCode>
                <c:ptCount val="5"/>
                <c:pt idx="0">
                  <c:v>524.49</c:v>
                </c:pt>
                <c:pt idx="4">
                  <c:v>705.86</c:v>
                </c:pt>
              </c:numCache>
            </c:numRef>
          </c:val>
        </c:ser>
        <c:ser>
          <c:idx val="1"/>
          <c:order val="1"/>
          <c:tx>
            <c:strRef>
              <c:f>[工作簿1]Sheet1!$H$1:$H$3</c:f>
              <c:strCache>
                <c:ptCount val="1"/>
                <c:pt idx="0">
                  <c:v>收入</c:v>
                </c:pt>
              </c:strCache>
            </c:strRef>
          </c:tx>
          <c:spPr>
            <a:solidFill>
              <a:srgbClr val="86B81A"/>
            </a:solidFill>
            <a:ln>
              <a:solidFill>
                <a:srgbClr val="FFFFFF"/>
              </a:solidFill>
            </a:ln>
            <a:effectLst>
              <a:outerShdw blurRad="50800" dist="38100" dir="18900000" algn="bl" rotWithShape="0">
                <a:prstClr val="black">
                  <a:alpha val="10000"/>
                </a:prstClr>
              </a:outerShdw>
            </a:effectLst>
          </c:spPr>
          <c:invertIfNegative val="0"/>
          <c:dPt>
            <c:idx val="0"/>
            <c:invertIfNegative val="0"/>
            <c:bubble3D val="0"/>
            <c:spPr>
              <a:solidFill>
                <a:srgbClr val="86B81A"/>
              </a:solidFill>
              <a:ln>
                <a:solidFill>
                  <a:srgbClr val="FFFFFF"/>
                </a:solidFill>
              </a:ln>
              <a:effectLst>
                <a:outerShdw blurRad="50800" dist="38100" dir="18900000" algn="bl" rotWithShape="0">
                  <a:prstClr val="black">
                    <a:alpha val="10000"/>
                  </a:prstClr>
                </a:outerShdw>
              </a:effectLst>
            </c:spPr>
          </c:dPt>
          <c:dPt>
            <c:idx val="1"/>
            <c:invertIfNegative val="0"/>
            <c:bubble3D val="0"/>
            <c:spPr>
              <a:solidFill>
                <a:srgbClr val="86B81A"/>
              </a:solidFill>
              <a:ln>
                <a:solidFill>
                  <a:srgbClr val="FFFFFF"/>
                </a:solidFill>
              </a:ln>
              <a:effectLst>
                <a:outerShdw blurRad="50800" dist="38100" dir="18900000" algn="bl" rotWithShape="0">
                  <a:prstClr val="black">
                    <a:alpha val="10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[工作簿1]Sheet1!$F$4:$F$8</c:f>
              <c:numCache>
                <c:formatCode>General</c:formatCode>
                <c:ptCount val="5"/>
                <c:pt idx="0">
                  <c:v>2020</c:v>
                </c:pt>
                <c:pt idx="4">
                  <c:v>2021</c:v>
                </c:pt>
              </c:numCache>
            </c:numRef>
          </c:cat>
          <c:val>
            <c:numRef>
              <c:f>[工作簿1]Sheet1!$H$4:$H$8</c:f>
              <c:numCache>
                <c:formatCode>General</c:formatCode>
                <c:ptCount val="5"/>
              </c:numCache>
            </c:numRef>
          </c:val>
        </c:ser>
        <c:ser>
          <c:idx val="2"/>
          <c:order val="2"/>
          <c:tx>
            <c:strRef>
              <c:f>[工作簿1]Sheet1!$I$1:$I$3</c:f>
              <c:strCache>
                <c:ptCount val="1"/>
                <c:pt idx="0">
                  <c:v>支出</c:v>
                </c:pt>
              </c:strCache>
            </c:strRef>
          </c:tx>
          <c:spPr>
            <a:solidFill>
              <a:srgbClr val="F5C14B"/>
            </a:solidFill>
            <a:ln>
              <a:solidFill>
                <a:srgbClr val="FFFFFF"/>
              </a:solidFill>
            </a:ln>
            <a:effectLst>
              <a:outerShdw blurRad="50800" dist="38100" dir="18900000" algn="bl" rotWithShape="0">
                <a:prstClr val="black">
                  <a:alpha val="10000"/>
                </a:prstClr>
              </a:outerShdw>
            </a:effectLst>
          </c:spPr>
          <c:invertIfNegative val="0"/>
          <c:dPt>
            <c:idx val="1"/>
            <c:invertIfNegative val="0"/>
            <c:bubble3D val="0"/>
            <c:spPr>
              <a:solidFill>
                <a:srgbClr val="F5C14B"/>
              </a:solidFill>
              <a:ln>
                <a:solidFill>
                  <a:srgbClr val="FFFFFF"/>
                </a:solidFill>
              </a:ln>
              <a:effectLst>
                <a:outerShdw blurRad="50800" dist="38100" dir="18900000" algn="bl" rotWithShape="0">
                  <a:prstClr val="black">
                    <a:alpha val="10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[工作簿1]Sheet1!$F$4:$F$8</c:f>
              <c:numCache>
                <c:formatCode>General</c:formatCode>
                <c:ptCount val="5"/>
                <c:pt idx="0">
                  <c:v>2020</c:v>
                </c:pt>
                <c:pt idx="4">
                  <c:v>2021</c:v>
                </c:pt>
              </c:numCache>
            </c:numRef>
          </c:cat>
          <c:val>
            <c:numRef>
              <c:f>[工作簿1]Sheet1!$I$4:$I$8</c:f>
              <c:numCache>
                <c:formatCode>General</c:formatCode>
                <c:ptCount val="5"/>
                <c:pt idx="0">
                  <c:v>524.49</c:v>
                </c:pt>
                <c:pt idx="4">
                  <c:v>705.86</c:v>
                </c:pt>
              </c:numCache>
            </c:numRef>
          </c:val>
        </c:ser>
        <c:dLbls>
          <c:showLegendKey val="0"/>
          <c:showVal val="1"/>
          <c:showCatName val="0"/>
          <c:showSerName val="0"/>
          <c:showPercent val="0"/>
          <c:showBubbleSize val="0"/>
        </c:dLbls>
        <c:gapWidth val="173"/>
        <c:overlap val="-25"/>
        <c:axId val="376131442"/>
        <c:axId val="871246056"/>
      </c:barChart>
      <c:catAx>
        <c:axId val="376131442"/>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871246056"/>
        <c:crosses val="autoZero"/>
        <c:auto val="1"/>
        <c:lblAlgn val="ctr"/>
        <c:lblOffset val="100"/>
        <c:noMultiLvlLbl val="0"/>
      </c:catAx>
      <c:valAx>
        <c:axId val="871246056"/>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crossAx val="37613144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legend>
    <c:plotVisOnly val="1"/>
    <c:dispBlanksAs val="gap"/>
    <c:showDLblsOverMax val="0"/>
  </c:chart>
  <c:spPr>
    <a:blipFill rotWithShape="1">
      <a:blip xmlns:r="http://schemas.openxmlformats.org/officeDocument/2006/relationships" r:embed="rId3"/>
      <a:stretch>
        <a:fillRect/>
      </a:stretch>
    </a:blipFill>
    <a:ln w="9525" cap="flat" cmpd="sng" algn="ctr">
      <a:noFill/>
      <a:prstDash val="solid"/>
      <a:round/>
    </a:ln>
    <a:effectLst/>
  </c:spPr>
  <c:txPr>
    <a:bodyPr/>
    <a:lstStyle/>
    <a:p>
      <a:pPr>
        <a:defRPr lang="zh-CN">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rgbClr val="FFFFFF"/>
      </a:solidFill>
      <a:gradFill rotWithShape="1">
        <a:gsLst>
          <a:gs pos="0">
            <a:srgbClr val="FFFFFF">
              <a:lumMod val="110000"/>
              <a:satMod val="105000"/>
              <a:tint val="67000"/>
            </a:srgbClr>
          </a:gs>
          <a:gs pos="50000">
            <a:srgbClr val="FFFFFF">
              <a:lumMod val="105000"/>
              <a:satMod val="103000"/>
              <a:tint val="73000"/>
            </a:srgbClr>
          </a:gs>
          <a:gs pos="100000">
            <a:srgbClr val="FFFFFF">
              <a:lumMod val="105000"/>
              <a:satMod val="109000"/>
              <a:tint val="81000"/>
            </a:srgbClr>
          </a:gs>
        </a:gsLst>
        <a:lin ang="5400000" scaled="0"/>
      </a:gradFill>
      <a:gradFill rotWithShape="1">
        <a:gsLst>
          <a:gs pos="0">
            <a:srgbClr val="FFFFFF">
              <a:satMod val="103000"/>
              <a:lumMod val="102000"/>
              <a:tint val="94000"/>
            </a:srgbClr>
          </a:gs>
          <a:gs pos="50000">
            <a:srgbClr val="FFFFFF">
              <a:satMod val="110000"/>
              <a:lumMod val="100000"/>
              <a:shade val="100000"/>
            </a:srgbClr>
          </a:gs>
          <a:gs pos="100000">
            <a:srgbClr val="E2E2E2">
              <a:lumMod val="99000"/>
              <a:satMod val="120000"/>
              <a:shade val="78000"/>
            </a:srgbClr>
          </a:gs>
        </a:gsLst>
        <a:lin ang="5400000" scaled="0"/>
      </a:gradFill>
    </a:fillStyleLst>
    <a:lnStyleLst>
      <a:ln w="6350" cap="flat" cmpd="sng" algn="ctr">
        <a:solidFill>
          <a:srgbClr val="FFFFFF"/>
        </a:solidFill>
        <a:prstDash val="solid"/>
        <a:miter lim="800000"/>
      </a:ln>
      <a:ln w="12700" cap="flat" cmpd="sng" algn="ctr">
        <a:solidFill>
          <a:srgbClr val="FFFFFF"/>
        </a:solidFill>
        <a:prstDash val="solid"/>
        <a:miter lim="800000"/>
      </a:ln>
      <a:ln w="19050" cap="flat" cmpd="sng" algn="ctr">
        <a:solidFill>
          <a:srgbClr val="FFFFFF"/>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1">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8847</Words>
  <Characters>9921</Characters>
  <Lines>870</Lines>
  <Paragraphs>416</Paragraphs>
  <TotalTime>18</TotalTime>
  <ScaleCrop>false</ScaleCrop>
  <LinksUpToDate>false</LinksUpToDate>
  <CharactersWithSpaces>10213</CharactersWithSpaces>
  <Application>WPS Office_11.1.0.12353_F1E327BC-269C-435d-A152-05C5408002CA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2021-09-18T11:28:00Z</dcterms:created>
  <dc:creator>张彬茜</dc:creator>
  <cp:lastModifiedBy>WPS_1562147671</cp:lastModifiedBy>
  <cp:lastPrinted>2022-08-31T08:09:56Z</cp:lastPrinted>
  <dcterms:modified xsi:type="dcterms:W3CDTF">2022-08-31T08:14:55Z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F4A5EDDBFA7D41B3AAD50FAC272E0DB3</vt:lpwstr>
  </property>
</Properties>
</file>