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ind w:firstLine="3812" w:firstLineChars="1300"/>
        <w:jc w:val="both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val="en-US" w:eastAsia="zh-CN"/>
        </w:rPr>
        <w:t>目录</w:t>
      </w:r>
    </w:p>
    <w:p>
      <w:pPr>
        <w:numPr>
          <w:numId w:val="0"/>
        </w:numPr>
        <w:jc w:val="both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</w:p>
    <w:p>
      <w:pPr>
        <w:numPr>
          <w:numId w:val="0"/>
        </w:numPr>
        <w:jc w:val="both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val="en-US" w:eastAsia="zh-CN"/>
        </w:rPr>
        <w:t>一、</w:t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基本职能及主要工作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（一）财政所职能简介。</w:t>
      </w:r>
    </w:p>
    <w:p>
      <w:pPr>
        <w:widowControl/>
        <w:spacing w:line="560" w:lineRule="exact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（二）财政所</w:t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val="en-US" w:eastAsia="zh-CN"/>
        </w:rPr>
        <w:t>2019</w:t>
      </w:r>
      <w:bookmarkStart w:id="0" w:name="_GoBack"/>
      <w:bookmarkEnd w:id="0"/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年重点工作。</w:t>
      </w:r>
    </w:p>
    <w:p>
      <w:pPr>
        <w:spacing w:line="560" w:lineRule="exact"/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二、部门预算单位构成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三、收支预算情况说明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四、财政拨款收支预算情况说明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五、一般公共预算当年拨款情况说明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（一）一般公共预算当年拨款规模变化情况。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（二）一般公共预算当年拨款结构情况。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（三）一般公共预算当年拨款具体使用情况。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六、一般公共预算基本支出情况说明</w:t>
      </w:r>
    </w:p>
    <w:p>
      <w:pPr>
        <w:spacing w:line="560" w:lineRule="exact"/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七、“三公”经费财政拨款预算安排情况说明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八、政府性基金预算支出情况说明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九、国有资本经营预算支出情况说明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十、其他重要事项的情况说明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十一：名词解释</w:t>
      </w:r>
    </w:p>
    <w:p>
      <w:pPr>
        <w:numPr>
          <w:numId w:val="0"/>
        </w:numPr>
        <w:jc w:val="both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C2BE9"/>
    <w:rsid w:val="03D267F5"/>
    <w:rsid w:val="20045F17"/>
    <w:rsid w:val="34D74EB8"/>
    <w:rsid w:val="43BA3C5C"/>
    <w:rsid w:val="53145A48"/>
    <w:rsid w:val="782C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2021-05-24T09:28:00Z</dcterms:created>
  <dc:creator>WPS_1562147671</dc:creator>
  <cp:lastModifiedBy>WPS_1562147671</cp:lastModifiedBy>
  <dcterms:modified xsi:type="dcterms:W3CDTF">2021-05-24T09:36:37Z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