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FFABE">
      <w:pPr>
        <w:pageBreakBefore w:val="0"/>
        <w:kinsoku/>
        <w:wordWrap/>
        <w:overflowPunct/>
        <w:topLinePunct w:val="0"/>
        <w:bidi w:val="0"/>
        <w:spacing w:line="240" w:lineRule="auto"/>
        <w:jc w:val="center"/>
        <w:outlineLvl w:val="0"/>
        <w:rPr>
          <w:rFonts w:ascii="方正小标宋简体" w:eastAsia="方正小标宋简体"/>
          <w:color w:val="000000"/>
          <w:sz w:val="72"/>
          <w:szCs w:val="72"/>
        </w:rPr>
      </w:pPr>
      <w:bookmarkStart w:id="0" w:name="_Toc15306267"/>
    </w:p>
    <w:p w14:paraId="331735CE">
      <w:pPr>
        <w:pageBreakBefore w:val="0"/>
        <w:kinsoku/>
        <w:wordWrap/>
        <w:overflowPunct/>
        <w:topLinePunct w:val="0"/>
        <w:bidi w:val="0"/>
        <w:spacing w:line="240" w:lineRule="auto"/>
        <w:jc w:val="center"/>
        <w:outlineLvl w:val="0"/>
        <w:rPr>
          <w:rFonts w:ascii="方正小标宋简体" w:eastAsia="方正小标宋简体"/>
          <w:color w:val="000000"/>
          <w:sz w:val="72"/>
          <w:szCs w:val="72"/>
        </w:rPr>
      </w:pPr>
    </w:p>
    <w:p w14:paraId="16618B6F">
      <w:pPr>
        <w:pageBreakBefore w:val="0"/>
        <w:kinsoku/>
        <w:wordWrap/>
        <w:overflowPunct/>
        <w:topLinePunct w:val="0"/>
        <w:bidi w:val="0"/>
        <w:spacing w:line="240" w:lineRule="auto"/>
        <w:jc w:val="center"/>
        <w:outlineLvl w:val="0"/>
        <w:rPr>
          <w:rFonts w:ascii="方正小标宋简体" w:eastAsia="方正小标宋简体"/>
          <w:color w:val="000000"/>
          <w:sz w:val="72"/>
          <w:szCs w:val="72"/>
        </w:rPr>
      </w:pPr>
    </w:p>
    <w:p w14:paraId="75DCBD87">
      <w:pPr>
        <w:keepNext w:val="0"/>
        <w:keepLines w:val="0"/>
        <w:pageBreakBefore w:val="0"/>
        <w:widowControl w:val="0"/>
        <w:kinsoku/>
        <w:wordWrap/>
        <w:overflowPunct/>
        <w:topLinePunct w:val="0"/>
        <w:autoSpaceDE/>
        <w:autoSpaceDN/>
        <w:bidi w:val="0"/>
        <w:spacing w:line="240" w:lineRule="auto"/>
        <w:jc w:val="center"/>
        <w:textAlignment w:val="auto"/>
        <w:outlineLvl w:val="0"/>
        <w:rPr>
          <w:rFonts w:ascii="方正小标宋简体" w:eastAsia="方正小标宋简体"/>
          <w:color w:val="000000"/>
          <w:sz w:val="72"/>
          <w:szCs w:val="72"/>
        </w:rPr>
      </w:pPr>
    </w:p>
    <w:p w14:paraId="318622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0"/>
        <w:rPr>
          <w:rFonts w:ascii="方正小标宋简体" w:eastAsia="方正小标宋简体"/>
          <w:color w:val="000000"/>
          <w:sz w:val="72"/>
          <w:szCs w:val="72"/>
        </w:rPr>
      </w:pPr>
      <w:bookmarkStart w:id="1" w:name="_Toc15377193"/>
      <w:bookmarkStart w:id="2" w:name="_Toc15396597"/>
      <w:bookmarkStart w:id="3" w:name="_Toc15378441"/>
      <w:bookmarkStart w:id="4" w:name="_Toc15396475"/>
      <w:bookmarkStart w:id="5" w:name="_Toc12796"/>
      <w:bookmarkStart w:id="6" w:name="_Toc15377425"/>
      <w:r>
        <w:rPr>
          <w:rFonts w:hint="eastAsia" w:ascii="黑体" w:eastAsia="黑体"/>
          <w:color w:val="000000"/>
          <w:sz w:val="72"/>
          <w:szCs w:val="72"/>
          <w:lang w:eastAsia="zh-CN"/>
        </w:rPr>
        <w:t>2024年</w:t>
      </w:r>
      <w:r>
        <w:rPr>
          <w:rFonts w:hint="eastAsia" w:ascii="方正小标宋简体" w:eastAsia="方正小标宋简体"/>
          <w:color w:val="000000"/>
          <w:sz w:val="72"/>
          <w:szCs w:val="72"/>
        </w:rPr>
        <w:t>度</w:t>
      </w:r>
      <w:bookmarkEnd w:id="1"/>
      <w:bookmarkEnd w:id="2"/>
      <w:bookmarkEnd w:id="3"/>
      <w:bookmarkEnd w:id="4"/>
      <w:bookmarkEnd w:id="5"/>
      <w:bookmarkEnd w:id="6"/>
    </w:p>
    <w:p w14:paraId="6FA6DF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0"/>
        <w:rPr>
          <w:rFonts w:ascii="方正小标宋简体" w:eastAsia="方正小标宋简体"/>
          <w:color w:val="000000"/>
          <w:sz w:val="72"/>
          <w:szCs w:val="72"/>
        </w:rPr>
      </w:pPr>
      <w:bookmarkStart w:id="7" w:name="_Toc15378442"/>
      <w:bookmarkStart w:id="8" w:name="_Toc15396598"/>
      <w:bookmarkStart w:id="9" w:name="_Toc15377426"/>
      <w:bookmarkStart w:id="10" w:name="_Toc6811"/>
      <w:bookmarkStart w:id="11" w:name="_Toc15377194"/>
      <w:bookmarkStart w:id="12" w:name="_Toc15396476"/>
      <w:r>
        <w:rPr>
          <w:rFonts w:hint="eastAsia" w:ascii="方正小标宋简体" w:eastAsia="方正小标宋简体"/>
          <w:color w:val="000000"/>
          <w:sz w:val="72"/>
          <w:szCs w:val="72"/>
        </w:rPr>
        <w:t>四川省</w:t>
      </w:r>
      <w:bookmarkEnd w:id="0"/>
      <w:bookmarkStart w:id="13" w:name="_Toc15306268"/>
      <w:r>
        <w:rPr>
          <w:rFonts w:hint="eastAsia" w:ascii="方正小标宋简体" w:eastAsia="方正小标宋简体"/>
          <w:color w:val="000000"/>
          <w:sz w:val="72"/>
          <w:szCs w:val="72"/>
        </w:rPr>
        <w:t>金川县</w:t>
      </w:r>
      <w:r>
        <w:rPr>
          <w:rFonts w:hint="eastAsia" w:ascii="方正小标宋简体" w:eastAsia="方正小标宋简体"/>
          <w:color w:val="000000"/>
          <w:sz w:val="72"/>
          <w:szCs w:val="72"/>
          <w:lang w:eastAsia="zh-CN"/>
        </w:rPr>
        <w:t>二嘎里</w:t>
      </w:r>
      <w:r>
        <w:rPr>
          <w:rFonts w:hint="eastAsia" w:ascii="方正小标宋简体" w:eastAsia="方正小标宋简体"/>
          <w:color w:val="000000"/>
          <w:sz w:val="72"/>
          <w:szCs w:val="72"/>
        </w:rPr>
        <w:t>乡人民政府部门决算</w:t>
      </w:r>
      <w:bookmarkEnd w:id="7"/>
      <w:bookmarkEnd w:id="8"/>
      <w:bookmarkEnd w:id="9"/>
      <w:bookmarkEnd w:id="10"/>
      <w:bookmarkEnd w:id="11"/>
      <w:bookmarkEnd w:id="12"/>
      <w:bookmarkEnd w:id="13"/>
    </w:p>
    <w:p w14:paraId="1C77020E">
      <w:pPr>
        <w:pageBreakBefore w:val="0"/>
        <w:widowControl/>
        <w:kinsoku/>
        <w:wordWrap/>
        <w:overflowPunct/>
        <w:topLinePunct w:val="0"/>
        <w:bidi w:val="0"/>
        <w:spacing w:line="240" w:lineRule="auto"/>
        <w:jc w:val="center"/>
        <w:rPr>
          <w:rFonts w:ascii="方正小标宋简体" w:eastAsia="方正小标宋简体"/>
          <w:color w:val="000000"/>
          <w:sz w:val="36"/>
          <w:szCs w:val="36"/>
        </w:rPr>
      </w:pPr>
    </w:p>
    <w:p w14:paraId="73130D4C">
      <w:pPr>
        <w:pageBreakBefore w:val="0"/>
        <w:widowControl/>
        <w:kinsoku/>
        <w:wordWrap/>
        <w:overflowPunct/>
        <w:topLinePunct w:val="0"/>
        <w:bidi w:val="0"/>
        <w:spacing w:line="240" w:lineRule="auto"/>
        <w:jc w:val="center"/>
        <w:rPr>
          <w:rFonts w:ascii="方正小标宋简体" w:eastAsia="方正小标宋简体"/>
          <w:color w:val="000000"/>
          <w:sz w:val="36"/>
          <w:szCs w:val="36"/>
        </w:rPr>
      </w:pPr>
    </w:p>
    <w:p w14:paraId="346C15BD">
      <w:pPr>
        <w:pageBreakBefore w:val="0"/>
        <w:widowControl/>
        <w:kinsoku/>
        <w:wordWrap/>
        <w:overflowPunct/>
        <w:topLinePunct w:val="0"/>
        <w:bidi w:val="0"/>
        <w:spacing w:line="240" w:lineRule="auto"/>
        <w:jc w:val="center"/>
        <w:rPr>
          <w:rFonts w:ascii="方正小标宋简体" w:eastAsia="方正小标宋简体"/>
          <w:color w:val="000000"/>
          <w:sz w:val="36"/>
          <w:szCs w:val="36"/>
        </w:rPr>
      </w:pPr>
    </w:p>
    <w:p w14:paraId="54BF37BE">
      <w:pPr>
        <w:pageBreakBefore w:val="0"/>
        <w:widowControl/>
        <w:kinsoku/>
        <w:wordWrap/>
        <w:overflowPunct/>
        <w:topLinePunct w:val="0"/>
        <w:bidi w:val="0"/>
        <w:spacing w:line="240" w:lineRule="auto"/>
        <w:jc w:val="center"/>
        <w:rPr>
          <w:rFonts w:hint="eastAsia"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14:paraId="0413EB0F">
      <w:pPr>
        <w:pStyle w:val="2"/>
        <w:pageBreakBefore w:val="0"/>
        <w:kinsoku/>
        <w:wordWrap/>
        <w:overflowPunct/>
        <w:topLinePunct w:val="0"/>
        <w:bidi w:val="0"/>
        <w:spacing w:line="240" w:lineRule="auto"/>
        <w:ind w:left="0" w:leftChars="0" w:firstLine="0" w:firstLineChars="0"/>
        <w:jc w:val="center"/>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t>公开时间：2025年</w:t>
      </w:r>
      <w:r>
        <w:rPr>
          <w:rFonts w:hint="eastAsia" w:ascii="仿宋" w:eastAsia="仿宋" w:cs="Times New Roman"/>
          <w:kern w:val="2"/>
          <w:sz w:val="28"/>
          <w:szCs w:val="28"/>
          <w:lang w:val="en-US" w:eastAsia="zh-CN" w:bidi="ar-SA"/>
        </w:rPr>
        <w:t>8</w:t>
      </w:r>
      <w:r>
        <w:rPr>
          <w:rFonts w:hint="eastAsia" w:ascii="仿宋" w:hAnsi="Times New Roman" w:eastAsia="仿宋" w:cs="Times New Roman"/>
          <w:kern w:val="2"/>
          <w:sz w:val="28"/>
          <w:szCs w:val="28"/>
          <w:lang w:val="en-US" w:eastAsia="zh-CN" w:bidi="ar-SA"/>
        </w:rPr>
        <w:t>月25日</w:t>
      </w:r>
    </w:p>
    <w:p w14:paraId="75DA66B4">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left"/>
        <w:textAlignment w:val="auto"/>
        <w:rPr>
          <w:rFonts w:hint="eastAsia" w:ascii="仿宋_GB2312" w:eastAsia="仿宋_GB2312" w:cs="仿宋_GB2312"/>
          <w:color w:val="auto"/>
          <w:sz w:val="30"/>
          <w:szCs w:val="30"/>
          <w:highlight w:val="none"/>
          <w:lang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_Toc17082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 xml:space="preserve">第一部分 </w:t>
      </w:r>
      <w:r>
        <w:rPr>
          <w:rFonts w:hint="eastAsia" w:ascii="仿宋_GB2312" w:eastAsia="仿宋_GB2312" w:cs="仿宋_GB2312"/>
          <w:color w:val="auto"/>
          <w:sz w:val="30"/>
          <w:szCs w:val="30"/>
          <w:highlight w:val="none"/>
          <w:lang w:eastAsia="zh-CN" w:bidi="ar-SA"/>
        </w:rPr>
        <w:t>单位</w:t>
      </w:r>
      <w:r>
        <w:rPr>
          <w:rFonts w:hint="eastAsia" w:ascii="仿宋_GB2312" w:eastAsia="仿宋_GB2312" w:cs="仿宋_GB2312"/>
          <w:color w:val="auto"/>
          <w:sz w:val="30"/>
          <w:szCs w:val="30"/>
          <w:highlight w:val="none"/>
          <w:lang w:bidi="ar-SA"/>
        </w:rPr>
        <w:t>概况</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PAGEREF _Toc17082 \h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4</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bidi="ar-SA"/>
        </w:rPr>
        <w:fldChar w:fldCharType="end"/>
      </w:r>
    </w:p>
    <w:p w14:paraId="2BA8F9FE">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_Toc28443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eastAsia="zh-CN" w:bidi="ar-SA"/>
        </w:rPr>
        <w:t>一、 主要职责</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PAGEREF _Toc28443 \h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4</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bidi="ar-SA"/>
        </w:rPr>
        <w:fldChar w:fldCharType="end"/>
      </w:r>
    </w:p>
    <w:p w14:paraId="0A4CD435">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_Toc40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val="en-US" w:eastAsia="zh-CN" w:bidi="ar-SA"/>
        </w:rPr>
        <w:t>二、 机构设置</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PAGEREF _Toc40 \h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5</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bidi="ar-SA"/>
        </w:rPr>
        <w:fldChar w:fldCharType="end"/>
      </w:r>
    </w:p>
    <w:p w14:paraId="69242632">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left"/>
        <w:textAlignment w:val="auto"/>
        <w:rPr>
          <w:rFonts w:hint="eastAsia" w:ascii="仿宋_GB2312" w:eastAsia="仿宋_GB2312" w:cs="仿宋_GB2312"/>
          <w:color w:val="auto"/>
          <w:sz w:val="30"/>
          <w:szCs w:val="30"/>
          <w:highlight w:val="none"/>
          <w:lang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_Toc32471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 xml:space="preserve">第二部分 </w:t>
      </w:r>
      <w:r>
        <w:rPr>
          <w:rFonts w:hint="eastAsia" w:ascii="仿宋_GB2312" w:eastAsia="仿宋_GB2312" w:cs="仿宋_GB2312"/>
          <w:color w:val="auto"/>
          <w:sz w:val="30"/>
          <w:szCs w:val="30"/>
          <w:highlight w:val="none"/>
          <w:lang w:val="en-US" w:eastAsia="zh-CN" w:bidi="ar-SA"/>
        </w:rPr>
        <w:t>2024年度</w:t>
      </w:r>
      <w:r>
        <w:rPr>
          <w:rFonts w:hint="eastAsia" w:ascii="仿宋_GB2312" w:eastAsia="仿宋_GB2312" w:cs="仿宋_GB2312"/>
          <w:color w:val="auto"/>
          <w:sz w:val="30"/>
          <w:szCs w:val="30"/>
          <w:highlight w:val="none"/>
          <w:lang w:eastAsia="zh-CN" w:bidi="ar-SA"/>
        </w:rPr>
        <w:t>单位</w:t>
      </w:r>
      <w:r>
        <w:rPr>
          <w:rFonts w:hint="eastAsia" w:ascii="仿宋_GB2312" w:eastAsia="仿宋_GB2312" w:cs="仿宋_GB2312"/>
          <w:color w:val="auto"/>
          <w:sz w:val="30"/>
          <w:szCs w:val="30"/>
          <w:highlight w:val="none"/>
          <w:lang w:bidi="ar-SA"/>
        </w:rPr>
        <w:t>决算情况说明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5</w:t>
      </w:r>
      <w:r>
        <w:rPr>
          <w:rFonts w:hint="eastAsia" w:ascii="仿宋_GB2312" w:eastAsia="仿宋_GB2312" w:cs="仿宋_GB2312"/>
          <w:color w:val="auto"/>
          <w:sz w:val="30"/>
          <w:szCs w:val="30"/>
          <w:highlight w:val="none"/>
          <w:lang w:bidi="ar-SA"/>
        </w:rPr>
        <w:fldChar w:fldCharType="end"/>
      </w:r>
    </w:p>
    <w:p w14:paraId="582100FE">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_Toc32324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一、 收入支出决算总体情况说明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PAGEREF _Toc32324 \h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6</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bidi="ar-SA"/>
        </w:rPr>
        <w:fldChar w:fldCharType="end"/>
      </w:r>
    </w:p>
    <w:p w14:paraId="38B3171A">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_Toc20735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二、 收入决算情况说明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6</w:t>
      </w:r>
      <w:r>
        <w:rPr>
          <w:rFonts w:hint="eastAsia" w:ascii="仿宋_GB2312" w:eastAsia="仿宋_GB2312" w:cs="仿宋_GB2312"/>
          <w:color w:val="auto"/>
          <w:sz w:val="30"/>
          <w:szCs w:val="30"/>
          <w:highlight w:val="none"/>
          <w:lang w:bidi="ar-SA"/>
        </w:rPr>
        <w:fldChar w:fldCharType="end"/>
      </w:r>
    </w:p>
    <w:p w14:paraId="4F965EA4">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_Toc4854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三、 支出决算情况说明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PAGEREF _Toc4854 \h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7</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bidi="ar-SA"/>
        </w:rPr>
        <w:fldChar w:fldCharType="end"/>
      </w:r>
    </w:p>
    <w:p w14:paraId="61598318">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_Toc7770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四、财政拨款收入支出决算总体情况说明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7</w:t>
      </w:r>
      <w:r>
        <w:rPr>
          <w:rFonts w:hint="eastAsia" w:ascii="仿宋_GB2312" w:eastAsia="仿宋_GB2312" w:cs="仿宋_GB2312"/>
          <w:color w:val="auto"/>
          <w:sz w:val="30"/>
          <w:szCs w:val="30"/>
          <w:highlight w:val="none"/>
          <w:lang w:bidi="ar-SA"/>
        </w:rPr>
        <w:fldChar w:fldCharType="end"/>
      </w:r>
    </w:p>
    <w:p w14:paraId="6D0D7ED5">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_Toc11995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五、一般公共预算财政拨款支出决算情况说明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PAGEREF _Toc11995 \h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8</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bidi="ar-SA"/>
        </w:rPr>
        <w:fldChar w:fldCharType="end"/>
      </w:r>
    </w:p>
    <w:p w14:paraId="2183B806">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_Toc9916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六、一般公共预算财政拨款基本支出决算情况说明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1</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3FA9F51F">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_Toc25888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七、财政拨款“三公”经费支出决算情况说明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1</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2</w:t>
      </w:r>
    </w:p>
    <w:p w14:paraId="4670A3FF">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_Toc4430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八、政府性基金预算支出决算情况说明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1</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3</w:t>
      </w:r>
    </w:p>
    <w:p w14:paraId="1FADCE6A">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_Toc2665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九、 国有资本经营预算支出决算情况说明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1</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_Toc19226 </w:instrText>
      </w:r>
      <w:r>
        <w:rPr>
          <w:rFonts w:hint="eastAsia" w:ascii="仿宋_GB2312" w:eastAsia="仿宋_GB2312" w:cs="仿宋_GB2312"/>
          <w:color w:val="auto"/>
          <w:sz w:val="30"/>
          <w:szCs w:val="30"/>
          <w:highlight w:val="none"/>
          <w:lang w:bidi="ar-SA"/>
        </w:rPr>
        <w:fldChar w:fldCharType="separate"/>
      </w:r>
    </w:p>
    <w:p w14:paraId="6E665CA2">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val="en-US" w:eastAsia="zh-CN" w:bidi="ar-SA"/>
        </w:rPr>
        <w:t>十</w:t>
      </w:r>
      <w:r>
        <w:rPr>
          <w:rFonts w:hint="eastAsia" w:ascii="仿宋_GB2312" w:eastAsia="仿宋_GB2312" w:cs="仿宋_GB2312"/>
          <w:color w:val="auto"/>
          <w:sz w:val="30"/>
          <w:szCs w:val="30"/>
          <w:highlight w:val="none"/>
          <w:lang w:bidi="ar-SA"/>
        </w:rPr>
        <w:t>、 其他重要事项的情况说明</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1</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3</w:t>
      </w:r>
    </w:p>
    <w:p w14:paraId="5B2A4469">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_Toc22063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第三部分 名词解释</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1</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5</w:t>
      </w:r>
    </w:p>
    <w:p w14:paraId="23F5952A">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_Toc31371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 xml:space="preserve">第四部分 </w:t>
      </w:r>
      <w:r>
        <w:rPr>
          <w:rFonts w:hint="eastAsia" w:ascii="仿宋_GB2312" w:eastAsia="仿宋_GB2312" w:cs="仿宋_GB2312"/>
          <w:color w:val="auto"/>
          <w:sz w:val="30"/>
          <w:szCs w:val="30"/>
          <w:highlight w:val="none"/>
          <w:lang w:eastAsia="zh-CN" w:bidi="ar-SA"/>
        </w:rPr>
        <w:t>20</w:t>
      </w:r>
      <w:r>
        <w:rPr>
          <w:rFonts w:hint="eastAsia" w:ascii="仿宋_GB2312" w:eastAsia="仿宋_GB2312" w:cs="仿宋_GB2312"/>
          <w:color w:val="auto"/>
          <w:sz w:val="30"/>
          <w:szCs w:val="30"/>
          <w:highlight w:val="none"/>
          <w:lang w:val="en-US" w:eastAsia="zh-CN" w:bidi="ar-SA"/>
        </w:rPr>
        <w:t>24</w:t>
      </w:r>
      <w:r>
        <w:rPr>
          <w:rFonts w:hint="eastAsia" w:ascii="仿宋_GB2312" w:eastAsia="仿宋_GB2312" w:cs="仿宋_GB2312"/>
          <w:color w:val="auto"/>
          <w:sz w:val="30"/>
          <w:szCs w:val="30"/>
          <w:highlight w:val="none"/>
          <w:lang w:eastAsia="zh-CN" w:bidi="ar-SA"/>
        </w:rPr>
        <w:t>年部门预算</w:t>
      </w:r>
      <w:r>
        <w:rPr>
          <w:rFonts w:hint="eastAsia" w:ascii="仿宋_GB2312" w:eastAsia="仿宋_GB2312" w:cs="仿宋_GB2312"/>
          <w:color w:val="auto"/>
          <w:sz w:val="30"/>
          <w:szCs w:val="30"/>
          <w:highlight w:val="none"/>
          <w:lang w:bidi="ar-SA"/>
        </w:rPr>
        <w:t>绩效</w:t>
      </w:r>
      <w:r>
        <w:rPr>
          <w:rFonts w:hint="eastAsia" w:ascii="仿宋_GB2312" w:eastAsia="仿宋_GB2312" w:cs="仿宋_GB2312"/>
          <w:color w:val="auto"/>
          <w:sz w:val="30"/>
          <w:szCs w:val="30"/>
          <w:highlight w:val="none"/>
          <w:lang w:eastAsia="zh-CN" w:bidi="ar-SA"/>
        </w:rPr>
        <w:t>评价</w:t>
      </w:r>
      <w:r>
        <w:rPr>
          <w:rFonts w:hint="eastAsia" w:ascii="仿宋_GB2312" w:eastAsia="仿宋_GB2312" w:cs="仿宋_GB2312"/>
          <w:color w:val="auto"/>
          <w:sz w:val="30"/>
          <w:szCs w:val="30"/>
          <w:highlight w:val="none"/>
          <w:lang w:bidi="ar-SA"/>
        </w:rPr>
        <w:t>报告</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1</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8</w:t>
      </w:r>
    </w:p>
    <w:p w14:paraId="0212B52D">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_Toc20348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第五部分 附表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15D88379">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_Toc11229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一、收入支出决算总表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1ECB82B8">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_Toc17838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二、收入决算表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4AC6A608">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_Toc12499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三、支出决算表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69973F8B">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_Toc13643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四、财政拨款收入支出决算总表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169E28AB">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_Toc18203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五、财政拨款支出决算明细表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30AB9E77">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_Toc8495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六、一般公共预算财政拨款支出决算表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2FA2D1FF">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_Toc23770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七、一般公共预算财政拨款支出决算明细表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29B5C152">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_Toc8918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八、一般公共预算财政拨款基本支出决算表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5568D1F9">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_Toc8663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九、一般公共预算财政拨款项目支出决算表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384A029C">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_Toc15909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十、政府性基金预算财政拨款收入支出决算表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4135CF22">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_Toc14521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十一、国有资本经营预算</w:t>
      </w:r>
      <w:r>
        <w:rPr>
          <w:rFonts w:hint="eastAsia" w:ascii="仿宋_GB2312" w:eastAsia="仿宋_GB2312" w:cs="仿宋_GB2312"/>
          <w:color w:val="auto"/>
          <w:sz w:val="30"/>
          <w:szCs w:val="30"/>
          <w:highlight w:val="none"/>
          <w:lang w:eastAsia="zh-CN" w:bidi="ar-SA"/>
        </w:rPr>
        <w:t>财政拨款收入</w:t>
      </w:r>
      <w:r>
        <w:rPr>
          <w:rFonts w:hint="eastAsia" w:ascii="仿宋_GB2312" w:eastAsia="仿宋_GB2312" w:cs="仿宋_GB2312"/>
          <w:color w:val="auto"/>
          <w:sz w:val="30"/>
          <w:szCs w:val="30"/>
          <w:highlight w:val="none"/>
          <w:lang w:bidi="ar-SA"/>
        </w:rPr>
        <w:t>支出决算表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01623151">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_Toc18479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十二、</w:t>
      </w:r>
      <w:r>
        <w:rPr>
          <w:rFonts w:hint="eastAsia" w:ascii="仿宋_GB2312" w:eastAsia="仿宋_GB2312" w:cs="仿宋_GB2312"/>
          <w:color w:val="auto"/>
          <w:sz w:val="30"/>
          <w:szCs w:val="30"/>
          <w:highlight w:val="none"/>
          <w:lang w:eastAsia="zh-CN" w:bidi="ar-SA"/>
        </w:rPr>
        <w:t>国有资本经营预算财政拨款支出决算表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660AD334">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_Toc4907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bidi="ar-SA"/>
        </w:rPr>
        <w:t>十三、</w:t>
      </w:r>
      <w:r>
        <w:rPr>
          <w:rFonts w:hint="eastAsia" w:ascii="仿宋_GB2312" w:eastAsia="仿宋_GB2312" w:cs="仿宋_GB2312"/>
          <w:color w:val="auto"/>
          <w:sz w:val="30"/>
          <w:szCs w:val="30"/>
          <w:highlight w:val="none"/>
          <w:lang w:eastAsia="zh-CN" w:bidi="ar-SA"/>
        </w:rPr>
        <w:t>财政拨款“三公”经费支出决算表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p>
    <w:p w14:paraId="3BFFDDDF">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600" w:firstLineChars="200"/>
        <w:jc w:val="left"/>
        <w:textAlignment w:val="auto"/>
        <w:rPr>
          <w:rFonts w:hint="eastAsia" w:ascii="仿宋_GB2312" w:eastAsia="仿宋_GB2312" w:cs="仿宋_GB2312"/>
          <w:color w:val="auto"/>
          <w:sz w:val="30"/>
          <w:szCs w:val="30"/>
          <w:highlight w:val="none"/>
          <w:lang w:val="en-US" w:eastAsia="zh-CN" w:bidi="ar-SA"/>
        </w:rPr>
      </w:pPr>
      <w:r>
        <w:rPr>
          <w:rFonts w:hint="eastAsia" w:ascii="仿宋_GB2312" w:eastAsia="仿宋_GB2312" w:cs="仿宋_GB2312"/>
          <w:color w:val="auto"/>
          <w:sz w:val="30"/>
          <w:szCs w:val="30"/>
          <w:highlight w:val="none"/>
          <w:lang w:bidi="ar-SA"/>
        </w:rPr>
        <w:fldChar w:fldCharType="begin"/>
      </w:r>
      <w:r>
        <w:rPr>
          <w:rFonts w:hint="eastAsia" w:ascii="仿宋_GB2312" w:eastAsia="仿宋_GB2312" w:cs="仿宋_GB2312"/>
          <w:color w:val="auto"/>
          <w:sz w:val="30"/>
          <w:szCs w:val="30"/>
          <w:highlight w:val="none"/>
          <w:lang w:bidi="ar-SA"/>
        </w:rPr>
        <w:instrText xml:space="preserve"> HYPERLINK \l _Toc8528 </w:instrText>
      </w:r>
      <w:r>
        <w:rPr>
          <w:rFonts w:hint="eastAsia" w:ascii="仿宋_GB2312" w:eastAsia="仿宋_GB2312" w:cs="仿宋_GB2312"/>
          <w:color w:val="auto"/>
          <w:sz w:val="30"/>
          <w:szCs w:val="30"/>
          <w:highlight w:val="none"/>
          <w:lang w:bidi="ar-SA"/>
        </w:rPr>
        <w:fldChar w:fldCharType="separate"/>
      </w:r>
      <w:r>
        <w:rPr>
          <w:rFonts w:hint="eastAsia" w:ascii="仿宋_GB2312" w:eastAsia="仿宋_GB2312" w:cs="仿宋_GB2312"/>
          <w:color w:val="auto"/>
          <w:sz w:val="30"/>
          <w:szCs w:val="30"/>
          <w:highlight w:val="none"/>
          <w:lang w:val="en-US" w:eastAsia="zh-CN" w:bidi="ar-SA"/>
        </w:rPr>
        <w:t>十四、部门预算项目支出绩效自评表</w:t>
      </w:r>
      <w:r>
        <w:rPr>
          <w:rFonts w:hint="eastAsia" w:ascii="仿宋_GB2312" w:eastAsia="仿宋_GB2312" w:cs="仿宋_GB2312"/>
          <w:color w:val="auto"/>
          <w:sz w:val="30"/>
          <w:szCs w:val="30"/>
          <w:highlight w:val="none"/>
          <w:lang w:bidi="ar-SA"/>
        </w:rPr>
        <w:tab/>
      </w:r>
      <w:r>
        <w:rPr>
          <w:rFonts w:hint="eastAsia" w:ascii="仿宋_GB2312" w:eastAsia="仿宋_GB2312" w:cs="仿宋_GB2312"/>
          <w:color w:val="auto"/>
          <w:sz w:val="30"/>
          <w:szCs w:val="30"/>
          <w:highlight w:val="none"/>
          <w:lang w:val="en-US" w:eastAsia="zh-CN" w:bidi="ar-SA"/>
        </w:rPr>
        <w:t>3</w:t>
      </w:r>
      <w:r>
        <w:rPr>
          <w:rFonts w:hint="eastAsia" w:ascii="仿宋_GB2312" w:eastAsia="仿宋_GB2312" w:cs="仿宋_GB2312"/>
          <w:color w:val="auto"/>
          <w:sz w:val="30"/>
          <w:szCs w:val="30"/>
          <w:highlight w:val="none"/>
          <w:lang w:bidi="ar-SA"/>
        </w:rPr>
        <w:fldChar w:fldCharType="end"/>
      </w:r>
      <w:r>
        <w:rPr>
          <w:rFonts w:hint="eastAsia" w:ascii="仿宋_GB2312" w:eastAsia="仿宋_GB2312" w:cs="仿宋_GB2312"/>
          <w:color w:val="auto"/>
          <w:sz w:val="30"/>
          <w:szCs w:val="30"/>
          <w:highlight w:val="none"/>
          <w:lang w:val="en-US" w:eastAsia="zh-CN" w:bidi="ar-SA"/>
        </w:rPr>
        <w:t>1</w:t>
      </w:r>
      <w:bookmarkStart w:id="74" w:name="_GoBack"/>
      <w:bookmarkEnd w:id="74"/>
    </w:p>
    <w:p w14:paraId="44B51D10">
      <w:pPr>
        <w:pStyle w:val="2"/>
        <w:pageBreakBefore w:val="0"/>
        <w:kinsoku/>
        <w:wordWrap/>
        <w:overflowPunct/>
        <w:topLinePunct w:val="0"/>
        <w:bidi w:val="0"/>
        <w:spacing w:line="240" w:lineRule="auto"/>
        <w:rPr>
          <w:rFonts w:hint="eastAsia"/>
        </w:rPr>
      </w:pPr>
    </w:p>
    <w:p w14:paraId="006BC50D">
      <w:pPr>
        <w:pStyle w:val="2"/>
        <w:pageBreakBefore w:val="0"/>
        <w:kinsoku/>
        <w:wordWrap/>
        <w:overflowPunct/>
        <w:topLinePunct w:val="0"/>
        <w:bidi w:val="0"/>
        <w:spacing w:line="240" w:lineRule="auto"/>
        <w:ind w:left="0" w:leftChars="0" w:firstLine="0" w:firstLineChars="0"/>
        <w:rPr>
          <w:rFonts w:hint="eastAsia"/>
        </w:rPr>
      </w:pPr>
    </w:p>
    <w:p w14:paraId="5AA0623A">
      <w:pPr>
        <w:pageBreakBefore w:val="0"/>
        <w:kinsoku/>
        <w:wordWrap/>
        <w:overflowPunct/>
        <w:topLinePunct w:val="0"/>
        <w:bidi w:val="0"/>
        <w:spacing w:line="240" w:lineRule="auto"/>
        <w:rPr>
          <w:rFonts w:hint="eastAsia"/>
        </w:rPr>
      </w:pPr>
    </w:p>
    <w:p w14:paraId="7933CF69">
      <w:pPr>
        <w:pageBreakBefore w:val="0"/>
        <w:kinsoku/>
        <w:wordWrap/>
        <w:overflowPunct/>
        <w:topLinePunct w:val="0"/>
        <w:bidi w:val="0"/>
        <w:spacing w:line="240" w:lineRule="auto"/>
        <w:rPr>
          <w:rFonts w:hint="eastAsia"/>
        </w:rPr>
      </w:pPr>
    </w:p>
    <w:p w14:paraId="68D6665A">
      <w:pPr>
        <w:pageBreakBefore w:val="0"/>
        <w:kinsoku/>
        <w:wordWrap/>
        <w:overflowPunct/>
        <w:topLinePunct w:val="0"/>
        <w:bidi w:val="0"/>
        <w:spacing w:line="240" w:lineRule="auto"/>
        <w:rPr>
          <w:rFonts w:hint="eastAsia"/>
        </w:rPr>
      </w:pPr>
    </w:p>
    <w:p w14:paraId="40F869B9">
      <w:pPr>
        <w:pStyle w:val="2"/>
        <w:rPr>
          <w:rFonts w:hint="eastAsia"/>
        </w:rPr>
      </w:pPr>
    </w:p>
    <w:p w14:paraId="4ACE3A20">
      <w:pPr>
        <w:rPr>
          <w:rFonts w:hint="eastAsia"/>
        </w:rPr>
      </w:pPr>
    </w:p>
    <w:p w14:paraId="70141FCD">
      <w:pPr>
        <w:pStyle w:val="2"/>
        <w:rPr>
          <w:rFonts w:hint="eastAsia"/>
        </w:rPr>
      </w:pPr>
    </w:p>
    <w:p w14:paraId="4C9D64C9">
      <w:pPr>
        <w:rPr>
          <w:rFonts w:hint="eastAsia"/>
        </w:rPr>
      </w:pPr>
    </w:p>
    <w:p w14:paraId="7D54E711">
      <w:pPr>
        <w:pStyle w:val="2"/>
        <w:rPr>
          <w:rFonts w:hint="eastAsia"/>
        </w:rPr>
      </w:pPr>
    </w:p>
    <w:p w14:paraId="20D18231">
      <w:pPr>
        <w:rPr>
          <w:rFonts w:hint="eastAsia"/>
        </w:rPr>
      </w:pPr>
    </w:p>
    <w:p w14:paraId="083FFCE1">
      <w:pPr>
        <w:pStyle w:val="2"/>
        <w:rPr>
          <w:rFonts w:hint="eastAsia"/>
        </w:rPr>
      </w:pPr>
    </w:p>
    <w:p w14:paraId="05E0F427">
      <w:pPr>
        <w:rPr>
          <w:rFonts w:hint="eastAsia"/>
        </w:rPr>
      </w:pPr>
    </w:p>
    <w:p w14:paraId="1D925E66">
      <w:pPr>
        <w:pStyle w:val="2"/>
        <w:rPr>
          <w:rFonts w:hint="eastAsia"/>
        </w:rPr>
      </w:pPr>
    </w:p>
    <w:p w14:paraId="5D20F723">
      <w:pPr>
        <w:pageBreakBefore w:val="0"/>
        <w:kinsoku/>
        <w:wordWrap/>
        <w:overflowPunct/>
        <w:topLinePunct w:val="0"/>
        <w:bidi w:val="0"/>
        <w:spacing w:line="240" w:lineRule="auto"/>
        <w:rPr>
          <w:rFonts w:hint="eastAsia"/>
        </w:rPr>
      </w:pPr>
    </w:p>
    <w:p w14:paraId="39C78A55">
      <w:pPr>
        <w:pageBreakBefore w:val="0"/>
        <w:kinsoku/>
        <w:wordWrap/>
        <w:overflowPunct/>
        <w:topLinePunct w:val="0"/>
        <w:bidi w:val="0"/>
        <w:spacing w:line="240" w:lineRule="auto"/>
        <w:rPr>
          <w:rFonts w:hint="eastAsia"/>
        </w:rPr>
      </w:pPr>
    </w:p>
    <w:p w14:paraId="761ACC6D">
      <w:pPr>
        <w:pageBreakBefore w:val="0"/>
        <w:kinsoku/>
        <w:wordWrap/>
        <w:overflowPunct/>
        <w:topLinePunct w:val="0"/>
        <w:bidi w:val="0"/>
        <w:spacing w:line="240" w:lineRule="auto"/>
        <w:rPr>
          <w:rFonts w:hint="eastAsia"/>
        </w:rPr>
      </w:pPr>
    </w:p>
    <w:p w14:paraId="3FE6616F">
      <w:pPr>
        <w:pageBreakBefore w:val="0"/>
        <w:kinsoku/>
        <w:wordWrap/>
        <w:overflowPunct/>
        <w:topLinePunct w:val="0"/>
        <w:bidi w:val="0"/>
        <w:spacing w:line="240" w:lineRule="auto"/>
      </w:pPr>
    </w:p>
    <w:p w14:paraId="29881D15">
      <w:pPr>
        <w:pStyle w:val="3"/>
        <w:pageBreakBefore w:val="0"/>
        <w:kinsoku/>
        <w:wordWrap/>
        <w:overflowPunct/>
        <w:topLinePunct w:val="0"/>
        <w:bidi w:val="0"/>
        <w:spacing w:line="240" w:lineRule="auto"/>
        <w:jc w:val="center"/>
        <w:rPr>
          <w:rFonts w:ascii="黑体" w:eastAsia="黑体"/>
          <w:color w:val="000000"/>
          <w:sz w:val="32"/>
          <w:szCs w:val="32"/>
        </w:rPr>
      </w:pPr>
      <w:bookmarkStart w:id="14" w:name="_Toc27352"/>
      <w:bookmarkStart w:id="15" w:name="_Toc15377196"/>
      <w:r>
        <w:rPr>
          <w:rFonts w:hint="eastAsia" w:ascii="黑体" w:eastAsia="黑体"/>
          <w:b w:val="0"/>
        </w:rPr>
        <w:t xml:space="preserve">第一部分 </w:t>
      </w:r>
      <w:r>
        <w:rPr>
          <w:rStyle w:val="22"/>
          <w:rFonts w:hint="eastAsia" w:ascii="黑体" w:eastAsia="黑体"/>
          <w:b w:val="0"/>
          <w:bCs w:val="0"/>
        </w:rPr>
        <w:t>部门概况</w:t>
      </w:r>
      <w:bookmarkEnd w:id="14"/>
      <w:bookmarkEnd w:id="15"/>
    </w:p>
    <w:p w14:paraId="7C662A0F">
      <w:pPr>
        <w:pStyle w:val="4"/>
        <w:pageBreakBefore w:val="0"/>
        <w:kinsoku/>
        <w:wordWrap/>
        <w:overflowPunct/>
        <w:topLinePunct w:val="0"/>
        <w:bidi w:val="0"/>
        <w:spacing w:before="0" w:after="0" w:line="240" w:lineRule="auto"/>
        <w:ind w:left="640" w:hanging="640" w:hangingChars="200"/>
        <w:rPr>
          <w:rStyle w:val="23"/>
          <w:rFonts w:ascii="黑体" w:eastAsia="黑体"/>
          <w:b w:val="0"/>
          <w:bCs w:val="0"/>
        </w:rPr>
      </w:pPr>
      <w:bookmarkStart w:id="16" w:name="_Toc15377197"/>
      <w:bookmarkStart w:id="17" w:name="_Toc20678"/>
      <w:r>
        <w:rPr>
          <w:rFonts w:hint="eastAsia" w:ascii="黑体" w:eastAsia="黑体"/>
          <w:b w:val="0"/>
          <w:color w:val="000000"/>
        </w:rPr>
        <w:t>一、基</w:t>
      </w:r>
      <w:r>
        <w:rPr>
          <w:rStyle w:val="23"/>
          <w:rFonts w:hint="eastAsia" w:ascii="黑体" w:eastAsia="黑体"/>
          <w:b w:val="0"/>
          <w:bCs w:val="0"/>
        </w:rPr>
        <w:t>本职能及主要工作</w:t>
      </w:r>
      <w:bookmarkEnd w:id="16"/>
      <w:bookmarkEnd w:id="17"/>
      <w:bookmarkStart w:id="18" w:name="_Toc15377198"/>
      <w:bookmarkStart w:id="19" w:name="_Toc15378445"/>
    </w:p>
    <w:p w14:paraId="39167AB4">
      <w:pPr>
        <w:pStyle w:val="4"/>
        <w:pageBreakBefore w:val="0"/>
        <w:kinsoku/>
        <w:wordWrap/>
        <w:overflowPunct/>
        <w:topLinePunct w:val="0"/>
        <w:bidi w:val="0"/>
        <w:spacing w:before="0" w:after="0" w:line="240" w:lineRule="auto"/>
        <w:ind w:left="642" w:leftChars="153" w:hanging="321" w:hangingChars="100"/>
        <w:rPr>
          <w:rFonts w:ascii="楷体" w:eastAsia="楷体" w:cs="楷体"/>
          <w:color w:val="000000"/>
        </w:rPr>
      </w:pPr>
      <w:bookmarkStart w:id="20" w:name="_Toc31800"/>
      <w:r>
        <w:rPr>
          <w:rFonts w:hint="eastAsia" w:ascii="楷体" w:eastAsia="楷体" w:cs="楷体"/>
          <w:color w:val="000000"/>
        </w:rPr>
        <w:t>（一）主要职能</w:t>
      </w:r>
      <w:bookmarkEnd w:id="18"/>
      <w:bookmarkEnd w:id="19"/>
      <w:bookmarkEnd w:id="20"/>
      <w:bookmarkStart w:id="21" w:name="_Toc15377199"/>
      <w:bookmarkStart w:id="22" w:name="_Toc15378446"/>
    </w:p>
    <w:p w14:paraId="0D65EAF3">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outlineLvl w:val="1"/>
        <w:rPr>
          <w:rFonts w:ascii="仿宋_GB2312" w:hAnsi="仿宋" w:eastAsia="仿宋_GB2312" w:cs="仿宋_GB2312"/>
          <w:sz w:val="32"/>
          <w:szCs w:val="32"/>
        </w:rPr>
      </w:pPr>
      <w:bookmarkStart w:id="23" w:name="_Toc32413"/>
      <w:r>
        <w:rPr>
          <w:rFonts w:hint="eastAsia" w:ascii="仿宋_GB2312" w:hAnsi="仿宋"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hAnsi="仿宋" w:eastAsia="仿宋_GB2312" w:cs="仿宋_GB2312"/>
          <w:sz w:val="32"/>
          <w:szCs w:val="32"/>
          <w:lang w:val="en-US" w:eastAsia="zh-CN"/>
        </w:rPr>
        <w:t>二嘎里</w:t>
      </w:r>
      <w:r>
        <w:rPr>
          <w:rFonts w:hint="eastAsia" w:ascii="仿宋_GB2312" w:hAnsi="仿宋" w:eastAsia="仿宋_GB2312" w:cs="仿宋_GB2312"/>
          <w:sz w:val="32"/>
          <w:szCs w:val="32"/>
        </w:rPr>
        <w:t>发展的新局面。</w:t>
      </w:r>
      <w:bookmarkEnd w:id="23"/>
    </w:p>
    <w:p w14:paraId="1FFF0572">
      <w:pPr>
        <w:pStyle w:val="4"/>
        <w:pageBreakBefore w:val="0"/>
        <w:kinsoku/>
        <w:wordWrap/>
        <w:overflowPunct/>
        <w:topLinePunct w:val="0"/>
        <w:bidi w:val="0"/>
        <w:spacing w:before="0" w:after="0" w:line="240" w:lineRule="auto"/>
        <w:ind w:firstLine="321" w:firstLineChars="100"/>
        <w:rPr>
          <w:rFonts w:ascii="楷体" w:eastAsia="楷体" w:cs="楷体"/>
          <w:color w:val="000000"/>
        </w:rPr>
      </w:pPr>
      <w:bookmarkStart w:id="24" w:name="_Toc21487"/>
      <w:r>
        <w:rPr>
          <w:rFonts w:hint="eastAsia" w:ascii="楷体" w:eastAsia="楷体" w:cs="楷体"/>
          <w:color w:val="000000"/>
        </w:rPr>
        <w:t>（二）</w:t>
      </w:r>
      <w:r>
        <w:rPr>
          <w:rFonts w:hint="eastAsia" w:ascii="楷体" w:eastAsia="楷体" w:cs="楷体"/>
          <w:color w:val="000000"/>
          <w:lang w:eastAsia="zh-CN"/>
        </w:rPr>
        <w:t>2024年</w:t>
      </w:r>
      <w:r>
        <w:rPr>
          <w:rFonts w:hint="eastAsia" w:ascii="楷体" w:eastAsia="楷体" w:cs="楷体"/>
          <w:color w:val="000000"/>
        </w:rPr>
        <w:t>重点工作完成情况</w:t>
      </w:r>
      <w:bookmarkEnd w:id="21"/>
      <w:bookmarkEnd w:id="22"/>
      <w:bookmarkEnd w:id="24"/>
    </w:p>
    <w:p w14:paraId="3E85EE2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640" w:firstLineChars="200"/>
        <w:textAlignment w:val="auto"/>
        <w:outlineLvl w:val="9"/>
        <w:rPr>
          <w:rFonts w:hint="eastAsia" w:ascii="仿宋_GB2312" w:hAnsi="仿宋" w:eastAsia="仿宋_GB2312" w:cs="??_GB2312"/>
          <w:color w:val="auto"/>
          <w:sz w:val="32"/>
          <w:szCs w:val="32"/>
          <w:shd w:val="clear" w:color="auto" w:fill="FFFFFF"/>
          <w:lang w:val="en-US" w:eastAsia="zh-CN"/>
        </w:rPr>
      </w:pPr>
      <w:bookmarkStart w:id="25" w:name="_Toc15377200"/>
      <w:r>
        <w:rPr>
          <w:rFonts w:hint="eastAsia" w:ascii="仿宋_GB2312" w:hAnsi="仿宋" w:eastAsia="仿宋_GB2312" w:cs="??_GB2312"/>
          <w:color w:val="auto"/>
          <w:sz w:val="32"/>
          <w:szCs w:val="32"/>
          <w:shd w:val="clear" w:color="auto" w:fill="FFFFFF"/>
          <w:lang w:val="en-US" w:eastAsia="zh-CN"/>
        </w:rPr>
        <w:t>在县委、县政府和乡党委的坚强领导下，乡人民政府</w:t>
      </w:r>
      <w:r>
        <w:rPr>
          <w:rFonts w:hint="eastAsia" w:eastAsia="仿宋_GB2312"/>
          <w:color w:val="auto"/>
          <w:sz w:val="32"/>
          <w:szCs w:val="32"/>
          <w:shd w:val="clear" w:color="auto" w:fill="FFFFFF"/>
          <w:lang w:val="en-US" w:eastAsia="zh-CN"/>
        </w:rPr>
        <w:t>坚持以习近平新时代中国特色社会主义思想为指导</w:t>
      </w:r>
      <w:r>
        <w:rPr>
          <w:rFonts w:hint="eastAsia" w:ascii="仿宋" w:hAnsi="仿宋" w:eastAsia="仿宋" w:cs="??_GB2312"/>
          <w:color w:val="auto"/>
          <w:sz w:val="32"/>
          <w:szCs w:val="32"/>
          <w:shd w:val="clear" w:color="auto" w:fill="FFFFFF"/>
          <w:lang w:val="en-US" w:eastAsia="zh-CN"/>
        </w:rPr>
        <w:t>，</w:t>
      </w:r>
      <w:r>
        <w:rPr>
          <w:rFonts w:hint="eastAsia" w:ascii="仿宋_GB2312" w:hAnsi="仿宋" w:eastAsia="仿宋_GB2312" w:cs="??_GB2312"/>
          <w:color w:val="auto"/>
          <w:sz w:val="32"/>
          <w:szCs w:val="32"/>
          <w:shd w:val="clear" w:color="auto" w:fill="FFFFFF"/>
          <w:lang w:val="en-US" w:eastAsia="zh-CN"/>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14:paraId="11BDE6D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 w:eastAsia="仿宋_GB2312" w:cs="??_GB2312"/>
          <w:color w:val="auto"/>
          <w:sz w:val="32"/>
          <w:szCs w:val="32"/>
          <w:shd w:val="clear" w:color="auto" w:fill="FFFFFF"/>
          <w:lang w:val="en-US" w:eastAsia="zh-CN"/>
        </w:rPr>
      </w:pPr>
      <w:r>
        <w:rPr>
          <w:rFonts w:hint="eastAsia" w:ascii="仿宋_GB2312" w:hAnsi="仿宋" w:eastAsia="仿宋_GB2312" w:cs="??_GB2312"/>
          <w:color w:val="auto"/>
          <w:sz w:val="32"/>
          <w:szCs w:val="32"/>
          <w:shd w:val="clear" w:color="auto" w:fill="FFFFFF"/>
          <w:lang w:val="en-US" w:eastAsia="zh-CN"/>
        </w:rPr>
        <w:t>一是紧紧围绕影响经济发展和社会稳定的源头性、苗头性、基础性问题，突出重点、综合施策，进一步优化社会环境，促进社会和谐稳定。</w:t>
      </w:r>
    </w:p>
    <w:p w14:paraId="21B04DE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b w:val="0"/>
          <w:bCs w:val="0"/>
          <w:color w:val="000000"/>
          <w:sz w:val="32"/>
          <w:szCs w:val="32"/>
          <w:shd w:val="clear" w:color="auto" w:fill="FFFFFF"/>
          <w:lang w:val="en-US" w:eastAsia="zh-CN"/>
        </w:rPr>
      </w:pPr>
      <w:r>
        <w:rPr>
          <w:rFonts w:hint="eastAsia" w:ascii="仿宋_GB2312" w:hAnsi="仿宋" w:eastAsia="仿宋_GB2312" w:cs="??_GB2312"/>
          <w:color w:val="auto"/>
          <w:sz w:val="32"/>
          <w:szCs w:val="32"/>
          <w:shd w:val="clear" w:color="auto" w:fill="FFFFFF"/>
          <w:lang w:val="en-US" w:eastAsia="zh-CN"/>
        </w:rPr>
        <w:t>二是</w:t>
      </w:r>
      <w:r>
        <w:rPr>
          <w:rFonts w:hint="eastAsia" w:ascii="仿宋_GB2312" w:hAnsi="宋体" w:eastAsia="仿宋_GB2312" w:cs="仿宋_GB2312"/>
          <w:kern w:val="0"/>
          <w:sz w:val="32"/>
          <w:szCs w:val="32"/>
          <w:lang w:val="en-US" w:eastAsia="zh-CN"/>
        </w:rPr>
        <w:t>始终坚持以习近平生态文明思想为指引，认真践行“绿水青山就是金山银山</w:t>
      </w:r>
      <w:r>
        <w:rPr>
          <w:rFonts w:hint="eastAsia" w:ascii="仿宋_GB2312" w:hAnsi="仿宋_GB2312" w:eastAsia="仿宋_GB2312" w:cs="仿宋_GB2312"/>
          <w:b w:val="0"/>
          <w:bCs w:val="0"/>
          <w:color w:val="000000"/>
          <w:sz w:val="32"/>
          <w:szCs w:val="32"/>
          <w:shd w:val="clear" w:color="auto" w:fill="FFFFFF"/>
          <w:lang w:val="en-US" w:eastAsia="zh-CN"/>
        </w:rPr>
        <w:t>”</w:t>
      </w:r>
      <w:r>
        <w:rPr>
          <w:rFonts w:hint="eastAsia" w:ascii="仿宋_GB2312" w:hAnsi="仿宋_GB2312" w:eastAsia="仿宋_GB2312" w:cs="仿宋_GB2312"/>
          <w:b w:val="0"/>
          <w:bCs w:val="0"/>
          <w:color w:val="000000"/>
          <w:sz w:val="32"/>
          <w:szCs w:val="32"/>
          <w:shd w:val="clear" w:color="auto" w:fill="FFFFFF"/>
        </w:rPr>
        <w:t>“重在保护、要在治理、高质量发展”</w:t>
      </w:r>
      <w:r>
        <w:rPr>
          <w:rFonts w:hint="eastAsia" w:ascii="仿宋_GB2312" w:hAnsi="仿宋_GB2312" w:eastAsia="仿宋_GB2312" w:cs="仿宋_GB2312"/>
          <w:b w:val="0"/>
          <w:bCs w:val="0"/>
          <w:color w:val="000000"/>
          <w:sz w:val="32"/>
          <w:szCs w:val="32"/>
          <w:shd w:val="clear" w:color="auto" w:fill="FFFFFF"/>
          <w:lang w:val="en-US" w:eastAsia="zh-CN"/>
        </w:rPr>
        <w:t>理念，切实把生态环境保护摆在压倒性</w:t>
      </w:r>
      <w:r>
        <w:rPr>
          <w:rFonts w:hint="eastAsia" w:ascii="仿宋_GB2312" w:hAnsi="仿宋" w:eastAsia="仿宋_GB2312" w:cs="??_GB2312"/>
          <w:color w:val="auto"/>
          <w:sz w:val="32"/>
          <w:szCs w:val="32"/>
          <w:shd w:val="clear" w:color="auto" w:fill="FFFFFF"/>
          <w:lang w:val="en-US" w:eastAsia="zh-CN"/>
        </w:rPr>
        <w:t>位置</w:t>
      </w:r>
      <w:r>
        <w:rPr>
          <w:rFonts w:hint="eastAsia" w:ascii="仿宋_GB2312" w:hAnsi="仿宋_GB2312" w:eastAsia="仿宋_GB2312" w:cs="仿宋_GB2312"/>
          <w:b w:val="0"/>
          <w:bCs w:val="0"/>
          <w:color w:val="000000"/>
          <w:sz w:val="32"/>
          <w:szCs w:val="32"/>
          <w:shd w:val="clear" w:color="auto" w:fill="FFFFFF"/>
          <w:lang w:val="en-US" w:eastAsia="zh-CN"/>
        </w:rPr>
        <w:t>，共抓大保护、不搞大开发。</w:t>
      </w:r>
    </w:p>
    <w:p w14:paraId="2F1A6E4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eastAsia" w:eastAsia="仿宋_GB2312"/>
          <w:color w:val="auto"/>
          <w:sz w:val="32"/>
          <w:szCs w:val="32"/>
          <w:shd w:val="clear" w:color="auto" w:fill="FFFFFF"/>
          <w:lang w:val="en-US" w:eastAsia="zh-CN"/>
        </w:rPr>
      </w:pPr>
      <w:r>
        <w:rPr>
          <w:rFonts w:hint="eastAsia" w:ascii="仿宋_GB2312" w:hAnsi="仿宋_GB2312" w:eastAsia="仿宋_GB2312" w:cs="仿宋_GB2312"/>
          <w:b w:val="0"/>
          <w:bCs w:val="0"/>
          <w:color w:val="000000"/>
          <w:sz w:val="32"/>
          <w:szCs w:val="32"/>
          <w:shd w:val="clear" w:color="auto" w:fill="FFFFFF"/>
          <w:lang w:val="en-US" w:eastAsia="zh-CN"/>
        </w:rPr>
        <w:t>三是</w:t>
      </w:r>
      <w:r>
        <w:rPr>
          <w:rFonts w:hint="eastAsia" w:eastAsia="仿宋_GB2312"/>
          <w:color w:val="auto"/>
          <w:sz w:val="32"/>
          <w:szCs w:val="32"/>
          <w:shd w:val="clear" w:color="auto" w:fill="FFFFFF"/>
          <w:lang w:val="en-US" w:eastAsia="zh-CN"/>
        </w:rPr>
        <w:t>坚定贯彻总体国家安全观，旗帜鲜明开展反分维稳斗争，“扫黑除恶”专项斗争强力推进，“天</w:t>
      </w:r>
      <w:r>
        <w:rPr>
          <w:rFonts w:hint="default" w:eastAsia="仿宋_GB2312"/>
          <w:color w:val="auto"/>
          <w:sz w:val="32"/>
          <w:szCs w:val="32"/>
          <w:shd w:val="clear" w:color="auto" w:fill="FFFFFF"/>
          <w:lang w:val="en-US" w:eastAsia="zh-CN"/>
        </w:rPr>
        <w:t>网</w:t>
      </w:r>
      <w:r>
        <w:rPr>
          <w:rFonts w:hint="eastAsia" w:eastAsia="仿宋_GB2312"/>
          <w:color w:val="auto"/>
          <w:sz w:val="32"/>
          <w:szCs w:val="32"/>
          <w:shd w:val="clear" w:color="auto" w:fill="FFFFFF"/>
          <w:lang w:val="en-US" w:eastAsia="zh-CN"/>
        </w:rPr>
        <w:t>”“雪亮”工程拓展延伸，平安防线牢不可破，“两</w:t>
      </w:r>
      <w:r>
        <w:rPr>
          <w:rFonts w:hint="default" w:eastAsia="仿宋_GB2312"/>
          <w:color w:val="auto"/>
          <w:sz w:val="32"/>
          <w:szCs w:val="32"/>
          <w:shd w:val="clear" w:color="auto" w:fill="FFFFFF"/>
          <w:lang w:val="en-US" w:eastAsia="zh-CN"/>
        </w:rPr>
        <w:t>项</w:t>
      </w:r>
      <w:r>
        <w:rPr>
          <w:rFonts w:hint="eastAsia" w:eastAsia="仿宋_GB2312"/>
          <w:color w:val="auto"/>
          <w:sz w:val="32"/>
          <w:szCs w:val="32"/>
          <w:shd w:val="clear" w:color="auto" w:fill="FFFFFF"/>
          <w:lang w:val="en-US" w:eastAsia="zh-CN"/>
        </w:rPr>
        <w:t>”改革调整优化5个村。</w:t>
      </w:r>
    </w:p>
    <w:p w14:paraId="500F8824">
      <w:pPr>
        <w:pageBreakBefore w:val="0"/>
        <w:kinsoku/>
        <w:wordWrap/>
        <w:overflowPunct/>
        <w:topLinePunct w:val="0"/>
        <w:bidi w:val="0"/>
        <w:spacing w:line="240" w:lineRule="auto"/>
        <w:ind w:firstLine="640" w:firstLineChars="200"/>
        <w:rPr>
          <w:rStyle w:val="23"/>
          <w:b w:val="0"/>
          <w:bCs w:val="0"/>
        </w:rPr>
      </w:pPr>
      <w:bookmarkStart w:id="26" w:name="_Toc15978"/>
      <w:r>
        <w:rPr>
          <w:rStyle w:val="23"/>
          <w:rFonts w:hint="eastAsia" w:ascii="黑体" w:eastAsia="黑体"/>
          <w:b w:val="0"/>
          <w:bCs w:val="0"/>
        </w:rPr>
        <w:t>二、机构设置</w:t>
      </w:r>
      <w:bookmarkEnd w:id="25"/>
    </w:p>
    <w:bookmarkEnd w:id="26"/>
    <w:p w14:paraId="007E4A7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hAnsi="仿宋" w:eastAsia="仿宋_GB2312"/>
          <w:sz w:val="32"/>
          <w:szCs w:val="32"/>
        </w:rPr>
      </w:pPr>
      <w:bookmarkStart w:id="27" w:name="_Toc15377204"/>
      <w:r>
        <w:rPr>
          <w:rFonts w:hint="eastAsia" w:ascii="仿宋_GB2312" w:hAnsi="仿宋_GB2312" w:eastAsia="仿宋_GB2312" w:cs="仿宋_GB2312"/>
          <w:bCs/>
          <w:sz w:val="32"/>
        </w:rPr>
        <w:t>我乡</w:t>
      </w:r>
      <w:r>
        <w:rPr>
          <w:rFonts w:hint="eastAsia" w:ascii="仿宋_GB2312" w:hAnsi="仿宋_GB2312" w:eastAsia="仿宋_GB2312" w:cs="仿宋_GB2312"/>
          <w:bCs/>
          <w:sz w:val="32"/>
          <w:lang w:eastAsia="zh-CN"/>
        </w:rPr>
        <w:t>2024年</w:t>
      </w:r>
      <w:r>
        <w:rPr>
          <w:rFonts w:hint="eastAsia" w:ascii="仿宋_GB2312" w:hAnsi="仿宋_GB2312" w:eastAsia="仿宋_GB2312" w:cs="仿宋_GB2312"/>
          <w:bCs/>
          <w:sz w:val="32"/>
        </w:rPr>
        <w:t>有</w:t>
      </w:r>
      <w:r>
        <w:rPr>
          <w:rFonts w:hint="eastAsia" w:ascii="仿宋_GB2312" w:hAnsi="仿宋_GB2312" w:eastAsia="仿宋_GB2312" w:cs="仿宋_GB2312"/>
          <w:bCs/>
          <w:sz w:val="32"/>
          <w:lang w:val="en-US" w:eastAsia="zh-CN"/>
        </w:rPr>
        <w:t>4</w:t>
      </w:r>
      <w:r>
        <w:rPr>
          <w:rFonts w:hint="eastAsia" w:ascii="仿宋_GB2312" w:hAnsi="仿宋_GB2312" w:eastAsia="仿宋_GB2312" w:cs="仿宋_GB2312"/>
          <w:bCs/>
          <w:sz w:val="32"/>
        </w:rPr>
        <w:t>个机构，</w:t>
      </w:r>
      <w:r>
        <w:rPr>
          <w:rFonts w:hint="eastAsia" w:ascii="仿宋_GB2312" w:hAnsi="仿宋_GB2312" w:eastAsia="仿宋_GB2312" w:cs="仿宋_GB2312"/>
          <w:bCs/>
          <w:sz w:val="32"/>
          <w:lang w:val="en-US" w:eastAsia="zh-CN"/>
        </w:rPr>
        <w:t>较上年无增长</w:t>
      </w:r>
      <w:r>
        <w:rPr>
          <w:rFonts w:hint="eastAsia" w:ascii="仿宋_GB2312" w:hAnsi="仿宋_GB2312" w:eastAsia="仿宋_GB2312" w:cs="仿宋_GB2312"/>
          <w:bCs/>
          <w:sz w:val="32"/>
        </w:rPr>
        <w:t>。我乡本年度年末实有人数为</w:t>
      </w:r>
      <w:r>
        <w:rPr>
          <w:rFonts w:hint="eastAsia" w:ascii="仿宋_GB2312" w:hAnsi="仿宋_GB2312" w:eastAsia="仿宋_GB2312" w:cs="仿宋_GB2312"/>
          <w:bCs/>
          <w:sz w:val="32"/>
          <w:lang w:val="en-US" w:eastAsia="zh-CN"/>
        </w:rPr>
        <w:t>28</w:t>
      </w:r>
      <w:r>
        <w:rPr>
          <w:rFonts w:hint="eastAsia" w:ascii="仿宋_GB2312" w:hAnsi="仿宋_GB2312" w:eastAsia="仿宋_GB2312" w:cs="仿宋_GB2312"/>
          <w:bCs/>
          <w:sz w:val="32"/>
        </w:rPr>
        <w:t>人，比上年</w:t>
      </w:r>
      <w:r>
        <w:rPr>
          <w:rFonts w:hint="eastAsia" w:ascii="仿宋_GB2312" w:hAnsi="仿宋_GB2312" w:eastAsia="仿宋_GB2312" w:cs="仿宋_GB2312"/>
          <w:bCs/>
          <w:sz w:val="32"/>
          <w:lang w:val="en-US" w:eastAsia="zh-CN"/>
        </w:rPr>
        <w:t>行政人员减少1</w:t>
      </w:r>
      <w:r>
        <w:rPr>
          <w:rFonts w:hint="eastAsia" w:ascii="仿宋_GB2312" w:hAnsi="仿宋_GB2312" w:eastAsia="仿宋_GB2312" w:cs="仿宋_GB2312"/>
          <w:bCs/>
          <w:sz w:val="32"/>
        </w:rPr>
        <w:t>人</w:t>
      </w:r>
      <w:r>
        <w:rPr>
          <w:rFonts w:hint="eastAsia" w:ascii="仿宋_GB2312" w:hAnsi="仿宋_GB2312" w:eastAsia="仿宋_GB2312" w:cs="仿宋_GB2312"/>
          <w:bCs/>
          <w:sz w:val="32"/>
          <w:lang w:eastAsia="zh-CN"/>
        </w:rPr>
        <w:t>，</w:t>
      </w:r>
      <w:r>
        <w:rPr>
          <w:rFonts w:hint="eastAsia" w:ascii="仿宋_GB2312" w:hAnsi="仿宋_GB2312" w:eastAsia="仿宋_GB2312" w:cs="仿宋_GB2312"/>
          <w:bCs/>
          <w:sz w:val="32"/>
          <w:lang w:val="en-US" w:eastAsia="zh-CN"/>
        </w:rPr>
        <w:t>事业人员减少3人，原因为2024年人员调动及新进人员。</w:t>
      </w:r>
    </w:p>
    <w:p w14:paraId="682F60DB">
      <w:pPr>
        <w:pStyle w:val="3"/>
        <w:pageBreakBefore w:val="0"/>
        <w:kinsoku/>
        <w:wordWrap/>
        <w:overflowPunct/>
        <w:topLinePunct w:val="0"/>
        <w:bidi w:val="0"/>
        <w:spacing w:line="240" w:lineRule="auto"/>
        <w:ind w:right="440"/>
        <w:jc w:val="right"/>
      </w:pPr>
      <w:bookmarkStart w:id="28" w:name="_Toc32723"/>
      <w:r>
        <w:rPr>
          <w:rFonts w:hint="eastAsia" w:ascii="黑体" w:eastAsia="黑体"/>
          <w:b w:val="0"/>
          <w:color w:val="000000"/>
        </w:rPr>
        <w:t>第二部分</w:t>
      </w:r>
      <w:r>
        <w:rPr>
          <w:rFonts w:hint="eastAsia" w:ascii="黑体" w:eastAsia="黑体"/>
          <w:color w:val="000000"/>
        </w:rPr>
        <w:t xml:space="preserve"> </w:t>
      </w:r>
      <w:r>
        <w:rPr>
          <w:rStyle w:val="22"/>
          <w:rFonts w:hint="eastAsia" w:ascii="黑体" w:eastAsia="黑体"/>
          <w:b w:val="0"/>
          <w:bCs w:val="0"/>
        </w:rPr>
        <w:t>2024年度部门决算情况说明</w:t>
      </w:r>
      <w:bookmarkEnd w:id="27"/>
      <w:bookmarkEnd w:id="28"/>
    </w:p>
    <w:p w14:paraId="0A9400E1">
      <w:pPr>
        <w:pStyle w:val="28"/>
        <w:pageBreakBefore w:val="0"/>
        <w:numPr>
          <w:ilvl w:val="0"/>
          <w:numId w:val="1"/>
        </w:numPr>
        <w:kinsoku/>
        <w:wordWrap/>
        <w:overflowPunct/>
        <w:topLinePunct w:val="0"/>
        <w:bidi w:val="0"/>
        <w:spacing w:line="240" w:lineRule="auto"/>
        <w:ind w:left="0" w:firstLine="0" w:firstLineChars="0"/>
        <w:outlineLvl w:val="1"/>
        <w:rPr>
          <w:rStyle w:val="23"/>
          <w:rFonts w:ascii="黑体" w:eastAsia="黑体"/>
          <w:b w:val="0"/>
        </w:rPr>
      </w:pPr>
      <w:bookmarkStart w:id="29" w:name="_Toc15377205"/>
      <w:bookmarkStart w:id="30" w:name="_Toc14461"/>
      <w:r>
        <w:rPr>
          <w:rFonts w:hint="eastAsia" w:ascii="黑体" w:eastAsia="黑体"/>
          <w:color w:val="000000"/>
          <w:sz w:val="32"/>
          <w:szCs w:val="32"/>
        </w:rPr>
        <w:t>收</w:t>
      </w:r>
      <w:r>
        <w:rPr>
          <w:rStyle w:val="23"/>
          <w:rFonts w:hint="eastAsia" w:ascii="黑体" w:eastAsia="黑体"/>
          <w:b w:val="0"/>
        </w:rPr>
        <w:t>入支出决算总体情况说明</w:t>
      </w:r>
      <w:bookmarkEnd w:id="29"/>
      <w:bookmarkEnd w:id="30"/>
    </w:p>
    <w:p w14:paraId="347208CC">
      <w:pPr>
        <w:keepNext w:val="0"/>
        <w:keepLines w:val="0"/>
        <w:pageBreakBefore w:val="0"/>
        <w:widowControl w:val="0"/>
        <w:kinsoku/>
        <w:wordWrap/>
        <w:overflowPunct/>
        <w:topLinePunct w:val="0"/>
        <w:autoSpaceDE/>
        <w:autoSpaceDN/>
        <w:bidi w:val="0"/>
        <w:adjustRightInd/>
        <w:snapToGrid w:val="0"/>
        <w:spacing w:line="360" w:lineRule="auto"/>
        <w:ind w:firstLine="632" w:firstLineChars="200"/>
        <w:textAlignment w:val="auto"/>
        <w:rPr>
          <w:rFonts w:ascii="仿宋_GB2312" w:eastAsia="仿宋_GB2312"/>
          <w:color w:val="000000"/>
          <w:spacing w:val="-2"/>
          <w:sz w:val="32"/>
          <w:szCs w:val="32"/>
        </w:rPr>
      </w:pPr>
      <w:r>
        <w:rPr>
          <w:rFonts w:hint="eastAsia" w:ascii="仿宋_GB2312" w:eastAsia="仿宋_GB2312"/>
          <w:color w:val="000000"/>
          <w:spacing w:val="-2"/>
          <w:sz w:val="32"/>
          <w:szCs w:val="32"/>
          <w:lang w:eastAsia="zh-CN"/>
        </w:rPr>
        <w:t>2024年</w:t>
      </w:r>
      <w:r>
        <w:rPr>
          <w:rFonts w:hint="eastAsia" w:ascii="仿宋_GB2312" w:eastAsia="仿宋_GB2312"/>
          <w:color w:val="000000"/>
          <w:spacing w:val="-2"/>
          <w:sz w:val="32"/>
          <w:szCs w:val="32"/>
        </w:rPr>
        <w:t>度总收入</w:t>
      </w:r>
      <w:r>
        <w:rPr>
          <w:rFonts w:hint="eastAsia" w:ascii="仿宋_GB2312" w:eastAsia="仿宋_GB2312"/>
          <w:color w:val="000000"/>
          <w:spacing w:val="-2"/>
          <w:sz w:val="32"/>
          <w:szCs w:val="32"/>
          <w:lang w:val="en-US" w:eastAsia="zh-CN"/>
        </w:rPr>
        <w:t>1314.04</w:t>
      </w:r>
      <w:r>
        <w:rPr>
          <w:rFonts w:hint="eastAsia" w:ascii="仿宋_GB2312" w:eastAsia="仿宋_GB2312"/>
          <w:color w:val="000000"/>
          <w:spacing w:val="-2"/>
          <w:sz w:val="32"/>
          <w:szCs w:val="32"/>
        </w:rPr>
        <w:t>万元，较上年收入增加</w:t>
      </w:r>
      <w:r>
        <w:rPr>
          <w:rFonts w:hint="eastAsia" w:ascii="仿宋_GB2312" w:eastAsia="仿宋_GB2312"/>
          <w:color w:val="000000"/>
          <w:spacing w:val="-2"/>
          <w:sz w:val="32"/>
          <w:szCs w:val="32"/>
          <w:lang w:val="en-US" w:eastAsia="zh-CN"/>
        </w:rPr>
        <w:t>247.04</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23.15</w:t>
      </w:r>
      <w:r>
        <w:rPr>
          <w:rFonts w:hint="eastAsia" w:ascii="仿宋_GB2312" w:eastAsia="仿宋_GB2312"/>
          <w:color w:val="000000"/>
          <w:spacing w:val="-2"/>
          <w:sz w:val="32"/>
          <w:szCs w:val="32"/>
        </w:rPr>
        <w:t>%。增加的主要原因是</w:t>
      </w:r>
      <w:r>
        <w:rPr>
          <w:rFonts w:hint="eastAsia" w:ascii="仿宋_GB2312" w:eastAsia="仿宋_GB2312"/>
          <w:color w:val="000000"/>
          <w:spacing w:val="-2"/>
          <w:sz w:val="32"/>
          <w:szCs w:val="32"/>
          <w:lang w:eastAsia="zh-CN"/>
        </w:rPr>
        <w:t>2024年</w:t>
      </w:r>
      <w:r>
        <w:rPr>
          <w:rFonts w:hint="eastAsia" w:ascii="仿宋_GB2312" w:eastAsia="仿宋_GB2312"/>
          <w:color w:val="000000"/>
          <w:spacing w:val="-2"/>
          <w:sz w:val="32"/>
          <w:szCs w:val="32"/>
        </w:rPr>
        <w:t>工资变动</w:t>
      </w:r>
      <w:r>
        <w:rPr>
          <w:rFonts w:hint="eastAsia" w:ascii="仿宋_GB2312" w:eastAsia="仿宋_GB2312"/>
          <w:color w:val="000000"/>
          <w:spacing w:val="-2"/>
          <w:sz w:val="32"/>
          <w:szCs w:val="32"/>
          <w:lang w:val="en-US" w:eastAsia="zh-CN"/>
        </w:rPr>
        <w:t>及保险基数上调，2024年新增6个项目</w:t>
      </w:r>
      <w:r>
        <w:rPr>
          <w:rFonts w:hint="eastAsia" w:ascii="仿宋_GB2312" w:eastAsia="仿宋_GB2312"/>
          <w:color w:val="000000"/>
          <w:spacing w:val="-2"/>
          <w:sz w:val="32"/>
          <w:szCs w:val="32"/>
        </w:rPr>
        <w:t>。</w:t>
      </w:r>
    </w:p>
    <w:p w14:paraId="62085B81">
      <w:pPr>
        <w:keepNext w:val="0"/>
        <w:keepLines w:val="0"/>
        <w:pageBreakBefore w:val="0"/>
        <w:widowControl w:val="0"/>
        <w:kinsoku/>
        <w:wordWrap/>
        <w:overflowPunct/>
        <w:topLinePunct w:val="0"/>
        <w:autoSpaceDE/>
        <w:autoSpaceDN/>
        <w:bidi w:val="0"/>
        <w:adjustRightInd/>
        <w:snapToGrid w:val="0"/>
        <w:spacing w:line="360" w:lineRule="auto"/>
        <w:ind w:firstLine="632" w:firstLineChars="200"/>
        <w:textAlignment w:val="auto"/>
        <w:rPr>
          <w:rFonts w:ascii="仿宋_GB2312" w:eastAsia="仿宋_GB2312"/>
          <w:color w:val="000000"/>
          <w:spacing w:val="-2"/>
          <w:sz w:val="32"/>
          <w:szCs w:val="32"/>
        </w:rPr>
      </w:pPr>
      <w:r>
        <w:rPr>
          <w:rFonts w:hint="eastAsia" w:ascii="仿宋_GB2312" w:eastAsia="仿宋_GB2312"/>
          <w:spacing w:val="-2"/>
          <w:sz w:val="32"/>
          <w:szCs w:val="32"/>
          <w:lang w:eastAsia="zh-CN"/>
        </w:rPr>
        <w:t>2024年</w:t>
      </w:r>
      <w:r>
        <w:rPr>
          <w:rFonts w:hint="eastAsia" w:ascii="仿宋_GB2312" w:eastAsia="仿宋_GB2312"/>
          <w:spacing w:val="-2"/>
          <w:sz w:val="32"/>
          <w:szCs w:val="32"/>
        </w:rPr>
        <w:t>总支出</w:t>
      </w:r>
      <w:r>
        <w:rPr>
          <w:rFonts w:hint="eastAsia" w:ascii="仿宋_GB2312" w:eastAsia="仿宋_GB2312"/>
          <w:color w:val="000000"/>
          <w:spacing w:val="-2"/>
          <w:sz w:val="32"/>
          <w:szCs w:val="32"/>
          <w:lang w:val="en-US" w:eastAsia="zh-CN"/>
        </w:rPr>
        <w:t>1314.04</w:t>
      </w:r>
      <w:r>
        <w:rPr>
          <w:rFonts w:hint="eastAsia" w:ascii="仿宋_GB2312" w:eastAsia="仿宋_GB2312"/>
          <w:spacing w:val="-2"/>
          <w:sz w:val="32"/>
          <w:szCs w:val="32"/>
        </w:rPr>
        <w:t>万元，较上年支出</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247.04</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23.15</w:t>
      </w:r>
      <w:r>
        <w:rPr>
          <w:rFonts w:hint="eastAsia" w:ascii="仿宋_GB2312" w:eastAsia="仿宋_GB2312"/>
          <w:color w:val="000000"/>
          <w:spacing w:val="-2"/>
          <w:sz w:val="32"/>
          <w:szCs w:val="32"/>
        </w:rPr>
        <w:t>%。增加的主要原因是</w:t>
      </w:r>
      <w:r>
        <w:rPr>
          <w:rFonts w:hint="eastAsia" w:ascii="仿宋_GB2312" w:eastAsia="仿宋_GB2312"/>
          <w:color w:val="000000"/>
          <w:spacing w:val="-2"/>
          <w:sz w:val="32"/>
          <w:szCs w:val="32"/>
          <w:lang w:eastAsia="zh-CN"/>
        </w:rPr>
        <w:t>2024年</w:t>
      </w:r>
      <w:r>
        <w:rPr>
          <w:rFonts w:hint="eastAsia" w:ascii="仿宋_GB2312" w:eastAsia="仿宋_GB2312"/>
          <w:color w:val="000000"/>
          <w:spacing w:val="-2"/>
          <w:sz w:val="32"/>
          <w:szCs w:val="32"/>
        </w:rPr>
        <w:t>工资变动</w:t>
      </w:r>
      <w:r>
        <w:rPr>
          <w:rFonts w:hint="eastAsia" w:ascii="仿宋_GB2312" w:eastAsia="仿宋_GB2312"/>
          <w:color w:val="000000"/>
          <w:spacing w:val="-2"/>
          <w:sz w:val="32"/>
          <w:szCs w:val="32"/>
          <w:lang w:val="en-US" w:eastAsia="zh-CN"/>
        </w:rPr>
        <w:t>及保险基数上调，2024年新增6个项目</w:t>
      </w:r>
      <w:r>
        <w:rPr>
          <w:rFonts w:hint="eastAsia" w:ascii="仿宋_GB2312" w:eastAsia="仿宋_GB2312"/>
          <w:color w:val="000000"/>
          <w:spacing w:val="-2"/>
          <w:sz w:val="32"/>
          <w:szCs w:val="32"/>
        </w:rPr>
        <w:t>。</w:t>
      </w:r>
    </w:p>
    <w:p w14:paraId="11ABF7EC">
      <w:pPr>
        <w:pStyle w:val="2"/>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pPr>
      <w:r>
        <w:drawing>
          <wp:inline distT="0" distB="0" distL="114300" distR="114300">
            <wp:extent cx="4826000" cy="2810510"/>
            <wp:effectExtent l="4445" t="4445" r="8255" b="17145"/>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52B75F">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Style w:val="23"/>
          <w:rFonts w:ascii="黑体" w:eastAsia="黑体"/>
          <w:b w:val="0"/>
        </w:rPr>
      </w:pPr>
      <w:bookmarkStart w:id="31" w:name="_Toc15377206"/>
      <w:r>
        <w:rPr>
          <w:rFonts w:hint="eastAsia" w:ascii="黑体" w:eastAsia="黑体"/>
          <w:color w:val="000000"/>
          <w:sz w:val="32"/>
          <w:szCs w:val="32"/>
        </w:rPr>
        <w:t>二、收入决</w:t>
      </w:r>
      <w:r>
        <w:rPr>
          <w:rStyle w:val="23"/>
          <w:rFonts w:hint="eastAsia" w:ascii="黑体" w:eastAsia="黑体"/>
          <w:b w:val="0"/>
        </w:rPr>
        <w:t>算情况说明</w:t>
      </w:r>
      <w:bookmarkEnd w:id="31"/>
    </w:p>
    <w:p w14:paraId="02014BBE">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outlineLvl w:val="1"/>
        <w:rPr>
          <w:rFonts w:hint="eastAsia" w:ascii="仿宋" w:eastAsia="仿宋"/>
          <w:color w:val="000000"/>
          <w:sz w:val="32"/>
          <w:szCs w:val="32"/>
        </w:rPr>
      </w:pPr>
      <w:bookmarkStart w:id="32" w:name="_Toc22912"/>
      <w:r>
        <w:rPr>
          <w:rFonts w:hint="eastAsia" w:ascii="仿宋" w:eastAsia="仿宋"/>
          <w:color w:val="000000"/>
          <w:sz w:val="32"/>
          <w:szCs w:val="32"/>
          <w:lang w:eastAsia="zh-CN"/>
        </w:rPr>
        <w:t>2024年</w:t>
      </w:r>
      <w:r>
        <w:rPr>
          <w:rFonts w:hint="eastAsia" w:ascii="仿宋" w:eastAsia="仿宋"/>
          <w:color w:val="000000"/>
          <w:sz w:val="32"/>
          <w:szCs w:val="32"/>
        </w:rPr>
        <w:t>总收入</w:t>
      </w:r>
      <w:r>
        <w:rPr>
          <w:rFonts w:hint="eastAsia" w:ascii="仿宋_GB2312" w:eastAsia="仿宋_GB2312"/>
          <w:color w:val="000000"/>
          <w:spacing w:val="-2"/>
          <w:sz w:val="32"/>
          <w:szCs w:val="32"/>
          <w:lang w:val="en-US" w:eastAsia="zh-CN"/>
        </w:rPr>
        <w:t>1314.04</w:t>
      </w:r>
      <w:r>
        <w:rPr>
          <w:rFonts w:hint="eastAsia" w:ascii="仿宋" w:eastAsia="仿宋"/>
          <w:color w:val="000000"/>
          <w:sz w:val="32"/>
          <w:szCs w:val="32"/>
        </w:rPr>
        <w:t>万元，其中：一般公共预算财政拨款收入</w:t>
      </w:r>
      <w:r>
        <w:rPr>
          <w:rFonts w:hint="eastAsia" w:ascii="仿宋_GB2312" w:eastAsia="仿宋_GB2312"/>
          <w:color w:val="000000"/>
          <w:spacing w:val="-2"/>
          <w:sz w:val="32"/>
          <w:szCs w:val="32"/>
          <w:lang w:val="en-US" w:eastAsia="zh-CN"/>
        </w:rPr>
        <w:t>1314.04</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2"/>
    </w:p>
    <w:p w14:paraId="4E2558DF">
      <w:pPr>
        <w:pStyle w:val="2"/>
        <w:pageBreakBefore w:val="0"/>
        <w:kinsoku/>
        <w:wordWrap/>
        <w:overflowPunct/>
        <w:topLinePunct w:val="0"/>
        <w:bidi w:val="0"/>
        <w:spacing w:line="240" w:lineRule="auto"/>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97523D">
      <w:pPr>
        <w:pageBreakBefore w:val="0"/>
        <w:kinsoku/>
        <w:wordWrap/>
        <w:overflowPunct/>
        <w:topLinePunct w:val="0"/>
        <w:bidi w:val="0"/>
        <w:spacing w:line="240" w:lineRule="auto"/>
        <w:ind w:firstLine="640" w:firstLineChars="200"/>
        <w:outlineLvl w:val="1"/>
        <w:rPr>
          <w:rStyle w:val="23"/>
          <w:rFonts w:ascii="黑体" w:eastAsia="黑体"/>
          <w:b w:val="0"/>
        </w:rPr>
      </w:pPr>
      <w:bookmarkStart w:id="33" w:name="_Toc4194"/>
      <w:bookmarkStart w:id="34" w:name="_Toc15377207"/>
      <w:r>
        <w:rPr>
          <w:rFonts w:hint="eastAsia" w:ascii="黑体" w:eastAsia="黑体"/>
          <w:color w:val="000000"/>
          <w:sz w:val="32"/>
          <w:szCs w:val="32"/>
        </w:rPr>
        <w:t>三、支出决</w:t>
      </w:r>
      <w:r>
        <w:rPr>
          <w:rStyle w:val="23"/>
          <w:rFonts w:hint="eastAsia" w:ascii="黑体" w:eastAsia="黑体"/>
          <w:b w:val="0"/>
        </w:rPr>
        <w:t>算情况说明</w:t>
      </w:r>
      <w:bookmarkEnd w:id="33"/>
      <w:bookmarkEnd w:id="34"/>
    </w:p>
    <w:p w14:paraId="7E825F64">
      <w:pPr>
        <w:pageBreakBefore w:val="0"/>
        <w:kinsoku/>
        <w:wordWrap/>
        <w:overflowPunct/>
        <w:topLinePunct w:val="0"/>
        <w:bidi w:val="0"/>
        <w:spacing w:line="240" w:lineRule="auto"/>
        <w:ind w:firstLine="640"/>
        <w:rPr>
          <w:rFonts w:hint="eastAsia" w:ascii="仿宋" w:eastAsia="仿宋"/>
          <w:color w:val="000000"/>
          <w:sz w:val="32"/>
          <w:szCs w:val="32"/>
          <w:lang w:val="en-US" w:eastAsia="zh-CN"/>
        </w:rPr>
      </w:pPr>
      <w:r>
        <w:rPr>
          <w:rFonts w:hint="eastAsia" w:ascii="仿宋" w:eastAsia="仿宋"/>
          <w:color w:val="000000"/>
          <w:sz w:val="32"/>
          <w:szCs w:val="32"/>
          <w:lang w:eastAsia="zh-CN"/>
        </w:rPr>
        <w:t>2024年</w:t>
      </w:r>
      <w:r>
        <w:rPr>
          <w:rFonts w:hint="eastAsia" w:ascii="仿宋" w:eastAsia="仿宋"/>
          <w:color w:val="000000"/>
          <w:sz w:val="32"/>
          <w:szCs w:val="32"/>
        </w:rPr>
        <w:t>本年总支出</w:t>
      </w:r>
      <w:r>
        <w:rPr>
          <w:rFonts w:hint="eastAsia" w:ascii="仿宋_GB2312" w:eastAsia="仿宋_GB2312"/>
          <w:color w:val="000000"/>
          <w:spacing w:val="-2"/>
          <w:sz w:val="32"/>
          <w:szCs w:val="32"/>
          <w:lang w:val="en-US" w:eastAsia="zh-CN"/>
        </w:rPr>
        <w:t>1314.04</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703.16</w:t>
      </w:r>
      <w:r>
        <w:rPr>
          <w:rFonts w:hint="eastAsia" w:ascii="仿宋" w:eastAsia="仿宋"/>
          <w:color w:val="000000"/>
          <w:sz w:val="32"/>
          <w:szCs w:val="32"/>
        </w:rPr>
        <w:t>万元，占</w:t>
      </w:r>
      <w:r>
        <w:rPr>
          <w:rFonts w:hint="eastAsia" w:ascii="仿宋" w:eastAsia="仿宋"/>
          <w:color w:val="000000"/>
          <w:sz w:val="32"/>
          <w:szCs w:val="32"/>
          <w:lang w:val="en-US" w:eastAsia="zh-CN"/>
        </w:rPr>
        <w:t>53.51</w:t>
      </w:r>
      <w:r>
        <w:rPr>
          <w:rFonts w:hint="eastAsia" w:ascii="仿宋" w:eastAsia="仿宋"/>
          <w:color w:val="000000"/>
          <w:sz w:val="32"/>
          <w:szCs w:val="32"/>
        </w:rPr>
        <w:t>%；项目支出</w:t>
      </w:r>
      <w:r>
        <w:rPr>
          <w:rFonts w:hint="eastAsia" w:ascii="仿宋" w:eastAsia="仿宋"/>
          <w:color w:val="000000"/>
          <w:sz w:val="32"/>
          <w:szCs w:val="32"/>
          <w:lang w:val="en-US" w:eastAsia="zh-CN"/>
        </w:rPr>
        <w:t>610.89</w:t>
      </w:r>
      <w:r>
        <w:rPr>
          <w:rFonts w:hint="eastAsia" w:ascii="仿宋" w:eastAsia="仿宋"/>
          <w:color w:val="000000"/>
          <w:sz w:val="32"/>
          <w:szCs w:val="32"/>
        </w:rPr>
        <w:t>万元，占</w:t>
      </w:r>
      <w:r>
        <w:rPr>
          <w:rFonts w:hint="eastAsia" w:ascii="仿宋" w:eastAsia="仿宋"/>
          <w:color w:val="000000"/>
          <w:sz w:val="32"/>
          <w:szCs w:val="32"/>
          <w:lang w:val="en-US" w:eastAsia="zh-CN"/>
        </w:rPr>
        <w:t>46.49</w:t>
      </w:r>
      <w:r>
        <w:rPr>
          <w:rFonts w:hint="eastAsia" w:ascii="仿宋" w:eastAsia="仿宋"/>
          <w:color w:val="000000"/>
          <w:sz w:val="32"/>
          <w:szCs w:val="32"/>
        </w:rPr>
        <w:t>%</w:t>
      </w:r>
      <w:r>
        <w:rPr>
          <w:rFonts w:hint="eastAsia" w:ascii="仿宋" w:eastAsia="仿宋"/>
          <w:color w:val="000000"/>
          <w:sz w:val="32"/>
          <w:szCs w:val="32"/>
          <w:lang w:eastAsia="zh-CN"/>
        </w:rPr>
        <w:t>。</w:t>
      </w:r>
    </w:p>
    <w:p w14:paraId="3627AC68">
      <w:pPr>
        <w:pStyle w:val="2"/>
        <w:pageBreakBefore w:val="0"/>
        <w:kinsoku/>
        <w:wordWrap/>
        <w:overflowPunct/>
        <w:topLinePunct w:val="0"/>
        <w:bidi w:val="0"/>
        <w:spacing w:line="240" w:lineRule="auto"/>
        <w:ind w:left="0" w:leftChars="0" w:firstLine="0" w:firstLineChars="0"/>
        <w:jc w:val="center"/>
        <w:rPr>
          <w:lang w:val="en-US"/>
        </w:rPr>
      </w:pPr>
      <w:r>
        <w:drawing>
          <wp:inline distT="0" distB="0" distL="114300" distR="114300">
            <wp:extent cx="4572000" cy="2743200"/>
            <wp:effectExtent l="4445" t="4445" r="8255" b="825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E24BE4">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outlineLvl w:val="1"/>
        <w:rPr>
          <w:rStyle w:val="23"/>
          <w:rFonts w:ascii="黑体" w:eastAsia="黑体"/>
          <w:b w:val="0"/>
        </w:rPr>
      </w:pPr>
      <w:bookmarkStart w:id="35" w:name="_Toc15377208"/>
      <w:bookmarkStart w:id="36" w:name="_Toc27948"/>
      <w:r>
        <w:rPr>
          <w:rFonts w:hint="eastAsia" w:ascii="黑体" w:eastAsia="黑体"/>
          <w:color w:val="000000"/>
          <w:sz w:val="32"/>
          <w:szCs w:val="32"/>
        </w:rPr>
        <w:t>四、财</w:t>
      </w:r>
      <w:r>
        <w:rPr>
          <w:rStyle w:val="23"/>
          <w:rFonts w:hint="eastAsia" w:ascii="黑体" w:eastAsia="黑体"/>
          <w:b w:val="0"/>
        </w:rPr>
        <w:t>政拨款收入支出决算总体情况说明</w:t>
      </w:r>
      <w:bookmarkEnd w:id="35"/>
      <w:bookmarkEnd w:id="36"/>
    </w:p>
    <w:p w14:paraId="521BE34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eastAsia="仿宋_GB2312"/>
          <w:color w:val="000000"/>
          <w:spacing w:val="-2"/>
          <w:sz w:val="32"/>
          <w:szCs w:val="32"/>
        </w:rPr>
      </w:pPr>
      <w:r>
        <w:rPr>
          <w:rFonts w:hint="eastAsia" w:ascii="仿宋" w:eastAsia="仿宋"/>
          <w:color w:val="000000"/>
          <w:sz w:val="32"/>
          <w:szCs w:val="32"/>
          <w:lang w:eastAsia="zh-CN"/>
        </w:rPr>
        <w:t>2024年</w:t>
      </w:r>
      <w:r>
        <w:rPr>
          <w:rFonts w:hint="eastAsia" w:ascii="仿宋" w:eastAsia="仿宋"/>
          <w:color w:val="000000"/>
          <w:sz w:val="32"/>
          <w:szCs w:val="32"/>
        </w:rPr>
        <w:t>财政拨款收入</w:t>
      </w:r>
      <w:r>
        <w:rPr>
          <w:rFonts w:hint="eastAsia" w:ascii="仿宋" w:eastAsia="仿宋"/>
          <w:color w:val="000000"/>
          <w:sz w:val="32"/>
          <w:szCs w:val="32"/>
          <w:lang w:val="en-US" w:eastAsia="zh-CN"/>
        </w:rPr>
        <w:t>1314.04</w:t>
      </w:r>
      <w:r>
        <w:rPr>
          <w:rFonts w:hint="eastAsia" w:ascii="仿宋" w:eastAsia="仿宋"/>
          <w:color w:val="000000"/>
          <w:sz w:val="32"/>
          <w:szCs w:val="32"/>
        </w:rPr>
        <w:t>万元。与</w:t>
      </w:r>
      <w:r>
        <w:rPr>
          <w:rFonts w:hint="eastAsia" w:ascii="仿宋" w:eastAsia="仿宋"/>
          <w:color w:val="000000"/>
          <w:sz w:val="32"/>
          <w:szCs w:val="32"/>
          <w:lang w:val="en-US" w:eastAsia="zh-CN"/>
        </w:rPr>
        <w:t>2023</w:t>
      </w:r>
      <w:r>
        <w:rPr>
          <w:rFonts w:hint="eastAsia" w:ascii="仿宋" w:eastAsia="仿宋"/>
          <w:color w:val="000000"/>
          <w:sz w:val="32"/>
          <w:szCs w:val="32"/>
        </w:rPr>
        <w:t>年相比，一般公共预算财政拨款收入</w:t>
      </w:r>
      <w:r>
        <w:rPr>
          <w:rFonts w:hint="eastAsia" w:ascii="仿宋_GB2312" w:eastAsia="仿宋_GB2312"/>
          <w:color w:val="000000"/>
          <w:spacing w:val="-2"/>
          <w:sz w:val="32"/>
          <w:szCs w:val="32"/>
        </w:rPr>
        <w:t>较</w:t>
      </w:r>
      <w:r>
        <w:rPr>
          <w:rFonts w:hint="eastAsia" w:ascii="仿宋_GB2312" w:eastAsia="仿宋_GB2312"/>
          <w:color w:val="000000"/>
          <w:spacing w:val="-2"/>
          <w:sz w:val="32"/>
          <w:szCs w:val="32"/>
          <w:lang w:val="en-US" w:eastAsia="zh-CN"/>
        </w:rPr>
        <w:t>上年</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247.04</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23.15</w:t>
      </w:r>
      <w:r>
        <w:rPr>
          <w:rFonts w:hint="eastAsia" w:ascii="仿宋_GB2312" w:eastAsia="仿宋_GB2312"/>
          <w:color w:val="000000"/>
          <w:spacing w:val="-2"/>
          <w:sz w:val="32"/>
          <w:szCs w:val="32"/>
        </w:rPr>
        <w:t>%。增加的主要原因是</w:t>
      </w:r>
      <w:r>
        <w:rPr>
          <w:rFonts w:hint="eastAsia" w:ascii="仿宋_GB2312" w:eastAsia="仿宋_GB2312"/>
          <w:color w:val="000000"/>
          <w:spacing w:val="-2"/>
          <w:sz w:val="32"/>
          <w:szCs w:val="32"/>
          <w:lang w:eastAsia="zh-CN"/>
        </w:rPr>
        <w:t>2024年</w:t>
      </w:r>
      <w:r>
        <w:rPr>
          <w:rFonts w:hint="eastAsia" w:ascii="仿宋_GB2312" w:eastAsia="仿宋_GB2312"/>
          <w:color w:val="000000"/>
          <w:spacing w:val="-2"/>
          <w:sz w:val="32"/>
          <w:szCs w:val="32"/>
        </w:rPr>
        <w:t>工资变动</w:t>
      </w:r>
      <w:r>
        <w:rPr>
          <w:rFonts w:hint="eastAsia" w:ascii="仿宋_GB2312" w:eastAsia="仿宋_GB2312"/>
          <w:color w:val="000000"/>
          <w:spacing w:val="-2"/>
          <w:sz w:val="32"/>
          <w:szCs w:val="32"/>
          <w:lang w:val="en-US" w:eastAsia="zh-CN"/>
        </w:rPr>
        <w:t>及保险基数上调，2024年新增6个项目</w:t>
      </w:r>
      <w:r>
        <w:rPr>
          <w:rFonts w:hint="eastAsia" w:ascii="仿宋_GB2312" w:eastAsia="仿宋_GB2312"/>
          <w:color w:val="000000"/>
          <w:spacing w:val="-2"/>
          <w:sz w:val="32"/>
          <w:szCs w:val="32"/>
        </w:rPr>
        <w:t>。</w:t>
      </w:r>
    </w:p>
    <w:p w14:paraId="4544053E">
      <w:pPr>
        <w:keepNext w:val="0"/>
        <w:keepLines w:val="0"/>
        <w:pageBreakBefore w:val="0"/>
        <w:widowControl w:val="0"/>
        <w:kinsoku/>
        <w:wordWrap/>
        <w:overflowPunct/>
        <w:topLinePunct w:val="0"/>
        <w:autoSpaceDE/>
        <w:autoSpaceDN/>
        <w:bidi w:val="0"/>
        <w:adjustRightInd/>
        <w:snapToGrid w:val="0"/>
        <w:spacing w:line="360" w:lineRule="auto"/>
        <w:ind w:firstLine="632" w:firstLineChars="200"/>
        <w:textAlignment w:val="auto"/>
        <w:rPr>
          <w:rFonts w:ascii="仿宋_GB2312" w:eastAsia="仿宋_GB2312"/>
          <w:color w:val="000000"/>
          <w:spacing w:val="-2"/>
          <w:sz w:val="32"/>
          <w:szCs w:val="32"/>
        </w:rPr>
      </w:pPr>
      <w:r>
        <w:rPr>
          <w:rFonts w:hint="eastAsia" w:ascii="仿宋_GB2312" w:eastAsia="仿宋_GB2312"/>
          <w:spacing w:val="-2"/>
          <w:sz w:val="32"/>
          <w:szCs w:val="32"/>
          <w:lang w:eastAsia="zh-CN"/>
        </w:rPr>
        <w:t>2024年</w:t>
      </w:r>
      <w:r>
        <w:rPr>
          <w:rFonts w:hint="eastAsia" w:ascii="仿宋_GB2312" w:eastAsia="仿宋_GB2312"/>
          <w:spacing w:val="-2"/>
          <w:sz w:val="32"/>
          <w:szCs w:val="32"/>
        </w:rPr>
        <w:t>总支出</w:t>
      </w:r>
      <w:r>
        <w:rPr>
          <w:rFonts w:hint="eastAsia" w:ascii="仿宋_GB2312" w:eastAsia="仿宋_GB2312"/>
          <w:color w:val="000000"/>
          <w:spacing w:val="-2"/>
          <w:sz w:val="32"/>
          <w:szCs w:val="32"/>
          <w:lang w:val="en-US" w:eastAsia="zh-CN"/>
        </w:rPr>
        <w:t>1314.04</w:t>
      </w:r>
      <w:r>
        <w:rPr>
          <w:rFonts w:hint="eastAsia" w:ascii="仿宋_GB2312" w:eastAsia="仿宋_GB2312"/>
          <w:spacing w:val="-2"/>
          <w:sz w:val="32"/>
          <w:szCs w:val="32"/>
        </w:rPr>
        <w:t>万元，较上年支出</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247.04</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23.15</w:t>
      </w:r>
      <w:r>
        <w:rPr>
          <w:rFonts w:hint="eastAsia" w:ascii="仿宋_GB2312" w:eastAsia="仿宋_GB2312"/>
          <w:color w:val="000000"/>
          <w:spacing w:val="-2"/>
          <w:sz w:val="32"/>
          <w:szCs w:val="32"/>
        </w:rPr>
        <w:t>%。增加的主要原因是</w:t>
      </w:r>
      <w:r>
        <w:rPr>
          <w:rFonts w:hint="eastAsia" w:ascii="仿宋_GB2312" w:eastAsia="仿宋_GB2312"/>
          <w:color w:val="000000"/>
          <w:spacing w:val="-2"/>
          <w:sz w:val="32"/>
          <w:szCs w:val="32"/>
          <w:lang w:eastAsia="zh-CN"/>
        </w:rPr>
        <w:t>2024年</w:t>
      </w:r>
      <w:r>
        <w:rPr>
          <w:rFonts w:hint="eastAsia" w:ascii="仿宋_GB2312" w:eastAsia="仿宋_GB2312"/>
          <w:color w:val="000000"/>
          <w:spacing w:val="-2"/>
          <w:sz w:val="32"/>
          <w:szCs w:val="32"/>
        </w:rPr>
        <w:t>工资变动</w:t>
      </w:r>
      <w:r>
        <w:rPr>
          <w:rFonts w:hint="eastAsia" w:ascii="仿宋_GB2312" w:eastAsia="仿宋_GB2312"/>
          <w:color w:val="000000"/>
          <w:spacing w:val="-2"/>
          <w:sz w:val="32"/>
          <w:szCs w:val="32"/>
          <w:lang w:val="en-US" w:eastAsia="zh-CN"/>
        </w:rPr>
        <w:t>及保险基数上调，2024年新增6个项目</w:t>
      </w:r>
      <w:r>
        <w:rPr>
          <w:rFonts w:hint="eastAsia" w:ascii="仿宋_GB2312" w:eastAsia="仿宋_GB2312"/>
          <w:color w:val="000000"/>
          <w:spacing w:val="-2"/>
          <w:sz w:val="32"/>
          <w:szCs w:val="32"/>
        </w:rPr>
        <w:t>。</w:t>
      </w:r>
    </w:p>
    <w:p w14:paraId="4A4B98D9">
      <w:pPr>
        <w:pStyle w:val="2"/>
        <w:pageBreakBefore w:val="0"/>
        <w:kinsoku/>
        <w:wordWrap/>
        <w:overflowPunct/>
        <w:topLinePunct w:val="0"/>
        <w:bidi w:val="0"/>
        <w:spacing w:line="240" w:lineRule="auto"/>
        <w:ind w:left="0" w:leftChars="0" w:firstLine="0" w:firstLineChars="0"/>
        <w:jc w:val="center"/>
        <w:rPr>
          <w:rFonts w:hint="eastAsia"/>
          <w:lang w:val="en-US" w:eastAsia="zh-CN"/>
        </w:rPr>
      </w:pPr>
      <w:r>
        <w:drawing>
          <wp:inline distT="0" distB="0" distL="114300" distR="114300">
            <wp:extent cx="4826000" cy="2794000"/>
            <wp:effectExtent l="4445" t="4445" r="8255" b="209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72E51A">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Style w:val="23"/>
          <w:rFonts w:ascii="黑体" w:eastAsia="黑体"/>
          <w:b w:val="0"/>
        </w:rPr>
      </w:pPr>
      <w:bookmarkStart w:id="37" w:name="_Toc15377209"/>
      <w:r>
        <w:rPr>
          <w:rFonts w:hint="eastAsia" w:ascii="黑体" w:eastAsia="黑体"/>
          <w:color w:val="000000"/>
          <w:sz w:val="32"/>
          <w:szCs w:val="32"/>
        </w:rPr>
        <w:t>五、</w:t>
      </w:r>
      <w:r>
        <w:rPr>
          <w:rFonts w:hint="eastAsia" w:ascii="黑体" w:eastAsia="黑体"/>
          <w:b/>
          <w:color w:val="000000"/>
          <w:sz w:val="32"/>
          <w:szCs w:val="32"/>
        </w:rPr>
        <w:t>一</w:t>
      </w:r>
      <w:r>
        <w:rPr>
          <w:rStyle w:val="23"/>
          <w:rFonts w:hint="eastAsia" w:ascii="黑体" w:eastAsia="黑体"/>
          <w:b w:val="0"/>
        </w:rPr>
        <w:t>般公共预算财政拨款支出决算情况说明</w:t>
      </w:r>
      <w:bookmarkEnd w:id="37"/>
    </w:p>
    <w:p w14:paraId="34F43E88">
      <w:pPr>
        <w:keepNext w:val="0"/>
        <w:keepLines w:val="0"/>
        <w:pageBreakBefore w:val="0"/>
        <w:widowControl w:val="0"/>
        <w:kinsoku/>
        <w:wordWrap/>
        <w:overflowPunct/>
        <w:topLinePunct w:val="0"/>
        <w:autoSpaceDE/>
        <w:autoSpaceDN/>
        <w:bidi w:val="0"/>
        <w:adjustRightInd/>
        <w:spacing w:line="360" w:lineRule="auto"/>
        <w:ind w:firstLine="643" w:firstLineChars="200"/>
        <w:textAlignment w:val="auto"/>
        <w:outlineLvl w:val="2"/>
        <w:rPr>
          <w:rFonts w:ascii="仿宋" w:eastAsia="仿宋"/>
          <w:b/>
          <w:color w:val="000000"/>
          <w:sz w:val="32"/>
          <w:szCs w:val="32"/>
        </w:rPr>
      </w:pPr>
      <w:bookmarkStart w:id="38" w:name="_Toc15377210"/>
      <w:r>
        <w:rPr>
          <w:rFonts w:hint="eastAsia" w:ascii="仿宋" w:eastAsia="仿宋"/>
          <w:b/>
          <w:color w:val="000000"/>
          <w:sz w:val="32"/>
          <w:szCs w:val="32"/>
        </w:rPr>
        <w:t>（一）一般公共预算财政拨款支出决算总体情况</w:t>
      </w:r>
      <w:bookmarkEnd w:id="38"/>
    </w:p>
    <w:p w14:paraId="474691FE">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spacing w:val="-2"/>
          <w:sz w:val="32"/>
          <w:szCs w:val="32"/>
        </w:rPr>
      </w:pPr>
      <w:r>
        <w:rPr>
          <w:rFonts w:hint="eastAsia" w:ascii="仿宋" w:eastAsia="仿宋"/>
          <w:color w:val="000000"/>
          <w:sz w:val="32"/>
          <w:szCs w:val="32"/>
          <w:lang w:eastAsia="zh-CN"/>
        </w:rPr>
        <w:t>2024年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1314.04</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val="en-US" w:eastAsia="zh-CN"/>
        </w:rPr>
        <w:t>2023</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支出较上年支出</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247.04</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23.15</w:t>
      </w:r>
      <w:r>
        <w:rPr>
          <w:rFonts w:hint="eastAsia" w:ascii="仿宋_GB2312" w:eastAsia="仿宋_GB2312"/>
          <w:color w:val="000000"/>
          <w:spacing w:val="-2"/>
          <w:sz w:val="32"/>
          <w:szCs w:val="32"/>
        </w:rPr>
        <w:t>%。增加的主要原因是</w:t>
      </w:r>
      <w:r>
        <w:rPr>
          <w:rFonts w:hint="eastAsia" w:ascii="仿宋_GB2312" w:eastAsia="仿宋_GB2312"/>
          <w:color w:val="000000"/>
          <w:spacing w:val="-2"/>
          <w:sz w:val="32"/>
          <w:szCs w:val="32"/>
          <w:lang w:eastAsia="zh-CN"/>
        </w:rPr>
        <w:t>2024年</w:t>
      </w:r>
      <w:r>
        <w:rPr>
          <w:rFonts w:hint="eastAsia" w:ascii="仿宋_GB2312" w:eastAsia="仿宋_GB2312"/>
          <w:color w:val="000000"/>
          <w:spacing w:val="-2"/>
          <w:sz w:val="32"/>
          <w:szCs w:val="32"/>
        </w:rPr>
        <w:t>工资变动</w:t>
      </w:r>
      <w:r>
        <w:rPr>
          <w:rFonts w:hint="eastAsia" w:ascii="仿宋_GB2312" w:eastAsia="仿宋_GB2312"/>
          <w:color w:val="000000"/>
          <w:spacing w:val="-2"/>
          <w:sz w:val="32"/>
          <w:szCs w:val="32"/>
          <w:lang w:val="en-US" w:eastAsia="zh-CN"/>
        </w:rPr>
        <w:t>及保险基数上调，2024年新增6个项目</w:t>
      </w:r>
      <w:r>
        <w:rPr>
          <w:rFonts w:hint="eastAsia" w:ascii="仿宋_GB2312" w:eastAsia="仿宋_GB2312"/>
          <w:color w:val="000000"/>
          <w:spacing w:val="-2"/>
          <w:sz w:val="32"/>
          <w:szCs w:val="32"/>
        </w:rPr>
        <w:t>。</w:t>
      </w:r>
    </w:p>
    <w:p w14:paraId="75CC7597">
      <w:pPr>
        <w:pageBreakBefore w:val="0"/>
        <w:numPr>
          <w:ilvl w:val="0"/>
          <w:numId w:val="2"/>
        </w:numPr>
        <w:kinsoku/>
        <w:wordWrap/>
        <w:overflowPunct/>
        <w:topLinePunct w:val="0"/>
        <w:bidi w:val="0"/>
        <w:spacing w:line="240" w:lineRule="auto"/>
        <w:ind w:firstLine="643" w:firstLineChars="200"/>
        <w:outlineLvl w:val="2"/>
        <w:rPr>
          <w:rFonts w:ascii="仿宋" w:eastAsia="仿宋"/>
          <w:b/>
          <w:color w:val="000000"/>
          <w:sz w:val="32"/>
          <w:szCs w:val="32"/>
        </w:rPr>
      </w:pPr>
      <w:bookmarkStart w:id="39" w:name="_Toc15377211"/>
      <w:r>
        <w:rPr>
          <w:rFonts w:hint="eastAsia" w:ascii="仿宋" w:eastAsia="仿宋"/>
          <w:b/>
          <w:color w:val="000000"/>
          <w:sz w:val="32"/>
          <w:szCs w:val="32"/>
        </w:rPr>
        <w:t>一般公共预算财政拨款支出决算结构情况</w:t>
      </w:r>
      <w:bookmarkEnd w:id="39"/>
    </w:p>
    <w:p w14:paraId="7A012FF1">
      <w:pPr>
        <w:pageBreakBefore w:val="0"/>
        <w:kinsoku/>
        <w:wordWrap/>
        <w:overflowPunct/>
        <w:topLinePunct w:val="0"/>
        <w:bidi w:val="0"/>
        <w:spacing w:line="240" w:lineRule="auto"/>
        <w:ind w:firstLine="640" w:firstLineChars="200"/>
        <w:outlineLvl w:val="2"/>
        <w:rPr>
          <w:rFonts w:hint="eastAsia" w:ascii="仿宋" w:eastAsia="仿宋"/>
          <w:b/>
          <w:color w:val="000000"/>
          <w:sz w:val="32"/>
          <w:szCs w:val="32"/>
        </w:rPr>
      </w:pPr>
      <w:bookmarkStart w:id="40" w:name="_Toc15377212"/>
      <w:bookmarkStart w:id="41" w:name="_Toc15378460"/>
      <w:bookmarkStart w:id="42" w:name="_Toc15377213"/>
      <w:bookmarkStart w:id="43" w:name="_Toc15377444"/>
      <w:r>
        <w:rPr>
          <w:rFonts w:hint="eastAsia" w:ascii="仿宋" w:eastAsia="仿宋"/>
          <w:bCs/>
          <w:color w:val="000000"/>
          <w:sz w:val="32"/>
          <w:szCs w:val="32"/>
          <w:lang w:eastAsia="zh-CN"/>
        </w:rPr>
        <w:t>2024年</w:t>
      </w:r>
      <w:r>
        <w:rPr>
          <w:rFonts w:hint="eastAsia" w:ascii="仿宋" w:eastAsia="仿宋"/>
          <w:bCs/>
          <w:color w:val="000000"/>
          <w:sz w:val="32"/>
          <w:szCs w:val="32"/>
        </w:rPr>
        <w:t>一般公共预算财政拨款支出为</w:t>
      </w:r>
      <w:r>
        <w:rPr>
          <w:rFonts w:hint="eastAsia" w:ascii="仿宋" w:eastAsia="仿宋"/>
          <w:bCs/>
          <w:color w:val="000000"/>
          <w:sz w:val="32"/>
          <w:szCs w:val="32"/>
          <w:lang w:val="en-US" w:eastAsia="zh-CN"/>
        </w:rPr>
        <w:t>703.17</w:t>
      </w:r>
      <w:r>
        <w:rPr>
          <w:rFonts w:hint="eastAsia" w:ascii="仿宋" w:eastAsia="仿宋"/>
          <w:bCs/>
          <w:color w:val="000000"/>
          <w:sz w:val="32"/>
          <w:szCs w:val="32"/>
        </w:rPr>
        <w:t>万元。其中：一般公共服务支出为</w:t>
      </w:r>
      <w:r>
        <w:rPr>
          <w:rFonts w:hint="eastAsia" w:ascii="仿宋" w:eastAsia="仿宋"/>
          <w:bCs/>
          <w:color w:val="000000"/>
          <w:sz w:val="32"/>
          <w:szCs w:val="32"/>
          <w:lang w:val="en-US" w:eastAsia="zh-CN"/>
        </w:rPr>
        <w:t>355.23</w:t>
      </w:r>
      <w:r>
        <w:rPr>
          <w:rFonts w:hint="eastAsia" w:ascii="仿宋" w:eastAsia="仿宋"/>
          <w:bCs/>
          <w:color w:val="000000"/>
          <w:sz w:val="32"/>
          <w:szCs w:val="32"/>
        </w:rPr>
        <w:t>万元，占比</w:t>
      </w:r>
      <w:r>
        <w:rPr>
          <w:rFonts w:hint="eastAsia" w:ascii="仿宋" w:eastAsia="仿宋"/>
          <w:bCs/>
          <w:color w:val="000000"/>
          <w:sz w:val="32"/>
          <w:szCs w:val="32"/>
          <w:lang w:val="en-US" w:eastAsia="zh-CN"/>
        </w:rPr>
        <w:t>50.52%</w:t>
      </w:r>
      <w:r>
        <w:rPr>
          <w:rFonts w:hint="eastAsia" w:ascii="仿宋" w:eastAsia="仿宋"/>
          <w:bCs/>
          <w:color w:val="000000"/>
          <w:sz w:val="32"/>
          <w:szCs w:val="32"/>
        </w:rPr>
        <w:t>；社会保障和就业支出为</w:t>
      </w:r>
      <w:r>
        <w:rPr>
          <w:rFonts w:hint="eastAsia" w:ascii="仿宋" w:eastAsia="仿宋"/>
          <w:bCs/>
          <w:color w:val="000000"/>
          <w:sz w:val="32"/>
          <w:szCs w:val="32"/>
          <w:lang w:val="en-US" w:eastAsia="zh-CN"/>
        </w:rPr>
        <w:t>87.78</w:t>
      </w:r>
      <w:r>
        <w:rPr>
          <w:rFonts w:hint="eastAsia" w:ascii="仿宋" w:eastAsia="仿宋"/>
          <w:bCs/>
          <w:color w:val="000000"/>
          <w:sz w:val="32"/>
          <w:szCs w:val="32"/>
        </w:rPr>
        <w:t>万元，占比</w:t>
      </w:r>
      <w:r>
        <w:rPr>
          <w:rFonts w:hint="eastAsia" w:ascii="仿宋" w:eastAsia="仿宋"/>
          <w:bCs/>
          <w:color w:val="000000"/>
          <w:sz w:val="32"/>
          <w:szCs w:val="32"/>
          <w:lang w:val="en-US" w:eastAsia="zh-CN"/>
        </w:rPr>
        <w:t>12.48</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38.72</w:t>
      </w:r>
      <w:r>
        <w:rPr>
          <w:rFonts w:hint="eastAsia" w:ascii="仿宋" w:eastAsia="仿宋"/>
          <w:bCs/>
          <w:color w:val="000000"/>
          <w:sz w:val="32"/>
          <w:szCs w:val="32"/>
        </w:rPr>
        <w:t>万元，占比</w:t>
      </w:r>
      <w:r>
        <w:rPr>
          <w:rFonts w:hint="eastAsia" w:ascii="仿宋" w:eastAsia="仿宋"/>
          <w:bCs/>
          <w:color w:val="000000"/>
          <w:sz w:val="32"/>
          <w:szCs w:val="32"/>
          <w:lang w:val="en-US" w:eastAsia="zh-CN"/>
        </w:rPr>
        <w:t>5.5</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168.49</w:t>
      </w:r>
      <w:r>
        <w:rPr>
          <w:rFonts w:hint="eastAsia" w:ascii="仿宋" w:eastAsia="仿宋"/>
          <w:bCs/>
          <w:color w:val="000000"/>
          <w:sz w:val="32"/>
          <w:szCs w:val="32"/>
        </w:rPr>
        <w:t>万元，占比</w:t>
      </w:r>
      <w:r>
        <w:rPr>
          <w:rFonts w:hint="eastAsia" w:ascii="仿宋" w:eastAsia="仿宋"/>
          <w:bCs/>
          <w:color w:val="000000"/>
          <w:sz w:val="32"/>
          <w:szCs w:val="32"/>
          <w:lang w:val="en-US" w:eastAsia="zh-CN"/>
        </w:rPr>
        <w:t>23.96</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52.93</w:t>
      </w:r>
      <w:r>
        <w:rPr>
          <w:rFonts w:hint="eastAsia" w:ascii="仿宋" w:eastAsia="仿宋"/>
          <w:bCs/>
          <w:color w:val="000000"/>
          <w:sz w:val="32"/>
          <w:szCs w:val="32"/>
        </w:rPr>
        <w:t>万元，占比</w:t>
      </w:r>
      <w:r>
        <w:rPr>
          <w:rFonts w:hint="eastAsia" w:ascii="仿宋" w:eastAsia="仿宋"/>
          <w:bCs/>
          <w:color w:val="000000"/>
          <w:sz w:val="32"/>
          <w:szCs w:val="32"/>
          <w:lang w:val="en-US" w:eastAsia="zh-CN"/>
        </w:rPr>
        <w:t>7.53</w:t>
      </w:r>
      <w:r>
        <w:rPr>
          <w:rFonts w:hint="eastAsia" w:ascii="仿宋" w:eastAsia="仿宋"/>
          <w:bCs/>
          <w:color w:val="000000"/>
          <w:sz w:val="32"/>
          <w:szCs w:val="32"/>
        </w:rPr>
        <w:t>%</w:t>
      </w:r>
      <w:r>
        <w:rPr>
          <w:rFonts w:hint="eastAsia" w:ascii="仿宋" w:eastAsia="仿宋"/>
          <w:bCs/>
          <w:color w:val="000000"/>
          <w:sz w:val="32"/>
          <w:szCs w:val="32"/>
          <w:lang w:val="en-US" w:eastAsia="zh-CN"/>
        </w:rPr>
        <w:t>.</w:t>
      </w:r>
    </w:p>
    <w:p w14:paraId="40439369">
      <w:pPr>
        <w:pStyle w:val="2"/>
        <w:pageBreakBefore w:val="0"/>
        <w:kinsoku/>
        <w:wordWrap/>
        <w:overflowPunct/>
        <w:topLinePunct w:val="0"/>
        <w:bidi w:val="0"/>
        <w:spacing w:line="240" w:lineRule="auto"/>
        <w:ind w:left="0" w:leftChars="0" w:firstLine="0" w:firstLineChars="0"/>
        <w:jc w:val="center"/>
        <w:rPr>
          <w:rFonts w:hint="eastAsia"/>
        </w:rPr>
      </w:pPr>
      <w:r>
        <w:rPr>
          <w:rFonts w:hint="eastAsia" w:ascii="仿宋" w:eastAsia="仿宋"/>
          <w:bCs/>
          <w:color w:val="000000"/>
          <w:sz w:val="32"/>
          <w:szCs w:val="32"/>
          <w:lang w:eastAsia="zh-CN"/>
        </w:rPr>
        <w:drawing>
          <wp:inline distT="0" distB="0" distL="114300" distR="114300">
            <wp:extent cx="5079365" cy="3810000"/>
            <wp:effectExtent l="4445" t="4445" r="21590" b="14605"/>
            <wp:docPr id="5"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8B59F9">
      <w:pPr>
        <w:pageBreakBefore w:val="0"/>
        <w:kinsoku/>
        <w:wordWrap/>
        <w:overflowPunct/>
        <w:topLinePunct w:val="0"/>
        <w:bidi w:val="0"/>
        <w:spacing w:line="240" w:lineRule="auto"/>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40"/>
    </w:p>
    <w:p w14:paraId="513C048A">
      <w:pPr>
        <w:pageBreakBefore w:val="0"/>
        <w:kinsoku/>
        <w:wordWrap/>
        <w:overflowPunct/>
        <w:topLinePunct w:val="0"/>
        <w:bidi w:val="0"/>
        <w:spacing w:line="240" w:lineRule="auto"/>
        <w:outlineLvl w:val="2"/>
        <w:rPr>
          <w:rFonts w:ascii="仿宋" w:eastAsia="仿宋"/>
          <w:bCs/>
          <w:color w:val="FF0000"/>
          <w:sz w:val="32"/>
          <w:szCs w:val="32"/>
        </w:rPr>
      </w:pPr>
      <w:r>
        <w:rPr>
          <w:rFonts w:hint="eastAsia" w:ascii="仿宋" w:eastAsia="仿宋"/>
          <w:bCs/>
          <w:color w:val="000000"/>
          <w:sz w:val="32"/>
          <w:szCs w:val="32"/>
        </w:rPr>
        <w:t xml:space="preserve">    </w:t>
      </w:r>
      <w:r>
        <w:rPr>
          <w:rFonts w:hint="eastAsia" w:ascii="仿宋" w:eastAsia="仿宋"/>
          <w:bCs/>
          <w:color w:val="000000"/>
          <w:sz w:val="32"/>
          <w:szCs w:val="32"/>
          <w:lang w:eastAsia="zh-CN"/>
        </w:rPr>
        <w:t>2024年</w:t>
      </w:r>
      <w:r>
        <w:rPr>
          <w:rFonts w:hint="eastAsia" w:ascii="仿宋" w:eastAsia="仿宋"/>
          <w:bCs/>
          <w:color w:val="000000"/>
          <w:sz w:val="32"/>
          <w:szCs w:val="32"/>
        </w:rPr>
        <w:t>一般公共预算数为</w:t>
      </w:r>
      <w:r>
        <w:rPr>
          <w:rFonts w:hint="eastAsia" w:ascii="仿宋" w:eastAsia="仿宋"/>
          <w:bCs/>
          <w:color w:val="000000"/>
          <w:sz w:val="32"/>
          <w:szCs w:val="32"/>
          <w:lang w:val="en-US" w:eastAsia="zh-CN"/>
        </w:rPr>
        <w:t>703.17</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703.17</w:t>
      </w:r>
      <w:r>
        <w:rPr>
          <w:rFonts w:hint="eastAsia" w:ascii="仿宋" w:eastAsia="仿宋"/>
          <w:bCs/>
          <w:color w:val="000000"/>
          <w:sz w:val="32"/>
          <w:szCs w:val="32"/>
        </w:rPr>
        <w:t>万元，完</w:t>
      </w:r>
      <w:r>
        <w:rPr>
          <w:rStyle w:val="19"/>
          <w:rFonts w:hint="eastAsia" w:ascii="仿宋" w:eastAsia="仿宋"/>
          <w:b w:val="0"/>
          <w:bCs/>
          <w:color w:val="000000"/>
          <w:sz w:val="32"/>
          <w:szCs w:val="32"/>
        </w:rPr>
        <w:t>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eastAsia="仿宋"/>
          <w:b w:val="0"/>
          <w:bCs/>
          <w:color w:val="000000"/>
          <w:sz w:val="32"/>
          <w:szCs w:val="32"/>
        </w:rPr>
        <w:t>，其中：</w:t>
      </w:r>
      <w:bookmarkEnd w:id="41"/>
      <w:bookmarkEnd w:id="42"/>
      <w:bookmarkEnd w:id="43"/>
    </w:p>
    <w:p w14:paraId="2E150E71">
      <w:pPr>
        <w:pageBreakBefore w:val="0"/>
        <w:kinsoku/>
        <w:wordWrap/>
        <w:overflowPunct/>
        <w:topLinePunct w:val="0"/>
        <w:bidi w:val="0"/>
        <w:spacing w:line="240" w:lineRule="auto"/>
        <w:ind w:firstLine="643" w:firstLineChars="200"/>
        <w:rPr>
          <w:rStyle w:val="19"/>
          <w:rFonts w:ascii="仿宋" w:eastAsia="仿宋"/>
          <w:b w:val="0"/>
          <w:bCs/>
          <w:color w:val="000000"/>
          <w:sz w:val="32"/>
          <w:szCs w:val="32"/>
        </w:rPr>
      </w:pPr>
      <w:bookmarkStart w:id="44" w:name="_Toc15377214"/>
      <w:r>
        <w:rPr>
          <w:rStyle w:val="19"/>
          <w:rFonts w:hint="eastAsia" w:ascii="仿宋" w:eastAsia="仿宋"/>
          <w:bCs/>
          <w:color w:val="000000"/>
          <w:sz w:val="32"/>
          <w:szCs w:val="32"/>
        </w:rPr>
        <w:t>1.一般公共服务（类）政府办公厅（室）及相关机构事务（款）行政运行（项）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314.6</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2983ECE7">
      <w:pPr>
        <w:pageBreakBefore w:val="0"/>
        <w:kinsoku/>
        <w:wordWrap/>
        <w:overflowPunct/>
        <w:topLinePunct w:val="0"/>
        <w:bidi w:val="0"/>
        <w:spacing w:line="240" w:lineRule="auto"/>
        <w:ind w:firstLine="643" w:firstLineChars="200"/>
        <w:rPr>
          <w:rStyle w:val="19"/>
          <w:rFonts w:hint="eastAsia" w:ascii="仿宋" w:eastAsia="仿宋"/>
          <w:b w:val="0"/>
          <w:bCs/>
          <w:color w:val="000000"/>
          <w:sz w:val="32"/>
          <w:szCs w:val="32"/>
        </w:rPr>
      </w:pPr>
      <w:r>
        <w:rPr>
          <w:rStyle w:val="19"/>
          <w:rFonts w:ascii="仿宋" w:eastAsia="仿宋"/>
          <w:bCs/>
          <w:color w:val="000000"/>
          <w:sz w:val="32"/>
          <w:szCs w:val="32"/>
        </w:rPr>
        <w:t>2.</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val="en-US" w:eastAsia="zh-CN"/>
        </w:rPr>
        <w:t>党委</w:t>
      </w:r>
      <w:r>
        <w:rPr>
          <w:rStyle w:val="19"/>
          <w:rFonts w:hint="eastAsia" w:ascii="仿宋" w:eastAsia="仿宋"/>
          <w:bCs/>
          <w:color w:val="000000"/>
          <w:sz w:val="32"/>
          <w:szCs w:val="32"/>
        </w:rPr>
        <w:t>办公室（室）及相关机构事务（款）一般行政管理事务（项）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21.21</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46948CD2">
      <w:pPr>
        <w:pageBreakBefore w:val="0"/>
        <w:kinsoku/>
        <w:wordWrap/>
        <w:overflowPunct/>
        <w:topLinePunct w:val="0"/>
        <w:bidi w:val="0"/>
        <w:spacing w:line="240" w:lineRule="auto"/>
        <w:ind w:firstLine="643" w:firstLineChars="200"/>
        <w:rPr>
          <w:rStyle w:val="19"/>
          <w:rFonts w:hint="eastAsia" w:ascii="仿宋" w:eastAsia="仿宋"/>
          <w:b w:val="0"/>
          <w:bCs/>
          <w:color w:val="000000"/>
          <w:sz w:val="32"/>
          <w:szCs w:val="32"/>
        </w:rPr>
      </w:pPr>
      <w:r>
        <w:rPr>
          <w:rStyle w:val="19"/>
          <w:rFonts w:hint="eastAsia" w:ascii="仿宋" w:hAnsi="Times New Roman" w:eastAsia="仿宋" w:cs="Times New Roman"/>
          <w:bCs/>
          <w:color w:val="000000"/>
          <w:kern w:val="2"/>
          <w:sz w:val="32"/>
          <w:szCs w:val="32"/>
          <w:lang w:val="en-US" w:eastAsia="zh-CN" w:bidi="ar-SA"/>
        </w:rPr>
        <w:t>3.一般公共服务（类）</w:t>
      </w:r>
      <w:r>
        <w:rPr>
          <w:rStyle w:val="19"/>
          <w:rFonts w:hint="eastAsia" w:ascii="仿宋" w:eastAsia="仿宋" w:cs="Times New Roman"/>
          <w:bCs/>
          <w:color w:val="000000"/>
          <w:kern w:val="2"/>
          <w:sz w:val="32"/>
          <w:szCs w:val="32"/>
          <w:lang w:val="en-US" w:eastAsia="zh-CN" w:bidi="ar-SA"/>
        </w:rPr>
        <w:t>人大事务</w:t>
      </w:r>
      <w:r>
        <w:rPr>
          <w:rStyle w:val="19"/>
          <w:rFonts w:hint="eastAsia" w:ascii="仿宋" w:hAnsi="Times New Roman" w:eastAsia="仿宋" w:cs="Times New Roman"/>
          <w:bCs/>
          <w:color w:val="000000"/>
          <w:kern w:val="2"/>
          <w:sz w:val="32"/>
          <w:szCs w:val="32"/>
          <w:lang w:val="en-US" w:eastAsia="zh-CN" w:bidi="ar-SA"/>
        </w:rPr>
        <w:t>（款）一般行政管理事务（项）:</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19.42</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65FA4C10">
      <w:pPr>
        <w:pageBreakBefore w:val="0"/>
        <w:kinsoku/>
        <w:wordWrap/>
        <w:overflowPunct/>
        <w:topLinePunct w:val="0"/>
        <w:bidi w:val="0"/>
        <w:spacing w:line="240" w:lineRule="auto"/>
        <w:ind w:firstLine="643" w:firstLineChars="200"/>
        <w:rPr>
          <w:rStyle w:val="19"/>
          <w:rFonts w:hint="eastAsia" w:ascii="仿宋" w:eastAsia="仿宋"/>
          <w:b w:val="0"/>
          <w:bCs/>
          <w:color w:val="000000"/>
          <w:sz w:val="32"/>
          <w:szCs w:val="32"/>
        </w:rPr>
      </w:pPr>
      <w:r>
        <w:rPr>
          <w:rStyle w:val="19"/>
          <w:rFonts w:hint="eastAsia" w:ascii="仿宋" w:eastAsia="仿宋" w:cs="Times New Roman"/>
          <w:bCs/>
          <w:color w:val="000000"/>
          <w:kern w:val="2"/>
          <w:sz w:val="32"/>
          <w:szCs w:val="32"/>
          <w:lang w:val="en-US" w:eastAsia="zh-CN" w:bidi="ar-SA"/>
        </w:rPr>
        <w:t>4.</w:t>
      </w:r>
      <w:r>
        <w:rPr>
          <w:rStyle w:val="19"/>
          <w:rFonts w:hint="eastAsia" w:ascii="仿宋" w:hAnsi="Times New Roman" w:eastAsia="仿宋" w:cs="Times New Roman"/>
          <w:bCs/>
          <w:color w:val="000000"/>
          <w:kern w:val="2"/>
          <w:sz w:val="32"/>
          <w:szCs w:val="32"/>
          <w:lang w:val="en-US" w:eastAsia="zh-CN" w:bidi="ar-SA"/>
        </w:rPr>
        <w:t>一般公共服务（类）</w:t>
      </w:r>
      <w:r>
        <w:rPr>
          <w:rStyle w:val="19"/>
          <w:rFonts w:hint="eastAsia" w:ascii="仿宋" w:eastAsia="仿宋" w:cs="Times New Roman"/>
          <w:bCs/>
          <w:color w:val="000000"/>
          <w:kern w:val="2"/>
          <w:sz w:val="32"/>
          <w:szCs w:val="32"/>
          <w:lang w:val="en-US" w:eastAsia="zh-CN" w:bidi="ar-SA"/>
        </w:rPr>
        <w:t>人大事务</w:t>
      </w:r>
      <w:r>
        <w:rPr>
          <w:rStyle w:val="19"/>
          <w:rFonts w:hint="eastAsia" w:ascii="仿宋" w:hAnsi="Times New Roman" w:eastAsia="仿宋" w:cs="Times New Roman"/>
          <w:bCs/>
          <w:color w:val="000000"/>
          <w:kern w:val="2"/>
          <w:sz w:val="32"/>
          <w:szCs w:val="32"/>
          <w:lang w:val="en-US" w:eastAsia="zh-CN" w:bidi="ar-SA"/>
        </w:rPr>
        <w:t>（款）</w:t>
      </w:r>
      <w:r>
        <w:rPr>
          <w:rStyle w:val="19"/>
          <w:rFonts w:hint="eastAsia" w:ascii="仿宋" w:eastAsia="仿宋" w:cs="Times New Roman"/>
          <w:bCs/>
          <w:color w:val="000000"/>
          <w:kern w:val="2"/>
          <w:sz w:val="32"/>
          <w:szCs w:val="32"/>
          <w:lang w:val="en-US" w:eastAsia="zh-CN" w:bidi="ar-SA"/>
        </w:rPr>
        <w:t>人大会议</w:t>
      </w:r>
      <w:r>
        <w:rPr>
          <w:rStyle w:val="19"/>
          <w:rFonts w:hint="eastAsia" w:ascii="仿宋" w:hAnsi="Times New Roman" w:eastAsia="仿宋" w:cs="Times New Roman"/>
          <w:bCs/>
          <w:color w:val="000000"/>
          <w:kern w:val="2"/>
          <w:sz w:val="32"/>
          <w:szCs w:val="32"/>
          <w:lang w:val="en-US" w:eastAsia="zh-CN" w:bidi="ar-SA"/>
        </w:rPr>
        <w:t>（项）:</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0</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0</w:t>
      </w:r>
      <w:r>
        <w:rPr>
          <w:rStyle w:val="19"/>
          <w:rFonts w:ascii="仿宋" w:eastAsia="仿宋"/>
          <w:b w:val="0"/>
          <w:bCs/>
          <w:color w:val="000000"/>
          <w:sz w:val="32"/>
          <w:szCs w:val="32"/>
        </w:rPr>
        <w:t>%</w:t>
      </w:r>
      <w:r>
        <w:rPr>
          <w:rStyle w:val="19"/>
          <w:rFonts w:hint="eastAsia" w:ascii="仿宋" w:eastAsia="仿宋"/>
          <w:b w:val="0"/>
          <w:bCs/>
          <w:color w:val="000000"/>
          <w:sz w:val="32"/>
          <w:szCs w:val="32"/>
        </w:rPr>
        <w:t>。结转下年0万元。</w:t>
      </w:r>
    </w:p>
    <w:p w14:paraId="1963DBD1">
      <w:pPr>
        <w:pageBreakBefore w:val="0"/>
        <w:kinsoku/>
        <w:wordWrap/>
        <w:overflowPunct/>
        <w:topLinePunct w:val="0"/>
        <w:bidi w:val="0"/>
        <w:spacing w:line="240" w:lineRule="auto"/>
        <w:ind w:firstLine="643" w:firstLineChars="200"/>
        <w:rPr>
          <w:rFonts w:hint="eastAsia"/>
          <w:lang w:val="en-US" w:eastAsia="zh-CN"/>
        </w:rPr>
      </w:pPr>
      <w:r>
        <w:rPr>
          <w:rStyle w:val="19"/>
          <w:rFonts w:hint="eastAsia" w:ascii="仿宋" w:hAnsi="Times New Roman" w:eastAsia="仿宋" w:cs="Times New Roman"/>
          <w:bCs/>
          <w:color w:val="000000"/>
          <w:kern w:val="2"/>
          <w:sz w:val="32"/>
          <w:szCs w:val="32"/>
          <w:lang w:val="en-US" w:eastAsia="zh-CN" w:bidi="ar-SA"/>
        </w:rPr>
        <w:t>5.社会保障和就业支出（类）民政管理事务（款）基层政权建设和治理（项）：</w:t>
      </w:r>
      <w:r>
        <w:rPr>
          <w:rStyle w:val="19"/>
          <w:rFonts w:hint="eastAsia" w:ascii="仿宋" w:eastAsia="仿宋"/>
          <w:b w:val="0"/>
          <w:bCs/>
          <w:color w:val="000000"/>
          <w:sz w:val="32"/>
          <w:szCs w:val="32"/>
          <w:lang w:val="en-US" w:eastAsia="zh-CN"/>
        </w:rPr>
        <w:t>支出决算为0万元，</w:t>
      </w:r>
      <w:r>
        <w:rPr>
          <w:rStyle w:val="19"/>
          <w:rFonts w:hint="eastAsia" w:ascii="仿宋" w:eastAsia="仿宋"/>
          <w:b w:val="0"/>
          <w:bCs/>
          <w:color w:val="000000"/>
          <w:sz w:val="32"/>
          <w:szCs w:val="32"/>
        </w:rPr>
        <w:t>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。结转下年0万元。</w:t>
      </w:r>
    </w:p>
    <w:p w14:paraId="2EF27D76">
      <w:pPr>
        <w:pageBreakBefore w:val="0"/>
        <w:kinsoku/>
        <w:wordWrap/>
        <w:overflowPunct/>
        <w:topLinePunct w:val="0"/>
        <w:bidi w:val="0"/>
        <w:spacing w:line="240" w:lineRule="auto"/>
        <w:ind w:firstLine="643" w:firstLineChars="200"/>
        <w:rPr>
          <w:rFonts w:ascii="仿宋" w:eastAsia="仿宋"/>
          <w:b/>
          <w:color w:val="000000"/>
          <w:sz w:val="32"/>
          <w:szCs w:val="32"/>
        </w:rPr>
      </w:pPr>
      <w:r>
        <w:rPr>
          <w:rStyle w:val="19"/>
          <w:rFonts w:hint="eastAsia" w:ascii="仿宋" w:eastAsia="仿宋"/>
          <w:bCs/>
          <w:color w:val="000000"/>
          <w:sz w:val="32"/>
          <w:szCs w:val="32"/>
          <w:lang w:val="en-US" w:eastAsia="zh-CN"/>
        </w:rPr>
        <w:t>6</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Cs/>
          <w:color w:val="000000"/>
          <w:sz w:val="32"/>
          <w:szCs w:val="32"/>
        </w:rPr>
        <w:t>社会保障和就业（类）行政事业单位离退休（款）机关事业单位基本养老保险缴费支出（项）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58.43</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605EE601">
      <w:pPr>
        <w:pageBreakBefore w:val="0"/>
        <w:kinsoku/>
        <w:wordWrap/>
        <w:overflowPunct/>
        <w:topLinePunct w:val="0"/>
        <w:bidi w:val="0"/>
        <w:spacing w:line="240" w:lineRule="auto"/>
        <w:ind w:firstLine="643" w:firstLineChars="200"/>
        <w:rPr>
          <w:rFonts w:ascii="仿宋" w:eastAsia="仿宋"/>
          <w:b/>
          <w:color w:val="000000"/>
          <w:sz w:val="32"/>
          <w:szCs w:val="32"/>
        </w:rPr>
      </w:pPr>
      <w:r>
        <w:rPr>
          <w:rStyle w:val="19"/>
          <w:rFonts w:hint="eastAsia" w:ascii="仿宋" w:eastAsia="仿宋"/>
          <w:bCs/>
          <w:color w:val="000000"/>
          <w:sz w:val="32"/>
          <w:szCs w:val="32"/>
          <w:lang w:val="en-US" w:eastAsia="zh-CN"/>
        </w:rPr>
        <w:t>7</w:t>
      </w:r>
      <w:r>
        <w:rPr>
          <w:rStyle w:val="19"/>
          <w:rFonts w:ascii="仿宋" w:eastAsia="仿宋"/>
          <w:bCs/>
          <w:color w:val="000000"/>
          <w:sz w:val="32"/>
          <w:szCs w:val="32"/>
        </w:rPr>
        <w:t>.</w:t>
      </w:r>
      <w:r>
        <w:rPr>
          <w:rStyle w:val="19"/>
          <w:rFonts w:hint="eastAsia" w:ascii="仿宋" w:eastAsia="仿宋"/>
          <w:bCs/>
          <w:color w:val="000000"/>
          <w:sz w:val="32"/>
          <w:szCs w:val="32"/>
        </w:rPr>
        <w:t>社会保障和就业（类）行政事业单位离退休（款）机关事业单位基本职业年金缴费支出（项）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29.35</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493C82DC">
      <w:pPr>
        <w:pageBreakBefore w:val="0"/>
        <w:kinsoku/>
        <w:wordWrap/>
        <w:overflowPunct/>
        <w:topLinePunct w:val="0"/>
        <w:bidi w:val="0"/>
        <w:spacing w:line="240" w:lineRule="auto"/>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8</w:t>
      </w:r>
      <w:r>
        <w:rPr>
          <w:rStyle w:val="19"/>
          <w:rFonts w:hint="eastAsia" w:ascii="仿宋" w:eastAsia="仿宋"/>
          <w:bCs/>
          <w:color w:val="000000"/>
          <w:sz w:val="32"/>
          <w:szCs w:val="32"/>
        </w:rPr>
        <w:t>.卫生健康支出（类）行政事业单位医疗（款）行政单位医疗（项）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21.72</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60931623">
      <w:pPr>
        <w:pageBreakBefore w:val="0"/>
        <w:kinsoku/>
        <w:wordWrap/>
        <w:overflowPunct/>
        <w:topLinePunct w:val="0"/>
        <w:bidi w:val="0"/>
        <w:spacing w:line="240" w:lineRule="auto"/>
        <w:ind w:firstLine="643" w:firstLineChars="200"/>
      </w:pPr>
      <w:r>
        <w:rPr>
          <w:rStyle w:val="19"/>
          <w:rFonts w:hint="eastAsia" w:ascii="仿宋" w:eastAsia="仿宋"/>
          <w:bCs/>
          <w:color w:val="000000"/>
          <w:sz w:val="32"/>
          <w:szCs w:val="32"/>
          <w:lang w:val="en-US" w:eastAsia="zh-CN"/>
        </w:rPr>
        <w:t>9</w:t>
      </w:r>
      <w:r>
        <w:rPr>
          <w:rStyle w:val="19"/>
          <w:rFonts w:hint="eastAsia" w:ascii="仿宋" w:eastAsia="仿宋"/>
          <w:bCs/>
          <w:color w:val="000000"/>
          <w:sz w:val="32"/>
          <w:szCs w:val="32"/>
        </w:rPr>
        <w:t>.卫生健康支出（类）行政事业单位医疗（款）</w:t>
      </w:r>
      <w:r>
        <w:rPr>
          <w:rStyle w:val="19"/>
          <w:rFonts w:hint="eastAsia" w:ascii="仿宋" w:eastAsia="仿宋"/>
          <w:bCs/>
          <w:color w:val="000000"/>
          <w:sz w:val="32"/>
          <w:szCs w:val="32"/>
          <w:lang w:val="en-US" w:eastAsia="zh-CN"/>
        </w:rPr>
        <w:t>事业</w:t>
      </w:r>
      <w:r>
        <w:rPr>
          <w:rStyle w:val="19"/>
          <w:rFonts w:hint="eastAsia" w:ascii="仿宋" w:eastAsia="仿宋"/>
          <w:bCs/>
          <w:color w:val="000000"/>
          <w:sz w:val="32"/>
          <w:szCs w:val="32"/>
        </w:rPr>
        <w:t>单位医疗（项）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9.42</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1A79224E">
      <w:pPr>
        <w:pageBreakBefore w:val="0"/>
        <w:kinsoku/>
        <w:wordWrap/>
        <w:overflowPunct/>
        <w:topLinePunct w:val="0"/>
        <w:bidi w:val="0"/>
        <w:spacing w:line="240" w:lineRule="auto"/>
        <w:ind w:firstLine="643" w:firstLineChars="200"/>
        <w:rPr>
          <w:rFonts w:ascii="仿宋" w:eastAsia="仿宋"/>
          <w:color w:val="000000"/>
          <w:sz w:val="32"/>
          <w:szCs w:val="32"/>
        </w:rPr>
      </w:pPr>
      <w:r>
        <w:rPr>
          <w:rStyle w:val="19"/>
          <w:rFonts w:hint="eastAsia" w:ascii="仿宋" w:eastAsia="仿宋"/>
          <w:bCs/>
          <w:color w:val="000000"/>
          <w:sz w:val="32"/>
          <w:szCs w:val="32"/>
          <w:lang w:val="en-US" w:eastAsia="zh-CN"/>
        </w:rPr>
        <w:t>10</w:t>
      </w:r>
      <w:r>
        <w:rPr>
          <w:rStyle w:val="19"/>
          <w:rFonts w:hint="eastAsia" w:ascii="仿宋" w:eastAsia="仿宋"/>
          <w:bCs/>
          <w:color w:val="000000"/>
          <w:sz w:val="32"/>
          <w:szCs w:val="32"/>
        </w:rPr>
        <w:t>.卫生健康支出（类）行政事业单位医疗（款）公务员医疗补助（项）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7.59</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131532E0">
      <w:pPr>
        <w:pageBreakBefore w:val="0"/>
        <w:kinsoku/>
        <w:wordWrap/>
        <w:overflowPunct/>
        <w:topLinePunct w:val="0"/>
        <w:bidi w:val="0"/>
        <w:spacing w:line="240" w:lineRule="auto"/>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111</w:t>
      </w:r>
      <w:r>
        <w:rPr>
          <w:rStyle w:val="19"/>
          <w:rFonts w:hint="eastAsia" w:ascii="仿宋" w:eastAsia="仿宋"/>
          <w:bCs/>
          <w:color w:val="000000"/>
          <w:sz w:val="32"/>
          <w:szCs w:val="32"/>
        </w:rPr>
        <w:t>.住房保障（类）住房改革支出（款）住房公积金（项）：</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52.93</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75168CCD">
      <w:pPr>
        <w:pageBreakBefore w:val="0"/>
        <w:kinsoku/>
        <w:wordWrap/>
        <w:overflowPunct/>
        <w:topLinePunct w:val="0"/>
        <w:bidi w:val="0"/>
        <w:spacing w:line="240" w:lineRule="auto"/>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12.农林水支出（类）农业农村（款）事业运行（项）：</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168.48</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14:paraId="1128CA0B">
      <w:pPr>
        <w:pageBreakBefore w:val="0"/>
        <w:kinsoku/>
        <w:wordWrap/>
        <w:overflowPunct/>
        <w:topLinePunct w:val="0"/>
        <w:bidi w:val="0"/>
        <w:spacing w:line="240" w:lineRule="auto"/>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13.农林水支出（类）农村综合改革（款）对村民委员会和党支部的补助（项）：</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highlight w:val="none"/>
          <w:lang w:val="en-US" w:eastAsia="zh-CN"/>
        </w:rPr>
        <w:t>196.54</w:t>
      </w:r>
      <w:r>
        <w:rPr>
          <w:rStyle w:val="19"/>
          <w:rFonts w:hint="eastAsia" w:ascii="仿宋" w:eastAsia="仿宋"/>
          <w:b w:val="0"/>
          <w:bCs/>
          <w:color w:val="000000"/>
          <w:sz w:val="32"/>
          <w:szCs w:val="32"/>
        </w:rPr>
        <w:t>万元</w:t>
      </w:r>
      <w:r>
        <w:rPr>
          <w:rFonts w:hint="eastAsia" w:ascii="仿宋_GB2312" w:hAnsi="仿宋_GB2312" w:eastAsia="仿宋_GB2312" w:cs="仿宋_GB2312"/>
          <w:color w:val="000000"/>
          <w:sz w:val="32"/>
          <w:szCs w:val="32"/>
        </w:rPr>
        <w:t>（其中公共运行维护费</w:t>
      </w:r>
      <w:r>
        <w:rPr>
          <w:rFonts w:hint="eastAsia" w:ascii="仿宋_GB2312" w:hAnsi="仿宋_GB2312" w:eastAsia="仿宋_GB2312" w:cs="仿宋_GB2312"/>
          <w:color w:val="000000"/>
          <w:sz w:val="32"/>
          <w:szCs w:val="32"/>
          <w:lang w:val="en-US" w:eastAsia="zh-CN"/>
        </w:rPr>
        <w:t>45</w:t>
      </w:r>
      <w:r>
        <w:rPr>
          <w:rFonts w:hint="eastAsia" w:ascii="仿宋_GB2312" w:hAnsi="仿宋_GB2312" w:eastAsia="仿宋_GB2312" w:cs="仿宋_GB2312"/>
          <w:color w:val="000000"/>
          <w:sz w:val="32"/>
          <w:szCs w:val="32"/>
        </w:rPr>
        <w:t>万元、基层党组织活动经费</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万元、办公费</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w:t>
      </w:r>
      <w:r>
        <w:rPr>
          <w:rStyle w:val="19"/>
          <w:rFonts w:hint="eastAsia" w:ascii="仿宋" w:eastAsia="仿宋"/>
          <w:b w:val="0"/>
          <w:bCs/>
          <w:color w:val="000000"/>
          <w:sz w:val="32"/>
          <w:szCs w:val="32"/>
        </w:rPr>
        <w:t>，完成预算100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r>
        <w:rPr>
          <w:rStyle w:val="19"/>
          <w:rFonts w:hint="eastAsia" w:ascii="仿宋" w:eastAsia="仿宋"/>
          <w:b w:val="0"/>
          <w:bCs/>
          <w:color w:val="000000"/>
          <w:sz w:val="32"/>
          <w:szCs w:val="32"/>
          <w:lang w:val="en-US" w:eastAsia="zh-CN"/>
        </w:rPr>
        <w:t xml:space="preserve">       </w:t>
      </w:r>
    </w:p>
    <w:p w14:paraId="54EC6DC4">
      <w:pPr>
        <w:pageBreakBefore w:val="0"/>
        <w:kinsoku/>
        <w:wordWrap/>
        <w:overflowPunct/>
        <w:topLinePunct w:val="0"/>
        <w:bidi w:val="0"/>
        <w:spacing w:line="240" w:lineRule="auto"/>
        <w:ind w:firstLine="643" w:firstLineChars="200"/>
      </w:pPr>
      <w:r>
        <w:rPr>
          <w:rStyle w:val="19"/>
          <w:rFonts w:hint="eastAsia" w:ascii="仿宋" w:eastAsia="仿宋"/>
          <w:bCs/>
          <w:color w:val="000000"/>
          <w:sz w:val="32"/>
          <w:szCs w:val="32"/>
          <w:lang w:val="en-US" w:eastAsia="zh-CN"/>
        </w:rPr>
        <w:t>14.农林水支出（类）其他农林水支出（款）其他农林水支出（项）：</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0</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，决算数等于预算数。</w:t>
      </w:r>
    </w:p>
    <w:p w14:paraId="12F1D076">
      <w:pPr>
        <w:pageBreakBefore w:val="0"/>
        <w:kinsoku/>
        <w:wordWrap/>
        <w:overflowPunct/>
        <w:topLinePunct w:val="0"/>
        <w:bidi w:val="0"/>
        <w:spacing w:line="240" w:lineRule="auto"/>
        <w:ind w:firstLine="640"/>
        <w:rPr>
          <w:rStyle w:val="23"/>
        </w:rPr>
      </w:pPr>
      <w:r>
        <w:rPr>
          <w:rFonts w:hint="eastAsia" w:ascii="黑体" w:eastAsia="黑体"/>
          <w:color w:val="000000"/>
          <w:sz w:val="32"/>
          <w:szCs w:val="32"/>
        </w:rPr>
        <w:t>六</w:t>
      </w:r>
      <w:r>
        <w:rPr>
          <w:rFonts w:hint="eastAsia" w:ascii="黑体" w:eastAsia="黑体"/>
          <w:b/>
          <w:color w:val="000000"/>
          <w:sz w:val="32"/>
          <w:szCs w:val="32"/>
        </w:rPr>
        <w:t>、一</w:t>
      </w:r>
      <w:r>
        <w:rPr>
          <w:rStyle w:val="23"/>
          <w:rFonts w:hint="eastAsia" w:ascii="黑体" w:eastAsia="黑体"/>
          <w:b w:val="0"/>
        </w:rPr>
        <w:t>般公共预算财政拨款基本支出决算情况说明</w:t>
      </w:r>
      <w:bookmarkEnd w:id="44"/>
      <w:r>
        <w:rPr>
          <w:rStyle w:val="23"/>
          <w:rFonts w:ascii="黑体" w:eastAsia="黑体"/>
          <w:b w:val="0"/>
        </w:rPr>
        <w:tab/>
      </w:r>
    </w:p>
    <w:p w14:paraId="6097FE06">
      <w:pPr>
        <w:keepNext w:val="0"/>
        <w:keepLines w:val="0"/>
        <w:pageBreakBefore w:val="0"/>
        <w:widowControl w:val="0"/>
        <w:kinsoku/>
        <w:wordWrap/>
        <w:overflowPunct/>
        <w:topLinePunct w:val="0"/>
        <w:autoSpaceDE/>
        <w:autoSpaceDN/>
        <w:bidi w:val="0"/>
        <w:adjustRightInd/>
        <w:spacing w:line="360" w:lineRule="auto"/>
        <w:ind w:firstLine="645"/>
        <w:textAlignment w:val="auto"/>
        <w:rPr>
          <w:rFonts w:ascii="仿宋" w:eastAsia="仿宋"/>
          <w:color w:val="000000"/>
          <w:sz w:val="32"/>
          <w:szCs w:val="32"/>
        </w:rPr>
      </w:pPr>
      <w:bookmarkStart w:id="45" w:name="_Toc9449"/>
      <w:bookmarkStart w:id="46" w:name="_Toc15377215"/>
      <w:r>
        <w:rPr>
          <w:rFonts w:hint="eastAsia" w:ascii="仿宋" w:eastAsia="仿宋"/>
          <w:color w:val="000000"/>
          <w:sz w:val="32"/>
          <w:szCs w:val="32"/>
          <w:lang w:eastAsia="zh-CN"/>
        </w:rPr>
        <w:t>2024年</w:t>
      </w:r>
      <w:r>
        <w:rPr>
          <w:rFonts w:hint="eastAsia" w:ascii="仿宋" w:eastAsia="仿宋"/>
          <w:color w:val="000000"/>
          <w:sz w:val="32"/>
          <w:szCs w:val="32"/>
        </w:rPr>
        <w:t>一般公共预算财政拨款支出</w:t>
      </w:r>
      <w:r>
        <w:rPr>
          <w:rFonts w:hint="eastAsia" w:ascii="仿宋" w:eastAsia="仿宋"/>
          <w:bCs/>
          <w:color w:val="000000"/>
          <w:sz w:val="32"/>
          <w:szCs w:val="32"/>
          <w:lang w:val="en-US" w:eastAsia="zh-CN"/>
        </w:rPr>
        <w:t>1314.04</w:t>
      </w:r>
      <w:r>
        <w:rPr>
          <w:rFonts w:hint="eastAsia" w:ascii="仿宋" w:eastAsia="仿宋"/>
          <w:color w:val="000000"/>
          <w:sz w:val="32"/>
          <w:szCs w:val="32"/>
        </w:rPr>
        <w:t>万元</w:t>
      </w:r>
    </w:p>
    <w:p w14:paraId="6146E681">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703.17</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652.09</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主要包括：基本工资</w:t>
      </w:r>
      <w:r>
        <w:rPr>
          <w:rFonts w:hint="eastAsia" w:ascii="仿宋_GB2312" w:eastAsia="仿宋_GB2312"/>
          <w:color w:val="000000" w:themeColor="text1"/>
          <w:sz w:val="32"/>
          <w:szCs w:val="32"/>
          <w:lang w:val="en-US" w:eastAsia="zh-CN"/>
          <w14:textFill>
            <w14:solidFill>
              <w14:schemeClr w14:val="tx1"/>
            </w14:solidFill>
          </w14:textFill>
        </w:rPr>
        <w:t>113.68</w:t>
      </w:r>
      <w:r>
        <w:rPr>
          <w:rFonts w:hint="eastAsia" w:ascii="仿宋_GB2312" w:eastAsia="仿宋_GB2312"/>
          <w:color w:val="000000" w:themeColor="text1"/>
          <w:sz w:val="32"/>
          <w:szCs w:val="32"/>
          <w14:textFill>
            <w14:solidFill>
              <w14:schemeClr w14:val="tx1"/>
            </w14:solidFill>
          </w14:textFill>
        </w:rPr>
        <w:t>万元、津贴补贴</w:t>
      </w:r>
      <w:r>
        <w:rPr>
          <w:rFonts w:hint="eastAsia" w:ascii="仿宋_GB2312" w:eastAsia="仿宋_GB2312"/>
          <w:color w:val="000000" w:themeColor="text1"/>
          <w:sz w:val="32"/>
          <w:szCs w:val="32"/>
          <w:lang w:val="en-US" w:eastAsia="zh-CN"/>
          <w14:textFill>
            <w14:solidFill>
              <w14:schemeClr w14:val="tx1"/>
            </w14:solidFill>
          </w14:textFill>
        </w:rPr>
        <w:t>164.74</w:t>
      </w:r>
      <w:r>
        <w:rPr>
          <w:rFonts w:hint="eastAsia" w:ascii="仿宋_GB2312" w:eastAsia="仿宋_GB2312"/>
          <w:color w:val="000000" w:themeColor="text1"/>
          <w:sz w:val="32"/>
          <w:szCs w:val="32"/>
          <w14:textFill>
            <w14:solidFill>
              <w14:schemeClr w14:val="tx1"/>
            </w14:solidFill>
          </w14:textFill>
        </w:rPr>
        <w:t>万元、奖金</w:t>
      </w:r>
      <w:r>
        <w:rPr>
          <w:rFonts w:hint="eastAsia" w:ascii="仿宋_GB2312" w:eastAsia="仿宋_GB2312"/>
          <w:color w:val="000000" w:themeColor="text1"/>
          <w:sz w:val="32"/>
          <w:szCs w:val="32"/>
          <w:lang w:val="en-US" w:eastAsia="zh-CN"/>
          <w14:textFill>
            <w14:solidFill>
              <w14:schemeClr w14:val="tx1"/>
            </w14:solidFill>
          </w14:textFill>
        </w:rPr>
        <w:t>160.11</w:t>
      </w:r>
      <w:r>
        <w:rPr>
          <w:rFonts w:hint="eastAsia" w:ascii="仿宋_GB2312" w:eastAsia="仿宋_GB2312"/>
          <w:color w:val="000000" w:themeColor="text1"/>
          <w:sz w:val="32"/>
          <w:szCs w:val="32"/>
          <w14:textFill>
            <w14:solidFill>
              <w14:schemeClr w14:val="tx1"/>
            </w14:solidFill>
          </w14:textFill>
        </w:rPr>
        <w:t>万元、绩效工资</w:t>
      </w:r>
      <w:r>
        <w:rPr>
          <w:rFonts w:hint="eastAsia" w:ascii="仿宋_GB2312" w:eastAsia="仿宋_GB2312"/>
          <w:color w:val="000000" w:themeColor="text1"/>
          <w:sz w:val="32"/>
          <w:szCs w:val="32"/>
          <w:lang w:val="en-US" w:eastAsia="zh-CN"/>
          <w14:textFill>
            <w14:solidFill>
              <w14:schemeClr w14:val="tx1"/>
            </w14:solidFill>
          </w14:textFill>
        </w:rPr>
        <w:t>27.5</w:t>
      </w:r>
      <w:r>
        <w:rPr>
          <w:rFonts w:hint="eastAsia" w:ascii="仿宋_GB2312" w:eastAsia="仿宋_GB2312"/>
          <w:color w:val="000000" w:themeColor="text1"/>
          <w:sz w:val="32"/>
          <w:szCs w:val="32"/>
          <w14:textFill>
            <w14:solidFill>
              <w14:schemeClr w14:val="tx1"/>
            </w14:solidFill>
          </w14:textFill>
        </w:rPr>
        <w:t>万元、机关事业单位基本养老保险缴费</w:t>
      </w:r>
      <w:r>
        <w:rPr>
          <w:rFonts w:hint="eastAsia" w:ascii="仿宋_GB2312" w:eastAsia="仿宋_GB2312"/>
          <w:color w:val="000000" w:themeColor="text1"/>
          <w:sz w:val="32"/>
          <w:szCs w:val="32"/>
          <w:lang w:val="en-US" w:eastAsia="zh-CN"/>
          <w14:textFill>
            <w14:solidFill>
              <w14:schemeClr w14:val="tx1"/>
            </w14:solidFill>
          </w14:textFill>
        </w:rPr>
        <w:t>58.43</w:t>
      </w:r>
      <w:r>
        <w:rPr>
          <w:rFonts w:hint="eastAsia" w:ascii="仿宋_GB2312" w:eastAsia="仿宋_GB2312"/>
          <w:color w:val="000000" w:themeColor="text1"/>
          <w:sz w:val="32"/>
          <w:szCs w:val="32"/>
          <w14:textFill>
            <w14:solidFill>
              <w14:schemeClr w14:val="tx1"/>
            </w14:solidFill>
          </w14:textFill>
        </w:rPr>
        <w:t>万元、职业年金缴费</w:t>
      </w:r>
      <w:r>
        <w:rPr>
          <w:rFonts w:hint="eastAsia" w:ascii="仿宋_GB2312" w:eastAsia="仿宋_GB2312"/>
          <w:color w:val="000000" w:themeColor="text1"/>
          <w:sz w:val="32"/>
          <w:szCs w:val="32"/>
          <w:lang w:val="en-US" w:eastAsia="zh-CN"/>
          <w14:textFill>
            <w14:solidFill>
              <w14:schemeClr w14:val="tx1"/>
            </w14:solidFill>
          </w14:textFill>
        </w:rPr>
        <w:t>29.35</w:t>
      </w:r>
      <w:r>
        <w:rPr>
          <w:rFonts w:hint="eastAsia" w:ascii="仿宋_GB2312" w:eastAsia="仿宋_GB2312"/>
          <w:color w:val="000000" w:themeColor="text1"/>
          <w:sz w:val="32"/>
          <w:szCs w:val="32"/>
          <w14:textFill>
            <w14:solidFill>
              <w14:schemeClr w14:val="tx1"/>
            </w14:solidFill>
          </w14:textFill>
        </w:rPr>
        <w:t>万元、其他社会保障缴费</w:t>
      </w:r>
      <w:r>
        <w:rPr>
          <w:rFonts w:hint="eastAsia" w:ascii="仿宋_GB2312" w:eastAsia="仿宋_GB2312"/>
          <w:color w:val="000000" w:themeColor="text1"/>
          <w:sz w:val="32"/>
          <w:szCs w:val="32"/>
          <w:lang w:val="en-US" w:eastAsia="zh-CN"/>
          <w14:textFill>
            <w14:solidFill>
              <w14:schemeClr w14:val="tx1"/>
            </w14:solidFill>
          </w14:textFill>
        </w:rPr>
        <w:t>9.78</w:t>
      </w:r>
      <w:r>
        <w:rPr>
          <w:rFonts w:hint="eastAsia" w:ascii="仿宋_GB2312" w:eastAsia="仿宋_GB2312"/>
          <w:color w:val="000000" w:themeColor="text1"/>
          <w:sz w:val="32"/>
          <w:szCs w:val="32"/>
          <w14:textFill>
            <w14:solidFill>
              <w14:schemeClr w14:val="tx1"/>
            </w14:solidFill>
          </w14:textFill>
        </w:rPr>
        <w:t>万元、住房公积金</w:t>
      </w:r>
      <w:r>
        <w:rPr>
          <w:rFonts w:hint="eastAsia" w:ascii="仿宋_GB2312" w:eastAsia="仿宋_GB2312"/>
          <w:color w:val="000000" w:themeColor="text1"/>
          <w:sz w:val="32"/>
          <w:szCs w:val="32"/>
          <w:lang w:val="en-US" w:eastAsia="zh-CN"/>
          <w14:textFill>
            <w14:solidFill>
              <w14:schemeClr w14:val="tx1"/>
            </w14:solidFill>
          </w14:textFill>
        </w:rPr>
        <w:t>51.93</w:t>
      </w:r>
      <w:r>
        <w:rPr>
          <w:rFonts w:hint="eastAsia" w:ascii="仿宋_GB2312" w:eastAsia="仿宋_GB2312"/>
          <w:color w:val="000000" w:themeColor="text1"/>
          <w:sz w:val="32"/>
          <w:szCs w:val="32"/>
          <w14:textFill>
            <w14:solidFill>
              <w14:schemeClr w14:val="tx1"/>
            </w14:solidFill>
          </w14:textFill>
        </w:rPr>
        <w:t>万元、职工基本医疗保险缴费</w:t>
      </w:r>
      <w:r>
        <w:rPr>
          <w:rFonts w:hint="eastAsia" w:ascii="仿宋_GB2312" w:eastAsia="仿宋_GB2312"/>
          <w:color w:val="000000" w:themeColor="text1"/>
          <w:sz w:val="32"/>
          <w:szCs w:val="32"/>
          <w:lang w:val="en-US" w:eastAsia="zh-CN"/>
          <w14:textFill>
            <w14:solidFill>
              <w14:schemeClr w14:val="tx1"/>
            </w14:solidFill>
          </w14:textFill>
        </w:rPr>
        <w:t>31.14</w:t>
      </w:r>
      <w:r>
        <w:rPr>
          <w:rFonts w:hint="eastAsia" w:ascii="仿宋_GB2312" w:eastAsia="仿宋_GB2312"/>
          <w:color w:val="000000" w:themeColor="text1"/>
          <w:sz w:val="32"/>
          <w:szCs w:val="32"/>
          <w14:textFill>
            <w14:solidFill>
              <w14:schemeClr w14:val="tx1"/>
            </w14:solidFill>
          </w14:textFill>
        </w:rPr>
        <w:t>万元、公务员医疗补助</w:t>
      </w:r>
      <w:r>
        <w:rPr>
          <w:rFonts w:hint="eastAsia" w:ascii="仿宋_GB2312" w:eastAsia="仿宋_GB2312"/>
          <w:color w:val="000000" w:themeColor="text1"/>
          <w:sz w:val="32"/>
          <w:szCs w:val="32"/>
          <w:lang w:val="en-US" w:eastAsia="zh-CN"/>
          <w14:textFill>
            <w14:solidFill>
              <w14:schemeClr w14:val="tx1"/>
            </w14:solidFill>
          </w14:textFill>
        </w:rPr>
        <w:t>5.41</w:t>
      </w:r>
      <w:r>
        <w:rPr>
          <w:rFonts w:hint="eastAsia" w:ascii="仿宋_GB2312" w:eastAsia="仿宋_GB2312"/>
          <w:color w:val="000000" w:themeColor="text1"/>
          <w:sz w:val="32"/>
          <w:szCs w:val="32"/>
          <w14:textFill>
            <w14:solidFill>
              <w14:schemeClr w14:val="tx1"/>
            </w14:solidFill>
          </w14:textFill>
        </w:rPr>
        <w:t>万元、生活补助</w:t>
      </w:r>
      <w:r>
        <w:rPr>
          <w:rFonts w:hint="eastAsia" w:ascii="仿宋_GB2312" w:eastAsia="仿宋_GB2312"/>
          <w:color w:val="000000" w:themeColor="text1"/>
          <w:sz w:val="32"/>
          <w:szCs w:val="32"/>
          <w:lang w:val="en-US" w:eastAsia="zh-CN"/>
          <w14:textFill>
            <w14:solidFill>
              <w14:schemeClr w14:val="tx1"/>
            </w14:solidFill>
          </w14:textFill>
        </w:rPr>
        <w:t>13.26</w:t>
      </w:r>
      <w:r>
        <w:rPr>
          <w:rFonts w:hint="eastAsia" w:ascii="仿宋_GB2312" w:eastAsia="仿宋_GB2312"/>
          <w:color w:val="000000" w:themeColor="text1"/>
          <w:sz w:val="32"/>
          <w:szCs w:val="32"/>
          <w14:textFill>
            <w14:solidFill>
              <w14:schemeClr w14:val="tx1"/>
            </w14:solidFill>
          </w14:textFill>
        </w:rPr>
        <w:t>万元、奖励金</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14:paraId="72CA449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公用经费支出为</w:t>
      </w:r>
      <w:r>
        <w:rPr>
          <w:rFonts w:hint="eastAsia" w:ascii="仿宋_GB2312" w:hAnsi="仿宋" w:eastAsia="仿宋_GB2312"/>
          <w:color w:val="000000" w:themeColor="text1"/>
          <w:sz w:val="32"/>
          <w:szCs w:val="32"/>
          <w:lang w:val="en-US" w:eastAsia="zh-CN"/>
          <w14:textFill>
            <w14:solidFill>
              <w14:schemeClr w14:val="tx1"/>
            </w14:solidFill>
          </w14:textFill>
        </w:rPr>
        <w:t>37.8</w:t>
      </w:r>
      <w:r>
        <w:rPr>
          <w:rFonts w:hint="eastAsia" w:ascii="仿宋_GB2312" w:hAnsi="仿宋" w:eastAsia="仿宋_GB2312"/>
          <w:color w:val="000000"/>
          <w:sz w:val="32"/>
          <w:szCs w:val="32"/>
        </w:rPr>
        <w:t>万元，主要包括：办公费</w:t>
      </w:r>
      <w:r>
        <w:rPr>
          <w:rFonts w:hint="eastAsia" w:ascii="仿宋_GB2312" w:hAnsi="仿宋" w:eastAsia="仿宋_GB2312"/>
          <w:color w:val="000000"/>
          <w:sz w:val="32"/>
          <w:szCs w:val="32"/>
          <w:lang w:val="en-US" w:eastAsia="zh-CN"/>
        </w:rPr>
        <w:t>10.58</w:t>
      </w:r>
      <w:r>
        <w:rPr>
          <w:rFonts w:hint="eastAsia" w:ascii="仿宋_GB2312" w:hAnsi="仿宋" w:eastAsia="仿宋_GB2312"/>
          <w:color w:val="000000"/>
          <w:sz w:val="32"/>
          <w:szCs w:val="32"/>
        </w:rPr>
        <w:t>万元、印刷费</w:t>
      </w:r>
      <w:r>
        <w:rPr>
          <w:rFonts w:hint="eastAsia" w:ascii="仿宋_GB2312" w:hAnsi="仿宋" w:eastAsia="仿宋_GB2312"/>
          <w:color w:val="000000"/>
          <w:sz w:val="32"/>
          <w:szCs w:val="32"/>
          <w:lang w:val="en-US" w:eastAsia="zh-CN"/>
        </w:rPr>
        <w:t>4.0</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手续费0万元、</w:t>
      </w:r>
      <w:r>
        <w:rPr>
          <w:rFonts w:hint="eastAsia" w:ascii="仿宋_GB2312" w:hAnsi="仿宋" w:eastAsia="仿宋_GB2312"/>
          <w:color w:val="000000"/>
          <w:sz w:val="32"/>
          <w:szCs w:val="32"/>
        </w:rPr>
        <w:t>电费</w:t>
      </w:r>
      <w:r>
        <w:rPr>
          <w:rFonts w:hint="eastAsia" w:ascii="仿宋_GB2312" w:hAnsi="仿宋" w:eastAsia="仿宋_GB2312"/>
          <w:color w:val="000000"/>
          <w:sz w:val="32"/>
          <w:szCs w:val="32"/>
          <w:lang w:val="en-US" w:eastAsia="zh-CN"/>
        </w:rPr>
        <w:t>1.5</w:t>
      </w:r>
      <w:r>
        <w:rPr>
          <w:rFonts w:hint="eastAsia" w:ascii="仿宋_GB2312" w:hAnsi="仿宋" w:eastAsia="仿宋_GB2312"/>
          <w:color w:val="000000"/>
          <w:sz w:val="32"/>
          <w:szCs w:val="32"/>
        </w:rPr>
        <w:t>万元、邮电费</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万元、差旅费</w:t>
      </w: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万元、劳务费</w:t>
      </w:r>
      <w:r>
        <w:rPr>
          <w:rFonts w:hint="eastAsia" w:ascii="仿宋_GB2312" w:hAnsi="仿宋" w:eastAsia="仿宋_GB2312"/>
          <w:color w:val="000000"/>
          <w:sz w:val="32"/>
          <w:szCs w:val="32"/>
          <w:lang w:val="en-US" w:eastAsia="zh-CN"/>
        </w:rPr>
        <w:t>5.72</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委托业务费</w:t>
      </w:r>
      <w:r>
        <w:rPr>
          <w:rFonts w:hint="eastAsia" w:ascii="仿宋_GB2312" w:hAnsi="仿宋" w:eastAsia="仿宋_GB2312"/>
          <w:color w:val="000000"/>
          <w:sz w:val="32"/>
          <w:szCs w:val="32"/>
          <w:lang w:val="en-US" w:eastAsia="zh-CN"/>
        </w:rPr>
        <w:t>1万元、</w:t>
      </w:r>
      <w:r>
        <w:rPr>
          <w:rFonts w:hint="eastAsia" w:ascii="仿宋_GB2312" w:hAnsi="仿宋" w:eastAsia="仿宋_GB2312"/>
          <w:color w:val="000000"/>
          <w:sz w:val="32"/>
          <w:szCs w:val="32"/>
        </w:rPr>
        <w:t>公务用车运行维护费</w:t>
      </w: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万元。</w:t>
      </w:r>
    </w:p>
    <w:p w14:paraId="6E3A1CE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610.88</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人大会议费</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万元，对村干部生活补助支出</w:t>
      </w:r>
      <w:r>
        <w:rPr>
          <w:rFonts w:hint="eastAsia" w:ascii="仿宋_GB2312" w:hAnsi="仿宋" w:eastAsia="仿宋_GB2312"/>
          <w:color w:val="000000"/>
          <w:sz w:val="32"/>
          <w:szCs w:val="32"/>
          <w:lang w:val="en-US" w:eastAsia="zh-CN"/>
        </w:rPr>
        <w:t>196.55</w:t>
      </w:r>
      <w:r>
        <w:rPr>
          <w:rFonts w:hint="eastAsia" w:ascii="仿宋_GB2312" w:hAnsi="仿宋" w:eastAsia="仿宋_GB2312"/>
          <w:color w:val="000000"/>
          <w:sz w:val="32"/>
          <w:szCs w:val="32"/>
        </w:rPr>
        <w:t>万元，</w:t>
      </w:r>
      <w:r>
        <w:rPr>
          <w:rFonts w:hint="eastAsia" w:ascii="仿宋_GB2312" w:hAnsi="仿宋_GB2312" w:eastAsia="仿宋_GB2312" w:cs="仿宋_GB2312"/>
          <w:color w:val="000000"/>
          <w:sz w:val="32"/>
          <w:szCs w:val="32"/>
        </w:rPr>
        <w:t>（其中公共运行维护费</w:t>
      </w:r>
      <w:r>
        <w:rPr>
          <w:rFonts w:hint="eastAsia" w:ascii="仿宋_GB2312" w:hAnsi="仿宋_GB2312" w:eastAsia="仿宋_GB2312" w:cs="仿宋_GB2312"/>
          <w:color w:val="000000"/>
          <w:sz w:val="32"/>
          <w:szCs w:val="32"/>
          <w:lang w:val="en-US" w:eastAsia="zh-CN"/>
        </w:rPr>
        <w:t>45</w:t>
      </w:r>
      <w:r>
        <w:rPr>
          <w:rFonts w:hint="eastAsia" w:ascii="仿宋_GB2312" w:hAnsi="仿宋_GB2312" w:eastAsia="仿宋_GB2312" w:cs="仿宋_GB2312"/>
          <w:color w:val="000000"/>
          <w:sz w:val="32"/>
          <w:szCs w:val="32"/>
        </w:rPr>
        <w:t>万元、基层党组织活动经费</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万元、办公费</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w:t>
      </w:r>
      <w:r>
        <w:rPr>
          <w:rFonts w:hint="eastAsia" w:ascii="仿宋_GB2312" w:hAnsi="仿宋" w:eastAsia="仿宋_GB2312"/>
          <w:color w:val="000000"/>
          <w:sz w:val="32"/>
          <w:szCs w:val="32"/>
        </w:rPr>
        <w:t>，巩固脱贫攻坚成果衔接乡村振兴</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332.07万元、其他巩固脱贫攻坚成果衔接乡村振兴支出：263.35万元</w:t>
      </w:r>
    </w:p>
    <w:p w14:paraId="1B280162">
      <w:pPr>
        <w:pageBreakBefore w:val="0"/>
        <w:kinsoku/>
        <w:wordWrap/>
        <w:overflowPunct/>
        <w:topLinePunct w:val="0"/>
        <w:bidi w:val="0"/>
        <w:spacing w:line="240" w:lineRule="auto"/>
        <w:ind w:firstLine="640" w:firstLineChars="200"/>
        <w:outlineLvl w:val="1"/>
        <w:rPr>
          <w:rStyle w:val="23"/>
          <w:rFonts w:ascii="黑体" w:eastAsia="黑体"/>
          <w:b w:val="0"/>
        </w:rPr>
      </w:pPr>
      <w:r>
        <w:rPr>
          <w:rFonts w:hint="eastAsia" w:ascii="黑体" w:eastAsia="黑体"/>
          <w:color w:val="000000"/>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45"/>
      <w:bookmarkEnd w:id="46"/>
    </w:p>
    <w:p w14:paraId="7B535F93">
      <w:pPr>
        <w:pageBreakBefore w:val="0"/>
        <w:kinsoku/>
        <w:wordWrap/>
        <w:overflowPunct/>
        <w:topLinePunct w:val="0"/>
        <w:bidi w:val="0"/>
        <w:spacing w:line="240" w:lineRule="auto"/>
        <w:ind w:firstLine="640"/>
        <w:outlineLvl w:val="2"/>
        <w:rPr>
          <w:rFonts w:ascii="仿宋" w:eastAsia="仿宋"/>
          <w:b/>
          <w:color w:val="000000"/>
          <w:sz w:val="32"/>
          <w:szCs w:val="32"/>
        </w:rPr>
      </w:pPr>
      <w:bookmarkStart w:id="47" w:name="_Toc15377216"/>
      <w:r>
        <w:rPr>
          <w:rFonts w:hint="eastAsia" w:ascii="仿宋" w:eastAsia="仿宋"/>
          <w:b/>
          <w:color w:val="000000"/>
          <w:sz w:val="32"/>
          <w:szCs w:val="32"/>
        </w:rPr>
        <w:t>（一）“三公”经费财政拨款支出决算总体情况说明</w:t>
      </w:r>
      <w:bookmarkEnd w:id="47"/>
    </w:p>
    <w:p w14:paraId="7B09DF9F">
      <w:pPr>
        <w:pageBreakBefore w:val="0"/>
        <w:kinsoku/>
        <w:wordWrap/>
        <w:overflowPunct/>
        <w:topLinePunct w:val="0"/>
        <w:bidi w:val="0"/>
        <w:spacing w:line="240" w:lineRule="auto"/>
        <w:ind w:firstLine="640"/>
        <w:rPr>
          <w:rFonts w:ascii="仿宋" w:eastAsia="仿宋"/>
          <w:color w:val="000000"/>
          <w:sz w:val="32"/>
          <w:szCs w:val="32"/>
        </w:rPr>
      </w:pPr>
      <w:r>
        <w:rPr>
          <w:rFonts w:hint="eastAsia" w:ascii="仿宋" w:eastAsia="仿宋"/>
          <w:color w:val="000000"/>
          <w:sz w:val="32"/>
          <w:szCs w:val="32"/>
          <w:lang w:eastAsia="zh-CN"/>
        </w:rPr>
        <w:t>2024年</w:t>
      </w:r>
      <w:r>
        <w:rPr>
          <w:rFonts w:hint="eastAsia" w:ascii="仿宋" w:eastAsia="仿宋"/>
          <w:color w:val="000000"/>
          <w:sz w:val="32"/>
          <w:szCs w:val="32"/>
        </w:rPr>
        <w:t>“三公”经费财政拨款支出决算为</w:t>
      </w:r>
      <w:r>
        <w:rPr>
          <w:rFonts w:hint="eastAsia" w:ascii="仿宋" w:eastAsia="仿宋"/>
          <w:color w:val="000000"/>
          <w:sz w:val="32"/>
          <w:szCs w:val="32"/>
          <w:lang w:val="en-US" w:eastAsia="zh-CN"/>
        </w:rPr>
        <w:t>7</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14:paraId="7DECB5C9">
      <w:pPr>
        <w:pageBreakBefore w:val="0"/>
        <w:kinsoku/>
        <w:wordWrap/>
        <w:overflowPunct/>
        <w:topLinePunct w:val="0"/>
        <w:bidi w:val="0"/>
        <w:spacing w:line="240" w:lineRule="auto"/>
        <w:ind w:firstLine="640"/>
        <w:outlineLvl w:val="2"/>
        <w:rPr>
          <w:rFonts w:ascii="仿宋" w:eastAsia="仿宋"/>
          <w:b/>
          <w:color w:val="000000"/>
          <w:sz w:val="32"/>
          <w:szCs w:val="32"/>
        </w:rPr>
      </w:pPr>
      <w:bookmarkStart w:id="48" w:name="_Toc15377217"/>
      <w:r>
        <w:rPr>
          <w:rFonts w:hint="eastAsia" w:ascii="仿宋" w:eastAsia="仿宋"/>
          <w:b/>
          <w:color w:val="000000"/>
          <w:sz w:val="32"/>
          <w:szCs w:val="32"/>
        </w:rPr>
        <w:t>（二）“三公”经费财政拨款支出决算具体情况说明</w:t>
      </w:r>
      <w:bookmarkEnd w:id="48"/>
    </w:p>
    <w:p w14:paraId="3AE77C4D">
      <w:pPr>
        <w:pageBreakBefore w:val="0"/>
        <w:kinsoku/>
        <w:wordWrap/>
        <w:overflowPunct/>
        <w:topLinePunct w:val="0"/>
        <w:bidi w:val="0"/>
        <w:spacing w:line="240" w:lineRule="auto"/>
        <w:ind w:firstLine="640"/>
        <w:rPr>
          <w:rFonts w:ascii="仿宋" w:eastAsia="仿宋"/>
          <w:color w:val="000000"/>
          <w:sz w:val="32"/>
          <w:szCs w:val="32"/>
        </w:rPr>
      </w:pPr>
      <w:r>
        <w:rPr>
          <w:rFonts w:hint="eastAsia" w:ascii="仿宋" w:eastAsia="仿宋"/>
          <w:color w:val="000000"/>
          <w:sz w:val="32"/>
          <w:szCs w:val="32"/>
          <w:lang w:eastAsia="zh-CN"/>
        </w:rPr>
        <w:t>2024年</w:t>
      </w:r>
      <w:r>
        <w:rPr>
          <w:rFonts w:hint="eastAsia" w:ascii="仿宋" w:eastAsia="仿宋"/>
          <w:color w:val="000000"/>
          <w:sz w:val="32"/>
          <w:szCs w:val="32"/>
        </w:rPr>
        <w:t>“三公”经费财政拨款支出</w:t>
      </w:r>
      <w:r>
        <w:rPr>
          <w:rFonts w:hint="eastAsia" w:ascii="仿宋" w:eastAsia="仿宋"/>
          <w:sz w:val="32"/>
          <w:szCs w:val="32"/>
        </w:rPr>
        <w:t>决算</w:t>
      </w:r>
      <w:r>
        <w:rPr>
          <w:rFonts w:hint="eastAsia" w:ascii="仿宋" w:eastAsia="仿宋"/>
          <w:sz w:val="32"/>
          <w:szCs w:val="32"/>
          <w:lang w:val="en-US" w:eastAsia="zh-CN"/>
        </w:rPr>
        <w:t>7</w:t>
      </w:r>
      <w:r>
        <w:rPr>
          <w:rFonts w:hint="eastAsia" w:ascii="仿宋" w:eastAsia="仿宋"/>
          <w:sz w:val="32"/>
          <w:szCs w:val="32"/>
        </w:rPr>
        <w:t>万元</w:t>
      </w:r>
      <w:r>
        <w:rPr>
          <w:rFonts w:hint="eastAsia" w:ascii="仿宋" w:eastAsia="仿宋"/>
          <w:color w:val="000000"/>
          <w:sz w:val="32"/>
          <w:szCs w:val="32"/>
        </w:rPr>
        <w:t>，其中：公务用车购置及运行维护费支出决算</w:t>
      </w:r>
      <w:r>
        <w:rPr>
          <w:rFonts w:hint="eastAsia" w:ascii="仿宋" w:eastAsia="仿宋"/>
          <w:color w:val="000000"/>
          <w:sz w:val="32"/>
          <w:szCs w:val="32"/>
          <w:lang w:val="en-US" w:eastAsia="zh-CN"/>
        </w:rPr>
        <w:t>7</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w:t>
      </w:r>
    </w:p>
    <w:p w14:paraId="1D45D86A">
      <w:pPr>
        <w:pageBreakBefore w:val="0"/>
        <w:kinsoku/>
        <w:wordWrap/>
        <w:overflowPunct/>
        <w:topLinePunct w:val="0"/>
        <w:bidi w:val="0"/>
        <w:spacing w:line="240" w:lineRule="auto"/>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万元,</w:t>
      </w:r>
      <w:r>
        <w:rPr>
          <w:rStyle w:val="19"/>
          <w:rFonts w:hint="eastAsia" w:ascii="仿宋" w:eastAsia="仿宋"/>
          <w:b w:val="0"/>
          <w:bCs/>
          <w:color w:val="000000"/>
          <w:sz w:val="32"/>
          <w:szCs w:val="32"/>
        </w:rPr>
        <w:t>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增加0.2</w:t>
      </w:r>
      <w:r>
        <w:rPr>
          <w:rFonts w:hint="eastAsia" w:ascii="仿宋_GB2312" w:eastAsia="仿宋_GB2312"/>
          <w:color w:val="000000"/>
          <w:sz w:val="32"/>
          <w:szCs w:val="32"/>
        </w:rPr>
        <w:t>万元，</w:t>
      </w:r>
      <w:r>
        <w:rPr>
          <w:rFonts w:hint="eastAsia" w:ascii="仿宋_GB2312" w:eastAsia="仿宋_GB2312" w:cs="仿宋"/>
          <w:color w:val="000000"/>
          <w:sz w:val="32"/>
          <w:szCs w:val="32"/>
          <w:lang w:val="en-US" w:eastAsia="zh-CN"/>
        </w:rPr>
        <w:t>增加</w:t>
      </w:r>
      <w:r>
        <w:rPr>
          <w:rFonts w:hint="eastAsia" w:ascii="仿宋_GB2312" w:eastAsia="仿宋_GB2312" w:cs="仿宋"/>
          <w:color w:val="000000"/>
          <w:sz w:val="32"/>
          <w:szCs w:val="32"/>
        </w:rPr>
        <w:t>原因一是机关公务用车保障任务重、保障路程长、保障半径宽，车辆过半老化，维修维护费用高。</w:t>
      </w:r>
      <w:r>
        <w:rPr>
          <w:rFonts w:hint="eastAsia" w:ascii="仿宋_GB2312" w:eastAsia="仿宋_GB2312" w:cs="仿宋"/>
          <w:color w:val="000000"/>
          <w:sz w:val="32"/>
          <w:szCs w:val="32"/>
          <w:lang w:val="en-US" w:eastAsia="zh-CN"/>
        </w:rPr>
        <w:t>且上级划拨应急抢险车辆；</w:t>
      </w:r>
      <w:r>
        <w:rPr>
          <w:rFonts w:hint="eastAsia" w:ascii="仿宋_GB2312" w:eastAsia="仿宋_GB2312" w:cs="仿宋"/>
          <w:color w:val="000000"/>
          <w:sz w:val="32"/>
          <w:szCs w:val="32"/>
        </w:rPr>
        <w:t>二是按照藏区提前一年实现基本“脱贫”的工作要求，脱贫攻坚任务繁重，开展脱贫攻坚一线调研和现场指导的次数增多</w:t>
      </w:r>
      <w:r>
        <w:rPr>
          <w:rFonts w:hint="eastAsia" w:ascii="仿宋_GB2312" w:eastAsia="仿宋_GB2312" w:cs="仿宋"/>
          <w:color w:val="000000"/>
          <w:sz w:val="32"/>
          <w:szCs w:val="32"/>
          <w:lang w:eastAsia="zh-CN"/>
        </w:rPr>
        <w:t>；</w:t>
      </w:r>
      <w:r>
        <w:rPr>
          <w:rFonts w:hint="eastAsia" w:ascii="仿宋_GB2312" w:eastAsia="仿宋_GB2312" w:cs="仿宋"/>
          <w:color w:val="000000"/>
          <w:sz w:val="32"/>
          <w:szCs w:val="32"/>
        </w:rPr>
        <w:t>三是开展“两联一进”群众工作，保障需求持续增加。四是抗击突发自然灾害，处置和查灾救灾的次数增多。</w:t>
      </w:r>
    </w:p>
    <w:p w14:paraId="4B6040D8">
      <w:pPr>
        <w:pageBreakBefore w:val="0"/>
        <w:kinsoku/>
        <w:wordWrap/>
        <w:overflowPunct/>
        <w:topLinePunct w:val="0"/>
        <w:autoSpaceDE w:val="0"/>
        <w:autoSpaceDN w:val="0"/>
        <w:bidi w:val="0"/>
        <w:adjustRightInd w:val="0"/>
        <w:spacing w:line="240" w:lineRule="auto"/>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hint="eastAsia" w:ascii="仿宋_GB2312" w:eastAsia="仿宋_GB2312"/>
          <w:color w:val="000000"/>
          <w:sz w:val="32"/>
          <w:szCs w:val="32"/>
          <w:lang w:eastAsia="zh-CN"/>
        </w:rPr>
        <w:t>2024年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辆、执法执勤用车0辆、特种专业技术用车0辆、离退休干部用车0辆、其他用车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p>
    <w:p w14:paraId="2E3E9EB1">
      <w:pPr>
        <w:pageBreakBefore w:val="0"/>
        <w:kinsoku/>
        <w:wordWrap/>
        <w:overflowPunct/>
        <w:topLinePunct w:val="0"/>
        <w:bidi w:val="0"/>
        <w:spacing w:line="240" w:lineRule="auto"/>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7</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14:paraId="2C0FCD78">
      <w:pPr>
        <w:pageBreakBefore w:val="0"/>
        <w:kinsoku/>
        <w:wordWrap/>
        <w:overflowPunct/>
        <w:topLinePunct w:val="0"/>
        <w:bidi w:val="0"/>
        <w:spacing w:line="240" w:lineRule="auto"/>
        <w:ind w:firstLine="640"/>
        <w:outlineLvl w:val="1"/>
        <w:rPr>
          <w:rStyle w:val="23"/>
          <w:rFonts w:ascii="黑体" w:eastAsia="黑体"/>
        </w:rPr>
      </w:pPr>
      <w:bookmarkStart w:id="49" w:name="_Toc15377218"/>
      <w:bookmarkStart w:id="50" w:name="_Toc23573"/>
      <w:r>
        <w:rPr>
          <w:rFonts w:hint="eastAsia" w:ascii="黑体" w:eastAsia="黑体"/>
          <w:color w:val="000000"/>
          <w:sz w:val="32"/>
          <w:szCs w:val="32"/>
        </w:rPr>
        <w:t>八、</w:t>
      </w:r>
      <w:r>
        <w:rPr>
          <w:rStyle w:val="23"/>
          <w:rFonts w:hint="eastAsia" w:ascii="黑体" w:eastAsia="黑体"/>
          <w:b w:val="0"/>
        </w:rPr>
        <w:t>政府性基金预算支出决算情况说明</w:t>
      </w:r>
      <w:bookmarkEnd w:id="49"/>
      <w:bookmarkEnd w:id="50"/>
    </w:p>
    <w:p w14:paraId="08BF4C05">
      <w:pPr>
        <w:pageBreakBefore w:val="0"/>
        <w:kinsoku/>
        <w:wordWrap/>
        <w:overflowPunct/>
        <w:topLinePunct w:val="0"/>
        <w:bidi w:val="0"/>
        <w:spacing w:line="240" w:lineRule="auto"/>
        <w:ind w:firstLine="64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政府性基金预算拨款支出0万元。</w:t>
      </w:r>
    </w:p>
    <w:p w14:paraId="3D046FAF">
      <w:pPr>
        <w:pageBreakBefore w:val="0"/>
        <w:numPr>
          <w:ilvl w:val="0"/>
          <w:numId w:val="3"/>
        </w:numPr>
        <w:kinsoku/>
        <w:wordWrap/>
        <w:overflowPunct/>
        <w:topLinePunct w:val="0"/>
        <w:bidi w:val="0"/>
        <w:spacing w:line="240" w:lineRule="auto"/>
        <w:ind w:firstLine="640"/>
        <w:outlineLvl w:val="1"/>
        <w:rPr>
          <w:rStyle w:val="23"/>
          <w:rFonts w:ascii="黑体" w:eastAsia="黑体"/>
          <w:b w:val="0"/>
        </w:rPr>
      </w:pPr>
      <w:bookmarkStart w:id="51" w:name="_Toc15377219"/>
      <w:bookmarkStart w:id="52" w:name="_Toc351"/>
      <w:r>
        <w:rPr>
          <w:rStyle w:val="23"/>
          <w:rFonts w:hint="eastAsia" w:ascii="黑体" w:eastAsia="黑体"/>
          <w:b w:val="0"/>
        </w:rPr>
        <w:t>国有资本经营预算支出决算情况说明</w:t>
      </w:r>
      <w:bookmarkEnd w:id="51"/>
      <w:bookmarkEnd w:id="52"/>
    </w:p>
    <w:p w14:paraId="7253AE62">
      <w:pPr>
        <w:pageBreakBefore w:val="0"/>
        <w:kinsoku/>
        <w:wordWrap/>
        <w:overflowPunct/>
        <w:topLinePunct w:val="0"/>
        <w:bidi w:val="0"/>
        <w:spacing w:line="240" w:lineRule="auto"/>
        <w:ind w:firstLine="64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国有资本经营预算拨款支出0万元。</w:t>
      </w:r>
    </w:p>
    <w:p w14:paraId="342D7B2F">
      <w:pPr>
        <w:pageBreakBefore w:val="0"/>
        <w:numPr>
          <w:ilvl w:val="0"/>
          <w:numId w:val="0"/>
        </w:numPr>
        <w:kinsoku/>
        <w:wordWrap/>
        <w:overflowPunct/>
        <w:topLinePunct w:val="0"/>
        <w:bidi w:val="0"/>
        <w:spacing w:line="240" w:lineRule="auto"/>
        <w:ind w:left="709" w:leftChars="0"/>
        <w:outlineLvl w:val="1"/>
        <w:rPr>
          <w:rStyle w:val="23"/>
          <w:rFonts w:hint="eastAsia" w:ascii="黑体" w:eastAsia="黑体"/>
          <w:b w:val="0"/>
          <w:highlight w:val="none"/>
        </w:rPr>
      </w:pPr>
      <w:bookmarkStart w:id="53" w:name="_Toc30171"/>
      <w:bookmarkStart w:id="54" w:name="_Toc15377221"/>
      <w:r>
        <w:rPr>
          <w:rStyle w:val="23"/>
          <w:rFonts w:hint="eastAsia" w:ascii="黑体" w:eastAsia="黑体"/>
          <w:b w:val="0"/>
          <w:highlight w:val="none"/>
          <w:lang w:val="en-US"/>
        </w:rPr>
        <w:t>十、</w:t>
      </w:r>
      <w:r>
        <w:rPr>
          <w:rStyle w:val="23"/>
          <w:rFonts w:hint="eastAsia" w:ascii="黑体" w:eastAsia="黑体"/>
          <w:b w:val="0"/>
          <w:highlight w:val="none"/>
        </w:rPr>
        <w:t>其他重要事项的情况说明</w:t>
      </w:r>
      <w:bookmarkEnd w:id="53"/>
      <w:bookmarkEnd w:id="54"/>
    </w:p>
    <w:p w14:paraId="509C8E20">
      <w:pPr>
        <w:pageBreakBefore w:val="0"/>
        <w:kinsoku/>
        <w:wordWrap/>
        <w:overflowPunct/>
        <w:topLinePunct w:val="0"/>
        <w:bidi w:val="0"/>
        <w:spacing w:line="240" w:lineRule="auto"/>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lang w:eastAsia="zh-CN"/>
        </w:rPr>
        <w:t>（</w:t>
      </w:r>
      <w:r>
        <w:rPr>
          <w:rFonts w:hint="eastAsia" w:ascii="Times New Roman" w:hAnsi="Times New Roman" w:eastAsia="楷体_GB2312" w:cs="楷体_GB2312"/>
          <w:b/>
          <w:color w:val="auto"/>
          <w:sz w:val="32"/>
          <w:szCs w:val="32"/>
          <w:highlight w:val="none"/>
        </w:rPr>
        <w:t>一）机关运行经费支出情况</w:t>
      </w:r>
    </w:p>
    <w:p w14:paraId="5D77405B">
      <w:pPr>
        <w:pageBreakBefore w:val="0"/>
        <w:kinsoku/>
        <w:wordWrap/>
        <w:overflowPunct/>
        <w:topLinePunct w:val="0"/>
        <w:bidi w:val="0"/>
        <w:spacing w:line="240" w:lineRule="auto"/>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金川县二嘎里乡人民政府</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highlight w:val="none"/>
        </w:rPr>
        <w:t>27.85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元，比2023年度增加/减少2.7万元，增长/下降8.8%。主要原因是人员变动较大。</w:t>
      </w:r>
    </w:p>
    <w:p w14:paraId="41E9A825">
      <w:pPr>
        <w:pageBreakBefore w:val="0"/>
        <w:kinsoku/>
        <w:wordWrap/>
        <w:overflowPunct/>
        <w:topLinePunct w:val="0"/>
        <w:bidi w:val="0"/>
        <w:spacing w:line="240" w:lineRule="auto"/>
        <w:ind w:firstLine="643" w:firstLineChars="200"/>
        <w:outlineLvl w:val="2"/>
        <w:rPr>
          <w:rFonts w:hint="eastAsia" w:ascii="Times New Roman" w:hAnsi="Times New Roman" w:eastAsia="楷体_GB2312" w:cs="楷体_GB2312"/>
          <w:b/>
          <w:color w:val="auto"/>
          <w:sz w:val="32"/>
          <w:szCs w:val="32"/>
          <w:highlight w:val="none"/>
        </w:rPr>
      </w:pPr>
      <w:bookmarkStart w:id="55" w:name="_Toc15377223"/>
      <w:r>
        <w:rPr>
          <w:rFonts w:hint="eastAsia" w:ascii="Times New Roman" w:hAnsi="Times New Roman" w:eastAsia="楷体_GB2312" w:cs="楷体_GB2312"/>
          <w:b/>
          <w:color w:val="auto"/>
          <w:sz w:val="32"/>
          <w:szCs w:val="32"/>
          <w:highlight w:val="none"/>
        </w:rPr>
        <w:t>（二）政府采购支出情况</w:t>
      </w:r>
      <w:bookmarkEnd w:id="55"/>
    </w:p>
    <w:p w14:paraId="04658CB8">
      <w:pPr>
        <w:pageBreakBefore w:val="0"/>
        <w:kinsoku/>
        <w:wordWrap/>
        <w:overflowPunct/>
        <w:topLinePunct w:val="0"/>
        <w:bidi w:val="0"/>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金川县二嘎里乡人民政府</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1D705F28">
      <w:pPr>
        <w:pageBreakBefore w:val="0"/>
        <w:kinsoku/>
        <w:wordWrap/>
        <w:overflowPunct/>
        <w:topLinePunct w:val="0"/>
        <w:bidi w:val="0"/>
        <w:spacing w:line="240" w:lineRule="auto"/>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（三）国有资产占有使用情况</w:t>
      </w:r>
    </w:p>
    <w:p w14:paraId="70AFC8E2">
      <w:pPr>
        <w:pageBreakBefore w:val="0"/>
        <w:kinsoku/>
        <w:wordWrap/>
        <w:overflowPunct/>
        <w:topLinePunct w:val="0"/>
        <w:bidi w:val="0"/>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金川县二嘎里乡人民政府</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辆，其他用车主要是用于日常公务用车。单价100万元（含）以上设备（不含车辆）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79394FBF">
      <w:pPr>
        <w:pageBreakBefore w:val="0"/>
        <w:kinsoku/>
        <w:wordWrap/>
        <w:overflowPunct/>
        <w:topLinePunct w:val="0"/>
        <w:bidi w:val="0"/>
        <w:spacing w:line="240" w:lineRule="auto"/>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2F97481">
      <w:pPr>
        <w:pageBreakBefore w:val="0"/>
        <w:kinsoku/>
        <w:wordWrap/>
        <w:overflowPunct/>
        <w:topLinePunct w:val="0"/>
        <w:bidi w:val="0"/>
        <w:spacing w:line="24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个项目开展了绩效目标完成情况梳理填报。</w:t>
      </w:r>
    </w:p>
    <w:p w14:paraId="1FD4489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组织对202</w:t>
      </w:r>
      <w:r>
        <w:rPr>
          <w:rFonts w:hint="eastAsia" w:ascii="仿宋_GB2312" w:eastAsia="仿宋_GB2312" w:cs="仿宋_GB2312"/>
          <w:sz w:val="32"/>
          <w:szCs w:val="32"/>
          <w:lang w:val="en-US" w:eastAsia="zh-CN" w:bidi="ar-SA"/>
        </w:rPr>
        <w:t>4</w:t>
      </w:r>
      <w:r>
        <w:rPr>
          <w:rFonts w:hint="eastAsia" w:ascii="仿宋_GB2312" w:eastAsia="仿宋_GB2312" w:cs="仿宋_GB2312"/>
          <w:sz w:val="32"/>
          <w:szCs w:val="32"/>
          <w:lang w:bidi="ar-SA"/>
        </w:rPr>
        <w:t>年度一般公共预算、政府性基金预算、国有资本经营预算、社会保险基金预算以及资本资产、债券资金等全面开展绩效自评，形成</w:t>
      </w:r>
      <w:r>
        <w:rPr>
          <w:rFonts w:hint="eastAsia" w:ascii="仿宋_GB2312" w:eastAsia="仿宋_GB2312" w:cs="仿宋_GB2312"/>
          <w:sz w:val="32"/>
          <w:szCs w:val="32"/>
          <w:lang w:val="en-US" w:eastAsia="zh-CN" w:bidi="ar-SA"/>
        </w:rPr>
        <w:t>二嘎里乡整体</w:t>
      </w:r>
      <w:r>
        <w:rPr>
          <w:rFonts w:hint="eastAsia" w:ascii="仿宋_GB2312" w:eastAsia="仿宋_GB2312" w:cs="仿宋_GB2312"/>
          <w:sz w:val="32"/>
          <w:szCs w:val="32"/>
          <w:lang w:bidi="ar-SA"/>
        </w:rPr>
        <w:t>部门整体（含部门预算项目）绩效自评报告、其中，</w:t>
      </w:r>
      <w:r>
        <w:rPr>
          <w:rFonts w:hint="eastAsia" w:ascii="仿宋_GB2312" w:eastAsia="仿宋_GB2312"/>
          <w:sz w:val="32"/>
          <w:szCs w:val="32"/>
        </w:rPr>
        <w:t>我单位预算支出绩效自评得分94</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w:t>
      </w:r>
      <w:r>
        <w:rPr>
          <w:rFonts w:hint="eastAsia" w:ascii="仿宋_GB2312" w:eastAsia="仿宋_GB2312"/>
          <w:sz w:val="32"/>
          <w:szCs w:val="32"/>
          <w:lang w:eastAsia="zh-CN"/>
        </w:rPr>
        <w:t>，</w:t>
      </w:r>
      <w:r>
        <w:rPr>
          <w:rFonts w:hint="eastAsia" w:ascii="仿宋_GB2312" w:eastAsia="仿宋_GB2312" w:cs="仿宋_GB2312"/>
          <w:sz w:val="32"/>
          <w:szCs w:val="32"/>
          <w:lang w:bidi="ar-SA"/>
        </w:rPr>
        <w:t>绩效自评综述：</w:t>
      </w:r>
      <w:r>
        <w:rPr>
          <w:rFonts w:hint="eastAsia" w:ascii="仿宋_GB2312" w:eastAsia="仿宋_GB2312" w:cs="仿宋_GB2312"/>
          <w:sz w:val="32"/>
          <w:szCs w:val="32"/>
          <w:lang w:val="en-US" w:eastAsia="zh-CN" w:bidi="ar-SA"/>
        </w:rPr>
        <w:t>自评为优秀</w:t>
      </w:r>
      <w:r>
        <w:rPr>
          <w:rFonts w:hint="eastAsia" w:ascii="仿宋_GB2312" w:eastAsia="仿宋_GB2312" w:cs="仿宋_GB2312"/>
          <w:sz w:val="32"/>
          <w:szCs w:val="32"/>
          <w:lang w:bidi="ar-SA"/>
        </w:rPr>
        <w:t>；绩效自评报告详见附件。</w:t>
      </w:r>
    </w:p>
    <w:p w14:paraId="5854E9B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仿宋_GB2312" w:eastAsia="仿宋_GB2312"/>
          <w:b/>
          <w:color w:val="000000"/>
          <w:sz w:val="32"/>
          <w:szCs w:val="32"/>
        </w:rPr>
      </w:pPr>
    </w:p>
    <w:p w14:paraId="04E49441">
      <w:pPr>
        <w:pageBreakBefore w:val="0"/>
        <w:numPr>
          <w:ilvl w:val="0"/>
          <w:numId w:val="4"/>
        </w:numPr>
        <w:kinsoku/>
        <w:wordWrap/>
        <w:overflowPunct/>
        <w:topLinePunct w:val="0"/>
        <w:bidi w:val="0"/>
        <w:spacing w:line="240" w:lineRule="auto"/>
        <w:ind w:firstLine="663" w:firstLineChars="150"/>
        <w:jc w:val="center"/>
        <w:outlineLvl w:val="0"/>
        <w:rPr>
          <w:rStyle w:val="22"/>
          <w:rFonts w:ascii="黑体" w:eastAsia="黑体"/>
          <w:b w:val="0"/>
        </w:rPr>
      </w:pPr>
      <w:bookmarkStart w:id="56" w:name="_Toc30760"/>
      <w:bookmarkStart w:id="57" w:name="_Toc15377225"/>
      <w:r>
        <w:rPr>
          <w:rFonts w:hint="eastAsia" w:ascii="黑体" w:eastAsia="黑体"/>
          <w:b/>
          <w:color w:val="000000"/>
          <w:sz w:val="44"/>
          <w:szCs w:val="44"/>
        </w:rPr>
        <w:t>名</w:t>
      </w:r>
      <w:r>
        <w:rPr>
          <w:rStyle w:val="22"/>
          <w:rFonts w:hint="eastAsia" w:ascii="黑体" w:eastAsia="黑体"/>
          <w:b w:val="0"/>
        </w:rPr>
        <w:t>词解释</w:t>
      </w:r>
      <w:bookmarkEnd w:id="56"/>
      <w:bookmarkEnd w:id="57"/>
    </w:p>
    <w:p w14:paraId="35F9DFDB">
      <w:pPr>
        <w:pStyle w:val="27"/>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E62C467">
      <w:pPr>
        <w:pStyle w:val="27"/>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7E5348C">
      <w:pPr>
        <w:pStyle w:val="27"/>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77F98EC8">
      <w:pPr>
        <w:pStyle w:val="27"/>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14:paraId="1791B7DD">
      <w:pPr>
        <w:pStyle w:val="27"/>
        <w:pageBreakBefore w:val="0"/>
        <w:kinsoku/>
        <w:wordWrap/>
        <w:overflowPunct/>
        <w:topLinePunct w:val="0"/>
        <w:bidi w:val="0"/>
        <w:spacing w:line="240" w:lineRule="auto"/>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8CD8E45">
      <w:pPr>
        <w:pStyle w:val="27"/>
        <w:pageBreakBefore w:val="0"/>
        <w:kinsoku/>
        <w:wordWrap/>
        <w:overflowPunct/>
        <w:topLinePunct w:val="0"/>
        <w:bidi w:val="0"/>
        <w:spacing w:line="240" w:lineRule="auto"/>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68DDF10E">
      <w:pPr>
        <w:pStyle w:val="27"/>
        <w:pageBreakBefore w:val="0"/>
        <w:kinsoku/>
        <w:wordWrap/>
        <w:overflowPunct/>
        <w:topLinePunct w:val="0"/>
        <w:bidi w:val="0"/>
        <w:spacing w:line="240" w:lineRule="auto"/>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1A7B8CEB">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03F9788F">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30F4EFFA">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7D494D1B">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5B749FEA">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4A0A6E45">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56803085">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2A0D9D81">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38A08F9F">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4FAFBF05">
      <w:pPr>
        <w:pageBreakBefore w:val="0"/>
        <w:kinsoku/>
        <w:wordWrap/>
        <w:overflowPunct/>
        <w:topLinePunct w:val="0"/>
        <w:bidi w:val="0"/>
        <w:spacing w:line="24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2A9D2CD8">
      <w:pPr>
        <w:pStyle w:val="27"/>
        <w:pageBreakBefore w:val="0"/>
        <w:kinsoku/>
        <w:wordWrap/>
        <w:overflowPunct/>
        <w:topLinePunct w:val="0"/>
        <w:bidi w:val="0"/>
        <w:spacing w:line="240" w:lineRule="auto"/>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A49556D">
      <w:pPr>
        <w:pStyle w:val="27"/>
        <w:pageBreakBefore w:val="0"/>
        <w:kinsoku/>
        <w:wordWrap/>
        <w:overflowPunct/>
        <w:topLinePunct w:val="0"/>
        <w:bidi w:val="0"/>
        <w:spacing w:line="240" w:lineRule="auto"/>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BA1C4A5">
      <w:pPr>
        <w:pageBreakBefore w:val="0"/>
        <w:kinsoku/>
        <w:wordWrap/>
        <w:overflowPunct/>
        <w:topLinePunct w:val="0"/>
        <w:bidi w:val="0"/>
        <w:spacing w:line="240" w:lineRule="auto"/>
        <w:jc w:val="center"/>
        <w:rPr>
          <w:rFonts w:hint="eastAsia" w:ascii="Times New Roman" w:hAnsi="Times New Roman" w:eastAsia="黑体"/>
          <w:color w:val="auto"/>
          <w:sz w:val="44"/>
          <w:szCs w:val="44"/>
          <w:highlight w:val="none"/>
        </w:rPr>
      </w:pPr>
      <w:bookmarkStart w:id="58" w:name="_Toc15377226"/>
      <w:bookmarkStart w:id="59" w:name="_Toc15396614"/>
    </w:p>
    <w:p w14:paraId="3B66D72C">
      <w:pPr>
        <w:pStyle w:val="2"/>
        <w:rPr>
          <w:rFonts w:hint="eastAsia"/>
        </w:rPr>
      </w:pPr>
    </w:p>
    <w:p w14:paraId="14907EE4">
      <w:pPr>
        <w:pageBreakBefore w:val="0"/>
        <w:kinsoku/>
        <w:wordWrap/>
        <w:overflowPunct/>
        <w:topLinePunct w:val="0"/>
        <w:bidi w:val="0"/>
        <w:spacing w:line="240" w:lineRule="auto"/>
        <w:jc w:val="center"/>
        <w:rPr>
          <w:rStyle w:val="22"/>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p>
    <w:p w14:paraId="62052D81">
      <w:pPr>
        <w:keepNext w:val="0"/>
        <w:keepLines w:val="0"/>
        <w:pageBreakBefore w:val="0"/>
        <w:kinsoku/>
        <w:wordWrap/>
        <w:overflowPunct/>
        <w:topLinePunct w:val="0"/>
        <w:autoSpaceDE/>
        <w:autoSpaceDN/>
        <w:bidi w:val="0"/>
        <w:spacing w:line="240" w:lineRule="auto"/>
        <w:jc w:val="left"/>
        <w:textAlignment w:val="auto"/>
        <w:outlineLvl w:val="0"/>
        <w:rPr>
          <w:rFonts w:hint="eastAsia" w:ascii="Times New Roman" w:hAnsi="Times New Roman" w:eastAsia="黑体" w:cs="黑体"/>
          <w:color w:val="FF0000"/>
          <w:sz w:val="32"/>
          <w:szCs w:val="32"/>
          <w:highlight w:val="none"/>
        </w:rPr>
      </w:pPr>
    </w:p>
    <w:p w14:paraId="4B4AC21E">
      <w:pPr>
        <w:keepNext w:val="0"/>
        <w:keepLines w:val="0"/>
        <w:pageBreakBefore w:val="0"/>
        <w:bidi w:val="0"/>
        <w:spacing w:line="560" w:lineRule="exact"/>
        <w:jc w:val="center"/>
        <w:textAlignment w:val="auto"/>
        <w:rPr>
          <w:rFonts w:hint="eastAsia" w:ascii="Times New Roman" w:hAnsi="Times New Roman" w:eastAsia="方正小标宋_GBK"/>
          <w:sz w:val="44"/>
          <w:szCs w:val="44"/>
          <w:lang w:val="en-US" w:eastAsia="zh-CN"/>
        </w:rPr>
      </w:pPr>
      <w:r>
        <w:rPr>
          <w:rFonts w:hint="eastAsia" w:ascii="Times New Roman" w:hAnsi="Times New Roman" w:eastAsia="方正小标宋_GBK"/>
          <w:sz w:val="44"/>
          <w:szCs w:val="44"/>
          <w:lang w:eastAsia="zh-CN"/>
        </w:rPr>
        <w:t>金川</w:t>
      </w:r>
      <w:r>
        <w:rPr>
          <w:rFonts w:hint="eastAsia" w:eastAsia="方正小标宋_GBK"/>
          <w:sz w:val="44"/>
          <w:szCs w:val="44"/>
          <w:lang w:eastAsia="zh-CN"/>
        </w:rPr>
        <w:t>县二嘎里乡人民政府</w:t>
      </w:r>
    </w:p>
    <w:p w14:paraId="3D0D4A22">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hint="default"/>
          <w:sz w:val="44"/>
          <w:szCs w:val="44"/>
        </w:rPr>
      </w:pPr>
      <w:r>
        <w:rPr>
          <w:rFonts w:hint="eastAsia" w:eastAsia="方正小标宋_GBK"/>
          <w:sz w:val="44"/>
          <w:szCs w:val="44"/>
          <w:lang w:val="en-US" w:eastAsia="zh-CN"/>
        </w:rPr>
        <w:t>关于</w:t>
      </w:r>
      <w:r>
        <w:rPr>
          <w:rFonts w:hint="eastAsia" w:ascii="Times New Roman" w:hAnsi="Times New Roman" w:eastAsia="方正小标宋_GBK"/>
          <w:sz w:val="44"/>
          <w:szCs w:val="44"/>
          <w:lang w:eastAsia="zh-CN"/>
        </w:rPr>
        <w:t>20</w:t>
      </w:r>
      <w:r>
        <w:rPr>
          <w:rFonts w:hint="eastAsia" w:ascii="Times New Roman" w:hAnsi="Times New Roman" w:eastAsia="方正小标宋_GBK"/>
          <w:sz w:val="44"/>
          <w:szCs w:val="44"/>
          <w:lang w:val="en-US" w:eastAsia="zh-CN"/>
        </w:rPr>
        <w:t>2</w:t>
      </w:r>
      <w:r>
        <w:rPr>
          <w:rFonts w:hint="eastAsia" w:eastAsia="方正小标宋_GBK"/>
          <w:sz w:val="44"/>
          <w:szCs w:val="44"/>
          <w:lang w:val="en-US" w:eastAsia="zh-CN"/>
        </w:rPr>
        <w:t>4</w:t>
      </w:r>
      <w:r>
        <w:rPr>
          <w:rFonts w:hint="eastAsia" w:ascii="Times New Roman" w:hAnsi="Times New Roman" w:eastAsia="方正小标宋_GBK"/>
          <w:sz w:val="44"/>
          <w:szCs w:val="44"/>
          <w:lang w:eastAsia="zh-CN"/>
        </w:rPr>
        <w:t>年</w:t>
      </w:r>
      <w:r>
        <w:rPr>
          <w:rFonts w:hint="default" w:ascii="Times New Roman" w:hAnsi="Times New Roman" w:eastAsia="方正小标宋_GBK"/>
          <w:sz w:val="44"/>
          <w:szCs w:val="44"/>
          <w:lang w:eastAsia="zh-CN"/>
        </w:rPr>
        <w:t>部门预算</w:t>
      </w:r>
      <w:r>
        <w:rPr>
          <w:rFonts w:hint="default" w:ascii="Times New Roman" w:hAnsi="Times New Roman" w:eastAsia="方正小标宋_GBK"/>
          <w:sz w:val="44"/>
          <w:szCs w:val="44"/>
        </w:rPr>
        <w:t>绩效</w:t>
      </w:r>
      <w:r>
        <w:rPr>
          <w:rFonts w:hint="eastAsia" w:ascii="Times New Roman" w:hAnsi="Times New Roman" w:eastAsia="方正小标宋_GBK"/>
          <w:sz w:val="44"/>
          <w:szCs w:val="44"/>
          <w:lang w:eastAsia="zh-CN"/>
        </w:rPr>
        <w:t>评价</w:t>
      </w:r>
      <w:r>
        <w:rPr>
          <w:rFonts w:hint="default" w:ascii="Times New Roman" w:hAnsi="Times New Roman" w:eastAsia="方正小标宋_GBK"/>
          <w:sz w:val="44"/>
          <w:szCs w:val="44"/>
        </w:rPr>
        <w:t>报告</w:t>
      </w:r>
    </w:p>
    <w:p w14:paraId="29CC855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p>
    <w:p w14:paraId="7B18774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lang w:val="zh-CN"/>
        </w:rPr>
      </w:pPr>
      <w:r>
        <w:rPr>
          <w:rFonts w:hint="eastAsia" w:ascii="仿宋" w:hAnsi="仿宋" w:eastAsia="仿宋" w:cs="仿宋"/>
          <w:sz w:val="32"/>
          <w:szCs w:val="32"/>
        </w:rPr>
        <w:t>根据《金川县财政局关于</w:t>
      </w:r>
      <w:r>
        <w:rPr>
          <w:rFonts w:hint="eastAsia" w:ascii="仿宋" w:hAnsi="仿宋" w:eastAsia="仿宋" w:cs="仿宋"/>
          <w:sz w:val="32"/>
          <w:szCs w:val="32"/>
          <w:lang w:val="en-US" w:eastAsia="zh-CN"/>
        </w:rPr>
        <w:t>2024年县级部门绩效自评工作</w:t>
      </w:r>
      <w:r>
        <w:rPr>
          <w:rFonts w:hint="eastAsia" w:ascii="仿宋" w:hAnsi="仿宋" w:eastAsia="仿宋" w:cs="仿宋"/>
          <w:sz w:val="32"/>
          <w:szCs w:val="32"/>
        </w:rPr>
        <w:t>的通知》的通知(金财</w:t>
      </w:r>
      <w:r>
        <w:rPr>
          <w:rFonts w:hint="eastAsia" w:ascii="仿宋" w:hAnsi="仿宋" w:eastAsia="仿宋" w:cs="仿宋"/>
          <w:sz w:val="32"/>
          <w:szCs w:val="32"/>
          <w:lang w:val="en-US" w:eastAsia="zh-CN"/>
        </w:rPr>
        <w:t>监绩</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val="en-US" w:eastAsia="zh-CN"/>
        </w:rPr>
        <w:t>35</w:t>
      </w:r>
      <w:r>
        <w:rPr>
          <w:rFonts w:hint="eastAsia" w:ascii="仿宋" w:hAnsi="仿宋" w:eastAsia="仿宋" w:cs="仿宋"/>
          <w:sz w:val="32"/>
          <w:szCs w:val="32"/>
        </w:rPr>
        <w:t>号)文件要求，我</w:t>
      </w:r>
      <w:r>
        <w:rPr>
          <w:rFonts w:hint="eastAsia" w:ascii="仿宋" w:hAnsi="仿宋" w:eastAsia="仿宋" w:cs="仿宋"/>
          <w:sz w:val="32"/>
          <w:szCs w:val="32"/>
          <w:lang w:eastAsia="zh-CN"/>
        </w:rPr>
        <w:t>乡</w:t>
      </w:r>
      <w:r>
        <w:rPr>
          <w:rFonts w:hint="eastAsia" w:ascii="仿宋" w:hAnsi="仿宋" w:eastAsia="仿宋" w:cs="仿宋"/>
          <w:sz w:val="32"/>
          <w:szCs w:val="32"/>
        </w:rPr>
        <w:t>高度重视，赓即对</w:t>
      </w:r>
      <w:r>
        <w:rPr>
          <w:rFonts w:hint="eastAsia" w:ascii="仿宋" w:hAnsi="仿宋" w:eastAsia="仿宋" w:cs="仿宋"/>
          <w:sz w:val="32"/>
          <w:szCs w:val="32"/>
          <w:lang w:eastAsia="zh-CN"/>
        </w:rPr>
        <w:t>乡政府20</w:t>
      </w:r>
      <w:r>
        <w:rPr>
          <w:rFonts w:hint="eastAsia" w:ascii="仿宋" w:hAnsi="仿宋" w:eastAsia="仿宋" w:cs="仿宋"/>
          <w:sz w:val="32"/>
          <w:szCs w:val="32"/>
          <w:lang w:val="en-US" w:eastAsia="zh-CN"/>
        </w:rPr>
        <w:t>24</w:t>
      </w:r>
      <w:r>
        <w:rPr>
          <w:rFonts w:hint="eastAsia" w:ascii="仿宋" w:hAnsi="仿宋" w:eastAsia="仿宋" w:cs="仿宋"/>
          <w:sz w:val="32"/>
          <w:szCs w:val="32"/>
          <w:lang w:eastAsia="zh-CN"/>
        </w:rPr>
        <w:t>年</w:t>
      </w:r>
      <w:r>
        <w:rPr>
          <w:rFonts w:hint="default" w:ascii="仿宋" w:hAnsi="仿宋" w:eastAsia="仿宋" w:cs="仿宋"/>
          <w:sz w:val="32"/>
          <w:szCs w:val="32"/>
          <w:lang w:eastAsia="zh-CN"/>
        </w:rPr>
        <w:t>部门预算</w:t>
      </w:r>
      <w:r>
        <w:rPr>
          <w:rFonts w:hint="default" w:ascii="仿宋" w:hAnsi="仿宋" w:eastAsia="仿宋" w:cs="仿宋"/>
          <w:sz w:val="32"/>
          <w:szCs w:val="32"/>
        </w:rPr>
        <w:t>绩效</w:t>
      </w:r>
      <w:r>
        <w:rPr>
          <w:rFonts w:hint="eastAsia" w:ascii="仿宋" w:hAnsi="仿宋" w:eastAsia="仿宋" w:cs="仿宋"/>
          <w:sz w:val="32"/>
          <w:szCs w:val="32"/>
          <w:lang w:val="en-US" w:eastAsia="zh-CN"/>
        </w:rPr>
        <w:t>开展自评工作，</w:t>
      </w:r>
      <w:r>
        <w:rPr>
          <w:rFonts w:hint="eastAsia" w:ascii="仿宋" w:hAnsi="仿宋" w:eastAsia="仿宋" w:cs="仿宋"/>
          <w:sz w:val="32"/>
          <w:szCs w:val="32"/>
          <w:lang w:eastAsia="zh-CN"/>
        </w:rPr>
        <w:t>评价</w:t>
      </w:r>
      <w:r>
        <w:rPr>
          <w:rFonts w:hint="default" w:ascii="仿宋" w:hAnsi="仿宋" w:eastAsia="仿宋" w:cs="仿宋"/>
          <w:sz w:val="32"/>
          <w:szCs w:val="32"/>
        </w:rPr>
        <w:t>报告</w:t>
      </w:r>
      <w:r>
        <w:rPr>
          <w:rFonts w:hint="eastAsia" w:ascii="仿宋" w:hAnsi="仿宋" w:eastAsia="仿宋" w:cs="仿宋"/>
          <w:sz w:val="32"/>
          <w:szCs w:val="32"/>
        </w:rPr>
        <w:t>情况如下。</w:t>
      </w:r>
    </w:p>
    <w:p w14:paraId="3E34B47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7CAA6898">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p>
    <w:p w14:paraId="1332FE9E">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cs="Times New Roman"/>
          <w:szCs w:val="32"/>
        </w:rPr>
      </w:pPr>
      <w:r>
        <w:rPr>
          <w:rFonts w:hint="eastAsia" w:ascii="仿宋_GB2312" w:eastAsia="仿宋_GB2312" w:cs="仿宋"/>
          <w:color w:val="000000"/>
          <w:kern w:val="0"/>
          <w:sz w:val="32"/>
          <w:szCs w:val="32"/>
          <w:lang w:val="zh-CN" w:eastAsia="zh-CN" w:bidi="ar-SA"/>
        </w:rPr>
        <w:t>本部门预算单位</w:t>
      </w:r>
      <w:r>
        <w:rPr>
          <w:rFonts w:hint="eastAsia" w:ascii="仿宋_GB2312" w:eastAsia="仿宋_GB2312" w:cs="仿宋"/>
          <w:color w:val="000000"/>
          <w:kern w:val="0"/>
          <w:sz w:val="32"/>
          <w:szCs w:val="32"/>
          <w:lang w:val="en-US" w:eastAsia="zh-CN" w:bidi="ar-SA"/>
        </w:rPr>
        <w:t>1</w:t>
      </w:r>
      <w:r>
        <w:rPr>
          <w:rFonts w:hint="eastAsia" w:ascii="仿宋_GB2312" w:eastAsia="仿宋_GB2312" w:cs="仿宋"/>
          <w:color w:val="000000"/>
          <w:kern w:val="0"/>
          <w:sz w:val="32"/>
          <w:szCs w:val="32"/>
          <w:lang w:val="zh-CN" w:eastAsia="zh-CN" w:bidi="ar-SA"/>
        </w:rPr>
        <w:t>个，其中内设机构</w:t>
      </w:r>
      <w:r>
        <w:rPr>
          <w:rFonts w:hint="eastAsia" w:ascii="仿宋_GB2312" w:eastAsia="仿宋_GB2312" w:cs="仿宋"/>
          <w:color w:val="000000"/>
          <w:kern w:val="0"/>
          <w:sz w:val="32"/>
          <w:szCs w:val="32"/>
          <w:lang w:val="en-US" w:eastAsia="zh-CN" w:bidi="ar-SA"/>
        </w:rPr>
        <w:t>4</w:t>
      </w:r>
      <w:r>
        <w:rPr>
          <w:rFonts w:hint="eastAsia" w:ascii="仿宋_GB2312" w:eastAsia="仿宋_GB2312" w:cs="仿宋"/>
          <w:color w:val="000000"/>
          <w:kern w:val="0"/>
          <w:sz w:val="32"/>
          <w:szCs w:val="32"/>
          <w:lang w:val="zh-CN" w:eastAsia="zh-CN" w:bidi="ar-SA"/>
        </w:rPr>
        <w:t>个，分别是</w:t>
      </w:r>
      <w:r>
        <w:rPr>
          <w:rFonts w:hint="eastAsia" w:ascii="仿宋_GB2312" w:eastAsia="仿宋_GB2312" w:cs="仿宋"/>
          <w:color w:val="000000"/>
          <w:kern w:val="0"/>
          <w:sz w:val="32"/>
          <w:szCs w:val="32"/>
          <w:lang w:val="en-US" w:eastAsia="zh-CN" w:bidi="ar-SA"/>
        </w:rPr>
        <w:t>二嘎里乡人民政府</w:t>
      </w:r>
      <w:r>
        <w:rPr>
          <w:rFonts w:hint="eastAsia" w:ascii="仿宋_GB2312" w:eastAsia="仿宋_GB2312" w:cs="仿宋"/>
          <w:color w:val="000000"/>
          <w:kern w:val="0"/>
          <w:sz w:val="32"/>
          <w:szCs w:val="32"/>
          <w:lang w:val="zh-CN" w:eastAsia="zh-CN" w:bidi="ar-SA"/>
        </w:rPr>
        <w:t>办公室、金川县</w:t>
      </w:r>
      <w:r>
        <w:rPr>
          <w:rFonts w:hint="eastAsia" w:ascii="仿宋_GB2312" w:eastAsia="仿宋_GB2312" w:cs="仿宋"/>
          <w:color w:val="000000"/>
          <w:kern w:val="0"/>
          <w:sz w:val="32"/>
          <w:szCs w:val="32"/>
          <w:lang w:val="en-US" w:eastAsia="zh-CN" w:bidi="ar-SA"/>
        </w:rPr>
        <w:t>二嘎里乡党委办公室</w:t>
      </w:r>
      <w:r>
        <w:rPr>
          <w:rFonts w:hint="eastAsia" w:ascii="仿宋_GB2312" w:eastAsia="仿宋_GB2312" w:cs="仿宋"/>
          <w:color w:val="000000"/>
          <w:kern w:val="0"/>
          <w:sz w:val="32"/>
          <w:szCs w:val="32"/>
          <w:lang w:val="zh-CN" w:eastAsia="zh-CN" w:bidi="ar-SA"/>
        </w:rPr>
        <w:t>、金川县</w:t>
      </w:r>
      <w:r>
        <w:rPr>
          <w:rFonts w:hint="eastAsia" w:ascii="仿宋_GB2312" w:eastAsia="仿宋_GB2312" w:cs="仿宋"/>
          <w:color w:val="000000"/>
          <w:kern w:val="0"/>
          <w:sz w:val="32"/>
          <w:szCs w:val="32"/>
          <w:lang w:val="en-US" w:eastAsia="zh-CN" w:bidi="ar-SA"/>
        </w:rPr>
        <w:t>人大办公室、二嘎里乡综合服务中心</w:t>
      </w:r>
      <w:r>
        <w:rPr>
          <w:rFonts w:hint="eastAsia" w:ascii="仿宋_GB2312" w:eastAsia="仿宋_GB2312" w:cs="仿宋"/>
          <w:color w:val="000000"/>
          <w:kern w:val="0"/>
          <w:sz w:val="32"/>
          <w:szCs w:val="32"/>
          <w:lang w:val="zh-CN" w:eastAsia="zh-CN" w:bidi="ar-SA"/>
        </w:rPr>
        <w:t>。</w:t>
      </w:r>
    </w:p>
    <w:p w14:paraId="7ED36254">
      <w:pPr>
        <w:keepNext w:val="0"/>
        <w:keepLines w:val="0"/>
        <w:pageBreakBefore w:val="0"/>
        <w:widowControl w:val="0"/>
        <w:numPr>
          <w:ilvl w:val="0"/>
          <w:numId w:val="2"/>
        </w:numPr>
        <w:kinsoku/>
        <w:wordWrap/>
        <w:overflowPunct/>
        <w:topLinePunct w:val="0"/>
        <w:autoSpaceDE/>
        <w:autoSpaceDN/>
        <w:bidi w:val="0"/>
        <w:spacing w:line="240" w:lineRule="auto"/>
        <w:ind w:left="0" w:leftChars="0" w:firstLine="643" w:firstLineChars="200"/>
        <w:textAlignment w:val="auto"/>
        <w:rPr>
          <w:rFonts w:hint="eastAsia" w:ascii="仿宋_GB2312" w:eastAsia="仿宋_GB2312" w:cs="仿宋"/>
          <w:color w:val="000000"/>
          <w:kern w:val="0"/>
          <w:sz w:val="32"/>
          <w:szCs w:val="32"/>
          <w:lang w:val="zh-CN" w:eastAsia="zh-CN" w:bidi="ar-SA"/>
        </w:rPr>
      </w:pPr>
      <w:r>
        <w:rPr>
          <w:rFonts w:hint="default" w:ascii="Times New Roman" w:hAnsi="Times New Roman" w:eastAsia="楷体_GB2312" w:cs="楷体_GB2312"/>
          <w:b/>
          <w:color w:val="auto"/>
          <w:sz w:val="32"/>
          <w:szCs w:val="32"/>
          <w:highlight w:val="none"/>
          <w:lang w:val="zh-CN"/>
        </w:rPr>
        <w:t>机构职能</w:t>
      </w:r>
      <w:r>
        <w:rPr>
          <w:rFonts w:hint="eastAsia" w:ascii="Times New Roman" w:hAnsi="Times New Roman" w:eastAsia="楷体_GB2312" w:cs="楷体_GB2312"/>
          <w:b/>
          <w:color w:val="auto"/>
          <w:sz w:val="32"/>
          <w:szCs w:val="32"/>
          <w:highlight w:val="none"/>
          <w:lang w:val="zh-CN"/>
        </w:rPr>
        <w:t>。</w:t>
      </w:r>
      <w:r>
        <w:rPr>
          <w:rFonts w:hint="eastAsia" w:ascii="仿宋_GB2312" w:eastAsia="仿宋_GB2312" w:cs="仿宋"/>
          <w:color w:val="000000"/>
          <w:kern w:val="0"/>
          <w:sz w:val="32"/>
          <w:szCs w:val="32"/>
          <w:lang w:val="zh-CN" w:eastAsia="zh-CN" w:bidi="ar-SA"/>
        </w:rPr>
        <w:t xml:space="preserve"> </w:t>
      </w:r>
    </w:p>
    <w:p w14:paraId="71FEBC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 xml:space="preserve">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p>
    <w:p w14:paraId="0B972A8A">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 xml:space="preserve">2.制定并组织实施村镇建设规划，部署重点工程建设，地方道路建设及公共设施，水利设施的管理，负责土地、林木、水等自然资源和生态环境的保护，做好护林防火工作。 </w:t>
      </w:r>
    </w:p>
    <w:p w14:paraId="181C06DD">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3A362C4C">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eastAsia" w:ascii="仿宋_GB2312"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 xml:space="preserve">4.按计划组织本级财政收入和地方税的征收，完成国家财政计划，不断培植税源，管好财政资金，增强财政实力。 </w:t>
      </w:r>
    </w:p>
    <w:p w14:paraId="4D022162">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eastAsia" w:ascii="仿宋_GB2312" w:eastAsia="仿宋_GB2312" w:cs="仿宋"/>
          <w:color w:val="000000"/>
          <w:kern w:val="0"/>
          <w:sz w:val="32"/>
          <w:szCs w:val="32"/>
          <w:lang w:val="zh-CN" w:eastAsia="zh-CN" w:bidi="ar-SA"/>
        </w:rPr>
        <w:t>5.抓好精神文明建设，丰富群众文化生活，提倡移风易俗，反对封建迷信，破除陈规陋习，树立社会主义新风尚。</w:t>
      </w:r>
    </w:p>
    <w:p w14:paraId="3AE5A98F">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14:paraId="32503224">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rPr>
      </w:pPr>
      <w:r>
        <w:rPr>
          <w:rFonts w:hint="eastAsia" w:ascii="仿宋_GB2312" w:eastAsia="仿宋_GB2312" w:cs="仿宋"/>
          <w:color w:val="000000"/>
          <w:kern w:val="0"/>
          <w:sz w:val="32"/>
          <w:szCs w:val="32"/>
          <w:lang w:val="en-US" w:eastAsia="zh-CN" w:bidi="ar-SA"/>
        </w:rPr>
        <w:t>截至2024年末，金川县二嘎里乡人民政府只有一个行政核算机构。</w:t>
      </w:r>
      <w:r>
        <w:rPr>
          <w:rFonts w:hint="eastAsia" w:ascii="仿宋_GB2312" w:eastAsia="仿宋_GB2312" w:cs="仿宋"/>
          <w:color w:val="000000"/>
          <w:kern w:val="0"/>
          <w:sz w:val="32"/>
          <w:szCs w:val="32"/>
          <w:lang w:val="zh-CN" w:eastAsia="zh-CN" w:bidi="ar-SA"/>
        </w:rPr>
        <w:t>单位编制数</w:t>
      </w:r>
      <w:r>
        <w:rPr>
          <w:rFonts w:hint="eastAsia" w:ascii="仿宋_GB2312" w:eastAsia="仿宋_GB2312" w:cs="仿宋"/>
          <w:color w:val="000000"/>
          <w:kern w:val="0"/>
          <w:sz w:val="32"/>
          <w:szCs w:val="32"/>
          <w:lang w:val="en-US" w:eastAsia="zh-CN" w:bidi="ar-SA"/>
        </w:rPr>
        <w:t>35</w:t>
      </w:r>
      <w:r>
        <w:rPr>
          <w:rFonts w:hint="eastAsia" w:ascii="仿宋_GB2312" w:eastAsia="仿宋_GB2312" w:cs="仿宋"/>
          <w:color w:val="000000"/>
          <w:kern w:val="0"/>
          <w:sz w:val="32"/>
          <w:szCs w:val="32"/>
          <w:lang w:val="zh-CN" w:eastAsia="zh-CN" w:bidi="ar-SA"/>
        </w:rPr>
        <w:t>个，其中：公务员编制</w:t>
      </w:r>
      <w:r>
        <w:rPr>
          <w:rFonts w:hint="eastAsia" w:ascii="仿宋_GB2312" w:eastAsia="仿宋_GB2312" w:cs="仿宋"/>
          <w:color w:val="000000"/>
          <w:kern w:val="0"/>
          <w:sz w:val="32"/>
          <w:szCs w:val="32"/>
          <w:lang w:val="en-US" w:eastAsia="zh-CN" w:bidi="ar-SA"/>
        </w:rPr>
        <w:t>20个</w:t>
      </w:r>
      <w:r>
        <w:rPr>
          <w:rFonts w:hint="eastAsia" w:ascii="仿宋_GB2312" w:eastAsia="仿宋_GB2312" w:cs="仿宋"/>
          <w:color w:val="000000"/>
          <w:kern w:val="0"/>
          <w:sz w:val="32"/>
          <w:szCs w:val="32"/>
          <w:lang w:val="zh-CN" w:eastAsia="zh-CN" w:bidi="ar-SA"/>
        </w:rPr>
        <w:t>、行政工勤编制</w:t>
      </w:r>
      <w:r>
        <w:rPr>
          <w:rFonts w:hint="eastAsia" w:ascii="仿宋_GB2312" w:eastAsia="仿宋_GB2312" w:cs="仿宋"/>
          <w:color w:val="000000"/>
          <w:kern w:val="0"/>
          <w:sz w:val="32"/>
          <w:szCs w:val="32"/>
          <w:lang w:val="en-US" w:eastAsia="zh-CN" w:bidi="ar-SA"/>
        </w:rPr>
        <w:t>2</w:t>
      </w:r>
      <w:r>
        <w:rPr>
          <w:rFonts w:hint="eastAsia" w:ascii="仿宋_GB2312" w:eastAsia="仿宋_GB2312" w:cs="仿宋"/>
          <w:color w:val="000000"/>
          <w:kern w:val="0"/>
          <w:sz w:val="32"/>
          <w:szCs w:val="32"/>
          <w:lang w:val="zh-CN" w:eastAsia="zh-CN" w:bidi="ar-SA"/>
        </w:rPr>
        <w:t>个，</w:t>
      </w:r>
      <w:r>
        <w:rPr>
          <w:rFonts w:hint="eastAsia" w:ascii="仿宋_GB2312" w:eastAsia="仿宋_GB2312" w:cs="仿宋"/>
          <w:color w:val="000000"/>
          <w:kern w:val="0"/>
          <w:sz w:val="32"/>
          <w:szCs w:val="32"/>
          <w:lang w:val="en-US" w:eastAsia="zh-CN" w:bidi="ar-SA"/>
        </w:rPr>
        <w:t>事业编制13名</w:t>
      </w:r>
      <w:r>
        <w:rPr>
          <w:rFonts w:hint="eastAsia" w:ascii="仿宋_GB2312" w:eastAsia="仿宋_GB2312" w:cs="仿宋"/>
          <w:color w:val="000000"/>
          <w:kern w:val="0"/>
          <w:sz w:val="32"/>
          <w:szCs w:val="32"/>
          <w:lang w:val="zh-CN" w:eastAsia="zh-CN" w:bidi="ar-SA"/>
        </w:rPr>
        <w:t>。截止20</w:t>
      </w:r>
      <w:r>
        <w:rPr>
          <w:rFonts w:hint="eastAsia" w:ascii="仿宋_GB2312" w:eastAsia="仿宋_GB2312" w:cs="仿宋"/>
          <w:color w:val="000000"/>
          <w:kern w:val="0"/>
          <w:sz w:val="32"/>
          <w:szCs w:val="32"/>
          <w:lang w:val="en-US" w:eastAsia="zh-CN" w:bidi="ar-SA"/>
        </w:rPr>
        <w:t>24</w:t>
      </w:r>
      <w:r>
        <w:rPr>
          <w:rFonts w:hint="eastAsia" w:ascii="仿宋_GB2312" w:eastAsia="仿宋_GB2312" w:cs="仿宋"/>
          <w:color w:val="000000"/>
          <w:kern w:val="0"/>
          <w:sz w:val="32"/>
          <w:szCs w:val="32"/>
          <w:lang w:val="zh-CN" w:eastAsia="zh-CN" w:bidi="ar-SA"/>
        </w:rPr>
        <w:t>年</w:t>
      </w:r>
      <w:r>
        <w:rPr>
          <w:rFonts w:hint="eastAsia" w:ascii="仿宋_GB2312" w:eastAsia="仿宋_GB2312" w:cs="仿宋"/>
          <w:color w:val="000000"/>
          <w:kern w:val="0"/>
          <w:sz w:val="32"/>
          <w:szCs w:val="32"/>
          <w:lang w:val="en-US" w:eastAsia="zh-CN" w:bidi="ar-SA"/>
        </w:rPr>
        <w:t>年末</w:t>
      </w:r>
      <w:r>
        <w:rPr>
          <w:rFonts w:hint="eastAsia" w:ascii="仿宋_GB2312" w:eastAsia="仿宋_GB2312" w:cs="仿宋"/>
          <w:color w:val="000000"/>
          <w:kern w:val="0"/>
          <w:sz w:val="32"/>
          <w:szCs w:val="32"/>
          <w:lang w:val="zh-CN" w:eastAsia="zh-CN" w:bidi="ar-SA"/>
        </w:rPr>
        <w:t>，单位实有人数</w:t>
      </w:r>
      <w:r>
        <w:rPr>
          <w:rFonts w:hint="eastAsia" w:ascii="仿宋_GB2312" w:eastAsia="仿宋_GB2312" w:cs="仿宋"/>
          <w:color w:val="000000"/>
          <w:kern w:val="0"/>
          <w:sz w:val="32"/>
          <w:szCs w:val="32"/>
          <w:lang w:val="en-US" w:eastAsia="zh-CN" w:bidi="ar-SA"/>
        </w:rPr>
        <w:t>28</w:t>
      </w:r>
      <w:r>
        <w:rPr>
          <w:rFonts w:hint="eastAsia" w:ascii="仿宋_GB2312" w:eastAsia="仿宋_GB2312" w:cs="仿宋"/>
          <w:color w:val="000000"/>
          <w:kern w:val="0"/>
          <w:sz w:val="32"/>
          <w:szCs w:val="32"/>
          <w:lang w:val="zh-CN" w:eastAsia="zh-CN" w:bidi="ar-SA"/>
        </w:rPr>
        <w:t>人，其中：在职</w:t>
      </w:r>
      <w:r>
        <w:rPr>
          <w:rFonts w:hint="eastAsia" w:ascii="仿宋_GB2312" w:eastAsia="仿宋_GB2312" w:cs="仿宋"/>
          <w:color w:val="000000"/>
          <w:kern w:val="0"/>
          <w:sz w:val="32"/>
          <w:szCs w:val="32"/>
          <w:lang w:val="en-US" w:eastAsia="zh-CN" w:bidi="ar-SA"/>
        </w:rPr>
        <w:t>28</w:t>
      </w:r>
      <w:r>
        <w:rPr>
          <w:rFonts w:hint="eastAsia" w:ascii="仿宋_GB2312" w:eastAsia="仿宋_GB2312" w:cs="仿宋"/>
          <w:color w:val="000000"/>
          <w:kern w:val="0"/>
          <w:sz w:val="32"/>
          <w:szCs w:val="32"/>
          <w:lang w:val="zh-CN" w:eastAsia="zh-CN" w:bidi="ar-SA"/>
        </w:rPr>
        <w:t>人（公务员</w:t>
      </w:r>
      <w:r>
        <w:rPr>
          <w:rFonts w:hint="eastAsia" w:ascii="仿宋_GB2312" w:eastAsia="仿宋_GB2312" w:cs="仿宋"/>
          <w:color w:val="000000"/>
          <w:kern w:val="0"/>
          <w:sz w:val="32"/>
          <w:szCs w:val="32"/>
          <w:lang w:val="en-US" w:eastAsia="zh-CN" w:bidi="ar-SA"/>
        </w:rPr>
        <w:t>17个、</w:t>
      </w:r>
      <w:r>
        <w:rPr>
          <w:rFonts w:hint="eastAsia" w:ascii="仿宋_GB2312" w:eastAsia="仿宋_GB2312" w:cs="仿宋"/>
          <w:color w:val="000000"/>
          <w:kern w:val="0"/>
          <w:sz w:val="32"/>
          <w:szCs w:val="32"/>
          <w:lang w:val="zh-CN" w:eastAsia="zh-CN" w:bidi="ar-SA"/>
        </w:rPr>
        <w:t>行政工勤</w:t>
      </w:r>
      <w:r>
        <w:rPr>
          <w:rFonts w:hint="eastAsia" w:ascii="仿宋_GB2312" w:eastAsia="仿宋_GB2312" w:cs="仿宋"/>
          <w:color w:val="000000"/>
          <w:kern w:val="0"/>
          <w:sz w:val="32"/>
          <w:szCs w:val="32"/>
          <w:lang w:val="en-US" w:eastAsia="zh-CN" w:bidi="ar-SA"/>
        </w:rPr>
        <w:t>2</w:t>
      </w:r>
      <w:r>
        <w:rPr>
          <w:rFonts w:hint="eastAsia" w:ascii="仿宋_GB2312" w:eastAsia="仿宋_GB2312" w:cs="仿宋"/>
          <w:color w:val="000000"/>
          <w:kern w:val="0"/>
          <w:sz w:val="32"/>
          <w:szCs w:val="32"/>
          <w:lang w:val="zh-CN" w:eastAsia="zh-CN" w:bidi="ar-SA"/>
        </w:rPr>
        <w:t>个，</w:t>
      </w:r>
      <w:r>
        <w:rPr>
          <w:rFonts w:hint="eastAsia" w:ascii="仿宋_GB2312" w:eastAsia="仿宋_GB2312" w:cs="仿宋"/>
          <w:color w:val="000000"/>
          <w:kern w:val="0"/>
          <w:sz w:val="32"/>
          <w:szCs w:val="32"/>
          <w:lang w:val="en-US" w:eastAsia="zh-CN" w:bidi="ar-SA"/>
        </w:rPr>
        <w:t>事业9名</w:t>
      </w:r>
      <w:r>
        <w:rPr>
          <w:rFonts w:hint="eastAsia" w:ascii="仿宋_GB2312" w:eastAsia="仿宋_GB2312" w:cs="仿宋"/>
          <w:color w:val="000000"/>
          <w:kern w:val="0"/>
          <w:sz w:val="32"/>
          <w:szCs w:val="32"/>
          <w:lang w:val="zh-CN" w:eastAsia="zh-CN" w:bidi="ar-SA"/>
        </w:rPr>
        <w:t>），退休</w:t>
      </w:r>
      <w:r>
        <w:rPr>
          <w:rFonts w:hint="eastAsia" w:ascii="仿宋_GB2312" w:eastAsia="仿宋_GB2312" w:cs="仿宋"/>
          <w:color w:val="000000"/>
          <w:kern w:val="0"/>
          <w:sz w:val="32"/>
          <w:szCs w:val="32"/>
          <w:lang w:val="en-US" w:eastAsia="zh-CN" w:bidi="ar-SA"/>
        </w:rPr>
        <w:t>5</w:t>
      </w:r>
      <w:r>
        <w:rPr>
          <w:rFonts w:hint="eastAsia" w:ascii="仿宋_GB2312" w:eastAsia="仿宋_GB2312" w:cs="仿宋"/>
          <w:color w:val="000000"/>
          <w:kern w:val="0"/>
          <w:sz w:val="32"/>
          <w:szCs w:val="32"/>
          <w:lang w:val="zh-CN" w:eastAsia="zh-CN" w:bidi="ar-SA"/>
        </w:rPr>
        <w:t>人，（退休人员工资转由社保部门发放）。</w:t>
      </w:r>
    </w:p>
    <w:p w14:paraId="6C10119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1A6BD4EF">
      <w:pPr>
        <w:keepNext w:val="0"/>
        <w:keepLines w:val="0"/>
        <w:pageBreakBefore w:val="0"/>
        <w:widowControl/>
        <w:kinsoku/>
        <w:wordWrap/>
        <w:overflowPunct/>
        <w:topLinePunct w:val="0"/>
        <w:autoSpaceDE/>
        <w:autoSpaceDN/>
        <w:bidi w:val="0"/>
        <w:adjustRightInd w:val="0"/>
        <w:snapToGrid w:val="0"/>
        <w:spacing w:line="240" w:lineRule="auto"/>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67A34D86">
      <w:pPr>
        <w:pageBreakBefore w:val="0"/>
        <w:kinsoku/>
        <w:wordWrap/>
        <w:overflowPunct/>
        <w:topLinePunct w:val="0"/>
        <w:bidi w:val="0"/>
        <w:spacing w:line="240" w:lineRule="auto"/>
        <w:ind w:firstLine="640" w:firstLineChars="200"/>
        <w:outlineLvl w:val="1"/>
        <w:rPr>
          <w:rFonts w:hint="default"/>
          <w:lang w:val="en-US"/>
        </w:rPr>
      </w:pPr>
      <w:r>
        <w:rPr>
          <w:rFonts w:hint="eastAsia" w:ascii="仿宋" w:eastAsia="仿宋"/>
          <w:color w:val="000000"/>
          <w:sz w:val="32"/>
          <w:szCs w:val="32"/>
          <w:lang w:eastAsia="zh-CN"/>
        </w:rPr>
        <w:t>2024年</w:t>
      </w:r>
      <w:r>
        <w:rPr>
          <w:rFonts w:hint="eastAsia" w:ascii="仿宋" w:eastAsia="仿宋"/>
          <w:color w:val="000000"/>
          <w:sz w:val="32"/>
          <w:szCs w:val="32"/>
        </w:rPr>
        <w:t>总收入</w:t>
      </w:r>
      <w:r>
        <w:rPr>
          <w:rFonts w:hint="eastAsia" w:ascii="仿宋_GB2312" w:eastAsia="仿宋_GB2312"/>
          <w:color w:val="000000"/>
          <w:spacing w:val="-2"/>
          <w:sz w:val="32"/>
          <w:szCs w:val="32"/>
          <w:lang w:val="en-US" w:eastAsia="zh-CN"/>
        </w:rPr>
        <w:t>1314.04</w:t>
      </w:r>
      <w:r>
        <w:rPr>
          <w:rFonts w:hint="eastAsia" w:ascii="仿宋" w:eastAsia="仿宋"/>
          <w:color w:val="000000"/>
          <w:sz w:val="32"/>
          <w:szCs w:val="32"/>
        </w:rPr>
        <w:t>万元，其中：一般公共预算财政拨款收入</w:t>
      </w:r>
      <w:r>
        <w:rPr>
          <w:rFonts w:hint="eastAsia" w:ascii="仿宋_GB2312" w:eastAsia="仿宋_GB2312"/>
          <w:color w:val="000000"/>
          <w:spacing w:val="-2"/>
          <w:sz w:val="32"/>
          <w:szCs w:val="32"/>
          <w:lang w:val="en-US" w:eastAsia="zh-CN"/>
        </w:rPr>
        <w:t>1314.04</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14:paraId="2AFAD632">
      <w:pPr>
        <w:keepNext w:val="0"/>
        <w:keepLines w:val="0"/>
        <w:pageBreakBefore w:val="0"/>
        <w:widowControl/>
        <w:kinsoku/>
        <w:wordWrap/>
        <w:overflowPunct/>
        <w:topLinePunct w:val="0"/>
        <w:autoSpaceDE/>
        <w:autoSpaceDN/>
        <w:bidi w:val="0"/>
        <w:adjustRightInd w:val="0"/>
        <w:snapToGrid w:val="0"/>
        <w:spacing w:line="240" w:lineRule="auto"/>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51CEB0F1">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 w:eastAsia="仿宋"/>
          <w:color w:val="000000"/>
          <w:sz w:val="32"/>
          <w:szCs w:val="32"/>
          <w:lang w:val="en-US" w:eastAsia="zh-CN"/>
        </w:rPr>
        <w:t>2024</w:t>
      </w:r>
      <w:r>
        <w:rPr>
          <w:rFonts w:hint="default" w:ascii="仿宋" w:eastAsia="仿宋"/>
          <w:color w:val="000000"/>
          <w:sz w:val="32"/>
          <w:szCs w:val="32"/>
          <w:lang w:val="en-US" w:eastAsia="zh-CN"/>
        </w:rPr>
        <w:t>年一般公共预算财政拨款支出</w:t>
      </w:r>
      <w:r>
        <w:rPr>
          <w:rFonts w:hint="eastAsia" w:ascii="仿宋" w:eastAsia="仿宋"/>
          <w:color w:val="000000"/>
          <w:sz w:val="32"/>
          <w:szCs w:val="32"/>
          <w:lang w:val="en-US" w:eastAsia="zh-CN"/>
        </w:rPr>
        <w:t>1314.04万元</w:t>
      </w:r>
      <w:r>
        <w:rPr>
          <w:rFonts w:hint="default" w:ascii="仿宋" w:eastAsia="仿宋"/>
          <w:color w:val="000000"/>
          <w:sz w:val="32"/>
          <w:szCs w:val="32"/>
          <w:lang w:val="en-US" w:eastAsia="zh-CN"/>
        </w:rPr>
        <w:t>，占本年支出合计的100%。</w:t>
      </w:r>
      <w:r>
        <w:rPr>
          <w:rFonts w:hint="eastAsia" w:ascii="仿宋" w:eastAsia="仿宋"/>
          <w:color w:val="000000"/>
          <w:sz w:val="32"/>
          <w:szCs w:val="32"/>
          <w:lang w:val="en-US" w:eastAsia="zh-CN"/>
        </w:rPr>
        <w:t>与2023年相比，收入总计增加247.04万元，增加23.15%。增加的主要原因是2024年工资变动及保险基数上调，2024年新增6个项目。基本支出703.16万</w:t>
      </w:r>
      <w:r>
        <w:rPr>
          <w:rFonts w:hint="eastAsia" w:ascii="仿宋_GB2312" w:eastAsia="仿宋_GB2312"/>
          <w:color w:val="000000"/>
          <w:sz w:val="32"/>
          <w:szCs w:val="32"/>
        </w:rPr>
        <w:t>元，基本支出中人员经费支出为</w:t>
      </w:r>
      <w:r>
        <w:rPr>
          <w:rFonts w:hint="eastAsia" w:ascii="仿宋_GB2312" w:eastAsia="仿宋_GB2312"/>
          <w:color w:val="000000"/>
          <w:sz w:val="32"/>
          <w:szCs w:val="32"/>
          <w:lang w:val="en-US" w:eastAsia="zh-CN"/>
        </w:rPr>
        <w:t>652.09</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主要包括：基本工资</w:t>
      </w:r>
      <w:r>
        <w:rPr>
          <w:rFonts w:hint="eastAsia" w:ascii="仿宋_GB2312" w:eastAsia="仿宋_GB2312"/>
          <w:color w:val="000000" w:themeColor="text1"/>
          <w:sz w:val="32"/>
          <w:szCs w:val="32"/>
          <w:lang w:val="en-US" w:eastAsia="zh-CN"/>
          <w14:textFill>
            <w14:solidFill>
              <w14:schemeClr w14:val="tx1"/>
            </w14:solidFill>
          </w14:textFill>
        </w:rPr>
        <w:t>113.68</w:t>
      </w:r>
      <w:r>
        <w:rPr>
          <w:rFonts w:hint="eastAsia" w:ascii="仿宋_GB2312" w:eastAsia="仿宋_GB2312"/>
          <w:color w:val="000000" w:themeColor="text1"/>
          <w:sz w:val="32"/>
          <w:szCs w:val="32"/>
          <w14:textFill>
            <w14:solidFill>
              <w14:schemeClr w14:val="tx1"/>
            </w14:solidFill>
          </w14:textFill>
        </w:rPr>
        <w:t>万元、津贴补贴</w:t>
      </w:r>
      <w:r>
        <w:rPr>
          <w:rFonts w:hint="eastAsia" w:ascii="仿宋_GB2312" w:eastAsia="仿宋_GB2312"/>
          <w:color w:val="000000" w:themeColor="text1"/>
          <w:sz w:val="32"/>
          <w:szCs w:val="32"/>
          <w:lang w:val="en-US" w:eastAsia="zh-CN"/>
          <w14:textFill>
            <w14:solidFill>
              <w14:schemeClr w14:val="tx1"/>
            </w14:solidFill>
          </w14:textFill>
        </w:rPr>
        <w:t>164.74</w:t>
      </w:r>
      <w:r>
        <w:rPr>
          <w:rFonts w:hint="eastAsia" w:ascii="仿宋_GB2312" w:eastAsia="仿宋_GB2312"/>
          <w:color w:val="000000" w:themeColor="text1"/>
          <w:sz w:val="32"/>
          <w:szCs w:val="32"/>
          <w14:textFill>
            <w14:solidFill>
              <w14:schemeClr w14:val="tx1"/>
            </w14:solidFill>
          </w14:textFill>
        </w:rPr>
        <w:t>万元、奖金</w:t>
      </w:r>
      <w:r>
        <w:rPr>
          <w:rFonts w:hint="eastAsia" w:ascii="仿宋_GB2312" w:eastAsia="仿宋_GB2312"/>
          <w:color w:val="000000" w:themeColor="text1"/>
          <w:sz w:val="32"/>
          <w:szCs w:val="32"/>
          <w:lang w:val="en-US" w:eastAsia="zh-CN"/>
          <w14:textFill>
            <w14:solidFill>
              <w14:schemeClr w14:val="tx1"/>
            </w14:solidFill>
          </w14:textFill>
        </w:rPr>
        <w:t>160.11</w:t>
      </w:r>
      <w:r>
        <w:rPr>
          <w:rFonts w:hint="eastAsia" w:ascii="仿宋_GB2312" w:eastAsia="仿宋_GB2312"/>
          <w:color w:val="000000" w:themeColor="text1"/>
          <w:sz w:val="32"/>
          <w:szCs w:val="32"/>
          <w14:textFill>
            <w14:solidFill>
              <w14:schemeClr w14:val="tx1"/>
            </w14:solidFill>
          </w14:textFill>
        </w:rPr>
        <w:t>万元、绩效工资</w:t>
      </w:r>
      <w:r>
        <w:rPr>
          <w:rFonts w:hint="eastAsia" w:ascii="仿宋_GB2312" w:eastAsia="仿宋_GB2312"/>
          <w:color w:val="000000" w:themeColor="text1"/>
          <w:sz w:val="32"/>
          <w:szCs w:val="32"/>
          <w:lang w:val="en-US" w:eastAsia="zh-CN"/>
          <w14:textFill>
            <w14:solidFill>
              <w14:schemeClr w14:val="tx1"/>
            </w14:solidFill>
          </w14:textFill>
        </w:rPr>
        <w:t>27.5</w:t>
      </w:r>
      <w:r>
        <w:rPr>
          <w:rFonts w:hint="eastAsia" w:ascii="仿宋_GB2312" w:eastAsia="仿宋_GB2312"/>
          <w:color w:val="000000" w:themeColor="text1"/>
          <w:sz w:val="32"/>
          <w:szCs w:val="32"/>
          <w14:textFill>
            <w14:solidFill>
              <w14:schemeClr w14:val="tx1"/>
            </w14:solidFill>
          </w14:textFill>
        </w:rPr>
        <w:t>万元、机关事业单位基本养老保险缴费</w:t>
      </w:r>
      <w:r>
        <w:rPr>
          <w:rFonts w:hint="eastAsia" w:ascii="仿宋_GB2312" w:eastAsia="仿宋_GB2312"/>
          <w:color w:val="000000" w:themeColor="text1"/>
          <w:sz w:val="32"/>
          <w:szCs w:val="32"/>
          <w:lang w:val="en-US" w:eastAsia="zh-CN"/>
          <w14:textFill>
            <w14:solidFill>
              <w14:schemeClr w14:val="tx1"/>
            </w14:solidFill>
          </w14:textFill>
        </w:rPr>
        <w:t>58.43</w:t>
      </w:r>
      <w:r>
        <w:rPr>
          <w:rFonts w:hint="eastAsia" w:ascii="仿宋_GB2312" w:eastAsia="仿宋_GB2312"/>
          <w:color w:val="000000" w:themeColor="text1"/>
          <w:sz w:val="32"/>
          <w:szCs w:val="32"/>
          <w14:textFill>
            <w14:solidFill>
              <w14:schemeClr w14:val="tx1"/>
            </w14:solidFill>
          </w14:textFill>
        </w:rPr>
        <w:t>万元、职业年金缴费</w:t>
      </w:r>
      <w:r>
        <w:rPr>
          <w:rFonts w:hint="eastAsia" w:ascii="仿宋_GB2312" w:eastAsia="仿宋_GB2312"/>
          <w:color w:val="000000" w:themeColor="text1"/>
          <w:sz w:val="32"/>
          <w:szCs w:val="32"/>
          <w:lang w:val="en-US" w:eastAsia="zh-CN"/>
          <w14:textFill>
            <w14:solidFill>
              <w14:schemeClr w14:val="tx1"/>
            </w14:solidFill>
          </w14:textFill>
        </w:rPr>
        <w:t>29.35</w:t>
      </w:r>
      <w:r>
        <w:rPr>
          <w:rFonts w:hint="eastAsia" w:ascii="仿宋_GB2312" w:eastAsia="仿宋_GB2312"/>
          <w:color w:val="000000" w:themeColor="text1"/>
          <w:sz w:val="32"/>
          <w:szCs w:val="32"/>
          <w14:textFill>
            <w14:solidFill>
              <w14:schemeClr w14:val="tx1"/>
            </w14:solidFill>
          </w14:textFill>
        </w:rPr>
        <w:t>万元、其他社会保障缴费</w:t>
      </w:r>
      <w:r>
        <w:rPr>
          <w:rFonts w:hint="eastAsia" w:ascii="仿宋_GB2312" w:eastAsia="仿宋_GB2312"/>
          <w:color w:val="000000" w:themeColor="text1"/>
          <w:sz w:val="32"/>
          <w:szCs w:val="32"/>
          <w:lang w:val="en-US" w:eastAsia="zh-CN"/>
          <w14:textFill>
            <w14:solidFill>
              <w14:schemeClr w14:val="tx1"/>
            </w14:solidFill>
          </w14:textFill>
        </w:rPr>
        <w:t>9.78</w:t>
      </w:r>
      <w:r>
        <w:rPr>
          <w:rFonts w:hint="eastAsia" w:ascii="仿宋_GB2312" w:eastAsia="仿宋_GB2312"/>
          <w:color w:val="000000" w:themeColor="text1"/>
          <w:sz w:val="32"/>
          <w:szCs w:val="32"/>
          <w14:textFill>
            <w14:solidFill>
              <w14:schemeClr w14:val="tx1"/>
            </w14:solidFill>
          </w14:textFill>
        </w:rPr>
        <w:t>万元、住房公积金</w:t>
      </w:r>
      <w:r>
        <w:rPr>
          <w:rFonts w:hint="eastAsia" w:ascii="仿宋_GB2312" w:eastAsia="仿宋_GB2312"/>
          <w:color w:val="000000" w:themeColor="text1"/>
          <w:sz w:val="32"/>
          <w:szCs w:val="32"/>
          <w:lang w:val="en-US" w:eastAsia="zh-CN"/>
          <w14:textFill>
            <w14:solidFill>
              <w14:schemeClr w14:val="tx1"/>
            </w14:solidFill>
          </w14:textFill>
        </w:rPr>
        <w:t>51.93</w:t>
      </w:r>
      <w:r>
        <w:rPr>
          <w:rFonts w:hint="eastAsia" w:ascii="仿宋_GB2312" w:eastAsia="仿宋_GB2312"/>
          <w:color w:val="000000" w:themeColor="text1"/>
          <w:sz w:val="32"/>
          <w:szCs w:val="32"/>
          <w14:textFill>
            <w14:solidFill>
              <w14:schemeClr w14:val="tx1"/>
            </w14:solidFill>
          </w14:textFill>
        </w:rPr>
        <w:t>万元、职工基本医疗保险缴费</w:t>
      </w:r>
      <w:r>
        <w:rPr>
          <w:rFonts w:hint="eastAsia" w:ascii="仿宋_GB2312" w:eastAsia="仿宋_GB2312"/>
          <w:color w:val="000000" w:themeColor="text1"/>
          <w:sz w:val="32"/>
          <w:szCs w:val="32"/>
          <w:lang w:val="en-US" w:eastAsia="zh-CN"/>
          <w14:textFill>
            <w14:solidFill>
              <w14:schemeClr w14:val="tx1"/>
            </w14:solidFill>
          </w14:textFill>
        </w:rPr>
        <w:t>31.14</w:t>
      </w:r>
      <w:r>
        <w:rPr>
          <w:rFonts w:hint="eastAsia" w:ascii="仿宋_GB2312" w:eastAsia="仿宋_GB2312"/>
          <w:color w:val="000000" w:themeColor="text1"/>
          <w:sz w:val="32"/>
          <w:szCs w:val="32"/>
          <w14:textFill>
            <w14:solidFill>
              <w14:schemeClr w14:val="tx1"/>
            </w14:solidFill>
          </w14:textFill>
        </w:rPr>
        <w:t>万元、公务员医疗补助</w:t>
      </w:r>
      <w:r>
        <w:rPr>
          <w:rFonts w:hint="eastAsia" w:ascii="仿宋_GB2312" w:eastAsia="仿宋_GB2312"/>
          <w:color w:val="000000" w:themeColor="text1"/>
          <w:sz w:val="32"/>
          <w:szCs w:val="32"/>
          <w:lang w:val="en-US" w:eastAsia="zh-CN"/>
          <w14:textFill>
            <w14:solidFill>
              <w14:schemeClr w14:val="tx1"/>
            </w14:solidFill>
          </w14:textFill>
        </w:rPr>
        <w:t>5.41</w:t>
      </w:r>
      <w:r>
        <w:rPr>
          <w:rFonts w:hint="eastAsia" w:ascii="仿宋_GB2312" w:eastAsia="仿宋_GB2312"/>
          <w:color w:val="000000" w:themeColor="text1"/>
          <w:sz w:val="32"/>
          <w:szCs w:val="32"/>
          <w14:textFill>
            <w14:solidFill>
              <w14:schemeClr w14:val="tx1"/>
            </w14:solidFill>
          </w14:textFill>
        </w:rPr>
        <w:t>万元、奖励金</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14:paraId="66E9AE62">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公用经费支出为</w:t>
      </w:r>
      <w:r>
        <w:rPr>
          <w:rFonts w:hint="eastAsia" w:ascii="仿宋_GB2312" w:hAnsi="仿宋" w:eastAsia="仿宋_GB2312"/>
          <w:color w:val="000000" w:themeColor="text1"/>
          <w:sz w:val="32"/>
          <w:szCs w:val="32"/>
          <w:lang w:val="en-US" w:eastAsia="zh-CN"/>
          <w14:textFill>
            <w14:solidFill>
              <w14:schemeClr w14:val="tx1"/>
            </w14:solidFill>
          </w14:textFill>
        </w:rPr>
        <w:t>37.8</w:t>
      </w:r>
      <w:r>
        <w:rPr>
          <w:rFonts w:hint="eastAsia" w:ascii="仿宋_GB2312" w:hAnsi="仿宋" w:eastAsia="仿宋_GB2312"/>
          <w:color w:val="000000"/>
          <w:sz w:val="32"/>
          <w:szCs w:val="32"/>
        </w:rPr>
        <w:t>万元，主要包括：办公费</w:t>
      </w:r>
      <w:r>
        <w:rPr>
          <w:rFonts w:hint="eastAsia" w:ascii="仿宋_GB2312" w:hAnsi="仿宋" w:eastAsia="仿宋_GB2312"/>
          <w:color w:val="000000"/>
          <w:sz w:val="32"/>
          <w:szCs w:val="32"/>
          <w:lang w:val="en-US" w:eastAsia="zh-CN"/>
        </w:rPr>
        <w:t>10.58</w:t>
      </w:r>
      <w:r>
        <w:rPr>
          <w:rFonts w:hint="eastAsia" w:ascii="仿宋_GB2312" w:hAnsi="仿宋" w:eastAsia="仿宋_GB2312"/>
          <w:color w:val="000000"/>
          <w:sz w:val="32"/>
          <w:szCs w:val="32"/>
        </w:rPr>
        <w:t>万元、印刷费</w:t>
      </w:r>
      <w:r>
        <w:rPr>
          <w:rFonts w:hint="eastAsia" w:ascii="仿宋_GB2312" w:hAnsi="仿宋" w:eastAsia="仿宋_GB2312"/>
          <w:color w:val="000000"/>
          <w:sz w:val="32"/>
          <w:szCs w:val="32"/>
          <w:lang w:val="en-US" w:eastAsia="zh-CN"/>
        </w:rPr>
        <w:t>4.0</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手续费0万元、</w:t>
      </w:r>
      <w:r>
        <w:rPr>
          <w:rFonts w:hint="eastAsia" w:ascii="仿宋_GB2312" w:hAnsi="仿宋" w:eastAsia="仿宋_GB2312"/>
          <w:color w:val="000000"/>
          <w:sz w:val="32"/>
          <w:szCs w:val="32"/>
        </w:rPr>
        <w:t>电费</w:t>
      </w:r>
      <w:r>
        <w:rPr>
          <w:rFonts w:hint="eastAsia" w:ascii="仿宋_GB2312" w:hAnsi="仿宋" w:eastAsia="仿宋_GB2312"/>
          <w:color w:val="000000"/>
          <w:sz w:val="32"/>
          <w:szCs w:val="32"/>
          <w:lang w:val="en-US" w:eastAsia="zh-CN"/>
        </w:rPr>
        <w:t>1.5</w:t>
      </w:r>
      <w:r>
        <w:rPr>
          <w:rFonts w:hint="eastAsia" w:ascii="仿宋_GB2312" w:hAnsi="仿宋" w:eastAsia="仿宋_GB2312"/>
          <w:color w:val="000000"/>
          <w:sz w:val="32"/>
          <w:szCs w:val="32"/>
        </w:rPr>
        <w:t>万元、邮电费</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万元、差旅费</w:t>
      </w: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万元、劳务费</w:t>
      </w:r>
      <w:r>
        <w:rPr>
          <w:rFonts w:hint="eastAsia" w:ascii="仿宋_GB2312" w:hAnsi="仿宋" w:eastAsia="仿宋_GB2312"/>
          <w:color w:val="000000"/>
          <w:sz w:val="32"/>
          <w:szCs w:val="32"/>
          <w:lang w:val="en-US" w:eastAsia="zh-CN"/>
        </w:rPr>
        <w:t>5.72</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委托业务费</w:t>
      </w:r>
      <w:r>
        <w:rPr>
          <w:rFonts w:hint="eastAsia" w:ascii="仿宋_GB2312" w:hAnsi="仿宋" w:eastAsia="仿宋_GB2312"/>
          <w:color w:val="000000"/>
          <w:sz w:val="32"/>
          <w:szCs w:val="32"/>
          <w:lang w:val="en-US" w:eastAsia="zh-CN"/>
        </w:rPr>
        <w:t>1万元、</w:t>
      </w:r>
      <w:r>
        <w:rPr>
          <w:rFonts w:hint="eastAsia" w:ascii="仿宋_GB2312" w:hAnsi="仿宋" w:eastAsia="仿宋_GB2312"/>
          <w:color w:val="000000"/>
          <w:sz w:val="32"/>
          <w:szCs w:val="32"/>
        </w:rPr>
        <w:t>公务用车运行维护费</w:t>
      </w: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万元。</w:t>
      </w:r>
    </w:p>
    <w:p w14:paraId="0828B8A9">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610.88</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人大会议费</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万元，对村干部生活补助支出</w:t>
      </w:r>
      <w:r>
        <w:rPr>
          <w:rFonts w:hint="eastAsia" w:ascii="仿宋_GB2312" w:hAnsi="仿宋" w:eastAsia="仿宋_GB2312"/>
          <w:color w:val="000000"/>
          <w:sz w:val="32"/>
          <w:szCs w:val="32"/>
          <w:lang w:val="en-US" w:eastAsia="zh-CN"/>
        </w:rPr>
        <w:t>196.55</w:t>
      </w:r>
      <w:r>
        <w:rPr>
          <w:rFonts w:hint="eastAsia" w:ascii="仿宋_GB2312" w:hAnsi="仿宋" w:eastAsia="仿宋_GB2312"/>
          <w:color w:val="000000"/>
          <w:sz w:val="32"/>
          <w:szCs w:val="32"/>
        </w:rPr>
        <w:t>万元，</w:t>
      </w:r>
      <w:r>
        <w:rPr>
          <w:rFonts w:hint="eastAsia" w:ascii="仿宋_GB2312" w:hAnsi="仿宋_GB2312" w:eastAsia="仿宋_GB2312" w:cs="仿宋_GB2312"/>
          <w:color w:val="000000"/>
          <w:sz w:val="32"/>
          <w:szCs w:val="32"/>
        </w:rPr>
        <w:t>（其中公共运行维护费</w:t>
      </w:r>
      <w:r>
        <w:rPr>
          <w:rFonts w:hint="eastAsia" w:ascii="仿宋_GB2312" w:hAnsi="仿宋_GB2312" w:eastAsia="仿宋_GB2312" w:cs="仿宋_GB2312"/>
          <w:color w:val="000000"/>
          <w:sz w:val="32"/>
          <w:szCs w:val="32"/>
          <w:lang w:val="en-US" w:eastAsia="zh-CN"/>
        </w:rPr>
        <w:t>45</w:t>
      </w:r>
      <w:r>
        <w:rPr>
          <w:rFonts w:hint="eastAsia" w:ascii="仿宋_GB2312" w:hAnsi="仿宋_GB2312" w:eastAsia="仿宋_GB2312" w:cs="仿宋_GB2312"/>
          <w:color w:val="000000"/>
          <w:sz w:val="32"/>
          <w:szCs w:val="32"/>
        </w:rPr>
        <w:t>万元、基层党组织活动经费</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万元、办公费</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w:t>
      </w:r>
      <w:r>
        <w:rPr>
          <w:rFonts w:hint="eastAsia" w:ascii="仿宋_GB2312" w:hAnsi="仿宋" w:eastAsia="仿宋_GB2312"/>
          <w:color w:val="000000"/>
          <w:sz w:val="32"/>
          <w:szCs w:val="32"/>
        </w:rPr>
        <w:t>，巩固脱贫攻坚成果衔接乡村振兴</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332.07万元、基层政权建设和社区治理：52.79万元、城乡社区环境卫生：29.5万元。</w:t>
      </w:r>
    </w:p>
    <w:p w14:paraId="576049C5">
      <w:pPr>
        <w:keepNext w:val="0"/>
        <w:keepLines w:val="0"/>
        <w:pageBreakBefore w:val="0"/>
        <w:widowControl w:val="0"/>
        <w:numPr>
          <w:ilvl w:val="0"/>
          <w:numId w:val="0"/>
        </w:numPr>
        <w:kinsoku/>
        <w:wordWrap/>
        <w:overflowPunct/>
        <w:topLinePunct w:val="0"/>
        <w:autoSpaceDE/>
        <w:autoSpaceDN/>
        <w:bidi w:val="0"/>
        <w:spacing w:line="360" w:lineRule="auto"/>
        <w:ind w:left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eastAsia"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en-US" w:eastAsia="zh-CN"/>
        </w:rPr>
        <w:t>三</w:t>
      </w:r>
      <w:r>
        <w:rPr>
          <w:rFonts w:hint="eastAsia"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207476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eastAsia" w:ascii="仿宋_GB2312" w:eastAsia="仿宋_GB2312" w:cs="仿宋"/>
          <w:color w:val="000000"/>
          <w:kern w:val="0"/>
          <w:sz w:val="32"/>
          <w:szCs w:val="32"/>
          <w:lang w:val="en-US" w:eastAsia="zh-CN" w:bidi="ar-SA"/>
        </w:rPr>
        <w:t>本单位2</w:t>
      </w:r>
      <w:r>
        <w:rPr>
          <w:rFonts w:hint="eastAsia" w:ascii="仿宋_GB2312" w:eastAsia="仿宋_GB2312" w:cs="仿宋"/>
          <w:color w:val="000000"/>
          <w:kern w:val="0"/>
          <w:sz w:val="32"/>
          <w:szCs w:val="32"/>
          <w:highlight w:val="none"/>
          <w:lang w:val="en-US" w:eastAsia="zh-CN" w:bidi="ar-SA"/>
        </w:rPr>
        <w:t>024年决算报表无结转结余情况。</w:t>
      </w:r>
    </w:p>
    <w:p w14:paraId="06AEAB3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100C6150">
      <w:pPr>
        <w:keepNext w:val="0"/>
        <w:keepLines w:val="0"/>
        <w:pageBreakBefore w:val="0"/>
        <w:widowControl w:val="0"/>
        <w:numPr>
          <w:ilvl w:val="0"/>
          <w:numId w:val="0"/>
        </w:numPr>
        <w:kinsoku/>
        <w:wordWrap/>
        <w:overflowPunct/>
        <w:topLinePunct w:val="0"/>
        <w:autoSpaceDE/>
        <w:autoSpaceDN/>
        <w:bidi w:val="0"/>
        <w:spacing w:line="360" w:lineRule="auto"/>
        <w:ind w:left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0749EF45">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default"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eastAsia="zh-CN"/>
        </w:rPr>
        <w:t>我乡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6C973337">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zh-CN"/>
        </w:rPr>
        <w:t>履职效能。</w:t>
      </w:r>
    </w:p>
    <w:p w14:paraId="4F6BC02F">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zh-CN" w:eastAsia="zh-CN"/>
        </w:rPr>
        <w:t>数量指标履职效果</w:t>
      </w:r>
      <w:r>
        <w:rPr>
          <w:rFonts w:hint="eastAsia" w:ascii="仿宋_GB2312" w:hAnsi="仿宋_GB2312" w:eastAsia="仿宋_GB2312" w:cs="仿宋_GB2312"/>
          <w:color w:val="000000"/>
          <w:sz w:val="32"/>
          <w:szCs w:val="32"/>
          <w:lang w:val="en-US" w:eastAsia="zh-CN"/>
        </w:rPr>
        <w:t>:严格控制数量确保无遗漏无浪费，厉行节约</w:t>
      </w:r>
      <w:r>
        <w:rPr>
          <w:rFonts w:hint="eastAsia" w:ascii="仿宋_GB2312" w:hAnsi="仿宋_GB2312" w:eastAsia="仿宋_GB2312" w:cs="仿宋_GB2312"/>
          <w:color w:val="000000"/>
          <w:sz w:val="32"/>
          <w:szCs w:val="32"/>
          <w:lang w:val="zh-CN" w:eastAsia="zh-CN"/>
        </w:rPr>
        <w:t>。</w:t>
      </w:r>
    </w:p>
    <w:p w14:paraId="4AB63994">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zh-CN" w:eastAsia="zh-CN"/>
        </w:rPr>
        <w:t>质量指标履职效果：</w:t>
      </w:r>
      <w:r>
        <w:rPr>
          <w:rFonts w:hint="eastAsia" w:ascii="仿宋_GB2312" w:hAnsi="仿宋_GB2312" w:eastAsia="仿宋_GB2312" w:cs="仿宋_GB2312"/>
          <w:color w:val="000000"/>
          <w:sz w:val="32"/>
          <w:szCs w:val="32"/>
          <w:lang w:val="en-US" w:eastAsia="zh-CN"/>
        </w:rPr>
        <w:t>严格把控质量关，确保与采购文件相匹配。</w:t>
      </w:r>
    </w:p>
    <w:p w14:paraId="581E059E">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社会效益指标履职效果：确保每一项采购项目都能实现单位职能，提高社会效益，促进社会发展。</w:t>
      </w:r>
    </w:p>
    <w:p w14:paraId="3E6C0BD5">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服务对象满意度</w:t>
      </w:r>
      <w:r>
        <w:rPr>
          <w:rFonts w:hint="eastAsia" w:ascii="仿宋_GB2312" w:hAnsi="仿宋_GB2312" w:eastAsia="仿宋_GB2312" w:cs="仿宋_GB2312"/>
          <w:color w:val="000000"/>
          <w:sz w:val="32"/>
          <w:szCs w:val="32"/>
          <w:lang w:val="en-US" w:eastAsia="zh-CN"/>
        </w:rPr>
        <w:t>指标</w:t>
      </w:r>
      <w:r>
        <w:rPr>
          <w:rFonts w:hint="default" w:ascii="仿宋_GB2312" w:hAnsi="仿宋_GB2312" w:eastAsia="仿宋_GB2312" w:cs="仿宋_GB2312"/>
          <w:color w:val="000000"/>
          <w:sz w:val="32"/>
          <w:szCs w:val="32"/>
          <w:lang w:val="en-US" w:eastAsia="zh-CN"/>
        </w:rPr>
        <w:t>履职效果</w:t>
      </w:r>
      <w:r>
        <w:rPr>
          <w:rFonts w:hint="eastAsia" w:ascii="仿宋_GB2312" w:hAnsi="仿宋_GB2312" w:eastAsia="仿宋_GB2312" w:cs="仿宋_GB2312"/>
          <w:color w:val="000000"/>
          <w:sz w:val="32"/>
          <w:szCs w:val="32"/>
          <w:lang w:val="en-US" w:eastAsia="zh-CN"/>
        </w:rPr>
        <w:t>：以高质量、高标准、高要求实施采购项目，确保受益对象满意度。</w:t>
      </w:r>
    </w:p>
    <w:p w14:paraId="76C8294C">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经济成本指标履职效果</w:t>
      </w:r>
      <w:r>
        <w:rPr>
          <w:rFonts w:hint="eastAsia" w:ascii="仿宋_GB2312" w:hAnsi="仿宋_GB2312" w:eastAsia="仿宋_GB2312" w:cs="仿宋_GB2312"/>
          <w:color w:val="000000"/>
          <w:sz w:val="32"/>
          <w:szCs w:val="32"/>
          <w:lang w:val="en-US" w:eastAsia="zh-CN"/>
        </w:rPr>
        <w:t>：经过专业评估，以合理的经济成本实现项目价值。</w:t>
      </w:r>
    </w:p>
    <w:p w14:paraId="5FEC75FB">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lang w:val="zh-CN"/>
        </w:rPr>
        <w:t>预算管理</w:t>
      </w:r>
      <w:r>
        <w:rPr>
          <w:rFonts w:hint="eastAsia" w:ascii="仿宋_GB2312" w:hAnsi="仿宋_GB2312" w:eastAsia="仿宋_GB2312" w:cs="仿宋_GB2312"/>
          <w:color w:val="000000"/>
          <w:sz w:val="32"/>
          <w:szCs w:val="32"/>
          <w:lang w:val="zh-CN"/>
        </w:rPr>
        <w:t>。</w:t>
      </w:r>
    </w:p>
    <w:p w14:paraId="3FFBC92D">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eastAsia="zh-CN"/>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eastAsia="zh-CN"/>
        </w:rPr>
        <w:t>年预算编制工作，及时提交了部门预算草案。</w:t>
      </w:r>
    </w:p>
    <w:p w14:paraId="5EF182FB">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lang w:val="zh-CN"/>
        </w:rPr>
        <w:t>财务管理</w:t>
      </w:r>
      <w:r>
        <w:rPr>
          <w:rFonts w:hint="eastAsia" w:ascii="仿宋_GB2312" w:hAnsi="仿宋_GB2312" w:eastAsia="仿宋_GB2312" w:cs="仿宋_GB2312"/>
          <w:color w:val="000000"/>
          <w:sz w:val="32"/>
          <w:szCs w:val="32"/>
          <w:lang w:val="zh-CN"/>
        </w:rPr>
        <w:t>。</w:t>
      </w:r>
    </w:p>
    <w:p w14:paraId="20E7F1AE">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Times New Roman" w:hAnsi="Times New Roman" w:cs="Times New Roman"/>
          <w:szCs w:val="32"/>
          <w:lang w:val="zh-CN" w:eastAsia="zh-CN"/>
        </w:rPr>
      </w:pPr>
      <w:r>
        <w:rPr>
          <w:rFonts w:hint="eastAsia" w:ascii="仿宋_GB2312" w:hAnsi="仿宋_GB2312" w:eastAsia="仿宋_GB2312" w:cs="仿宋_GB2312"/>
          <w:color w:val="000000"/>
          <w:sz w:val="32"/>
          <w:szCs w:val="32"/>
          <w:lang w:val="zh-CN"/>
        </w:rPr>
        <w:t>根据相关要求，单位使用预算资金基本符合相关的预算财务管理制度。我乡在财政批复后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w:t>
      </w:r>
      <w:r>
        <w:rPr>
          <w:rFonts w:hint="eastAsia" w:ascii="仿宋" w:hAnsi="仿宋" w:eastAsia="仿宋" w:cs="仿宋_GB2312"/>
          <w:color w:val="000000"/>
          <w:sz w:val="32"/>
          <w:szCs w:val="32"/>
        </w:rPr>
        <w:t>现的问题提出整改措施，并整改落实到位。</w:t>
      </w:r>
      <w:r>
        <w:rPr>
          <w:rFonts w:hint="eastAsia" w:ascii="仿宋" w:hAnsi="仿宋" w:eastAsia="仿宋" w:cs="仿宋_GB2312"/>
          <w:color w:val="000000"/>
          <w:sz w:val="32"/>
          <w:szCs w:val="32"/>
          <w:lang w:val="zh-CN"/>
        </w:rPr>
        <w:t>绩效评价及依法接受财政监督情况等。</w:t>
      </w:r>
    </w:p>
    <w:p w14:paraId="22226747">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zh-CN" w:eastAsia="zh-CN"/>
        </w:rPr>
        <w:t>资产管理</w:t>
      </w:r>
      <w:r>
        <w:rPr>
          <w:rFonts w:hint="eastAsia" w:ascii="仿宋_GB2312" w:hAnsi="仿宋_GB2312" w:eastAsia="仿宋_GB2312" w:cs="仿宋_GB2312"/>
          <w:color w:val="000000"/>
          <w:sz w:val="32"/>
          <w:szCs w:val="32"/>
          <w:lang w:val="zh-CN" w:eastAsia="zh-CN"/>
        </w:rPr>
        <w:t>。</w:t>
      </w:r>
    </w:p>
    <w:p w14:paraId="51437C8D">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zh-CN" w:eastAsia="zh-CN"/>
        </w:rPr>
        <w:t>我乡2024年所有国有资产纳入资产管理系统，及时准确上报并做好资产的管理工作，</w:t>
      </w:r>
      <w:r>
        <w:rPr>
          <w:rFonts w:hint="eastAsia" w:ascii="仿宋_GB2312" w:hAnsi="仿宋_GB2312" w:eastAsia="仿宋_GB2312" w:cs="仿宋_GB2312"/>
          <w:color w:val="000000"/>
          <w:sz w:val="32"/>
          <w:szCs w:val="32"/>
          <w:lang w:val="en-US" w:eastAsia="zh-CN"/>
        </w:rPr>
        <w:t>无闲置资产。</w:t>
      </w:r>
    </w:p>
    <w:p w14:paraId="2298A7AB">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zh-CN" w:eastAsia="zh-CN"/>
        </w:rPr>
        <w:t>采购管理</w:t>
      </w:r>
      <w:r>
        <w:rPr>
          <w:rFonts w:hint="eastAsia" w:ascii="仿宋_GB2312" w:hAnsi="仿宋_GB2312" w:eastAsia="仿宋_GB2312" w:cs="仿宋_GB2312"/>
          <w:color w:val="000000"/>
          <w:sz w:val="32"/>
          <w:szCs w:val="32"/>
          <w:lang w:val="zh-CN" w:eastAsia="zh-CN"/>
        </w:rPr>
        <w:t>。</w:t>
      </w:r>
    </w:p>
    <w:p w14:paraId="7D10AFFB">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en-US" w:eastAsia="zh-CN"/>
        </w:rPr>
        <w:t>为保障单位正常运转，实现机构只能，根据实际需求按照程序实施政府采购</w:t>
      </w:r>
      <w:r>
        <w:rPr>
          <w:rFonts w:hint="eastAsia" w:ascii="仿宋_GB2312" w:hAnsi="仿宋_GB2312" w:eastAsia="仿宋_GB2312" w:cs="仿宋_GB2312"/>
          <w:color w:val="000000"/>
          <w:sz w:val="32"/>
          <w:szCs w:val="32"/>
          <w:lang w:val="zh-CN" w:eastAsia="zh-CN"/>
        </w:rPr>
        <w:t>、采购</w:t>
      </w:r>
      <w:r>
        <w:rPr>
          <w:rFonts w:hint="eastAsia" w:ascii="仿宋_GB2312" w:hAnsi="仿宋_GB2312" w:eastAsia="仿宋_GB2312" w:cs="仿宋_GB2312"/>
          <w:color w:val="000000"/>
          <w:sz w:val="32"/>
          <w:szCs w:val="32"/>
          <w:lang w:val="en-US" w:eastAsia="zh-CN"/>
        </w:rPr>
        <w:t>项目</w:t>
      </w:r>
      <w:r>
        <w:rPr>
          <w:rFonts w:hint="eastAsia" w:ascii="仿宋_GB2312" w:hAnsi="仿宋_GB2312" w:eastAsia="仿宋_GB2312" w:cs="仿宋_GB2312"/>
          <w:color w:val="000000"/>
          <w:sz w:val="32"/>
          <w:szCs w:val="32"/>
          <w:lang w:val="zh-CN" w:eastAsia="zh-CN"/>
        </w:rPr>
        <w:t>执行率</w:t>
      </w:r>
      <w:r>
        <w:rPr>
          <w:rFonts w:hint="eastAsia" w:ascii="仿宋_GB2312" w:hAnsi="仿宋_GB2312" w:eastAsia="仿宋_GB2312" w:cs="仿宋_GB2312"/>
          <w:color w:val="000000"/>
          <w:sz w:val="32"/>
          <w:szCs w:val="32"/>
          <w:lang w:val="en-US" w:eastAsia="zh-CN"/>
        </w:rPr>
        <w:t>达100%，采购结果与预期目标相匹配，通过科学合理的评价方法和标准，提高采购质量和效益</w:t>
      </w:r>
      <w:r>
        <w:rPr>
          <w:rFonts w:hint="eastAsia" w:ascii="仿宋_GB2312" w:hAnsi="仿宋_GB2312" w:eastAsia="仿宋_GB2312" w:cs="仿宋_GB2312"/>
          <w:color w:val="000000"/>
          <w:sz w:val="32"/>
          <w:szCs w:val="32"/>
          <w:lang w:val="zh-CN" w:eastAsia="zh-CN"/>
        </w:rPr>
        <w:t>。</w:t>
      </w:r>
    </w:p>
    <w:p w14:paraId="37DEE592">
      <w:pPr>
        <w:keepNext w:val="0"/>
        <w:keepLines w:val="0"/>
        <w:pageBreakBefore w:val="0"/>
        <w:kinsoku/>
        <w:wordWrap/>
        <w:overflowPunct/>
        <w:topLinePunct w:val="0"/>
        <w:autoSpaceDE/>
        <w:autoSpaceDN/>
        <w:bidi w:val="0"/>
        <w:snapToGrid w:val="0"/>
        <w:spacing w:line="360" w:lineRule="auto"/>
        <w:ind w:firstLine="643" w:firstLineChars="200"/>
        <w:textAlignment w:val="auto"/>
        <w:rPr>
          <w:rFonts w:hint="default" w:ascii="仿宋_GB2312" w:hAnsi="仿宋_GB2312" w:eastAsia="仿宋_GB2312" w:cs="仿宋_GB2312"/>
          <w:color w:val="000000"/>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54A391F3">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default" w:ascii="仿宋_GB2312" w:hAnsi="仿宋_GB2312" w:eastAsia="仿宋_GB2312" w:cs="仿宋_GB2312"/>
          <w:color w:val="000000"/>
          <w:sz w:val="32"/>
          <w:szCs w:val="32"/>
          <w:lang w:val="zh-CN" w:eastAsia="zh-CN"/>
        </w:rPr>
      </w:pPr>
      <w:r>
        <w:rPr>
          <w:rFonts w:hint="default" w:ascii="仿宋_GB2312" w:hAnsi="仿宋_GB2312" w:eastAsia="仿宋_GB2312" w:cs="仿宋_GB2312"/>
          <w:color w:val="000000"/>
          <w:sz w:val="32"/>
          <w:szCs w:val="32"/>
          <w:lang w:val="en-US" w:eastAsia="zh-CN"/>
        </w:rPr>
        <w:t>常年项目绩效分析。</w:t>
      </w:r>
      <w:r>
        <w:rPr>
          <w:rFonts w:hint="default" w:ascii="仿宋_GB2312" w:hAnsi="仿宋_GB2312" w:eastAsia="仿宋_GB2312" w:cs="仿宋_GB2312"/>
          <w:color w:val="000000"/>
          <w:sz w:val="32"/>
          <w:szCs w:val="32"/>
          <w:lang w:val="zh-CN" w:eastAsia="zh-CN"/>
        </w:rPr>
        <w:t>该类项目总数</w:t>
      </w:r>
      <w:r>
        <w:rPr>
          <w:rFonts w:hint="eastAsia" w:ascii="仿宋_GB2312" w:hAnsi="仿宋_GB2312" w:eastAsia="仿宋_GB2312" w:cs="仿宋_GB2312"/>
          <w:color w:val="000000"/>
          <w:sz w:val="32"/>
          <w:szCs w:val="32"/>
          <w:lang w:val="en-US" w:eastAsia="zh-CN"/>
        </w:rPr>
        <w:t>76</w:t>
      </w:r>
      <w:r>
        <w:rPr>
          <w:rFonts w:hint="default" w:ascii="仿宋_GB2312" w:hAnsi="仿宋_GB2312" w:eastAsia="仿宋_GB2312" w:cs="仿宋_GB2312"/>
          <w:color w:val="000000"/>
          <w:sz w:val="32"/>
          <w:szCs w:val="32"/>
          <w:lang w:val="zh-CN" w:eastAsia="zh-CN"/>
        </w:rPr>
        <w:t>个，涉及预算总金额</w:t>
      </w:r>
      <w:r>
        <w:rPr>
          <w:rFonts w:hint="eastAsia" w:ascii="仿宋_GB2312" w:hAnsi="仿宋_GB2312" w:eastAsia="仿宋_GB2312" w:cs="仿宋_GB2312"/>
          <w:color w:val="000000"/>
          <w:sz w:val="32"/>
          <w:szCs w:val="32"/>
          <w:lang w:val="en-US" w:eastAsia="zh-CN"/>
        </w:rPr>
        <w:t>703.16</w:t>
      </w:r>
      <w:r>
        <w:rPr>
          <w:rFonts w:hint="default" w:ascii="仿宋_GB2312" w:hAnsi="仿宋_GB2312" w:eastAsia="仿宋_GB2312" w:cs="仿宋_GB2312"/>
          <w:color w:val="000000"/>
          <w:sz w:val="32"/>
          <w:szCs w:val="32"/>
          <w:lang w:val="zh-CN" w:eastAsia="zh-CN"/>
        </w:rPr>
        <w:t>万元，1</w:t>
      </w:r>
      <w:r>
        <w:rPr>
          <w:rFonts w:hint="eastAsia" w:ascii="仿宋_GB2312" w:hAnsi="仿宋_GB2312" w:eastAsia="仿宋_GB2312" w:cs="仿宋_GB2312"/>
          <w:color w:val="000000"/>
          <w:sz w:val="32"/>
          <w:szCs w:val="32"/>
          <w:lang w:val="zh-CN" w:eastAsia="zh-CN"/>
        </w:rPr>
        <w:t>—</w:t>
      </w:r>
      <w:r>
        <w:rPr>
          <w:rFonts w:hint="default" w:ascii="仿宋_GB2312" w:hAnsi="仿宋_GB2312" w:eastAsia="仿宋_GB2312" w:cs="仿宋_GB2312"/>
          <w:color w:val="000000"/>
          <w:sz w:val="32"/>
          <w:szCs w:val="32"/>
          <w:lang w:val="zh-CN" w:eastAsia="zh-CN"/>
        </w:rPr>
        <w:t>1</w:t>
      </w:r>
      <w:r>
        <w:rPr>
          <w:rFonts w:hint="default"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lang w:val="zh-CN" w:eastAsia="zh-CN"/>
        </w:rPr>
        <w:t>月预算执行总体进度为</w:t>
      </w:r>
      <w:r>
        <w:rPr>
          <w:rFonts w:hint="eastAsia" w:ascii="仿宋_GB2312" w:hAnsi="仿宋_GB2312" w:eastAsia="仿宋_GB2312" w:cs="仿宋_GB2312"/>
          <w:color w:val="000000"/>
          <w:sz w:val="32"/>
          <w:szCs w:val="32"/>
          <w:lang w:val="en-US" w:eastAsia="zh-CN"/>
        </w:rPr>
        <w:t>100</w:t>
      </w:r>
      <w:r>
        <w:rPr>
          <w:rFonts w:hint="default" w:ascii="仿宋_GB2312" w:hAnsi="仿宋_GB2312" w:eastAsia="仿宋_GB2312" w:cs="仿宋_GB2312"/>
          <w:color w:val="000000"/>
          <w:sz w:val="32"/>
          <w:szCs w:val="32"/>
          <w:lang w:val="zh-CN" w:eastAsia="zh-CN"/>
        </w:rPr>
        <w:t>%，其中：预算结余率大于</w:t>
      </w:r>
      <w:r>
        <w:rPr>
          <w:rFonts w:hint="default" w:ascii="仿宋_GB2312" w:hAnsi="仿宋_GB2312" w:eastAsia="仿宋_GB2312" w:cs="仿宋_GB2312"/>
          <w:color w:val="000000"/>
          <w:sz w:val="32"/>
          <w:szCs w:val="32"/>
          <w:lang w:val="en-US" w:eastAsia="zh-CN"/>
        </w:rPr>
        <w:t>10%</w:t>
      </w:r>
      <w:r>
        <w:rPr>
          <w:rFonts w:hint="default" w:ascii="仿宋_GB2312" w:hAnsi="仿宋_GB2312" w:eastAsia="仿宋_GB2312" w:cs="仿宋_GB2312"/>
          <w:color w:val="000000"/>
          <w:sz w:val="32"/>
          <w:szCs w:val="32"/>
          <w:lang w:val="zh-CN" w:eastAsia="zh-CN"/>
        </w:rPr>
        <w:t>的项目共计</w:t>
      </w:r>
      <w:r>
        <w:rPr>
          <w:rFonts w:hint="default"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0</w:t>
      </w:r>
      <w:r>
        <w:rPr>
          <w:rFonts w:hint="default" w:ascii="仿宋_GB2312" w:hAnsi="仿宋_GB2312" w:eastAsia="仿宋_GB2312" w:cs="仿宋_GB2312"/>
          <w:color w:val="000000"/>
          <w:sz w:val="32"/>
          <w:szCs w:val="32"/>
          <w:lang w:val="en-US" w:eastAsia="zh-CN"/>
        </w:rPr>
        <w:t xml:space="preserve">  </w:t>
      </w:r>
      <w:r>
        <w:rPr>
          <w:rFonts w:hint="default" w:ascii="仿宋_GB2312" w:hAnsi="仿宋_GB2312" w:eastAsia="仿宋_GB2312" w:cs="仿宋_GB2312"/>
          <w:color w:val="000000"/>
          <w:sz w:val="32"/>
          <w:szCs w:val="32"/>
          <w:lang w:val="zh-CN" w:eastAsia="zh-CN"/>
        </w:rPr>
        <w:t>个。</w:t>
      </w:r>
    </w:p>
    <w:p w14:paraId="72A7DFDB">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default" w:ascii="仿宋_GB2312" w:hAnsi="仿宋_GB2312" w:eastAsia="仿宋_GB2312" w:cs="仿宋_GB2312"/>
          <w:color w:val="000000"/>
          <w:sz w:val="32"/>
          <w:szCs w:val="32"/>
          <w:lang w:val="zh-CN" w:eastAsia="zh-CN"/>
        </w:rPr>
      </w:pPr>
      <w:r>
        <w:rPr>
          <w:rFonts w:hint="default" w:ascii="仿宋_GB2312" w:hAnsi="仿宋_GB2312" w:eastAsia="仿宋_GB2312" w:cs="仿宋_GB2312"/>
          <w:color w:val="000000"/>
          <w:sz w:val="32"/>
          <w:szCs w:val="32"/>
          <w:lang w:val="en-US" w:eastAsia="zh-CN"/>
        </w:rPr>
        <w:t>阶段</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一次性</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项目绩效分析。</w:t>
      </w:r>
      <w:r>
        <w:rPr>
          <w:rFonts w:hint="default" w:ascii="仿宋_GB2312" w:hAnsi="仿宋_GB2312" w:eastAsia="仿宋_GB2312" w:cs="仿宋_GB2312"/>
          <w:color w:val="000000"/>
          <w:sz w:val="32"/>
          <w:szCs w:val="32"/>
          <w:lang w:val="zh-CN" w:eastAsia="zh-CN"/>
        </w:rPr>
        <w:t>该类项目总数</w:t>
      </w:r>
      <w:r>
        <w:rPr>
          <w:rFonts w:hint="eastAsia" w:ascii="仿宋_GB2312" w:hAnsi="仿宋_GB2312" w:eastAsia="仿宋_GB2312" w:cs="仿宋_GB2312"/>
          <w:color w:val="000000"/>
          <w:sz w:val="32"/>
          <w:szCs w:val="32"/>
          <w:lang w:val="en-US" w:eastAsia="zh-CN"/>
        </w:rPr>
        <w:t>8</w:t>
      </w:r>
      <w:r>
        <w:rPr>
          <w:rFonts w:hint="default" w:ascii="仿宋_GB2312" w:hAnsi="仿宋_GB2312" w:eastAsia="仿宋_GB2312" w:cs="仿宋_GB2312"/>
          <w:color w:val="000000"/>
          <w:sz w:val="32"/>
          <w:szCs w:val="32"/>
          <w:lang w:val="zh-CN" w:eastAsia="zh-CN"/>
        </w:rPr>
        <w:t>个，涉及预算总金额</w:t>
      </w:r>
      <w:r>
        <w:rPr>
          <w:rFonts w:hint="eastAsia" w:ascii="仿宋_GB2312" w:hAnsi="仿宋_GB2312" w:eastAsia="仿宋_GB2312" w:cs="仿宋_GB2312"/>
          <w:color w:val="000000"/>
          <w:sz w:val="32"/>
          <w:szCs w:val="32"/>
          <w:lang w:val="en-US" w:eastAsia="zh-CN"/>
        </w:rPr>
        <w:t>610.88</w:t>
      </w:r>
      <w:r>
        <w:rPr>
          <w:rFonts w:hint="default" w:ascii="仿宋_GB2312" w:hAnsi="仿宋_GB2312" w:eastAsia="仿宋_GB2312" w:cs="仿宋_GB2312"/>
          <w:color w:val="000000"/>
          <w:sz w:val="32"/>
          <w:szCs w:val="32"/>
          <w:lang w:val="zh-CN" w:eastAsia="zh-CN"/>
        </w:rPr>
        <w:t>万元，1</w:t>
      </w:r>
      <w:r>
        <w:rPr>
          <w:rFonts w:hint="eastAsia" w:ascii="仿宋_GB2312" w:hAnsi="仿宋_GB2312" w:eastAsia="仿宋_GB2312" w:cs="仿宋_GB2312"/>
          <w:color w:val="000000"/>
          <w:sz w:val="32"/>
          <w:szCs w:val="32"/>
          <w:lang w:val="zh-CN" w:eastAsia="zh-CN"/>
        </w:rPr>
        <w:t>—</w:t>
      </w:r>
      <w:r>
        <w:rPr>
          <w:rFonts w:hint="default" w:ascii="仿宋_GB2312" w:hAnsi="仿宋_GB2312" w:eastAsia="仿宋_GB2312" w:cs="仿宋_GB2312"/>
          <w:color w:val="000000"/>
          <w:sz w:val="32"/>
          <w:szCs w:val="32"/>
          <w:lang w:val="zh-CN" w:eastAsia="zh-CN"/>
        </w:rPr>
        <w:t>1</w:t>
      </w:r>
      <w:r>
        <w:rPr>
          <w:rFonts w:hint="default"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lang w:val="zh-CN" w:eastAsia="zh-CN"/>
        </w:rPr>
        <w:t>月预算执行总体进度为</w:t>
      </w:r>
      <w:r>
        <w:rPr>
          <w:rFonts w:hint="eastAsia" w:ascii="仿宋_GB2312" w:hAnsi="仿宋_GB2312" w:eastAsia="仿宋_GB2312" w:cs="仿宋_GB2312"/>
          <w:color w:val="000000"/>
          <w:sz w:val="32"/>
          <w:szCs w:val="32"/>
          <w:lang w:val="en-US" w:eastAsia="zh-CN"/>
        </w:rPr>
        <w:t>100</w:t>
      </w:r>
      <w:r>
        <w:rPr>
          <w:rFonts w:hint="default" w:ascii="仿宋_GB2312" w:hAnsi="仿宋_GB2312" w:eastAsia="仿宋_GB2312" w:cs="仿宋_GB2312"/>
          <w:color w:val="000000"/>
          <w:sz w:val="32"/>
          <w:szCs w:val="32"/>
          <w:lang w:val="en-US" w:eastAsia="zh-CN"/>
        </w:rPr>
        <w:t xml:space="preserve"> </w:t>
      </w:r>
      <w:r>
        <w:rPr>
          <w:rFonts w:hint="default" w:ascii="仿宋_GB2312" w:hAnsi="仿宋_GB2312" w:eastAsia="仿宋_GB2312" w:cs="仿宋_GB2312"/>
          <w:color w:val="000000"/>
          <w:sz w:val="32"/>
          <w:szCs w:val="32"/>
          <w:lang w:val="zh-CN" w:eastAsia="zh-CN"/>
        </w:rPr>
        <w:t>%，其中：预算结余率大于</w:t>
      </w:r>
      <w:r>
        <w:rPr>
          <w:rFonts w:hint="default" w:ascii="仿宋_GB2312" w:hAnsi="仿宋_GB2312" w:eastAsia="仿宋_GB2312" w:cs="仿宋_GB2312"/>
          <w:color w:val="000000"/>
          <w:sz w:val="32"/>
          <w:szCs w:val="32"/>
          <w:lang w:val="en-US" w:eastAsia="zh-CN"/>
        </w:rPr>
        <w:t>10%</w:t>
      </w:r>
      <w:r>
        <w:rPr>
          <w:rFonts w:hint="default" w:ascii="仿宋_GB2312" w:hAnsi="仿宋_GB2312" w:eastAsia="仿宋_GB2312" w:cs="仿宋_GB2312"/>
          <w:color w:val="000000"/>
          <w:sz w:val="32"/>
          <w:szCs w:val="32"/>
          <w:lang w:val="zh-CN" w:eastAsia="zh-CN"/>
        </w:rPr>
        <w:t>的项目共计</w:t>
      </w:r>
      <w:r>
        <w:rPr>
          <w:rFonts w:hint="default"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0</w:t>
      </w:r>
      <w:r>
        <w:rPr>
          <w:rFonts w:hint="default" w:ascii="仿宋_GB2312" w:hAnsi="仿宋_GB2312" w:eastAsia="仿宋_GB2312" w:cs="仿宋_GB2312"/>
          <w:color w:val="000000"/>
          <w:sz w:val="32"/>
          <w:szCs w:val="32"/>
          <w:lang w:val="en-US" w:eastAsia="zh-CN"/>
        </w:rPr>
        <w:t xml:space="preserve"> </w:t>
      </w:r>
      <w:r>
        <w:rPr>
          <w:rFonts w:hint="default" w:ascii="仿宋_GB2312" w:hAnsi="仿宋_GB2312" w:eastAsia="仿宋_GB2312" w:cs="仿宋_GB2312"/>
          <w:color w:val="000000"/>
          <w:sz w:val="32"/>
          <w:szCs w:val="32"/>
          <w:lang w:val="zh-CN" w:eastAsia="zh-CN"/>
        </w:rPr>
        <w:t>个。</w:t>
      </w:r>
    </w:p>
    <w:p w14:paraId="64109577">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zh-CN" w:eastAsia="zh-CN"/>
        </w:rPr>
        <w:t>项目决策。</w:t>
      </w:r>
    </w:p>
    <w:p w14:paraId="47C3B878">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en-US" w:eastAsia="zh-CN"/>
        </w:rPr>
        <w:t>本单位</w:t>
      </w:r>
      <w:r>
        <w:rPr>
          <w:rFonts w:hint="eastAsia" w:ascii="仿宋_GB2312" w:hAnsi="仿宋_GB2312" w:eastAsia="仿宋_GB2312" w:cs="仿宋_GB2312"/>
          <w:color w:val="000000"/>
          <w:sz w:val="32"/>
          <w:szCs w:val="32"/>
          <w:lang w:val="zh-CN" w:eastAsia="zh-CN"/>
        </w:rPr>
        <w:t>预算项目设立</w:t>
      </w:r>
      <w:r>
        <w:rPr>
          <w:rFonts w:hint="eastAsia" w:ascii="仿宋_GB2312" w:hAnsi="仿宋_GB2312" w:eastAsia="仿宋_GB2312" w:cs="仿宋_GB2312"/>
          <w:color w:val="000000"/>
          <w:sz w:val="32"/>
          <w:szCs w:val="32"/>
          <w:lang w:val="en-US" w:eastAsia="zh-CN"/>
        </w:rPr>
        <w:t>都</w:t>
      </w:r>
      <w:r>
        <w:rPr>
          <w:rFonts w:hint="eastAsia" w:ascii="仿宋_GB2312" w:hAnsi="仿宋_GB2312" w:eastAsia="仿宋_GB2312" w:cs="仿宋_GB2312"/>
          <w:color w:val="000000"/>
          <w:sz w:val="32"/>
          <w:szCs w:val="32"/>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eastAsia" w:ascii="仿宋_GB2312" w:hAnsi="仿宋_GB2312" w:eastAsia="仿宋_GB2312" w:cs="仿宋_GB2312"/>
          <w:color w:val="000000"/>
          <w:sz w:val="32"/>
          <w:szCs w:val="32"/>
          <w:lang w:val="en-US" w:eastAsia="zh-CN"/>
        </w:rPr>
        <w:t>内</w:t>
      </w:r>
      <w:r>
        <w:rPr>
          <w:rFonts w:hint="eastAsia" w:ascii="仿宋_GB2312" w:hAnsi="仿宋_GB2312" w:eastAsia="仿宋_GB2312" w:cs="仿宋_GB2312"/>
          <w:color w:val="000000"/>
          <w:sz w:val="32"/>
          <w:szCs w:val="32"/>
          <w:lang w:val="zh-CN" w:eastAsia="zh-CN"/>
        </w:rPr>
        <w:t>完成项目入库，</w:t>
      </w:r>
      <w:r>
        <w:rPr>
          <w:rFonts w:hint="eastAsia" w:ascii="仿宋_GB2312" w:hAnsi="仿宋_GB2312" w:eastAsia="仿宋_GB2312" w:cs="仿宋_GB2312"/>
          <w:color w:val="000000"/>
          <w:sz w:val="32"/>
          <w:szCs w:val="32"/>
          <w:lang w:val="en-US" w:eastAsia="zh-CN"/>
        </w:rPr>
        <w:t>明确绩效目标，控制支行成本，提高项目发挥作用。</w:t>
      </w:r>
    </w:p>
    <w:p w14:paraId="00B9746F">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en-US" w:eastAsia="zh-CN"/>
        </w:rPr>
        <w:t>2.项目执行</w:t>
      </w:r>
      <w:r>
        <w:rPr>
          <w:rFonts w:hint="eastAsia" w:ascii="仿宋_GB2312" w:hAnsi="仿宋_GB2312" w:eastAsia="仿宋_GB2312" w:cs="仿宋_GB2312"/>
          <w:color w:val="000000"/>
          <w:sz w:val="32"/>
          <w:szCs w:val="32"/>
          <w:lang w:val="zh-CN" w:eastAsia="zh-CN"/>
        </w:rPr>
        <w:t>。</w:t>
      </w:r>
    </w:p>
    <w:p w14:paraId="12CA023C">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zh-CN" w:eastAsia="zh-CN"/>
        </w:rPr>
        <w:t>预算项目实际列支内容与绩效目标设置方向相符、预算项目采取对应调整措施，</w:t>
      </w:r>
      <w:r>
        <w:rPr>
          <w:rFonts w:hint="eastAsia" w:ascii="仿宋_GB2312" w:hAnsi="仿宋_GB2312" w:eastAsia="仿宋_GB2312" w:cs="仿宋_GB2312"/>
          <w:color w:val="000000"/>
          <w:sz w:val="32"/>
          <w:szCs w:val="32"/>
          <w:lang w:val="en-US" w:eastAsia="zh-CN"/>
        </w:rPr>
        <w:t>按程序调整</w:t>
      </w:r>
      <w:r>
        <w:rPr>
          <w:rFonts w:hint="eastAsia" w:ascii="仿宋_GB2312" w:hAnsi="仿宋_GB2312" w:eastAsia="仿宋_GB2312" w:cs="仿宋_GB2312"/>
          <w:color w:val="000000"/>
          <w:sz w:val="32"/>
          <w:szCs w:val="32"/>
          <w:lang w:val="zh-CN" w:eastAsia="zh-CN"/>
        </w:rPr>
        <w:t>、预算项目</w:t>
      </w:r>
      <w:r>
        <w:rPr>
          <w:rFonts w:hint="eastAsia" w:ascii="仿宋_GB2312" w:hAnsi="仿宋_GB2312" w:eastAsia="仿宋_GB2312" w:cs="仿宋_GB2312"/>
          <w:color w:val="000000"/>
          <w:sz w:val="32"/>
          <w:szCs w:val="32"/>
          <w:lang w:val="en-US" w:eastAsia="zh-CN"/>
        </w:rPr>
        <w:t>按照文件时间节点有序推进</w:t>
      </w:r>
      <w:r>
        <w:rPr>
          <w:rFonts w:hint="eastAsia" w:ascii="仿宋_GB2312" w:hAnsi="仿宋_GB2312" w:eastAsia="仿宋_GB2312" w:cs="仿宋_GB2312"/>
          <w:color w:val="000000"/>
          <w:sz w:val="32"/>
          <w:szCs w:val="32"/>
          <w:lang w:val="zh-CN" w:eastAsia="zh-CN"/>
        </w:rPr>
        <w:t>。</w:t>
      </w:r>
    </w:p>
    <w:p w14:paraId="11578303">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zh-CN" w:eastAsia="zh-CN"/>
        </w:rPr>
        <w:t>目标实现。</w:t>
      </w:r>
    </w:p>
    <w:p w14:paraId="69305F6F">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eastAsia" w:ascii="楷体_GB2312" w:hAnsi="楷体_GB2312" w:eastAsia="楷体_GB2312" w:cs="楷体_GB2312"/>
          <w:color w:val="000000"/>
          <w:kern w:val="0"/>
          <w:szCs w:val="32"/>
          <w:highlight w:val="none"/>
          <w:shd w:val="clear" w:color="auto" w:fill="FFFFFF"/>
          <w:lang w:val="zh-CN" w:eastAsia="zh-CN"/>
        </w:rPr>
      </w:pPr>
      <w:r>
        <w:rPr>
          <w:rFonts w:hint="eastAsia" w:ascii="仿宋_GB2312" w:hAnsi="仿宋_GB2312" w:eastAsia="仿宋_GB2312" w:cs="仿宋_GB2312"/>
          <w:color w:val="000000"/>
          <w:sz w:val="32"/>
          <w:szCs w:val="32"/>
          <w:lang w:val="en-US" w:eastAsia="zh-CN"/>
        </w:rPr>
        <w:t>根据预算绩效管理要求，我单位在年初预算编制阶段，组织对项目开展了预算事前绩效评估，本部门按要求对2024年部门整体支出开展绩效自评，我单位深入贯彻落实二十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4E3B0CF1">
      <w:pPr>
        <w:keepNext w:val="0"/>
        <w:keepLines w:val="0"/>
        <w:pageBreakBefore w:val="0"/>
        <w:kinsoku/>
        <w:wordWrap/>
        <w:overflowPunct/>
        <w:topLinePunct w:val="0"/>
        <w:bidi w:val="0"/>
        <w:snapToGrid w:val="0"/>
        <w:spacing w:line="240" w:lineRule="auto"/>
        <w:ind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eastAsia"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p>
    <w:p w14:paraId="32C98D2D">
      <w:pPr>
        <w:keepNext w:val="0"/>
        <w:keepLines w:val="0"/>
        <w:pageBreakBefore w:val="0"/>
        <w:kinsoku/>
        <w:wordWrap/>
        <w:overflowPunct/>
        <w:topLinePunct w:val="0"/>
        <w:bidi w:val="0"/>
        <w:spacing w:line="240" w:lineRule="auto"/>
        <w:ind w:firstLine="640" w:firstLineChars="200"/>
        <w:textAlignment w:val="auto"/>
        <w:rPr>
          <w:rFonts w:hint="default" w:ascii="Times New Roman" w:hAnsi="Times New Roman" w:cs="Times New Roman"/>
          <w:color w:val="000000"/>
          <w:kern w:val="0"/>
          <w:szCs w:val="32"/>
          <w:highlight w:val="none"/>
          <w:shd w:val="clear" w:color="auto" w:fill="FFFFFF"/>
          <w:lang w:val="en-US" w:eastAsia="zh-CN"/>
        </w:rPr>
      </w:pPr>
      <w:r>
        <w:rPr>
          <w:rFonts w:hint="eastAsia" w:ascii="仿宋" w:hAns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6F0E0E4A">
      <w:pPr>
        <w:keepNext w:val="0"/>
        <w:keepLines w:val="0"/>
        <w:pageBreakBefore w:val="0"/>
        <w:kinsoku/>
        <w:wordWrap/>
        <w:overflowPunct/>
        <w:topLinePunct w:val="0"/>
        <w:bidi w:val="0"/>
        <w:snapToGrid w:val="0"/>
        <w:spacing w:line="240" w:lineRule="auto"/>
        <w:ind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eastAsia"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四</w:t>
      </w:r>
      <w:r>
        <w:rPr>
          <w:rFonts w:hint="eastAsia"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43ACC622">
      <w:pPr>
        <w:keepNext w:val="0"/>
        <w:keepLines w:val="0"/>
        <w:pageBreakBefore w:val="0"/>
        <w:kinsoku/>
        <w:wordWrap/>
        <w:overflowPunct/>
        <w:topLinePunct w:val="0"/>
        <w:bidi w:val="0"/>
        <w:spacing w:line="240" w:lineRule="auto"/>
        <w:ind w:firstLine="640" w:firstLineChars="200"/>
        <w:textAlignment w:val="auto"/>
        <w:rPr>
          <w:rFonts w:hint="default" w:ascii="Times New Roman" w:hAnsi="Times New Roman" w:cs="Times New Roman"/>
          <w:color w:val="000000"/>
          <w:kern w:val="0"/>
          <w:szCs w:val="32"/>
          <w:highlight w:val="none"/>
          <w:shd w:val="clear" w:color="auto" w:fill="FFFFFF"/>
          <w:lang w:val="en-US"/>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1B8628F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四、评价结论及建议</w:t>
      </w:r>
    </w:p>
    <w:p w14:paraId="31873C28">
      <w:pPr>
        <w:keepNext w:val="0"/>
        <w:keepLines w:val="0"/>
        <w:pageBreakBefore w:val="0"/>
        <w:kinsoku/>
        <w:wordWrap/>
        <w:overflowPunct/>
        <w:topLinePunct w:val="0"/>
        <w:autoSpaceDE/>
        <w:autoSpaceDN/>
        <w:bidi w:val="0"/>
        <w:snapToGrid w:val="0"/>
        <w:spacing w:line="360" w:lineRule="auto"/>
        <w:ind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（一）评价结论。</w:t>
      </w:r>
    </w:p>
    <w:p w14:paraId="12A8E831">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eastAsia="仿宋_GB2312" w:cs="Times New Roman"/>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eastAsia="zh-CN"/>
        </w:rPr>
        <w:t>我</w:t>
      </w:r>
      <w:r>
        <w:rPr>
          <w:rFonts w:hint="eastAsia" w:cs="Times New Roman"/>
          <w:bCs/>
          <w:kern w:val="0"/>
          <w:sz w:val="32"/>
          <w:szCs w:val="32"/>
          <w:shd w:val="clear" w:color="auto" w:fill="FFFFFF"/>
          <w:lang w:val="zh-CN" w:eastAsia="zh-CN"/>
        </w:rPr>
        <w:t>乡</w:t>
      </w:r>
      <w:r>
        <w:rPr>
          <w:rFonts w:ascii="Times New Roman" w:hAnsi="Times New Roman" w:eastAsia="仿宋_GB2312" w:cs="Times New Roman"/>
          <w:bCs/>
          <w:kern w:val="0"/>
          <w:sz w:val="32"/>
          <w:szCs w:val="32"/>
          <w:shd w:val="clear" w:color="auto" w:fill="FFFFFF"/>
          <w:lang w:val="zh-CN" w:eastAsia="zh-CN"/>
        </w:rPr>
        <w:t>对</w:t>
      </w:r>
      <w:r>
        <w:rPr>
          <w:rFonts w:hint="eastAsia" w:cs="Times New Roman"/>
          <w:bCs/>
          <w:kern w:val="0"/>
          <w:sz w:val="32"/>
          <w:szCs w:val="32"/>
          <w:shd w:val="clear" w:color="auto" w:fill="FFFFFF"/>
          <w:lang w:val="zh-CN" w:eastAsia="zh-CN"/>
        </w:rPr>
        <w:t>2024</w:t>
      </w:r>
      <w:r>
        <w:rPr>
          <w:rFonts w:ascii="Times New Roman" w:hAnsi="Times New Roman" w:eastAsia="仿宋_GB2312" w:cs="Times New Roman"/>
          <w:bCs/>
          <w:kern w:val="0"/>
          <w:sz w:val="32"/>
          <w:szCs w:val="32"/>
          <w:shd w:val="clear" w:color="auto" w:fill="FFFFFF"/>
          <w:lang w:val="zh-CN" w:eastAsia="zh-CN"/>
        </w:rPr>
        <w:t>年度整体支出情况开展自评，得分</w:t>
      </w:r>
      <w:r>
        <w:rPr>
          <w:rFonts w:hint="eastAsia" w:eastAsia="仿宋_GB2312" w:cs="Times New Roman"/>
          <w:bCs/>
          <w:kern w:val="0"/>
          <w:sz w:val="32"/>
          <w:szCs w:val="32"/>
          <w:shd w:val="clear" w:color="auto" w:fill="FFFFFF"/>
          <w:lang w:val="en-US" w:eastAsia="zh-CN"/>
        </w:rPr>
        <w:t>9</w:t>
      </w:r>
      <w:r>
        <w:rPr>
          <w:rFonts w:hint="eastAsia" w:cs="Times New Roman"/>
          <w:bCs/>
          <w:kern w:val="0"/>
          <w:sz w:val="32"/>
          <w:szCs w:val="32"/>
          <w:shd w:val="clear" w:color="auto" w:fill="FFFFFF"/>
          <w:lang w:val="en-US" w:eastAsia="zh-CN"/>
        </w:rPr>
        <w:t>4</w:t>
      </w:r>
      <w:r>
        <w:rPr>
          <w:rFonts w:ascii="Times New Roman" w:hAnsi="Times New Roman" w:eastAsia="仿宋_GB2312" w:cs="Times New Roman"/>
          <w:bCs/>
          <w:kern w:val="0"/>
          <w:sz w:val="32"/>
          <w:szCs w:val="32"/>
          <w:shd w:val="clear" w:color="auto" w:fill="FFFFFF"/>
          <w:lang w:val="zh-CN" w:eastAsia="zh-CN"/>
        </w:rPr>
        <w:t>分。从总体性分析评价，全年整体支出较优，实现了年初绩效目标。从结构性分析评价，一般公共预算基本支出完成预算的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，整体绩效管理合理合规；一般公共预算项目支出完成预算的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w:t>
      </w:r>
      <w:r>
        <w:rPr>
          <w:rFonts w:hint="eastAsia" w:cs="Times New Roman"/>
          <w:bCs/>
          <w:kern w:val="0"/>
          <w:sz w:val="32"/>
          <w:szCs w:val="32"/>
          <w:shd w:val="clear" w:color="auto" w:fill="FFFFFF"/>
          <w:lang w:val="zh-CN" w:eastAsia="zh-CN"/>
        </w:rPr>
        <w:t>2024</w:t>
      </w:r>
      <w:r>
        <w:rPr>
          <w:rFonts w:ascii="Times New Roman" w:hAnsi="Times New Roman" w:eastAsia="仿宋_GB2312" w:cs="Times New Roman"/>
          <w:bCs/>
          <w:kern w:val="0"/>
          <w:sz w:val="32"/>
          <w:szCs w:val="32"/>
          <w:shd w:val="clear" w:color="auto" w:fill="FFFFFF"/>
          <w:lang w:val="zh-CN" w:eastAsia="zh-CN"/>
        </w:rPr>
        <w:t>年度整体支出绩效评价优好，无违纪违规问题，预算编制、预算执行、完成结果等均达到既定目标管理。</w:t>
      </w:r>
    </w:p>
    <w:p w14:paraId="46F0EAC8">
      <w:pPr>
        <w:keepNext w:val="0"/>
        <w:keepLines w:val="0"/>
        <w:pageBreakBefore w:val="0"/>
        <w:kinsoku/>
        <w:wordWrap/>
        <w:overflowPunct/>
        <w:topLinePunct w:val="0"/>
        <w:autoSpaceDE/>
        <w:autoSpaceDN/>
        <w:bidi w:val="0"/>
        <w:snapToGrid w:val="0"/>
        <w:spacing w:line="360" w:lineRule="auto"/>
        <w:ind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二</w:t>
      </w:r>
      <w:r>
        <w:rPr>
          <w:rFonts w:hint="eastAsia"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存在问题。</w:t>
      </w:r>
    </w:p>
    <w:p w14:paraId="6332AB0A">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个别人员经费和公用经费测算标准及套用公式不够科学精准，部分经济科目在预算执行中存在较早亮红灯</w:t>
      </w:r>
      <w:r>
        <w:rPr>
          <w:rFonts w:hint="eastAsia" w:ascii="Times New Roman" w:hAnsi="Times New Roman" w:eastAsia="仿宋_GB2312" w:cs="Times New Roman"/>
          <w:bCs/>
          <w:kern w:val="0"/>
          <w:sz w:val="32"/>
          <w:szCs w:val="32"/>
          <w:shd w:val="clear" w:color="auto" w:fill="FFFFFF"/>
          <w:lang w:val="zh-CN" w:eastAsia="zh-CN"/>
        </w:rPr>
        <w:t>，预算经费支出进度较快</w:t>
      </w:r>
      <w:r>
        <w:rPr>
          <w:rFonts w:ascii="Times New Roman" w:hAnsi="Times New Roman" w:eastAsia="仿宋_GB2312" w:cs="Times New Roman"/>
          <w:bCs/>
          <w:kern w:val="0"/>
          <w:sz w:val="32"/>
          <w:szCs w:val="32"/>
          <w:shd w:val="clear" w:color="auto" w:fill="FFFFFF"/>
          <w:lang w:val="zh-CN" w:eastAsia="zh-CN"/>
        </w:rPr>
        <w:t>。</w:t>
      </w:r>
    </w:p>
    <w:p w14:paraId="64A6EE90">
      <w:pPr>
        <w:keepNext w:val="0"/>
        <w:keepLines w:val="0"/>
        <w:pageBreakBefore w:val="0"/>
        <w:kinsoku/>
        <w:wordWrap/>
        <w:overflowPunct/>
        <w:topLinePunct w:val="0"/>
        <w:autoSpaceDE/>
        <w:autoSpaceDN/>
        <w:bidi w:val="0"/>
        <w:snapToGrid w:val="0"/>
        <w:spacing w:line="360" w:lineRule="auto"/>
        <w:ind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eastAsia"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p>
    <w:p w14:paraId="14A6173B">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我</w:t>
      </w:r>
      <w:r>
        <w:rPr>
          <w:rFonts w:hint="eastAsia" w:cs="Times New Roman"/>
          <w:bCs/>
          <w:kern w:val="0"/>
          <w:sz w:val="32"/>
          <w:szCs w:val="32"/>
          <w:shd w:val="clear" w:color="auto" w:fill="FFFFFF"/>
          <w:lang w:val="zh-CN" w:eastAsia="zh-CN"/>
        </w:rPr>
        <w:t>乡</w:t>
      </w:r>
      <w:r>
        <w:rPr>
          <w:rFonts w:ascii="Times New Roman" w:hAnsi="Times New Roman" w:eastAsia="仿宋_GB2312" w:cs="Times New Roman"/>
          <w:bCs/>
          <w:kern w:val="0"/>
          <w:sz w:val="32"/>
          <w:szCs w:val="32"/>
          <w:shd w:val="clear" w:color="auto" w:fill="FFFFFF"/>
          <w:lang w:val="zh-CN" w:eastAsia="zh-CN"/>
        </w:rPr>
        <w:t>将积极对接财政部门作出技术调整，优化预算测算标准，科学审批年度预算汇编，使资金真正能够因地制宜，发挥实效。进一步做好预算编制前提调研准备工作，根据实际需要积极评估测算，尽量</w:t>
      </w:r>
      <w:r>
        <w:rPr>
          <w:rFonts w:hint="eastAsia" w:cs="Times New Roman"/>
          <w:bCs/>
          <w:kern w:val="0"/>
          <w:sz w:val="32"/>
          <w:szCs w:val="32"/>
          <w:shd w:val="clear" w:color="auto" w:fill="FFFFFF"/>
          <w:lang w:val="zh-CN" w:eastAsia="zh-CN"/>
        </w:rPr>
        <w:t>增加</w:t>
      </w:r>
      <w:r>
        <w:rPr>
          <w:rFonts w:ascii="Times New Roman" w:hAnsi="Times New Roman" w:eastAsia="仿宋_GB2312" w:cs="Times New Roman"/>
          <w:bCs/>
          <w:kern w:val="0"/>
          <w:sz w:val="32"/>
          <w:szCs w:val="32"/>
          <w:shd w:val="clear" w:color="auto" w:fill="FFFFFF"/>
          <w:lang w:val="zh-CN" w:eastAsia="zh-CN"/>
        </w:rPr>
        <w:t>减轻资金闲置或低使用率现象，启用预算执行绩效监控机制，及时提示项目管理部门按照绩效目标开展实施。</w:t>
      </w:r>
    </w:p>
    <w:p w14:paraId="73BB41C3">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5F07A3AA">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5388F855">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2275D7B1">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43A2F9EE">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7088E220">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31A8B424">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5545E9F0">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15812E32">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0C821E61">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2BE71AAE">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696E5FE1">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082DFE74">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Times New Roman" w:hAnsi="Times New Roman" w:eastAsia="仿宋_GB2312" w:cs="仿宋_GB2312"/>
          <w:b w:val="0"/>
          <w:bCs w:val="0"/>
          <w:kern w:val="0"/>
          <w:position w:val="0"/>
          <w:sz w:val="32"/>
          <w:szCs w:val="32"/>
          <w:highlight w:val="none"/>
          <w:lang w:val="en-US" w:eastAsia="zh-CN" w:bidi="ar-SA"/>
        </w:rPr>
      </w:pPr>
    </w:p>
    <w:p w14:paraId="5DC66AAD">
      <w:pPr>
        <w:pStyle w:val="8"/>
        <w:keepNext w:val="0"/>
        <w:keepLines w:val="0"/>
        <w:pageBreakBefore w:val="0"/>
        <w:numPr>
          <w:ilvl w:val="0"/>
          <w:numId w:val="0"/>
        </w:numPr>
        <w:kinsoku/>
        <w:wordWrap/>
        <w:overflowPunct/>
        <w:topLinePunct w:val="0"/>
        <w:autoSpaceDE/>
        <w:autoSpaceDN/>
        <w:bidi w:val="0"/>
        <w:spacing w:line="240" w:lineRule="auto"/>
        <w:ind w:firstLine="640" w:firstLineChars="200"/>
        <w:textAlignment w:val="auto"/>
        <w:rPr>
          <w:rFonts w:hint="eastAsia" w:ascii="黑体" w:hAnsi="宋体" w:eastAsia="黑体" w:cs="黑体"/>
          <w:b/>
          <w:bCs/>
          <w:i w:val="0"/>
          <w:iCs w:val="0"/>
          <w:color w:val="000000"/>
          <w:kern w:val="0"/>
          <w:sz w:val="30"/>
          <w:szCs w:val="30"/>
          <w:u w:val="none"/>
          <w:lang w:val="en-US" w:eastAsia="zh-CN" w:bidi="ar"/>
        </w:rPr>
        <w:sectPr>
          <w:headerReference r:id="rId3" w:type="default"/>
          <w:footerReference r:id="rId4" w:type="default"/>
          <w:pgSz w:w="11906" w:h="16838"/>
          <w:pgMar w:top="2098" w:right="1474" w:bottom="1984" w:left="1587" w:header="851" w:footer="992" w:gutter="0"/>
          <w:pgNumType w:start="1"/>
          <w:cols w:space="720" w:num="1"/>
          <w:titlePg/>
          <w:docGrid w:type="lines" w:linePitch="312" w:charSpace="0"/>
        </w:sect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77"/>
        <w:gridCol w:w="2558"/>
        <w:gridCol w:w="2743"/>
        <w:gridCol w:w="2252"/>
      </w:tblGrid>
      <w:tr w14:paraId="0F01E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0" w:type="auto"/>
            <w:gridSpan w:val="4"/>
            <w:shd w:val="clear" w:color="auto" w:fill="auto"/>
            <w:vAlign w:val="center"/>
          </w:tcPr>
          <w:p w14:paraId="720BEC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4612A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gridSpan w:val="4"/>
            <w:shd w:val="clear" w:color="auto" w:fill="auto"/>
            <w:vAlign w:val="center"/>
          </w:tcPr>
          <w:p w14:paraId="2D38D6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254E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gridSpan w:val="4"/>
            <w:tcBorders>
              <w:bottom w:val="single" w:color="000000" w:sz="4" w:space="0"/>
            </w:tcBorders>
            <w:shd w:val="clear" w:color="auto" w:fill="auto"/>
            <w:vAlign w:val="center"/>
          </w:tcPr>
          <w:p w14:paraId="3C507F8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2626E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5F3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78E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金川县二嘎里乡人民政府</w:t>
            </w:r>
          </w:p>
        </w:tc>
      </w:tr>
      <w:tr w14:paraId="0EE94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962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BD95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BEE4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8CEB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4BBC7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5D3E2">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8C8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sz w:val="24"/>
                <w:szCs w:val="24"/>
                <w:lang w:val="en-US" w:eastAsia="zh-CN"/>
              </w:rPr>
              <w:t>1314.05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1B8E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sz w:val="24"/>
                <w:szCs w:val="24"/>
                <w:lang w:val="en-US" w:eastAsia="zh-CN"/>
              </w:rPr>
              <w:t>1314.05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E6F5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14:paraId="1F4FB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F19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45E15D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92DF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进一步巩固脱贫成果。我乡将接续推进全面脱贫与乡村振兴有效衔接作为工作重点，一是从产业入手，做好发展衔接。坚持因地制宜，培育和发展优势产业及主导产业；二是从机制入手，做好政策衔接。借鉴脱贫攻坚形成的领导体制和工作机制，丰富和完善乡村振兴体制机制；三是从治理入手，做好服务衔接。将脱贫攻坚中形成的治理框架经过一定的再创新后，形成更好服务于乡村振兴的治理体系。持续激发乡村群众的主动性积极性创造性，使乡村振兴获得源源不断的内生动力。</w:t>
            </w:r>
          </w:p>
          <w:p w14:paraId="6707E8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持续做好疫情防控。全乡上下牢固树立“一盘棋”思想，切实加强组织领导，进一步压实疫情防控责任，保持临战状态，强化宣传引导，筑牢疫情防控常态化工作的安全防线，把防控工作全面做实做细，持续巩固好疫情防控成果。大力推进新冠疫苗接种工作。</w:t>
            </w:r>
          </w:p>
          <w:p w14:paraId="006E370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3、进一步搞好产业发展。根据各村区域位置和产业特点，在抓好高山菜籽油，中药材种植等主导产业，促进乡村旅游产业发展。</w:t>
            </w:r>
          </w:p>
          <w:p w14:paraId="5562B0D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进一步加大项目争取。紧紧围绕乡村振兴战略，继续加大项目争取力度，依托项目扶持，重点围绕农村经济社会发展的关键领域和重点区域，着力改善城乡环境质量、承载功能、居住条件、特色风貌，努力建设生态宜居、美丽幸福家园。加强搞好基础设施完善。</w:t>
            </w:r>
          </w:p>
          <w:p w14:paraId="76E882E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进一步注重民生工程。解决好人民群众关心的就业、教育、医疗、住房、社保等问题；加大农村环境卫生综合整治力度，集中整治农村环境“脏、乱、差”，彻底消灭生活垃圾乱倒、柴草乱垛、粪土乱堆、建筑垃圾乱放和牌匾标语、横幅、广告乱贴乱画等现象；把维护社会稳定作为基本民生工程，持续深入开展河口与金子岩乡边境联防联控建设，加强社会治安综合治理，认真开展扫黑除恶专项行动，做好信访维稳工作，强化安全生产和食品药品安全，确保全乡社会大局稳定。</w:t>
            </w:r>
          </w:p>
        </w:tc>
      </w:tr>
      <w:tr w14:paraId="4CC4B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4" w:hRule="atLeast"/>
          <w:jc w:val="center"/>
        </w:trPr>
        <w:tc>
          <w:tcPr>
            <w:tcW w:w="0" w:type="auto"/>
            <w:tcBorders>
              <w:top w:val="single" w:color="000000" w:sz="4" w:space="0"/>
              <w:left w:val="single" w:color="000000" w:sz="4" w:space="0"/>
              <w:right w:val="single" w:color="000000" w:sz="4" w:space="0"/>
            </w:tcBorders>
            <w:shd w:val="clear" w:color="auto" w:fill="auto"/>
            <w:vAlign w:val="center"/>
          </w:tcPr>
          <w:p w14:paraId="0F1E8D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79F939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7ED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D8E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bl>
    <w:p w14:paraId="493BC51E">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sectPr>
          <w:pgSz w:w="11906" w:h="16838"/>
          <w:pgMar w:top="1440" w:right="1803" w:bottom="1440" w:left="1803" w:header="851" w:footer="992" w:gutter="0"/>
          <w:pgNumType w:start="1"/>
          <w:cols w:space="0" w:num="1"/>
          <w:titlePg/>
          <w:rtlGutter w:val="0"/>
          <w:docGrid w:type="lines" w:linePitch="319" w:charSpace="0"/>
        </w:sect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82"/>
        <w:gridCol w:w="419"/>
        <w:gridCol w:w="494"/>
        <w:gridCol w:w="4193"/>
        <w:gridCol w:w="449"/>
        <w:gridCol w:w="604"/>
        <w:gridCol w:w="557"/>
        <w:gridCol w:w="511"/>
        <w:gridCol w:w="721"/>
      </w:tblGrid>
      <w:tr w14:paraId="59D65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restart"/>
            <w:tcBorders>
              <w:left w:val="single" w:color="000000" w:sz="4" w:space="0"/>
              <w:right w:val="single" w:color="000000" w:sz="4" w:space="0"/>
            </w:tcBorders>
            <w:shd w:val="clear" w:color="auto" w:fill="auto"/>
            <w:vAlign w:val="center"/>
          </w:tcPr>
          <w:p w14:paraId="6F7E744E">
            <w:pPr>
              <w:pStyle w:val="2"/>
              <w:rPr>
                <w:rFonts w:hint="default"/>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8467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社会事业服务中心</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0B4D8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贯彻执行党和国家的方针、政策和民政工作的有关政策、法律、法规，制定年度民政工作计划并组织实施，协助镇党政府搞好民政工作；贯彻执行城镇居民和农村居民最低生活保障制度，申报、发放最低生活保障金，实行动态管理，落实好农村五保供养政策，使鳏寡孤独人员、孤儿应保尽保;做好敬老院的监督、管理工作；准确调查、掌握残疾人的状况和需求，建档立卡; 密切联系残疾人，听取残疾人意见，反映残疾人需求，维护残疾人权益，为残疾人服务;</w:t>
            </w:r>
          </w:p>
        </w:tc>
      </w:tr>
      <w:tr w14:paraId="4F39D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4315F194">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AB23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农业农村服务中心</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E06C5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0A81A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5E9DC9B8">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5227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行政机构工作职责</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14286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w:t>
            </w:r>
          </w:p>
        </w:tc>
      </w:tr>
      <w:tr w14:paraId="2CD6B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0A10D9EB">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E155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财政所</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4D4F8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负责组织和管理镇财政收入和支出；编制年度预决算，执行镇人代会批准的财政预算，对镇财力进行综合平衡；配合上级财政及有关部门组织项目实施及相关工作；负责管理镇行政事业单位和其他组织的预算外资金；负责管理镇政府债务、管理镇资产；加强财务管理，提高理财水平，建立严格的财务管理制度，量财办事，勤俭节约，做好政府后勤工作；坚持“以人为本、从严理财”的原则，规范财务管理制度。</w:t>
            </w:r>
          </w:p>
        </w:tc>
      </w:tr>
      <w:tr w14:paraId="67DC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11F2D8A6">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D79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维护稳定办公室</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A8E71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3069C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78866A23">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E0ED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事业机构主要职责</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F9824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w:t>
            </w:r>
          </w:p>
        </w:tc>
      </w:tr>
      <w:tr w14:paraId="3CDB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282A138B">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C37A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便民服务中心</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3C2BF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贯彻执行党和国家的法律、法规和方针、政策; 加强政治理论和业务学习，及时掌握新的政策、法规及办事程序; 负责规范化服务的宣传、培训管理工作; 负责政府网站的管理和内容的更新工作; 撰写、编制、报送相关的各种信息、资料、报表; 完成党委、政府安排的其他工作</w:t>
            </w:r>
          </w:p>
        </w:tc>
      </w:tr>
      <w:tr w14:paraId="3EB3E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4DF5782D">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5B02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经济发展服务中心</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BC5A8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负责全镇辖区内畜牧生产统计工作；负责全镇辖区内重大动物疫病强制免疫的免疫质量、疫病监测，消毒工作和病死畜禽无害化处理的技术指导，规模畜禽养殖场动物防疫监控，疫情报告工作；负责全镇辖区内兽医新技术推广和村级动物防疫员的业务培训、指导、监督管理；</w:t>
            </w:r>
          </w:p>
        </w:tc>
      </w:tr>
      <w:tr w14:paraId="19BD5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3E45A51E">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3DFFD">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党政办公室</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A4958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检查和督促党的方针政策及重要工作计划的贯彻实施情况，负责起草党委、政府文件及各种文稿，负责做好重大问题归口报告，认真做好上情下达、下情上达；负责来文来电办理，及时、准确、保密；</w:t>
            </w:r>
          </w:p>
        </w:tc>
      </w:tr>
      <w:tr w14:paraId="63C8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0CF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34FC68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657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7541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6B9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01D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1B6994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C5D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063A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0" w:type="auto"/>
            <w:tcBorders>
              <w:top w:val="single" w:color="000000" w:sz="4" w:space="0"/>
              <w:left w:val="single" w:color="000000" w:sz="4" w:space="0"/>
              <w:bottom w:val="single" w:color="000000" w:sz="4" w:space="0"/>
            </w:tcBorders>
            <w:shd w:val="clear" w:color="auto" w:fill="auto"/>
            <w:vAlign w:val="center"/>
          </w:tcPr>
          <w:p w14:paraId="2BC10D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E4D6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78CE4E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38C9E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C87AF">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7A7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166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BA929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订阅相关报纸，刊物等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FC14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93F0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FFEC5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0F20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0" w:type="auto"/>
            <w:tcBorders>
              <w:left w:val="single" w:color="000000" w:sz="4" w:space="0"/>
              <w:bottom w:val="single" w:color="000000" w:sz="4" w:space="0"/>
              <w:right w:val="single" w:color="000000" w:sz="4" w:space="0"/>
            </w:tcBorders>
            <w:shd w:val="clear" w:color="auto" w:fill="auto"/>
            <w:vAlign w:val="center"/>
          </w:tcPr>
          <w:p w14:paraId="6A1355FE">
            <w:pPr>
              <w:keepNext w:val="0"/>
              <w:keepLines w:val="0"/>
              <w:pageBreakBefore w:val="0"/>
              <w:widowControl/>
              <w:suppressLineNumbers w:val="0"/>
              <w:tabs>
                <w:tab w:val="left" w:pos="579"/>
              </w:tabs>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30份</w:t>
            </w:r>
          </w:p>
        </w:tc>
      </w:tr>
      <w:tr w14:paraId="64F3E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65440">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continue"/>
            <w:tcBorders>
              <w:left w:val="single" w:color="000000" w:sz="4" w:space="0"/>
              <w:right w:val="single" w:color="000000" w:sz="4" w:space="0"/>
            </w:tcBorders>
            <w:shd w:val="clear" w:color="auto" w:fill="auto"/>
            <w:vAlign w:val="center"/>
          </w:tcPr>
          <w:p w14:paraId="49EE6F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1F59DC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907E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人大主席组织开展人大日常工作，开展乡镇人大代表学习视察调研工作；乡人大代表联系群众工作办公室认真办理乡人大代表建议批评和意见，通过分解和督办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85690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20AA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03F53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2831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10</w:t>
            </w:r>
            <w:r>
              <w:rPr>
                <w:rFonts w:hint="eastAsia" w:eastAsia="宋体" w:cs="Times New Roman"/>
                <w:i w:val="0"/>
                <w:color w:val="000000"/>
                <w:kern w:val="0"/>
                <w:sz w:val="24"/>
                <w:szCs w:val="24"/>
                <w:u w:val="none"/>
                <w:lang w:val="en-US" w:eastAsia="zh-CN" w:bidi="ar"/>
              </w:rPr>
              <w:t>%</w:t>
            </w:r>
          </w:p>
        </w:tc>
        <w:tc>
          <w:tcPr>
            <w:tcW w:w="0" w:type="auto"/>
            <w:tcBorders>
              <w:left w:val="single" w:color="000000" w:sz="4" w:space="0"/>
              <w:bottom w:val="single" w:color="000000" w:sz="4" w:space="0"/>
              <w:right w:val="single" w:color="000000" w:sz="4" w:space="0"/>
            </w:tcBorders>
            <w:shd w:val="clear" w:color="auto" w:fill="auto"/>
            <w:vAlign w:val="center"/>
          </w:tcPr>
          <w:p w14:paraId="0A268B0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99%</w:t>
            </w:r>
          </w:p>
        </w:tc>
      </w:tr>
      <w:tr w14:paraId="5D82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98B07">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96B9E">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F2B69">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3E781B">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森林防灭火工作，加强宣传，张贴标语，横幅，宣传车到各村组院落出车次数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29E11E">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C0306">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8C514F">
            <w:pPr>
              <w:keepNext w:val="0"/>
              <w:keepLines w:val="0"/>
              <w:pageBreakBefore w:val="0"/>
              <w:widowControl/>
              <w:kinsoku/>
              <w:wordWrap/>
              <w:overflowPunct/>
              <w:topLinePunct w:val="0"/>
              <w:autoSpaceDE/>
              <w:autoSpaceDN/>
              <w:bidi w:val="0"/>
              <w:adjustRightInd/>
              <w:snapToGrid/>
              <w:spacing w:line="240" w:lineRule="auto"/>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次/年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12325B">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4B1ED">
            <w:pPr>
              <w:keepNext w:val="0"/>
              <w:keepLines w:val="0"/>
              <w:pageBreakBefore w:val="0"/>
              <w:widowControl/>
              <w:tabs>
                <w:tab w:val="left" w:pos="462"/>
              </w:tabs>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300次/年</w:t>
            </w:r>
          </w:p>
        </w:tc>
      </w:tr>
      <w:tr w14:paraId="7D330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774A0">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4FCB2">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7424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C24700">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各项工作任务完成率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9D31C2">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9BD74">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6D0D5D">
            <w:pPr>
              <w:keepNext w:val="0"/>
              <w:keepLines w:val="0"/>
              <w:pageBreakBefore w:val="0"/>
              <w:widowControl/>
              <w:kinsoku/>
              <w:wordWrap/>
              <w:overflowPunct/>
              <w:topLinePunct w:val="0"/>
              <w:autoSpaceDE/>
              <w:autoSpaceDN/>
              <w:bidi w:val="0"/>
              <w:adjustRightInd/>
              <w:snapToGrid/>
              <w:spacing w:line="240" w:lineRule="auto"/>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CCF51">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A8CBD">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99%</w:t>
            </w:r>
          </w:p>
        </w:tc>
      </w:tr>
      <w:tr w14:paraId="1F6BC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C876C">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14A22">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8E69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27CB88">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各项工作及时完成率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D077D">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22B29B">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3A5EA1">
            <w:pPr>
              <w:keepNext w:val="0"/>
              <w:keepLines w:val="0"/>
              <w:pageBreakBefore w:val="0"/>
              <w:widowControl/>
              <w:kinsoku/>
              <w:wordWrap/>
              <w:overflowPunct/>
              <w:topLinePunct w:val="0"/>
              <w:autoSpaceDE/>
              <w:autoSpaceDN/>
              <w:bidi w:val="0"/>
              <w:adjustRightInd/>
              <w:snapToGrid/>
              <w:spacing w:line="240" w:lineRule="auto"/>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55F080">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BBB2D">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2DC5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restart"/>
            <w:tcBorders>
              <w:top w:val="single" w:color="000000" w:sz="4" w:space="0"/>
              <w:left w:val="single" w:color="000000" w:sz="4" w:space="0"/>
              <w:right w:val="single" w:color="000000" w:sz="4" w:space="0"/>
            </w:tcBorders>
            <w:shd w:val="clear" w:color="auto" w:fill="auto"/>
            <w:vAlign w:val="center"/>
          </w:tcPr>
          <w:p w14:paraId="6A1D4C05">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restart"/>
            <w:tcBorders>
              <w:left w:val="single" w:color="000000" w:sz="4" w:space="0"/>
              <w:right w:val="single" w:color="000000" w:sz="4" w:space="0"/>
            </w:tcBorders>
            <w:shd w:val="clear" w:color="auto" w:fill="auto"/>
            <w:vAlign w:val="center"/>
          </w:tcPr>
          <w:p w14:paraId="57763A15">
            <w:pPr>
              <w:keepNext w:val="0"/>
              <w:keepLines w:val="0"/>
              <w:pageBreakBefore w:val="0"/>
              <w:widowControl/>
              <w:kinsoku/>
              <w:wordWrap/>
              <w:overflowPunct/>
              <w:topLinePunct w:val="0"/>
              <w:autoSpaceDE/>
              <w:autoSpaceDN/>
              <w:bidi w:val="0"/>
              <w:adjustRightInd/>
              <w:snapToGrid/>
              <w:spacing w:line="240" w:lineRule="auto"/>
              <w:jc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778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B02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持续保障政府机关正常运行，做好稳定服务工作，持续提升人民群众幸福指数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70B629">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3F39D">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DE2360">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DFB1A8">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94EC6">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优</w:t>
            </w:r>
          </w:p>
        </w:tc>
      </w:tr>
      <w:tr w14:paraId="30B7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5C60AC02">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continue"/>
            <w:tcBorders>
              <w:left w:val="single" w:color="000000" w:sz="4" w:space="0"/>
              <w:right w:val="single" w:color="000000" w:sz="4" w:space="0"/>
            </w:tcBorders>
            <w:shd w:val="clear" w:color="auto" w:fill="auto"/>
            <w:vAlign w:val="center"/>
          </w:tcPr>
          <w:p w14:paraId="586B5768">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F108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9A8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加强社会管理维护了社会的稳定，营造了良好的社会秩序。策、法律、法规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88A4E1">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57E10">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6EA99">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64905">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kern w:val="2"/>
                <w:sz w:val="24"/>
                <w:szCs w:val="24"/>
                <w:u w:val="none"/>
                <w:lang w:val="en-US" w:eastAsia="zh-CN" w:bidi="ar-SA"/>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407FE2">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优</w:t>
            </w:r>
          </w:p>
        </w:tc>
      </w:tr>
      <w:tr w14:paraId="4C44C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20238F27">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continue"/>
            <w:tcBorders>
              <w:left w:val="single" w:color="000000" w:sz="4" w:space="0"/>
              <w:right w:val="single" w:color="000000" w:sz="4" w:space="0"/>
            </w:tcBorders>
            <w:shd w:val="clear" w:color="auto" w:fill="auto"/>
            <w:vAlign w:val="center"/>
          </w:tcPr>
          <w:p w14:paraId="578E762D">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8E6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B84F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生态环境普及全民参与，营造良好氛围。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1D17E">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C0795">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CAB07">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BA23A">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3741A">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优</w:t>
            </w:r>
          </w:p>
        </w:tc>
      </w:tr>
      <w:tr w14:paraId="541F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0" w:type="auto"/>
            <w:vMerge w:val="continue"/>
            <w:tcBorders>
              <w:left w:val="single" w:color="000000" w:sz="4" w:space="0"/>
              <w:right w:val="single" w:color="000000" w:sz="4" w:space="0"/>
            </w:tcBorders>
            <w:shd w:val="clear" w:color="auto" w:fill="auto"/>
            <w:vAlign w:val="center"/>
          </w:tcPr>
          <w:p w14:paraId="5C166683">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vMerge w:val="continue"/>
            <w:tcBorders>
              <w:left w:val="single" w:color="000000" w:sz="4" w:space="0"/>
              <w:right w:val="single" w:color="000000" w:sz="4" w:space="0"/>
            </w:tcBorders>
            <w:shd w:val="clear" w:color="auto" w:fill="auto"/>
            <w:vAlign w:val="center"/>
          </w:tcPr>
          <w:p w14:paraId="325032DB">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7F78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3BE5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发挥基层党组织先锋模范和战斗堡垒作用，带动全乡建强基层组织。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3B2E6D">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635E10">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优良中低差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B93E6">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EA3193">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sz w:val="24"/>
                <w:szCs w:val="24"/>
                <w:u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2B5329">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优</w:t>
            </w:r>
          </w:p>
        </w:tc>
      </w:tr>
      <w:tr w14:paraId="686D3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0" w:type="auto"/>
            <w:tcBorders>
              <w:left w:val="single" w:color="000000" w:sz="4" w:space="0"/>
              <w:bottom w:val="single" w:color="000000" w:sz="4" w:space="0"/>
              <w:right w:val="single" w:color="000000" w:sz="4" w:space="0"/>
            </w:tcBorders>
            <w:shd w:val="clear" w:color="auto" w:fill="auto"/>
            <w:vAlign w:val="center"/>
          </w:tcPr>
          <w:p w14:paraId="6C77253A">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p>
        </w:tc>
        <w:tc>
          <w:tcPr>
            <w:tcW w:w="0" w:type="auto"/>
            <w:tcBorders>
              <w:left w:val="single" w:color="000000" w:sz="4" w:space="0"/>
              <w:bottom w:val="single" w:color="000000" w:sz="4" w:space="0"/>
              <w:right w:val="single" w:color="000000" w:sz="4" w:space="0"/>
            </w:tcBorders>
            <w:shd w:val="clear" w:color="auto" w:fill="auto"/>
            <w:vAlign w:val="center"/>
          </w:tcPr>
          <w:p w14:paraId="78BE3C7A">
            <w:pPr>
              <w:keepNext w:val="0"/>
              <w:keepLines w:val="0"/>
              <w:pageBreakBefore w:val="0"/>
              <w:widowControl/>
              <w:kinsoku/>
              <w:wordWrap/>
              <w:overflowPunct/>
              <w:topLinePunct w:val="0"/>
              <w:autoSpaceDE/>
              <w:autoSpaceDN/>
              <w:bidi w:val="0"/>
              <w:adjustRightInd/>
              <w:snapToGrid/>
              <w:spacing w:line="240" w:lineRule="auto"/>
              <w:jc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ED8A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032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outlineLvl w:val="9"/>
              <w:rPr>
                <w:rFonts w:hint="default"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群众办事达到“一站式”效果，做到简政增效，做的办成事，办好事。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52C1D">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7C664">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235268">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kern w:val="2"/>
                <w:sz w:val="24"/>
                <w:szCs w:val="24"/>
                <w:u w:val="none"/>
                <w:lang w:val="en-US" w:eastAsia="zh-CN" w:bidi="ar-SA"/>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EC630">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2FCA83">
            <w:pPr>
              <w:keepNext w:val="0"/>
              <w:keepLines w:val="0"/>
              <w:pageBreakBefore w:val="0"/>
              <w:widowControl/>
              <w:kinsoku/>
              <w:wordWrap/>
              <w:overflowPunct/>
              <w:topLinePunct w:val="0"/>
              <w:autoSpaceDE/>
              <w:autoSpaceDN/>
              <w:bidi w:val="0"/>
              <w:adjustRightInd/>
              <w:snapToGrid/>
              <w:spacing w:line="240" w:lineRule="auto"/>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eastAsia" w:eastAsia="宋体" w:cs="Times New Roman"/>
                <w:i w:val="0"/>
                <w:color w:val="000000"/>
                <w:kern w:val="2"/>
                <w:sz w:val="24"/>
                <w:szCs w:val="24"/>
                <w:u w:val="none"/>
                <w:lang w:val="en-US" w:eastAsia="zh-CN" w:bidi="ar-SA"/>
              </w:rPr>
              <w:t>100%</w:t>
            </w:r>
          </w:p>
        </w:tc>
      </w:tr>
    </w:tbl>
    <w:p w14:paraId="1E324381">
      <w:pPr>
        <w:pStyle w:val="8"/>
        <w:keepNext w:val="0"/>
        <w:keepLines w:val="0"/>
        <w:pageBreakBefore w:val="0"/>
        <w:numPr>
          <w:ilvl w:val="0"/>
          <w:numId w:val="0"/>
        </w:numPr>
        <w:kinsoku/>
        <w:wordWrap/>
        <w:overflowPunct/>
        <w:topLinePunct w:val="0"/>
        <w:autoSpaceDE/>
        <w:autoSpaceDN/>
        <w:bidi w:val="0"/>
        <w:spacing w:line="240" w:lineRule="auto"/>
        <w:textAlignment w:val="auto"/>
        <w:rPr>
          <w:rFonts w:hint="eastAsia" w:ascii="Times New Roman" w:hAnsi="Times New Roman" w:cs="Times New Roman"/>
          <w:sz w:val="32"/>
          <w:szCs w:val="32"/>
          <w:highlight w:val="yellow"/>
          <w:lang w:val="zh-CN" w:eastAsia="zh-CN"/>
        </w:rPr>
        <w:sectPr>
          <w:footerReference r:id="rId6" w:type="first"/>
          <w:footerReference r:id="rId5" w:type="default"/>
          <w:pgSz w:w="11906" w:h="16838"/>
          <w:pgMar w:top="1440" w:right="1803" w:bottom="1440" w:left="1803" w:header="851" w:footer="992" w:gutter="0"/>
          <w:pgNumType w:start="27"/>
          <w:cols w:space="0" w:num="1"/>
          <w:titlePg/>
          <w:rtlGutter w:val="0"/>
          <w:docGrid w:type="lines" w:linePitch="319" w:charSpace="0"/>
        </w:sectPr>
      </w:pPr>
    </w:p>
    <w:p w14:paraId="5A943D82">
      <w:pPr>
        <w:pageBreakBefore w:val="0"/>
        <w:kinsoku/>
        <w:wordWrap/>
        <w:overflowPunct/>
        <w:topLinePunct w:val="0"/>
        <w:bidi w:val="0"/>
        <w:spacing w:line="240" w:lineRule="auto"/>
        <w:rPr>
          <w:rFonts w:hint="eastAsia" w:ascii="Times New Roman" w:hAnsi="Times New Roman" w:eastAsia="黑体" w:cs="黑体"/>
          <w:color w:val="auto"/>
          <w:kern w:val="0"/>
          <w:sz w:val="32"/>
          <w:szCs w:val="32"/>
          <w:highlight w:val="none"/>
          <w:shd w:val="clear" w:color="auto" w:fill="FFFFFF"/>
          <w:lang w:val="zh-CN"/>
        </w:rPr>
      </w:pPr>
    </w:p>
    <w:p w14:paraId="1E9574B0">
      <w:pPr>
        <w:pageBreakBefore w:val="0"/>
        <w:widowControl/>
        <w:kinsoku/>
        <w:wordWrap/>
        <w:overflowPunct/>
        <w:topLinePunct w:val="0"/>
        <w:bidi w:val="0"/>
        <w:spacing w:line="240" w:lineRule="auto"/>
        <w:jc w:val="center"/>
        <w:rPr>
          <w:rFonts w:hint="eastAsia" w:ascii="Times New Roman" w:hAnsi="Times New Roman" w:eastAsia="仿宋"/>
          <w:b w:val="0"/>
          <w:color w:val="auto"/>
          <w:highlight w:val="none"/>
        </w:rPr>
      </w:pPr>
      <w:bookmarkStart w:id="60" w:name="_Toc15396618"/>
      <w:r>
        <w:rPr>
          <w:rFonts w:hint="eastAsia" w:ascii="Times New Roman" w:hAnsi="Times New Roman" w:eastAsia="黑体"/>
          <w:color w:val="auto"/>
          <w:sz w:val="44"/>
          <w:szCs w:val="44"/>
          <w:highlight w:val="none"/>
        </w:rPr>
        <w:t>第</w:t>
      </w:r>
      <w:r>
        <w:rPr>
          <w:rStyle w:val="22"/>
          <w:rFonts w:hint="eastAsia" w:ascii="Times New Roman" w:hAnsi="Times New Roman" w:eastAsia="黑体"/>
          <w:b w:val="0"/>
          <w:color w:val="auto"/>
          <w:highlight w:val="none"/>
        </w:rPr>
        <w:t>五部分 附表</w:t>
      </w:r>
      <w:bookmarkEnd w:id="60"/>
      <w:bookmarkStart w:id="61" w:name="_Toc15396619"/>
    </w:p>
    <w:p w14:paraId="6F97A512">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p>
    <w:p w14:paraId="164A347B">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61"/>
    </w:p>
    <w:p w14:paraId="6832D20C">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62" w:name="_Toc15396620"/>
      <w:r>
        <w:rPr>
          <w:rFonts w:hint="eastAsia" w:ascii="Times New Roman" w:hAnsi="Times New Roman" w:eastAsia="仿宋_GB2312" w:cs="仿宋_GB2312"/>
          <w:color w:val="auto"/>
          <w:sz w:val="32"/>
          <w:szCs w:val="32"/>
          <w:highlight w:val="none"/>
        </w:rPr>
        <w:t>二、收入决算表</w:t>
      </w:r>
      <w:bookmarkEnd w:id="62"/>
    </w:p>
    <w:p w14:paraId="6141D8C4">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63" w:name="_Toc15396621"/>
      <w:r>
        <w:rPr>
          <w:rFonts w:hint="eastAsia" w:ascii="Times New Roman" w:hAnsi="Times New Roman" w:eastAsia="仿宋_GB2312" w:cs="仿宋_GB2312"/>
          <w:color w:val="auto"/>
          <w:sz w:val="32"/>
          <w:szCs w:val="32"/>
          <w:highlight w:val="none"/>
        </w:rPr>
        <w:t>三、支出决算表</w:t>
      </w:r>
      <w:bookmarkEnd w:id="63"/>
    </w:p>
    <w:p w14:paraId="30DCB13D">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64" w:name="_Toc15396622"/>
      <w:r>
        <w:rPr>
          <w:rFonts w:hint="eastAsia" w:ascii="Times New Roman" w:hAnsi="Times New Roman" w:eastAsia="仿宋_GB2312" w:cs="仿宋_GB2312"/>
          <w:color w:val="auto"/>
          <w:sz w:val="32"/>
          <w:szCs w:val="32"/>
          <w:highlight w:val="none"/>
        </w:rPr>
        <w:t>四、财政拨款收入支出决算总表</w:t>
      </w:r>
      <w:bookmarkEnd w:id="64"/>
    </w:p>
    <w:p w14:paraId="3AC25EB7">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65" w:name="_Toc15396623"/>
      <w:r>
        <w:rPr>
          <w:rFonts w:hint="eastAsia" w:ascii="Times New Roman" w:hAnsi="Times New Roman" w:eastAsia="仿宋_GB2312" w:cs="仿宋_GB2312"/>
          <w:color w:val="auto"/>
          <w:sz w:val="32"/>
          <w:szCs w:val="32"/>
          <w:highlight w:val="none"/>
        </w:rPr>
        <w:t>五、财政拨款支出决算明细表</w:t>
      </w:r>
      <w:bookmarkEnd w:id="65"/>
      <w:bookmarkStart w:id="66" w:name="_Toc15396624"/>
    </w:p>
    <w:p w14:paraId="76EEA88B">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6"/>
    </w:p>
    <w:p w14:paraId="3DB2F6A9">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67" w:name="_Toc15396625"/>
      <w:r>
        <w:rPr>
          <w:rFonts w:hint="eastAsia" w:ascii="Times New Roman" w:hAnsi="Times New Roman" w:eastAsia="仿宋_GB2312" w:cs="仿宋_GB2312"/>
          <w:color w:val="auto"/>
          <w:sz w:val="32"/>
          <w:szCs w:val="32"/>
          <w:highlight w:val="none"/>
        </w:rPr>
        <w:t>七、一般公共预算财政拨款支出决算明细表</w:t>
      </w:r>
      <w:bookmarkEnd w:id="67"/>
    </w:p>
    <w:p w14:paraId="4FB88595">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68" w:name="_Toc15396626"/>
      <w:r>
        <w:rPr>
          <w:rFonts w:hint="eastAsia" w:ascii="Times New Roman" w:hAnsi="Times New Roman" w:eastAsia="仿宋_GB2312" w:cs="仿宋_GB2312"/>
          <w:color w:val="auto"/>
          <w:sz w:val="32"/>
          <w:szCs w:val="32"/>
          <w:highlight w:val="none"/>
        </w:rPr>
        <w:t>八、一般公共预算财政拨款基本支出决算表</w:t>
      </w:r>
      <w:bookmarkEnd w:id="68"/>
    </w:p>
    <w:p w14:paraId="0A5CDAD3">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69" w:name="_Toc15396627"/>
      <w:r>
        <w:rPr>
          <w:rFonts w:hint="eastAsia" w:ascii="Times New Roman" w:hAnsi="Times New Roman" w:eastAsia="仿宋_GB2312" w:cs="仿宋_GB2312"/>
          <w:color w:val="auto"/>
          <w:sz w:val="32"/>
          <w:szCs w:val="32"/>
          <w:highlight w:val="none"/>
        </w:rPr>
        <w:t>九、一般公共预算财政拨款项目支出决算表</w:t>
      </w:r>
      <w:bookmarkEnd w:id="69"/>
    </w:p>
    <w:p w14:paraId="2CD15AE7">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70" w:name="_Toc15396628"/>
      <w:r>
        <w:rPr>
          <w:rFonts w:hint="eastAsia" w:ascii="Times New Roman" w:hAnsi="Times New Roman" w:eastAsia="仿宋_GB2312" w:cs="仿宋_GB2312"/>
          <w:color w:val="auto"/>
          <w:sz w:val="32"/>
          <w:szCs w:val="32"/>
          <w:highlight w:val="none"/>
        </w:rPr>
        <w:t>十、</w:t>
      </w:r>
      <w:bookmarkEnd w:id="70"/>
      <w:r>
        <w:rPr>
          <w:rFonts w:hint="eastAsia" w:ascii="Times New Roman" w:hAnsi="Times New Roman" w:eastAsia="仿宋_GB2312" w:cs="仿宋_GB2312"/>
          <w:color w:val="auto"/>
          <w:sz w:val="32"/>
          <w:szCs w:val="32"/>
          <w:highlight w:val="none"/>
        </w:rPr>
        <w:t>政府性基金预算财政拨款收入支出决算表</w:t>
      </w:r>
    </w:p>
    <w:p w14:paraId="1EFEEF46">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71" w:name="_Toc15396629"/>
      <w:r>
        <w:rPr>
          <w:rFonts w:hint="eastAsia" w:ascii="Times New Roman" w:hAnsi="Times New Roman" w:eastAsia="仿宋_GB2312" w:cs="仿宋_GB2312"/>
          <w:color w:val="auto"/>
          <w:sz w:val="32"/>
          <w:szCs w:val="32"/>
          <w:highlight w:val="none"/>
        </w:rPr>
        <w:t>十一、</w:t>
      </w:r>
      <w:bookmarkEnd w:id="71"/>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4D3D0AA6">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rPr>
      </w:pPr>
      <w:bookmarkStart w:id="72" w:name="_Toc15396630"/>
      <w:r>
        <w:rPr>
          <w:rFonts w:hint="eastAsia" w:ascii="Times New Roman" w:hAnsi="Times New Roman" w:eastAsia="仿宋_GB2312" w:cs="仿宋_GB2312"/>
          <w:color w:val="auto"/>
          <w:sz w:val="32"/>
          <w:szCs w:val="32"/>
          <w:highlight w:val="none"/>
        </w:rPr>
        <w:t>十二、</w:t>
      </w:r>
      <w:bookmarkEnd w:id="72"/>
      <w:r>
        <w:rPr>
          <w:rFonts w:hint="eastAsia" w:ascii="Times New Roman" w:hAnsi="Times New Roman" w:eastAsia="仿宋_GB2312" w:cs="仿宋_GB2312"/>
          <w:color w:val="auto"/>
          <w:sz w:val="32"/>
          <w:szCs w:val="32"/>
          <w:highlight w:val="none"/>
          <w:lang w:eastAsia="zh-CN"/>
        </w:rPr>
        <w:t>国有资本经营预算财政拨款支出决算表</w:t>
      </w:r>
    </w:p>
    <w:p w14:paraId="78448C6D">
      <w:pPr>
        <w:pStyle w:val="15"/>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仿宋_GB2312" w:cs="仿宋_GB2312"/>
          <w:color w:val="auto"/>
          <w:sz w:val="32"/>
          <w:szCs w:val="32"/>
          <w:highlight w:val="none"/>
          <w:lang w:eastAsia="zh-CN"/>
        </w:rPr>
      </w:pPr>
      <w:bookmarkStart w:id="73" w:name="_Toc15396631"/>
      <w:r>
        <w:rPr>
          <w:rFonts w:hint="eastAsia" w:ascii="Times New Roman" w:hAnsi="Times New Roman" w:eastAsia="仿宋_GB2312" w:cs="仿宋_GB2312"/>
          <w:color w:val="auto"/>
          <w:sz w:val="32"/>
          <w:szCs w:val="32"/>
          <w:highlight w:val="none"/>
        </w:rPr>
        <w:t>十三、</w:t>
      </w:r>
      <w:bookmarkEnd w:id="73"/>
      <w:r>
        <w:rPr>
          <w:rFonts w:hint="eastAsia" w:ascii="Times New Roman" w:hAnsi="Times New Roman" w:eastAsia="仿宋_GB2312" w:cs="仿宋_GB2312"/>
          <w:color w:val="auto"/>
          <w:sz w:val="32"/>
          <w:szCs w:val="32"/>
          <w:highlight w:val="none"/>
          <w:lang w:eastAsia="zh-CN"/>
        </w:rPr>
        <w:t>财政拨款“三公”经费支出决算表</w:t>
      </w:r>
    </w:p>
    <w:p w14:paraId="65F2CA74">
      <w:pPr>
        <w:pageBreakBefore w:val="0"/>
        <w:kinsoku/>
        <w:wordWrap/>
        <w:overflowPunct/>
        <w:topLinePunct w:val="0"/>
        <w:bidi w:val="0"/>
        <w:spacing w:line="240" w:lineRule="auto"/>
        <w:rPr>
          <w:rFonts w:hint="eastAsia" w:ascii="Times New Roman" w:hAnsi="Times New Roman"/>
          <w:lang w:eastAsia="zh-CN"/>
        </w:rPr>
      </w:pPr>
    </w:p>
    <w:p w14:paraId="734A755C">
      <w:pPr>
        <w:pageBreakBefore w:val="0"/>
        <w:kinsoku/>
        <w:wordWrap/>
        <w:overflowPunct/>
        <w:topLinePunct w:val="0"/>
        <w:bidi w:val="0"/>
        <w:spacing w:line="240" w:lineRule="auto"/>
        <w:jc w:val="center"/>
        <w:outlineLvl w:val="0"/>
        <w:rPr>
          <w:rFonts w:ascii="黑体" w:eastAsia="黑体"/>
          <w:color w:val="000000"/>
          <w:sz w:val="44"/>
          <w:szCs w:val="44"/>
        </w:rPr>
      </w:pPr>
    </w:p>
    <w:bookmarkEnd w:id="58"/>
    <w:bookmarkEnd w:id="59"/>
    <w:p w14:paraId="3C1B1F68">
      <w:pPr>
        <w:pStyle w:val="4"/>
        <w:pageBreakBefore w:val="0"/>
        <w:kinsoku/>
        <w:wordWrap/>
        <w:overflowPunct/>
        <w:topLinePunct w:val="0"/>
        <w:bidi w:val="0"/>
        <w:spacing w:line="240" w:lineRule="auto"/>
        <w:rPr>
          <w:rFonts w:ascii="仿宋" w:eastAsia="仿宋"/>
          <w:color w:val="000000"/>
        </w:rPr>
      </w:pPr>
    </w:p>
    <w:sectPr>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14:paraId="78C04235">
        <w:pPr>
          <w:pStyle w:val="11"/>
          <w:jc w:val="center"/>
        </w:pPr>
        <w:r>
          <w:fldChar w:fldCharType="begin"/>
        </w:r>
        <w:r>
          <w:instrText xml:space="preserve">PAGE   \* MERGEFORMAT</w:instrText>
        </w:r>
        <w:r>
          <w:fldChar w:fldCharType="separate"/>
        </w:r>
        <w:r>
          <w:rPr>
            <w:lang w:val="zh-CN"/>
          </w:rPr>
          <w:t>20</w:t>
        </w:r>
        <w:r>
          <w:fldChar w:fldCharType="end"/>
        </w:r>
      </w:p>
    </w:sdtContent>
  </w:sdt>
  <w:p w14:paraId="53A9DEE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084"/>
      <w:docPartList>
        <w:docPartGallery w:val="Quick Parts"/>
      </w:docPartList>
    </w:sdtPr>
    <w:sdtContent>
      <w:p w14:paraId="13A2FE1E">
        <w:pPr>
          <w:pStyle w:val="11"/>
          <w:jc w:val="center"/>
        </w:pPr>
        <w:r>
          <w:fldChar w:fldCharType="begin"/>
        </w:r>
        <w:r>
          <w:instrText xml:space="preserve">PAGE   \* MERGEFORMAT</w:instrText>
        </w:r>
        <w:r>
          <w:fldChar w:fldCharType="separate"/>
        </w:r>
        <w:r>
          <w:rPr>
            <w:lang w:val="zh-CN"/>
          </w:rPr>
          <w:t>20</w:t>
        </w:r>
        <w:r>
          <w:fldChar w:fldCharType="end"/>
        </w:r>
      </w:p>
    </w:sdtContent>
  </w:sdt>
  <w:p w14:paraId="4D03511B">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4E008">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C8ACB">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21B58365"/>
    <w:multiLevelType w:val="singleLevel"/>
    <w:tmpl w:val="21B58365"/>
    <w:lvl w:ilvl="0" w:tentative="0">
      <w:start w:val="2"/>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dit="readOnly"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70F"/>
    <w:rsid w:val="00053BC6"/>
    <w:rsid w:val="00053BE6"/>
    <w:rsid w:val="001C47CE"/>
    <w:rsid w:val="0073645F"/>
    <w:rsid w:val="007C6F30"/>
    <w:rsid w:val="00AD070F"/>
    <w:rsid w:val="00B54E05"/>
    <w:rsid w:val="00CE10F9"/>
    <w:rsid w:val="00E140A6"/>
    <w:rsid w:val="00E21554"/>
    <w:rsid w:val="00EC5E85"/>
    <w:rsid w:val="04284C9F"/>
    <w:rsid w:val="06CC6678"/>
    <w:rsid w:val="08C45C53"/>
    <w:rsid w:val="08ED5FF8"/>
    <w:rsid w:val="09A4666F"/>
    <w:rsid w:val="09EF680A"/>
    <w:rsid w:val="0DA70D88"/>
    <w:rsid w:val="132B3BE9"/>
    <w:rsid w:val="172F070E"/>
    <w:rsid w:val="1A980CB7"/>
    <w:rsid w:val="1B231F30"/>
    <w:rsid w:val="20921734"/>
    <w:rsid w:val="20C865BF"/>
    <w:rsid w:val="23431AEA"/>
    <w:rsid w:val="278339D7"/>
    <w:rsid w:val="29C0235D"/>
    <w:rsid w:val="2EDA0F99"/>
    <w:rsid w:val="316964C1"/>
    <w:rsid w:val="32086CB6"/>
    <w:rsid w:val="33511423"/>
    <w:rsid w:val="35022334"/>
    <w:rsid w:val="351020BC"/>
    <w:rsid w:val="372A45EA"/>
    <w:rsid w:val="42F74B59"/>
    <w:rsid w:val="483C50CD"/>
    <w:rsid w:val="487359F9"/>
    <w:rsid w:val="489C63BF"/>
    <w:rsid w:val="4A996501"/>
    <w:rsid w:val="4B150568"/>
    <w:rsid w:val="4B660F1F"/>
    <w:rsid w:val="501A78A8"/>
    <w:rsid w:val="5141035E"/>
    <w:rsid w:val="5470533C"/>
    <w:rsid w:val="552A3DE3"/>
    <w:rsid w:val="594679AA"/>
    <w:rsid w:val="5ADF0F4B"/>
    <w:rsid w:val="5BCB51EF"/>
    <w:rsid w:val="5DE8067F"/>
    <w:rsid w:val="5F482A0B"/>
    <w:rsid w:val="5F73204F"/>
    <w:rsid w:val="619B06D3"/>
    <w:rsid w:val="62661E73"/>
    <w:rsid w:val="6333425A"/>
    <w:rsid w:val="66C27EFA"/>
    <w:rsid w:val="698E0536"/>
    <w:rsid w:val="6B1F0CEF"/>
    <w:rsid w:val="6B476262"/>
    <w:rsid w:val="6B847824"/>
    <w:rsid w:val="6BB665E0"/>
    <w:rsid w:val="6E4324C5"/>
    <w:rsid w:val="6E985C4F"/>
    <w:rsid w:val="6E9C60DF"/>
    <w:rsid w:val="6FAE05E4"/>
    <w:rsid w:val="75AD5850"/>
    <w:rsid w:val="77AC3C21"/>
    <w:rsid w:val="7A436375"/>
    <w:rsid w:val="7C641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3"/>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table of figures1"/>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qFormat/>
    <w:uiPriority w:val="0"/>
    <w:pPr>
      <w:tabs>
        <w:tab w:val="right" w:leader="dot" w:pos="8296"/>
      </w:tabs>
      <w:ind w:left="200" w:leftChars="200"/>
    </w:pPr>
  </w:style>
  <w:style w:type="paragraph" w:styleId="16">
    <w:name w:val="Normal (Web)"/>
    <w:basedOn w:val="1"/>
    <w:semiHidden/>
    <w:unhideWhenUsed/>
    <w:qFormat/>
    <w:uiPriority w:val="99"/>
    <w:pPr>
      <w:widowControl/>
      <w:spacing w:beforeAutospacing="1" w:afterAutospacing="1"/>
      <w:jc w:val="left"/>
    </w:pPr>
    <w:rPr>
      <w:rFonts w:hint="eastAsia" w:ascii="宋体" w:hAnsi="宋体"/>
      <w:kern w:val="0"/>
      <w:sz w:val="24"/>
    </w:r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paragraph" w:customStyle="1" w:styleId="21">
    <w:name w:val="图表目录1"/>
    <w:basedOn w:val="1"/>
    <w:next w:val="1"/>
    <w:qFormat/>
    <w:uiPriority w:val="0"/>
    <w:pPr>
      <w:spacing w:beforeAutospacing="1" w:afterAutospacing="1"/>
      <w:ind w:left="200" w:leftChars="200" w:hanging="200" w:hangingChars="200"/>
    </w:pPr>
  </w:style>
  <w:style w:type="character" w:customStyle="1" w:styleId="22">
    <w:name w:val="标题 1 Char"/>
    <w:basedOn w:val="18"/>
    <w:link w:val="3"/>
    <w:qFormat/>
    <w:uiPriority w:val="0"/>
    <w:rPr>
      <w:rFonts w:ascii="Times New Roman" w:hAnsi="Times New Roman" w:eastAsia="宋体" w:cs="Times New Roman"/>
      <w:b/>
      <w:bCs/>
      <w:kern w:val="44"/>
      <w:sz w:val="44"/>
      <w:szCs w:val="44"/>
      <w:lang w:val="en-US" w:eastAsia="zh-CN" w:bidi="ar-SA"/>
    </w:rPr>
  </w:style>
  <w:style w:type="character" w:customStyle="1" w:styleId="23">
    <w:name w:val="标题 2 Char"/>
    <w:basedOn w:val="18"/>
    <w:link w:val="4"/>
    <w:qFormat/>
    <w:uiPriority w:val="0"/>
    <w:rPr>
      <w:rFonts w:ascii="Cambria" w:hAnsi="Cambria" w:eastAsia="宋体" w:cs="Times New Roman"/>
      <w:b/>
      <w:bCs/>
      <w:kern w:val="2"/>
      <w:sz w:val="32"/>
      <w:szCs w:val="32"/>
      <w:lang w:val="en-US" w:eastAsia="zh-CN" w:bidi="ar-SA"/>
    </w:rPr>
  </w:style>
  <w:style w:type="character" w:customStyle="1" w:styleId="24">
    <w:name w:val="Header Char"/>
    <w:basedOn w:val="18"/>
    <w:qFormat/>
    <w:uiPriority w:val="0"/>
    <w:rPr>
      <w:rFonts w:ascii="Times New Roman" w:hAnsi="Times New Roman"/>
      <w:sz w:val="18"/>
      <w:szCs w:val="18"/>
    </w:rPr>
  </w:style>
  <w:style w:type="character" w:customStyle="1" w:styleId="25">
    <w:name w:val="Footer Char"/>
    <w:basedOn w:val="18"/>
    <w:qFormat/>
    <w:uiPriority w:val="0"/>
    <w:rPr>
      <w:rFonts w:ascii="Times New Roman" w:hAnsi="Times New Roman"/>
      <w:sz w:val="18"/>
      <w:szCs w:val="18"/>
    </w:rPr>
  </w:style>
  <w:style w:type="character" w:customStyle="1" w:styleId="26">
    <w:name w:val="Body Text Char"/>
    <w:basedOn w:val="18"/>
    <w:qFormat/>
    <w:uiPriority w:val="0"/>
    <w:rPr>
      <w:rFonts w:ascii="Times New Roman" w:hAnsi="Times New Roman"/>
      <w:szCs w:val="24"/>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8">
    <w:name w:val="List Paragraph"/>
    <w:basedOn w:val="1"/>
    <w:qFormat/>
    <w:uiPriority w:val="0"/>
    <w:pPr>
      <w:ind w:firstLine="200" w:firstLineChars="200"/>
    </w:pPr>
  </w:style>
  <w:style w:type="paragraph" w:customStyle="1" w:styleId="29">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普通(网站) Char"/>
    <w:basedOn w:val="1"/>
    <w:qFormat/>
    <w:uiPriority w:val="0"/>
    <w:pPr>
      <w:spacing w:before="100" w:beforeAutospacing="1" w:after="100" w:afterAutospacing="1"/>
    </w:pPr>
  </w:style>
  <w:style w:type="character" w:customStyle="1" w:styleId="31">
    <w:name w:val="NormalCharacter"/>
    <w:qFormat/>
    <w:uiPriority w:val="0"/>
    <w:rPr>
      <w:rFonts w:eastAsia="宋体"/>
      <w:kern w:val="2"/>
      <w:sz w:val="21"/>
      <w:szCs w:val="24"/>
      <w:lang w:val="en-US" w:eastAsia="zh-CN" w:bidi="ar-SA"/>
    </w:rPr>
  </w:style>
  <w:style w:type="paragraph" w:customStyle="1" w:styleId="32">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0108;&#22030;&#37324;&#20915;&#31639;&#21508;&#31867;&#34920;&#65288;2024&#65289;\2024&#20108;&#22030;&#37324;&#20065;&#20915;&#31639;&#32479;&#35745;&#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egl\AppData\Local\Temp\wps.H13116\Workbook4.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108;&#22030;&#37324;&#20915;&#31639;&#21508;&#31867;&#34920;&#65288;2024&#65289;\2024&#20108;&#22030;&#37324;&#20065;&#20915;&#31639;&#32479;&#35745;&#34920;.xls"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'[2024二嘎里乡决算统计表.xls]Z03 收入决算表'!$D$47</c:f>
              <c:strCache>
                <c:ptCount val="1"/>
                <c:pt idx="0">
                  <c:v>2023</c:v>
                </c:pt>
              </c:strCache>
            </c:strRef>
          </c:tx>
          <c:spPr>
            <a:gradFill>
              <a:gsLst>
                <a:gs pos="50000">
                  <a:schemeClr val="accent1"/>
                </a:gs>
                <a:gs pos="0">
                  <a:schemeClr val="accent1">
                    <a:lumMod val="25000"/>
                    <a:lumOff val="75000"/>
                  </a:schemeClr>
                </a:gs>
                <a:gs pos="100000">
                  <a:schemeClr val="accent1">
                    <a:lumMod val="85000"/>
                  </a:schemeClr>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'[2024二嘎里乡决算统计表.xls]Z03 收入决算表'!$E$46:$F$46</c:f>
              <c:strCache>
                <c:ptCount val="2"/>
                <c:pt idx="0">
                  <c:v>总收入</c:v>
                </c:pt>
                <c:pt idx="1">
                  <c:v>总支出</c:v>
                </c:pt>
              </c:strCache>
            </c:strRef>
          </c:cat>
          <c:val>
            <c:numRef>
              <c:f>'[2024二嘎里乡决算统计表.xls]Z03 收入决算表'!$E$47:$F$47</c:f>
              <c:numCache>
                <c:formatCode>General</c:formatCode>
                <c:ptCount val="2"/>
                <c:pt idx="0">
                  <c:v>1067</c:v>
                </c:pt>
                <c:pt idx="1">
                  <c:v>1067</c:v>
                </c:pt>
              </c:numCache>
            </c:numRef>
          </c:val>
        </c:ser>
        <c:ser>
          <c:idx val="1"/>
          <c:order val="1"/>
          <c:tx>
            <c:strRef>
              <c:f>'[2024二嘎里乡决算统计表.xls]Z03 收入决算表'!$D$48</c:f>
              <c:strCache>
                <c:ptCount val="1"/>
                <c:pt idx="0">
                  <c:v>2024</c:v>
                </c:pt>
              </c:strCache>
            </c:strRef>
          </c:tx>
          <c:spPr>
            <a:gradFill>
              <a:gsLst>
                <a:gs pos="42000">
                  <a:srgbClr val="EC5763"/>
                </a:gs>
                <a:gs pos="0">
                  <a:srgbClr val="F28F97"/>
                </a:gs>
                <a:gs pos="100000">
                  <a:srgbClr val="E51E2E"/>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'[2024二嘎里乡决算统计表.xls]Z03 收入决算表'!$E$46:$F$46</c:f>
              <c:strCache>
                <c:ptCount val="2"/>
                <c:pt idx="0">
                  <c:v>总收入</c:v>
                </c:pt>
                <c:pt idx="1">
                  <c:v>总支出</c:v>
                </c:pt>
              </c:strCache>
            </c:strRef>
          </c:cat>
          <c:val>
            <c:numRef>
              <c:f>'[2024二嘎里乡决算统计表.xls]Z03 收入决算表'!$E$48:$F$48</c:f>
              <c:numCache>
                <c:formatCode>General</c:formatCode>
                <c:ptCount val="2"/>
                <c:pt idx="0">
                  <c:v>1314.04</c:v>
                </c:pt>
                <c:pt idx="1">
                  <c:v>1314.04</c:v>
                </c:pt>
              </c:numCache>
            </c:numRef>
          </c:val>
        </c:ser>
        <c:dLbls>
          <c:showLegendKey val="0"/>
          <c:showVal val="1"/>
          <c:showCatName val="0"/>
          <c:showSerName val="0"/>
          <c:showPercent val="0"/>
          <c:showBubbleSize val="0"/>
        </c:dLbls>
        <c:gapWidth val="246"/>
        <c:overlap val="-28"/>
        <c:axId val="760670045"/>
        <c:axId val="391109574"/>
      </c:barChart>
      <c:catAx>
        <c:axId val="7606700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1109574"/>
        <c:crosses val="autoZero"/>
        <c:auto val="1"/>
        <c:lblAlgn val="ctr"/>
        <c:lblOffset val="100"/>
        <c:noMultiLvlLbl val="0"/>
      </c:catAx>
      <c:valAx>
        <c:axId val="39110957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067004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55183f3-413c-4233-899c-345cb8ad630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'[Workbook4.xlsx]Sheet1 (2)'!$B$1</c:f>
              <c:strCache>
                <c:ptCount val="1"/>
                <c:pt idx="0">
                  <c:v>收入决算结构图</c:v>
                </c:pt>
              </c:strCache>
            </c:strRef>
          </c:tx>
          <c:spPr>
            <a:gradFill>
              <a:gsLst>
                <a:gs pos="50000">
                  <a:schemeClr val="accent1"/>
                </a:gs>
                <a:gs pos="0">
                  <a:schemeClr val="accent1">
                    <a:lumMod val="25000"/>
                    <a:lumOff val="75000"/>
                  </a:schemeClr>
                </a:gs>
                <a:gs pos="100000">
                  <a:schemeClr val="accent1">
                    <a:lumMod val="85000"/>
                  </a:schemeClr>
                </a:gs>
              </a:gsLst>
              <a:lin ang="5400000" scaled="1"/>
            </a:gradFill>
          </c:spPr>
          <c:explosion val="0"/>
          <c:dPt>
            <c:idx val="0"/>
            <c:bubble3D val="0"/>
            <c:spPr>
              <a:gradFill>
                <a:gsLst>
                  <a:gs pos="50000">
                    <a:schemeClr val="accent1"/>
                  </a:gs>
                  <a:gs pos="0">
                    <a:schemeClr val="accent1">
                      <a:lumMod val="25000"/>
                      <a:lumOff val="75000"/>
                    </a:schemeClr>
                  </a:gs>
                  <a:gs pos="100000">
                    <a:schemeClr val="accent1">
                      <a:lumMod val="85000"/>
                    </a:schemeClr>
                  </a:gs>
                </a:gsLst>
                <a:lin ang="5400000" scaled="1"/>
              </a:gradFill>
              <a:ln w="19050">
                <a:solidFill>
                  <a:schemeClr val="lt1"/>
                </a:solidFill>
              </a:ln>
              <a:effectLst/>
            </c:spPr>
          </c:dPt>
          <c:dPt>
            <c:idx val="1"/>
            <c:bubble3D val="0"/>
            <c:spPr>
              <a:gradFill>
                <a:gsLst>
                  <a:gs pos="50000">
                    <a:schemeClr val="accent1"/>
                  </a:gs>
                  <a:gs pos="0">
                    <a:schemeClr val="accent1">
                      <a:lumMod val="25000"/>
                      <a:lumOff val="75000"/>
                    </a:schemeClr>
                  </a:gs>
                  <a:gs pos="100000">
                    <a:schemeClr val="accent1">
                      <a:lumMod val="85000"/>
                    </a:schemeClr>
                  </a:gs>
                </a:gsLst>
                <a:lin ang="5400000" scaled="1"/>
              </a:gradFill>
              <a:ln w="19050">
                <a:solidFill>
                  <a:schemeClr val="lt1"/>
                </a:solidFill>
              </a:ln>
              <a:effectLst/>
            </c:spPr>
          </c:dPt>
          <c:dLbls>
            <c:dLbl>
              <c:idx val="0"/>
              <c:layout>
                <c:manualLayout>
                  <c:x val="0.0124993396114401"/>
                  <c:y val="-0.21798636136796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1314.04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49027777777778"/>
                      <c:h val="0.218518518518519"/>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'[Workbook4.xlsx]Sheet1 (2)'!$A$2:$A$3</c:f>
              <c:strCache>
                <c:ptCount val="2"/>
                <c:pt idx="0">
                  <c:v>一般公共预算财政拨款收入</c:v>
                </c:pt>
                <c:pt idx="1">
                  <c:v>其他收入</c:v>
                </c:pt>
              </c:strCache>
            </c:strRef>
          </c:cat>
          <c:val>
            <c:numRef>
              <c:f>'[Workbook4.xlsx]Sheet1 (2)'!$B$2:$B$3</c:f>
              <c:numCache>
                <c:formatCode>General</c:formatCode>
                <c:ptCount val="2"/>
                <c:pt idx="0">
                  <c:v>892.02</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87497bb-7062-4f11-8613-6d759ddd4c0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gradFill>
              <a:gsLst>
                <a:gs pos="42000">
                  <a:srgbClr val="EC5763"/>
                </a:gs>
                <a:gs pos="0">
                  <a:srgbClr val="F28F97"/>
                </a:gs>
                <a:gs pos="100000">
                  <a:srgbClr val="E51E2E"/>
                </a:gs>
              </a:gsLst>
              <a:lin ang="5400000" scaled="1"/>
            </a:gradFill>
          </c:spPr>
          <c:explosion val="0"/>
          <c:dPt>
            <c:idx val="0"/>
            <c:bubble3D val="0"/>
            <c:spPr>
              <a:gradFill>
                <a:gsLst>
                  <a:gs pos="50000">
                    <a:schemeClr val="accent1"/>
                  </a:gs>
                  <a:gs pos="0">
                    <a:schemeClr val="accent1">
                      <a:lumMod val="25000"/>
                      <a:lumOff val="75000"/>
                    </a:schemeClr>
                  </a:gs>
                  <a:gs pos="100000">
                    <a:schemeClr val="accent1">
                      <a:lumMod val="85000"/>
                    </a:schemeClr>
                  </a:gs>
                </a:gsLst>
                <a:lin ang="5400000" scaled="1"/>
              </a:gradFill>
              <a:ln w="19050">
                <a:solidFill>
                  <a:schemeClr val="lt1"/>
                </a:solidFill>
              </a:ln>
              <a:effectLst/>
            </c:spPr>
          </c:dPt>
          <c:dPt>
            <c:idx val="1"/>
            <c:bubble3D val="0"/>
            <c:spPr>
              <a:gradFill>
                <a:gsLst>
                  <a:gs pos="42000">
                    <a:srgbClr val="EC5763"/>
                  </a:gs>
                  <a:gs pos="0">
                    <a:srgbClr val="F28F97"/>
                  </a:gs>
                  <a:gs pos="100000">
                    <a:srgbClr val="E51E2E"/>
                  </a:gs>
                </a:gsLst>
                <a:lin ang="5400000" scaled="1"/>
              </a:gra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703.16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21805555555556"/>
                      <c:h val="0.184722222222222"/>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610.89</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61805555555556"/>
                      <c:h val="0.140509259259259"/>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[工作簿1]Sheet1!$A$6:$A$7</c:f>
              <c:strCache>
                <c:ptCount val="2"/>
                <c:pt idx="0">
                  <c:v>基本支出</c:v>
                </c:pt>
                <c:pt idx="1">
                  <c:v>项目支出</c:v>
                </c:pt>
              </c:strCache>
            </c:strRef>
          </c:cat>
          <c:val>
            <c:numRef>
              <c:f>[工作簿1]Sheet1!$B$6:$B$7</c:f>
              <c:numCache>
                <c:formatCode>General</c:formatCode>
                <c:ptCount val="2"/>
                <c:pt idx="0">
                  <c:v>732.99</c:v>
                </c:pt>
                <c:pt idx="1">
                  <c:v>334.01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ae3df93-f4cf-4944-8732-8badd08b9b0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bar"/>
        <c:grouping val="clustered"/>
        <c:varyColors val="0"/>
        <c:ser>
          <c:idx val="0"/>
          <c:order val="0"/>
          <c:tx>
            <c:strRef>
              <c:f>'[2024二嘎里乡决算统计表.xls]F01 年末在职实有人员表'!$D$25</c:f>
              <c:strCache>
                <c:ptCount val="1"/>
                <c:pt idx="0">
                  <c:v>2024</c:v>
                </c:pt>
              </c:strCache>
            </c:strRef>
          </c:tx>
          <c:spPr>
            <a:gradFill>
              <a:gsLst>
                <a:gs pos="50000">
                  <a:schemeClr val="accent1"/>
                </a:gs>
                <a:gs pos="0">
                  <a:schemeClr val="accent1">
                    <a:lumMod val="25000"/>
                    <a:lumOff val="75000"/>
                  </a:schemeClr>
                </a:gs>
                <a:gs pos="100000">
                  <a:schemeClr val="accent1">
                    <a:lumMod val="85000"/>
                  </a:schemeClr>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'[2024二嘎里乡决算统计表.xls]F01 年末在职实有人员表'!$E$24:$F$24</c:f>
              <c:strCache>
                <c:ptCount val="2"/>
                <c:pt idx="0">
                  <c:v>一般公共预算财政拨款收入</c:v>
                </c:pt>
                <c:pt idx="1">
                  <c:v>一般公共预算财政拨款支出</c:v>
                </c:pt>
              </c:strCache>
            </c:strRef>
          </c:cat>
          <c:val>
            <c:numRef>
              <c:f>'[2024二嘎里乡决算统计表.xls]F01 年末在职实有人员表'!$E$25:$F$25</c:f>
              <c:numCache>
                <c:formatCode>General</c:formatCode>
                <c:ptCount val="2"/>
                <c:pt idx="0">
                  <c:v>1314.04</c:v>
                </c:pt>
                <c:pt idx="1">
                  <c:v>1314.04</c:v>
                </c:pt>
              </c:numCache>
            </c:numRef>
          </c:val>
        </c:ser>
        <c:dLbls>
          <c:showLegendKey val="0"/>
          <c:showVal val="1"/>
          <c:showCatName val="0"/>
          <c:showSerName val="0"/>
          <c:showPercent val="0"/>
          <c:showBubbleSize val="0"/>
        </c:dLbls>
        <c:gapWidth val="140"/>
        <c:overlap val="-40"/>
        <c:axId val="436374601"/>
        <c:axId val="459167210"/>
      </c:barChart>
      <c:catAx>
        <c:axId val="436374601"/>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9167210"/>
        <c:crosses val="autoZero"/>
        <c:auto val="1"/>
        <c:lblAlgn val="ctr"/>
        <c:lblOffset val="100"/>
        <c:noMultiLvlLbl val="0"/>
      </c:catAx>
      <c:valAx>
        <c:axId val="459167210"/>
        <c:scaling>
          <c:orientation val="minMax"/>
        </c:scaling>
        <c:delete val="0"/>
        <c:axPos val="b"/>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3746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49e8b40-3f4a-4be5-86cd-5c55ffa2889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支出结构表</a:t>
            </a:r>
            <a:endParaRPr lang="zh-CN"/>
          </a:p>
        </c:rich>
      </c:tx>
      <c:layout/>
      <c:overlay val="0"/>
      <c:spPr>
        <a:noFill/>
        <a:ln>
          <a:noFill/>
        </a:ln>
      </c:spPr>
    </c:title>
    <c:autoTitleDeleted val="0"/>
    <c:plotArea>
      <c:layout/>
      <c:pieChart>
        <c:varyColors val="1"/>
        <c:ser>
          <c:idx val="0"/>
          <c:order val="0"/>
          <c:tx>
            <c:strRef>
              <c:f>'Sheet1 (5)'!$B$1</c:f>
              <c:strCache>
                <c:ptCount val="1"/>
                <c:pt idx="0">
                  <c:v>支出结构表</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ln>
                <a:noFill/>
              </a:ln>
            </c:spPr>
          </c:dPt>
          <c:dPt>
            <c:idx val="4"/>
            <c:bubble3D val="0"/>
            <c:spPr>
              <a:ln>
                <a:noFill/>
              </a:ln>
            </c:spPr>
          </c:dPt>
          <c:dPt>
            <c:idx val="5"/>
            <c:bubble3D val="0"/>
            <c:spPr>
              <a:ln>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(5)'!$A$2:$A$7</c:f>
              <c:strCache>
                <c:ptCount val="6"/>
                <c:pt idx="0">
                  <c:v>社会保障和就业支出</c:v>
                </c:pt>
                <c:pt idx="1">
                  <c:v>一般公共服务支出</c:v>
                </c:pt>
                <c:pt idx="2">
                  <c:v>住房保障支出</c:v>
                </c:pt>
                <c:pt idx="3">
                  <c:v>卫生健康支出</c:v>
                </c:pt>
                <c:pt idx="4">
                  <c:v>农林水支出</c:v>
                </c:pt>
              </c:strCache>
            </c:strRef>
          </c:cat>
          <c:val>
            <c:numRef>
              <c:f>'Sheet1 (5)'!$B$2:$B$7</c:f>
              <c:numCache>
                <c:formatCode>General</c:formatCode>
                <c:ptCount val="6"/>
                <c:pt idx="0">
                  <c:v>87.78</c:v>
                </c:pt>
                <c:pt idx="1">
                  <c:v>355.23</c:v>
                </c:pt>
                <c:pt idx="2">
                  <c:v>52.93</c:v>
                </c:pt>
                <c:pt idx="3">
                  <c:v>38.72</c:v>
                </c:pt>
                <c:pt idx="4">
                  <c:v>168.49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6ab8b928-3d0f-418a-aff6-103fba4411d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11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9075</Words>
  <Characters>9929</Characters>
  <Lines>65</Lines>
  <Paragraphs>18</Paragraphs>
  <TotalTime>5</TotalTime>
  <ScaleCrop>false</ScaleCrop>
  <LinksUpToDate>false</LinksUpToDate>
  <CharactersWithSpaces>10007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2021-09-18T03:28:00Z</dcterms:created>
  <dc:creator>张彬茜</dc:creator>
  <cp:lastModifiedBy>！！！！！！</cp:lastModifiedBy>
  <cp:lastPrinted>2021-09-18T03:06:00Z</cp:lastPrinted>
  <dcterms:modified xsi:type="dcterms:W3CDTF">2025-08-28T03:43:50Z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861E8AD464E945588752B37B76E7CFEE_13</vt:lpwstr>
  </property>
  <property fmtid="{D5CDD505-2E9C-101B-9397-08002B2CF9AE}" pid="4" name="KSOTemplateDocerSaveRecord">
    <vt:lpwstr>eyJoZGlkIjoiNjFiYzUwY2QwZjNiY2Q3NTllZDlhNzUxNDEwOGI1ODIiLCJ1c2VySWQiOiIzNDExNjQxNjEifQ==</vt:lpwstr>
  </property>
</Properties>
</file>