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2796"/>
      <w:bookmarkStart w:id="4" w:name="_Toc15377425"/>
      <w:bookmarkStart w:id="5" w:name="_Toc15377193"/>
      <w:bookmarkStart w:id="6" w:name="_Toc15396475"/>
      <w:r>
        <w:rPr>
          <w:rFonts w:ascii="黑体" w:eastAsia="黑体" w:hint="eastAsia"/>
          <w:color w:val="000000"/>
          <w:sz w:val="72"/>
          <w:szCs w:val="72"/>
          <w:lang w:eastAsia="zh-CN"/>
        </w:rPr>
        <w:t>2022</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194"/>
      <w:bookmarkStart w:id="8" w:name="_Toc15396476"/>
      <w:bookmarkStart w:id="9" w:name="_Toc6811"/>
      <w:bookmarkStart w:id="10" w:name="_Toc15377426"/>
      <w:bookmarkStart w:id="11" w:name="_Toc15396598"/>
      <w:bookmarkStart w:id="12" w:name="_Toc15378442"/>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二嘎里</w:t>
      </w:r>
      <w:r>
        <w:rPr>
          <w:rFonts w:ascii="方正小标宋简体" w:eastAsia="方正小标宋简体" w:hint="eastAsia"/>
          <w:color w:val="000000"/>
          <w:sz w:val="72"/>
          <w:szCs w:val="72"/>
        </w:rPr>
        <w:t>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adjustRightInd w:val="0"/>
        <w:snapToGrid w:val="0"/>
        <w:spacing w:line="360" w:lineRule="auto"/>
        <w:jc w:val="both"/>
        <w:outlineLvl w:val="0"/>
        <w:rPr>
          <w:rFonts w:ascii="Times New Roman" w:eastAsia="方正小标宋简体" w:cs="Times New Roman" w:hAnsi="Times New Roman"/>
          <w:sz w:val="72"/>
          <w:szCs w:val="72"/>
        </w:rPr>
      </w:pPr>
      <w:bookmarkStart w:id="14" w:name="_Toc15377196"/>
    </w:p>
    <w:p>
      <w:pPr>
        <w:pStyle w:val="15"/>
        <w:spacing w:beforeLines="0" w:before="93"/>
        <w:rPr>
          <w:rFonts w:ascii="Times New Roman" w:cs="Times New Roman" w:hAnsi="Times New Roman"/>
        </w:rPr>
      </w:pPr>
    </w:p>
    <w:p>
      <w:pPr>
        <w:pStyle w:val="15"/>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0"/>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月27日</w:t>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 xml:space="preserve"> TOC \o "1-2" \h \u </w:instrText>
      </w:r>
      <w:r>
        <w:rPr>
          <w:rFonts w:ascii="Times New Roman" w:cs="Times New Roman" w:hAnsi="Times New Roman"/>
          <w:sz w:val="24"/>
        </w:rPr>
        <w:fldChar w:fldCharType="separate"/>
      </w:r>
      <w:r>
        <w:rPr>
          <w:rFonts w:ascii="Times New Roman" w:cs="Times New Roman" w:hAnsi="Times New Roman"/>
          <w:sz w:val="24"/>
        </w:rPr>
        <w:fldChar w:fldCharType="begin"/>
      </w:r>
      <w:r>
        <w:rPr>
          <w:rFonts w:ascii="Times New Roman" w:cs="Times New Roman" w:hAnsi="Times New Roman"/>
          <w:sz w:val="24"/>
        </w:rPr>
        <w:instrText>Hyperlink \l "_Toc26843604"</w:instrText>
      </w:r>
      <w:r>
        <w:rPr>
          <w:rFonts w:ascii="Times New Roman" w:cs="Times New Roman" w:hAnsi="Times New Roman"/>
          <w:sz w:val="24"/>
        </w:rPr>
        <w:fldChar w:fldCharType="separate"/>
      </w:r>
      <w:r>
        <w:rPr>
          <w:rFonts w:ascii="Times New Roman" w:cs="Times New Roman" w:hAnsi="Times New Roman"/>
          <w:sz w:val="24"/>
        </w:rPr>
        <w:t xml:space="preserve">第一部分 </w:t>
      </w:r>
      <w:r>
        <w:rPr>
          <w:rFonts w:ascii="Times New Roman" w:cs="Times New Roman" w:hAnsi="Times New Roman"/>
          <w:sz w:val="24"/>
          <w:lang w:val="en-US" w:eastAsia="zh-CN"/>
        </w:rPr>
        <w:t>部门概况</w:t>
      </w:r>
      <w:r>
        <w:rPr>
          <w:rFonts w:ascii="Times New Roman" w:cs="Times New Roman" w:hAnsi="Times New Roman"/>
          <w:sz w:val="24"/>
        </w:rPr>
        <w:tab/>
      </w:r>
      <w:r>
        <w:rPr>
          <w:rFonts w:cs="Times New Roman" w:hint="eastAsia"/>
          <w:sz w:val="24"/>
          <w:lang w:val="en-US" w:eastAsia="zh-CN"/>
        </w:rPr>
        <w:t>3</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sz w:val="24"/>
          <w:lang w:val="en-US" w:eastAsia="zh-CN"/>
        </w:rPr>
        <w:t>本职能及主要工作</w:t>
      </w:r>
      <w:r>
        <w:rPr>
          <w:rFonts w:ascii="Times New Roman" w:cs="Times New Roman" w:hAnsi="Times New Roman"/>
          <w:sz w:val="24"/>
        </w:rPr>
        <w:tab/>
      </w:r>
      <w:r>
        <w:rPr>
          <w:rFonts w:cs="Times New Roman" w:hint="eastAsia"/>
          <w:sz w:val="24"/>
          <w:lang w:val="en-US" w:eastAsia="zh-CN"/>
        </w:rPr>
        <w:t>3</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sz w:val="24"/>
          <w:lang w:val="en-US" w:eastAsia="zh-CN"/>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b/>
        </w:rPr>
        <w:t>错误！未定义书签。</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2021年度</w:t>
      </w:r>
      <w:r>
        <w:rPr>
          <w:rFonts w:ascii="Times New Roman" w:cs="Times New Roman" w:hAnsi="Times New Roman"/>
          <w:sz w:val="24"/>
          <w:lang w:val="en-US" w:eastAsia="zh-CN"/>
        </w:rPr>
        <w:t>部门决算情况说明</w:t>
      </w:r>
      <w:r>
        <w:rPr>
          <w:rFonts w:ascii="Times New Roman" w:cs="Times New Roman" w:hAnsi="Times New Roman"/>
          <w:sz w:val="24"/>
        </w:rPr>
        <w:tab/>
      </w:r>
      <w:r>
        <w:rPr>
          <w:rFonts w:cs="Times New Roman" w:hint="eastAsia"/>
          <w:sz w:val="24"/>
          <w:lang w:val="en-US" w:eastAsia="zh-CN"/>
        </w:rPr>
        <w:t>5</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sz w:val="24"/>
          <w:lang w:val="en-US" w:eastAsia="zh-CN"/>
        </w:rPr>
        <w:t>一、</w:t>
      </w:r>
      <w:r>
        <w:rPr>
          <w:rFonts w:ascii="Times New Roman" w:cs="Times New Roman" w:hAnsi="Times New Roman"/>
          <w:sz w:val="24"/>
        </w:rPr>
        <w:t xml:space="preserve">  收</w:t>
      </w:r>
      <w:r>
        <w:rPr>
          <w:rFonts w:ascii="Times New Roman" w:cs="Times New Roman" w:hAnsi="Times New Roman"/>
          <w:sz w:val="24"/>
          <w:lang w:val="en-US" w:eastAsia="zh-CN"/>
        </w:rPr>
        <w:t>入支出决算总体情况说明</w:t>
      </w:r>
      <w:r>
        <w:rPr>
          <w:rFonts w:ascii="Times New Roman" w:cs="Times New Roman" w:hAnsi="Times New Roman"/>
          <w:sz w:val="24"/>
        </w:rPr>
        <w:tab/>
      </w:r>
      <w:r>
        <w:rPr>
          <w:rFonts w:cs="Times New Roman" w:hint="eastAsia"/>
          <w:sz w:val="24"/>
          <w:lang w:val="en-US" w:eastAsia="zh-CN"/>
        </w:rPr>
        <w:t>5</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sz w:val="24"/>
          <w:lang w:val="en-US" w:eastAsia="zh-CN"/>
        </w:rPr>
        <w:t>二、</w:t>
      </w:r>
      <w:r>
        <w:rPr>
          <w:rFonts w:ascii="Times New Roman" w:cs="Times New Roman" w:hAnsi="Times New Roman"/>
          <w:sz w:val="24"/>
        </w:rPr>
        <w:t xml:space="preserve">  收</w:t>
      </w:r>
      <w:r>
        <w:rPr>
          <w:rFonts w:ascii="Times New Roman" w:cs="Times New Roman" w:hAnsi="Times New Roman"/>
          <w:sz w:val="24"/>
          <w:lang w:val="en-US" w:eastAsia="zh-CN"/>
        </w:rPr>
        <w:t>入决算情况说明</w:t>
      </w:r>
      <w:r>
        <w:rPr>
          <w:rFonts w:ascii="Times New Roman" w:cs="Times New Roman" w:hAnsi="Times New Roman"/>
          <w:sz w:val="24"/>
        </w:rPr>
        <w:tab/>
      </w:r>
      <w:r>
        <w:rPr>
          <w:rFonts w:cs="Times New Roman" w:hint="eastAsia"/>
          <w:sz w:val="24"/>
          <w:lang w:val="en-US" w:eastAsia="zh-CN"/>
        </w:rPr>
        <w:t>5</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sz w:val="24"/>
          <w:lang w:val="en-US" w:eastAsia="zh-CN"/>
        </w:rPr>
        <w:t>三、</w:t>
      </w:r>
      <w:r>
        <w:rPr>
          <w:rFonts w:ascii="Times New Roman" w:cs="Times New Roman" w:hAnsi="Times New Roman"/>
          <w:sz w:val="24"/>
        </w:rPr>
        <w:t xml:space="preserve">  支</w:t>
      </w:r>
      <w:r>
        <w:rPr>
          <w:rFonts w:ascii="Times New Roman" w:cs="Times New Roman" w:hAnsi="Times New Roman"/>
          <w:sz w:val="24"/>
          <w:lang w:val="en-US" w:eastAsia="zh-CN"/>
        </w:rPr>
        <w:t>出决算情况说明</w:t>
      </w:r>
      <w:r>
        <w:rPr>
          <w:rFonts w:ascii="Times New Roman" w:cs="Times New Roman" w:hAnsi="Times New Roman"/>
          <w:sz w:val="24"/>
        </w:rPr>
        <w:tab/>
      </w:r>
      <w:r>
        <w:rPr>
          <w:rFonts w:cs="Times New Roman" w:hint="eastAsia"/>
          <w:sz w:val="24"/>
          <w:lang w:val="en-US" w:eastAsia="zh-CN"/>
        </w:rPr>
        <w:t>6</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sz w:val="24"/>
          <w:lang w:val="en-US" w:eastAsia="zh-CN"/>
        </w:rPr>
        <w:t>政拨款收入支出决算总体情况说明</w:t>
      </w:r>
      <w:r>
        <w:rPr>
          <w:rFonts w:ascii="Times New Roman" w:cs="Times New Roman" w:hAnsi="Times New Roman"/>
          <w:sz w:val="24"/>
        </w:rPr>
        <w:tab/>
      </w:r>
      <w:r>
        <w:rPr>
          <w:rFonts w:cs="Times New Roman" w:hint="eastAsia"/>
          <w:sz w:val="24"/>
          <w:lang w:val="en-US" w:eastAsia="zh-CN"/>
        </w:rPr>
        <w:t>7</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sz w:val="24"/>
          <w:lang w:val="en-US" w:eastAsia="zh-CN"/>
        </w:rPr>
        <w:t>般公共预算财政拨款支出决算情况说明</w:t>
      </w:r>
      <w:r>
        <w:rPr>
          <w:rFonts w:ascii="Times New Roman" w:cs="Times New Roman" w:hAnsi="Times New Roman"/>
          <w:sz w:val="24"/>
        </w:rPr>
        <w:tab/>
      </w:r>
      <w:r>
        <w:rPr>
          <w:rFonts w:cs="Times New Roman" w:hint="eastAsia"/>
          <w:sz w:val="24"/>
          <w:lang w:val="en-US" w:eastAsia="zh-CN"/>
        </w:rPr>
        <w:t>8</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sz w:val="24"/>
          <w:lang w:val="en-US" w:eastAsia="zh-CN"/>
        </w:rPr>
        <w:t>般公共预算财政拨款基本支出决算情况说明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sz w:val="24"/>
          <w:lang w:val="en-US" w:eastAsia="zh-CN"/>
        </w:rPr>
        <w:t>“三公”经费财政拨款支出决算情况说明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1</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sz w:val="24"/>
          <w:lang w:val="en-US" w:eastAsia="zh-CN"/>
        </w:rPr>
        <w:t>政府性基金预算支出决算情况说明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2</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sz w:val="24"/>
          <w:lang w:val="en-US" w:eastAsia="zh-CN"/>
        </w:rPr>
        <w:t>九、</w:t>
      </w:r>
      <w:r>
        <w:rPr>
          <w:rFonts w:ascii="Times New Roman" w:cs="Times New Roman" w:hAnsi="Times New Roman"/>
          <w:sz w:val="24"/>
        </w:rPr>
        <w:t xml:space="preserve">  </w:t>
      </w:r>
      <w:r>
        <w:rPr>
          <w:rFonts w:ascii="Times New Roman" w:cs="Times New Roman" w:hAnsi="Times New Roman"/>
          <w:sz w:val="24"/>
          <w:lang w:val="en-US" w:eastAsia="zh-CN"/>
        </w:rPr>
        <w:t>国有资本经营预算支出决算情况说明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2</w:t>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sz w:val="24"/>
          <w:lang w:val="en-US" w:eastAsia="zh-CN"/>
        </w:rPr>
        <w:t>十、</w:t>
      </w:r>
      <w:r>
        <w:rPr>
          <w:rFonts w:ascii="Times New Roman" w:cs="Times New Roman" w:hAnsi="Times New Roman"/>
          <w:sz w:val="24"/>
        </w:rPr>
        <w:t xml:space="preserve">  </w:t>
      </w:r>
      <w:r>
        <w:rPr>
          <w:rFonts w:ascii="Times New Roman" w:cs="Times New Roman" w:hAnsi="Times New Roman"/>
          <w:sz w:val="24"/>
          <w:lang w:val="en-US" w:eastAsia="zh-CN"/>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hint="eastAsia"/>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cs="Times New Roman" w:hAnsi="Times New Roman"/>
          <w:sz w:val="24"/>
          <w:lang w:val="en-US" w:eastAsia="zh-CN"/>
        </w:rPr>
        <w:t>第三部分</w:t>
      </w:r>
      <w:r>
        <w:rPr>
          <w:rFonts w:ascii="Times New Roman" w:cs="Times New Roman" w:hAnsi="Times New Roman"/>
          <w:sz w:val="24"/>
        </w:rPr>
        <w:t xml:space="preserve">  名</w:t>
      </w:r>
      <w:r>
        <w:rPr>
          <w:rFonts w:ascii="Times New Roman" w:cs="Times New Roman" w:hAnsi="Times New Roman"/>
          <w:sz w:val="24"/>
          <w:lang w:val="en-US" w:eastAsia="zh-CN"/>
        </w:rPr>
        <w:t>词解释</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3</w:t>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cs="Times New Roman" w:hAnsi="Times New Roman"/>
          <w:sz w:val="24"/>
          <w:lang w:val="en-US" w:eastAsia="zh-CN"/>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15</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cs="Times New Roman" w:hAnsi="Times New Roman"/>
          <w:sz w:val="24"/>
          <w:lang w:val="en-US" w:eastAsia="zh-CN"/>
        </w:rPr>
        <w:t>五部分 附表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sz w:val="24"/>
          <w:lang w:val="en-US" w:eastAsia="zh-CN"/>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sz w:val="24"/>
          <w:lang w:val="en-US" w:eastAsia="zh-CN"/>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sz w:val="24"/>
          <w:lang w:val="en-US" w:eastAsia="zh-CN"/>
        </w:rPr>
        <w:t>三、</w:t>
      </w:r>
      <w:r>
        <w:rPr>
          <w:rFonts w:ascii="Times New Roman" w:cs="Times New Roman" w:hAnsi="Times New Roman"/>
          <w:sz w:val="24"/>
        </w:rPr>
        <w:t>支</w:t>
      </w:r>
      <w:r>
        <w:rPr>
          <w:rFonts w:ascii="Times New Roman" w:cs="Times New Roman" w:hAnsi="Times New Roman"/>
          <w:sz w:val="24"/>
          <w:lang w:val="en-US" w:eastAsia="zh-CN"/>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sz w:val="24"/>
          <w:lang w:val="en-US" w:eastAsia="zh-CN"/>
        </w:rPr>
        <w:t>四、</w:t>
      </w:r>
      <w:r>
        <w:rPr>
          <w:rFonts w:ascii="Times New Roman" w:cs="Times New Roman" w:hAnsi="Times New Roman"/>
          <w:sz w:val="24"/>
        </w:rPr>
        <w:t>财</w:t>
      </w:r>
      <w:r>
        <w:rPr>
          <w:rFonts w:ascii="Times New Roman" w:cs="Times New Roman" w:hAnsi="Times New Roman"/>
          <w:sz w:val="24"/>
          <w:lang w:val="en-US" w:eastAsia="zh-CN"/>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sz w:val="24"/>
          <w:lang w:val="en-US" w:eastAsia="zh-CN"/>
        </w:rPr>
        <w:t>五、</w:t>
      </w:r>
      <w:r>
        <w:rPr>
          <w:rFonts w:ascii="Times New Roman" w:cs="Times New Roman" w:hAnsi="Times New Roman"/>
          <w:sz w:val="24"/>
        </w:rPr>
        <w:t>财</w:t>
      </w:r>
      <w:r>
        <w:rPr>
          <w:rFonts w:ascii="Times New Roman" w:cs="Times New Roman" w:hAnsi="Times New Roman"/>
          <w:sz w:val="24"/>
          <w:lang w:val="en-US" w:eastAsia="zh-CN"/>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sz w:val="24"/>
          <w:lang w:val="en-US" w:eastAsia="zh-CN"/>
        </w:rPr>
        <w:t>六、</w:t>
      </w:r>
      <w:r>
        <w:rPr>
          <w:rFonts w:ascii="Times New Roman" w:cs="Times New Roman" w:hAnsi="Times New Roman"/>
          <w:sz w:val="24"/>
        </w:rPr>
        <w:t>一</w:t>
      </w:r>
      <w:r>
        <w:rPr>
          <w:rFonts w:ascii="Times New Roman" w:cs="Times New Roman" w:hAnsi="Times New Roman"/>
          <w:sz w:val="24"/>
          <w:lang w:val="en-US" w:eastAsia="zh-CN"/>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sz w:val="24"/>
          <w:lang w:val="en-US" w:eastAsia="zh-CN"/>
        </w:rPr>
        <w:t>七、</w:t>
      </w:r>
      <w:r>
        <w:rPr>
          <w:rFonts w:ascii="Times New Roman" w:cs="Times New Roman" w:hAnsi="Times New Roman"/>
          <w:sz w:val="24"/>
        </w:rPr>
        <w:t>一</w:t>
      </w:r>
      <w:r>
        <w:rPr>
          <w:rFonts w:ascii="Times New Roman" w:cs="Times New Roman" w:hAnsi="Times New Roman"/>
          <w:sz w:val="24"/>
          <w:lang w:val="en-US" w:eastAsia="zh-CN"/>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sz w:val="24"/>
          <w:lang w:val="en-US" w:eastAsia="zh-CN"/>
        </w:rPr>
        <w:t>八、</w:t>
      </w:r>
      <w:r>
        <w:rPr>
          <w:rFonts w:ascii="Times New Roman" w:cs="Times New Roman" w:hAnsi="Times New Roman"/>
          <w:sz w:val="24"/>
        </w:rPr>
        <w:t>一</w:t>
      </w:r>
      <w:r>
        <w:rPr>
          <w:rFonts w:ascii="Times New Roman" w:cs="Times New Roman" w:hAnsi="Times New Roman"/>
          <w:sz w:val="24"/>
          <w:lang w:val="en-US" w:eastAsia="zh-CN"/>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sz w:val="24"/>
          <w:lang w:val="en-US" w:eastAsia="zh-CN"/>
        </w:rPr>
        <w:t>九、</w:t>
      </w:r>
      <w:r>
        <w:rPr>
          <w:rFonts w:ascii="Times New Roman" w:cs="Times New Roman" w:hAnsi="Times New Roman"/>
          <w:sz w:val="24"/>
        </w:rPr>
        <w:t>一</w:t>
      </w:r>
      <w:r>
        <w:rPr>
          <w:rFonts w:ascii="Times New Roman" w:cs="Times New Roman" w:hAnsi="Times New Roman"/>
          <w:sz w:val="24"/>
          <w:lang w:val="en-US" w:eastAsia="zh-CN"/>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sz w:val="24"/>
          <w:lang w:val="en-US" w:eastAsia="zh-CN"/>
        </w:rPr>
        <w:t>十、</w:t>
      </w:r>
      <w:r>
        <w:rPr>
          <w:rFonts w:ascii="Times New Roman" w:cs="Times New Roman" w:hAnsi="Times New Roman"/>
          <w:sz w:val="24"/>
        </w:rPr>
        <w:t>政</w:t>
      </w:r>
      <w:r>
        <w:rPr>
          <w:rFonts w:ascii="Times New Roman" w:cs="Times New Roman" w:hAnsi="Times New Roman"/>
          <w:sz w:val="24"/>
          <w:lang w:val="en-US" w:eastAsia="zh-CN"/>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sz w:val="24"/>
          <w:lang w:val="en-US" w:eastAsia="zh-CN"/>
        </w:rPr>
        <w:t>十</w:t>
      </w:r>
      <w:r>
        <w:rPr>
          <w:rFonts w:ascii="Times New Roman" w:cs="Times New Roman" w:hAnsi="Times New Roman" w:hint="eastAsia"/>
          <w:sz w:val="24"/>
          <w:lang w:val="en-US" w:eastAsia="zh-CN"/>
        </w:rPr>
        <w:t>一</w:t>
      </w:r>
      <w:r>
        <w:rPr>
          <w:rFonts w:ascii="Times New Roman" w:cs="Times New Roman" w:hAnsi="Times New Roman"/>
          <w:sz w:val="24"/>
          <w:lang w:val="en-US" w:eastAsia="zh-CN"/>
        </w:rPr>
        <w:t>、</w:t>
      </w:r>
      <w:r>
        <w:rPr>
          <w:rFonts w:ascii="Times New Roman" w:cs="Times New Roman" w:hAnsi="Times New Roman"/>
          <w:sz w:val="24"/>
        </w:rPr>
        <w:t>国</w:t>
      </w:r>
      <w:r>
        <w:rPr>
          <w:rFonts w:ascii="Times New Roman" w:cs="Times New Roman" w:hAnsi="Times New Roman"/>
          <w:sz w:val="24"/>
          <w:lang w:val="en-US" w:eastAsia="zh-CN"/>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sz w:val="24"/>
          <w:lang w:val="en-US" w:eastAsia="zh-CN"/>
        </w:rPr>
        <w:t>十</w:t>
      </w:r>
      <w:r>
        <w:rPr>
          <w:rFonts w:ascii="Times New Roman" w:cs="Times New Roman" w:hAnsi="Times New Roman" w:hint="eastAsia"/>
          <w:sz w:val="24"/>
          <w:lang w:val="en-US" w:eastAsia="zh-CN"/>
        </w:rPr>
        <w:t>二</w:t>
      </w:r>
      <w:r>
        <w:rPr>
          <w:rFonts w:ascii="Times New Roman" w:cs="Times New Roman" w:hAnsi="Times New Roman"/>
          <w:sz w:val="24"/>
          <w:lang w:val="en-US" w:eastAsia="zh-CN"/>
        </w:rPr>
        <w:t>、国有资本经营预算财政拨款支出决算表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rPr>
        <w:t>十</w:t>
      </w:r>
      <w:r>
        <w:rPr>
          <w:rFonts w:ascii="Times New Roman" w:cs="Times New Roman" w:hAnsi="Times New Roman" w:hint="eastAsia"/>
          <w:sz w:val="24"/>
          <w:lang w:val="en-US" w:eastAsia="zh-CN"/>
        </w:rPr>
        <w:t>三</w:t>
      </w:r>
      <w:r>
        <w:rPr>
          <w:rFonts w:ascii="Times New Roman" w:cs="Times New Roman" w:hAnsi="Times New Roman"/>
          <w:sz w:val="24"/>
          <w:lang w:val="en-US" w:eastAsia="zh-CN"/>
        </w:rPr>
        <w:t>、</w:t>
      </w:r>
      <w:r>
        <w:rPr>
          <w:rFonts w:ascii="Times New Roman" w:cs="Times New Roman" w:hAnsi="Times New Roman" w:hint="eastAsia"/>
          <w:sz w:val="24"/>
          <w:lang w:val="en-US" w:eastAsia="zh-CN"/>
        </w:rPr>
        <w:t>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24</w:t>
      </w:r>
      <w:r>
        <w:rPr>
          <w:rFonts w:ascii="Times New Roman" w:cs="Times New Roman" w:hAnsi="Times New Roman"/>
          <w:sz w:val="24"/>
        </w:rPr>
        <w:fldChar w:fldCharType="end"/>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rPr>
          <w:rFonts w:cs="Arial"/>
        </w:rPr>
      </w:pPr>
    </w:p>
    <w:p>
      <w:pPr>
        <w:pStyle w:val="1"/>
        <w:jc w:val="center"/>
        <w:rPr>
          <w:rFonts w:ascii="黑体" w:eastAsia="黑体"/>
          <w:color w:val="000000"/>
          <w:sz w:val="32"/>
          <w:szCs w:val="32"/>
        </w:rPr>
      </w:pPr>
      <w:bookmarkStart w:id="15" w:name="_Toc27352"/>
      <w:r>
        <w:rPr>
          <w:rFonts w:ascii="黑体" w:eastAsia="黑体" w:hint="eastAsia"/>
          <w:b w:val="0"/>
        </w:rPr>
        <w:t xml:space="preserve">第一部分 </w:t>
      </w:r>
      <w:r>
        <w:rPr>
          <w:rStyle w:val="1Char"/>
          <w:rFonts w:ascii="黑体" w:eastAsia="黑体" w:hint="eastAsia"/>
          <w:b w:val="0"/>
          <w:bCs w:val="0"/>
        </w:rPr>
        <w:t>部门概况</w:t>
      </w:r>
      <w:bookmarkEnd w:id="14"/>
      <w:bookmarkEnd w:id="15"/>
    </w:p>
    <w:p>
      <w:pPr>
        <w:pStyle w:val="2"/>
        <w:spacing w:before="0" w:after="0" w:line="240" w:lineRule="auto"/>
        <w:ind w:left="640" w:hangingChars="200" w:hanging="640"/>
        <w:rPr>
          <w:rStyle w:val="2Char"/>
          <w:rFonts w:ascii="黑体" w:eastAsia="黑体"/>
          <w:b w:val="0"/>
          <w:bCs w:val="0"/>
        </w:rPr>
      </w:pPr>
      <w:bookmarkStart w:id="16" w:name="_Toc15377197"/>
      <w:bookmarkStart w:id="17" w:name="_Toc20678"/>
      <w:r>
        <w:rPr>
          <w:rFonts w:ascii="黑体" w:eastAsia="黑体" w:hint="eastAsia"/>
          <w:b w:val="0"/>
          <w:color w:val="000000"/>
        </w:rPr>
        <w:t>一、基</w:t>
      </w:r>
      <w:r>
        <w:rPr>
          <w:rStyle w:val="2Char"/>
          <w:rFonts w:ascii="黑体" w:eastAsia="黑体" w:hint="eastAsia"/>
          <w:b w:val="0"/>
          <w:bCs w:val="0"/>
        </w:rPr>
        <w:t>本职能及主要工作</w:t>
      </w:r>
      <w:bookmarkStart w:id="18" w:name="_Toc15378445"/>
      <w:bookmarkStart w:id="19" w:name="_Toc15377198"/>
      <w:bookmarkEnd w:id="16"/>
      <w:bookmarkEnd w:id="17"/>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7199"/>
      <w:bookmarkStart w:id="22" w:name="_Toc15378446"/>
      <w:bookmarkEnd w:id="18"/>
      <w:bookmarkEnd w:id="1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val="en-US" w:eastAsia="zh-CN"/>
        </w:rPr>
        <w:t>二嘎里</w:t>
      </w:r>
      <w:r>
        <w:rPr>
          <w:rFonts w:ascii="仿宋_GB2312" w:eastAsia="仿宋_GB2312" w:cs="仿宋_GB2312" w:hint="eastAsia"/>
          <w:sz w:val="32"/>
          <w:szCs w:val="32"/>
        </w:rPr>
        <w:t>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hint="eastAsia"/>
          <w:color w:val="000000"/>
          <w:lang w:eastAsia="zh-CN"/>
        </w:rPr>
        <w:t>2022</w:t>
      </w:r>
      <w:r>
        <w:rPr>
          <w:rFonts w:ascii="楷体" w:eastAsia="楷体" w:cs="楷体" w:hint="eastAsia"/>
          <w:color w:val="000000"/>
        </w:rPr>
        <w:t>年重点工作完成情况</w:t>
      </w:r>
      <w:bookmarkEnd w:id="21"/>
      <w:bookmarkEnd w:id="22"/>
      <w:bookmarkEnd w:id="24"/>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40"/>
        <w:textAlignment w:val="auto"/>
        <w:outlineLvl w:val="9"/>
        <w:rPr>
          <w:rFonts w:ascii="仿宋_GB2312" w:eastAsia="仿宋_GB2312" w:cs="??_GB2312" w:hint="eastAsia"/>
          <w:color w:val="auto"/>
          <w:sz w:val="32"/>
          <w:szCs w:val="32"/>
          <w:shd w:val="clear" w:color="auto" w:fill="FFFFFF"/>
          <w:lang w:val="en-US" w:eastAsia="zh-CN"/>
        </w:rPr>
      </w:pPr>
      <w:bookmarkStart w:id="25" w:name="_Toc15377200"/>
      <w:r>
        <w:rPr>
          <w:rFonts w:ascii="仿宋_GB2312" w:eastAsia="仿宋_GB2312" w:cs="??_GB2312" w:hint="eastAsia"/>
          <w:color w:val="auto"/>
          <w:sz w:val="32"/>
          <w:szCs w:val="32"/>
          <w:shd w:val="clear" w:color="auto" w:fill="FFFFFF"/>
          <w:lang w:val="en-US" w:eastAsia="zh-CN"/>
        </w:rPr>
        <w:t>在县委、县政府和乡党委的坚强领导下，乡人民政府</w:t>
      </w:r>
      <w:r>
        <w:rPr>
          <w:rFonts w:eastAsia="仿宋_GB2312" w:hint="eastAsia"/>
          <w:color w:val="auto"/>
          <w:sz w:val="32"/>
          <w:szCs w:val="32"/>
          <w:shd w:val="clear" w:color="auto" w:fill="FFFFFF"/>
          <w:lang w:val="en-US" w:eastAsia="zh-CN"/>
        </w:rPr>
        <w:t>坚持以习近平新时代中国特色社会主义思想为指导</w:t>
      </w:r>
      <w:r>
        <w:rPr>
          <w:rFonts w:ascii="仿宋" w:eastAsia="仿宋" w:cs="??_GB2312" w:hint="eastAsia"/>
          <w:color w:val="auto"/>
          <w:sz w:val="32"/>
          <w:szCs w:val="32"/>
          <w:shd w:val="clear" w:color="auto" w:fill="FFFFFF"/>
          <w:lang w:val="en-US" w:eastAsia="zh-CN"/>
        </w:rPr>
        <w:t>，</w:t>
      </w:r>
      <w:r>
        <w:rPr>
          <w:rFonts w:ascii="仿宋_GB2312" w:eastAsia="仿宋_GB2312" w:cs="??_GB2312" w:hint="eastAsia"/>
          <w:color w:val="auto"/>
          <w:sz w:val="32"/>
          <w:szCs w:val="32"/>
          <w:shd w:val="clear" w:color="auto" w:fill="FFFFFF"/>
          <w:lang w:val="en-US" w:eastAsia="zh-CN"/>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pPr>
        <w:pStyle w:val="27"/>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rFonts w:ascii="仿宋_GB2312" w:eastAsia="仿宋_GB2312" w:cs="仿宋_GB2312" w:hint="eastAsia"/>
          <w:b w:val="0"/>
          <w:bCs w:val="0"/>
          <w:color w:val="000000"/>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二是</w:t>
      </w:r>
      <w:r>
        <w:rPr>
          <w:rFonts w:ascii="仿宋_GB2312" w:eastAsia="仿宋_GB2312" w:cs="仿宋_GB2312" w:hint="eastAsia"/>
          <w:kern w:val="0"/>
          <w:sz w:val="32"/>
          <w:szCs w:val="32"/>
          <w:lang w:val="en-US" w:eastAsia="zh-CN"/>
        </w:rPr>
        <w:t>始终坚持以习近平生态文明思想为指引，认真践行“绿水青山就是金山银山</w:t>
      </w:r>
      <w:r>
        <w:rPr>
          <w:rFonts w:ascii="仿宋_GB2312" w:eastAsia="仿宋_GB2312" w:cs="仿宋_GB2312" w:hint="eastAsia"/>
          <w:b w:val="0"/>
          <w:bCs w:val="0"/>
          <w:color w:val="000000"/>
          <w:sz w:val="32"/>
          <w:szCs w:val="32"/>
          <w:shd w:val="clear" w:color="auto" w:fill="FFFFFF"/>
          <w:lang w:val="en-US" w:eastAsia="zh-CN"/>
        </w:rPr>
        <w:t>”</w:t>
      </w:r>
      <w:r>
        <w:rPr>
          <w:rFonts w:ascii="仿宋_GB2312" w:eastAsia="仿宋_GB2312" w:cs="仿宋_GB2312" w:hint="eastAsia"/>
          <w:b w:val="0"/>
          <w:bCs w:val="0"/>
          <w:color w:val="000000"/>
          <w:sz w:val="32"/>
          <w:szCs w:val="32"/>
          <w:shd w:val="clear" w:color="auto" w:fill="FFFFFF"/>
        </w:rPr>
        <w:t>“重在保护、要在治理、高质量发展”</w:t>
      </w:r>
      <w:r>
        <w:rPr>
          <w:rFonts w:ascii="仿宋_GB2312" w:eastAsia="仿宋_GB2312" w:cs="仿宋_GB2312" w:hint="eastAsia"/>
          <w:b w:val="0"/>
          <w:bCs w:val="0"/>
          <w:color w:val="000000"/>
          <w:sz w:val="32"/>
          <w:szCs w:val="32"/>
          <w:shd w:val="clear" w:color="auto" w:fill="FFFFFF"/>
          <w:lang w:val="en-US" w:eastAsia="zh-CN"/>
        </w:rPr>
        <w:t>理念，切实把生态环境保护摆在压倒性</w:t>
      </w:r>
      <w:r>
        <w:rPr>
          <w:rFonts w:ascii="仿宋_GB2312" w:eastAsia="仿宋_GB2312" w:cs="??_GB2312" w:hint="eastAsia"/>
          <w:color w:val="auto"/>
          <w:sz w:val="32"/>
          <w:szCs w:val="32"/>
          <w:shd w:val="clear" w:color="auto" w:fill="FFFFFF"/>
          <w:lang w:val="en-US" w:eastAsia="zh-CN"/>
        </w:rPr>
        <w:t>位置</w:t>
      </w:r>
      <w:r>
        <w:rPr>
          <w:rFonts w:ascii="仿宋_GB2312" w:eastAsia="仿宋_GB2312" w:cs="仿宋_GB2312" w:hint="eastAsia"/>
          <w:b w:val="0"/>
          <w:bCs w:val="0"/>
          <w:color w:val="000000"/>
          <w:sz w:val="32"/>
          <w:szCs w:val="32"/>
          <w:shd w:val="clear" w:color="auto" w:fill="FFFFFF"/>
          <w:lang w:val="en-US" w:eastAsia="zh-CN"/>
        </w:rPr>
        <w:t>，共抓大保护、不搞大开发。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仿宋_GB2312" w:hint="eastAsia"/>
          <w:b w:val="0"/>
          <w:bCs w:val="0"/>
          <w:color w:val="000000"/>
          <w:sz w:val="32"/>
          <w:szCs w:val="32"/>
          <w:shd w:val="clear" w:color="auto" w:fill="FFFFFF"/>
          <w:lang w:val="en-US" w:eastAsia="zh-CN"/>
        </w:rPr>
        <w:t>三是</w:t>
      </w:r>
      <w:r>
        <w:rPr>
          <w:rFonts w:eastAsia="仿宋_GB2312" w:hint="eastAsia"/>
          <w:color w:val="auto"/>
          <w:sz w:val="32"/>
          <w:szCs w:val="32"/>
          <w:shd w:val="clear" w:color="auto" w:fill="FFFFFF"/>
          <w:lang w:val="en-US" w:eastAsia="zh-CN"/>
        </w:rPr>
        <w:t>坚定贯彻总体国家安全观，旗帜鲜明开展反分维稳斗争，扫黑除恶专项斗争强力推进，“天</w:t>
      </w:r>
      <w:r>
        <w:rPr>
          <w:rFonts w:eastAsia="仿宋_GB2312"/>
          <w:color w:val="auto"/>
          <w:sz w:val="32"/>
          <w:szCs w:val="32"/>
          <w:shd w:val="clear" w:color="auto" w:fill="FFFFFF"/>
          <w:lang w:val="en-US" w:eastAsia="zh-CN"/>
        </w:rPr>
        <w:t>网</w:t>
      </w:r>
      <w:r>
        <w:rPr>
          <w:rFonts w:eastAsia="仿宋_GB2312" w:hint="eastAsia"/>
          <w:color w:val="auto"/>
          <w:sz w:val="32"/>
          <w:szCs w:val="32"/>
          <w:shd w:val="clear" w:color="auto" w:fill="FFFFFF"/>
          <w:lang w:val="en-US" w:eastAsia="zh-CN"/>
        </w:rPr>
        <w:t>”“雪亮”工程拓展延伸，平安防线牢不可破，“两</w:t>
      </w:r>
      <w:r>
        <w:rPr>
          <w:rFonts w:eastAsia="仿宋_GB2312"/>
          <w:color w:val="auto"/>
          <w:sz w:val="32"/>
          <w:szCs w:val="32"/>
          <w:shd w:val="clear" w:color="auto" w:fill="FFFFFF"/>
          <w:lang w:val="en-US" w:eastAsia="zh-CN"/>
        </w:rPr>
        <w:t>项</w:t>
      </w:r>
      <w:r>
        <w:rPr>
          <w:rFonts w:eastAsia="仿宋_GB2312" w:hint="eastAsia"/>
          <w:color w:val="auto"/>
          <w:sz w:val="32"/>
          <w:szCs w:val="32"/>
          <w:shd w:val="clear" w:color="auto" w:fill="FFFFFF"/>
          <w:lang w:val="en-US" w:eastAsia="zh-CN"/>
        </w:rPr>
        <w:t>”改革调整优化5个村。</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Start w:id="27" w:name="_Toc15377204"/>
      <w:bookmarkEnd w:id="26"/>
      <w:r>
        <w:rPr>
          <w:rFonts w:ascii="仿宋_GB2312" w:eastAsia="仿宋_GB2312" w:cs="仿宋_GB2312" w:hint="eastAsia"/>
          <w:bCs/>
          <w:sz w:val="32"/>
        </w:rPr>
        <w:t>我乡</w:t>
      </w:r>
      <w:r>
        <w:rPr>
          <w:rFonts w:ascii="仿宋_GB2312" w:eastAsia="仿宋_GB2312" w:cs="仿宋_GB2312" w:hint="eastAsia"/>
          <w:bCs/>
          <w:sz w:val="32"/>
          <w:lang w:eastAsia="zh-CN"/>
        </w:rPr>
        <w:t>2022</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w:t>
      </w:r>
      <w:r>
        <w:rPr>
          <w:rFonts w:ascii="仿宋_GB2312" w:eastAsia="仿宋_GB2312" w:cs="仿宋_GB2312" w:hint="eastAsia"/>
          <w:bCs/>
          <w:sz w:val="32"/>
          <w:lang w:val="en-US" w:eastAsia="zh-CN"/>
        </w:rPr>
        <w:t>比上年新增2个机构，原因为根据财政要求分为4个办公室（二嘎里乡政府办公室、二嘎里乡党委办公室、二嘎里乡人大办公室、二嘎里乡综合服务中心）</w:t>
      </w:r>
      <w:r>
        <w:rPr>
          <w:rFonts w:ascii="仿宋_GB2312" w:eastAsia="仿宋_GB2312" w:cs="仿宋_GB2312" w:hint="eastAsia"/>
          <w:bCs/>
          <w:sz w:val="32"/>
        </w:rPr>
        <w:t>。我乡本年度年末实有人数为</w:t>
      </w:r>
      <w:r>
        <w:rPr>
          <w:rFonts w:ascii="仿宋_GB2312" w:eastAsia="仿宋_GB2312" w:cs="仿宋_GB2312" w:hint="eastAsia"/>
          <w:bCs/>
          <w:sz w:val="32"/>
          <w:lang w:val="en-US" w:eastAsia="zh-CN"/>
        </w:rPr>
        <w:t>30</w:t>
      </w:r>
      <w:r>
        <w:rPr>
          <w:rFonts w:ascii="仿宋_GB2312" w:eastAsia="仿宋_GB2312" w:cs="仿宋_GB2312" w:hint="eastAsia"/>
          <w:bCs/>
          <w:sz w:val="32"/>
        </w:rPr>
        <w:t>人，比上年</w:t>
      </w:r>
      <w:r>
        <w:rPr>
          <w:rFonts w:ascii="仿宋_GB2312" w:eastAsia="仿宋_GB2312" w:cs="仿宋_GB2312" w:hint="eastAsia"/>
          <w:bCs/>
          <w:sz w:val="32"/>
          <w:lang w:val="en-US" w:eastAsia="zh-CN"/>
        </w:rPr>
        <w:t>行政人员减少1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事业人员减少1人，原因为人员调动及退休</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1</w:t>
      </w:r>
      <w:r>
        <w:rPr>
          <w:rFonts w:ascii="仿宋_GB2312" w:eastAsia="仿宋_GB2312" w:cs="仿宋_GB2312" w:hint="eastAsia"/>
          <w:bCs/>
          <w:sz w:val="32"/>
        </w:rPr>
        <w:t>人。（行政人员</w:t>
      </w:r>
      <w:r>
        <w:rPr>
          <w:rFonts w:ascii="仿宋_GB2312" w:eastAsia="仿宋_GB2312" w:cs="仿宋_GB2312" w:hint="eastAsia"/>
          <w:bCs/>
          <w:sz w:val="32"/>
          <w:lang w:val="en-US" w:eastAsia="zh-CN"/>
        </w:rPr>
        <w:t>16</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12</w:t>
      </w:r>
      <w:r>
        <w:rPr>
          <w:rFonts w:ascii="仿宋_GB2312" w:eastAsia="仿宋_GB2312" w:cs="仿宋_GB2312" w:hint="eastAsia"/>
          <w:bCs/>
          <w:sz w:val="32"/>
        </w:rPr>
        <w:t>人）。</w:t>
      </w:r>
    </w:p>
    <w:p>
      <w:pPr>
        <w:snapToGrid w:val="0"/>
        <w:spacing w:line="360" w:lineRule="auto"/>
        <w:ind w:firstLineChars="200" w:firstLine="640"/>
        <w:rPr>
          <w:rFonts w:ascii="仿宋_GB2312" w:eastAsia="仿宋_GB2312"/>
          <w:sz w:val="32"/>
          <w:szCs w:val="32"/>
        </w:rPr>
      </w:pPr>
    </w:p>
    <w:p>
      <w:pPr>
        <w:pStyle w:val="1"/>
        <w:ind w:right="440"/>
        <w:jc w:val="right"/>
      </w:pPr>
      <w:bookmarkStart w:id="28"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27"/>
      <w:bookmarkEnd w:id="28"/>
    </w:p>
    <w:p>
      <w:pPr>
        <w:pStyle w:val="33"/>
        <w:numPr>
          <w:ilvl w:val="0"/>
          <w:numId w:val="1"/>
        </w:numPr>
        <w:ind w:left="0" w:firstLineChars="0" w:firstLine="0"/>
        <w:outlineLvl w:val="1"/>
        <w:rPr>
          <w:rStyle w:val="2Char"/>
          <w:rFonts w:ascii="黑体" w:eastAsia="黑体"/>
          <w:b w:val="0"/>
        </w:rPr>
      </w:pPr>
      <w:bookmarkStart w:id="29" w:name="_Toc14461"/>
      <w:bookmarkStart w:id="30"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9"/>
      <w:bookmarkEnd w:id="30"/>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年度总收入</w:t>
      </w:r>
      <w:r>
        <w:rPr>
          <w:rFonts w:ascii="仿宋_GB2312" w:eastAsia="仿宋_GB2312" w:hint="eastAsia"/>
          <w:color w:val="000000"/>
          <w:spacing w:val="-2"/>
          <w:sz w:val="32"/>
          <w:szCs w:val="32"/>
          <w:lang w:val="en-US" w:eastAsia="zh-CN"/>
        </w:rPr>
        <w:t>892.02</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8.63</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0.96</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年工资变动</w:t>
      </w:r>
      <w:r>
        <w:rPr>
          <w:rFonts w:ascii="仿宋_GB2312" w:eastAsia="仿宋_GB2312" w:hint="eastAsia"/>
          <w:color w:val="000000"/>
          <w:spacing w:val="-2"/>
          <w:sz w:val="32"/>
          <w:szCs w:val="32"/>
          <w:lang w:val="en-US" w:eastAsia="zh-CN"/>
        </w:rPr>
        <w:t>及保险基数上调</w:t>
      </w:r>
      <w:r>
        <w:rPr>
          <w:rFonts w:ascii="仿宋_GB2312" w:eastAsia="仿宋_GB2312" w:hint="eastAsia"/>
          <w:color w:val="000000"/>
          <w:spacing w:val="-2"/>
          <w:sz w:val="32"/>
          <w:szCs w:val="32"/>
        </w:rPr>
        <w:t>。</w:t>
      </w:r>
    </w:p>
    <w:p>
      <w:pPr>
        <w:snapToGrid w:val="0"/>
        <w:spacing w:line="520" w:lineRule="exact"/>
        <w:ind w:firstLineChars="200" w:firstLine="632"/>
        <w:rPr>
          <w:rFonts w:ascii="仿宋_GB2312" w:eastAsia="仿宋_GB2312" w:hint="eastAsia"/>
          <w:spacing w:val="-2"/>
          <w:sz w:val="32"/>
          <w:szCs w:val="32"/>
          <w:lang w:val="en-US" w:eastAsia="zh-CN"/>
        </w:rPr>
      </w:pPr>
      <w:r>
        <w:rPr>
          <w:rFonts w:ascii="仿宋_GB2312" w:eastAsia="仿宋_GB2312" w:hint="eastAsia"/>
          <w:spacing w:val="-2"/>
          <w:sz w:val="32"/>
          <w:szCs w:val="32"/>
          <w:lang w:eastAsia="zh-CN"/>
        </w:rPr>
        <w:t>2022</w:t>
      </w:r>
      <w:r>
        <w:rPr>
          <w:rFonts w:ascii="仿宋_GB2312" w:eastAsia="仿宋_GB2312" w:hint="eastAsia"/>
          <w:spacing w:val="-2"/>
          <w:sz w:val="32"/>
          <w:szCs w:val="32"/>
        </w:rPr>
        <w:t>年总支出</w:t>
      </w:r>
      <w:r>
        <w:rPr>
          <w:rFonts w:ascii="仿宋_GB2312" w:eastAsia="仿宋_GB2312" w:hint="eastAsia"/>
          <w:spacing w:val="-2"/>
          <w:sz w:val="32"/>
          <w:szCs w:val="32"/>
          <w:lang w:val="en-US" w:eastAsia="zh-CN"/>
        </w:rPr>
        <w:t>892.02</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减少209.89</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减少23.53</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减少。</w:t>
      </w:r>
    </w:p>
    <w:p>
      <w:pPr>
        <w:pStyle w:val="27"/>
      </w:pPr>
      <w:r>
        <w:drawing>
          <wp:inline distT="0" distB="0" distL="114300" distR="114300">
            <wp:extent cx="4572000" cy="27432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640"/>
        <w:rPr>
          <w:rStyle w:val="2Char"/>
          <w:rFonts w:ascii="黑体" w:eastAsia="黑体"/>
          <w:b w:val="0"/>
        </w:rPr>
      </w:pPr>
      <w:bookmarkStart w:id="31" w:name="_Toc15377206"/>
      <w:r>
        <w:rPr>
          <w:rFonts w:ascii="黑体" w:eastAsia="黑体" w:hint="eastAsia"/>
          <w:color w:val="000000"/>
          <w:sz w:val="32"/>
          <w:szCs w:val="32"/>
        </w:rPr>
        <w:t>二、收入决</w:t>
      </w:r>
      <w:r>
        <w:rPr>
          <w:rStyle w:val="2Char"/>
          <w:rFonts w:ascii="黑体" w:eastAsia="黑体" w:hint="eastAsia"/>
          <w:b w:val="0"/>
        </w:rPr>
        <w:t>算情况说明</w:t>
      </w:r>
      <w:bookmarkEnd w:id="31"/>
    </w:p>
    <w:p>
      <w:pPr>
        <w:spacing w:line="600" w:lineRule="exact"/>
        <w:ind w:firstLineChars="200" w:firstLine="640"/>
        <w:outlineLvl w:val="1"/>
        <w:rPr>
          <w:rFonts w:ascii="仿宋" w:eastAsia="仿宋" w:hint="eastAsia"/>
          <w:color w:val="000000"/>
          <w:sz w:val="32"/>
          <w:szCs w:val="32"/>
        </w:rPr>
      </w:pPr>
      <w:bookmarkStart w:id="32" w:name="_Toc22912"/>
      <w:r>
        <w:rPr>
          <w:rFonts w:ascii="仿宋" w:eastAsia="仿宋" w:hint="eastAsia"/>
          <w:color w:val="000000"/>
          <w:sz w:val="32"/>
          <w:szCs w:val="32"/>
          <w:lang w:eastAsia="zh-CN"/>
        </w:rPr>
        <w:t>2022</w:t>
      </w:r>
      <w:r>
        <w:rPr>
          <w:rFonts w:ascii="仿宋" w:eastAsia="仿宋" w:hint="eastAsia"/>
          <w:color w:val="000000"/>
          <w:sz w:val="32"/>
          <w:szCs w:val="32"/>
        </w:rPr>
        <w:t>年总收入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892.02</w:t>
      </w:r>
      <w:r>
        <w:rPr>
          <w:rFonts w:ascii="仿宋" w:eastAsia="仿宋" w:hint="eastAsia"/>
          <w:color w:val="000000"/>
          <w:sz w:val="32"/>
          <w:szCs w:val="32"/>
        </w:rPr>
        <w:t>万元，其中：一般公共预算财政拨款收入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883.39</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2"/>
    </w:p>
    <w:p>
      <w:pPr>
        <w:pStyle w:val="27"/>
      </w:pPr>
      <w:r>
        <w:drawing>
          <wp:inline distT="0" distB="0" distL="114300" distR="114300">
            <wp:extent cx="4572000" cy="2743200"/>
            <wp:effectExtent l="0" t="0" r="0" b="0"/>
            <wp:docPr id="2" name="图表 1"/>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ind w:firstLineChars="200" w:firstLine="640"/>
        <w:outlineLvl w:val="1"/>
        <w:rPr>
          <w:rStyle w:val="2Char"/>
          <w:rFonts w:ascii="黑体" w:eastAsia="黑体"/>
          <w:b w:val="0"/>
        </w:rPr>
      </w:pPr>
      <w:bookmarkStart w:id="33" w:name="_Toc15377207"/>
      <w:bookmarkStart w:id="34" w:name="_Toc4194"/>
      <w:r>
        <w:rPr>
          <w:rFonts w:ascii="黑体" w:eastAsia="黑体" w:hint="eastAsia"/>
          <w:color w:val="000000"/>
          <w:sz w:val="32"/>
          <w:szCs w:val="32"/>
        </w:rPr>
        <w:t>三、支出决</w:t>
      </w:r>
      <w:r>
        <w:rPr>
          <w:rStyle w:val="2Char"/>
          <w:rFonts w:ascii="黑体" w:eastAsia="黑体" w:hint="eastAsia"/>
          <w:b w:val="0"/>
        </w:rPr>
        <w:t>算情况说明</w:t>
      </w:r>
      <w:bookmarkEnd w:id="33"/>
      <w:bookmarkEnd w:id="34"/>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w:t>
      </w:r>
      <w:r>
        <w:rPr>
          <w:rFonts w:ascii="仿宋" w:eastAsia="仿宋" w:hint="eastAsia"/>
          <w:color w:val="000000"/>
          <w:sz w:val="32"/>
          <w:szCs w:val="32"/>
        </w:rPr>
        <w:t>年本年总支出</w:t>
      </w:r>
      <w:r>
        <w:rPr>
          <w:rFonts w:ascii="仿宋" w:eastAsia="仿宋" w:hint="eastAsia"/>
          <w:color w:val="000000"/>
          <w:sz w:val="32"/>
          <w:szCs w:val="32"/>
          <w:lang w:val="en-US" w:eastAsia="zh-CN"/>
        </w:rPr>
        <w:t>892.02</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691.6</w:t>
      </w:r>
      <w:r>
        <w:rPr>
          <w:rFonts w:ascii="仿宋" w:eastAsia="仿宋" w:hint="eastAsia"/>
          <w:color w:val="000000"/>
          <w:sz w:val="32"/>
          <w:szCs w:val="32"/>
        </w:rPr>
        <w:t>万元，占</w:t>
      </w:r>
      <w:r>
        <w:rPr>
          <w:rFonts w:ascii="仿宋" w:eastAsia="仿宋" w:hint="eastAsia"/>
          <w:color w:val="000000"/>
          <w:sz w:val="32"/>
          <w:szCs w:val="32"/>
          <w:lang w:val="en-US" w:eastAsia="zh-CN"/>
        </w:rPr>
        <w:t>77.53</w:t>
      </w:r>
      <w:r>
        <w:rPr>
          <w:rFonts w:ascii="仿宋" w:eastAsia="仿宋" w:hint="eastAsia"/>
          <w:color w:val="000000"/>
          <w:sz w:val="32"/>
          <w:szCs w:val="32"/>
        </w:rPr>
        <w:t>%；项目支出</w:t>
      </w:r>
      <w:r>
        <w:rPr>
          <w:rFonts w:ascii="仿宋" w:eastAsia="仿宋" w:hint="eastAsia"/>
          <w:color w:val="000000"/>
          <w:sz w:val="32"/>
          <w:szCs w:val="32"/>
          <w:lang w:val="en-US" w:eastAsia="zh-CN"/>
        </w:rPr>
        <w:t>200.42</w:t>
      </w:r>
      <w:r>
        <w:rPr>
          <w:rFonts w:ascii="仿宋" w:eastAsia="仿宋" w:hint="eastAsia"/>
          <w:color w:val="000000"/>
          <w:sz w:val="32"/>
          <w:szCs w:val="32"/>
        </w:rPr>
        <w:t>万元，占</w:t>
      </w:r>
      <w:r>
        <w:rPr>
          <w:rFonts w:ascii="仿宋" w:eastAsia="仿宋" w:hint="eastAsia"/>
          <w:color w:val="000000"/>
          <w:sz w:val="32"/>
          <w:szCs w:val="32"/>
          <w:lang w:val="en-US" w:eastAsia="zh-CN"/>
        </w:rPr>
        <w:t>22.47</w:t>
      </w:r>
      <w:r>
        <w:rPr>
          <w:rFonts w:ascii="仿宋" w:eastAsia="仿宋" w:hint="eastAsia"/>
          <w:color w:val="000000"/>
          <w:sz w:val="32"/>
          <w:szCs w:val="32"/>
        </w:rPr>
        <w:t>%</w:t>
      </w:r>
      <w:r>
        <w:rPr>
          <w:rFonts w:ascii="仿宋" w:eastAsia="仿宋" w:hint="eastAsia"/>
          <w:color w:val="000000"/>
          <w:sz w:val="32"/>
          <w:szCs w:val="32"/>
          <w:lang w:eastAsia="zh-CN"/>
        </w:rPr>
        <w:t>。</w:t>
      </w:r>
    </w:p>
    <w:p>
      <w:pPr>
        <w:pStyle w:val="27"/>
        <w:rPr>
          <w:lang w:val="en-US"/>
        </w:rPr>
      </w:pPr>
      <w:r>
        <w:rPr>
          <w:rFonts w:ascii="黑体" w:eastAsia="黑体" w:hint="eastAsia"/>
          <w:color w:val="000000"/>
          <w:sz w:val="32"/>
          <w:szCs w:val="32"/>
        </w:rPr>
        <w:drawing>
          <wp:anchor distT="0" distB="0" distL="114300" distR="114300" simplePos="0" relativeHeight="24" behindDoc="0" locked="0" layoutInCell="1" hidden="0" allowOverlap="1">
            <wp:simplePos x="0" y="0"/>
            <wp:positionH relativeFrom="column">
              <wp:posOffset>-167639</wp:posOffset>
            </wp:positionH>
            <wp:positionV relativeFrom="paragraph">
              <wp:posOffset>510540</wp:posOffset>
            </wp:positionV>
            <wp:extent cx="5373368"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5" w:name="_Toc27948"/>
      <w:bookmarkStart w:id="36"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5"/>
      <w:bookmarkEnd w:id="36"/>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年财政拨款收入</w:t>
      </w:r>
      <w:r>
        <w:rPr>
          <w:rFonts w:ascii="仿宋" w:eastAsia="仿宋" w:hint="eastAsia"/>
          <w:color w:val="000000"/>
          <w:sz w:val="32"/>
          <w:szCs w:val="32"/>
          <w:lang w:val="en-US" w:eastAsia="zh-CN"/>
        </w:rPr>
        <w:t>892.02</w:t>
      </w:r>
      <w:r>
        <w:rPr>
          <w:rFonts w:ascii="仿宋" w:eastAsia="仿宋" w:hint="eastAsia"/>
          <w:color w:val="000000"/>
          <w:sz w:val="32"/>
          <w:szCs w:val="32"/>
        </w:rPr>
        <w:t>万元。与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年相比，一般公共预算财政拨款收入</w:t>
      </w:r>
      <w:r>
        <w:rPr>
          <w:rFonts w:ascii="仿宋_GB2312" w:eastAsia="仿宋_GB2312" w:hint="eastAsia"/>
          <w:color w:val="000000"/>
          <w:spacing w:val="-2"/>
          <w:sz w:val="32"/>
          <w:szCs w:val="32"/>
        </w:rPr>
        <w:t>较上年收入增加</w:t>
      </w:r>
      <w:r>
        <w:rPr>
          <w:rFonts w:ascii="仿宋_GB2312" w:eastAsia="仿宋_GB2312" w:hint="eastAsia"/>
          <w:color w:val="000000"/>
          <w:spacing w:val="-2"/>
          <w:sz w:val="32"/>
          <w:szCs w:val="32"/>
          <w:lang w:val="en-US" w:eastAsia="zh-CN"/>
        </w:rPr>
        <w:t>8.63</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0.96</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年工资变动</w:t>
      </w:r>
      <w:r>
        <w:rPr>
          <w:rFonts w:ascii="仿宋_GB2312" w:eastAsia="仿宋_GB2312" w:hint="eastAsia"/>
          <w:color w:val="000000"/>
          <w:spacing w:val="-2"/>
          <w:sz w:val="32"/>
          <w:szCs w:val="32"/>
          <w:lang w:val="en-US" w:eastAsia="zh-CN"/>
        </w:rPr>
        <w:t>及保险基数上调</w:t>
      </w:r>
      <w:r>
        <w:rPr>
          <w:rFonts w:ascii="仿宋_GB2312" w:eastAsia="仿宋_GB2312" w:hint="eastAsia"/>
          <w:color w:val="000000"/>
          <w:spacing w:val="-2"/>
          <w:sz w:val="32"/>
          <w:szCs w:val="32"/>
        </w:rPr>
        <w:t>。</w:t>
      </w:r>
    </w:p>
    <w:p>
      <w:pPr>
        <w:snapToGrid w:val="0"/>
        <w:spacing w:line="520" w:lineRule="exact"/>
        <w:ind w:firstLineChars="200" w:firstLine="640"/>
        <w:rPr>
          <w:rFonts w:ascii="仿宋_GB2312" w:eastAsia="仿宋_GB2312" w:hint="eastAsia"/>
          <w:spacing w:val="-2"/>
          <w:sz w:val="32"/>
          <w:szCs w:val="32"/>
          <w:lang w:val="en-US" w:eastAsia="zh-CN"/>
        </w:rPr>
      </w:pPr>
      <w:r>
        <w:rPr>
          <w:rFonts w:ascii="仿宋" w:eastAsia="仿宋" w:hint="eastAsia"/>
          <w:color w:val="000000"/>
          <w:sz w:val="32"/>
          <w:szCs w:val="32"/>
          <w:lang w:eastAsia="zh-CN"/>
        </w:rPr>
        <w:t>2022</w:t>
      </w:r>
      <w:r>
        <w:rPr>
          <w:rFonts w:ascii="仿宋" w:eastAsia="仿宋" w:hint="eastAsia"/>
          <w:color w:val="000000"/>
          <w:sz w:val="32"/>
          <w:szCs w:val="32"/>
        </w:rPr>
        <w:t>年财政拨款</w:t>
      </w:r>
      <w:r>
        <w:rPr>
          <w:rFonts w:ascii="仿宋" w:eastAsia="仿宋" w:hint="eastAsia"/>
          <w:color w:val="000000"/>
          <w:sz w:val="32"/>
          <w:szCs w:val="32"/>
          <w:lang w:val="en-US" w:eastAsia="zh-CN"/>
        </w:rPr>
        <w:t>支出</w:t>
      </w:r>
      <w:r>
        <w:rPr>
          <w:rFonts w:ascii="仿宋_GB2312" w:eastAsia="仿宋_GB2312" w:hint="eastAsia"/>
          <w:spacing w:val="-2"/>
          <w:sz w:val="32"/>
          <w:szCs w:val="32"/>
          <w:lang w:val="en-US" w:eastAsia="zh-CN"/>
        </w:rPr>
        <w:t>892.02</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减少209.89</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减少23.53</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减少。</w:t>
      </w:r>
    </w:p>
    <w:p>
      <w:pPr>
        <w:pStyle w:val="27"/>
        <w:rPr>
          <w:rFonts w:hint="eastAsia"/>
          <w:lang w:val="en-US" w:eastAsia="zh-CN"/>
        </w:rPr>
      </w:pPr>
      <w:r>
        <w:drawing>
          <wp:inline distT="0" distB="0" distL="114300" distR="114300">
            <wp:extent cx="4572000" cy="2743200"/>
            <wp:effectExtent l="0" t="0" r="0" b="0"/>
            <wp:docPr id="4" name="图表 1"/>
            <wp:cNvGraphicFramePr>
              <a:graphicFrameLocks noChangeAspect="0"/>
            </wp:cNvGraphicFramePr>
            <a:graphic>
              <a:graphicData uri="http://schemas.openxmlformats.org/drawingml/2006/chart">
                <c:chart xmlns:c="http://schemas.openxmlformats.org/drawingml/2006/chart" r:id="rId7"/>
              </a:graphicData>
            </a:graphic>
          </wp:inline>
        </w:drawing>
      </w:r>
    </w:p>
    <w:p>
      <w:pPr>
        <w:snapToGrid w:val="0"/>
        <w:spacing w:line="520" w:lineRule="exact"/>
        <w:ind w:firstLineChars="200" w:firstLine="640"/>
        <w:rPr>
          <w:rStyle w:val="2Char"/>
          <w:rFonts w:ascii="黑体" w:eastAsia="黑体"/>
          <w:b w:val="0"/>
        </w:rPr>
      </w:pPr>
      <w:bookmarkStart w:id="37"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7"/>
    </w:p>
    <w:p>
      <w:pPr>
        <w:spacing w:line="600" w:lineRule="exact"/>
        <w:ind w:firstLineChars="200" w:firstLine="640"/>
        <w:outlineLvl w:val="2"/>
        <w:rPr>
          <w:rFonts w:ascii="仿宋" w:eastAsia="仿宋"/>
          <w:b/>
          <w:color w:val="000000"/>
          <w:sz w:val="32"/>
          <w:szCs w:val="32"/>
        </w:rPr>
      </w:pPr>
      <w:bookmarkStart w:id="38" w:name="_Toc15377210"/>
      <w:r>
        <w:rPr>
          <w:rFonts w:ascii="仿宋" w:eastAsia="仿宋" w:hint="eastAsia"/>
          <w:b/>
          <w:color w:val="000000"/>
          <w:sz w:val="32"/>
          <w:szCs w:val="32"/>
        </w:rPr>
        <w:t>（一）一般公共预算财政拨款支出决算总体情况</w:t>
      </w:r>
      <w:bookmarkEnd w:id="38"/>
    </w:p>
    <w:p>
      <w:pPr>
        <w:snapToGrid w:val="0"/>
        <w:spacing w:line="520" w:lineRule="exact"/>
        <w:ind w:firstLineChars="200" w:firstLine="640"/>
        <w:rPr>
          <w:rFonts w:ascii="仿宋_GB2312" w:eastAsia="仿宋_GB2312"/>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892.02</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减少209.89</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减少23.53</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减少。</w:t>
      </w:r>
    </w:p>
    <w:p>
      <w:pPr>
        <w:numPr>
          <w:ilvl w:val="0"/>
          <w:numId w:val="2"/>
        </w:numPr>
        <w:spacing w:line="600" w:lineRule="exact"/>
        <w:ind w:left="0" w:firstLineChars="200" w:firstLine="640"/>
        <w:outlineLvl w:val="2"/>
        <w:rPr>
          <w:rFonts w:ascii="仿宋" w:eastAsia="仿宋"/>
          <w:b/>
          <w:color w:val="000000"/>
          <w:sz w:val="32"/>
          <w:szCs w:val="32"/>
        </w:rPr>
      </w:pPr>
      <w:bookmarkStart w:id="39" w:name="_Toc15377211"/>
      <w:r>
        <w:rPr>
          <w:rFonts w:ascii="仿宋" w:eastAsia="仿宋" w:hint="eastAsia"/>
          <w:b/>
          <w:color w:val="000000"/>
          <w:sz w:val="32"/>
          <w:szCs w:val="32"/>
        </w:rPr>
        <w:t>一般公共预算财政拨款支出决算结构情况</w:t>
      </w:r>
      <w:bookmarkEnd w:id="39"/>
    </w:p>
    <w:p>
      <w:pPr>
        <w:spacing w:line="600" w:lineRule="exact"/>
        <w:ind w:firstLineChars="200" w:firstLine="640"/>
        <w:outlineLvl w:val="2"/>
        <w:rPr>
          <w:rFonts w:ascii="仿宋" w:eastAsia="仿宋" w:hint="eastAsia"/>
          <w:bCs/>
          <w:color w:val="000000"/>
          <w:sz w:val="32"/>
          <w:szCs w:val="32"/>
          <w:lang w:val="en-US" w:eastAsia="zh-CN"/>
        </w:rPr>
      </w:pPr>
      <w:r>
        <w:rPr>
          <w:rFonts w:ascii="仿宋" w:eastAsia="仿宋" w:hint="eastAsia"/>
          <w:bCs/>
          <w:color w:val="000000"/>
          <w:sz w:val="32"/>
          <w:szCs w:val="32"/>
          <w:lang w:eastAsia="zh-CN"/>
        </w:rPr>
        <w:t>2022</w:t>
      </w:r>
      <w:r>
        <w:rPr>
          <w:rFonts w:ascii="仿宋" w:eastAsia="仿宋" w:hint="eastAsia"/>
          <w:bCs/>
          <w:color w:val="000000"/>
          <w:sz w:val="32"/>
          <w:szCs w:val="32"/>
        </w:rPr>
        <w:t>年一般公共预算财政拨款支出为</w:t>
      </w:r>
      <w:r>
        <w:rPr>
          <w:rFonts w:ascii="仿宋" w:eastAsia="仿宋" w:hint="eastAsia"/>
          <w:bCs/>
          <w:color w:val="000000"/>
          <w:sz w:val="32"/>
          <w:szCs w:val="32"/>
          <w:lang w:val="en-US" w:eastAsia="zh-CN"/>
        </w:rPr>
        <w:t>892.02</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326.46</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36.60</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75.5</w:t>
      </w:r>
      <w:r>
        <w:rPr>
          <w:rFonts w:ascii="仿宋" w:eastAsia="仿宋" w:hint="eastAsia"/>
          <w:bCs/>
          <w:color w:val="000000"/>
          <w:sz w:val="32"/>
          <w:szCs w:val="32"/>
        </w:rPr>
        <w:t>万元，占比</w:t>
      </w:r>
      <w:r>
        <w:rPr>
          <w:rFonts w:ascii="仿宋" w:eastAsia="仿宋" w:hint="eastAsia"/>
          <w:bCs/>
          <w:color w:val="000000"/>
          <w:sz w:val="32"/>
          <w:szCs w:val="32"/>
          <w:lang w:val="en-US" w:eastAsia="zh-CN"/>
        </w:rPr>
        <w:t>8.50</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36.37</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4.08</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406.86</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45.61</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46.83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5.25</w:t>
      </w:r>
      <w:r>
        <w:rPr>
          <w:rFonts w:ascii="仿宋" w:eastAsia="仿宋" w:hint="eastAsia"/>
          <w:bCs/>
          <w:color w:val="000000"/>
          <w:sz w:val="32"/>
          <w:szCs w:val="32"/>
        </w:rPr>
        <w:t>%</w:t>
      </w:r>
      <w:r>
        <w:rPr>
          <w:rFonts w:ascii="仿宋" w:eastAsia="仿宋" w:hint="eastAsia"/>
          <w:bCs/>
          <w:color w:val="000000"/>
          <w:sz w:val="32"/>
          <w:szCs w:val="32"/>
          <w:lang w:val="en-US" w:eastAsia="zh-CN"/>
        </w:rPr>
        <w:t>.</w:t>
      </w:r>
    </w:p>
    <w:p>
      <w:pPr>
        <w:pStyle w:val="27"/>
        <w:rPr>
          <w:rFonts w:ascii="仿宋" w:eastAsia="仿宋"/>
          <w:b/>
          <w:color w:val="000000"/>
          <w:sz w:val="32"/>
          <w:szCs w:val="32"/>
        </w:rPr>
      </w:pPr>
      <w:r>
        <w:drawing>
          <wp:inline distT="0" distB="0" distL="114300" distR="114300">
            <wp:extent cx="4572000" cy="2743200"/>
            <wp:effectExtent l="0" t="0" r="0" b="0"/>
            <wp:docPr id="5" name="图表 1"/>
            <wp:cNvGraphicFramePr>
              <a:graphicFrameLocks noChangeAspect="0"/>
            </wp:cNvGraphicFramePr>
            <a:graphic>
              <a:graphicData uri="http://schemas.openxmlformats.org/drawingml/2006/chart">
                <c:chart xmlns:c="http://schemas.openxmlformats.org/drawingml/2006/chart" r:id="rId8"/>
              </a:graphicData>
            </a:graphic>
          </wp:inline>
        </w:drawing>
      </w:r>
      <w:bookmarkStart w:id="40" w:name="_Toc15378460"/>
      <w:bookmarkStart w:id="41" w:name="_Toc15377444"/>
      <w:bookmarkStart w:id="42" w:name="_Toc15377213"/>
    </w:p>
    <w:p>
      <w:pPr>
        <w:spacing w:line="600" w:lineRule="exact"/>
        <w:ind w:firstLineChars="200" w:firstLine="640"/>
        <w:outlineLvl w:val="2"/>
        <w:rPr>
          <w:rFonts w:ascii="仿宋" w:eastAsia="仿宋"/>
          <w:b/>
          <w:color w:val="000000"/>
          <w:sz w:val="32"/>
          <w:szCs w:val="32"/>
        </w:rPr>
      </w:pPr>
      <w:bookmarkStart w:id="43" w:name="_Toc15377212"/>
      <w:r>
        <w:rPr>
          <w:rFonts w:ascii="仿宋" w:eastAsia="仿宋" w:hint="eastAsia"/>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hint="eastAsia"/>
          <w:bCs/>
          <w:color w:val="000000"/>
          <w:sz w:val="32"/>
          <w:szCs w:val="32"/>
          <w:lang w:eastAsia="zh-CN"/>
        </w:rPr>
        <w:t>2022</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892.02</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892.02</w:t>
      </w:r>
      <w:r>
        <w:rPr>
          <w:rFonts w:ascii="仿宋" w:eastAsia="仿宋" w:hint="eastAsia"/>
          <w:bCs/>
          <w:color w:val="000000"/>
          <w:sz w:val="32"/>
          <w:szCs w:val="32"/>
        </w:rPr>
        <w:t>万元，完</w:t>
      </w:r>
      <w:r>
        <w:rPr>
          <w:rStyle w:val="25"/>
          <w:rFonts w:ascii="仿宋" w:eastAsia="仿宋" w:hint="eastAsia"/>
          <w:b w:val="0"/>
          <w:bCs/>
          <w:color w:val="000000"/>
          <w:sz w:val="32"/>
          <w:szCs w:val="32"/>
        </w:rPr>
        <w:t>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，其中：</w:t>
      </w:r>
      <w:bookmarkEnd w:id="40"/>
      <w:bookmarkEnd w:id="41"/>
      <w:bookmarkEnd w:id="42"/>
    </w:p>
    <w:p>
      <w:pPr>
        <w:spacing w:line="600" w:lineRule="exact"/>
        <w:ind w:firstLineChars="200" w:firstLine="640"/>
        <w:rPr>
          <w:rStyle w:val="25"/>
          <w:rFonts w:ascii="仿宋" w:eastAsia="仿宋"/>
          <w:b w:val="0"/>
          <w:bCs/>
          <w:color w:val="000000"/>
          <w:sz w:val="32"/>
          <w:szCs w:val="32"/>
        </w:rPr>
      </w:pPr>
      <w:bookmarkStart w:id="44" w:name="_Toc15377214"/>
      <w:r>
        <w:rPr>
          <w:rStyle w:val="25"/>
          <w:rFonts w:ascii="仿宋" w:eastAsia="仿宋" w:hint="eastAsia"/>
          <w:bCs/>
          <w:color w:val="000000"/>
          <w:sz w:val="32"/>
          <w:szCs w:val="32"/>
        </w:rPr>
        <w:t>1.一般公共服务（类）政府办公厅（室）及相关机构事务（款）行政运行（项）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289.47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bCs/>
          <w:color w:val="000000"/>
          <w:sz w:val="32"/>
          <w:szCs w:val="32"/>
        </w:rPr>
        <w:t>2.</w:t>
      </w:r>
      <w:r>
        <w:rPr>
          <w:rStyle w:val="25"/>
          <w:rFonts w:ascii="仿宋" w:eastAsia="仿宋" w:hint="eastAsia"/>
          <w:bCs/>
          <w:color w:val="000000"/>
          <w:sz w:val="32"/>
          <w:szCs w:val="32"/>
        </w:rPr>
        <w:t>一般公共服务（类）</w:t>
      </w:r>
      <w:r>
        <w:rPr>
          <w:rStyle w:val="25"/>
          <w:rFonts w:ascii="仿宋" w:eastAsia="仿宋" w:hint="eastAsia"/>
          <w:bCs/>
          <w:color w:val="000000"/>
          <w:sz w:val="32"/>
          <w:szCs w:val="32"/>
          <w:lang w:val="en-US" w:eastAsia="zh-CN"/>
        </w:rPr>
        <w:t>党委</w:t>
      </w:r>
      <w:r>
        <w:rPr>
          <w:rStyle w:val="25"/>
          <w:rFonts w:ascii="仿宋" w:eastAsia="仿宋" w:hint="eastAsia"/>
          <w:bCs/>
          <w:color w:val="000000"/>
          <w:sz w:val="32"/>
          <w:szCs w:val="32"/>
        </w:rPr>
        <w:t>办公室（室）及相关机构事务（款）一般行政管理事务（项）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19.04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cs="Times New Roman" w:hint="eastAsia"/>
          <w:bCs/>
          <w:color w:val="000000"/>
          <w:kern w:val="2"/>
          <w:sz w:val="32"/>
          <w:szCs w:val="32"/>
          <w:lang w:val="en-US" w:eastAsia="zh-CN" w:bidi="ar-SA"/>
        </w:rPr>
        <w:t>3.一般公共服务（类）人大事务（款）一般行政管理事务（项）: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18.93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cs="Times New Roman" w:hint="eastAsia"/>
          <w:bCs/>
          <w:color w:val="000000"/>
          <w:kern w:val="2"/>
          <w:sz w:val="32"/>
          <w:szCs w:val="32"/>
          <w:lang w:val="en-US" w:eastAsia="zh-CN" w:bidi="ar-SA"/>
        </w:rPr>
        <w:t>4.一般公共服务（类）人大事务（款）人大会议（项）: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Fonts w:hint="eastAsia"/>
          <w:lang w:val="en-US" w:eastAsia="zh-CN"/>
        </w:rPr>
      </w:pPr>
      <w:r>
        <w:rPr>
          <w:rStyle w:val="25"/>
          <w:rFonts w:ascii="仿宋" w:eastAsia="仿宋" w:cs="Times New Roman" w:hint="eastAsia"/>
          <w:bCs/>
          <w:color w:val="000000"/>
          <w:kern w:val="2"/>
          <w:sz w:val="32"/>
          <w:szCs w:val="32"/>
          <w:lang w:val="en-US" w:eastAsia="zh-CN" w:bidi="ar-SA"/>
        </w:rPr>
        <w:t>5.社会保障和就业支出（类）民政管理事务（款）基层政权建设和治理（项）：</w:t>
      </w:r>
      <w:r>
        <w:rPr>
          <w:rStyle w:val="25"/>
          <w:rFonts w:ascii="仿宋" w:eastAsia="仿宋" w:hint="eastAsia"/>
          <w:b w:val="0"/>
          <w:bCs/>
          <w:color w:val="000000"/>
          <w:sz w:val="32"/>
          <w:szCs w:val="32"/>
          <w:lang w:val="en-US" w:eastAsia="zh-CN"/>
        </w:rPr>
        <w:t>支出决算为0万元，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6</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Cs/>
          <w:color w:val="000000"/>
          <w:sz w:val="32"/>
          <w:szCs w:val="32"/>
        </w:rPr>
        <w:t>社会保障和就业（类）行政事业单位离退休（款）机关事业单位基本养老保险缴费支出（项）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49.66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7</w:t>
      </w:r>
      <w:r>
        <w:rPr>
          <w:rStyle w:val="25"/>
          <w:rFonts w:ascii="仿宋" w:eastAsia="仿宋"/>
          <w:bCs/>
          <w:color w:val="000000"/>
          <w:sz w:val="32"/>
          <w:szCs w:val="32"/>
        </w:rPr>
        <w:t>.</w:t>
      </w:r>
      <w:r>
        <w:rPr>
          <w:rStyle w:val="25"/>
          <w:rFonts w:ascii="仿宋" w:eastAsia="仿宋" w:hint="eastAsia"/>
          <w:bCs/>
          <w:color w:val="000000"/>
          <w:sz w:val="32"/>
          <w:szCs w:val="32"/>
        </w:rPr>
        <w:t>社会保障和就业（类）行政事业单位离退休（款）机关事业单位基本职业年金缴费支出（项）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24.83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8</w:t>
      </w:r>
      <w:r>
        <w:rPr>
          <w:rStyle w:val="25"/>
          <w:rFonts w:ascii="仿宋" w:eastAsia="仿宋" w:hint="eastAsia"/>
          <w:bCs/>
          <w:color w:val="000000"/>
          <w:sz w:val="32"/>
          <w:szCs w:val="32"/>
        </w:rPr>
        <w:t>.卫生健康支出（类）行政事业单位医疗（款）行政单位医疗（项）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14.46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pPr>
      <w:r>
        <w:rPr>
          <w:rStyle w:val="25"/>
          <w:rFonts w:ascii="仿宋" w:eastAsia="仿宋" w:hint="eastAsia"/>
          <w:bCs/>
          <w:color w:val="000000"/>
          <w:sz w:val="32"/>
          <w:szCs w:val="32"/>
          <w:lang w:val="en-US" w:eastAsia="zh-CN"/>
        </w:rPr>
        <w:t>9</w:t>
      </w:r>
      <w:r>
        <w:rPr>
          <w:rStyle w:val="25"/>
          <w:rFonts w:ascii="仿宋" w:eastAsia="仿宋" w:hint="eastAsia"/>
          <w:bCs/>
          <w:color w:val="000000"/>
          <w:sz w:val="32"/>
          <w:szCs w:val="32"/>
        </w:rPr>
        <w:t>.卫生健康支出（类）行政事业单位医疗（款）</w:t>
      </w:r>
      <w:r>
        <w:rPr>
          <w:rStyle w:val="25"/>
          <w:rFonts w:ascii="仿宋" w:eastAsia="仿宋" w:hint="eastAsia"/>
          <w:bCs/>
          <w:color w:val="000000"/>
          <w:sz w:val="32"/>
          <w:szCs w:val="32"/>
          <w:lang w:val="en-US" w:eastAsia="zh-CN"/>
        </w:rPr>
        <w:t>事业</w:t>
      </w:r>
      <w:r>
        <w:rPr>
          <w:rStyle w:val="25"/>
          <w:rFonts w:ascii="仿宋" w:eastAsia="仿宋" w:hint="eastAsia"/>
          <w:bCs/>
          <w:color w:val="000000"/>
          <w:sz w:val="32"/>
          <w:szCs w:val="32"/>
        </w:rPr>
        <w:t>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10.37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lang w:val="en-US" w:eastAsia="zh-CN"/>
        </w:rPr>
        <w:t>10</w:t>
      </w:r>
      <w:r>
        <w:rPr>
          <w:rStyle w:val="25"/>
          <w:rFonts w:ascii="仿宋" w:eastAsia="仿宋" w:hint="eastAsia"/>
          <w:bCs/>
          <w:color w:val="000000"/>
          <w:sz w:val="32"/>
          <w:szCs w:val="32"/>
        </w:rPr>
        <w:t>.卫生健康支出（类）行政事业单位医疗（款）公务员医疗补助（项）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4.32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111</w:t>
      </w:r>
      <w:r>
        <w:rPr>
          <w:rStyle w:val="25"/>
          <w:rFonts w:ascii="仿宋" w:eastAsia="仿宋" w:hint="eastAsia"/>
          <w:bCs/>
          <w:color w:val="000000"/>
          <w:sz w:val="32"/>
          <w:szCs w:val="32"/>
        </w:rPr>
        <w:t>.住房保障（类）住房改革支出（款）住房公积金（项）：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46.83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12.农林水支出（类）农业农村（款）事业运行（项）：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211.43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13.农林水支出（类）农村综合改革（款）对村民委员会和党支部的补助（项）：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195.42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r>
        <w:rPr>
          <w:rStyle w:val="25"/>
          <w:rFonts w:ascii="仿宋" w:eastAsia="仿宋" w:hint="eastAsia"/>
          <w:b w:val="0"/>
          <w:bCs/>
          <w:color w:val="000000"/>
          <w:sz w:val="32"/>
          <w:szCs w:val="32"/>
          <w:lang w:val="en-US" w:eastAsia="zh-CN"/>
        </w:rPr>
        <w:t xml:space="preserve">       </w:t>
      </w:r>
    </w:p>
    <w:p>
      <w:pPr>
        <w:spacing w:line="600" w:lineRule="exact"/>
        <w:ind w:firstLineChars="200" w:firstLine="640"/>
      </w:pPr>
      <w:r>
        <w:rPr>
          <w:rStyle w:val="25"/>
          <w:rFonts w:ascii="仿宋" w:eastAsia="仿宋" w:hint="eastAsia"/>
          <w:bCs/>
          <w:color w:val="000000"/>
          <w:sz w:val="32"/>
          <w:szCs w:val="32"/>
          <w:lang w:val="en-US" w:eastAsia="zh-CN"/>
        </w:rPr>
        <w:t>14.农林水支出（类）其他农林水支出（款）其他农林水支出（项）：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892.02</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bookmarkStart w:id="45"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691.60</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658.15</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119.92</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150.46</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115.87</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39.22</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49.66</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24.83</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8.13</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46.83</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42.84</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4.32</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12.43</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63.56</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14:textFill>
            <w14:solidFill>
              <w14:srgbClr w14:val="000000"/>
            </w14:solidFill>
          </w14:textFill>
          <w:lang w:val="en-US" w:eastAsia="zh-CN"/>
        </w:rPr>
        <w:t>34.39</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8.41</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3.2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手续费0.05万元、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5.5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1.9</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4.98</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5.72</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委托业务费</w:t>
      </w:r>
      <w:r>
        <w:rPr>
          <w:rFonts w:ascii="仿宋_GB2312" w:eastAsia="仿宋_GB2312" w:hint="eastAsia"/>
          <w:color w:val="000000"/>
          <w:sz w:val="32"/>
          <w:szCs w:val="32"/>
          <w:lang w:val="en-US" w:eastAsia="zh-CN"/>
        </w:rPr>
        <w:t>0.3万元、</w:t>
      </w:r>
      <w:r>
        <w:rPr>
          <w:rFonts w:ascii="仿宋_GB2312" w:eastAsia="仿宋_GB2312" w:hint="eastAsia"/>
          <w:color w:val="000000"/>
          <w:sz w:val="32"/>
          <w:szCs w:val="32"/>
        </w:rPr>
        <w:t>公务用车运行维护费</w:t>
      </w:r>
      <w:r>
        <w:rPr>
          <w:rFonts w:ascii="仿宋_GB2312" w:eastAsia="仿宋_GB2312" w:hint="eastAsia"/>
          <w:color w:val="000000"/>
          <w:sz w:val="32"/>
          <w:szCs w:val="32"/>
          <w:lang w:val="en-US" w:eastAsia="zh-CN"/>
        </w:rPr>
        <w:t>6.16</w:t>
      </w:r>
      <w:r>
        <w:rPr>
          <w:rFonts w:ascii="仿宋_GB2312" w:eastAsia="仿宋_GB2312" w:hint="eastAsia"/>
          <w:color w:val="000000"/>
          <w:sz w:val="32"/>
          <w:szCs w:val="32"/>
        </w:rPr>
        <w:t>万元。</w:t>
      </w:r>
    </w:p>
    <w:p>
      <w:pPr>
        <w:snapToGrid w:val="0"/>
        <w:spacing w:line="520" w:lineRule="exact"/>
        <w:rPr>
          <w:rFonts w:eastAsia="仿宋_GB2312"/>
          <w:lang w:val="en-US" w:eastAsia="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200.42</w:t>
      </w:r>
      <w:r>
        <w:rPr>
          <w:rFonts w:ascii="仿宋_GB2312" w:eastAsia="仿宋_GB2312" w:hint="eastAsia"/>
          <w:color w:val="000000"/>
          <w:sz w:val="32"/>
          <w:szCs w:val="32"/>
        </w:rPr>
        <w:t>万元，主要包括：人大会议费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万元，对村干部生活补助支出</w:t>
      </w:r>
      <w:r>
        <w:rPr>
          <w:rFonts w:ascii="仿宋_GB2312" w:eastAsia="仿宋_GB2312" w:hint="eastAsia"/>
          <w:color w:val="000000"/>
          <w:sz w:val="32"/>
          <w:szCs w:val="32"/>
          <w:lang w:val="en-US" w:eastAsia="zh-CN"/>
        </w:rPr>
        <w:t>195.42</w:t>
      </w:r>
      <w:r>
        <w:rPr>
          <w:rFonts w:ascii="仿宋_GB2312" w:eastAsia="仿宋_GB2312" w:hint="eastAsia"/>
          <w:color w:val="000000"/>
          <w:sz w:val="32"/>
          <w:szCs w:val="32"/>
        </w:rPr>
        <w:t>万元，村级维护费办公费77万元</w:t>
      </w:r>
      <w:r>
        <w:rPr>
          <w:rFonts w:ascii="仿宋_GB2312" w:eastAsia="仿宋_GB2312" w:cs="仿宋_GB2312" w:hint="eastAsia"/>
          <w:color w:val="000000"/>
          <w:sz w:val="32"/>
          <w:szCs w:val="32"/>
        </w:rPr>
        <w:t>（其中公共运行维护费49万元、基层党组织活动经费14万元、办公费14万元）</w:t>
      </w:r>
      <w:r>
        <w:rPr>
          <w:rFonts w:ascii="仿宋_GB2312" w:eastAsia="仿宋_GB2312" w:hint="eastAsia"/>
          <w:color w:val="000000"/>
          <w:sz w:val="32"/>
          <w:szCs w:val="32"/>
        </w:rPr>
        <w:t>，突发公共卫生事件应急处理</w:t>
      </w:r>
      <w:r>
        <w:rPr>
          <w:rFonts w:ascii="仿宋_GB2312" w:eastAsia="仿宋_GB2312" w:hint="eastAsia"/>
          <w:color w:val="000000"/>
          <w:sz w:val="32"/>
          <w:szCs w:val="32"/>
          <w:lang w:val="en-US" w:eastAsia="zh-CN"/>
        </w:rPr>
        <w:t>支出5万元。</w:t>
      </w:r>
    </w:p>
    <w:p>
      <w:pPr>
        <w:spacing w:line="600" w:lineRule="exact"/>
        <w:ind w:firstLineChars="200" w:firstLine="640"/>
        <w:outlineLvl w:val="1"/>
        <w:rPr>
          <w:rStyle w:val="2Char"/>
          <w:rFonts w:ascii="黑体" w:eastAsia="黑体"/>
          <w:b w:val="0"/>
        </w:rPr>
      </w:pPr>
      <w:bookmarkStart w:id="46"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ascii="仿宋" w:eastAsia="仿宋" w:hint="eastAsia"/>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6.16</w:t>
      </w:r>
      <w:r>
        <w:rPr>
          <w:rFonts w:ascii="仿宋" w:eastAsia="仿宋" w:hint="eastAsia"/>
          <w:color w:val="000000"/>
          <w:sz w:val="32"/>
          <w:szCs w:val="32"/>
        </w:rPr>
        <w:t>万元，完成预算</w:t>
      </w:r>
      <w:r>
        <w:rPr>
          <w:rFonts w:ascii="仿宋" w:eastAsia="仿宋" w:hint="eastAsia"/>
          <w:color w:val="000000"/>
          <w:sz w:val="32"/>
          <w:szCs w:val="32"/>
          <w:lang w:val="en-US" w:eastAsia="zh-CN"/>
        </w:rPr>
        <w:t>88</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48" w:name="_Toc15377217"/>
      <w:r>
        <w:rPr>
          <w:rFonts w:ascii="仿宋" w:eastAsia="仿宋" w:hint="eastAsia"/>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hint="eastAsia"/>
          <w:sz w:val="32"/>
          <w:szCs w:val="32"/>
          <w:lang w:val="en-US" w:eastAsia="zh-CN"/>
        </w:rPr>
        <w:t>6.16</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6.16</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hint="eastAsia"/>
          <w:b/>
          <w:color w:val="000000"/>
          <w:sz w:val="32"/>
          <w:szCs w:val="32"/>
        </w:rPr>
      </w:pPr>
      <w:r>
        <w:rPr>
          <w:rStyle w:val="25"/>
          <w:rFonts w:ascii="仿宋_GB2312" w:eastAsia="仿宋_GB2312" w:hint="eastAsia"/>
          <w:sz w:val="32"/>
          <w:szCs w:val="32"/>
        </w:rPr>
        <w:t>1.因公出国（境）经费支出</w:t>
      </w:r>
      <w:r>
        <w:rPr>
          <w:rFonts w:ascii="仿宋_GB2312" w:eastAsia="仿宋_GB2312" w:hint="eastAsia"/>
          <w:sz w:val="32"/>
          <w:szCs w:val="32"/>
        </w:rPr>
        <w:t>0.00万元，</w:t>
      </w:r>
      <w:r>
        <w:rPr>
          <w:rStyle w:val="25"/>
          <w:rFonts w:ascii="仿宋_GB2312" w:eastAsia="仿宋_GB2312" w:hint="eastAsia"/>
          <w:sz w:val="32"/>
          <w:szCs w:val="32"/>
        </w:rPr>
        <w:t>完成预算0.00%。</w:t>
      </w:r>
      <w:r>
        <w:rPr>
          <w:rFonts w:ascii="仿宋_GB2312" w:eastAsia="仿宋_GB2312" w:hint="eastAsia"/>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6.16</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w:t>
      </w:r>
      <w:r>
        <w:rPr>
          <w:rStyle w:val="25"/>
          <w:rFonts w:ascii="仿宋" w:eastAsia="仿宋" w:hint="eastAsia"/>
          <w:b w:val="0"/>
          <w:bCs/>
          <w:color w:val="000000"/>
          <w:sz w:val="32"/>
          <w:szCs w:val="32"/>
          <w:lang w:val="en-US" w:eastAsia="zh-CN"/>
        </w:rPr>
        <w:t>88</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减少0.49</w:t>
      </w:r>
      <w:r>
        <w:rPr>
          <w:rFonts w:ascii="仿宋_GB2312" w:eastAsia="仿宋_GB2312" w:hint="eastAsia"/>
          <w:color w:val="000000"/>
          <w:sz w:val="32"/>
          <w:szCs w:val="32"/>
        </w:rPr>
        <w:t>万元，</w:t>
      </w:r>
      <w:r>
        <w:rPr>
          <w:rFonts w:ascii="仿宋_GB2312" w:eastAsia="仿宋_GB2312" w:cs="仿宋" w:hint="eastAsia"/>
          <w:color w:val="000000"/>
          <w:sz w:val="32"/>
          <w:szCs w:val="32"/>
          <w:lang w:val="en-US" w:eastAsia="zh-CN"/>
        </w:rPr>
        <w:t>减少</w:t>
      </w:r>
      <w:r>
        <w:rPr>
          <w:rFonts w:ascii="仿宋_GB2312" w:eastAsia="仿宋_GB2312" w:cs="仿宋" w:hint="eastAsia"/>
          <w:color w:val="000000"/>
          <w:sz w:val="32"/>
          <w:szCs w:val="32"/>
        </w:rPr>
        <w:t>原因</w:t>
      </w:r>
      <w:r>
        <w:rPr>
          <w:rFonts w:ascii="仿宋_GB2312" w:eastAsia="仿宋_GB2312" w:cs="仿宋" w:hint="eastAsia"/>
          <w:color w:val="000000"/>
          <w:sz w:val="32"/>
          <w:szCs w:val="32"/>
          <w:lang w:val="en-US" w:eastAsia="zh-CN"/>
        </w:rPr>
        <w:t>是在2022年我单位车辆未进行车辆保养和大修</w:t>
      </w:r>
      <w:r>
        <w:rPr>
          <w:rFonts w:ascii="仿宋_GB2312" w:eastAsia="仿宋_GB2312" w:cs="仿宋" w:hint="eastAsia"/>
          <w:color w:val="000000"/>
          <w:sz w:val="32"/>
          <w:szCs w:val="32"/>
        </w:rPr>
        <w:t>。</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辆、执法执勤用车0辆、特种专业技术用车0辆、离退休干部用车0辆、其他用车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6.16</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numPr>
          <w:ilvl w:val="0"/>
          <w:numId w:val="3"/>
        </w:numPr>
        <w:tabs>
          <w:tab w:val="clear" w:pos="0"/>
          <w:tab w:val="left" w:pos="0"/>
        </w:tabs>
        <w:spacing w:line="600" w:lineRule="exact"/>
        <w:ind w:left="0" w:firstLine="640"/>
        <w:rPr>
          <w:rFonts w:ascii="仿宋_GB2312" w:eastAsia="仿宋_GB2312" w:cs="仿宋" w:hint="eastAsia"/>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0万元，完成预算100%</w:t>
      </w:r>
      <w:r>
        <w:rPr>
          <w:rStyle w:val="25"/>
          <w:rFonts w:ascii="仿宋" w:eastAsia="仿宋" w:hint="eastAsia"/>
          <w:b w:val="0"/>
          <w:bCs/>
          <w:color w:val="000000"/>
          <w:sz w:val="32"/>
          <w:szCs w:val="32"/>
        </w:rPr>
        <w:t>。</w:t>
      </w:r>
      <w:r>
        <w:rPr>
          <w:rFonts w:ascii="仿宋_GB2312" w:eastAsia="仿宋_GB2312" w:cs="仿宋" w:hint="eastAsia"/>
          <w:color w:val="000000"/>
          <w:sz w:val="32"/>
          <w:szCs w:val="32"/>
          <w:lang w:bidi="ar-SA"/>
        </w:rPr>
        <w:t>公务接待费0万元，较上年减少0万元。</w:t>
      </w:r>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firstLine="640"/>
        <w:outlineLvl w:val="1"/>
        <w:rPr>
          <w:rStyle w:val="2Char"/>
          <w:rFonts w:ascii="黑体" w:eastAsia="黑体"/>
        </w:rPr>
      </w:pPr>
      <w:bookmarkStart w:id="49" w:name="_Toc15377218"/>
      <w:bookmarkStart w:id="50" w:name="_Toc23573"/>
      <w:r>
        <w:rPr>
          <w:rFonts w:ascii="黑体" w:eastAsia="黑体" w:hint="eastAsia"/>
          <w:color w:val="000000"/>
          <w:sz w:val="32"/>
          <w:szCs w:val="32"/>
        </w:rPr>
        <w:t>八、</w:t>
      </w:r>
      <w:r>
        <w:rPr>
          <w:rStyle w:val="2Char"/>
          <w:rFonts w:ascii="黑体" w:eastAsia="黑体" w:hint="eastAsia"/>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年政府性基金预算拨款支出0万元。</w:t>
      </w:r>
    </w:p>
    <w:p>
      <w:pPr>
        <w:numPr>
          <w:ilvl w:val="0"/>
          <w:numId w:val="4"/>
        </w:numPr>
        <w:spacing w:line="600" w:lineRule="exact"/>
        <w:ind w:left="0" w:firstLine="640"/>
        <w:outlineLvl w:val="1"/>
        <w:rPr>
          <w:rStyle w:val="2Char"/>
          <w:rFonts w:ascii="黑体" w:eastAsia="黑体"/>
          <w:b w:val="0"/>
        </w:rPr>
      </w:pPr>
      <w:bookmarkStart w:id="51" w:name="_Toc351"/>
      <w:bookmarkStart w:id="52" w:name="_Toc15377219"/>
      <w:r>
        <w:rPr>
          <w:rStyle w:val="2Char"/>
          <w:rFonts w:ascii="黑体" w:eastAsia="黑体" w:hint="eastAsia"/>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年国有资本经营预算拨款支出0万元。</w:t>
      </w:r>
    </w:p>
    <w:p>
      <w:pPr>
        <w:pageBreakBefore w:val="0"/>
        <w:widowControl w:val="0"/>
        <w:numPr>
          <w:ilvl w:val="0"/>
          <w:numId w:val="4"/>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53" w:name="_Toc15396612"/>
      <w:bookmarkStart w:id="54" w:name="_Toc26843621"/>
      <w:bookmarkStart w:id="55" w:name="_Toc16199"/>
      <w:r>
        <w:rPr>
          <w:rStyle w:val="2Char"/>
          <w:rFonts w:ascii="Times New Roman" w:eastAsia="黑体" w:cs="Times New Roman" w:hAnsi="Times New Roman"/>
          <w:b w:val="0"/>
        </w:rPr>
        <w:t>其他重要事项的情况说明</w:t>
      </w:r>
      <w:bookmarkEnd w:id="53"/>
      <w:bookmarkEnd w:id="54"/>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r>
        <w:rPr>
          <w:rFonts w:ascii="Times New Roman" w:eastAsia="仿宋" w:cs="Times New Roman" w:hAnsi="Times New Roman"/>
          <w:b/>
          <w:sz w:val="32"/>
          <w:szCs w:val="32"/>
        </w:rPr>
        <w:t>（一）机关运行经费支出情况</w:t>
      </w:r>
    </w:p>
    <w:p>
      <w:pPr>
        <w:spacing w:line="600" w:lineRule="exact"/>
        <w:ind w:firstLineChars="200" w:firstLine="640"/>
        <w:rPr>
          <w:rFonts w:ascii="仿宋_GB2312" w:eastAsia="仿宋_GB2312" w:hint="eastAsia"/>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我单位机关运行经费22.96万元。</w:t>
      </w:r>
      <w:r>
        <w:rPr>
          <w:rFonts w:ascii="仿宋_GB2312" w:eastAsia="仿宋_GB2312" w:hint="eastAsia"/>
          <w:sz w:val="32"/>
          <w:szCs w:val="32"/>
        </w:rPr>
        <w:t>比2021年增加</w:t>
      </w:r>
      <w:r>
        <w:rPr>
          <w:rFonts w:ascii="仿宋_GB2312" w:eastAsia="仿宋_GB2312"/>
          <w:sz w:val="32"/>
          <w:szCs w:val="32"/>
        </w:rPr>
        <w:t>22.96</w:t>
      </w:r>
      <w:r>
        <w:rPr>
          <w:rFonts w:ascii="仿宋_GB2312" w:eastAsia="仿宋_GB2312" w:hint="eastAsia"/>
          <w:sz w:val="32"/>
          <w:szCs w:val="32"/>
        </w:rPr>
        <w:t>万元，增长</w:t>
      </w:r>
      <w:r>
        <w:rPr>
          <w:rFonts w:ascii="仿宋_GB2312" w:eastAsia="仿宋_GB2312"/>
          <w:sz w:val="32"/>
          <w:szCs w:val="32"/>
        </w:rPr>
        <w:t>100</w:t>
      </w:r>
      <w:r>
        <w:rPr>
          <w:rFonts w:ascii="仿宋_GB2312" w:eastAsia="仿宋_GB2312" w:hint="eastAsia"/>
          <w:sz w:val="32"/>
          <w:szCs w:val="32"/>
        </w:rPr>
        <w:t>%</w:t>
      </w:r>
      <w:r>
        <w:rPr>
          <w:rFonts w:ascii="仿宋_GB2312" w:eastAsia="仿宋_GB2312"/>
          <w:sz w:val="32"/>
          <w:szCs w:val="32"/>
        </w:rPr>
        <w:t>，</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bookmarkStart w:id="56" w:name="_GoBack"/>
      <w:bookmarkEnd w:id="56"/>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57" w:name="_Toc15377223"/>
      <w:r>
        <w:rPr>
          <w:rFonts w:ascii="Times New Roman" w:eastAsia="仿宋" w:cs="Times New Roman" w:hAnsi="Times New Roman"/>
          <w:b/>
          <w:sz w:val="32"/>
          <w:szCs w:val="32"/>
        </w:rPr>
        <w:t>（二）政府采购支出情况</w:t>
      </w:r>
      <w:bookmarkEnd w:id="57"/>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（三）国有资产占有使用情况</w:t>
      </w:r>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截至202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年12月31日，</w:t>
      </w:r>
      <w:r>
        <w:rPr>
          <w:rFonts w:eastAsia="仿宋_GB2312" w:cs="Times New Roman" w:hint="eastAsia"/>
          <w:sz w:val="32"/>
          <w:szCs w:val="32"/>
          <w:lang w:val="en-US" w:eastAsia="zh-CN"/>
        </w:rPr>
        <w:t>我</w:t>
      </w:r>
      <w:r>
        <w:rPr>
          <w:rFonts w:ascii="Times New Roman" w:eastAsia="仿宋_GB2312" w:cs="Times New Roman" w:hAnsi="Times New Roman"/>
          <w:sz w:val="32"/>
          <w:szCs w:val="32"/>
        </w:rPr>
        <w:t>部门共有车辆</w:t>
      </w:r>
      <w:r>
        <w:rPr>
          <w:rFonts w:eastAsia="仿宋_GB2312" w:cs="Times New Roman" w:hint="eastAsia"/>
          <w:sz w:val="32"/>
          <w:szCs w:val="32"/>
          <w:lang w:val="en-US" w:eastAsia="zh-CN"/>
        </w:rPr>
        <w:t>3</w:t>
      </w:r>
      <w:r>
        <w:rPr>
          <w:rFonts w:ascii="Times New Roman" w:eastAsia="仿宋_GB2312" w:cs="Times New Roman" w:hAnsi="Times New Roman"/>
          <w:sz w:val="32"/>
          <w:szCs w:val="32"/>
        </w:rPr>
        <w:t>辆，其中：</w:t>
      </w: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辆、执法执勤用车0辆、特种专业技术用车0辆、离退休干部用车0辆、其他用车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r>
        <w:rPr>
          <w:rFonts w:ascii="Times New Roman" w:eastAsia="仿宋_GB2312" w:cs="Times New Roman" w:hAnsi="Times New Roman"/>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jc w:val="center"/>
        <w:rPr>
          <w:rFonts w:ascii="Times New Roman" w:eastAsia="仿宋_GB2312" w:cs="Times New Roman" w:hAnsi="Times New Roman" w:hint="eastAsia"/>
          <w:color w:val="auto"/>
          <w:sz w:val="32"/>
          <w:szCs w:val="32"/>
          <w:lang w:val="en-US" w:eastAsia="zh-CN"/>
        </w:rPr>
      </w:pPr>
      <w:r>
        <w:rPr>
          <w:rFonts w:ascii="Times New Roman" w:eastAsia="仿宋_GB2312" w:cs="Times New Roman" w:hAnsi="Times New Roman"/>
          <w:sz w:val="32"/>
          <w:szCs w:val="32"/>
        </w:rPr>
        <w:t>根据预算绩效管理要求，本部门在202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年度预算编制阶段，组织对二嘎里乡雅夏村通村道路改造提升项目</w:t>
      </w:r>
      <w:r>
        <w:rPr>
          <w:rFonts w:ascii="Times New Roman" w:eastAsia="仿宋_GB2312" w:cs="Times New Roman" w:hAnsi="Times New Roman" w:hint="eastAsia"/>
          <w:sz w:val="32"/>
          <w:szCs w:val="32"/>
          <w:lang w:val="en-US" w:eastAsia="zh-CN"/>
        </w:rPr>
        <w:t>工程</w:t>
      </w:r>
      <w:r>
        <w:rPr>
          <w:rFonts w:ascii="Times New Roman" w:eastAsia="仿宋_GB2312" w:cs="Times New Roman" w:hAnsi="Times New Roman"/>
          <w:sz w:val="32"/>
          <w:szCs w:val="32"/>
        </w:rPr>
        <w:t>等</w:t>
      </w:r>
      <w:r>
        <w:rPr>
          <w:rFonts w:eastAsia="仿宋_GB2312" w:cs="Times New Roman" w:hint="eastAsia"/>
          <w:sz w:val="32"/>
          <w:szCs w:val="32"/>
          <w:lang w:val="en-US" w:eastAsia="zh-CN"/>
        </w:rPr>
        <w:t>13</w:t>
      </w:r>
      <w:r>
        <w:rPr>
          <w:rFonts w:ascii="Times New Roman" w:eastAsia="仿宋_GB2312" w:cs="Times New Roman" w:hAnsi="Times New Roman"/>
          <w:sz w:val="32"/>
          <w:szCs w:val="32"/>
        </w:rPr>
        <w:t>个项目开展了预算事前绩效评估，对</w:t>
      </w:r>
      <w:r>
        <w:rPr>
          <w:rFonts w:eastAsia="仿宋_GB2312" w:cs="Times New Roman" w:hint="eastAsia"/>
          <w:sz w:val="32"/>
          <w:szCs w:val="32"/>
          <w:lang w:val="en-US" w:eastAsia="zh-CN"/>
        </w:rPr>
        <w:t>13</w:t>
      </w:r>
      <w:r>
        <w:rPr>
          <w:rFonts w:ascii="Times New Roman" w:eastAsia="仿宋_GB2312" w:cs="Times New Roman" w:hAnsi="Times New Roman"/>
          <w:sz w:val="32"/>
          <w:szCs w:val="32"/>
        </w:rPr>
        <w:t>个项目编制了绩效目标，对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个项目开展了绩效自评。同时，本部门对202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年部门整体开展绩效自评</w:t>
      </w:r>
      <w:r>
        <w:rPr>
          <w:rFonts w:eastAsia="仿宋_GB2312" w:cs="Times New Roman" w:hint="eastAsia"/>
          <w:sz w:val="32"/>
          <w:szCs w:val="32"/>
          <w:lang w:eastAsia="zh-CN"/>
        </w:rPr>
        <w:t>，</w:t>
      </w:r>
      <w:r>
        <w:rPr>
          <w:rFonts w:ascii="Times New Roman" w:eastAsia="仿宋_GB2312" w:cs="Times New Roman" w:hAnsi="Times New Roman"/>
          <w:color w:val="auto"/>
          <w:sz w:val="32"/>
          <w:szCs w:val="32"/>
        </w:rPr>
        <w:t>《</w:t>
      </w:r>
      <w:r>
        <w:rPr>
          <w:rFonts w:ascii="Times New Roman" w:eastAsia="仿宋_GB2312" w:cs="Times New Roman" w:hAnsi="Times New Roman" w:hint="eastAsia"/>
          <w:color w:val="auto"/>
          <w:sz w:val="32"/>
          <w:szCs w:val="32"/>
          <w:lang w:val="en-US" w:eastAsia="zh-CN"/>
        </w:rPr>
        <w:t>金川县二嘎里乡人民政府</w:t>
      </w:r>
    </w:p>
    <w:p>
      <w:pPr>
        <w:pageBreakBefore w:val="0"/>
        <w:widowControl w:val="0"/>
        <w:kinsoku/>
        <w:wordWrap/>
        <w:overflowPunct/>
        <w:topLinePunct w:val="0"/>
        <w:bidi w:val="0"/>
        <w:spacing w:line="576" w:lineRule="exact"/>
        <w:jc w:val="both"/>
        <w:rPr>
          <w:rStyle w:val="2Char"/>
          <w:rFonts w:ascii="黑体" w:eastAsia="黑体"/>
          <w:b w:val="0"/>
          <w:color w:val="auto"/>
        </w:rPr>
      </w:pPr>
      <w:r>
        <w:rPr>
          <w:rFonts w:ascii="Times New Roman" w:eastAsia="仿宋_GB2312" w:cs="Times New Roman" w:hAnsi="Times New Roman"/>
          <w:color w:val="auto"/>
          <w:sz w:val="32"/>
          <w:szCs w:val="32"/>
        </w:rPr>
        <w:t>202</w:t>
      </w:r>
      <w:r>
        <w:rPr>
          <w:rFonts w:ascii="Times New Roman" w:eastAsia="仿宋_GB2312" w:cs="Times New Roman" w:hAnsi="Times New Roman" w:hint="eastAsia"/>
          <w:color w:val="auto"/>
          <w:sz w:val="32"/>
          <w:szCs w:val="32"/>
          <w:lang w:val="en-US" w:eastAsia="zh-CN"/>
        </w:rPr>
        <w:t>2</w:t>
      </w:r>
      <w:r>
        <w:rPr>
          <w:rFonts w:ascii="Times New Roman" w:eastAsia="仿宋_GB2312" w:cs="Times New Roman" w:hAnsi="Times New Roman"/>
          <w:color w:val="auto"/>
          <w:sz w:val="32"/>
          <w:szCs w:val="32"/>
        </w:rPr>
        <w:t>年部门整体绩效评价报告》见附件（第四部分）。</w:t>
      </w:r>
    </w:p>
    <w:p>
      <w:pPr>
        <w:numPr>
          <w:ilvl w:val="0"/>
          <w:numId w:val="5"/>
        </w:numPr>
        <w:spacing w:line="600" w:lineRule="exact"/>
        <w:ind w:left="0" w:firstLineChars="150" w:firstLine="660"/>
        <w:jc w:val="center"/>
        <w:outlineLvl w:val="0"/>
        <w:rPr>
          <w:rStyle w:val="1Char"/>
          <w:rFonts w:ascii="黑体" w:eastAsia="黑体"/>
          <w:b w:val="0"/>
        </w:rPr>
      </w:pPr>
      <w:bookmarkStart w:id="58" w:name="_Toc15377225"/>
      <w:bookmarkStart w:id="59" w:name="_Toc30760"/>
      <w:bookmarkEnd w:id="55"/>
      <w:r>
        <w:rPr>
          <w:rFonts w:ascii="黑体" w:eastAsia="黑体" w:hint="eastAsia"/>
          <w:b/>
          <w:color w:val="000000"/>
          <w:sz w:val="44"/>
          <w:szCs w:val="44"/>
        </w:rPr>
        <w:t>名</w:t>
      </w:r>
      <w:r>
        <w:rPr>
          <w:rStyle w:val="1Char"/>
          <w:rFonts w:ascii="黑体" w:eastAsia="黑体" w:hint="eastAsia"/>
          <w:b w:val="0"/>
        </w:rPr>
        <w:t>词解释</w:t>
      </w:r>
      <w:bookmarkEnd w:id="58"/>
      <w:bookmarkEnd w:id="59"/>
    </w:p>
    <w:p>
      <w:pPr>
        <w:pStyle w:val="32"/>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2"/>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2"/>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2"/>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2"/>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2"/>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2"/>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2"/>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0" w:name="_Toc15396614"/>
      <w:bookmarkStart w:id="61" w:name="_Toc15377226"/>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62" w:name="_Toc26843623"/>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62"/>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63" w:name="_Toc26843624"/>
      <w:r>
        <w:rPr>
          <w:rFonts w:ascii="Times New Roman" w:eastAsia="黑体" w:cs="Times New Roman" w:hAnsi="Times New Roman"/>
          <w:sz w:val="32"/>
          <w:szCs w:val="32"/>
        </w:rPr>
        <w:t>附件</w:t>
      </w:r>
      <w:bookmarkEnd w:id="63"/>
    </w:p>
    <w:p>
      <w:pPr>
        <w:pageBreakBefore w:val="0"/>
        <w:widowControl w:val="0"/>
        <w:kinsoku/>
        <w:wordWrap/>
        <w:overflowPunct/>
        <w:topLinePunct w:val="0"/>
        <w:bidi w:val="0"/>
        <w:spacing w:line="576" w:lineRule="exact"/>
        <w:jc w:val="center"/>
        <w:rPr>
          <w:rFonts w:eastAsia="方正小标宋简体" w:cs="Times New Roman" w:hint="eastAsia"/>
          <w:kern w:val="0"/>
          <w:sz w:val="40"/>
          <w:szCs w:val="44"/>
          <w:lang w:val="en-US" w:eastAsia="zh-CN"/>
        </w:rPr>
      </w:pPr>
      <w:r>
        <w:rPr>
          <w:rFonts w:eastAsia="方正小标宋简体" w:cs="Times New Roman" w:hint="eastAsia"/>
          <w:kern w:val="0"/>
          <w:sz w:val="40"/>
          <w:szCs w:val="44"/>
          <w:lang w:val="en-US" w:eastAsia="zh-CN"/>
        </w:rPr>
        <w:t>金川县二嘎里乡人民政府</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ascii="Times New Roman" w:eastAsia="方正小标宋简体" w:cs="Times New Roman" w:hAnsi="Times New Roman"/>
          <w:kern w:val="0"/>
          <w:sz w:val="40"/>
          <w:szCs w:val="44"/>
        </w:rPr>
        <w:t>202</w:t>
      </w:r>
      <w:r>
        <w:rPr>
          <w:rFonts w:eastAsia="方正小标宋简体" w:cs="Times New Roman" w:hint="eastAsia"/>
          <w:kern w:val="0"/>
          <w:sz w:val="40"/>
          <w:szCs w:val="44"/>
          <w:lang w:val="en-US" w:eastAsia="zh-CN"/>
        </w:rPr>
        <w:t>2</w:t>
      </w:r>
      <w:r>
        <w:rPr>
          <w:rFonts w:ascii="Times New Roman" w:eastAsia="方正小标宋简体" w:cs="Times New Roman" w:hAnsi="Times New Roman"/>
          <w:kern w:val="0"/>
          <w:sz w:val="40"/>
          <w:szCs w:val="44"/>
        </w:rPr>
        <w:t>年部门整体绩效评价报告</w:t>
      </w:r>
    </w:p>
    <w:p>
      <w:pPr>
        <w:pageBreakBefore w:val="0"/>
        <w:widowControl/>
        <w:kinsoku/>
        <w:wordWrap/>
        <w:overflowPunct/>
        <w:topLinePunct w:val="0"/>
        <w:bidi w:val="0"/>
        <w:spacing w:line="576" w:lineRule="exact"/>
        <w:ind w:firstLineChars="200" w:firstLine="640"/>
        <w:contextualSpacing/>
        <w:jc w:val="center"/>
        <w:rPr>
          <w:rFonts w:ascii="Times New Roman" w:eastAsia="仿宋_GB2312" w:cs="Times New Roman" w:hAnsi="Times New Roman"/>
          <w:sz w:val="32"/>
          <w:szCs w:val="32"/>
          <w:shd w:val="clear" w:color="auto" w:fill="FFFFFF"/>
        </w:rPr>
      </w:pPr>
      <w:r>
        <w:rPr>
          <w:rFonts w:ascii="Times New Roman" w:eastAsia="仿宋_GB2312" w:cs="Times New Roman" w:hAnsi="Times New Roman"/>
          <w:sz w:val="32"/>
          <w:szCs w:val="32"/>
          <w:shd w:val="clear" w:color="auto" w:fill="FFFFFF"/>
        </w:rPr>
        <w:t>（报告范围包括机关和下属单位）</w:t>
      </w:r>
    </w:p>
    <w:p>
      <w:pPr>
        <w:spacing w:line="600" w:lineRule="exact"/>
        <w:jc w:val="center"/>
        <w:outlineLvl w:val="0"/>
        <w:rPr>
          <w:rFonts w:ascii="黑体" w:eastAsia="黑体" w:hint="eastAsia"/>
          <w:b/>
          <w:color w:val="000000"/>
          <w:sz w:val="44"/>
          <w:szCs w:val="44"/>
          <w:lang w:val="en-US" w:eastAsia="zh-CN"/>
        </w:rPr>
      </w:pP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一、部门（单位）概况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（一）机构组成。</w:t>
      </w:r>
    </w:p>
    <w:p>
      <w:pPr>
        <w:ind w:firstLineChars="200" w:firstLine="640"/>
        <w:rPr>
          <w:rFonts w:ascii="仿宋_GB2312" w:eastAsia="仿宋_GB2312" w:cs="仿宋_GB2312" w:hint="eastAsia"/>
          <w:color w:val="000000"/>
          <w:sz w:val="31"/>
          <w:szCs w:val="31"/>
        </w:rPr>
      </w:pPr>
      <w:r>
        <w:rPr>
          <w:rFonts w:ascii="仿宋_GB2312" w:eastAsia="仿宋_GB2312" w:hint="eastAsia"/>
          <w:color w:val="000000"/>
          <w:sz w:val="32"/>
          <w:szCs w:val="32"/>
        </w:rPr>
        <w:t>根据《</w:t>
      </w:r>
      <w:r>
        <w:rPr>
          <w:rFonts w:ascii="仿宋_GB2312" w:eastAsia="仿宋_GB2312" w:hint="eastAsia"/>
          <w:color w:val="000000"/>
          <w:sz w:val="32"/>
          <w:szCs w:val="32"/>
          <w:lang w:val="en-US" w:eastAsia="zh-CN"/>
        </w:rPr>
        <w:t>金川县</w:t>
      </w:r>
      <w:r>
        <w:rPr>
          <w:rFonts w:ascii="仿宋_GB2312" w:eastAsia="仿宋_GB2312" w:hint="eastAsia"/>
          <w:color w:val="000000"/>
          <w:sz w:val="32"/>
          <w:szCs w:val="32"/>
        </w:rPr>
        <w:t>财政局关于开展</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部门、政策和项目</w:t>
      </w:r>
      <w:r>
        <w:rPr>
          <w:rFonts w:ascii="仿宋_GB2312" w:eastAsia="仿宋_GB2312" w:hint="eastAsia"/>
          <w:color w:val="000000"/>
          <w:sz w:val="32"/>
          <w:szCs w:val="32"/>
        </w:rPr>
        <w:t>支出绩效评价工作的通知》（阿州财</w:t>
      </w:r>
      <w:r>
        <w:rPr>
          <w:rFonts w:ascii="仿宋_GB2312" w:eastAsia="仿宋_GB2312" w:hint="eastAsia"/>
          <w:color w:val="000000"/>
          <w:sz w:val="32"/>
          <w:szCs w:val="32"/>
          <w:lang w:val="en-US" w:eastAsia="zh-CN"/>
        </w:rPr>
        <w:t>金</w:t>
      </w:r>
      <w:r>
        <w:rPr>
          <w:rFonts w:ascii="仿宋_GB2312" w:eastAsia="仿宋_GB2312" w:hint="eastAsia"/>
          <w:color w:val="000000"/>
          <w:sz w:val="32"/>
          <w:szCs w:val="32"/>
        </w:rPr>
        <w:t>监绩〔</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32</w:t>
      </w:r>
      <w:r>
        <w:rPr>
          <w:rFonts w:ascii="仿宋_GB2312" w:eastAsia="仿宋_GB2312" w:hint="eastAsia"/>
          <w:color w:val="000000"/>
          <w:sz w:val="32"/>
          <w:szCs w:val="32"/>
        </w:rPr>
        <w:t>号）文件精神，组建金川县</w:t>
      </w:r>
      <w:r>
        <w:rPr>
          <w:rFonts w:ascii="仿宋_GB2312" w:eastAsia="仿宋_GB2312" w:hint="eastAsia"/>
          <w:color w:val="000000"/>
          <w:sz w:val="32"/>
          <w:szCs w:val="32"/>
          <w:lang w:val="en-US" w:eastAsia="zh-CN"/>
        </w:rPr>
        <w:t>二嘎里乡人民政府</w:t>
      </w:r>
      <w:r>
        <w:rPr>
          <w:rFonts w:ascii="仿宋_GB2312" w:eastAsia="仿宋_GB2312" w:hint="eastAsia"/>
          <w:color w:val="000000"/>
          <w:sz w:val="32"/>
          <w:szCs w:val="32"/>
        </w:rPr>
        <w:t>，下设</w:t>
      </w:r>
      <w:r>
        <w:rPr>
          <w:rFonts w:ascii="仿宋_GB2312" w:eastAsia="仿宋_GB2312" w:hint="eastAsia"/>
          <w:color w:val="000000"/>
          <w:sz w:val="32"/>
          <w:szCs w:val="32"/>
          <w:lang w:val="en-US" w:eastAsia="zh-CN"/>
        </w:rPr>
        <w:t>四个部门，分别为二嘎里乡政府办公室、二嘎里乡党委办公室、二嘎里乡人大办公室、二嘎里乡综合服务中心。</w:t>
      </w:r>
    </w:p>
    <w:p>
      <w:pPr>
        <w:pStyle w:val="23"/>
        <w:keepNext w:val="0"/>
        <w:keepLines w:val="0"/>
        <w:widowControl/>
        <w:numPr>
          <w:ilvl w:val="0"/>
          <w:numId w:val="6"/>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机构职能。</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1.执行本级人民代表大会的决议和上级国家行政机关的决定和命令，发布决定和命令；</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2.执行本行政区域内的经济社会发展计划，预算，管理本行政区域内的经济，教育，科学，文化，卫生，体育事业和财政，民政，公安，司法行政，计划生育等行政工作;</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3.保护社会主义的全民所有财产和劳动群众的集体所有的财产，保护公民私人所有的合法财产，维护社会秩序，保障公民的人生权利，民主权利和其他权利；</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4.保护各种经济组织的合法权益；</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5.保障少数民族的权利和尊重少数民族的风俗习惯；</w:t>
      </w:r>
    </w:p>
    <w:p>
      <w:pPr>
        <w:keepNext w:val="0"/>
        <w:keepLines w:val="0"/>
        <w:widowControl/>
        <w:suppressLineNumbers w:val="0"/>
        <w:ind w:firstLineChars="200" w:firstLine="640"/>
        <w:jc w:val="left"/>
        <w:rPr>
          <w:rFonts w:ascii="仿宋_GB2312" w:eastAsia="仿宋_GB2312" w:cs="仿宋_GB2312" w:hint="eastAsia"/>
          <w:color w:val="000000"/>
          <w:sz w:val="31"/>
          <w:szCs w:val="31"/>
        </w:rPr>
      </w:pPr>
      <w:r>
        <w:rPr>
          <w:rFonts w:ascii="仿宋_GB2312" w:eastAsia="仿宋_GB2312" w:cs="Arial" w:hint="eastAsia"/>
          <w:color w:val="000000"/>
          <w:kern w:val="2"/>
          <w:sz w:val="32"/>
          <w:szCs w:val="32"/>
          <w:lang w:val="en-US" w:eastAsia="zh-CN" w:bidi="ar-SA"/>
        </w:rPr>
        <w:t>6.办理上级人民政府交办的其他事项</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（三）人员概况。</w:t>
      </w:r>
    </w:p>
    <w:p>
      <w:pPr>
        <w:snapToGrid w:val="0"/>
        <w:spacing w:line="360" w:lineRule="auto"/>
        <w:ind w:firstLineChars="200" w:firstLine="640"/>
        <w:rPr>
          <w:rFonts w:ascii="仿宋_GB2312" w:eastAsia="仿宋_GB2312"/>
          <w:sz w:val="32"/>
          <w:szCs w:val="32"/>
        </w:rPr>
      </w:pPr>
      <w:r>
        <w:rPr>
          <w:rFonts w:ascii="仿宋_GB2312" w:eastAsia="仿宋_GB2312" w:hint="eastAsia"/>
          <w:color w:val="000000"/>
          <w:sz w:val="32"/>
          <w:szCs w:val="32"/>
        </w:rPr>
        <w:t>金川县</w:t>
      </w:r>
      <w:r>
        <w:rPr>
          <w:rFonts w:ascii="仿宋_GB2312" w:eastAsia="仿宋_GB2312" w:hint="eastAsia"/>
          <w:color w:val="000000"/>
          <w:sz w:val="32"/>
          <w:szCs w:val="32"/>
          <w:lang w:val="en-US" w:eastAsia="zh-CN"/>
        </w:rPr>
        <w:t>二嘎里乡</w:t>
      </w:r>
      <w:r>
        <w:rPr>
          <w:rFonts w:ascii="仿宋_GB2312" w:eastAsia="仿宋_GB2312" w:hint="eastAsia"/>
          <w:color w:val="000000"/>
          <w:sz w:val="32"/>
          <w:szCs w:val="32"/>
        </w:rPr>
        <w:t>属于财政补助的一级预算机关单位，执行的是行政会计制度，编制人数为</w:t>
      </w:r>
      <w:r>
        <w:rPr>
          <w:rFonts w:ascii="仿宋_GB2312" w:eastAsia="仿宋_GB2312" w:hint="eastAsia"/>
          <w:color w:val="000000"/>
          <w:sz w:val="32"/>
          <w:szCs w:val="32"/>
          <w:lang w:val="en-US" w:eastAsia="zh-CN"/>
        </w:rPr>
        <w:t>33个</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其中：</w:t>
      </w:r>
      <w:r>
        <w:rPr>
          <w:rFonts w:ascii="仿宋_GB2312" w:eastAsia="仿宋_GB2312" w:hint="eastAsia"/>
          <w:sz w:val="32"/>
          <w:szCs w:val="32"/>
          <w:lang w:val="en-US" w:eastAsia="zh-CN"/>
        </w:rPr>
        <w:t>公务员</w:t>
      </w:r>
      <w:r>
        <w:rPr>
          <w:rFonts w:ascii="仿宋_GB2312" w:eastAsia="仿宋_GB2312" w:hint="eastAsia"/>
          <w:sz w:val="32"/>
          <w:szCs w:val="32"/>
        </w:rPr>
        <w:t>编制</w:t>
      </w:r>
      <w:r>
        <w:rPr>
          <w:rFonts w:ascii="仿宋_GB2312" w:eastAsia="仿宋_GB2312" w:hint="eastAsia"/>
          <w:sz w:val="32"/>
          <w:szCs w:val="32"/>
          <w:lang w:val="en-US" w:eastAsia="zh-CN"/>
        </w:rPr>
        <w:t>18个</w:t>
      </w:r>
      <w:r>
        <w:rPr>
          <w:rFonts w:ascii="仿宋_GB2312" w:eastAsia="仿宋_GB2312" w:hint="eastAsia"/>
          <w:sz w:val="32"/>
          <w:szCs w:val="32"/>
        </w:rPr>
        <w:t>，</w:t>
      </w:r>
      <w:r>
        <w:rPr>
          <w:rFonts w:ascii="仿宋_GB2312" w:eastAsia="仿宋_GB2312" w:hint="eastAsia"/>
          <w:sz w:val="32"/>
          <w:szCs w:val="32"/>
          <w:lang w:val="en-US" w:eastAsia="zh-CN"/>
        </w:rPr>
        <w:t>机关</w:t>
      </w:r>
      <w:r>
        <w:rPr>
          <w:rFonts w:ascii="仿宋_GB2312" w:eastAsia="仿宋_GB2312" w:hint="eastAsia"/>
          <w:sz w:val="32"/>
          <w:szCs w:val="32"/>
        </w:rPr>
        <w:t>工勤编制</w:t>
      </w:r>
      <w:r>
        <w:rPr>
          <w:rFonts w:ascii="仿宋_GB2312" w:eastAsia="仿宋_GB2312" w:hint="eastAsia"/>
          <w:sz w:val="32"/>
          <w:szCs w:val="32"/>
          <w:lang w:val="en-US" w:eastAsia="zh-CN"/>
        </w:rPr>
        <w:t>2个</w:t>
      </w:r>
      <w:r>
        <w:rPr>
          <w:rFonts w:ascii="仿宋_GB2312" w:eastAsia="仿宋_GB2312" w:hint="eastAsia"/>
          <w:sz w:val="32"/>
          <w:szCs w:val="32"/>
        </w:rPr>
        <w:t>、事业</w:t>
      </w:r>
      <w:r>
        <w:rPr>
          <w:rFonts w:ascii="仿宋_GB2312" w:eastAsia="仿宋_GB2312" w:hint="eastAsia"/>
          <w:bCs/>
          <w:sz w:val="32"/>
          <w:szCs w:val="32"/>
        </w:rPr>
        <w:t>编制</w:t>
      </w:r>
      <w:r>
        <w:rPr>
          <w:rFonts w:ascii="仿宋_GB2312" w:eastAsia="仿宋_GB2312" w:hint="eastAsia"/>
          <w:bCs/>
          <w:sz w:val="32"/>
          <w:szCs w:val="32"/>
          <w:lang w:val="en-US" w:eastAsia="zh-CN"/>
        </w:rPr>
        <w:t>13个</w:t>
      </w:r>
      <w:r>
        <w:rPr>
          <w:rFonts w:ascii="仿宋_GB2312" w:eastAsia="仿宋_GB2312" w:hint="eastAsia"/>
          <w:sz w:val="32"/>
          <w:szCs w:val="32"/>
        </w:rPr>
        <w:t>。</w:t>
      </w:r>
    </w:p>
    <w:p>
      <w:pPr>
        <w:snapToGrid w:val="0"/>
        <w:spacing w:line="360" w:lineRule="auto"/>
        <w:ind w:firstLineChars="200" w:firstLine="640"/>
        <w:rPr>
          <w:rFonts w:ascii="仿宋_GB2312" w:eastAsia="仿宋_GB2312" w:cs="仿宋_GB2312" w:hint="eastAsia"/>
          <w:color w:val="000000"/>
          <w:sz w:val="31"/>
          <w:szCs w:val="31"/>
        </w:rPr>
      </w:pPr>
      <w:r>
        <w:rPr>
          <w:rFonts w:ascii="仿宋_GB2312" w:eastAsia="仿宋_GB2312" w:hint="eastAsia"/>
          <w:sz w:val="32"/>
          <w:szCs w:val="32"/>
        </w:rPr>
        <w:t>我局</w:t>
      </w:r>
      <w:r>
        <w:rPr>
          <w:rFonts w:ascii="仿宋_GB2312" w:eastAsia="仿宋_GB2312" w:hint="eastAsia"/>
          <w:sz w:val="32"/>
          <w:szCs w:val="32"/>
          <w:lang w:eastAsia="zh-CN"/>
        </w:rPr>
        <w:t>202</w:t>
      </w:r>
      <w:r>
        <w:rPr>
          <w:rFonts w:ascii="仿宋_GB2312" w:eastAsia="仿宋_GB2312" w:hint="eastAsia"/>
          <w:sz w:val="32"/>
          <w:szCs w:val="32"/>
          <w:lang w:val="en-US" w:eastAsia="zh-CN"/>
        </w:rPr>
        <w:t>2</w:t>
      </w:r>
      <w:r>
        <w:rPr>
          <w:rFonts w:ascii="仿宋_GB2312" w:eastAsia="仿宋_GB2312" w:hint="eastAsia"/>
          <w:sz w:val="32"/>
          <w:szCs w:val="32"/>
        </w:rPr>
        <w:t>年年末在职</w:t>
      </w:r>
      <w:r>
        <w:rPr>
          <w:rFonts w:ascii="仿宋_GB2312" w:eastAsia="仿宋_GB2312" w:hint="eastAsia"/>
          <w:sz w:val="32"/>
          <w:szCs w:val="32"/>
          <w:lang w:val="en-US" w:eastAsia="zh-CN"/>
        </w:rPr>
        <w:t>30</w:t>
      </w:r>
      <w:r>
        <w:rPr>
          <w:rFonts w:ascii="仿宋_GB2312" w:eastAsia="仿宋_GB2312" w:hint="eastAsia"/>
          <w:sz w:val="32"/>
          <w:szCs w:val="32"/>
        </w:rPr>
        <w:t>人，</w:t>
      </w:r>
      <w:r>
        <w:rPr>
          <w:rFonts w:ascii="仿宋_GB2312" w:eastAsia="仿宋_GB2312" w:hint="eastAsia"/>
          <w:sz w:val="32"/>
          <w:szCs w:val="32"/>
          <w:lang w:val="en-US" w:eastAsia="zh-CN"/>
        </w:rPr>
        <w:t>其</w:t>
      </w:r>
      <w:r>
        <w:rPr>
          <w:rFonts w:ascii="仿宋_GB2312" w:eastAsia="仿宋_GB2312" w:hint="eastAsia"/>
          <w:sz w:val="32"/>
          <w:szCs w:val="32"/>
        </w:rPr>
        <w:t>中</w:t>
      </w:r>
      <w:r>
        <w:rPr>
          <w:rFonts w:ascii="仿宋_GB2312" w:eastAsia="仿宋_GB2312" w:hint="eastAsia"/>
          <w:sz w:val="32"/>
          <w:szCs w:val="32"/>
          <w:lang w:eastAsia="zh-CN"/>
        </w:rPr>
        <w:t>：</w:t>
      </w:r>
      <w:r>
        <w:rPr>
          <w:rFonts w:ascii="仿宋_GB2312" w:eastAsia="仿宋_GB2312" w:hint="eastAsia"/>
          <w:sz w:val="32"/>
          <w:szCs w:val="32"/>
          <w:lang w:val="en-US" w:eastAsia="zh-CN"/>
        </w:rPr>
        <w:t>公务员17人</w:t>
      </w:r>
      <w:r>
        <w:rPr>
          <w:rFonts w:ascii="仿宋_GB2312" w:eastAsia="仿宋_GB2312" w:hint="eastAsia"/>
          <w:sz w:val="32"/>
          <w:szCs w:val="32"/>
        </w:rPr>
        <w:t>，</w:t>
      </w:r>
      <w:r>
        <w:rPr>
          <w:rFonts w:ascii="仿宋_GB2312" w:eastAsia="仿宋_GB2312" w:hint="eastAsia"/>
          <w:sz w:val="32"/>
          <w:szCs w:val="32"/>
          <w:lang w:val="en-US" w:eastAsia="zh-CN"/>
        </w:rPr>
        <w:t>机关</w:t>
      </w:r>
      <w:r>
        <w:rPr>
          <w:rFonts w:ascii="仿宋_GB2312" w:eastAsia="仿宋_GB2312" w:hint="eastAsia"/>
          <w:sz w:val="32"/>
          <w:szCs w:val="32"/>
        </w:rPr>
        <w:t>工勤</w:t>
      </w:r>
      <w:r>
        <w:rPr>
          <w:rFonts w:ascii="仿宋_GB2312" w:eastAsia="仿宋_GB2312" w:hint="eastAsia"/>
          <w:sz w:val="32"/>
          <w:szCs w:val="32"/>
          <w:lang w:val="en-US" w:eastAsia="zh-CN"/>
        </w:rPr>
        <w:t>2人</w:t>
      </w:r>
      <w:r>
        <w:rPr>
          <w:rFonts w:ascii="仿宋_GB2312" w:eastAsia="仿宋_GB2312" w:hint="eastAsia"/>
          <w:sz w:val="32"/>
          <w:szCs w:val="32"/>
        </w:rPr>
        <w:t>、</w:t>
      </w:r>
      <w:r>
        <w:rPr>
          <w:rFonts w:ascii="仿宋_GB2312" w:eastAsia="仿宋_GB2312" w:hint="eastAsia"/>
          <w:sz w:val="32"/>
          <w:szCs w:val="32"/>
          <w:lang w:val="en-US" w:eastAsia="zh-CN"/>
        </w:rPr>
        <w:t>其他</w:t>
      </w:r>
      <w:r>
        <w:rPr>
          <w:rFonts w:ascii="仿宋_GB2312" w:eastAsia="仿宋_GB2312" w:hint="eastAsia"/>
          <w:sz w:val="32"/>
          <w:szCs w:val="32"/>
        </w:rPr>
        <w:t>事业</w:t>
      </w:r>
      <w:r>
        <w:rPr>
          <w:rFonts w:ascii="仿宋_GB2312" w:eastAsia="仿宋_GB2312" w:hint="eastAsia"/>
          <w:bCs/>
          <w:sz w:val="32"/>
          <w:szCs w:val="32"/>
          <w:lang w:val="en-US" w:eastAsia="zh-CN"/>
        </w:rPr>
        <w:t>12人，</w:t>
      </w:r>
      <w:r>
        <w:rPr>
          <w:rFonts w:ascii="仿宋_GB2312" w:eastAsia="仿宋_GB2312" w:hint="eastAsia"/>
          <w:color w:val="000000"/>
          <w:sz w:val="32"/>
          <w:szCs w:val="32"/>
        </w:rPr>
        <w:t>退休人数</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人，遗嘱0人。</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二、部门财政资金收支情况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（一）部门财政资金收入情况。</w:t>
      </w:r>
    </w:p>
    <w:p>
      <w:pPr>
        <w:snapToGrid w:val="0"/>
        <w:spacing w:line="360" w:lineRule="auto"/>
        <w:ind w:firstLineChars="200" w:firstLine="640"/>
        <w:rPr>
          <w:rFonts w:ascii="仿宋_GB2312" w:eastAsia="仿宋_GB2312" w:hint="eastAsia"/>
          <w:sz w:val="32"/>
          <w:szCs w:val="32"/>
        </w:rPr>
      </w:pPr>
      <w:r>
        <w:rPr>
          <w:rFonts w:ascii="仿宋_GB2312" w:eastAsia="仿宋_GB2312" w:hint="eastAsia"/>
          <w:sz w:val="32"/>
          <w:szCs w:val="32"/>
          <w:lang w:eastAsia="zh-CN"/>
        </w:rPr>
        <w:t>2022</w:t>
      </w:r>
      <w:r>
        <w:rPr>
          <w:rFonts w:ascii="仿宋_GB2312" w:eastAsia="仿宋_GB2312" w:hint="eastAsia"/>
          <w:sz w:val="32"/>
          <w:szCs w:val="32"/>
        </w:rPr>
        <w:t>年总收入</w:t>
      </w:r>
      <w:r>
        <w:rPr>
          <w:rFonts w:ascii="仿宋_GB2312" w:eastAsia="仿宋_GB2312" w:hint="eastAsia"/>
          <w:sz w:val="32"/>
          <w:szCs w:val="32"/>
          <w:lang w:val="en-US" w:eastAsia="zh-CN"/>
        </w:rPr>
        <w:t>892.02</w:t>
      </w:r>
      <w:r>
        <w:rPr>
          <w:rFonts w:ascii="仿宋_GB2312" w:eastAsia="仿宋_GB2312" w:hint="eastAsia"/>
          <w:sz w:val="32"/>
          <w:szCs w:val="32"/>
        </w:rPr>
        <w:t>万元，其中：一般公共预算财政拨款收入</w:t>
      </w:r>
      <w:r>
        <w:rPr>
          <w:rFonts w:ascii="仿宋_GB2312" w:eastAsia="仿宋_GB2312" w:hint="eastAsia"/>
          <w:sz w:val="32"/>
          <w:szCs w:val="32"/>
          <w:lang w:val="en-US" w:eastAsia="zh-CN"/>
        </w:rPr>
        <w:t>883.39</w:t>
      </w:r>
      <w:r>
        <w:rPr>
          <w:rFonts w:ascii="仿宋_GB2312" w:eastAsia="仿宋_GB2312" w:hint="eastAsia"/>
          <w:sz w:val="32"/>
          <w:szCs w:val="32"/>
        </w:rPr>
        <w:t>万元，占100%；政府性基金预算财政拨款收入0万元，占0%；国有资本经营预算财政拨款收入0万元，占0%；事业收入0万元，占0%；经营收入0万元，占0%；附属单位上缴收入0万元，占0%；其他收入0万元，占0%。</w:t>
      </w:r>
    </w:p>
    <w:p>
      <w:pPr>
        <w:pStyle w:val="23"/>
        <w:keepNext w:val="0"/>
        <w:keepLines w:val="0"/>
        <w:widowControl/>
        <w:numPr>
          <w:ilvl w:val="0"/>
          <w:numId w:val="6"/>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部门财政资金支出情况。</w:t>
      </w:r>
    </w:p>
    <w:p>
      <w:pPr>
        <w:snapToGrid w:val="0"/>
        <w:spacing w:line="360" w:lineRule="auto"/>
        <w:ind w:firstLineChars="200" w:firstLine="640"/>
        <w:rPr>
          <w:rFonts w:ascii="仿宋_GB2312" w:eastAsia="仿宋_GB2312" w:hint="eastAsia"/>
          <w:sz w:val="32"/>
          <w:szCs w:val="32"/>
        </w:rPr>
      </w:pPr>
      <w:r>
        <w:rPr>
          <w:rFonts w:ascii="仿宋_GB2312" w:eastAsia="仿宋_GB2312" w:hint="eastAsia"/>
          <w:sz w:val="32"/>
          <w:szCs w:val="32"/>
          <w:lang w:eastAsia="zh-CN"/>
        </w:rPr>
        <w:t>2022</w:t>
      </w:r>
      <w:r>
        <w:rPr>
          <w:rFonts w:ascii="仿宋_GB2312" w:eastAsia="仿宋_GB2312" w:hint="eastAsia"/>
          <w:sz w:val="32"/>
          <w:szCs w:val="32"/>
        </w:rPr>
        <w:t>年一般公共预算财政拨款支出</w:t>
      </w:r>
      <w:r>
        <w:rPr>
          <w:rFonts w:ascii="仿宋_GB2312" w:eastAsia="仿宋_GB2312" w:hint="eastAsia"/>
          <w:sz w:val="32"/>
          <w:szCs w:val="32"/>
          <w:lang w:val="en-US" w:eastAsia="zh-CN"/>
        </w:rPr>
        <w:t>892.02</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rPr>
        <w:t>其中：基本支出</w:t>
      </w:r>
      <w:r>
        <w:rPr>
          <w:rFonts w:ascii="仿宋_GB2312" w:eastAsia="仿宋_GB2312" w:hint="eastAsia"/>
          <w:sz w:val="32"/>
          <w:szCs w:val="32"/>
          <w:lang w:val="en-US" w:eastAsia="zh-CN"/>
        </w:rPr>
        <w:t>691.60</w:t>
      </w:r>
      <w:r>
        <w:rPr>
          <w:rFonts w:ascii="仿宋_GB2312" w:eastAsia="仿宋_GB2312" w:hint="eastAsia"/>
          <w:sz w:val="32"/>
          <w:szCs w:val="32"/>
        </w:rPr>
        <w:t>万元，基本支出中人员经费支出为</w:t>
      </w:r>
      <w:r>
        <w:rPr>
          <w:rFonts w:ascii="仿宋_GB2312" w:eastAsia="仿宋_GB2312" w:hint="eastAsia"/>
          <w:sz w:val="32"/>
          <w:szCs w:val="32"/>
          <w:lang w:val="en-US" w:eastAsia="zh-CN"/>
        </w:rPr>
        <w:t>658.15</w:t>
      </w:r>
      <w:r>
        <w:rPr>
          <w:rFonts w:ascii="仿宋_GB2312" w:eastAsia="仿宋_GB2312" w:hint="eastAsia"/>
          <w:sz w:val="32"/>
          <w:szCs w:val="32"/>
        </w:rPr>
        <w:t>万元，主要包括：基本工资</w:t>
      </w:r>
      <w:r>
        <w:rPr>
          <w:rFonts w:ascii="仿宋_GB2312" w:eastAsia="仿宋_GB2312" w:hint="eastAsia"/>
          <w:sz w:val="32"/>
          <w:szCs w:val="32"/>
          <w:lang w:val="en-US" w:eastAsia="zh-CN"/>
        </w:rPr>
        <w:t>119.92</w:t>
      </w:r>
      <w:r>
        <w:rPr>
          <w:rFonts w:ascii="仿宋_GB2312" w:eastAsia="仿宋_GB2312" w:hint="eastAsia"/>
          <w:sz w:val="32"/>
          <w:szCs w:val="32"/>
        </w:rPr>
        <w:t>万元、津贴补贴</w:t>
      </w:r>
      <w:r>
        <w:rPr>
          <w:rFonts w:ascii="仿宋_GB2312" w:eastAsia="仿宋_GB2312" w:hint="eastAsia"/>
          <w:sz w:val="32"/>
          <w:szCs w:val="32"/>
          <w:lang w:val="en-US" w:eastAsia="zh-CN"/>
        </w:rPr>
        <w:t>150.46</w:t>
      </w:r>
      <w:r>
        <w:rPr>
          <w:rFonts w:ascii="仿宋_GB2312" w:eastAsia="仿宋_GB2312" w:hint="eastAsia"/>
          <w:sz w:val="32"/>
          <w:szCs w:val="32"/>
        </w:rPr>
        <w:t>万元、奖金</w:t>
      </w:r>
      <w:r>
        <w:rPr>
          <w:rFonts w:ascii="仿宋_GB2312" w:eastAsia="仿宋_GB2312" w:hint="eastAsia"/>
          <w:sz w:val="32"/>
          <w:szCs w:val="32"/>
          <w:lang w:val="en-US" w:eastAsia="zh-CN"/>
        </w:rPr>
        <w:t>115.87</w:t>
      </w:r>
      <w:r>
        <w:rPr>
          <w:rFonts w:ascii="仿宋_GB2312" w:eastAsia="仿宋_GB2312" w:hint="eastAsia"/>
          <w:sz w:val="32"/>
          <w:szCs w:val="32"/>
        </w:rPr>
        <w:t>万元、绩效工资</w:t>
      </w:r>
      <w:r>
        <w:rPr>
          <w:rFonts w:ascii="仿宋_GB2312" w:eastAsia="仿宋_GB2312" w:hint="eastAsia"/>
          <w:sz w:val="32"/>
          <w:szCs w:val="32"/>
          <w:lang w:val="en-US" w:eastAsia="zh-CN"/>
        </w:rPr>
        <w:t>39.22</w:t>
      </w:r>
      <w:r>
        <w:rPr>
          <w:rFonts w:ascii="仿宋_GB2312" w:eastAsia="仿宋_GB2312" w:hint="eastAsia"/>
          <w:sz w:val="32"/>
          <w:szCs w:val="32"/>
        </w:rPr>
        <w:t>万元、机关事业单位基本养老保险缴费</w:t>
      </w:r>
      <w:r>
        <w:rPr>
          <w:rFonts w:ascii="仿宋_GB2312" w:eastAsia="仿宋_GB2312" w:hint="eastAsia"/>
          <w:sz w:val="32"/>
          <w:szCs w:val="32"/>
          <w:lang w:val="en-US" w:eastAsia="zh-CN"/>
        </w:rPr>
        <w:t>49.66</w:t>
      </w:r>
      <w:r>
        <w:rPr>
          <w:rFonts w:ascii="仿宋_GB2312" w:eastAsia="仿宋_GB2312" w:hint="eastAsia"/>
          <w:sz w:val="32"/>
          <w:szCs w:val="32"/>
        </w:rPr>
        <w:t>万元、职业年金缴费</w:t>
      </w:r>
      <w:r>
        <w:rPr>
          <w:rFonts w:ascii="仿宋_GB2312" w:eastAsia="仿宋_GB2312" w:hint="eastAsia"/>
          <w:sz w:val="32"/>
          <w:szCs w:val="32"/>
          <w:lang w:val="en-US" w:eastAsia="zh-CN"/>
        </w:rPr>
        <w:t>24.83</w:t>
      </w:r>
      <w:r>
        <w:rPr>
          <w:rFonts w:ascii="仿宋_GB2312" w:eastAsia="仿宋_GB2312" w:hint="eastAsia"/>
          <w:sz w:val="32"/>
          <w:szCs w:val="32"/>
        </w:rPr>
        <w:t>万元、其他社会保障缴费</w:t>
      </w:r>
      <w:r>
        <w:rPr>
          <w:rFonts w:ascii="仿宋_GB2312" w:eastAsia="仿宋_GB2312" w:hint="eastAsia"/>
          <w:sz w:val="32"/>
          <w:szCs w:val="32"/>
          <w:lang w:val="en-US" w:eastAsia="zh-CN"/>
        </w:rPr>
        <w:t>8.13</w:t>
      </w:r>
      <w:r>
        <w:rPr>
          <w:rFonts w:ascii="仿宋_GB2312" w:eastAsia="仿宋_GB2312" w:hint="eastAsia"/>
          <w:sz w:val="32"/>
          <w:szCs w:val="32"/>
        </w:rPr>
        <w:t>万元、住房公积金</w:t>
      </w:r>
      <w:r>
        <w:rPr>
          <w:rFonts w:ascii="仿宋_GB2312" w:eastAsia="仿宋_GB2312" w:hint="eastAsia"/>
          <w:sz w:val="32"/>
          <w:szCs w:val="32"/>
          <w:lang w:val="en-US" w:eastAsia="zh-CN"/>
        </w:rPr>
        <w:t>46.83</w:t>
      </w:r>
      <w:r>
        <w:rPr>
          <w:rFonts w:ascii="仿宋_GB2312" w:eastAsia="仿宋_GB2312" w:hint="eastAsia"/>
          <w:sz w:val="32"/>
          <w:szCs w:val="32"/>
        </w:rPr>
        <w:t>万元、职工基本医疗保险缴费</w:t>
      </w:r>
      <w:r>
        <w:rPr>
          <w:rFonts w:ascii="仿宋_GB2312" w:eastAsia="仿宋_GB2312" w:hint="eastAsia"/>
          <w:sz w:val="32"/>
          <w:szCs w:val="32"/>
          <w:lang w:val="en-US" w:eastAsia="zh-CN"/>
        </w:rPr>
        <w:t>42.84</w:t>
      </w:r>
      <w:r>
        <w:rPr>
          <w:rFonts w:ascii="仿宋_GB2312" w:eastAsia="仿宋_GB2312" w:hint="eastAsia"/>
          <w:sz w:val="32"/>
          <w:szCs w:val="32"/>
        </w:rPr>
        <w:t>万元、公务员医疗补助</w:t>
      </w:r>
      <w:r>
        <w:rPr>
          <w:rFonts w:ascii="仿宋_GB2312" w:eastAsia="仿宋_GB2312" w:hint="eastAsia"/>
          <w:sz w:val="32"/>
          <w:szCs w:val="32"/>
          <w:lang w:val="en-US" w:eastAsia="zh-CN"/>
        </w:rPr>
        <w:t>4.32</w:t>
      </w:r>
      <w:r>
        <w:rPr>
          <w:rFonts w:ascii="仿宋_GB2312" w:eastAsia="仿宋_GB2312" w:hint="eastAsia"/>
          <w:sz w:val="32"/>
          <w:szCs w:val="32"/>
        </w:rPr>
        <w:t>万元、生活补助</w:t>
      </w:r>
      <w:r>
        <w:rPr>
          <w:rFonts w:ascii="仿宋_GB2312" w:eastAsia="仿宋_GB2312" w:hint="eastAsia"/>
          <w:sz w:val="32"/>
          <w:szCs w:val="32"/>
          <w:lang w:val="en-US" w:eastAsia="zh-CN"/>
        </w:rPr>
        <w:t>12.43</w:t>
      </w:r>
      <w:r>
        <w:rPr>
          <w:rFonts w:ascii="仿宋_GB2312" w:eastAsia="仿宋_GB2312" w:hint="eastAsia"/>
          <w:sz w:val="32"/>
          <w:szCs w:val="32"/>
        </w:rPr>
        <w:t>万元、奖励金</w:t>
      </w:r>
      <w:r>
        <w:rPr>
          <w:rFonts w:ascii="仿宋_GB2312" w:eastAsia="仿宋_GB2312" w:hint="eastAsia"/>
          <w:sz w:val="32"/>
          <w:szCs w:val="32"/>
          <w:lang w:val="en-US" w:eastAsia="zh-CN"/>
        </w:rPr>
        <w:t>63.56</w:t>
      </w:r>
      <w:r>
        <w:rPr>
          <w:rFonts w:ascii="仿宋_GB2312" w:eastAsia="仿宋_GB2312" w:hint="eastAsia"/>
          <w:sz w:val="32"/>
          <w:szCs w:val="32"/>
        </w:rPr>
        <w:t>万元。</w:t>
      </w:r>
    </w:p>
    <w:p>
      <w:pPr>
        <w:snapToGrid w:val="0"/>
        <w:spacing w:line="360" w:lineRule="auto"/>
        <w:ind w:firstLineChars="200" w:firstLine="640"/>
        <w:rPr>
          <w:rFonts w:ascii="仿宋_GB2312" w:eastAsia="仿宋_GB2312" w:hint="eastAsia"/>
          <w:sz w:val="32"/>
          <w:szCs w:val="32"/>
        </w:rPr>
      </w:pPr>
      <w:r>
        <w:rPr>
          <w:rFonts w:ascii="仿宋_GB2312" w:eastAsia="仿宋_GB2312" w:hint="eastAsia"/>
          <w:sz w:val="32"/>
          <w:szCs w:val="32"/>
        </w:rPr>
        <w:t>公用经费支出为</w:t>
      </w:r>
      <w:r>
        <w:rPr>
          <w:rFonts w:ascii="仿宋_GB2312" w:eastAsia="仿宋_GB2312" w:hint="eastAsia"/>
          <w:sz w:val="32"/>
          <w:szCs w:val="32"/>
          <w:lang w:val="en-US" w:eastAsia="zh-CN"/>
        </w:rPr>
        <w:t>34.39</w:t>
      </w:r>
      <w:r>
        <w:rPr>
          <w:rFonts w:ascii="仿宋_GB2312" w:eastAsia="仿宋_GB2312" w:hint="eastAsia"/>
          <w:sz w:val="32"/>
          <w:szCs w:val="32"/>
        </w:rPr>
        <w:t>万元，主要包括：办公费</w:t>
      </w:r>
      <w:r>
        <w:rPr>
          <w:rFonts w:ascii="仿宋_GB2312" w:eastAsia="仿宋_GB2312" w:hint="eastAsia"/>
          <w:sz w:val="32"/>
          <w:szCs w:val="32"/>
          <w:lang w:val="en-US" w:eastAsia="zh-CN"/>
        </w:rPr>
        <w:t>8.41</w:t>
      </w:r>
      <w:r>
        <w:rPr>
          <w:rFonts w:ascii="仿宋_GB2312" w:eastAsia="仿宋_GB2312" w:hint="eastAsia"/>
          <w:sz w:val="32"/>
          <w:szCs w:val="32"/>
        </w:rPr>
        <w:t>万元、印刷费</w:t>
      </w:r>
      <w:r>
        <w:rPr>
          <w:rFonts w:ascii="仿宋_GB2312" w:eastAsia="仿宋_GB2312" w:hint="eastAsia"/>
          <w:sz w:val="32"/>
          <w:szCs w:val="32"/>
          <w:lang w:val="en-US" w:eastAsia="zh-CN"/>
        </w:rPr>
        <w:t>3.2</w:t>
      </w:r>
      <w:r>
        <w:rPr>
          <w:rFonts w:ascii="仿宋_GB2312" w:eastAsia="仿宋_GB2312" w:hint="eastAsia"/>
          <w:sz w:val="32"/>
          <w:szCs w:val="32"/>
        </w:rPr>
        <w:t>万元、</w:t>
      </w:r>
      <w:r>
        <w:rPr>
          <w:rFonts w:ascii="仿宋_GB2312" w:eastAsia="仿宋_GB2312" w:hint="eastAsia"/>
          <w:sz w:val="32"/>
          <w:szCs w:val="32"/>
          <w:lang w:val="en-US" w:eastAsia="zh-CN"/>
        </w:rPr>
        <w:t>手续费0.05万元、</w:t>
      </w:r>
      <w:r>
        <w:rPr>
          <w:rFonts w:ascii="仿宋_GB2312" w:eastAsia="仿宋_GB2312" w:hint="eastAsia"/>
          <w:sz w:val="32"/>
          <w:szCs w:val="32"/>
        </w:rPr>
        <w:t>电费</w:t>
      </w:r>
      <w:r>
        <w:rPr>
          <w:rFonts w:ascii="仿宋_GB2312" w:eastAsia="仿宋_GB2312" w:hint="eastAsia"/>
          <w:sz w:val="32"/>
          <w:szCs w:val="32"/>
          <w:lang w:val="en-US" w:eastAsia="zh-CN"/>
        </w:rPr>
        <w:t>5.5</w:t>
      </w:r>
      <w:r>
        <w:rPr>
          <w:rFonts w:ascii="仿宋_GB2312" w:eastAsia="仿宋_GB2312" w:hint="eastAsia"/>
          <w:sz w:val="32"/>
          <w:szCs w:val="32"/>
        </w:rPr>
        <w:t>万元、邮电费</w:t>
      </w:r>
      <w:r>
        <w:rPr>
          <w:rFonts w:ascii="仿宋_GB2312" w:eastAsia="仿宋_GB2312" w:hint="eastAsia"/>
          <w:sz w:val="32"/>
          <w:szCs w:val="32"/>
          <w:lang w:val="en-US" w:eastAsia="zh-CN"/>
        </w:rPr>
        <w:t>1.9</w:t>
      </w:r>
      <w:r>
        <w:rPr>
          <w:rFonts w:ascii="仿宋_GB2312" w:eastAsia="仿宋_GB2312" w:hint="eastAsia"/>
          <w:sz w:val="32"/>
          <w:szCs w:val="32"/>
        </w:rPr>
        <w:t>万元、差旅费</w:t>
      </w:r>
      <w:r>
        <w:rPr>
          <w:rFonts w:ascii="仿宋_GB2312" w:eastAsia="仿宋_GB2312" w:hint="eastAsia"/>
          <w:sz w:val="32"/>
          <w:szCs w:val="32"/>
          <w:lang w:val="en-US" w:eastAsia="zh-CN"/>
        </w:rPr>
        <w:t>4.98</w:t>
      </w:r>
      <w:r>
        <w:rPr>
          <w:rFonts w:ascii="仿宋_GB2312" w:eastAsia="仿宋_GB2312" w:hint="eastAsia"/>
          <w:sz w:val="32"/>
          <w:szCs w:val="32"/>
        </w:rPr>
        <w:t>万元、劳务费</w:t>
      </w:r>
      <w:r>
        <w:rPr>
          <w:rFonts w:ascii="仿宋_GB2312" w:eastAsia="仿宋_GB2312" w:hint="eastAsia"/>
          <w:sz w:val="32"/>
          <w:szCs w:val="32"/>
          <w:lang w:val="en-US" w:eastAsia="zh-CN"/>
        </w:rPr>
        <w:t>5.72</w:t>
      </w:r>
      <w:r>
        <w:rPr>
          <w:rFonts w:ascii="仿宋_GB2312" w:eastAsia="仿宋_GB2312" w:hint="eastAsia"/>
          <w:sz w:val="32"/>
          <w:szCs w:val="32"/>
        </w:rPr>
        <w:t>万元、</w:t>
      </w:r>
      <w:r>
        <w:rPr>
          <w:rFonts w:ascii="仿宋_GB2312" w:eastAsia="仿宋_GB2312" w:hint="eastAsia"/>
          <w:sz w:val="32"/>
          <w:szCs w:val="32"/>
          <w:lang w:eastAsia="zh-CN"/>
        </w:rPr>
        <w:t>委托业务费</w:t>
      </w:r>
      <w:r>
        <w:rPr>
          <w:rFonts w:ascii="仿宋_GB2312" w:eastAsia="仿宋_GB2312" w:hint="eastAsia"/>
          <w:sz w:val="32"/>
          <w:szCs w:val="32"/>
          <w:lang w:val="en-US" w:eastAsia="zh-CN"/>
        </w:rPr>
        <w:t>0.3万元、</w:t>
      </w:r>
      <w:r>
        <w:rPr>
          <w:rFonts w:ascii="仿宋_GB2312" w:eastAsia="仿宋_GB2312" w:hint="eastAsia"/>
          <w:sz w:val="32"/>
          <w:szCs w:val="32"/>
        </w:rPr>
        <w:t>公务用车运行维护费</w:t>
      </w:r>
      <w:r>
        <w:rPr>
          <w:rFonts w:ascii="仿宋_GB2312" w:eastAsia="仿宋_GB2312" w:hint="eastAsia"/>
          <w:sz w:val="32"/>
          <w:szCs w:val="32"/>
          <w:lang w:val="en-US" w:eastAsia="zh-CN"/>
        </w:rPr>
        <w:t>6.16</w:t>
      </w:r>
      <w:r>
        <w:rPr>
          <w:rFonts w:ascii="仿宋_GB2312" w:eastAsia="仿宋_GB2312" w:hint="eastAsia"/>
          <w:sz w:val="32"/>
          <w:szCs w:val="32"/>
        </w:rPr>
        <w:t>万元。</w:t>
      </w:r>
    </w:p>
    <w:p>
      <w:pPr>
        <w:snapToGrid w:val="0"/>
        <w:spacing w:line="360" w:lineRule="auto"/>
        <w:ind w:firstLineChars="200" w:firstLine="640"/>
        <w:rPr>
          <w:rFonts w:ascii="仿宋_GB2312" w:eastAsia="仿宋_GB2312" w:cs="仿宋_GB2312" w:hint="eastAsia"/>
          <w:color w:val="000000"/>
          <w:sz w:val="31"/>
          <w:szCs w:val="31"/>
        </w:rPr>
      </w:pPr>
      <w:r>
        <w:rPr>
          <w:rFonts w:ascii="仿宋_GB2312" w:eastAsia="仿宋_GB2312" w:hint="eastAsia"/>
          <w:sz w:val="32"/>
          <w:szCs w:val="32"/>
        </w:rPr>
        <w:t>项目支出</w:t>
      </w:r>
      <w:r>
        <w:rPr>
          <w:rFonts w:ascii="仿宋_GB2312" w:eastAsia="仿宋_GB2312" w:hint="eastAsia"/>
          <w:sz w:val="32"/>
          <w:szCs w:val="32"/>
          <w:lang w:val="en-US" w:eastAsia="zh-CN"/>
        </w:rPr>
        <w:t>200.42</w:t>
      </w:r>
      <w:r>
        <w:rPr>
          <w:rFonts w:ascii="仿宋_GB2312" w:eastAsia="仿宋_GB2312" w:hint="eastAsia"/>
          <w:sz w:val="32"/>
          <w:szCs w:val="32"/>
        </w:rPr>
        <w:t>万元，主要包括：人大会议费</w:t>
      </w:r>
      <w:r>
        <w:rPr>
          <w:rFonts w:ascii="仿宋_GB2312" w:eastAsia="仿宋_GB2312" w:hint="eastAsia"/>
          <w:sz w:val="32"/>
          <w:szCs w:val="32"/>
          <w:lang w:val="en-US" w:eastAsia="zh-CN"/>
        </w:rPr>
        <w:t>0</w:t>
      </w:r>
      <w:r>
        <w:rPr>
          <w:rFonts w:ascii="仿宋_GB2312" w:eastAsia="仿宋_GB2312" w:hint="eastAsia"/>
          <w:sz w:val="32"/>
          <w:szCs w:val="32"/>
        </w:rPr>
        <w:t>万元，对村干部生活补助支出</w:t>
      </w:r>
      <w:r>
        <w:rPr>
          <w:rFonts w:ascii="仿宋_GB2312" w:eastAsia="仿宋_GB2312" w:hint="eastAsia"/>
          <w:sz w:val="32"/>
          <w:szCs w:val="32"/>
          <w:lang w:val="en-US" w:eastAsia="zh-CN"/>
        </w:rPr>
        <w:t>195.42</w:t>
      </w:r>
      <w:r>
        <w:rPr>
          <w:rFonts w:ascii="仿宋_GB2312" w:eastAsia="仿宋_GB2312" w:hint="eastAsia"/>
          <w:sz w:val="32"/>
          <w:szCs w:val="32"/>
        </w:rPr>
        <w:t>万元，村级维护费办公费77万元（其中公共运行维护费49万元、基层党组织活动经费14万元、办公费14万元），突发公共卫生事件应急处理</w:t>
      </w:r>
      <w:r>
        <w:rPr>
          <w:rFonts w:ascii="仿宋_GB2312" w:eastAsia="仿宋_GB2312" w:hint="eastAsia"/>
          <w:sz w:val="32"/>
          <w:szCs w:val="32"/>
          <w:lang w:val="en-US" w:eastAsia="zh-CN"/>
        </w:rPr>
        <w:t>支出5万元。</w:t>
      </w:r>
    </w:p>
    <w:p>
      <w:pPr>
        <w:pStyle w:val="23"/>
        <w:keepNext w:val="0"/>
        <w:keepLines w:val="0"/>
        <w:widowControl/>
        <w:numPr>
          <w:ilvl w:val="0"/>
          <w:numId w:val="7"/>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部门整体预算绩效管理情况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pPr>
      <w:r>
        <w:rPr>
          <w:rFonts w:ascii="仿宋_GB2312" w:eastAsia="仿宋_GB2312" w:cs="仿宋_GB2312" w:hint="eastAsia"/>
          <w:color w:val="000000"/>
          <w:sz w:val="31"/>
          <w:szCs w:val="31"/>
        </w:rPr>
        <w:t>（一）部门预算管理。</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_GB2312" w:eastAsia="仿宋_GB2312" w:cs="Arial" w:hint="eastAsia"/>
          <w:kern w:val="2"/>
          <w:sz w:val="32"/>
          <w:szCs w:val="32"/>
          <w:lang w:val="en-US" w:eastAsia="zh-CN" w:bidi="ar-SA"/>
        </w:rPr>
      </w:pPr>
      <w:r>
        <w:rPr>
          <w:rFonts w:ascii="仿宋_GB2312" w:eastAsia="仿宋_GB2312" w:cs="Arial" w:hint="eastAsia"/>
          <w:kern w:val="2"/>
          <w:sz w:val="32"/>
          <w:szCs w:val="32"/>
          <w:lang w:val="en-US" w:eastAsia="zh-CN" w:bidi="ar-SA"/>
        </w:rPr>
        <w:t>一是预算编制。严格按照财政部门预算编制通知明确的范围、标准等编制部门预算；人员和公用支出预算按定员定额标准编制，项目支出预算真实；按规定开展项目评审；没有事业收入、事业单位经营收入、其他收入等单位自有资金收入；编制结转资金与上年部门决算数据衔接；上报预算履行集体决策程序。</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_GB2312" w:eastAsia="仿宋_GB2312" w:cs="Arial" w:hint="eastAsia"/>
          <w:kern w:val="2"/>
          <w:sz w:val="32"/>
          <w:szCs w:val="32"/>
          <w:lang w:val="en-US" w:eastAsia="zh-CN" w:bidi="ar-SA"/>
        </w:rPr>
      </w:pPr>
      <w:r>
        <w:rPr>
          <w:rFonts w:ascii="仿宋_GB2312" w:eastAsia="仿宋_GB2312" w:cs="Arial" w:hint="eastAsia"/>
          <w:kern w:val="2"/>
          <w:sz w:val="32"/>
          <w:szCs w:val="32"/>
          <w:lang w:val="en-US" w:eastAsia="zh-CN" w:bidi="ar-SA"/>
        </w:rPr>
        <w:t>二是预算执行。没有行政事业性收费、罚没收入、国有资源（资产）有偿使用收入等非税收入；不存在无预算、超预算、超标准、超范围列支人员经费、公用经费和项目经费情况；不存在违规发放工资、奖金、津贴补贴等问题；贯彻落实预算执行管理有关规定，按财政部门监管要求规范预算执行；分配专项资金履行集体决策程序；按规定履行预算调剂程序。</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四、评价结论及建议</w:t>
      </w:r>
    </w:p>
    <w:p>
      <w:pPr>
        <w:widowControl/>
        <w:adjustRightInd w:val="0"/>
        <w:snapToGrid w:val="0"/>
        <w:spacing w:line="480" w:lineRule="exact"/>
        <w:ind w:firstLine="720"/>
        <w:jc w:val="left"/>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（一）评价结论</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我单位严格执行支出绩效评价，自评打分9</w:t>
      </w:r>
      <w:r>
        <w:rPr>
          <w:rFonts w:ascii="仿宋_GB2312" w:eastAsia="仿宋_GB2312" w:cs="Arial" w:hint="eastAsia"/>
          <w:kern w:val="2"/>
          <w:sz w:val="32"/>
          <w:szCs w:val="32"/>
          <w:lang w:val="en-US" w:eastAsia="zh-CN" w:bidi="ar-SA"/>
        </w:rPr>
        <w:t>5</w:t>
      </w:r>
      <w:r>
        <w:rPr>
          <w:rFonts w:ascii="仿宋_GB2312" w:eastAsia="仿宋_GB2312" w:cs="Arial" w:hint="eastAsia"/>
          <w:kern w:val="2"/>
          <w:sz w:val="32"/>
          <w:szCs w:val="32"/>
          <w:lang w:val="zh-CN" w:eastAsia="zh-CN" w:bidi="ar-SA"/>
        </w:rPr>
        <w:t>分，部门整体绩效运行良好。</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我单位无收费项目，无其他行政事业性收费，故无预算外资金。</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我单位严格按照《行政单位会计制度》、《行政单位财务规则》财政部等有关规定执行，所有经费开支都坚持做到了“经手人提供原始凭证、填制相关单据，相关人员证明，财务初审，分管</w:t>
      </w:r>
      <w:r>
        <w:rPr>
          <w:rFonts w:ascii="仿宋_GB2312" w:eastAsia="仿宋_GB2312" w:cs="Arial" w:hint="eastAsia"/>
          <w:kern w:val="2"/>
          <w:sz w:val="32"/>
          <w:szCs w:val="32"/>
          <w:lang w:val="en-US" w:eastAsia="zh-CN" w:bidi="ar-SA"/>
        </w:rPr>
        <w:t>领导</w:t>
      </w:r>
      <w:r>
        <w:rPr>
          <w:rFonts w:ascii="仿宋_GB2312" w:eastAsia="仿宋_GB2312" w:cs="Arial" w:hint="eastAsia"/>
          <w:kern w:val="2"/>
          <w:sz w:val="32"/>
          <w:szCs w:val="32"/>
          <w:lang w:val="zh-CN" w:eastAsia="zh-CN" w:bidi="ar-SA"/>
        </w:rPr>
        <w:t>复审，</w:t>
      </w:r>
      <w:r>
        <w:rPr>
          <w:rFonts w:ascii="仿宋_GB2312" w:eastAsia="仿宋_GB2312" w:cs="Arial" w:hint="eastAsia"/>
          <w:kern w:val="2"/>
          <w:sz w:val="32"/>
          <w:szCs w:val="32"/>
          <w:lang w:val="en-US" w:eastAsia="zh-CN" w:bidi="ar-SA"/>
        </w:rPr>
        <w:t>乡长</w:t>
      </w:r>
      <w:r>
        <w:rPr>
          <w:rFonts w:ascii="仿宋_GB2312" w:eastAsia="仿宋_GB2312" w:cs="Arial" w:hint="eastAsia"/>
          <w:kern w:val="2"/>
          <w:sz w:val="32"/>
          <w:szCs w:val="32"/>
          <w:lang w:val="zh-CN" w:eastAsia="zh-CN" w:bidi="ar-SA"/>
        </w:rPr>
        <w:t>终审”的签字制度。大额开支提交</w:t>
      </w:r>
      <w:r>
        <w:rPr>
          <w:rFonts w:ascii="仿宋_GB2312" w:eastAsia="仿宋_GB2312" w:cs="Arial" w:hint="eastAsia"/>
          <w:kern w:val="2"/>
          <w:sz w:val="32"/>
          <w:szCs w:val="32"/>
          <w:lang w:val="en-US" w:eastAsia="zh-CN" w:bidi="ar-SA"/>
        </w:rPr>
        <w:t>乡</w:t>
      </w:r>
      <w:r>
        <w:rPr>
          <w:rFonts w:ascii="仿宋_GB2312" w:eastAsia="仿宋_GB2312" w:cs="Arial" w:hint="eastAsia"/>
          <w:kern w:val="2"/>
          <w:sz w:val="32"/>
          <w:szCs w:val="32"/>
          <w:lang w:val="zh-CN" w:eastAsia="zh-CN" w:bidi="ar-SA"/>
        </w:rPr>
        <w:t>党组集体研究决定。</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（二）存在问题。</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en-US" w:eastAsia="zh-CN" w:bidi="ar-SA"/>
        </w:rPr>
        <w:t>人员专业性需加强，</w:t>
      </w:r>
      <w:r>
        <w:rPr>
          <w:rFonts w:ascii="仿宋_GB2312" w:eastAsia="仿宋_GB2312" w:cs="Arial" w:hint="eastAsia"/>
          <w:kern w:val="2"/>
          <w:sz w:val="32"/>
          <w:szCs w:val="32"/>
          <w:lang w:val="zh-CN" w:eastAsia="zh-CN" w:bidi="ar-SA"/>
        </w:rPr>
        <w:t>预算编制还需进一步细化，需要加强内部控制制度的执行。</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（三）改进建议。</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 xml:space="preserve">1、遵循先有预算、后有支出的原则，加强财务管理和内部控制监督制度。严禁超预算和无预算安排支出，严格开支范围和标准，严格支出报销审核，不报销任何超范围、超标准的费用。 </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2、严格控制“三公”经费。认真贯彻落实中央、省委省政府和县委县政府相关规定，严格“三公”经费支出的审核和审批，合理压缩“三公”经费支出。</w:t>
      </w:r>
    </w:p>
    <w:p>
      <w:pPr>
        <w:spacing w:line="600" w:lineRule="exact"/>
        <w:jc w:val="center"/>
        <w:outlineLvl w:val="0"/>
        <w:rPr>
          <w:rFonts w:ascii="黑体" w:eastAsia="黑体" w:hint="eastAsia"/>
          <w:b/>
          <w:color w:val="000000"/>
          <w:sz w:val="44"/>
          <w:szCs w:val="44"/>
          <w:lang w:val="en-US" w:eastAsia="zh-CN"/>
        </w:rPr>
      </w:pPr>
    </w:p>
    <w:p>
      <w:pPr>
        <w:pStyle w:val="37"/>
        <w:keepNext w:val="0"/>
        <w:keepLines w:val="0"/>
        <w:pageBreakBefore w:val="0"/>
        <w:widowControl w:val="0"/>
        <w:kinsoku/>
        <w:wordWrap/>
        <w:overflowPunct/>
        <w:topLinePunct w:val="0"/>
        <w:autoSpaceDE/>
        <w:autoSpaceDN/>
        <w:bidi w:val="0"/>
        <w:spacing w:line="600" w:lineRule="exact"/>
        <w:jc w:val="center"/>
        <w:textAlignment w:val="auto"/>
        <w:rPr>
          <w:rFonts w:ascii="方正小标宋简体" w:eastAsia="方正小标宋简体" w:hint="eastAsia"/>
          <w:sz w:val="44"/>
          <w:szCs w:val="44"/>
          <w:lang w:val="en-US" w:eastAsia="zh-CN"/>
        </w:rPr>
      </w:pPr>
      <w:r>
        <w:rPr>
          <w:rFonts w:ascii="方正小标宋简体" w:eastAsia="方正小标宋简体" w:hint="eastAsia"/>
          <w:sz w:val="44"/>
          <w:szCs w:val="44"/>
          <w:lang w:val="en-US" w:eastAsia="zh-CN"/>
        </w:rPr>
        <w:t>金川县二嘎里乡人民政府</w:t>
      </w:r>
    </w:p>
    <w:p>
      <w:pPr>
        <w:pStyle w:val="37"/>
        <w:keepNext w:val="0"/>
        <w:keepLines w:val="0"/>
        <w:pageBreakBefore w:val="0"/>
        <w:widowControl w:val="0"/>
        <w:kinsoku/>
        <w:wordWrap/>
        <w:overflowPunct/>
        <w:topLinePunct w:val="0"/>
        <w:autoSpaceDE/>
        <w:autoSpaceDN/>
        <w:bidi w:val="0"/>
        <w:spacing w:line="600" w:lineRule="exact"/>
        <w:jc w:val="center"/>
        <w:textAlignment w:val="auto"/>
        <w:rPr>
          <w:rFonts w:ascii="方正小标宋简体" w:eastAsia="方正小标宋简体" w:hint="eastAsia"/>
          <w:sz w:val="44"/>
          <w:szCs w:val="44"/>
        </w:rPr>
      </w:pPr>
      <w:r>
        <w:rPr>
          <w:rFonts w:ascii="方正小标宋简体" w:eastAsia="方正小标宋简体" w:hint="eastAsia"/>
          <w:sz w:val="44"/>
          <w:szCs w:val="44"/>
          <w:lang w:val="en-US" w:eastAsia="zh-CN"/>
        </w:rPr>
        <w:t>2022年县级</w:t>
      </w:r>
      <w:r>
        <w:rPr>
          <w:rFonts w:ascii="方正小标宋简体" w:eastAsia="方正小标宋简体" w:hint="eastAsia"/>
          <w:sz w:val="44"/>
          <w:szCs w:val="44"/>
          <w:lang w:eastAsia="zh-CN"/>
        </w:rPr>
        <w:t>专项预算项目支出</w:t>
      </w:r>
      <w:r>
        <w:rPr>
          <w:rFonts w:ascii="方正小标宋简体" w:eastAsia="方正小标宋简体" w:hint="eastAsia"/>
          <w:sz w:val="44"/>
          <w:szCs w:val="44"/>
        </w:rPr>
        <w:t>绩效自评</w:t>
      </w:r>
    </w:p>
    <w:p>
      <w:pPr>
        <w:pStyle w:val="37"/>
        <w:keepNext w:val="0"/>
        <w:keepLines w:val="0"/>
        <w:pageBreakBefore w:val="0"/>
        <w:widowControl w:val="0"/>
        <w:kinsoku/>
        <w:wordWrap/>
        <w:overflowPunct/>
        <w:topLinePunct w:val="0"/>
        <w:autoSpaceDE/>
        <w:autoSpaceDN/>
        <w:bidi w:val="0"/>
        <w:spacing w:line="600" w:lineRule="exact"/>
        <w:jc w:val="center"/>
        <w:textAlignment w:val="auto"/>
        <w:rPr>
          <w:rFonts w:ascii="方正小标宋简体" w:eastAsia="方正小标宋简体" w:hint="eastAsia"/>
          <w:sz w:val="44"/>
          <w:szCs w:val="44"/>
        </w:rPr>
      </w:pPr>
      <w:r>
        <w:rPr>
          <w:rFonts w:ascii="方正小标宋简体" w:eastAsia="方正小标宋简体" w:hint="eastAsia"/>
          <w:sz w:val="44"/>
          <w:szCs w:val="44"/>
        </w:rPr>
        <w:t>报告</w:t>
      </w:r>
    </w:p>
    <w:p>
      <w:pPr>
        <w:pageBreakBefore w:val="0"/>
        <w:widowControl w:val="0"/>
        <w:kinsoku/>
        <w:wordWrap/>
        <w:overflowPunct/>
        <w:topLinePunct w:val="0"/>
        <w:bidi w:val="0"/>
        <w:spacing w:line="576" w:lineRule="exact"/>
        <w:ind w:firstLine="640"/>
        <w:jc w:val="center"/>
        <w:rPr>
          <w:rFonts w:ascii="Times New Roman" w:cs="Times New Roman" w:hAnsi="Times New Roman"/>
          <w:sz w:val="32"/>
          <w:szCs w:val="32"/>
          <w:lang w:val="zh-CN"/>
        </w:rPr>
      </w:pPr>
      <w:r>
        <w:rPr>
          <w:rFonts w:ascii="Times New Roman" w:cs="Times New Roman" w:hAnsi="Times New Roman"/>
          <w:sz w:val="32"/>
          <w:szCs w:val="32"/>
          <w:lang w:val="zh-CN"/>
        </w:rPr>
        <w:t>（</w:t>
      </w:r>
      <w:r>
        <w:rPr>
          <w:rFonts w:ascii="仿宋_GB2312" w:eastAsia="仿宋_GB2312" w:cs="Arial" w:hint="eastAsia"/>
          <w:color w:val="auto"/>
          <w:kern w:val="2"/>
          <w:sz w:val="32"/>
          <w:szCs w:val="32"/>
          <w:lang w:val="en-US" w:eastAsia="zh-CN" w:bidi="ar-SA"/>
        </w:rPr>
        <w:t>二嘎里乡白塔村基础设施提升工程项目</w:t>
      </w:r>
      <w:r>
        <w:rPr>
          <w:rFonts w:ascii="Times New Roman" w:cs="Times New Roman" w:hAnsi="Times New Roman"/>
          <w:sz w:val="32"/>
          <w:szCs w:val="32"/>
          <w:lang w:val="zh-CN"/>
        </w:rPr>
        <w:t>）</w:t>
      </w:r>
    </w:p>
    <w:p>
      <w:pPr>
        <w:pStyle w:val="37"/>
        <w:keepNext w:val="0"/>
        <w:keepLines w:val="0"/>
        <w:pageBreakBefore w:val="0"/>
        <w:widowControl w:val="0"/>
        <w:kinsoku/>
        <w:wordWrap/>
        <w:overflowPunct/>
        <w:topLinePunct w:val="0"/>
        <w:autoSpaceDE/>
        <w:autoSpaceDN/>
        <w:bidi w:val="0"/>
        <w:spacing w:line="600" w:lineRule="exact"/>
        <w:jc w:val="center"/>
        <w:textAlignment w:val="auto"/>
        <w:rPr>
          <w:rFonts w:ascii="方正小标宋简体" w:eastAsia="方正小标宋简体" w:hint="eastAsia"/>
          <w:sz w:val="44"/>
          <w:szCs w:val="44"/>
          <w:lang w:val="en-US" w:eastAsia="zh-CN"/>
        </w:rPr>
      </w:pPr>
    </w:p>
    <w:p>
      <w:pPr>
        <w:pStyle w:val="37"/>
        <w:keepNext w:val="0"/>
        <w:keepLines w:val="0"/>
        <w:pageBreakBefore w:val="0"/>
        <w:widowControl w:val="0"/>
        <w:kinsoku/>
        <w:wordWrap/>
        <w:overflowPunct/>
        <w:topLinePunct w:val="0"/>
        <w:autoSpaceDE/>
        <w:autoSpaceDN/>
        <w:bidi w:val="0"/>
        <w:spacing w:line="600" w:lineRule="exact"/>
        <w:jc w:val="both"/>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一、项目概况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eastAsia="仿宋_GB2312" w:cs="Arial"/>
          <w:color w:val="auto"/>
          <w:kern w:val="2"/>
          <w:sz w:val="32"/>
          <w:szCs w:val="32"/>
          <w:lang w:val="en-US" w:eastAsia="zh-CN" w:bidi="ar-SA"/>
        </w:rPr>
      </w:pPr>
      <w:r>
        <w:rPr>
          <w:rFonts w:ascii="仿宋_GB2312" w:eastAsia="仿宋_GB2312" w:cs="Arial" w:hint="eastAsia"/>
          <w:color w:val="auto"/>
          <w:kern w:val="2"/>
          <w:sz w:val="32"/>
          <w:szCs w:val="32"/>
          <w:lang w:val="zh-CN" w:eastAsia="zh-CN" w:bidi="ar-SA"/>
        </w:rPr>
        <w:t>（</w:t>
      </w:r>
      <w:r>
        <w:rPr>
          <w:rFonts w:ascii="仿宋_GB2312" w:eastAsia="仿宋_GB2312" w:cs="Arial" w:hint="eastAsia"/>
          <w:color w:val="auto"/>
          <w:kern w:val="2"/>
          <w:sz w:val="32"/>
          <w:szCs w:val="32"/>
          <w:lang w:val="en-US" w:eastAsia="zh-CN" w:bidi="ar-SA"/>
        </w:rPr>
        <w:t>一</w:t>
      </w:r>
      <w:r>
        <w:rPr>
          <w:rFonts w:ascii="仿宋_GB2312" w:eastAsia="仿宋_GB2312" w:cs="Arial" w:hint="eastAsia"/>
          <w:color w:val="auto"/>
          <w:kern w:val="2"/>
          <w:sz w:val="32"/>
          <w:szCs w:val="32"/>
          <w:lang w:val="zh-CN" w:eastAsia="zh-CN" w:bidi="ar-SA"/>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100" w:firstLine="320"/>
        <w:textAlignment w:val="auto"/>
        <w:rPr>
          <w:rFonts w:ascii="仿宋_GB2312" w:eastAsia="仿宋_GB2312" w:cs="Arial"/>
          <w:color w:val="auto"/>
          <w:kern w:val="2"/>
          <w:sz w:val="32"/>
          <w:szCs w:val="32"/>
          <w:lang w:val="en-US" w:eastAsia="zh-CN" w:bidi="ar-SA"/>
        </w:rPr>
      </w:pPr>
      <w:r>
        <w:rPr>
          <w:rFonts w:ascii="仿宋_GB2312" w:eastAsia="仿宋_GB2312" w:cs="Arial" w:hint="eastAsia"/>
          <w:color w:val="auto"/>
          <w:kern w:val="2"/>
          <w:sz w:val="32"/>
          <w:szCs w:val="32"/>
          <w:lang w:val="en-US" w:eastAsia="zh-CN" w:bidi="ar-SA"/>
        </w:rPr>
        <w:t xml:space="preserve">   2021年我乡申报金川县2021年第一批革命老区转移支付资金项目1个，金川县二嘎里乡白塔村基础设施提升工程项目申报新建钢架桥2座，水泥桥1座。申报资金85万元。经评估，项目符合革命老区</w:t>
      </w:r>
      <w:r>
        <w:rPr>
          <w:rFonts w:ascii="仿宋_GB2312" w:eastAsia="仿宋_GB2312" w:cs="Arial" w:hint="eastAsia"/>
          <w:color w:val="auto"/>
          <w:kern w:val="2"/>
          <w:sz w:val="32"/>
          <w:szCs w:val="32"/>
          <w:lang w:val="zh-CN" w:eastAsia="zh-CN" w:bidi="ar-SA"/>
        </w:rPr>
        <w:t>资金管理办法等相关规定。</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仿宋_GB2312" w:eastAsia="仿宋_GB2312" w:cs="Arial" w:hint="eastAsia"/>
          <w:color w:val="auto"/>
          <w:kern w:val="2"/>
          <w:sz w:val="32"/>
          <w:szCs w:val="32"/>
          <w:lang w:val="en-US" w:eastAsia="zh-CN" w:bidi="ar-SA"/>
        </w:rPr>
      </w:pPr>
      <w:r>
        <w:rPr>
          <w:rFonts w:ascii="仿宋_GB2312" w:eastAsia="仿宋_GB2312" w:cs="Arial" w:hint="eastAsia"/>
          <w:color w:val="auto"/>
          <w:kern w:val="2"/>
          <w:sz w:val="32"/>
          <w:szCs w:val="32"/>
          <w:lang w:val="zh-CN" w:eastAsia="zh-CN" w:bidi="ar-SA"/>
        </w:rPr>
        <w:t>（</w:t>
      </w:r>
      <w:r>
        <w:rPr>
          <w:rFonts w:ascii="仿宋_GB2312" w:eastAsia="仿宋_GB2312" w:cs="Arial" w:hint="eastAsia"/>
          <w:color w:val="auto"/>
          <w:kern w:val="2"/>
          <w:sz w:val="32"/>
          <w:szCs w:val="32"/>
          <w:lang w:val="en-US" w:eastAsia="zh-CN" w:bidi="ar-SA"/>
        </w:rPr>
        <w:t>二</w:t>
      </w:r>
      <w:r>
        <w:rPr>
          <w:rFonts w:ascii="仿宋_GB2312" w:eastAsia="仿宋_GB2312" w:cs="Arial" w:hint="eastAsia"/>
          <w:color w:val="auto"/>
          <w:kern w:val="2"/>
          <w:sz w:val="32"/>
          <w:szCs w:val="32"/>
          <w:lang w:val="zh-CN" w:eastAsia="zh-CN" w:bidi="ar-SA"/>
        </w:rPr>
        <w:t>）项目绩效目标。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eastAsia="仿宋_GB2312" w:cs="Arial"/>
          <w:color w:val="auto"/>
          <w:kern w:val="2"/>
          <w:sz w:val="32"/>
          <w:szCs w:val="32"/>
          <w:lang w:val="en-US" w:eastAsia="zh-CN" w:bidi="ar-SA"/>
        </w:rPr>
      </w:pPr>
      <w:r>
        <w:rPr>
          <w:rFonts w:ascii="仿宋_GB2312" w:eastAsia="仿宋_GB2312" w:cs="Arial" w:hint="eastAsia"/>
          <w:color w:val="auto"/>
          <w:kern w:val="2"/>
          <w:sz w:val="32"/>
          <w:szCs w:val="32"/>
          <w:lang w:val="en-US" w:eastAsia="zh-CN" w:bidi="ar-SA"/>
        </w:rPr>
        <w:t>金川县二嘎里乡白塔村基础设施提升工程项目申报数量指标：钢架桥2座，水泥桥1座；质量指标：验收合格率99%；时效指标：完成及时率100%；成本指标：项目总资金为85万元；经济效益预估带动当地受益群众增收100元以上、项目可持续使用10年以上；受益人口满意度在99%以上。项目实施进度安排为2021年8月开工、11月全面完成项目建设内容和自查验收。</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w:t>
      </w:r>
      <w:r>
        <w:rPr>
          <w:rFonts w:ascii="仿宋_GB2312" w:eastAsia="仿宋_GB2312" w:cs="Arial" w:hint="eastAsia"/>
          <w:color w:val="auto"/>
          <w:kern w:val="2"/>
          <w:sz w:val="32"/>
          <w:szCs w:val="32"/>
          <w:lang w:val="en-US" w:eastAsia="zh-CN" w:bidi="ar-SA"/>
        </w:rPr>
        <w:t>三</w:t>
      </w:r>
      <w:r>
        <w:rPr>
          <w:rFonts w:ascii="仿宋_GB2312" w:eastAsia="仿宋_GB2312" w:cs="Arial" w:hint="eastAsia"/>
          <w:color w:val="auto"/>
          <w:kern w:val="2"/>
          <w:sz w:val="32"/>
          <w:szCs w:val="32"/>
          <w:lang w:val="zh-CN" w:eastAsia="zh-CN" w:bidi="ar-SA"/>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eastAsia="仿宋_GB2312" w:cs="Arial"/>
          <w:color w:val="auto"/>
          <w:kern w:val="2"/>
          <w:sz w:val="32"/>
          <w:szCs w:val="32"/>
          <w:lang w:val="en-US" w:eastAsia="zh-CN" w:bidi="ar-SA"/>
        </w:rPr>
      </w:pPr>
      <w:r>
        <w:rPr>
          <w:rFonts w:ascii="仿宋_GB2312" w:eastAsia="仿宋_GB2312" w:cs="Arial" w:hint="eastAsia"/>
          <w:color w:val="auto"/>
          <w:kern w:val="2"/>
          <w:sz w:val="32"/>
          <w:szCs w:val="32"/>
          <w:lang w:val="en-US" w:eastAsia="zh-CN" w:bidi="ar-SA"/>
        </w:rPr>
        <w:t>经评估，金川县二嘎里乡白塔村基础设施提升工程项目申报内容与具体实施内容一致，</w:t>
      </w:r>
      <w:r>
        <w:rPr>
          <w:rFonts w:ascii="仿宋_GB2312" w:eastAsia="仿宋_GB2312" w:cs="Arial" w:hint="eastAsia"/>
          <w:color w:val="auto"/>
          <w:kern w:val="2"/>
          <w:sz w:val="32"/>
          <w:szCs w:val="32"/>
          <w:lang w:val="zh-CN" w:eastAsia="zh-CN" w:bidi="ar-SA"/>
        </w:rPr>
        <w:t>申报目标</w:t>
      </w:r>
      <w:r>
        <w:rPr>
          <w:rFonts w:ascii="仿宋_GB2312" w:eastAsia="仿宋_GB2312" w:cs="Arial" w:hint="eastAsia"/>
          <w:color w:val="auto"/>
          <w:kern w:val="2"/>
          <w:sz w:val="32"/>
          <w:szCs w:val="32"/>
          <w:lang w:val="en-US" w:eastAsia="zh-CN" w:bidi="ar-SA"/>
        </w:rPr>
        <w:t>与村情相符、具体绩效目标</w:t>
      </w:r>
      <w:r>
        <w:rPr>
          <w:rFonts w:ascii="仿宋_GB2312" w:eastAsia="仿宋_GB2312" w:cs="Arial" w:hint="eastAsia"/>
          <w:color w:val="auto"/>
          <w:kern w:val="2"/>
          <w:sz w:val="32"/>
          <w:szCs w:val="32"/>
          <w:lang w:val="zh-CN" w:eastAsia="zh-CN" w:bidi="ar-SA"/>
        </w:rPr>
        <w:t>合理可行。</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Chars="100" w:firstLine="3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en-US" w:eastAsia="zh-CN" w:bidi="ar-SA"/>
        </w:rPr>
        <w:t>2021年1月1日，金川县财政局批复下达项目资金85万元（金财预〔2021〕3号），资金下达及时有效。</w:t>
      </w:r>
    </w:p>
    <w:p>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0"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color w:val="auto"/>
          <w:kern w:val="2"/>
          <w:sz w:val="32"/>
          <w:szCs w:val="32"/>
          <w:lang w:val="en-US" w:eastAsia="zh-CN" w:bidi="ar-SA"/>
        </w:rPr>
      </w:pPr>
      <w:r>
        <w:rPr>
          <w:rFonts w:ascii="仿宋_GB2312" w:eastAsia="仿宋_GB2312" w:cs="Arial" w:hint="eastAsia"/>
          <w:color w:val="auto"/>
          <w:kern w:val="2"/>
          <w:sz w:val="32"/>
          <w:szCs w:val="32"/>
          <w:lang w:val="en-US" w:eastAsia="zh-CN" w:bidi="ar-SA"/>
        </w:rPr>
        <w:t>项目于2021年12月15日，经验收核查合格后，支付中标公司四川中安邦建建设工程有限公司合同价的97%，工程款为826747.09元，暂扣3%质保金22152.91元；</w:t>
      </w:r>
      <w:r>
        <w:rPr>
          <w:rFonts w:ascii="仿宋_GB2312" w:eastAsia="仿宋_GB2312" w:cs="Arial"/>
          <w:color w:val="auto"/>
          <w:kern w:val="2"/>
          <w:sz w:val="32"/>
          <w:szCs w:val="32"/>
          <w:lang w:val="en-US" w:eastAsia="zh-CN" w:bidi="ar-SA"/>
        </w:rPr>
        <w:t>财政</w:t>
      </w:r>
      <w:r>
        <w:rPr>
          <w:rFonts w:ascii="仿宋_GB2312" w:eastAsia="仿宋_GB2312" w:cs="Arial" w:hint="eastAsia"/>
          <w:color w:val="auto"/>
          <w:kern w:val="2"/>
          <w:sz w:val="32"/>
          <w:szCs w:val="32"/>
          <w:lang w:val="en-US" w:eastAsia="zh-CN" w:bidi="ar-SA"/>
        </w:rPr>
        <w:t>支出评审费3000元（财政局经济建设股统一支付）。</w:t>
      </w:r>
      <w:r>
        <w:rPr>
          <w:rFonts w:ascii="仿宋_GB2312" w:eastAsia="仿宋_GB2312" w:cs="Arial" w:hint="eastAsia"/>
          <w:color w:val="auto"/>
          <w:kern w:val="2"/>
          <w:sz w:val="32"/>
          <w:szCs w:val="32"/>
          <w:lang w:val="zh-CN" w:eastAsia="zh-CN" w:bidi="ar-SA"/>
        </w:rPr>
        <w:t>支付依据合规合法</w:t>
      </w:r>
      <w:r>
        <w:rPr>
          <w:rFonts w:ascii="仿宋_GB2312" w:eastAsia="仿宋_GB2312" w:cs="Arial" w:hint="eastAsia"/>
          <w:color w:val="auto"/>
          <w:kern w:val="2"/>
          <w:sz w:val="32"/>
          <w:szCs w:val="32"/>
          <w:lang w:val="en-US" w:eastAsia="zh-CN" w:bidi="ar-SA"/>
        </w:rPr>
        <w:t>，</w:t>
      </w:r>
      <w:r>
        <w:rPr>
          <w:rFonts w:ascii="仿宋_GB2312" w:eastAsia="仿宋_GB2312" w:cs="Arial" w:hint="eastAsia"/>
          <w:color w:val="auto"/>
          <w:kern w:val="2"/>
          <w:sz w:val="32"/>
          <w:szCs w:val="32"/>
          <w:lang w:val="zh-CN" w:eastAsia="zh-CN" w:bidi="ar-SA"/>
        </w:rPr>
        <w:t>与预算及项目控制价相符。</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本项目资金实行县级报账制度，保障项目资金监管安全有效，我单位还设置</w:t>
      </w:r>
      <w:r>
        <w:rPr>
          <w:rFonts w:ascii="仿宋_GB2312" w:eastAsia="仿宋_GB2312" w:cs="Arial" w:hint="eastAsia"/>
          <w:color w:val="auto"/>
          <w:kern w:val="2"/>
          <w:sz w:val="32"/>
          <w:szCs w:val="32"/>
          <w:lang w:val="en-US" w:eastAsia="zh-CN" w:bidi="ar-SA"/>
        </w:rPr>
        <w:t>项目资金管理小组对该项目资金进行监督，经自评，</w:t>
      </w:r>
      <w:r>
        <w:rPr>
          <w:rFonts w:ascii="仿宋_GB2312" w:eastAsia="仿宋_GB2312" w:cs="Arial" w:hint="eastAsia"/>
          <w:color w:val="auto"/>
          <w:kern w:val="2"/>
          <w:sz w:val="32"/>
          <w:szCs w:val="32"/>
          <w:lang w:val="zh-CN" w:eastAsia="zh-CN" w:bidi="ar-SA"/>
        </w:rPr>
        <w:t>该项目严格执行财务管理制度、财务处理及时、会计核算规范。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项目组织管理架构及具体实施流程：</w:t>
      </w:r>
      <w:r>
        <w:rPr>
          <w:rFonts w:ascii="仿宋_GB2312" w:eastAsia="仿宋_GB2312" w:cs="Arial" w:hint="eastAsia"/>
          <w:color w:val="auto"/>
          <w:kern w:val="2"/>
          <w:sz w:val="32"/>
          <w:szCs w:val="32"/>
          <w:lang w:val="en-US" w:eastAsia="zh-CN" w:bidi="ar-SA"/>
        </w:rPr>
        <w:t>2021年6月，我乡向金川县发展改革和经济商务信息化局申报项目实施方案及请示，成立由乡党委政府主要负责人为组长的项目领导小组，下设项目实施领导小组、技术保障服务小组、项目资金管理小组、质量监督小组，确保项目</w:t>
      </w:r>
      <w:r>
        <w:rPr>
          <w:rFonts w:ascii="仿宋_GB2312" w:eastAsia="仿宋_GB2312" w:cs="Arial" w:hint="eastAsia"/>
          <w:color w:val="auto"/>
          <w:kern w:val="2"/>
          <w:sz w:val="32"/>
          <w:szCs w:val="32"/>
          <w:lang w:val="zh-CN" w:eastAsia="zh-CN" w:bidi="ar-SA"/>
        </w:rPr>
        <w:t>组织管理架构合理有序。</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color w:val="auto"/>
          <w:kern w:val="2"/>
          <w:sz w:val="32"/>
          <w:szCs w:val="32"/>
          <w:lang w:val="en-US" w:eastAsia="zh-CN" w:bidi="ar-SA"/>
        </w:rPr>
      </w:pPr>
      <w:r>
        <w:rPr>
          <w:rFonts w:ascii="仿宋_GB2312" w:eastAsia="仿宋_GB2312" w:cs="Arial" w:hint="eastAsia"/>
          <w:color w:val="auto"/>
          <w:kern w:val="2"/>
          <w:sz w:val="32"/>
          <w:szCs w:val="32"/>
          <w:lang w:val="zh-CN" w:eastAsia="zh-CN" w:bidi="ar-SA"/>
        </w:rPr>
        <w:t>项目基本建设程序执行情况：</w:t>
      </w:r>
      <w:r>
        <w:rPr>
          <w:rFonts w:ascii="仿宋_GB2312" w:eastAsia="仿宋_GB2312" w:cs="Arial" w:hint="eastAsia"/>
          <w:color w:val="auto"/>
          <w:kern w:val="2"/>
          <w:sz w:val="32"/>
          <w:szCs w:val="32"/>
          <w:lang w:val="en-US" w:eastAsia="zh-CN" w:bidi="ar-SA"/>
        </w:rPr>
        <w:t>该项目委托四川智鼎工程项目管理有限公司进行招标，其中四川中安邦建建设工程有限公司为中标候选人，成交金额79.7383万元，首先通过乡村初步验收，然后通过第三方公司和县级验收，拨付97%工程款，暂扣3%质保金。</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三、项目绩效情况</w:t>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color w:val="auto"/>
          <w:kern w:val="2"/>
          <w:sz w:val="32"/>
          <w:szCs w:val="32"/>
          <w:lang w:val="en-US" w:eastAsia="zh-CN" w:bidi="ar-SA"/>
        </w:rPr>
      </w:pPr>
      <w:r>
        <w:rPr>
          <w:rFonts w:ascii="仿宋_GB2312" w:eastAsia="仿宋_GB2312" w:cs="Arial" w:hint="eastAsia"/>
          <w:color w:val="auto"/>
          <w:kern w:val="2"/>
          <w:sz w:val="32"/>
          <w:szCs w:val="32"/>
          <w:lang w:val="zh-CN" w:eastAsia="zh-CN" w:bidi="ar-SA"/>
        </w:rPr>
        <w:t>经</w:t>
      </w:r>
      <w:r>
        <w:rPr>
          <w:rFonts w:ascii="仿宋_GB2312" w:eastAsia="仿宋_GB2312" w:cs="Arial" w:hint="eastAsia"/>
          <w:color w:val="auto"/>
          <w:kern w:val="2"/>
          <w:sz w:val="32"/>
          <w:szCs w:val="32"/>
          <w:lang w:val="en-US" w:eastAsia="zh-CN" w:bidi="ar-SA"/>
        </w:rPr>
        <w:t>第三方公司和县级验收核查，项目建设钢架桥2座，水泥桥1座等，符合批复设计及财政评审数量；项目实施进度安排为8月开工、11月完成项目建设内容和自查验收，</w:t>
      </w:r>
      <w:r>
        <w:rPr>
          <w:rFonts w:ascii="仿宋_GB2312" w:eastAsia="仿宋_GB2312" w:cs="Arial" w:hint="eastAsia"/>
          <w:color w:val="auto"/>
          <w:kern w:val="2"/>
          <w:sz w:val="32"/>
          <w:szCs w:val="32"/>
          <w:lang w:val="zh-CN" w:eastAsia="zh-CN" w:bidi="ar-SA"/>
        </w:rPr>
        <w:t>对照项目计划，项目在开工时间上较为滞后，竣工及核查时间均在计划时间之前，项目时间控制较为合理；项目经第三方公司对项目成本进行核查并出具验收核查报告书，审减项目金额</w:t>
      </w:r>
      <w:r>
        <w:rPr>
          <w:rFonts w:ascii="仿宋_GB2312" w:eastAsia="仿宋_GB2312" w:cs="Arial" w:hint="eastAsia"/>
          <w:color w:val="auto"/>
          <w:kern w:val="2"/>
          <w:sz w:val="32"/>
          <w:szCs w:val="32"/>
          <w:lang w:val="en-US" w:eastAsia="zh-CN" w:bidi="ar-SA"/>
        </w:rPr>
        <w:t>3000元，对照财政评审价，控制成本3000元，项目成本</w:t>
      </w:r>
      <w:r>
        <w:rPr>
          <w:rFonts w:ascii="仿宋_GB2312" w:eastAsia="仿宋_GB2312" w:cs="Arial" w:hint="eastAsia"/>
          <w:color w:val="auto"/>
          <w:kern w:val="2"/>
          <w:sz w:val="32"/>
          <w:szCs w:val="32"/>
          <w:lang w:val="zh-CN" w:eastAsia="zh-CN" w:bidi="ar-SA"/>
        </w:rPr>
        <w:t>控制较为合理。</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w:t>
      </w:r>
      <w:r>
        <w:rPr>
          <w:rFonts w:ascii="仿宋_GB2312" w:eastAsia="仿宋_GB2312" w:cs="Arial" w:hint="eastAsia"/>
          <w:color w:val="auto"/>
          <w:kern w:val="2"/>
          <w:sz w:val="32"/>
          <w:szCs w:val="32"/>
          <w:lang w:val="en-US" w:eastAsia="zh-CN" w:bidi="ar-SA"/>
        </w:rPr>
        <w:t>一</w:t>
      </w:r>
      <w:r>
        <w:rPr>
          <w:rFonts w:ascii="仿宋_GB2312" w:eastAsia="仿宋_GB2312" w:cs="Arial" w:hint="eastAsia"/>
          <w:color w:val="auto"/>
          <w:kern w:val="2"/>
          <w:sz w:val="32"/>
          <w:szCs w:val="32"/>
          <w:lang w:val="zh-CN" w:eastAsia="zh-CN" w:bidi="ar-SA"/>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经自查，项目在时间及成本上控制较为合理</w:t>
      </w:r>
      <w:r>
        <w:rPr>
          <w:rFonts w:ascii="仿宋_GB2312" w:eastAsia="仿宋_GB2312" w:cs="Arial" w:hint="eastAsia"/>
          <w:color w:val="auto"/>
          <w:kern w:val="2"/>
          <w:sz w:val="32"/>
          <w:szCs w:val="32"/>
          <w:lang w:val="en-US" w:eastAsia="zh-CN" w:bidi="ar-SA"/>
        </w:rPr>
        <w:t>；能保障当地群众出行安全、方便出行；可带动当地群众花椒及饲养牲畜出售；受益贫困人口满意度在99%以上，符合最初项目绩效目标。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zh-CN" w:eastAsia="zh-CN" w:bidi="ar-SA"/>
        </w:rPr>
      </w:pPr>
      <w:r>
        <w:rPr>
          <w:rFonts w:ascii="仿宋_GB2312" w:eastAsia="仿宋_GB2312" w:cs="Arial" w:hint="eastAsia"/>
          <w:color w:val="auto"/>
          <w:kern w:val="2"/>
          <w:sz w:val="32"/>
          <w:szCs w:val="32"/>
          <w:lang w:val="zh-CN" w:eastAsia="zh-CN" w:bidi="ar-SA"/>
        </w:rPr>
        <w:t>（一）存在的问题：</w:t>
      </w:r>
      <w:r>
        <w:rPr>
          <w:rFonts w:ascii="仿宋_GB2312" w:eastAsia="仿宋_GB2312" w:cs="Arial" w:hint="eastAsia"/>
          <w:color w:val="auto"/>
          <w:kern w:val="2"/>
          <w:sz w:val="32"/>
          <w:szCs w:val="32"/>
          <w:lang w:val="en-US" w:eastAsia="zh-CN" w:bidi="ar-SA"/>
        </w:rPr>
        <w:t>一是项目前期规划还不细、绩效分析还不精准，造成前期要件办理慢，推进迟缓；二是项目建成后，无相应配套设施及后续管护措施不全，造成项目效益发挥不佳。</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Arial" w:hint="eastAsia"/>
          <w:color w:val="auto"/>
          <w:kern w:val="2"/>
          <w:sz w:val="32"/>
          <w:szCs w:val="32"/>
          <w:lang w:val="en-US" w:eastAsia="zh-CN" w:bidi="ar-SA"/>
        </w:rPr>
      </w:pPr>
      <w:r>
        <w:rPr>
          <w:rFonts w:ascii="仿宋_GB2312" w:eastAsia="仿宋_GB2312" w:cs="Arial" w:hint="eastAsia"/>
          <w:color w:val="auto"/>
          <w:kern w:val="2"/>
          <w:sz w:val="32"/>
          <w:szCs w:val="32"/>
          <w:lang w:val="zh-CN" w:eastAsia="zh-CN" w:bidi="ar-SA"/>
        </w:rPr>
        <w:t>（二）相关建议。提出项目(相关政策)改进完善的建议意见。</w:t>
      </w:r>
      <w:r>
        <w:rPr>
          <w:rFonts w:ascii="仿宋_GB2312" w:eastAsia="仿宋_GB2312" w:cs="Arial" w:hint="eastAsia"/>
          <w:color w:val="auto"/>
          <w:kern w:val="2"/>
          <w:sz w:val="32"/>
          <w:szCs w:val="32"/>
          <w:lang w:val="en-US" w:eastAsia="zh-CN" w:bidi="ar-SA"/>
        </w:rPr>
        <w:t>在下阶段工作中，我乡将以此次自评工作为契机，从严从细抓好项目实施及绩效管理。一是明确责任、强化组织领导。我乡将继续同各上级部门沟通协调，发挥党委政府组织领导作用，以包村工作组为主要抓手，树牢资金使用绩效意识。二是对照问题、加快问题解决。针对项目前期规划不细、定位不准造成要件办理慢等问题，我乡将在项目申报前，仔细项目定位、对实施地点、内容及方式认真谋划，仔细评估，加快项目前期办理速度。三是科学管理、确保项目落地见效。我乡将提高项目科学管理水平，严格按照项目建设流程，依法依规实施项目建设，对项目设计、财评、实施等重要环节严格把关，保质保量完成项目建设，确保实施项目尽早落地见效，提高财政资金使用绩效。</w:t>
      </w:r>
    </w:p>
    <w:p>
      <w:pPr>
        <w:pStyle w:val="15"/>
        <w:rPr>
          <w:rFonts w:hint="eastAsia"/>
          <w:lang w:val="en-US" w:eastAsia="zh-CN"/>
        </w:rPr>
      </w:pPr>
    </w:p>
    <w:p>
      <w:pPr>
        <w:pStyle w:val="15"/>
        <w:rPr>
          <w:rFonts w:hint="eastAsia"/>
          <w:lang w:val="en-US" w:eastAsia="zh-CN"/>
        </w:rPr>
      </w:pPr>
    </w:p>
    <w:p>
      <w:pPr>
        <w:pStyle w:val="15"/>
        <w:rPr>
          <w:rFonts w:hint="eastAsia"/>
          <w:lang w:val="en-US" w:eastAsia="zh-CN"/>
        </w:rPr>
      </w:pPr>
    </w:p>
    <w:p>
      <w:pPr>
        <w:pStyle w:val="15"/>
        <w:rPr>
          <w:rFonts w:hint="eastAsia"/>
          <w:lang w:val="en-US" w:eastAsia="zh-CN"/>
        </w:rPr>
      </w:pPr>
    </w:p>
    <w:p>
      <w:pPr>
        <w:pStyle w:val="15"/>
        <w:rPr>
          <w:rFonts w:hint="eastAsia"/>
          <w:lang w:val="en-US" w:eastAsia="zh-CN"/>
        </w:rPr>
      </w:pPr>
    </w:p>
    <w:p>
      <w:pPr>
        <w:pStyle w:val="15"/>
        <w:rPr>
          <w:rFonts w:hint="eastAsia"/>
          <w:lang w:val="en-US" w:eastAsia="zh-CN"/>
        </w:rPr>
      </w:pPr>
    </w:p>
    <w:p>
      <w:pPr>
        <w:pStyle w:val="15"/>
        <w:rPr>
          <w:rFonts w:hint="eastAsia"/>
          <w:lang w:val="en-US" w:eastAsia="zh-CN"/>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64" w:name="_Toc26843625"/>
      <w:bookmarkStart w:id="65" w:name="_Toc15396618"/>
      <w:bookmarkStart w:id="66" w:name="_Toc15396619"/>
      <w:bookmarkEnd w:id="60"/>
      <w:bookmarkEnd w:id="61"/>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End w:id="6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7"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6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8" w:name="_Toc15396620"/>
      <w:bookmarkStart w:id="69" w:name="_Toc26843627"/>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68"/>
      <w:bookmarkEnd w:id="6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0" w:name="_Toc15396621"/>
      <w:bookmarkStart w:id="71" w:name="_Toc26843628"/>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70"/>
      <w:bookmarkEnd w:id="7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72" w:name="_Toc26843629"/>
      <w:bookmarkStart w:id="73"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72"/>
      <w:bookmarkEnd w:id="7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74" w:name="_Toc15396623"/>
      <w:bookmarkStart w:id="75"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76" w:name="_Toc15396624"/>
      <w:bookmarkEnd w:id="74"/>
      <w:bookmarkEnd w:id="7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7"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76"/>
      <w:bookmarkEnd w:id="7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8" w:name="_Toc15396625"/>
      <w:bookmarkStart w:id="79"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78"/>
      <w:bookmarkEnd w:id="7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0" w:name="_Toc26843633"/>
      <w:bookmarkStart w:id="81"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80"/>
      <w:bookmarkEnd w:id="8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2" w:name="_Toc26843634"/>
      <w:bookmarkStart w:id="83" w:name="_Toc15396627"/>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82"/>
      <w:bookmarkEnd w:id="8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4" w:name="_Toc15396628"/>
      <w:bookmarkStart w:id="85" w:name="_Toc26843635"/>
      <w:r>
        <w:rPr>
          <w:rStyle w:val="2Char"/>
          <w:rFonts w:ascii="Times New Roman" w:eastAsia="仿宋" w:cs="Times New Roman" w:hAnsi="Times New Roman"/>
          <w:b w:val="0"/>
          <w:bCs w:val="0"/>
        </w:rPr>
        <w:t>十、</w:t>
      </w:r>
      <w:bookmarkStart w:id="86" w:name="_Toc26843636"/>
      <w:bookmarkStart w:id="87" w:name="_Toc15396629"/>
      <w:bookmarkEnd w:id="84"/>
      <w:bookmarkEnd w:id="85"/>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十一、</w:t>
      </w:r>
      <w:bookmarkEnd w:id="86"/>
      <w:bookmarkEnd w:id="87"/>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8" w:name="_Toc26843637"/>
      <w:bookmarkStart w:id="89" w:name="_Toc15396630"/>
      <w:r>
        <w:rPr>
          <w:rStyle w:val="2Char"/>
          <w:rFonts w:ascii="Times New Roman" w:eastAsia="仿宋" w:cs="Times New Roman" w:hAnsi="Times New Roman"/>
          <w:b w:val="0"/>
          <w:bCs w:val="0"/>
        </w:rPr>
        <w:t>十二、</w:t>
      </w:r>
      <w:bookmarkEnd w:id="88"/>
      <w:bookmarkEnd w:id="89"/>
      <w:r>
        <w:rPr>
          <w:rStyle w:val="2Char"/>
          <w:rFonts w:ascii="Times New Roman" w:eastAsia="仿宋" w:cs="Times New Roman" w:hAnsi="Times New Roman"/>
          <w:b w:val="0"/>
          <w:bCs w:val="0"/>
        </w:rPr>
        <w:t>国有资本经营预算财政拨款支出决算表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lang w:val="en-US" w:eastAsia="zh-CN"/>
        </w:rPr>
      </w:pPr>
      <w:bookmarkStart w:id="90" w:name="_Toc26843638"/>
      <w:bookmarkStart w:id="91" w:name="_Toc15396631"/>
      <w:r>
        <w:rPr>
          <w:rStyle w:val="2Char"/>
          <w:rFonts w:ascii="Times New Roman" w:eastAsia="仿宋" w:cs="Times New Roman" w:hAnsi="Times New Roman"/>
          <w:b w:val="0"/>
          <w:bCs w:val="0"/>
        </w:rPr>
        <w:t>十三、</w:t>
      </w:r>
      <w:bookmarkEnd w:id="90"/>
      <w:bookmarkEnd w:id="91"/>
      <w:r>
        <w:rPr>
          <w:rFonts w:ascii="Times New Roman" w:eastAsia="仿宋" w:cs="Times New Roman" w:hAnsi="Times New Roman" w:hint="eastAsia"/>
          <w:b w:val="0"/>
          <w:lang w:val="en-US" w:eastAsia="zh-CN"/>
        </w:rPr>
        <w:t>财政拨款“三公”经费支出决算表</w:t>
      </w:r>
    </w:p>
    <w:p>
      <w:pPr>
        <w:spacing w:line="600" w:lineRule="exact"/>
        <w:jc w:val="both"/>
        <w:outlineLvl w:val="0"/>
        <w:rPr>
          <w:rFonts w:ascii="黑体" w:eastAsia="黑体"/>
          <w:color w:val="000000"/>
          <w:sz w:val="44"/>
          <w:szCs w:val="44"/>
        </w:rPr>
      </w:pPr>
    </w:p>
    <w:p>
      <w:pPr>
        <w:pStyle w:val="2"/>
        <w:rPr>
          <w:rFonts w:ascii="仿宋" w:eastAsia="仿宋"/>
          <w:color w:val="000000"/>
        </w:rPr>
      </w:pPr>
      <w:bookmarkEnd w:id="65"/>
      <w:bookmarkEnd w:id="66"/>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楷体">
    <w:altName w:val="楷体_GB2312"/>
    <w:panose1 w:val="02010609060101010101"/>
    <w:charset w:val="86"/>
    <w:family w:val="modern"/>
    <w:pitch w:val="variable"/>
    <w:sig w:usb0="800002BF" w:usb1="38CF7CFA" w:usb2="00000016" w:usb3="00000000" w:csb0="00040001" w:csb1="00000000"/>
  </w:font>
  <w:font w:name="??_GB2312">
    <w:altName w:val="DejaVu Sans"/>
    <w:panose1 w:val="00000000000000000000"/>
    <w:charset w:val="00"/>
    <w:family w:val="auto"/>
    <w:pitch w:val="variable"/>
    <w:sig w:usb0="00000000" w:usb1="00000000" w:usb2="00000000" w:usb3="00000000" w:csb0="00000001" w:csb1="00000000"/>
  </w:font>
  <w:font w:name="仿宋">
    <w:altName w:val="仿宋_GB2312"/>
    <w:panose1 w:val="02010609060101010101"/>
    <w:charset w:val="86"/>
    <w:family w:val="auto"/>
    <w:pitch w:val="variable"/>
    <w:sig w:usb0="800002BF" w:usb1="38CF7CFA" w:usb2="0000001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76665376"/>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78D72DD4"/>
    <w:multiLevelType w:val="singleLevel"/>
    <w:tmpl w:val="78D72DD4"/>
    <w:lvl w:ilvl="0">
      <w:start w:val="3"/>
      <w:numFmt w:val="decimal"/>
      <w:lvlRestart w:val="0"/>
      <w:lvlText w:val="%1."/>
      <w:lvlJc w:val="left"/>
      <w:pPr>
        <w:tabs>
          <w:tab w:val="num" w:pos="0"/>
        </w:tabs>
        <w:ind w:left="0" w:hanging="0"/>
      </w:p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5">
    <w:nsid w:val="AC838808"/>
    <w:multiLevelType w:val="singleLevel"/>
    <w:tmpl w:val="AC838808"/>
    <w:lvl w:ilvl="0">
      <w:start w:val="2"/>
      <w:numFmt w:val="chineseCounting"/>
      <w:lvlRestart w:val="0"/>
      <w:suff w:val="nothing"/>
      <w:lvlText w:val="（%1）"/>
      <w:lvlJc w:val="left"/>
      <w:pPr>
        <w:tabs>
          <w:tab w:val="num" w:pos="0"/>
        </w:tabs>
        <w:ind w:left="0" w:hanging="0"/>
      </w:pPr>
      <w:rPr>
        <w:rFonts w:hint="eastAsia"/>
      </w:rPr>
    </w:lvl>
  </w:abstractNum>
  <w:abstractNum w:abstractNumId="6">
    <w:nsid w:val="030F0738"/>
    <w:multiLevelType w:val="singleLevel"/>
    <w:tmpl w:val="030F0738"/>
    <w:lvl w:ilvl="0">
      <w:start w:val="3"/>
      <w:numFmt w:val="chineseCounting"/>
      <w:lvlRestart w:val="0"/>
      <w:suff w:val="nothing"/>
      <w:lvlText w:val="%1、"/>
      <w:lvlJc w:val="left"/>
      <w:pPr>
        <w:tabs>
          <w:tab w:val="num" w:pos="0"/>
        </w:tabs>
        <w:ind w:left="0" w:hanging="0"/>
      </w:pPr>
      <w:rPr>
        <w:rFonts w:hint="eastAsia"/>
      </w:rPr>
    </w:lvl>
  </w:abstractNum>
  <w:abstractNum w:abstractNumId="7">
    <w:nsid w:val="1E30D2AA"/>
    <w:multiLevelType w:val="singleLevel"/>
    <w:tmpl w:val="1E30D2AA"/>
    <w:lvl w:ilvl="0">
      <w:start w:val="2"/>
      <w:numFmt w:val="decimal"/>
      <w:lvlRestart w:val="0"/>
      <w:suff w:val="nothing"/>
      <w:lvlText w:val="%1．"/>
      <w:lvlJc w:val="left"/>
      <w:pPr>
        <w:tabs>
          <w:tab w:val="num" w:pos="0"/>
        </w:tabs>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mY5MWM4NWJhZGMyNWVhZDBmNTBjYWFlNTNlYzBiN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22">
    <w:name w:val="toc 2"/>
    <w:basedOn w:val="0"/>
    <w:next w:val="0"/>
    <w:pPr>
      <w:tabs>
        <w:tab w:val="right" w:leader="dot" w:pos="8296"/>
      </w:tabs>
      <w:ind w:leftChars="200" w:left="200"/>
    </w:p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4">
    <w:name w:val="Normal (Web)"/>
    <w:next w:val="21"/>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 w:type="character" w:styleId="25">
    <w:name w:val="Strong"/>
    <w:basedOn w:val="10"/>
    <w:rPr>
      <w:b/>
    </w:rPr>
  </w:style>
  <w:style w:type="character" w:styleId="26">
    <w:name w:val="Hyperlink"/>
    <w:basedOn w:val="10"/>
    <w:rPr>
      <w:color w:val="0000FF"/>
      <w:u w:val="single"/>
    </w:rPr>
  </w:style>
  <w:style w:type="paragraph" w:customStyle="1" w:styleId="27">
    <w:name w:val="table of figures"/>
    <w:basedOn w:val="0"/>
    <w:next w:val="0"/>
    <w:pPr>
      <w:spacing w:before="100" w:beforeAutospacing="1" w:after="100" w:afterAutospacing="1"/>
      <w:ind w:leftChars="200" w:left="400" w:hangingChars="200" w:hanging="200"/>
    </w:pPr>
  </w:style>
  <w:style w:type="paragraph" w:customStyle="1" w:styleId="28">
    <w:name w:val="图表目录1"/>
    <w:basedOn w:val="0"/>
    <w:next w:val="0"/>
    <w:pPr>
      <w:spacing w:beforeAutospacing="1" w:afterAutospacing="1"/>
      <w:ind w:leftChars="200" w:left="400" w:hangingChars="200" w:hanging="200"/>
    </w:p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3">
    <w:name w:val="List Paragraph"/>
    <w:basedOn w:val="0"/>
    <w:pPr>
      <w:ind w:firstLineChars="200" w:firstLine="200"/>
    </w:pPr>
  </w:style>
  <w:style w:type="paragraph" w:customStyle="1" w:styleId="34">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5">
    <w:name w:val="普通(网站) Char"/>
    <w:basedOn w:val="0"/>
    <w:pPr>
      <w:spacing w:before="100" w:beforeAutospacing="1" w:after="100" w:afterAutospacing="1"/>
    </w:pPr>
  </w:style>
  <w:style w:type="character" w:customStyle="1" w:styleId="36">
    <w:name w:val="NormalCharacter"/>
    <w:rPr>
      <w:rFonts w:eastAsia="宋体"/>
      <w:kern w:val="2"/>
      <w:sz w:val="21"/>
      <w:szCs w:val="24"/>
      <w:lang w:val="en-US" w:eastAsia="zh-CN" w:bidi="ar-SA"/>
    </w:rPr>
  </w:style>
  <w:style w:type="paragraph" w:customStyle="1" w:styleId="37">
    <w:name w:val="四号正文"/>
    <w:basedOn w:val="0"/>
    <w:pPr>
      <w:spacing w:line="360" w:lineRule="auto"/>
    </w:pPr>
    <w:rPr>
      <w:rFonts w:ascii="??" w:eastAsia="宋体" w:hAnsi="??"/>
      <w:color w:val="000000"/>
      <w:kern w:val="0"/>
      <w:sz w:val="28"/>
      <w:szCs w:val="21"/>
      <w:lang w:val="zh-CN"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总收入</c:v>
          </c:tx>
          <c:spPr>
            <a:solidFill>
              <a:srgbClr val="4F81BD"/>
            </a:solidFill>
            <a:ln>
              <a:noFill/>
            </a:ln>
          </c:spPr>
          <c:invertIfNegative val="0"/>
          <c:dLbls>
            <c:showLegendKey val="0"/>
            <c:showVal val="0"/>
            <c:showCatName val="0"/>
            <c:showSerName val="0"/>
            <c:showPercent val="0"/>
            <c:showBubbleSize val="0"/>
            <c:showLeaderLines val="0"/>
          </c:dLbls>
          <c:cat>
            <c:strLit>
              <c:ptCount val="3"/>
              <c:pt idx="1">
                <c:v>2020年</c:v>
              </c:pt>
              <c:pt idx="2">
                <c:v>2021年</c:v>
              </c:pt>
            </c:strLit>
          </c:cat>
          <c:val>
            <c:numRef>
              <c:f/>
              <c:numCache>
                <c:formatCode>General</c:formatCode>
                <c:ptCount val="3"/>
                <c:pt idx="1">
                  <c:v>883.39</c:v>
                </c:pt>
                <c:pt idx="2">
                  <c:v>892.02</c:v>
                </c:pt>
              </c:numCache>
            </c:numRef>
          </c:val>
        </c:ser>
        <c:ser>
          <c:idx val="1"/>
          <c:order val="1"/>
          <c:tx>
            <c:v>总支出</c:v>
          </c:tx>
          <c:spPr>
            <a:solidFill>
              <a:srgbClr val="C0504D"/>
            </a:solidFill>
            <a:ln>
              <a:noFill/>
            </a:ln>
          </c:spPr>
          <c:invertIfNegative val="0"/>
          <c:dLbls>
            <c:showLegendKey val="0"/>
            <c:showVal val="0"/>
            <c:showCatName val="0"/>
            <c:showSerName val="0"/>
            <c:showPercent val="0"/>
            <c:showBubbleSize val="0"/>
            <c:showLeaderLines val="0"/>
          </c:dLbls>
          <c:cat>
            <c:strLit>
              <c:ptCount val="3"/>
              <c:pt idx="1">
                <c:v>2020年</c:v>
              </c:pt>
              <c:pt idx="2">
                <c:v>2021年</c:v>
              </c:pt>
            </c:strLit>
          </c:cat>
          <c:val>
            <c:numRef>
              <c:f/>
              <c:numCache>
                <c:formatCode>General</c:formatCode>
                <c:ptCount val="3"/>
                <c:pt idx="1">
                  <c:v>1101.91</c:v>
                </c:pt>
                <c:pt idx="2">
                  <c:v>892.02</c:v>
                </c:pt>
              </c:numCache>
            </c:numRef>
          </c:val>
        </c:ser>
        <c:overlap val="-27"/>
        <c:gapWidth val="219"/>
        <c:axId val="0"/>
        <c:axId val="1"/>
      </c:barChart>
      <c:catAx>
        <c:axId val="0"/>
        <c:scaling>
          <c:orientation val="minMax"/>
        </c:scaling>
        <c:delete val="0"/>
        <c:axPos val="b"/>
        <c:numFmt formatCode="General" sourceLinked="0"/>
        <c:title>
          <c:tx>
            <c:rich>
              <a:bodyPr/>
              <a:lstStyle/>
              <a:p>
                <a:pPr>
                  <a:defRPr sz="1000" b="0" i="0" u="none" strike="noStrike" baseline="0">
                    <a:solidFill>
                      <a:srgbClr val="595959"/>
                    </a:solidFill>
                    <a:latin typeface="Times New Roman"/>
                    <a:ea typeface="宋体"/>
                    <a:cs typeface="Lucida Sans"/>
                  </a:defRPr>
                </a:pPr>
                <a:r>
                  <a:rPr lang="zh-CN"/>
                  <a:t>坐标轴标题</a:t>
                </a:r>
              </a:p>
            </c:rich>
          </c:tx>
          <c:layout/>
          <c:overlay val="0"/>
          <c:spPr>
            <a:noFill/>
            <a:ln>
              <a:noFill/>
            </a:ln>
          </c:spPr>
        </c:title>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lstStyle/>
              <a:p>
                <a:pPr>
                  <a:defRPr sz="1000" b="0" i="0" u="none" strike="noStrike" baseline="0">
                    <a:solidFill>
                      <a:srgbClr val="595959"/>
                    </a:solidFill>
                    <a:latin typeface="Times New Roman"/>
                    <a:ea typeface="宋体"/>
                    <a:cs typeface="Lucida Sans"/>
                  </a:defRPr>
                </a:pPr>
                <a:r>
                  <a:rPr lang="zh-CN"/>
                  <a:t>坐标轴标题</a:t>
                </a:r>
              </a:p>
            </c:rich>
          </c:tx>
          <c:layout/>
          <c:overlay val="0"/>
          <c:spPr>
            <a:noFill/>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dTable>
        <c:showHorzBorder val="1"/>
        <c:showVertBorder val="1"/>
        <c:showOutline val="1"/>
        <c:showKeys val="1"/>
        <c:spPr>
          <a:ln w="6350">
            <a:solidFill>
              <a:srgbClr val="D9D9D9"/>
            </a:solidFill>
            <a:prstDash val="solid"/>
          </a:ln>
        </c:spPr>
        <c:txPr>
          <a:bodyPr/>
          <a:lstStyle/>
          <a:p>
            <a:pPr rtl="0">
              <a:defRPr sz="900" b="0" i="0" u="none" strike="noStrike" baseline="0">
                <a:solidFill>
                  <a:srgbClr val="595959"/>
                </a:solidFill>
                <a:latin typeface="Times New Roman"/>
                <a:ea typeface="宋体"/>
                <a:cs typeface="Lucida Sans"/>
              </a:defRPr>
            </a:pPr>
            <a:endParaRPr lang="zh-CN"/>
          </a:p>
        </c:txPr>
      </c:dTable>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v>收入决算结构图</c:v>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2"/>
              <c:pt idx="0">
                <c:v>一般公共预算财政拨款收入</c:v>
              </c:pt>
              <c:pt idx="1">
                <c:v>其他收入</c:v>
              </c:pt>
            </c:strLit>
          </c:cat>
          <c:val>
            <c:numRef>
              <c:f/>
              <c:numCache>
                <c:formatCode>General</c:formatCode>
                <c:ptCount val="2"/>
                <c:pt idx="0">
                  <c:v>892.02</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支出决算结构图</c:v>
                </c:pt>
              </c:strCache>
            </c:strRef>
          </c:tx>
          <c:spPr>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1"/>
              <c:layout>
                <c:manualLayout>
                  <c:x val="0.015284116"/>
                  <c:y val="-0.030852178"/>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a:t>200.42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基本支出</c:v>
                </c:pt>
                <c:pt idx="1">
                  <c:v>项目支出</c:v>
                </c:pt>
              </c:strCache>
            </c:strRef>
          </c:cat>
          <c:val>
            <c:numRef>
              <c:f>'Sheet1 (2)'!$B$2:$B$3</c:f>
              <c:numCache>
                <c:formatCode>General</c:formatCode>
                <c:ptCount val="2"/>
                <c:pt idx="0">
                  <c:v>691.6</c:v>
                </c:pt>
                <c:pt idx="1">
                  <c:v>200.42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2021年 </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一般公共预算财政拨款收入</c:v>
              </c:pt>
              <c:pt idx="1">
                <c:v>一般公共预算财政拨款支出</c:v>
              </c:pt>
            </c:strLit>
          </c:cat>
          <c:val>
            <c:numRef>
              <c:f/>
              <c:numCache>
                <c:formatCode>General</c:formatCode>
                <c:ptCount val="2"/>
                <c:pt idx="0">
                  <c:v>883.39</c:v>
                </c:pt>
                <c:pt idx="1">
                  <c:v>1101.91</c:v>
                </c:pt>
              </c:numCache>
            </c:numRef>
          </c:val>
        </c:ser>
        <c:ser>
          <c:idx val="1"/>
          <c:order val="1"/>
          <c:tx>
            <c:v>2022年</c:v>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一般公共预算财政拨款收入</c:v>
              </c:pt>
              <c:pt idx="1">
                <c:v>一般公共预算财政拨款支出</c:v>
              </c:pt>
            </c:strLit>
          </c:cat>
          <c:val>
            <c:numRef>
              <c:f/>
              <c:numCache>
                <c:formatCode>General</c:formatCode>
                <c:ptCount val="2"/>
                <c:pt idx="0">
                  <c:v>892.02</c:v>
                </c:pt>
                <c:pt idx="1">
                  <c:v>892.02</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dTable>
        <c:showHorzBorder val="1"/>
        <c:showVertBorder val="1"/>
        <c:showOutline val="1"/>
        <c:showKeys val="1"/>
        <c:spPr>
          <a:ln w="6350">
            <a:solidFill>
              <a:srgbClr val="D9D9D9"/>
            </a:solidFill>
            <a:prstDash val="solid"/>
          </a:ln>
        </c:spPr>
        <c:txPr>
          <a:bodyPr/>
          <a:lstStyle/>
          <a:p>
            <a:pPr rtl="0">
              <a:defRPr sz="900" b="0" i="0" u="none" strike="noStrike" baseline="0">
                <a:solidFill>
                  <a:srgbClr val="595959"/>
                </a:solidFill>
                <a:latin typeface="Times New Roman"/>
                <a:ea typeface="宋体"/>
                <a:cs typeface="Lucida Sans"/>
              </a:defRPr>
            </a:pPr>
            <a:endParaRPr lang="zh-CN"/>
          </a:p>
        </c:txPr>
      </c:dTable>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支出结构表</a:t>
            </a:r>
          </a:p>
        </c:rich>
      </c:tx>
      <c:layout/>
      <c:overlay val="0"/>
      <c:spPr>
        <a:noFill/>
        <a:ln>
          <a:noFill/>
        </a:ln>
      </c:spPr>
    </c:title>
    <c:autoTitleDeleted val="1"/>
    <c:plotArea>
      <c:layout/>
      <c:barChart>
        <c:barDir val="bar"/>
        <c:grouping val="clustered"/>
        <c:varyColors val="0"/>
        <c:ser>
          <c:idx val="0"/>
          <c:order val="0"/>
          <c:tx>
            <c:v>支出结构表</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5"/>
              <c:pt idx="0">
                <c:v>一般公共服务支出</c:v>
              </c:pt>
              <c:pt idx="1">
                <c:v>社会保障和就业支出</c:v>
              </c:pt>
              <c:pt idx="2">
                <c:v>卫生健康支出</c:v>
              </c:pt>
              <c:pt idx="3">
                <c:v>农林水支出</c:v>
              </c:pt>
              <c:pt idx="4">
                <c:v>住房保障支出</c:v>
              </c:pt>
            </c:strLit>
          </c:cat>
          <c:val>
            <c:numRef>
              <c:f/>
              <c:numCache>
                <c:formatCode>General</c:formatCode>
                <c:ptCount val="5"/>
                <c:pt idx="0">
                  <c:v>326.46</c:v>
                </c:pt>
                <c:pt idx="1">
                  <c:v>75.5</c:v>
                </c:pt>
                <c:pt idx="2">
                  <c:v>36.37</c:v>
                </c:pt>
                <c:pt idx="3">
                  <c:v>406.86</c:v>
                </c:pt>
                <c:pt idx="4">
                  <c:v>46.83</c:v>
                </c:pt>
              </c:numCache>
            </c:numRef>
          </c:val>
        </c:ser>
        <c:gapWidth val="182"/>
        <c:axId val="0"/>
        <c:axId val="1"/>
      </c:barChart>
      <c:catAx>
        <c:axId val="0"/>
        <c:scaling>
          <c:orientation val="minMax"/>
        </c:scaling>
        <c:delete val="0"/>
        <c:axPos val="l"/>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b"/>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12</TotalTime>
  <Application>Yozo_Office27021597764231179</Application>
  <Pages>25</Pages>
  <Words>9264</Words>
  <Characters>10134</Characters>
  <Lines>507</Lines>
  <Paragraphs>211</Paragraphs>
  <CharactersWithSpaces>10212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2023-08-29T03:38:41Z</cp:lastPrinted>
  <dcterms:created xsi:type="dcterms:W3CDTF">2021-09-18T03:28:00Z</dcterms:created>
  <dcterms:modified xsi:type="dcterms:W3CDTF">2023-09-22T01:02:04Z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7C025BF336E1492EB10F875AE7B737BB</vt:lpwstr>
  </property>
</Properties>
</file>