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lang w:eastAsia="zh-CN"/>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8441"/>
      <w:bookmarkStart w:id="3" w:name="_Toc15396475"/>
      <w:bookmarkStart w:id="4" w:name="_Toc15377193"/>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426"/>
      <w:bookmarkStart w:id="8" w:name="_Toc15377194"/>
      <w:bookmarkStart w:id="9" w:name="_Toc15396476"/>
      <w:bookmarkStart w:id="10" w:name="_Toc15378442"/>
      <w:r>
        <w:rPr>
          <w:rFonts w:hint="eastAsia" w:ascii="方正小标宋简体" w:eastAsia="方正小标宋简体"/>
          <w:color w:val="000000"/>
          <w:sz w:val="72"/>
          <w:szCs w:val="72"/>
        </w:rPr>
        <w:t>四川</w:t>
      </w:r>
      <w:bookmarkEnd w:id="0"/>
      <w:bookmarkStart w:id="11" w:name="_Toc15306268"/>
      <w:r>
        <w:rPr>
          <w:rFonts w:hint="eastAsia" w:ascii="方正小标宋简体" w:eastAsia="方正小标宋简体"/>
          <w:color w:val="000000"/>
          <w:sz w:val="72"/>
          <w:szCs w:val="72"/>
        </w:rPr>
        <w:t>省金川县二嘎里乡人民政府部门决算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bookmarkStart w:id="12" w:name="_Toc15377196"/>
      <w:bookmarkStart w:id="13" w:name="_Toc15396599"/>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8445"/>
      <w:bookmarkStart w:id="17" w:name="_Toc15377198"/>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ind w:firstLine="640" w:firstLineChars="200"/>
        <w:rPr>
          <w:rFonts w:ascii="仿宋_GB2312" w:hAnsi="仿宋" w:eastAsia="仿宋_GB2312"/>
          <w:sz w:val="32"/>
          <w:szCs w:val="32"/>
        </w:rPr>
      </w:pPr>
      <w:r>
        <w:rPr>
          <w:rFonts w:hint="eastAsia" w:ascii="仿宋_GB2312" w:eastAsia="仿宋_GB2312"/>
          <w:sz w:val="32"/>
          <w:szCs w:val="32"/>
        </w:rPr>
        <w:t>贯彻执行党和国家关于预算、税收、行政事业单位国有资产、财务、会计等法律、法规、规章和方针、政策。根据我乡实际，编制中长期财政计划。</w:t>
      </w:r>
      <w:r>
        <w:rPr>
          <w:rFonts w:hint="eastAsia" w:ascii="仿宋_GB2312" w:eastAsia="仿宋_GB2312"/>
          <w:kern w:val="0"/>
          <w:sz w:val="32"/>
          <w:szCs w:val="32"/>
        </w:rPr>
        <w:t>在县级有关部门及其他兄弟乡镇的大力支持和帮助下，在乡党委的正确带领下，二嘎里乡人民政府高举邓小平理论伟大旗帜，以“三个代表” 重要思想和科学发展观为指导，认真贯彻落实党的十九大</w:t>
      </w:r>
      <w:bookmarkStart w:id="63" w:name="_GoBack"/>
      <w:bookmarkEnd w:id="63"/>
      <w:r>
        <w:rPr>
          <w:rFonts w:hint="eastAsia" w:ascii="仿宋_GB2312" w:eastAsia="仿宋_GB2312"/>
          <w:kern w:val="0"/>
          <w:sz w:val="32"/>
          <w:szCs w:val="32"/>
        </w:rPr>
        <w:t>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习总书记重要讲话精神，紧紧围绕发展战略和建设目标，坚定信心，主动作为，攻坚克难，创新实干，</w:t>
      </w:r>
      <w:r>
        <w:rPr>
          <w:rFonts w:hint="eastAsia" w:ascii="仿宋_GB2312" w:hAnsi="仿宋_GB2312" w:eastAsia="仿宋_GB2312" w:cs="仿宋_GB2312"/>
          <w:kern w:val="0"/>
          <w:sz w:val="32"/>
          <w:szCs w:val="32"/>
        </w:rPr>
        <w:t>紧紧</w:t>
      </w:r>
      <w:r>
        <w:rPr>
          <w:rFonts w:hint="eastAsia" w:ascii="仿宋_GB2312" w:eastAsia="仿宋_GB2312"/>
          <w:kern w:val="0"/>
          <w:sz w:val="32"/>
          <w:szCs w:val="32"/>
        </w:rPr>
        <w:t>围绕县委、县政府提出的建设“川西北生态经济示范县”“阿坝新江南”一二三四五发展战略和“小康金川、美丽金川”建设目标，着力抓经济、保稳定、惠民生、促发展，全乡经济和社会各项事业持续健康发展。全乡上下齐心协力，锐意进取，有力推动各项工作顺利开展并较好完成了2020年定的各项目标任务。</w:t>
      </w:r>
    </w:p>
    <w:bookmarkEnd w:id="18"/>
    <w:bookmarkEnd w:id="19"/>
    <w:p>
      <w:pPr>
        <w:snapToGrid w:val="0"/>
        <w:spacing w:line="360" w:lineRule="auto"/>
        <w:ind w:firstLine="210" w:firstLineChars="100"/>
        <w:outlineLvl w:val="1"/>
        <w:rPr>
          <w:rFonts w:ascii="楷体" w:hAnsi="楷体" w:eastAsia="楷体" w:cs="楷体"/>
          <w:b/>
          <w:bCs/>
          <w:sz w:val="30"/>
          <w:szCs w:val="30"/>
        </w:rPr>
      </w:pPr>
      <w:bookmarkStart w:id="20" w:name="_Toc19488"/>
      <w:bookmarkStart w:id="21" w:name="_Toc15396601"/>
      <w:bookmarkStart w:id="22" w:name="_Toc15377200"/>
      <w:r>
        <w:rPr>
          <w:rFonts w:hint="eastAsia" w:ascii="楷体" w:eastAsia="楷体" w:cs="楷体"/>
          <w:color w:val="000000"/>
        </w:rPr>
        <w:t xml:space="preserve"> </w:t>
      </w:r>
      <w:r>
        <w:rPr>
          <w:rFonts w:hint="eastAsia" w:ascii="楷体" w:hAnsi="楷体" w:eastAsia="楷体" w:cs="楷体"/>
          <w:b/>
          <w:bCs/>
          <w:sz w:val="30"/>
          <w:szCs w:val="30"/>
        </w:rPr>
        <w:t>（二）当年取得的主要成效：</w:t>
      </w:r>
      <w:bookmarkEnd w:id="20"/>
    </w:p>
    <w:p>
      <w:pPr>
        <w:spacing w:line="560" w:lineRule="exact"/>
        <w:ind w:left="420" w:leftChars="200" w:firstLine="640" w:firstLineChars="200"/>
        <w:outlineLvl w:val="0"/>
        <w:rPr>
          <w:rFonts w:ascii="仿宋_GB2312" w:eastAsia="仿宋_GB2312"/>
          <w:sz w:val="32"/>
          <w:szCs w:val="32"/>
        </w:rPr>
      </w:pPr>
      <w:r>
        <w:rPr>
          <w:rFonts w:hint="eastAsia" w:ascii="仿宋_GB2312" w:hAnsi="宋体" w:eastAsia="仿宋_GB2312"/>
          <w:sz w:val="32"/>
        </w:rPr>
        <w:t>以习近平新时代中国特色社会主义思想、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宋体" w:eastAsia="仿宋_GB2312"/>
          <w:sz w:val="32"/>
          <w:lang w:eastAsia="zh-CN"/>
        </w:rPr>
        <w:t>开辟</w:t>
      </w:r>
      <w:r>
        <w:rPr>
          <w:rFonts w:hint="eastAsia" w:ascii="仿宋_GB2312" w:hAnsi="宋体" w:eastAsia="仿宋_GB2312"/>
          <w:sz w:val="32"/>
        </w:rPr>
        <w:t>发展的新空间，努力开创二嘎里乡发展的新局面。</w:t>
      </w:r>
    </w:p>
    <w:p>
      <w:pPr>
        <w:spacing w:line="578" w:lineRule="exact"/>
        <w:ind w:firstLine="640" w:firstLineChars="200"/>
        <w:rPr>
          <w:rStyle w:val="18"/>
          <w:b w:val="0"/>
          <w:bCs w:val="0"/>
        </w:rPr>
      </w:pPr>
      <w:r>
        <w:rPr>
          <w:rStyle w:val="18"/>
          <w:rFonts w:hint="eastAsia" w:ascii="黑体" w:eastAsia="黑体"/>
          <w:b w:val="0"/>
          <w:bCs w:val="0"/>
        </w:rPr>
        <w:t>二、机构设置</w:t>
      </w:r>
      <w:bookmarkEnd w:id="21"/>
      <w:bookmarkEnd w:id="22"/>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金川县二嘎里乡人民政府是</w:t>
      </w:r>
      <w:r>
        <w:rPr>
          <w:rFonts w:hint="eastAsia" w:ascii="仿宋_GB2312" w:eastAsia="仿宋_GB2312"/>
          <w:bCs/>
          <w:color w:val="000000"/>
          <w:sz w:val="32"/>
          <w:szCs w:val="32"/>
        </w:rPr>
        <w:t>由乡党建办公室、维护稳定办公室、经济发展和乡村振兴办公室、社会事务和应急管理办公室、便民服务中心、经济发展服务中心、农业农村服务中心、社会事业服务中心组成；乡政府为行政编制，便民中心为事业编制</w:t>
      </w:r>
      <w:r>
        <w:rPr>
          <w:rFonts w:hint="eastAsia" w:ascii="仿宋_GB2312" w:eastAsia="仿宋_GB2312"/>
          <w:color w:val="000000"/>
          <w:sz w:val="32"/>
          <w:szCs w:val="32"/>
        </w:rPr>
        <w:t>。</w:t>
      </w:r>
    </w:p>
    <w:p>
      <w:pPr>
        <w:pStyle w:val="3"/>
        <w:ind w:right="440"/>
        <w:jc w:val="right"/>
      </w:pPr>
      <w:bookmarkStart w:id="23" w:name="_Toc15396602"/>
      <w:bookmarkStart w:id="24"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3"/>
      <w:bookmarkEnd w:id="24"/>
    </w:p>
    <w:p>
      <w:pPr>
        <w:pStyle w:val="23"/>
        <w:numPr>
          <w:ilvl w:val="0"/>
          <w:numId w:val="1"/>
        </w:numPr>
        <w:ind w:left="0" w:firstLine="0" w:firstLineChars="0"/>
        <w:outlineLvl w:val="1"/>
        <w:rPr>
          <w:rStyle w:val="18"/>
          <w:rFonts w:ascii="黑体" w:eastAsia="黑体"/>
          <w:b w:val="0"/>
        </w:rPr>
      </w:pPr>
      <w:bookmarkStart w:id="25" w:name="_Toc15377205"/>
      <w:bookmarkStart w:id="26"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5"/>
      <w:bookmarkEnd w:id="26"/>
    </w:p>
    <w:p>
      <w:pPr>
        <w:snapToGrid w:val="0"/>
        <w:spacing w:line="520" w:lineRule="exact"/>
        <w:ind w:firstLine="632" w:firstLineChars="200"/>
        <w:rPr>
          <w:rFonts w:ascii="仿宋" w:eastAsia="仿宋_GB2312"/>
          <w:sz w:val="32"/>
          <w:szCs w:val="32"/>
        </w:rPr>
      </w:pPr>
      <w:r>
        <w:rPr>
          <w:rFonts w:hint="eastAsia" w:ascii="仿宋_GB2312" w:eastAsia="仿宋_GB2312"/>
          <w:color w:val="000000"/>
          <w:spacing w:val="-2"/>
          <w:sz w:val="32"/>
          <w:szCs w:val="32"/>
        </w:rPr>
        <w:t>2020年度总收入832.99万元，</w:t>
      </w:r>
      <w:r>
        <w:rPr>
          <w:rFonts w:hint="eastAsia" w:ascii="仿宋_GB2312" w:eastAsia="仿宋_GB2312"/>
          <w:spacing w:val="-2"/>
          <w:sz w:val="32"/>
          <w:szCs w:val="32"/>
        </w:rPr>
        <w:t>2020年总支出</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486410</wp:posOffset>
            </wp:positionH>
            <wp:positionV relativeFrom="paragraph">
              <wp:posOffset>560070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eastAsia="黑体"/>
          <w:color w:val="000000"/>
          <w:sz w:val="32"/>
          <w:szCs w:val="32"/>
        </w:rPr>
        <w:t>607.62</w:t>
      </w:r>
      <w:r>
        <w:rPr>
          <w:rFonts w:hint="eastAsia" w:ascii="仿宋_GB2312" w:eastAsia="仿宋_GB2312"/>
          <w:spacing w:val="-2"/>
          <w:sz w:val="32"/>
          <w:szCs w:val="32"/>
        </w:rPr>
        <w:t>万元。</w:t>
      </w:r>
    </w:p>
    <w:p>
      <w:pPr>
        <w:spacing w:line="600" w:lineRule="exact"/>
        <w:ind w:firstLine="640" w:firstLineChars="200"/>
        <w:rPr>
          <w:rStyle w:val="18"/>
          <w:rFonts w:ascii="黑体" w:eastAsia="黑体"/>
          <w:b w:val="0"/>
        </w:rPr>
      </w:pPr>
      <w:bookmarkStart w:id="27" w:name="_Toc15396604"/>
      <w:bookmarkStart w:id="28" w:name="_Toc15377206"/>
      <w:r>
        <w:rPr>
          <w:rFonts w:hint="eastAsia" w:ascii="黑体" w:eastAsia="黑体"/>
          <w:color w:val="000000"/>
          <w:sz w:val="32"/>
          <w:szCs w:val="32"/>
        </w:rPr>
        <w:t>二、收入决</w:t>
      </w:r>
      <w:r>
        <w:rPr>
          <w:rStyle w:val="18"/>
          <w:rFonts w:hint="eastAsia" w:ascii="黑体" w:eastAsia="黑体"/>
          <w:b w:val="0"/>
        </w:rPr>
        <w:t>算情况说明</w:t>
      </w:r>
      <w:bookmarkEnd w:id="27"/>
      <w:bookmarkEnd w:id="2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832.99</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rPr>
        <w:t>832.99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9" w:name="_Toc15377207"/>
      <w:bookmarkStart w:id="30" w:name="_Toc15396605"/>
      <w:r>
        <w:rPr>
          <w:rFonts w:hint="eastAsia" w:ascii="黑体" w:eastAsia="黑体"/>
          <w:color w:val="000000"/>
          <w:sz w:val="32"/>
          <w:szCs w:val="32"/>
        </w:rPr>
        <w:drawing>
          <wp:anchor distT="0" distB="0" distL="114300" distR="114300" simplePos="0" relativeHeight="251659264" behindDoc="1" locked="0" layoutInCell="1" allowOverlap="1">
            <wp:simplePos x="0" y="0"/>
            <wp:positionH relativeFrom="column">
              <wp:posOffset>165100</wp:posOffset>
            </wp:positionH>
            <wp:positionV relativeFrom="paragraph">
              <wp:posOffset>190500</wp:posOffset>
            </wp:positionV>
            <wp:extent cx="5373370" cy="2648585"/>
            <wp:effectExtent l="4445" t="4445" r="6985" b="13970"/>
            <wp:wrapNone/>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t>三、支出决</w:t>
      </w:r>
      <w:r>
        <w:rPr>
          <w:rStyle w:val="18"/>
          <w:rFonts w:hint="eastAsia" w:ascii="黑体" w:eastAsia="黑体"/>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2020年本年总支出607.62万元，其中：基本支出418.14万元，占68.81%；项目支出189.48万元，占31.19%；上缴上级支出0万元，占0%；经营支出0万元，占0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1" w:name="_Toc15377208"/>
      <w:bookmarkStart w:id="32"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1"/>
      <w:bookmarkEnd w:id="32"/>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2020年财政拨款收入832.99万元。2020年财政拨款支出607.62万元</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77209"/>
      <w:bookmarkStart w:id="34"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3"/>
      <w:bookmarkEnd w:id="34"/>
    </w:p>
    <w:p>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一般公共预算财政拨款支出607.62万元，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-8150860</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6" w:name="_Toc15377211"/>
      <w:r>
        <w:rPr>
          <w:rFonts w:hint="eastAsia" w:ascii="仿宋" w:eastAsia="仿宋"/>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20年一般公共预算财政拨款支出607.62万元，主要用于以下方面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支出278.68万元；文化旅游体育与传媒支出3.32万元；</w:t>
      </w:r>
      <w:r>
        <w:rPr>
          <w:rFonts w:hint="eastAsia" w:ascii="仿宋" w:eastAsia="仿宋"/>
          <w:b/>
          <w:color w:val="000000"/>
          <w:sz w:val="32"/>
          <w:szCs w:val="32"/>
        </w:rPr>
        <w:t>社会保障和就业（类）</w:t>
      </w:r>
      <w:r>
        <w:rPr>
          <w:rFonts w:hint="eastAsia" w:ascii="仿宋" w:eastAsia="仿宋"/>
          <w:color w:val="000000"/>
          <w:sz w:val="32"/>
          <w:szCs w:val="32"/>
        </w:rPr>
        <w:t>支出5.511万元；</w:t>
      </w:r>
      <w:r>
        <w:rPr>
          <w:rFonts w:hint="eastAsia" w:ascii="仿宋" w:eastAsia="仿宋"/>
          <w:b/>
          <w:bCs/>
          <w:color w:val="000000"/>
          <w:sz w:val="32"/>
          <w:szCs w:val="32"/>
        </w:rPr>
        <w:t>卫生健康支出</w:t>
      </w:r>
      <w:r>
        <w:rPr>
          <w:rFonts w:hint="eastAsia" w:ascii="仿宋" w:eastAsia="仿宋"/>
          <w:color w:val="000000"/>
          <w:sz w:val="32"/>
          <w:szCs w:val="32"/>
        </w:rPr>
        <w:t>26.19万元；</w:t>
      </w:r>
      <w:r>
        <w:rPr>
          <w:rFonts w:hint="eastAsia" w:ascii="仿宋" w:eastAsia="仿宋"/>
          <w:b/>
          <w:bCs/>
          <w:color w:val="000000"/>
          <w:sz w:val="32"/>
          <w:szCs w:val="32"/>
        </w:rPr>
        <w:t>住房保障支出</w:t>
      </w:r>
      <w:r>
        <w:rPr>
          <w:rFonts w:hint="eastAsia" w:ascii="仿宋" w:eastAsia="仿宋"/>
          <w:color w:val="000000"/>
          <w:sz w:val="32"/>
          <w:szCs w:val="32"/>
        </w:rPr>
        <w:t>33.22万元；农林水支出214.07万元；其他支出6.63万元。</w:t>
      </w:r>
    </w:p>
    <w:p>
      <w:pPr>
        <w:spacing w:line="600" w:lineRule="exact"/>
        <w:ind w:firstLine="8353" w:firstLineChars="2600"/>
        <w:outlineLvl w:val="2"/>
        <w:rPr>
          <w:rFonts w:ascii="仿宋" w:eastAsia="仿宋"/>
          <w:b/>
          <w:color w:val="000000"/>
          <w:sz w:val="32"/>
          <w:szCs w:val="32"/>
        </w:rPr>
      </w:pPr>
      <w:bookmarkStart w:id="37" w:name="_Toc15378460"/>
      <w:bookmarkStart w:id="38" w:name="_Toc15377213"/>
      <w:bookmarkStart w:id="39" w:name="_Toc15377444"/>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2020年一般公共预算数为832.99万元，支出决算数为607.62万元，完</w:t>
      </w:r>
      <w:r>
        <w:rPr>
          <w:rStyle w:val="15"/>
          <w:rFonts w:hint="eastAsia" w:ascii="仿宋" w:eastAsia="仿宋"/>
          <w:b w:val="0"/>
          <w:bCs/>
          <w:color w:val="000000"/>
          <w:sz w:val="32"/>
          <w:szCs w:val="32"/>
        </w:rPr>
        <w:t>成预算72.94</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支出决算为278.68万元，完成预算100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一般公共服务（类）政府办公室（室）及相关机构事务（款）一般行政管理事务（项）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支出决算为278.68万元，完成预算100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支出决算为30.34万元，完成预算100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支出决算为15.17万元，完成预算100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支出决算为14.77万元，完成预算100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支出决算为4.74万元，完成预算100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41" w:name="_Toc15396608"/>
      <w:bookmarkStart w:id="42" w:name="_Toc15377214"/>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支出决算为33.22万元，完成预算100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1"/>
      <w:bookmarkEnd w:id="42"/>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20年一般公共预算财政拨款基本支出418.13万元，其中：</w:t>
      </w:r>
    </w:p>
    <w:p>
      <w:pPr>
        <w:rPr>
          <w:rFonts w:hint="eastAsia" w:ascii="仿宋" w:eastAsia="仿宋"/>
          <w:color w:val="000000"/>
          <w:sz w:val="32"/>
          <w:szCs w:val="32"/>
          <w:lang w:eastAsia="zh-CN"/>
        </w:rPr>
      </w:pPr>
      <w:r>
        <w:rPr>
          <w:rFonts w:hint="eastAsia" w:ascii="仿宋" w:eastAsia="仿宋"/>
          <w:color w:val="000000"/>
          <w:sz w:val="32"/>
          <w:szCs w:val="32"/>
        </w:rPr>
        <w:t>人员经费392.75万元，主要包括：基本工资77.96万元、绩效工资15.05万元、津贴补贴128.14万元、奖金6.25万元、机关事业单位基本养老保险缴费30.34万元、职业年金缴费15.17万元、职工基本医疗保险缴费14.77万元、公务员医疗补助缴费4.74万元、其他社会保障缴费2.72万元、其他工资福利支出0万元、生活补助0万元、奖励金64.39万元、抚恤金0万元、住房公积金33.22万元、其他对个人和家庭的补助支出0万元等。</w:t>
      </w:r>
    </w:p>
    <w:p>
      <w:r>
        <w:rPr>
          <w:rFonts w:hint="eastAsia" w:ascii="仿宋" w:eastAsia="仿宋"/>
          <w:color w:val="000000"/>
          <w:sz w:val="32"/>
          <w:szCs w:val="32"/>
        </w:rPr>
        <w:t>　　公用经费25.04万元，主要包括：办公费4.25万元、电费2.5万元、取暖费1.5万元、邮电费2万元、印刷费1万元、物业管理费0万元、差旅费3.4万元、劳务费5万元、公务用车运行维护费4.75万元、委托业务费1万元、手续费0万元、</w:t>
      </w:r>
      <w:r>
        <w:rPr>
          <w:rFonts w:hint="eastAsia" w:ascii="仿宋" w:eastAsia="仿宋"/>
          <w:color w:val="000000"/>
          <w:sz w:val="32"/>
          <w:szCs w:val="32"/>
          <w:lang w:eastAsia="zh-CN"/>
        </w:rPr>
        <w:t>税费</w:t>
      </w:r>
      <w:r>
        <w:rPr>
          <w:rFonts w:hint="eastAsia" w:ascii="仿宋" w:eastAsia="仿宋"/>
          <w:color w:val="000000"/>
          <w:sz w:val="32"/>
          <w:szCs w:val="32"/>
        </w:rPr>
        <w:t>0万元、因公出国（境）费用0万元、维修（护）费0万元、租赁费0万元、会议费0万元、培训费0万元、公务接待费0万元、福利费0万元、其他商品和服务支出0万元、办公设备购置0万元、无形资产购置0万元等。</w:t>
      </w:r>
    </w:p>
    <w:p>
      <w:pPr>
        <w:spacing w:line="600" w:lineRule="exact"/>
        <w:ind w:firstLine="645"/>
        <w:rPr>
          <w:rFonts w:ascii="仿宋" w:eastAsia="仿宋"/>
          <w:color w:val="000000"/>
          <w:sz w:val="32"/>
          <w:szCs w:val="32"/>
        </w:rPr>
      </w:pPr>
    </w:p>
    <w:p>
      <w:pPr>
        <w:spacing w:line="600" w:lineRule="exact"/>
        <w:ind w:firstLine="640" w:firstLineChars="200"/>
        <w:outlineLvl w:val="1"/>
        <w:rPr>
          <w:rStyle w:val="18"/>
          <w:rFonts w:ascii="黑体" w:eastAsia="黑体"/>
          <w:b w:val="0"/>
        </w:rPr>
      </w:pPr>
      <w:bookmarkStart w:id="43" w:name="_Toc15377215"/>
      <w:bookmarkStart w:id="44"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hint="eastAsia" w:ascii="仿宋" w:eastAsia="仿宋"/>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20年“三公”经费财政拨款支出决算为4.75万元，完成预算100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6" w:name="_Toc15377217"/>
      <w:r>
        <w:rPr>
          <w:rFonts w:hint="eastAsia" w:ascii="仿宋" w:eastAsia="仿宋"/>
          <w:b/>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决算4.75万元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sz w:val="32"/>
          <w:szCs w:val="32"/>
        </w:rPr>
        <w:t>4.75</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color w:val="000000"/>
          <w:sz w:val="32"/>
          <w:szCs w:val="32"/>
        </w:rPr>
        <w:t>4.75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9年增加0.25万元，</w:t>
      </w:r>
      <w:r>
        <w:rPr>
          <w:rFonts w:hint="eastAsia" w:ascii="仿宋_GB2312" w:eastAsia="仿宋_GB2312"/>
          <w:sz w:val="32"/>
          <w:szCs w:val="32"/>
        </w:rPr>
        <w:t>上升0.5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增加原因是合理控制规划用车，制定相关用车制度。</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eastAsia="仿宋"/>
          <w:color w:val="000000"/>
          <w:sz w:val="32"/>
          <w:szCs w:val="32"/>
        </w:rPr>
        <w:t>4.75</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7" w:name="_Toc15396610"/>
      <w:bookmarkStart w:id="48"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8"/>
          <w:rFonts w:ascii="黑体" w:eastAsia="黑体"/>
          <w:b w:val="0"/>
        </w:rPr>
      </w:pPr>
      <w:bookmarkStart w:id="49" w:name="_Toc15377219"/>
      <w:bookmarkStart w:id="50" w:name="_Toc15396611"/>
      <w:r>
        <w:rPr>
          <w:rStyle w:val="18"/>
          <w:rFonts w:hint="eastAsia" w:asci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5"/>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6"/>
        </w:numPr>
        <w:spacing w:line="580" w:lineRule="exact"/>
        <w:ind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6个项目编制了绩效目标，预算执行过程中，选取6个项目开展绩效监控，年终执行完毕后，对6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。本单位还自行组织了6个项目绩效评价，从评价情况来看我单位年初预算项目基本按照绩效目标完成支付，有部分项目结转质保金在下年质保期后进行支付。</w:t>
      </w:r>
    </w:p>
    <w:p>
      <w:pPr>
        <w:numPr>
          <w:ilvl w:val="0"/>
          <w:numId w:val="6"/>
        </w:numPr>
        <w:spacing w:line="580" w:lineRule="exact"/>
        <w:ind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6"/>
        </w:numPr>
        <w:spacing w:line="580" w:lineRule="exact"/>
        <w:ind w:firstLine="643"/>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本部门在2020年度部门决算中反映“白塔村牧民定居河堤工程采购代理费</w:t>
      </w:r>
      <w:r>
        <w:rPr>
          <w:rFonts w:ascii="仿宋_GB2312" w:eastAsia="仿宋_GB2312" w:cs="仿宋_GB2312"/>
          <w:sz w:val="32"/>
          <w:szCs w:val="32"/>
        </w:rPr>
        <w:t>”</w:t>
      </w:r>
      <w:r>
        <w:rPr>
          <w:rFonts w:hint="eastAsia" w:ascii="仿宋_GB2312" w:eastAsia="仿宋_GB2312" w:cs="仿宋_GB2312"/>
          <w:sz w:val="32"/>
          <w:szCs w:val="32"/>
        </w:rPr>
        <w:t>“二嘎里白塔村牧民定点防洪堤建设</w:t>
      </w:r>
      <w:r>
        <w:rPr>
          <w:rFonts w:ascii="仿宋_GB2312" w:eastAsia="仿宋_GB2312" w:cs="仿宋_GB2312"/>
          <w:sz w:val="32"/>
          <w:szCs w:val="32"/>
        </w:rPr>
        <w:t>”</w:t>
      </w:r>
      <w:r>
        <w:rPr>
          <w:rFonts w:hint="eastAsia" w:ascii="仿宋_GB2312" w:eastAsia="仿宋_GB2312" w:cs="仿宋_GB2312"/>
          <w:sz w:val="32"/>
          <w:szCs w:val="32"/>
        </w:rPr>
        <w:t>“二嘎里乡雅夏村通村路安保提升工程”“乡镇（公社）三老放映员经济补助”“白塔村革命老区河堤建设项目设计费”“下达村级建制调整改革奖补资金”等6个项目绩效目标实际完成情况。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1.“二嘎里乡下达村级建制调整改革奖补资金”项目绩效目标完成情况综述。项目全年预算数10万元，执行数为10万元，完成预算的100%。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二嘎里乡下达村级建制调整改革奖补资金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将二嘎里乡俄枯和温布汝村合并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村建制合并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2020年12月完成相应具体工作量。</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材料、人工等费用控制在10万元以内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2.“二嘎里乡雅夏村通村路安保提升工程”项目绩效目标完成情况综述。项目全年预算数41.31万元，执行数为41.31万元，完成预算的100%。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二嘎里乡雅夏村通村路安保提升工程</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41.31万元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二嘎里乡雅夏村通村路安保提升工程</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1、波形护栏建设安装2500米；2、反光镜4个；3、转弯标志4个；4、限速标志2个等。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1、波形护栏建设安装2500米；2、反光镜4个；3、转弯标志4个；4、限速标志2个等</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“白塔村牧民定居河堤工程采购代理费”项目绩效目标完成情况综述。项目全年预算数1.62万元，执行数为1.62万元，完成预算的100%。</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白塔村牧民定居河堤工程采购代理费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白塔村牧民定居河堤工程采购代理费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采购代理费。</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使该片区群众出行便利。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使该片区群众出行便利。</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r>
        <w:tblPrEx>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4.“二嘎里乡雅夏村通村路安保提升工程”项目绩效目标完成情况综述。项目全年预算数179.54万元，执行数为179.54万元，完成预算的100%。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二嘎里白塔村牧民定点防洪堤建设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179.54万元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二嘎里白塔村牧民定点防洪堤建设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新建防洪堤400米、商用毛石混凝土1900立方米、钢架桥1座：长8米，宽4米。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新建防洪堤400米、商用毛石混凝土1900立方米、钢架桥1座：长8米，宽4米。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rPr>
          <w:rFonts w:ascii="Calibri" w:hAnsi="Calibri"/>
        </w:rPr>
      </w:pPr>
    </w:p>
    <w:p>
      <w:pPr>
        <w:rPr>
          <w:rFonts w:ascii="Calibri" w:hAnsi="Calibri"/>
        </w:rPr>
      </w:pPr>
    </w:p>
    <w:p>
      <w:pPr>
        <w:rPr>
          <w:rFonts w:ascii="Calibri" w:hAnsi="Calibri"/>
        </w:rPr>
      </w:pPr>
    </w:p>
    <w:p>
      <w:pPr>
        <w:spacing w:line="580" w:lineRule="exact"/>
        <w:ind w:firstLine="640" w:firstLineChars="200"/>
        <w:rPr>
          <w:rFonts w:ascii="仿宋_GB2312" w:eastAsia="仿宋_GB2312" w:cs="仿宋_GB2312"/>
          <w:sz w:val="32"/>
          <w:szCs w:val="32"/>
        </w:rPr>
      </w:pPr>
      <w:bookmarkStart w:id="51" w:name="_Toc15377221"/>
      <w:bookmarkStart w:id="52" w:name="_Toc15396612"/>
      <w:r>
        <w:rPr>
          <w:rFonts w:hint="eastAsia" w:ascii="仿宋_GB2312" w:eastAsia="仿宋_GB2312" w:cs="仿宋_GB2312"/>
          <w:sz w:val="32"/>
          <w:szCs w:val="32"/>
        </w:rPr>
        <w:t>5.“乡镇（公社）三老放映员经济补助”项目绩效目标完成情况综述。项目全年预算数3.31万元，执行数为3.31万元，完成预算的100%。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乡镇（公社）三老放映员经济补助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r>
      <w:tr>
        <w:tblPrEx>
          <w:tblCellMar>
            <w:top w:w="0" w:type="dxa"/>
            <w:left w:w="0" w:type="dxa"/>
            <w:bottom w:w="0" w:type="dxa"/>
            <w:right w:w="0" w:type="dxa"/>
          </w:tblCellMar>
        </w:tblPrEx>
        <w:trPr>
          <w:trHeight w:val="3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乡镇（公社）三老放映员经济补助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一次性发放老放映员补助（石旦真年限20年，张国才年限11年）</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一次性发放老放映员补助（石旦真年限20年，张国才年限11年）</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ascii="黑体" w:eastAsia="黑体"/>
          <w:color w:val="000000"/>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6.“白塔村革命老区河堤建设项目设计费”项目绩效目标完成情况综述。项目全年预算数5万元，执行数为5万元，完成预算的100%。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白塔村革命老区河堤建设项目设计费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二嘎里乡人民政府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3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eastAsia="仿宋_GB2312" w:cs="仿宋_GB2312"/>
                <w:sz w:val="24"/>
              </w:rPr>
              <w:t>白塔村革命老区河堤建设项目设计费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24"/>
              </w:rPr>
              <w:t>白塔村革命老区河堤建设设计费</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仿宋_GB2312" w:eastAsia="仿宋_GB2312" w:cs="仿宋_GB2312"/>
                <w:sz w:val="24"/>
              </w:rPr>
              <w:t>白塔村革命老区河堤建设设计费</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rPr>
      </w:pPr>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1"/>
      <w:bookmarkEnd w:id="52"/>
    </w:p>
    <w:p>
      <w:pPr>
        <w:spacing w:line="600" w:lineRule="exact"/>
        <w:ind w:firstLine="643" w:firstLineChars="200"/>
        <w:outlineLvl w:val="2"/>
        <w:rPr>
          <w:rFonts w:ascii="仿宋" w:eastAsia="仿宋"/>
          <w:color w:val="000000"/>
          <w:sz w:val="32"/>
          <w:szCs w:val="32"/>
        </w:rPr>
      </w:pPr>
      <w:bookmarkStart w:id="53" w:name="_Toc15377222"/>
      <w:r>
        <w:rPr>
          <w:rFonts w:hint="eastAsia" w:ascii="仿宋" w:eastAsia="仿宋"/>
          <w:b/>
          <w:color w:val="000000"/>
          <w:sz w:val="32"/>
          <w:szCs w:val="32"/>
        </w:rPr>
        <w:t>（一）机关运行经费支出情况</w:t>
      </w:r>
      <w:bookmarkEnd w:id="53"/>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20年，二嘎里乡人民政府运行经费支出0万元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3"/>
      <w:r>
        <w:rPr>
          <w:rFonts w:hint="eastAsia" w:ascii="仿宋" w:eastAsia="仿宋"/>
          <w:b/>
          <w:color w:val="000000"/>
          <w:sz w:val="32"/>
          <w:szCs w:val="32"/>
        </w:rPr>
        <w:t>（二）政府采购支出情况</w:t>
      </w:r>
      <w:bookmarkEnd w:id="54"/>
    </w:p>
    <w:p>
      <w:pPr>
        <w:spacing w:line="600" w:lineRule="exact"/>
        <w:ind w:firstLine="600" w:firstLineChars="200"/>
        <w:rPr>
          <w:rFonts w:ascii="仿宋" w:eastAsia="仿宋"/>
          <w:b/>
          <w:sz w:val="32"/>
          <w:szCs w:val="32"/>
        </w:rPr>
      </w:pPr>
      <w:r>
        <w:rPr>
          <w:rFonts w:hint="eastAsia" w:ascii="仿宋_GB2312" w:eastAsia="仿宋_GB2312"/>
          <w:color w:val="000000"/>
          <w:sz w:val="30"/>
          <w:szCs w:val="30"/>
        </w:rPr>
        <w:t>无政府采购项目。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5" w:name="_Toc15377224"/>
      <w:r>
        <w:rPr>
          <w:rFonts w:hint="eastAsia" w:ascii="仿宋" w:eastAsia="仿宋"/>
          <w:b/>
          <w:color w:val="000000"/>
          <w:sz w:val="32"/>
          <w:szCs w:val="32"/>
        </w:rPr>
        <w:t>（三）国有资产占有使用情况</w:t>
      </w:r>
      <w:bookmarkEnd w:id="55"/>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7"/>
          <w:rFonts w:ascii="黑体" w:eastAsia="黑体"/>
          <w:b w:val="0"/>
        </w:rPr>
      </w:pPr>
      <w:bookmarkStart w:id="56" w:name="_Toc15377225"/>
      <w:bookmarkStart w:id="57" w:name="_Toc15396613"/>
      <w:r>
        <w:rPr>
          <w:rFonts w:hint="eastAsia" w:ascii="黑体" w:eastAsia="黑体"/>
          <w:b/>
          <w:color w:val="000000"/>
          <w:sz w:val="44"/>
          <w:szCs w:val="44"/>
        </w:rPr>
        <w:t>名</w:t>
      </w:r>
      <w:r>
        <w:rPr>
          <w:rStyle w:val="17"/>
          <w:rFonts w:hint="eastAsia" w:ascii="黑体" w:eastAsia="黑体"/>
          <w:b w:val="0"/>
        </w:rPr>
        <w:t>词解释</w:t>
      </w:r>
      <w:bookmarkEnd w:id="56"/>
      <w:bookmarkEnd w:id="57"/>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8" w:name="_Toc15396614"/>
      <w:bookmarkStart w:id="59"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25"/>
          <w:rFonts w:ascii="仿宋" w:eastAsia="仿宋"/>
          <w:b w:val="0"/>
          <w:bCs w:val="0"/>
          <w:sz w:val="32"/>
          <w:szCs w:val="32"/>
        </w:rPr>
      </w:pPr>
      <w:bookmarkStart w:id="60" w:name="_Toc15396615"/>
      <w:r>
        <w:rPr>
          <w:rStyle w:val="25"/>
          <w:rFonts w:hint="eastAsia" w:ascii="仿宋" w:eastAsia="仿宋"/>
          <w:b w:val="0"/>
          <w:bCs w:val="0"/>
          <w:sz w:val="32"/>
          <w:szCs w:val="32"/>
        </w:rPr>
        <w:t>附件1</w:t>
      </w:r>
      <w:bookmarkEnd w:id="60"/>
    </w:p>
    <w:p>
      <w:pPr>
        <w:numPr>
          <w:ilvl w:val="0"/>
          <w:numId w:val="8"/>
        </w:numPr>
        <w:spacing w:line="600" w:lineRule="exact"/>
        <w:ind w:firstLine="660" w:firstLineChars="150"/>
        <w:jc w:val="center"/>
        <w:outlineLvl w:val="0"/>
        <w:rPr>
          <w:rStyle w:val="25"/>
          <w:rFonts w:ascii="黑体" w:eastAsia="黑体"/>
          <w:b w:val="0"/>
        </w:rPr>
      </w:pPr>
      <w:r>
        <w:rPr>
          <w:rStyle w:val="25"/>
          <w:rFonts w:hint="eastAsia" w:ascii="黑体" w:eastAsia="黑体"/>
          <w:b w:val="0"/>
        </w:rPr>
        <w:t>附件</w:t>
      </w:r>
    </w:p>
    <w:p>
      <w:pPr>
        <w:outlineLvl w:val="0"/>
        <w:rPr>
          <w:rStyle w:val="25"/>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金川县二嘎里乡人民政府</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keepNext/>
        <w:pBdr>
          <w:bottom w:val="single" w:color="FFFFFF" w:sz="4" w:space="29"/>
        </w:pBdr>
        <w:tabs>
          <w:tab w:val="left" w:pos="1440"/>
        </w:tabs>
        <w:wordWrap w:val="0"/>
        <w:autoSpaceDE w:val="0"/>
        <w:autoSpaceDN w:val="0"/>
        <w:ind w:firstLine="640" w:firstLineChars="200"/>
        <w:jc w:val="left"/>
        <w:rPr>
          <w:rFonts w:ascii="仿宋_GB2312" w:eastAsia="仿宋_GB2312"/>
          <w:color w:val="000000"/>
          <w:sz w:val="32"/>
          <w:szCs w:val="32"/>
        </w:rPr>
      </w:pPr>
      <w:r>
        <w:rPr>
          <w:rFonts w:hint="eastAsia" w:ascii="仿宋_GB2312" w:eastAsia="仿宋_GB2312"/>
          <w:bCs/>
          <w:sz w:val="32"/>
          <w:szCs w:val="32"/>
        </w:rPr>
        <w:t>根据金财监绩</w:t>
      </w:r>
      <w:r>
        <w:rPr>
          <w:rFonts w:hint="eastAsia" w:ascii="宋体" w:hAnsi="宋体" w:cs="宋体"/>
          <w:bCs/>
          <w:sz w:val="32"/>
          <w:szCs w:val="32"/>
        </w:rPr>
        <w:t>〔</w:t>
      </w:r>
      <w:r>
        <w:rPr>
          <w:rFonts w:hint="eastAsia" w:ascii="仿宋_GB2312" w:eastAsia="仿宋_GB2312"/>
          <w:bCs/>
          <w:sz w:val="32"/>
          <w:szCs w:val="32"/>
        </w:rPr>
        <w:t>202</w:t>
      </w:r>
      <w:r>
        <w:rPr>
          <w:rFonts w:hint="eastAsia" w:ascii="仿宋_GB2312"/>
          <w:bCs/>
          <w:sz w:val="32"/>
          <w:szCs w:val="32"/>
        </w:rPr>
        <w:t>1</w:t>
      </w:r>
      <w:r>
        <w:rPr>
          <w:rFonts w:hint="eastAsia" w:ascii="宋体" w:hAnsi="宋体" w:cs="宋体"/>
          <w:bCs/>
          <w:sz w:val="32"/>
          <w:szCs w:val="32"/>
        </w:rPr>
        <w:t>〕</w:t>
      </w:r>
      <w:r>
        <w:rPr>
          <w:rFonts w:hint="eastAsia" w:ascii="仿宋_GB2312" w:eastAsia="仿宋_GB2312"/>
          <w:bCs/>
          <w:sz w:val="32"/>
          <w:szCs w:val="32"/>
        </w:rPr>
        <w:t>2</w:t>
      </w:r>
      <w:r>
        <w:rPr>
          <w:rFonts w:hint="eastAsia" w:ascii="仿宋_GB2312"/>
          <w:bCs/>
          <w:sz w:val="32"/>
          <w:szCs w:val="32"/>
        </w:rPr>
        <w:t>6</w:t>
      </w:r>
      <w:r>
        <w:rPr>
          <w:rFonts w:hint="eastAsia" w:ascii="仿宋_GB2312" w:eastAsia="仿宋_GB2312"/>
          <w:bCs/>
          <w:sz w:val="32"/>
          <w:szCs w:val="32"/>
        </w:rPr>
        <w:t>号《金川县财政局关于开展202</w:t>
      </w:r>
      <w:r>
        <w:rPr>
          <w:rFonts w:hint="eastAsia" w:ascii="仿宋_GB2312"/>
          <w:bCs/>
          <w:sz w:val="32"/>
          <w:szCs w:val="32"/>
        </w:rPr>
        <w:t>1</w:t>
      </w:r>
      <w:r>
        <w:rPr>
          <w:rFonts w:hint="eastAsia" w:ascii="仿宋_GB2312" w:eastAsia="仿宋_GB2312"/>
          <w:bCs/>
          <w:sz w:val="32"/>
          <w:szCs w:val="32"/>
        </w:rPr>
        <w:t>年</w:t>
      </w:r>
      <w:r>
        <w:rPr>
          <w:rFonts w:hint="eastAsia" w:ascii="仿宋_GB2312"/>
          <w:bCs/>
          <w:sz w:val="32"/>
          <w:szCs w:val="32"/>
        </w:rPr>
        <w:t>部门、政策和项目</w:t>
      </w:r>
      <w:r>
        <w:rPr>
          <w:rFonts w:hint="eastAsia" w:ascii="仿宋_GB2312" w:eastAsia="仿宋_GB2312"/>
          <w:bCs/>
          <w:sz w:val="32"/>
          <w:szCs w:val="32"/>
        </w:rPr>
        <w:t>支出绩效评价工作的通知》要求，我局积极开展做好绩效评价工作，整体支出绩效报告。</w:t>
      </w:r>
      <w:r>
        <w:rPr>
          <w:rFonts w:hint="eastAsia" w:ascii="仿宋_GB2312" w:eastAsia="仿宋_GB2312"/>
          <w:color w:val="000000"/>
          <w:sz w:val="32"/>
          <w:szCs w:val="32"/>
        </w:rPr>
        <w:t>现将2020年1月</w:t>
      </w:r>
      <w:r>
        <w:rPr>
          <w:rFonts w:hint="eastAsia" w:ascii="仿宋_GB2312" w:eastAsia="仿宋_GB2312"/>
          <w:color w:val="000000"/>
          <w:sz w:val="32"/>
          <w:szCs w:val="32"/>
          <w:lang w:eastAsia="zh-CN"/>
        </w:rPr>
        <w:t>－</w:t>
      </w:r>
      <w:r>
        <w:rPr>
          <w:rFonts w:hint="eastAsia" w:ascii="仿宋_GB2312" w:eastAsia="仿宋_GB2312"/>
          <w:color w:val="000000"/>
          <w:sz w:val="32"/>
          <w:szCs w:val="32"/>
        </w:rPr>
        <w:t>12月和2021年1-6月部门预算支出绩效自评工作报告如下：</w:t>
      </w:r>
    </w:p>
    <w:p>
      <w:pPr>
        <w:keepNext/>
        <w:pBdr>
          <w:bottom w:val="single" w:color="FFFFFF" w:sz="4" w:space="29"/>
        </w:pBdr>
        <w:tabs>
          <w:tab w:val="left" w:pos="1440"/>
        </w:tabs>
        <w:wordWrap w:val="0"/>
        <w:autoSpaceDE w:val="0"/>
        <w:autoSpaceDN w:val="0"/>
        <w:jc w:val="left"/>
        <w:rPr>
          <w:rFonts w:ascii="黑体" w:hAnsi="宋体" w:eastAsia="黑体" w:cs="宋体"/>
          <w:b/>
          <w:bCs/>
          <w:color w:val="000000"/>
          <w:kern w:val="0"/>
          <w:sz w:val="32"/>
          <w:lang w:val="zh-CN"/>
        </w:rPr>
      </w:pPr>
      <w:r>
        <w:rPr>
          <w:rFonts w:hint="eastAsia" w:ascii="黑体" w:hAnsi="宋体" w:eastAsia="黑体" w:cs="宋体"/>
          <w:b/>
          <w:bCs/>
          <w:color w:val="000000"/>
          <w:kern w:val="0"/>
          <w:sz w:val="32"/>
          <w:lang w:val="zh-CN"/>
        </w:rPr>
        <w:t xml:space="preserve">    一、部门（单位）概况</w:t>
      </w:r>
    </w:p>
    <w:p>
      <w:pPr>
        <w:keepNext/>
        <w:numPr>
          <w:ilvl w:val="0"/>
          <w:numId w:val="9"/>
        </w:numPr>
        <w:pBdr>
          <w:bottom w:val="single" w:color="FFFFFF" w:sz="4" w:space="29"/>
        </w:pBdr>
        <w:tabs>
          <w:tab w:val="left" w:pos="1440"/>
        </w:tabs>
        <w:wordWrap w:val="0"/>
        <w:autoSpaceDE w:val="0"/>
        <w:autoSpaceDN w:val="0"/>
        <w:ind w:firstLine="643" w:firstLineChars="200"/>
        <w:jc w:val="left"/>
        <w:rPr>
          <w:rFonts w:ascii="楷体" w:hAnsi="楷体" w:eastAsia="楷体" w:cs="楷体"/>
          <w:b/>
          <w:bCs/>
          <w:kern w:val="0"/>
          <w:sz w:val="32"/>
          <w:szCs w:val="32"/>
        </w:rPr>
      </w:pPr>
      <w:r>
        <w:rPr>
          <w:rFonts w:hint="eastAsia" w:ascii="楷体" w:hAnsi="楷体" w:eastAsia="楷体" w:cs="楷体"/>
          <w:b/>
          <w:bCs/>
          <w:kern w:val="0"/>
          <w:sz w:val="32"/>
          <w:szCs w:val="32"/>
        </w:rPr>
        <w:t>机构组成</w:t>
      </w:r>
    </w:p>
    <w:p>
      <w:pPr>
        <w:keepNext/>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_GB2312" w:eastAsia="仿宋_GB2312" w:cs="仿宋_GB2312"/>
          <w:color w:val="000000"/>
          <w:sz w:val="32"/>
          <w:szCs w:val="32"/>
        </w:rPr>
        <w:t>二嘎里</w:t>
      </w:r>
      <w:r>
        <w:rPr>
          <w:rFonts w:hint="eastAsia" w:ascii="仿宋_GB2312" w:hAnsi="仿宋_GB2312" w:eastAsia="仿宋_GB2312" w:cs="仿宋_GB2312"/>
          <w:color w:val="000000"/>
          <w:sz w:val="32"/>
          <w:szCs w:val="32"/>
          <w:lang w:val="zh-CN"/>
        </w:rPr>
        <w:t>乡人民政府下设“一办四中心一所”：具体组成为：党政综合办公室、</w:t>
      </w:r>
      <w:r>
        <w:rPr>
          <w:rFonts w:hint="eastAsia" w:ascii="仿宋_GB2312" w:hAnsi="仿宋_GB2312" w:eastAsia="仿宋_GB2312" w:cs="仿宋_GB2312"/>
          <w:sz w:val="32"/>
          <w:szCs w:val="32"/>
        </w:rPr>
        <w:t>便民服务</w:t>
      </w:r>
      <w:r>
        <w:rPr>
          <w:rFonts w:hint="eastAsia" w:ascii="仿宋_GB2312" w:hAnsi="仿宋_GB2312" w:eastAsia="仿宋_GB2312" w:cs="仿宋_GB2312"/>
          <w:sz w:val="32"/>
          <w:szCs w:val="32"/>
          <w:lang w:val="zh-CN"/>
        </w:rPr>
        <w:t>中心、社会</w:t>
      </w:r>
      <w:r>
        <w:rPr>
          <w:rFonts w:hint="eastAsia" w:ascii="仿宋_GB2312" w:hAnsi="仿宋_GB2312" w:eastAsia="仿宋_GB2312" w:cs="仿宋_GB2312"/>
          <w:sz w:val="32"/>
          <w:szCs w:val="32"/>
        </w:rPr>
        <w:t>事业</w:t>
      </w:r>
      <w:r>
        <w:rPr>
          <w:rFonts w:hint="eastAsia" w:ascii="仿宋_GB2312" w:hAnsi="仿宋_GB2312" w:eastAsia="仿宋_GB2312" w:cs="仿宋_GB2312"/>
          <w:sz w:val="32"/>
          <w:szCs w:val="32"/>
          <w:lang w:val="zh-CN"/>
        </w:rPr>
        <w:t>服务中心、经济发展</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zh-CN"/>
        </w:rPr>
        <w:t>中心、</w:t>
      </w:r>
      <w:r>
        <w:rPr>
          <w:rFonts w:hint="eastAsia" w:ascii="仿宋_GB2312" w:hAnsi="仿宋_GB2312" w:eastAsia="仿宋_GB2312" w:cs="仿宋_GB2312"/>
          <w:sz w:val="32"/>
          <w:szCs w:val="32"/>
        </w:rPr>
        <w:t>农业农村服务中心、</w:t>
      </w:r>
      <w:r>
        <w:rPr>
          <w:rFonts w:hint="eastAsia" w:ascii="仿宋_GB2312" w:hAnsi="仿宋_GB2312" w:eastAsia="仿宋_GB2312" w:cs="仿宋_GB2312"/>
          <w:color w:val="000000"/>
          <w:sz w:val="32"/>
          <w:szCs w:val="32"/>
        </w:rPr>
        <w:t>二嘎里</w:t>
      </w:r>
      <w:r>
        <w:rPr>
          <w:rFonts w:hint="eastAsia" w:ascii="仿宋_GB2312" w:hAnsi="仿宋_GB2312" w:eastAsia="仿宋_GB2312" w:cs="仿宋_GB2312"/>
          <w:color w:val="000000"/>
          <w:sz w:val="32"/>
          <w:szCs w:val="32"/>
          <w:lang w:val="zh-CN"/>
        </w:rPr>
        <w:t>乡财政所</w:t>
      </w:r>
      <w:r>
        <w:rPr>
          <w:rFonts w:hint="eastAsia" w:ascii="仿宋_GB2312" w:hAnsi="仿宋" w:eastAsia="仿宋_GB2312"/>
          <w:sz w:val="32"/>
          <w:szCs w:val="32"/>
        </w:rPr>
        <w:t>。</w:t>
      </w:r>
    </w:p>
    <w:p>
      <w:pPr>
        <w:numPr>
          <w:ilvl w:val="0"/>
          <w:numId w:val="10"/>
        </w:numPr>
        <w:pBdr>
          <w:bottom w:val="single" w:color="FFFFFF" w:sz="4" w:space="29"/>
        </w:pBdr>
        <w:tabs>
          <w:tab w:val="left" w:pos="1440"/>
        </w:tabs>
        <w:wordWrap w:val="0"/>
        <w:autoSpaceDE w:val="0"/>
        <w:autoSpaceDN w:val="0"/>
        <w:ind w:firstLine="643" w:firstLineChars="200"/>
        <w:jc w:val="left"/>
        <w:rPr>
          <w:rFonts w:ascii="仿宋_GB2312" w:hAnsi="仿宋" w:eastAsia="仿宋_GB2312"/>
          <w:sz w:val="32"/>
          <w:szCs w:val="32"/>
        </w:rPr>
      </w:pPr>
      <w:r>
        <w:rPr>
          <w:rFonts w:hint="eastAsia" w:ascii="楷体" w:hAnsi="楷体" w:eastAsia="楷体" w:cs="楷体"/>
          <w:b/>
          <w:bCs/>
          <w:kern w:val="0"/>
          <w:sz w:val="32"/>
          <w:szCs w:val="32"/>
        </w:rPr>
        <w:t>机构职能</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sz w:val="32"/>
          <w:szCs w:val="32"/>
          <w:lang w:eastAsia="zh-CN"/>
        </w:rPr>
        <w:t>开辟</w:t>
      </w:r>
      <w:r>
        <w:rPr>
          <w:rFonts w:hint="eastAsia" w:ascii="仿宋_GB2312" w:hAnsi="仿宋" w:eastAsia="仿宋_GB2312"/>
          <w:sz w:val="32"/>
          <w:szCs w:val="32"/>
        </w:rPr>
        <w:t>发展的新空间，努力开创二嘎里发展的新局面。</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承担各项财政收支主体的责任。负责编制年度全乡预决算草案并组织执行。组织制定经费开支标准、定额，负责上报本乡年度预决算。完善转移支付制度。</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负责本乡政府采购，按要求做好政府采购工作。     （4）负责本乡政府债务管理，制定具体管理办法，防范财政风险。</w:t>
      </w:r>
    </w:p>
    <w:p>
      <w:pPr>
        <w:numPr>
          <w:ilvl w:val="0"/>
          <w:numId w:val="11"/>
        </w:num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负责管理我乡会计工作，监督和规范会计行为。　　（6）负责上报我乡财政资金绩效评价。自查财税法规、政策的执行情况，反映财政收支管理中的重大问题。坚决不出现违反财经法纪的行为。</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（7）办理县政府交办的其他事项。</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kern w:val="0"/>
          <w:sz w:val="32"/>
          <w:lang w:val="zh-CN"/>
        </w:rPr>
      </w:pPr>
      <w:r>
        <w:rPr>
          <w:rFonts w:hint="eastAsia" w:ascii="楷体" w:hAnsi="楷体" w:eastAsia="楷体" w:cs="楷体"/>
          <w:b/>
          <w:bCs/>
          <w:kern w:val="0"/>
          <w:sz w:val="32"/>
          <w:lang w:val="zh-CN"/>
        </w:rPr>
        <w:t>（三）人员概况</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sz w:val="32"/>
          <w:szCs w:val="32"/>
        </w:rPr>
      </w:pPr>
      <w:r>
        <w:rPr>
          <w:rFonts w:hint="eastAsia" w:ascii="仿宋_GB2312" w:hAnsi="仿宋" w:eastAsia="仿宋_GB2312"/>
          <w:sz w:val="32"/>
          <w:szCs w:val="32"/>
        </w:rPr>
        <w:t>2020年年初在职24人（行政人员18人，事业管理4人，事业专技1人、机关工勤1人），退休4人。2020年年末在职30人（行政人员18人，事业管理4人，事业专技7人，机关工勤1人），退休4人。2021年1-6月在职30人（行政人员17人，事业管理5人，机关工勤1人，专业技术人员7人），</w:t>
      </w:r>
      <w:r>
        <w:rPr>
          <w:rFonts w:hint="eastAsia" w:ascii="仿宋_GB2312" w:hAnsi="仿宋" w:eastAsia="仿宋_GB2312"/>
          <w:sz w:val="32"/>
          <w:szCs w:val="32"/>
          <w:lang w:eastAsia="zh-CN"/>
        </w:rPr>
        <w:t>截至</w:t>
      </w:r>
      <w:r>
        <w:rPr>
          <w:rFonts w:hint="eastAsia" w:ascii="仿宋_GB2312" w:hAnsi="仿宋" w:eastAsia="仿宋_GB2312"/>
          <w:sz w:val="32"/>
          <w:szCs w:val="32"/>
        </w:rPr>
        <w:t>6月30日在职人数30人。</w:t>
      </w:r>
      <w:r>
        <w:rPr>
          <w:rFonts w:hint="eastAsia" w:ascii="仿宋_GB2312" w:hAnsi="仿宋_GB2312" w:eastAsia="仿宋_GB2312" w:cs="仿宋_GB2312"/>
          <w:color w:val="000000"/>
          <w:sz w:val="32"/>
          <w:szCs w:val="32"/>
        </w:rPr>
        <w:t xml:space="preserve">较上年增加6人， </w:t>
      </w:r>
      <w:r>
        <w:rPr>
          <w:rFonts w:hint="eastAsia" w:ascii="仿宋_GB2312" w:hAnsi="仿宋" w:eastAsia="仿宋_GB2312"/>
          <w:sz w:val="32"/>
          <w:szCs w:val="32"/>
        </w:rPr>
        <w:t>主要原因是机构改革，人员增加，三站人员编制下划给乡镇。</w:t>
      </w:r>
    </w:p>
    <w:p>
      <w:pPr>
        <w:pBdr>
          <w:bottom w:val="single" w:color="FFFFFF" w:sz="4" w:space="29"/>
        </w:pBdr>
        <w:tabs>
          <w:tab w:val="left" w:pos="1440"/>
        </w:tabs>
        <w:wordWrap w:val="0"/>
        <w:autoSpaceDE w:val="0"/>
        <w:autoSpaceDN w:val="0"/>
        <w:jc w:val="left"/>
        <w:rPr>
          <w:rFonts w:ascii="黑体" w:hAnsi="宋体" w:eastAsia="黑体" w:cs="宋体"/>
          <w:b/>
          <w:bCs/>
          <w:color w:val="000000"/>
          <w:kern w:val="0"/>
          <w:sz w:val="32"/>
        </w:rPr>
      </w:pPr>
      <w:r>
        <w:rPr>
          <w:rFonts w:hint="eastAsia" w:ascii="黑体" w:hAnsi="宋体" w:eastAsia="黑体" w:cs="宋体"/>
          <w:b/>
          <w:bCs/>
          <w:color w:val="000000"/>
          <w:kern w:val="0"/>
          <w:sz w:val="32"/>
        </w:rPr>
        <w:t xml:space="preserve">    二、部门财政资金收支情况</w:t>
      </w:r>
    </w:p>
    <w:p>
      <w:pPr>
        <w:numPr>
          <w:ilvl w:val="0"/>
          <w:numId w:val="12"/>
        </w:numPr>
        <w:pBdr>
          <w:bottom w:val="single" w:color="FFFFFF" w:sz="4" w:space="29"/>
        </w:pBdr>
        <w:tabs>
          <w:tab w:val="left" w:pos="1440"/>
        </w:tabs>
        <w:autoSpaceDE w:val="0"/>
        <w:autoSpaceDN w:val="0"/>
        <w:spacing w:line="600" w:lineRule="exact"/>
        <w:ind w:firstLine="643" w:firstLineChars="200"/>
        <w:jc w:val="left"/>
        <w:rPr>
          <w:rFonts w:ascii="楷体" w:hAnsi="楷体" w:eastAsia="楷体" w:cs="楷体"/>
          <w:b/>
          <w:bCs/>
          <w:color w:val="000000"/>
          <w:kern w:val="0"/>
          <w:sz w:val="32"/>
          <w:lang w:val="zh-CN"/>
        </w:rPr>
      </w:pPr>
      <w:r>
        <w:rPr>
          <w:rFonts w:hint="eastAsia" w:ascii="楷体" w:hAnsi="楷体" w:eastAsia="楷体" w:cs="楷体"/>
          <w:b/>
          <w:bCs/>
          <w:color w:val="000000"/>
          <w:kern w:val="0"/>
          <w:sz w:val="32"/>
          <w:lang w:val="zh-CN"/>
        </w:rPr>
        <w:t>部门财政资金收入情况</w:t>
      </w:r>
    </w:p>
    <w:p>
      <w:pPr>
        <w:snapToGrid w:val="0"/>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eastAsia="仿宋_GB2312"/>
          <w:color w:val="000000"/>
          <w:sz w:val="32"/>
          <w:szCs w:val="32"/>
        </w:rPr>
        <w:t>2020年二嘎里</w:t>
      </w:r>
      <w:r>
        <w:rPr>
          <w:rFonts w:hint="eastAsia" w:ascii="仿宋_GB2312" w:eastAsia="仿宋_GB2312"/>
          <w:sz w:val="32"/>
          <w:szCs w:val="32"/>
        </w:rPr>
        <w:t>乡本年收入合计608.44万元，其中：一般公共预算财政拨款收入608.44万元，</w:t>
      </w:r>
      <w:r>
        <w:rPr>
          <w:rFonts w:hint="eastAsia" w:ascii="仿宋_GB2312" w:hAnsi="仿宋_GB2312" w:eastAsia="仿宋_GB2312" w:cs="仿宋_GB2312"/>
          <w:bCs/>
          <w:sz w:val="32"/>
          <w:szCs w:val="32"/>
        </w:rPr>
        <w:t>占100%；政府性基金预算财政拨款收入0元，占0%；国有资本经营预算财政拨款收入0万元，占0%；事业收入0万元，占0%；经营收入0万元，占0%；附属单位上缴收入0万元，占0%；其他收入0万元，占0%。</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FF0000"/>
          <w:sz w:val="32"/>
          <w:szCs w:val="32"/>
        </w:rPr>
      </w:pPr>
      <w:r>
        <w:rPr>
          <w:rFonts w:hint="eastAsia" w:ascii="仿宋_GB2312" w:eastAsia="仿宋_GB2312"/>
          <w:sz w:val="32"/>
          <w:szCs w:val="32"/>
        </w:rPr>
        <w:t>2021年1-6月财政本年收入768.35万元，其中：一般公共预算财政拨款收入768.35万元；</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eastAsia="仿宋_GB2312"/>
          <w:color w:val="000000"/>
          <w:sz w:val="32"/>
          <w:szCs w:val="32"/>
        </w:rPr>
      </w:pPr>
      <w:r>
        <w:rPr>
          <w:rFonts w:hint="eastAsia" w:ascii="楷体" w:hAnsi="楷体" w:eastAsia="楷体" w:cs="楷体"/>
          <w:b/>
          <w:bCs/>
          <w:color w:val="000000"/>
          <w:kern w:val="0"/>
          <w:sz w:val="32"/>
          <w:lang w:val="zh-CN"/>
        </w:rPr>
        <w:t>部门财政资金支出情况</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2020年度一般公共预算财政拨款基本支出607.61万元，其中：</w:t>
      </w:r>
    </w:p>
    <w:p>
      <w:pPr>
        <w:pBdr>
          <w:bottom w:val="single" w:color="FFFFFF" w:sz="4" w:space="29"/>
        </w:pBdr>
        <w:tabs>
          <w:tab w:val="left" w:pos="1440"/>
        </w:tabs>
        <w:wordWrap w:val="0"/>
        <w:autoSpaceDE w:val="0"/>
        <w:autoSpaceDN w:val="0"/>
        <w:ind w:firstLine="960" w:firstLineChars="300"/>
        <w:jc w:val="left"/>
        <w:rPr>
          <w:rFonts w:ascii="仿宋_GB2312" w:eastAsia="仿宋_GB2312"/>
          <w:color w:val="000000"/>
          <w:sz w:val="32"/>
          <w:szCs w:val="32"/>
        </w:rPr>
      </w:pPr>
      <w:r>
        <w:rPr>
          <w:rFonts w:hint="eastAsia" w:ascii="仿宋_GB2312" w:eastAsia="仿宋_GB2312"/>
          <w:color w:val="000000"/>
          <w:sz w:val="32"/>
          <w:szCs w:val="32"/>
        </w:rPr>
        <w:t>人员经费392、73万元，主要包括：基本工资77.95万元、津贴补贴128.13万元、奖金6.24万元、绩效工资15.04万元、机关事业单位基本养老保险缴费30.33万元、职业年金缴费15.16万元、职工基本医疗保险缴费14.76万元、其他社会保障缴费2.71万元、公务员医疗补助缴费4.73万元、住房公积金33.22万元、奖励金64.39万元。</w:t>
      </w:r>
    </w:p>
    <w:p>
      <w:pPr>
        <w:pBdr>
          <w:bottom w:val="single" w:color="FFFFFF" w:sz="4" w:space="29"/>
        </w:pBdr>
        <w:tabs>
          <w:tab w:val="left" w:pos="1440"/>
        </w:tabs>
        <w:wordWrap w:val="0"/>
        <w:autoSpaceDE w:val="0"/>
        <w:autoSpaceDN w:val="0"/>
        <w:jc w:val="left"/>
        <w:rPr>
          <w:rFonts w:ascii="仿宋_GB2312" w:eastAsia="仿宋_GB2312"/>
          <w:color w:val="000000"/>
          <w:sz w:val="32"/>
          <w:szCs w:val="32"/>
        </w:rPr>
      </w:pPr>
      <w:r>
        <w:rPr>
          <w:rFonts w:hint="eastAsia" w:ascii="仿宋_GB2312" w:eastAsia="仿宋_GB2312"/>
          <w:color w:val="000000"/>
          <w:sz w:val="32"/>
          <w:szCs w:val="32"/>
        </w:rPr>
        <w:t xml:space="preserve">    公用经费25.4万元，主要包括：办公费4.25万元、印刷费1万元、电费2.5万元、邮电费2万元、差旅费3.4万元、取暖费1.5、劳务费5万元、委托业务费1万元、公务用车运行维护费4.75万元。</w:t>
      </w:r>
    </w:p>
    <w:p>
      <w:pPr>
        <w:pBdr>
          <w:bottom w:val="single" w:color="FFFFFF" w:sz="4" w:space="29"/>
        </w:pBdr>
        <w:tabs>
          <w:tab w:val="left" w:pos="1440"/>
        </w:tabs>
        <w:wordWrap w:val="0"/>
        <w:autoSpaceDE w:val="0"/>
        <w:autoSpaceDN w:val="0"/>
        <w:ind w:firstLine="640" w:firstLineChars="200"/>
        <w:jc w:val="left"/>
        <w:rPr>
          <w:rFonts w:ascii="仿宋_GB2312" w:eastAsia="仿宋_GB2312"/>
          <w:sz w:val="32"/>
          <w:szCs w:val="32"/>
        </w:rPr>
      </w:pPr>
      <w:r>
        <w:rPr>
          <w:rFonts w:hint="eastAsia" w:ascii="仿宋_GB2312" w:eastAsia="仿宋_GB2312"/>
          <w:sz w:val="32"/>
          <w:szCs w:val="32"/>
        </w:rPr>
        <w:t>项目支出189.47万元，</w:t>
      </w:r>
      <w:r>
        <w:rPr>
          <w:rFonts w:hint="eastAsia" w:ascii="仿宋_GB2312" w:hAnsi="仿宋" w:eastAsia="仿宋_GB2312" w:cs="仿宋"/>
          <w:sz w:val="32"/>
          <w:szCs w:val="32"/>
        </w:rPr>
        <w:t>其中：用于</w:t>
      </w:r>
      <w:r>
        <w:rPr>
          <w:rFonts w:hint="eastAsia" w:ascii="仿宋_GB2312" w:hAnsi="仿宋" w:eastAsia="仿宋_GB2312" w:cs="仿宋"/>
          <w:sz w:val="32"/>
          <w:szCs w:val="32"/>
          <w:lang w:eastAsia="zh-CN"/>
        </w:rPr>
        <w:t>村级</w:t>
      </w:r>
      <w:r>
        <w:rPr>
          <w:rFonts w:hint="eastAsia" w:ascii="仿宋_GB2312" w:hAnsi="仿宋" w:eastAsia="仿宋_GB2312" w:cs="仿宋"/>
          <w:sz w:val="32"/>
          <w:szCs w:val="32"/>
        </w:rPr>
        <w:t>运行维护费77万元（两个村级办公费28万元、维修（护）费49万）人大会议</w:t>
      </w:r>
      <w:r>
        <w:rPr>
          <w:rFonts w:hint="eastAsia" w:ascii="仿宋_GB2312" w:eastAsia="仿宋_GB2312"/>
          <w:sz w:val="32"/>
          <w:szCs w:val="32"/>
        </w:rPr>
        <w:t>费0.7万元、人大工作经费1.85万元、放映员补助3.32万元、疫情防控经费6.68万元、村干部工资93.3万元、白塔村革命老区6.62万元</w:t>
      </w:r>
    </w:p>
    <w:p>
      <w:pPr>
        <w:pBdr>
          <w:bottom w:val="single" w:color="FFFFFF" w:sz="4" w:space="29"/>
        </w:pBdr>
        <w:tabs>
          <w:tab w:val="left" w:pos="1440"/>
        </w:tabs>
        <w:wordWrap w:val="0"/>
        <w:autoSpaceDE w:val="0"/>
        <w:autoSpaceDN w:val="0"/>
        <w:ind w:firstLine="640" w:firstLineChars="200"/>
        <w:jc w:val="left"/>
        <w:rPr>
          <w:rFonts w:hint="eastAsia" w:ascii="仿宋_GB2312" w:hAnsi="仿宋" w:eastAsia="仿宋_GB2312" w:cs="仿宋"/>
          <w:color w:val="000000" w:themeColor="text1"/>
          <w:sz w:val="32"/>
          <w:szCs w:val="32"/>
          <w:lang w:eastAsia="zh-CN"/>
        </w:rPr>
      </w:pPr>
      <w:r>
        <w:rPr>
          <w:rFonts w:hint="eastAsia" w:ascii="仿宋_GB2312" w:hAnsi="仿宋" w:eastAsia="仿宋_GB2312" w:cs="仿宋"/>
          <w:sz w:val="32"/>
          <w:szCs w:val="32"/>
        </w:rPr>
        <w:t>2021年</w:t>
      </w:r>
      <w:r>
        <w:rPr>
          <w:rFonts w:ascii="仿宋_GB2312" w:hAnsi="仿宋" w:eastAsia="仿宋_GB2312" w:cs="仿宋"/>
          <w:sz w:val="32"/>
          <w:szCs w:val="32"/>
        </w:rPr>
        <w:t>1-</w:t>
      </w:r>
      <w:r>
        <w:rPr>
          <w:rFonts w:hint="eastAsia" w:ascii="仿宋_GB2312" w:hAnsi="仿宋" w:eastAsia="仿宋_GB2312" w:cs="仿宋"/>
          <w:sz w:val="32"/>
          <w:szCs w:val="32"/>
        </w:rPr>
        <w:t>6月财政总支出为768.35万元，其中：人员经费276.44万元，主要包括：基本工资51.28万元、津贴补贴74.72万元、</w:t>
      </w:r>
      <w:r>
        <w:rPr>
          <w:rFonts w:hint="eastAsia" w:ascii="仿宋_GB2312" w:hAnsi="仿宋" w:eastAsia="仿宋_GB2312" w:cs="仿宋"/>
          <w:color w:val="000000" w:themeColor="text1"/>
          <w:sz w:val="32"/>
          <w:szCs w:val="32"/>
        </w:rPr>
        <w:t>绩效工资12.89万元、机关事业单位基本养老保险缴费19.99万元、职业年金缴费6.54万元、其他社会保障缴费0.66万元、职工基本单位医疗10.42万元、医疗补充3.18万元。住房公积金13.81万元、奖励金82.75万元。生活补助0.2万元。</w:t>
      </w:r>
    </w:p>
    <w:p>
      <w:pPr>
        <w:pBdr>
          <w:bottom w:val="single" w:color="FFFFFF" w:sz="4" w:space="29"/>
        </w:pBdr>
        <w:tabs>
          <w:tab w:val="left" w:pos="1440"/>
        </w:tabs>
        <w:wordWrap w:val="0"/>
        <w:autoSpaceDE w:val="0"/>
        <w:autoSpaceDN w:val="0"/>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　　公用经费4.99万元，主要包括：办公费2.93万元、邮电费0.59万元、差旅费0.53万元、公务车运行维护费0.83万元、委托业务费0.06万元、手续费0.05万元。</w:t>
      </w:r>
    </w:p>
    <w:p>
      <w:pPr>
        <w:pBdr>
          <w:bottom w:val="single" w:color="FFFFFF" w:sz="4" w:space="29"/>
        </w:pBdr>
        <w:tabs>
          <w:tab w:val="left" w:pos="1440"/>
        </w:tabs>
        <w:wordWrap w:val="0"/>
        <w:autoSpaceDE w:val="0"/>
        <w:autoSpaceDN w:val="0"/>
        <w:ind w:firstLine="640" w:firstLineChars="200"/>
        <w:jc w:val="left"/>
        <w:rPr>
          <w:color w:val="000000" w:themeColor="text1"/>
        </w:rPr>
      </w:pPr>
      <w:r>
        <w:rPr>
          <w:rFonts w:hint="eastAsia" w:ascii="仿宋_GB2312" w:eastAsia="仿宋_GB2312"/>
          <w:color w:val="000000" w:themeColor="text1"/>
          <w:sz w:val="32"/>
          <w:szCs w:val="32"/>
        </w:rPr>
        <w:t>项目资金支出486.92万元。主要包括：二嘎里通村路质保金13.17万元、二嘎里乡白塔村牧民定居点防洪堤建设169.36万元、集镇基础设施建设267.15万元、土地补偿5.34万元、环境治理、打围7.84万元、其他项目维修维护费24.06万元。</w:t>
      </w:r>
    </w:p>
    <w:p>
      <w:pPr>
        <w:pBdr>
          <w:bottom w:val="single" w:color="FFFFFF" w:sz="4" w:space="29"/>
        </w:pBdr>
        <w:tabs>
          <w:tab w:val="left" w:pos="1440"/>
        </w:tabs>
        <w:wordWrap w:val="0"/>
        <w:autoSpaceDE w:val="0"/>
        <w:autoSpaceDN w:val="0"/>
        <w:jc w:val="left"/>
        <w:rPr>
          <w:rFonts w:ascii="仿宋_GB2312" w:hAnsi="仿宋" w:eastAsia="仿宋_GB2312" w:cs="仿宋"/>
          <w:b/>
          <w:bCs/>
          <w:sz w:val="32"/>
          <w:szCs w:val="32"/>
          <w:lang w:val="zh-CN"/>
        </w:rPr>
      </w:pPr>
      <w:r>
        <w:rPr>
          <w:rFonts w:hint="eastAsia" w:ascii="黑体" w:hAnsi="宋体" w:eastAsia="黑体" w:cs="宋体"/>
          <w:b/>
          <w:bCs/>
          <w:kern w:val="0"/>
          <w:sz w:val="32"/>
        </w:rPr>
        <w:t xml:space="preserve">    三、部门财政支出管理情况</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（一）预算编制情况</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w:t>
      </w:r>
      <w:r>
        <w:rPr>
          <w:rFonts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zh-CN"/>
        </w:rPr>
        <w:t>）预算编制质量：</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20年预算535.66万元，其中人员经费253.89万元，公用经费218.18万元。</w:t>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21年预算638.7万元，其中人员经费525.32万元，公用经费113.38万元，比</w:t>
      </w:r>
      <w:r>
        <w:rPr>
          <w:rFonts w:ascii="仿宋_GB2312" w:hAnsi="仿宋" w:eastAsia="仿宋_GB2312" w:cs="仿宋"/>
          <w:sz w:val="32"/>
          <w:szCs w:val="32"/>
        </w:rPr>
        <w:t>20</w:t>
      </w:r>
      <w:r>
        <w:rPr>
          <w:rFonts w:hint="eastAsia" w:ascii="仿宋_GB2312" w:hAnsi="仿宋" w:eastAsia="仿宋_GB2312" w:cs="仿宋"/>
          <w:sz w:val="32"/>
          <w:szCs w:val="32"/>
        </w:rPr>
        <w:t>20年财政拨款收支总额预算增加103.04万元，主要原因是我乡人员新增。</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kern w:val="0"/>
          <w:sz w:val="32"/>
          <w:szCs w:val="32"/>
          <w:shd w:val="clear" w:color="auto" w:fill="FFFFFF"/>
          <w:lang w:val="zh-CN"/>
        </w:rPr>
        <w:t>（</w:t>
      </w:r>
      <w:r>
        <w:rPr>
          <w:rFonts w:ascii="仿宋_GB2312" w:hAnsi="仿宋_GB2312" w:eastAsia="仿宋_GB2312" w:cs="仿宋_GB2312"/>
          <w:b/>
          <w:bCs/>
          <w:kern w:val="0"/>
          <w:sz w:val="32"/>
          <w:szCs w:val="32"/>
          <w:shd w:val="clear" w:color="auto" w:fill="FFFFFF"/>
        </w:rPr>
        <w:t>2</w:t>
      </w:r>
      <w:r>
        <w:rPr>
          <w:rFonts w:hint="eastAsia" w:ascii="仿宋_GB2312" w:hAnsi="仿宋_GB2312" w:eastAsia="仿宋_GB2312" w:cs="仿宋_GB2312"/>
          <w:b/>
          <w:bCs/>
          <w:kern w:val="0"/>
          <w:sz w:val="32"/>
          <w:szCs w:val="32"/>
          <w:shd w:val="clear" w:color="auto" w:fill="FFFFFF"/>
          <w:lang w:val="zh-CN"/>
        </w:rPr>
        <w:t>）绩效目标填报：</w:t>
      </w:r>
      <w:r>
        <w:rPr>
          <w:rFonts w:hint="eastAsia" w:ascii="仿宋_GB2312" w:hAnsi="仿宋_GB2312" w:eastAsia="仿宋_GB2312" w:cs="仿宋_GB2312"/>
          <w:kern w:val="0"/>
          <w:sz w:val="32"/>
          <w:szCs w:val="32"/>
          <w:shd w:val="clear" w:color="auto" w:fill="FFFFFF"/>
        </w:rPr>
        <w:t>项目申报严格按照上级要求，明确绩效目标，控制</w:t>
      </w:r>
      <w:r>
        <w:rPr>
          <w:rFonts w:hint="eastAsia" w:ascii="仿宋_GB2312" w:hAnsi="仿宋_GB2312" w:eastAsia="仿宋_GB2312" w:cs="仿宋_GB2312"/>
          <w:kern w:val="0"/>
          <w:sz w:val="32"/>
          <w:szCs w:val="32"/>
          <w:shd w:val="clear" w:color="auto" w:fill="FFFFFF"/>
          <w:lang w:eastAsia="zh-CN"/>
        </w:rPr>
        <w:t>执行</w:t>
      </w:r>
      <w:r>
        <w:rPr>
          <w:rFonts w:hint="eastAsia" w:ascii="仿宋_GB2312" w:hAnsi="仿宋_GB2312" w:eastAsia="仿宋_GB2312" w:cs="仿宋_GB2312"/>
          <w:kern w:val="0"/>
          <w:sz w:val="32"/>
          <w:szCs w:val="32"/>
          <w:shd w:val="clear" w:color="auto" w:fill="FFFFFF"/>
        </w:rPr>
        <w:t>成本，提高项目发挥作用。并</w:t>
      </w:r>
      <w:r>
        <w:rPr>
          <w:rFonts w:hint="eastAsia" w:ascii="仿宋_GB2312" w:hAnsi="仿宋_GB2312" w:eastAsia="仿宋_GB2312" w:cs="仿宋_GB2312"/>
          <w:kern w:val="0"/>
          <w:sz w:val="32"/>
          <w:szCs w:val="32"/>
          <w:shd w:val="clear" w:color="auto" w:fill="FFFFFF"/>
          <w:lang w:val="zh-CN"/>
        </w:rPr>
        <w:t>根据财政局统一要求编制了我会整体绩效目标报告及项目整体绩效目标表，并报县财政局。</w:t>
      </w:r>
    </w:p>
    <w:p>
      <w:p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lang w:val="zh-CN"/>
        </w:rPr>
      </w:pPr>
      <w:r>
        <w:rPr>
          <w:rFonts w:hint="eastAsia" w:ascii="楷体" w:hAnsi="楷体" w:eastAsia="楷体" w:cs="楷体"/>
          <w:b/>
          <w:bCs/>
          <w:sz w:val="32"/>
          <w:szCs w:val="32"/>
          <w:lang w:val="zh-CN"/>
        </w:rPr>
        <w:t>（二）执行管理情况</w:t>
      </w:r>
      <w:r>
        <w:rPr>
          <w:rFonts w:ascii="仿宋_GB2312" w:hAnsi="仿宋" w:eastAsia="仿宋_GB2312" w:cs="仿宋"/>
          <w:sz w:val="32"/>
          <w:szCs w:val="32"/>
          <w:lang w:val="zh-CN"/>
        </w:rPr>
        <w:tab/>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rPr>
        <w:t>4.75万元，其中公务接待费0万元，公务用车运行维护费4.75万元，实际支出4.75万元，公务接待费0万元，公务用车运行维护费4.75万元</w:t>
      </w:r>
      <w:r>
        <w:rPr>
          <w:rFonts w:hint="eastAsia" w:ascii="仿宋_GB2312" w:hAnsi="仿宋_GB2312" w:eastAsia="仿宋_GB2312" w:cs="仿宋_GB2312"/>
          <w:color w:val="000000"/>
          <w:sz w:val="32"/>
          <w:szCs w:val="32"/>
          <w:lang w:val="zh-CN"/>
        </w:rPr>
        <w:t>。</w:t>
      </w:r>
    </w:p>
    <w:p>
      <w:pPr>
        <w:pBdr>
          <w:bottom w:val="single" w:color="FFFFFF" w:sz="4" w:space="29"/>
        </w:pBdr>
        <w:tabs>
          <w:tab w:val="left" w:pos="1440"/>
        </w:tabs>
        <w:wordWrap w:val="0"/>
        <w:autoSpaceDE w:val="0"/>
        <w:autoSpaceDN w:val="0"/>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zh-CN"/>
        </w:rPr>
        <w:t>“三公”经费预算</w:t>
      </w:r>
      <w:r>
        <w:rPr>
          <w:rFonts w:hint="eastAsia" w:ascii="仿宋_GB2312" w:hAnsi="仿宋_GB2312" w:eastAsia="仿宋_GB2312" w:cs="仿宋_GB2312"/>
          <w:sz w:val="32"/>
          <w:szCs w:val="32"/>
        </w:rPr>
        <w:t>7万元，其中公务接待费0万元，严格执行厉行节约的要求，认真贯彻落实中央八项规定及省委省政府十项规定要求，严格控制接待规模及接待标准。</w:t>
      </w:r>
    </w:p>
    <w:p>
      <w:pPr>
        <w:pBdr>
          <w:bottom w:val="single" w:color="FFFFFF" w:sz="4" w:space="29"/>
        </w:pBdr>
        <w:tabs>
          <w:tab w:val="left" w:pos="1440"/>
        </w:tabs>
        <w:wordWrap w:val="0"/>
        <w:autoSpaceDE w:val="0"/>
        <w:autoSpaceDN w:val="0"/>
        <w:ind w:firstLine="640" w:firstLineChars="200"/>
        <w:jc w:val="left"/>
        <w:rPr>
          <w:rFonts w:eastAsia="仿宋_GB2312"/>
        </w:rPr>
      </w:pPr>
      <w:r>
        <w:rPr>
          <w:rFonts w:hint="eastAsia" w:ascii="仿宋_GB2312" w:hAnsi="仿宋_GB2312" w:eastAsia="仿宋_GB2312" w:cs="仿宋_GB2312"/>
          <w:sz w:val="32"/>
          <w:szCs w:val="32"/>
        </w:rPr>
        <w:t>公务用车运行维护费7万元，1-6月实际支出公务接待费0万元，公务用车运行维护费0.83万元。</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hAnsi="仿宋" w:eastAsia="仿宋_GB2312" w:cs="仿宋"/>
          <w:sz w:val="32"/>
          <w:szCs w:val="32"/>
        </w:rPr>
      </w:pPr>
      <w:r>
        <w:rPr>
          <w:rFonts w:hint="eastAsia" w:ascii="楷体" w:hAnsi="楷体" w:eastAsia="楷体" w:cs="楷体"/>
          <w:b/>
          <w:bCs/>
          <w:sz w:val="32"/>
          <w:szCs w:val="32"/>
          <w:lang w:val="zh-CN"/>
        </w:rPr>
        <w:t>综合管理情况</w:t>
      </w:r>
    </w:p>
    <w:p>
      <w:p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1、</w:t>
      </w: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2020年无预算、支出政府采购。</w:t>
      </w:r>
      <w:r>
        <w:rPr>
          <w:rFonts w:hint="eastAsia" w:ascii="仿宋_GB2312" w:hAnsi="宋体" w:eastAsia="仿宋_GB2312" w:cs="宋体"/>
          <w:kern w:val="0"/>
          <w:sz w:val="32"/>
          <w:lang w:val="zh-CN"/>
        </w:rPr>
        <w:t>所有国有资产纳入资产管理系统，及时准确上报并做好资产的管理工作。</w:t>
      </w:r>
    </w:p>
    <w:p>
      <w:pPr>
        <w:numPr>
          <w:ilvl w:val="0"/>
          <w:numId w:val="13"/>
        </w:numPr>
        <w:pBdr>
          <w:bottom w:val="single" w:color="FFFFFF" w:sz="4" w:space="29"/>
        </w:pBdr>
        <w:tabs>
          <w:tab w:val="left" w:pos="1440"/>
        </w:tabs>
        <w:wordWrap w:val="0"/>
        <w:autoSpaceDE w:val="0"/>
        <w:autoSpaceDN w:val="0"/>
        <w:ind w:firstLine="640" w:firstLineChars="20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内控制度管理：建立了收支管理制度、会计档案管理制度、资产管理制度、合同管理制度、决策管理制度及相关制度流程图。</w:t>
      </w:r>
    </w:p>
    <w:p>
      <w:pPr>
        <w:numPr>
          <w:ilvl w:val="0"/>
          <w:numId w:val="13"/>
        </w:num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lang w:val="zh-CN"/>
        </w:rPr>
        <w:t>根据相关要求，单位使用预算资金基本符合相关的预算财务管理制度，我乡在财政局下达预决算批复后</w:t>
      </w:r>
      <w:r>
        <w:rPr>
          <w:rFonts w:ascii="仿宋_GB2312" w:hAnsi="仿宋" w:eastAsia="仿宋_GB2312" w:cs="仿宋"/>
          <w:sz w:val="32"/>
          <w:szCs w:val="32"/>
        </w:rPr>
        <w:t>20</w:t>
      </w:r>
      <w:r>
        <w:rPr>
          <w:rFonts w:hint="eastAsia" w:ascii="仿宋_GB2312" w:hAnsi="仿宋" w:eastAsia="仿宋_GB2312" w:cs="仿宋"/>
          <w:sz w:val="32"/>
          <w:szCs w:val="32"/>
        </w:rPr>
        <w:t>日内在指定网站公开预决算信息。</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w:t>
      </w:r>
      <w:r>
        <w:rPr>
          <w:rFonts w:hint="eastAsia" w:ascii="仿宋_GB2312" w:hAnsi="宋体" w:eastAsia="仿宋_GB2312" w:cs="宋体"/>
          <w:kern w:val="0"/>
          <w:sz w:val="32"/>
          <w:lang w:val="zh-CN"/>
        </w:rPr>
        <w:t>绩效评价：</w:t>
      </w:r>
      <w:r>
        <w:rPr>
          <w:rFonts w:ascii="仿宋_GB2312" w:hAnsi="宋体" w:eastAsia="仿宋_GB2312" w:cs="宋体"/>
          <w:kern w:val="0"/>
          <w:sz w:val="32"/>
        </w:rPr>
        <w:t>20</w:t>
      </w:r>
      <w:r>
        <w:rPr>
          <w:rFonts w:hint="eastAsia" w:ascii="仿宋_GB2312" w:hAnsi="宋体" w:eastAsia="仿宋_GB2312" w:cs="宋体"/>
          <w:kern w:val="0"/>
          <w:sz w:val="32"/>
        </w:rPr>
        <w:t>20年未进行部门整体绩效目标，</w:t>
      </w:r>
      <w:r>
        <w:rPr>
          <w:rFonts w:ascii="仿宋_GB2312" w:hAnsi="宋体" w:eastAsia="仿宋_GB2312" w:cs="宋体"/>
          <w:kern w:val="0"/>
          <w:sz w:val="32"/>
        </w:rPr>
        <w:t>20</w:t>
      </w:r>
      <w:r>
        <w:rPr>
          <w:rFonts w:hint="eastAsia" w:ascii="仿宋_GB2312" w:hAnsi="宋体" w:eastAsia="仿宋_GB2312" w:cs="宋体"/>
          <w:kern w:val="0"/>
          <w:sz w:val="32"/>
        </w:rPr>
        <w:t>21年根据相关文件要求，单位编制了2021年部门整体支出绩效目标并认真组织开展部门整体绩效文件工作</w:t>
      </w:r>
      <w:r>
        <w:rPr>
          <w:rFonts w:hint="eastAsia" w:ascii="仿宋_GB2312" w:hAnsi="仿宋" w:eastAsia="仿宋_GB2312" w:cs="仿宋"/>
          <w:sz w:val="32"/>
          <w:szCs w:val="32"/>
        </w:rPr>
        <w:t>并且按照相关要求进行绩效自我评价，按要求及时上报，</w:t>
      </w:r>
      <w:r>
        <w:rPr>
          <w:rFonts w:hint="eastAsia" w:ascii="仿宋_GB2312" w:hAnsi="仿宋" w:eastAsia="仿宋_GB2312" w:cs="仿宋"/>
          <w:sz w:val="32"/>
          <w:szCs w:val="32"/>
          <w:lang w:val="zh-CN"/>
        </w:rPr>
        <w:t>绩效评价及依法接受财政监督情况等。</w:t>
      </w:r>
    </w:p>
    <w:p>
      <w:pPr>
        <w:pBdr>
          <w:bottom w:val="single" w:color="FFFFFF" w:sz="4" w:space="29"/>
        </w:pBdr>
        <w:tabs>
          <w:tab w:val="left" w:pos="1440"/>
        </w:tabs>
        <w:wordWrap w:val="0"/>
        <w:autoSpaceDE w:val="0"/>
        <w:autoSpaceDN w:val="0"/>
        <w:ind w:firstLine="643" w:firstLineChars="200"/>
        <w:jc w:val="left"/>
        <w:rPr>
          <w:rFonts w:ascii="楷体" w:hAnsi="楷体" w:eastAsia="楷体" w:cs="楷体"/>
          <w:b/>
          <w:bCs/>
          <w:sz w:val="32"/>
          <w:szCs w:val="32"/>
          <w:lang w:val="zh-CN"/>
        </w:rPr>
      </w:pPr>
      <w:r>
        <w:rPr>
          <w:rFonts w:hint="eastAsia" w:ascii="楷体" w:hAnsi="楷体" w:eastAsia="楷体" w:cs="楷体"/>
          <w:b/>
          <w:bCs/>
          <w:sz w:val="32"/>
          <w:szCs w:val="32"/>
          <w:lang w:val="zh-CN"/>
        </w:rPr>
        <w:t>（四）整体绩效</w:t>
      </w:r>
    </w:p>
    <w:p>
      <w:pPr>
        <w:pBdr>
          <w:bottom w:val="single" w:color="FFFFFF" w:sz="4" w:space="29"/>
        </w:pBdr>
        <w:tabs>
          <w:tab w:val="left" w:pos="1440"/>
        </w:tabs>
        <w:wordWrap w:val="0"/>
        <w:autoSpaceDE w:val="0"/>
        <w:autoSpaceDN w:val="0"/>
        <w:ind w:firstLine="640" w:firstLineChars="200"/>
        <w:jc w:val="left"/>
        <w:rPr>
          <w:rFonts w:ascii="仿宋_GB2312" w:hAnsi="仿宋" w:eastAsia="仿宋_GB2312" w:cs="仿宋"/>
          <w:sz w:val="32"/>
          <w:szCs w:val="32"/>
          <w:lang w:val="zh-CN"/>
        </w:rPr>
      </w:pPr>
      <w:r>
        <w:rPr>
          <w:rFonts w:hint="eastAsia" w:ascii="仿宋_GB2312" w:hAnsi="仿宋" w:eastAsia="仿宋_GB2312" w:cs="仿宋"/>
          <w:sz w:val="32"/>
          <w:szCs w:val="32"/>
          <w:lang w:val="zh-CN"/>
        </w:rPr>
        <w:t>我乡按照规定完全履行职责，整体评价良好，服务对象基本满意</w:t>
      </w:r>
      <w:r>
        <w:rPr>
          <w:rFonts w:hint="eastAsia" w:ascii="仿宋_GB2312" w:hAnsi="宋体" w:eastAsia="仿宋_GB2312" w:cs="宋体"/>
          <w:kern w:val="0"/>
          <w:sz w:val="32"/>
          <w:lang w:val="zh-CN"/>
        </w:rPr>
        <w:t>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
          <w:sz w:val="32"/>
          <w:szCs w:val="32"/>
          <w:lang w:val="zh-CN"/>
        </w:rPr>
        <w:t>。</w:t>
      </w:r>
    </w:p>
    <w:p>
      <w:pPr>
        <w:pBdr>
          <w:bottom w:val="single" w:color="FFFFFF" w:sz="4" w:space="29"/>
        </w:pBdr>
        <w:tabs>
          <w:tab w:val="left" w:pos="1440"/>
        </w:tabs>
        <w:wordWrap w:val="0"/>
        <w:autoSpaceDE w:val="0"/>
        <w:autoSpaceDN w:val="0"/>
        <w:jc w:val="left"/>
        <w:rPr>
          <w:rFonts w:ascii="黑体" w:hAnsi="宋体" w:eastAsia="黑体" w:cs="宋体"/>
          <w:b/>
          <w:bCs/>
          <w:kern w:val="0"/>
          <w:sz w:val="32"/>
        </w:rPr>
      </w:pPr>
      <w:r>
        <w:rPr>
          <w:rFonts w:hint="eastAsia" w:ascii="黑体" w:hAnsi="宋体" w:eastAsia="黑体" w:cs="宋体"/>
          <w:b/>
          <w:bCs/>
          <w:kern w:val="0"/>
          <w:sz w:val="32"/>
        </w:rPr>
        <w:t xml:space="preserve">    四、评价结论及建议</w:t>
      </w:r>
    </w:p>
    <w:p>
      <w:pPr>
        <w:pBdr>
          <w:bottom w:val="single" w:color="FFFFFF" w:sz="4" w:space="29"/>
        </w:pBdr>
        <w:tabs>
          <w:tab w:val="left" w:pos="1440"/>
        </w:tabs>
        <w:wordWrap w:val="0"/>
        <w:autoSpaceDE w:val="0"/>
        <w:autoSpaceDN w:val="0"/>
        <w:ind w:firstLine="643" w:firstLineChars="200"/>
        <w:jc w:val="left"/>
        <w:rPr>
          <w:rFonts w:ascii="仿宋_GB2312" w:hAnsi="宋体" w:eastAsia="仿宋_GB2312" w:cs="宋体"/>
          <w:kern w:val="0"/>
          <w:sz w:val="32"/>
        </w:rPr>
      </w:pPr>
      <w:r>
        <w:rPr>
          <w:rFonts w:hint="eastAsia" w:ascii="楷体" w:hAnsi="楷体" w:eastAsia="楷体" w:cs="楷体"/>
          <w:b/>
          <w:bCs/>
          <w:kern w:val="0"/>
          <w:sz w:val="32"/>
          <w:lang w:val="zh-CN"/>
        </w:rPr>
        <w:t>（一）评价结论。</w:t>
      </w:r>
      <w:r>
        <w:rPr>
          <w:rFonts w:hint="eastAsia" w:ascii="仿宋_GB2312" w:hAnsi="仿宋_GB2312" w:eastAsia="仿宋_GB2312" w:cs="仿宋_GB2312"/>
          <w:kern w:val="0"/>
          <w:sz w:val="32"/>
        </w:rPr>
        <w:t>整体评价良好，</w:t>
      </w:r>
      <w:r>
        <w:rPr>
          <w:rFonts w:hint="eastAsia" w:ascii="仿宋_GB2312" w:hAnsi="宋体" w:eastAsia="仿宋_GB2312" w:cs="宋体"/>
          <w:kern w:val="0"/>
          <w:sz w:val="32"/>
        </w:rPr>
        <w:t>预算支出和决算支出情况相符。</w:t>
      </w:r>
    </w:p>
    <w:p>
      <w:p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lang w:val="zh-CN"/>
        </w:rPr>
      </w:pPr>
      <w:r>
        <w:rPr>
          <w:rFonts w:hint="eastAsia" w:ascii="楷体" w:hAnsi="楷体" w:eastAsia="楷体" w:cs="楷体"/>
          <w:b/>
          <w:bCs/>
          <w:kern w:val="0"/>
          <w:sz w:val="32"/>
          <w:lang w:val="zh-CN"/>
        </w:rPr>
        <w:t>（二）存在问题。</w:t>
      </w:r>
      <w:r>
        <w:rPr>
          <w:rFonts w:hint="eastAsia" w:ascii="楷体" w:hAnsi="楷体" w:eastAsia="楷体" w:cs="楷体"/>
          <w:kern w:val="0"/>
          <w:sz w:val="32"/>
        </w:rPr>
        <w:t>一</w:t>
      </w:r>
      <w:r>
        <w:rPr>
          <w:rFonts w:hint="eastAsia" w:ascii="仿宋_GB2312" w:hAnsi="仿宋_GB2312" w:eastAsia="仿宋_GB2312" w:cs="仿宋_GB2312"/>
          <w:kern w:val="0"/>
          <w:sz w:val="32"/>
        </w:rPr>
        <w:t>是2020年</w:t>
      </w:r>
      <w:r>
        <w:rPr>
          <w:rFonts w:hint="eastAsia" w:ascii="仿宋_GB2312" w:hAnsi="仿宋_GB2312" w:eastAsia="仿宋_GB2312" w:cs="仿宋_GB2312"/>
          <w:kern w:val="0"/>
          <w:sz w:val="32"/>
          <w:lang w:val="zh-CN"/>
        </w:rPr>
        <w:t>财政预算资金支付大部分集中在下半年，上半年资金支付力度较小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sz w:val="32"/>
          <w:szCs w:val="32"/>
          <w:shd w:val="clear" w:color="auto" w:fill="FFFFFF"/>
        </w:rPr>
        <w:t>二是绩效目标虽然设立了项目资金绩效目标，但目标不够明确、细化和量化。</w:t>
      </w:r>
    </w:p>
    <w:p>
      <w:pPr>
        <w:numPr>
          <w:ilvl w:val="0"/>
          <w:numId w:val="12"/>
        </w:numPr>
        <w:pBdr>
          <w:bottom w:val="single" w:color="FFFFFF" w:sz="4" w:space="29"/>
        </w:pBdr>
        <w:tabs>
          <w:tab w:val="left" w:pos="1440"/>
        </w:tabs>
        <w:wordWrap w:val="0"/>
        <w:autoSpaceDE w:val="0"/>
        <w:autoSpaceDN w:val="0"/>
        <w:ind w:firstLine="643" w:firstLineChars="200"/>
        <w:jc w:val="left"/>
        <w:rPr>
          <w:rFonts w:ascii="仿宋_GB2312" w:hAnsi="仿宋_GB2312" w:eastAsia="仿宋_GB2312" w:cs="仿宋_GB2312"/>
          <w:kern w:val="0"/>
          <w:sz w:val="32"/>
        </w:rPr>
      </w:pPr>
      <w:r>
        <w:rPr>
          <w:rFonts w:hint="eastAsia" w:ascii="楷体" w:hAnsi="楷体" w:eastAsia="楷体" w:cs="楷体"/>
          <w:b/>
          <w:bCs/>
          <w:kern w:val="0"/>
          <w:sz w:val="32"/>
          <w:lang w:val="zh-CN"/>
        </w:rPr>
        <w:t>改进建议。</w:t>
      </w: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w:t>
      </w:r>
    </w:p>
    <w:p>
      <w:pPr>
        <w:ind w:firstLine="640" w:firstLineChars="200"/>
        <w:rPr>
          <w:rFonts w:ascii="仿宋_GB2312" w:eastAsia="仿宋_GB2312"/>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8"/>
    <w:bookmarkEnd w:id="59"/>
    <w:p>
      <w:pPr>
        <w:spacing w:line="600" w:lineRule="exact"/>
        <w:jc w:val="center"/>
        <w:outlineLvl w:val="0"/>
        <w:rPr>
          <w:rFonts w:ascii="黑体" w:eastAsia="黑体"/>
          <w:color w:val="000000"/>
          <w:sz w:val="44"/>
          <w:szCs w:val="44"/>
        </w:rPr>
      </w:pPr>
      <w:bookmarkStart w:id="61" w:name="_Toc15396618"/>
      <w:bookmarkStart w:id="62" w:name="_Toc15396619"/>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61"/>
    <w:bookmarkEnd w:id="62"/>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0F902"/>
    <w:multiLevelType w:val="singleLevel"/>
    <w:tmpl w:val="B660F902"/>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13" w:firstLine="0"/>
      </w:pPr>
      <w:rPr>
        <w:rFonts w:hint="eastAsia" w:ascii="楷体_GB2312" w:hAnsi="楷体_GB2312" w:eastAsia="楷体_GB2312" w:cs="楷体_GB2312"/>
        <w:b/>
        <w:bCs/>
        <w:sz w:val="32"/>
        <w:szCs w:val="32"/>
      </w:rPr>
    </w:lvl>
  </w:abstractNum>
  <w:abstractNum w:abstractNumId="4">
    <w:nsid w:val="FC769A98"/>
    <w:multiLevelType w:val="singleLevel"/>
    <w:tmpl w:val="FC769A98"/>
    <w:lvl w:ilvl="0" w:tentative="0">
      <w:start w:val="1"/>
      <w:numFmt w:val="chineseCounting"/>
      <w:suff w:val="nothing"/>
      <w:lvlText w:val="（%1）"/>
      <w:lvlJc w:val="left"/>
      <w:rPr>
        <w:rFonts w:hint="eastAsia"/>
      </w:rPr>
    </w:lvl>
  </w:abstractNum>
  <w:abstractNum w:abstractNumId="5">
    <w:nsid w:val="0F29D89B"/>
    <w:multiLevelType w:val="singleLevel"/>
    <w:tmpl w:val="0F29D89B"/>
    <w:lvl w:ilvl="0" w:tentative="0">
      <w:start w:val="1"/>
      <w:numFmt w:val="chineseCounting"/>
      <w:suff w:val="nothing"/>
      <w:lvlText w:val="（%1）"/>
      <w:lvlJc w:val="left"/>
      <w:rPr>
        <w:rFonts w:hint="eastAsia" w:cs="Times New Roman"/>
      </w:r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8">
    <w:nsid w:val="386D6DF3"/>
    <w:multiLevelType w:val="singleLevel"/>
    <w:tmpl w:val="386D6DF3"/>
    <w:lvl w:ilvl="0" w:tentative="0">
      <w:start w:val="3"/>
      <w:numFmt w:val="decimal"/>
      <w:lvlText w:val="%1."/>
      <w:lvlJc w:val="left"/>
      <w:pPr>
        <w:tabs>
          <w:tab w:val="left" w:pos="0"/>
        </w:tabs>
        <w:ind w:left="0" w:firstLine="0"/>
      </w:pPr>
    </w:lvl>
  </w:abstractNum>
  <w:abstractNum w:abstractNumId="9">
    <w:nsid w:val="466C9CCA"/>
    <w:multiLevelType w:val="singleLevel"/>
    <w:tmpl w:val="466C9CCA"/>
    <w:lvl w:ilvl="0" w:tentative="0">
      <w:start w:val="2"/>
      <w:numFmt w:val="chineseCounting"/>
      <w:suff w:val="nothing"/>
      <w:lvlText w:val="（%1）"/>
      <w:lvlJc w:val="left"/>
      <w:rPr>
        <w:rFonts w:hint="eastAsia" w:cs="Times New Roman"/>
      </w:rPr>
    </w:lvl>
  </w:abstractNum>
  <w:abstractNum w:abstractNumId="10">
    <w:nsid w:val="528065AC"/>
    <w:multiLevelType w:val="singleLevel"/>
    <w:tmpl w:val="528065AC"/>
    <w:lvl w:ilvl="0" w:tentative="0">
      <w:start w:val="1"/>
      <w:numFmt w:val="decimal"/>
      <w:lvlText w:val="%1."/>
      <w:lvlJc w:val="left"/>
      <w:pPr>
        <w:tabs>
          <w:tab w:val="left" w:pos="312"/>
        </w:tabs>
      </w:pPr>
    </w:lvl>
  </w:abstractNum>
  <w:abstractNum w:abstractNumId="11">
    <w:nsid w:val="5C304378"/>
    <w:multiLevelType w:val="singleLevel"/>
    <w:tmpl w:val="5C304378"/>
    <w:lvl w:ilvl="0" w:tentative="0">
      <w:start w:val="1"/>
      <w:numFmt w:val="decimal"/>
      <w:suff w:val="nothing"/>
      <w:lvlText w:val="（%1）"/>
      <w:lvlJc w:val="left"/>
    </w:lvl>
  </w:abstractNum>
  <w:abstractNum w:abstractNumId="12">
    <w:nsid w:val="78D72DD4"/>
    <w:multiLevelType w:val="singleLevel"/>
    <w:tmpl w:val="78D72DD4"/>
    <w:lvl w:ilvl="0" w:tentative="0">
      <w:start w:val="3"/>
      <w:numFmt w:val="decimal"/>
      <w:lvlText w:val="%1."/>
      <w:lvlJc w:val="left"/>
      <w:pPr>
        <w:tabs>
          <w:tab w:val="left" w:pos="0"/>
        </w:tabs>
        <w:ind w:left="0" w:firstLine="0"/>
      </w:pPr>
    </w:lvl>
  </w:abstractNum>
  <w:num w:numId="1">
    <w:abstractNumId w:val="6"/>
  </w:num>
  <w:num w:numId="2">
    <w:abstractNumId w:val="10"/>
  </w:num>
  <w:num w:numId="3">
    <w:abstractNumId w:val="12"/>
  </w:num>
  <w:num w:numId="4">
    <w:abstractNumId w:val="1"/>
  </w:num>
  <w:num w:numId="5">
    <w:abstractNumId w:val="7"/>
  </w:num>
  <w:num w:numId="6">
    <w:abstractNumId w:val="3"/>
  </w:num>
  <w:num w:numId="7">
    <w:abstractNumId w:val="8"/>
  </w:num>
  <w:num w:numId="8">
    <w:abstractNumId w:val="2"/>
  </w:num>
  <w:num w:numId="9">
    <w:abstractNumId w:val="4"/>
  </w:num>
  <w:num w:numId="10">
    <w:abstractNumId w:val="9"/>
  </w:num>
  <w:num w:numId="11">
    <w:abstractNumId w:val="1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AD070F"/>
    <w:rsid w:val="00053BC6"/>
    <w:rsid w:val="001C47CE"/>
    <w:rsid w:val="002E7B7B"/>
    <w:rsid w:val="0073645F"/>
    <w:rsid w:val="007C6F30"/>
    <w:rsid w:val="00AD070F"/>
    <w:rsid w:val="00E140A6"/>
    <w:rsid w:val="00E21554"/>
    <w:rsid w:val="00EC5E85"/>
    <w:rsid w:val="00F73620"/>
    <w:rsid w:val="0BDE092F"/>
    <w:rsid w:val="0D887050"/>
    <w:rsid w:val="269812C4"/>
    <w:rsid w:val="28154815"/>
    <w:rsid w:val="2E3C2B9F"/>
    <w:rsid w:val="373F274F"/>
    <w:rsid w:val="37B85591"/>
    <w:rsid w:val="3C732110"/>
    <w:rsid w:val="4615486F"/>
    <w:rsid w:val="4FDD6013"/>
    <w:rsid w:val="503B7FDD"/>
    <w:rsid w:val="60F9560E"/>
    <w:rsid w:val="67D50705"/>
    <w:rsid w:val="730528EB"/>
    <w:rsid w:val="78C6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5">
    <w:name w:val="标题 1 Char1"/>
    <w:basedOn w:val="14"/>
    <w:link w:val="3"/>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5644264795180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608.44</c:v>
                </c:pt>
                <c:pt idx="1">
                  <c:v>832.99</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746.75</c:v>
                </c:pt>
                <c:pt idx="1">
                  <c:v>607.62</c:v>
                </c:pt>
              </c:numCache>
            </c:numRef>
          </c:val>
        </c:ser>
        <c:dLbls>
          <c:showLegendKey val="0"/>
          <c:showVal val="0"/>
          <c:showCatName val="0"/>
          <c:showSerName val="0"/>
          <c:showPercent val="0"/>
          <c:showBubbleSize val="0"/>
        </c:dLbls>
        <c:gapWidth val="219"/>
        <c:overlap val="-27"/>
        <c:axId val="123091200"/>
        <c:axId val="123154432"/>
      </c:barChart>
      <c:catAx>
        <c:axId val="123091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154432"/>
        <c:crosses val="autoZero"/>
        <c:auto val="1"/>
        <c:lblAlgn val="ctr"/>
        <c:lblOffset val="100"/>
        <c:noMultiLvlLbl val="0"/>
      </c:catAx>
      <c:valAx>
        <c:axId val="12315443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91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104348853698889"/>
                      <c:h val="0.07120594581635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700.84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manualLayout>
          <c:xMode val="edge"/>
          <c:yMode val="edge"/>
          <c:x val="0.264646844812445"/>
          <c:y val="0.0288"/>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418.14</c:v>
                </c:pt>
                <c:pt idx="1">
                  <c:v>189.84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608.44</c:v>
                </c:pt>
                <c:pt idx="1">
                  <c:v>746.75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832.99</c:v>
                </c:pt>
                <c:pt idx="1">
                  <c:v>607.62</c:v>
                </c:pt>
              </c:numCache>
            </c:numRef>
          </c:val>
        </c:ser>
        <c:dLbls>
          <c:showLegendKey val="0"/>
          <c:showVal val="1"/>
          <c:showCatName val="0"/>
          <c:showSerName val="0"/>
          <c:showPercent val="0"/>
          <c:showBubbleSize val="0"/>
        </c:dLbls>
        <c:gapWidth val="219"/>
        <c:overlap val="-27"/>
        <c:axId val="123856000"/>
        <c:axId val="123857536"/>
      </c:barChart>
      <c:catAx>
        <c:axId val="1238560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857536"/>
        <c:crosses val="autoZero"/>
        <c:auto val="1"/>
        <c:lblAlgn val="ctr"/>
        <c:lblOffset val="100"/>
        <c:noMultiLvlLbl val="0"/>
      </c:catAx>
      <c:valAx>
        <c:axId val="1238575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8560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746.75</c:v>
                </c:pt>
                <c:pt idx="1">
                  <c:v>607.62</c:v>
                </c:pt>
              </c:numCache>
            </c:numRef>
          </c:val>
        </c:ser>
        <c:dLbls>
          <c:showLegendKey val="0"/>
          <c:showVal val="1"/>
          <c:showCatName val="0"/>
          <c:showSerName val="0"/>
          <c:showPercent val="0"/>
          <c:showBubbleSize val="0"/>
        </c:dLbls>
        <c:gapWidth val="219"/>
        <c:overlap val="-27"/>
        <c:axId val="125430400"/>
        <c:axId val="125780352"/>
      </c:barChart>
      <c:catAx>
        <c:axId val="1254304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780352"/>
        <c:crosses val="autoZero"/>
        <c:auto val="1"/>
        <c:lblAlgn val="ctr"/>
        <c:lblOffset val="100"/>
        <c:noMultiLvlLbl val="0"/>
      </c:catAx>
      <c:valAx>
        <c:axId val="12578035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4304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4.75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9672</Words>
  <Characters>10637</Characters>
  <Lines>85</Lines>
  <Paragraphs>24</Paragraphs>
  <TotalTime>10</TotalTime>
  <ScaleCrop>false</ScaleCrop>
  <LinksUpToDate>false</LinksUpToDate>
  <CharactersWithSpaces>10895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平淡无奇</cp:lastModifiedBy>
  <cp:lastPrinted>2020-09-29T10:36:00Z</cp:lastPrinted>
  <dcterms:modified xsi:type="dcterms:W3CDTF">2022-12-20T09:21:04Z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AB52B87E7C6842EBB70F4FEB5EFC959F</vt:lpwstr>
  </property>
</Properties>
</file>