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DD2C26">
      <w:pPr>
        <w:adjustRightInd w:val="0"/>
        <w:snapToGrid w:val="0"/>
        <w:spacing w:line="360" w:lineRule="auto"/>
        <w:jc w:val="both"/>
        <w:outlineLvl w:val="0"/>
        <w:rPr>
          <w:rFonts w:hint="eastAsia" w:ascii="Times New Roman" w:hAnsi="Times New Roman" w:eastAsia="方正小标宋简体" w:cs="Times New Roman"/>
          <w:color w:val="auto"/>
          <w:kern w:val="2"/>
          <w:sz w:val="44"/>
          <w:szCs w:val="44"/>
          <w:highlight w:val="none"/>
          <w:lang w:val="en-US" w:eastAsia="zh-CN" w:bidi="ar-SA"/>
        </w:rPr>
      </w:pPr>
      <w:bookmarkStart w:id="0" w:name="_Toc15306267"/>
      <w:bookmarkStart w:id="1" w:name="_Toc15396476"/>
      <w:bookmarkStart w:id="2" w:name="_Toc15377426"/>
      <w:bookmarkStart w:id="3" w:name="_Toc15377194"/>
      <w:bookmarkStart w:id="4" w:name="_Toc15378442"/>
      <w:bookmarkStart w:id="5" w:name="_Toc15396598"/>
    </w:p>
    <w:p w14:paraId="09220029">
      <w:pPr>
        <w:adjustRightInd w:val="0"/>
        <w:snapToGrid w:val="0"/>
        <w:spacing w:line="360" w:lineRule="auto"/>
        <w:jc w:val="both"/>
        <w:outlineLvl w:val="0"/>
        <w:rPr>
          <w:rFonts w:hint="eastAsia" w:ascii="Times New Roman" w:hAnsi="Times New Roman" w:eastAsia="方正小标宋简体" w:cs="Times New Roman"/>
          <w:color w:val="auto"/>
          <w:kern w:val="2"/>
          <w:sz w:val="44"/>
          <w:szCs w:val="44"/>
          <w:highlight w:val="none"/>
          <w:lang w:val="en-US" w:eastAsia="zh-CN" w:bidi="ar-SA"/>
        </w:rPr>
      </w:pPr>
    </w:p>
    <w:p w14:paraId="69B6D968">
      <w:pPr>
        <w:adjustRightInd w:val="0"/>
        <w:snapToGrid w:val="0"/>
        <w:spacing w:line="360" w:lineRule="auto"/>
        <w:jc w:val="both"/>
        <w:outlineLvl w:val="0"/>
        <w:rPr>
          <w:rFonts w:hint="eastAsia" w:ascii="Times New Roman" w:hAnsi="Times New Roman" w:eastAsia="方正小标宋简体" w:cs="Times New Roman"/>
          <w:color w:val="auto"/>
          <w:kern w:val="2"/>
          <w:sz w:val="44"/>
          <w:szCs w:val="44"/>
          <w:highlight w:val="none"/>
          <w:lang w:val="en-US" w:eastAsia="zh-CN" w:bidi="ar-SA"/>
        </w:rPr>
      </w:pPr>
    </w:p>
    <w:p w14:paraId="6E97AC24">
      <w:pPr>
        <w:adjustRightInd w:val="0"/>
        <w:snapToGrid w:val="0"/>
        <w:spacing w:line="360" w:lineRule="auto"/>
        <w:jc w:val="both"/>
        <w:outlineLvl w:val="0"/>
        <w:rPr>
          <w:rFonts w:hint="eastAsia" w:ascii="Times New Roman" w:hAnsi="Times New Roman" w:eastAsia="方正小标宋简体" w:cs="Times New Roman"/>
          <w:color w:val="auto"/>
          <w:kern w:val="2"/>
          <w:sz w:val="44"/>
          <w:szCs w:val="44"/>
          <w:highlight w:val="none"/>
          <w:lang w:val="en-US" w:eastAsia="zh-CN" w:bidi="ar-SA"/>
        </w:rPr>
      </w:pPr>
    </w:p>
    <w:p w14:paraId="49610B36">
      <w:pPr>
        <w:adjustRightInd w:val="0"/>
        <w:snapToGrid w:val="0"/>
        <w:spacing w:line="360" w:lineRule="auto"/>
        <w:jc w:val="both"/>
        <w:outlineLvl w:val="0"/>
        <w:rPr>
          <w:rFonts w:hint="eastAsia" w:ascii="Times New Roman" w:hAnsi="Times New Roman" w:eastAsia="方正小标宋简体" w:cs="Times New Roman"/>
          <w:color w:val="auto"/>
          <w:kern w:val="2"/>
          <w:sz w:val="44"/>
          <w:szCs w:val="44"/>
          <w:highlight w:val="none"/>
          <w:lang w:val="en-US" w:eastAsia="zh-CN" w:bidi="ar-SA"/>
        </w:rPr>
      </w:pPr>
    </w:p>
    <w:p w14:paraId="1F79B278">
      <w:pPr>
        <w:adjustRightInd w:val="0"/>
        <w:snapToGrid w:val="0"/>
        <w:spacing w:line="360" w:lineRule="auto"/>
        <w:jc w:val="both"/>
        <w:outlineLvl w:val="0"/>
        <w:rPr>
          <w:rFonts w:hint="eastAsia" w:ascii="Times New Roman" w:hAnsi="Times New Roman" w:eastAsia="方正小标宋简体" w:cs="Times New Roman"/>
          <w:color w:val="auto"/>
          <w:kern w:val="2"/>
          <w:sz w:val="44"/>
          <w:szCs w:val="44"/>
          <w:highlight w:val="none"/>
          <w:lang w:val="en-US" w:eastAsia="zh-CN" w:bidi="ar-SA"/>
        </w:rPr>
      </w:pPr>
    </w:p>
    <w:p w14:paraId="7BA8CE8F">
      <w:pPr>
        <w:adjustRightInd w:val="0"/>
        <w:snapToGrid w:val="0"/>
        <w:spacing w:line="360" w:lineRule="auto"/>
        <w:jc w:val="center"/>
        <w:outlineLvl w:val="0"/>
        <w:rPr>
          <w:rFonts w:hint="eastAsia" w:ascii="Times New Roman" w:hAnsi="Times New Roman" w:eastAsia="方正小标宋简体" w:cs="Times New Roman"/>
          <w:color w:val="auto"/>
          <w:kern w:val="2"/>
          <w:sz w:val="48"/>
          <w:szCs w:val="48"/>
          <w:highlight w:val="none"/>
          <w:lang w:val="en-US" w:eastAsia="zh-CN" w:bidi="ar-SA"/>
        </w:rPr>
      </w:pPr>
    </w:p>
    <w:p w14:paraId="28C824EF">
      <w:pPr>
        <w:adjustRightInd w:val="0"/>
        <w:snapToGrid w:val="0"/>
        <w:spacing w:line="360" w:lineRule="auto"/>
        <w:jc w:val="center"/>
        <w:outlineLvl w:val="0"/>
        <w:rPr>
          <w:rFonts w:hint="eastAsia" w:ascii="Times New Roman" w:hAnsi="Times New Roman" w:eastAsia="方正小标宋简体" w:cs="Times New Roman"/>
          <w:color w:val="auto"/>
          <w:kern w:val="2"/>
          <w:sz w:val="48"/>
          <w:szCs w:val="48"/>
          <w:highlight w:val="none"/>
          <w:lang w:val="en-US" w:eastAsia="zh-CN" w:bidi="ar-SA"/>
        </w:rPr>
      </w:pPr>
      <w:r>
        <w:rPr>
          <w:rFonts w:hint="eastAsia" w:ascii="Times New Roman" w:hAnsi="Times New Roman" w:eastAsia="方正小标宋简体" w:cs="Times New Roman"/>
          <w:color w:val="auto"/>
          <w:kern w:val="2"/>
          <w:sz w:val="48"/>
          <w:szCs w:val="48"/>
          <w:highlight w:val="none"/>
          <w:lang w:val="en-US" w:eastAsia="zh-CN" w:bidi="ar-SA"/>
        </w:rPr>
        <w:t>2024年度</w:t>
      </w:r>
    </w:p>
    <w:p w14:paraId="70F8D22D">
      <w:pPr>
        <w:adjustRightInd w:val="0"/>
        <w:snapToGrid w:val="0"/>
        <w:spacing w:line="360" w:lineRule="auto"/>
        <w:jc w:val="center"/>
        <w:outlineLvl w:val="0"/>
        <w:rPr>
          <w:rFonts w:hint="eastAsia" w:ascii="Times New Roman" w:hAnsi="Times New Roman" w:eastAsia="方正小标宋简体" w:cs="Times New Roman"/>
          <w:color w:val="auto"/>
          <w:kern w:val="2"/>
          <w:sz w:val="48"/>
          <w:szCs w:val="48"/>
          <w:highlight w:val="none"/>
          <w:lang w:val="en-US" w:eastAsia="zh-CN" w:bidi="ar-SA"/>
        </w:rPr>
      </w:pPr>
      <w:r>
        <w:rPr>
          <w:rFonts w:hint="eastAsia" w:ascii="Times New Roman" w:hAnsi="Times New Roman" w:eastAsia="方正小标宋简体" w:cs="Times New Roman"/>
          <w:color w:val="auto"/>
          <w:kern w:val="2"/>
          <w:sz w:val="48"/>
          <w:szCs w:val="48"/>
          <w:highlight w:val="none"/>
          <w:lang w:val="en-US" w:eastAsia="zh-CN" w:bidi="ar-SA"/>
        </w:rPr>
        <w:t>四川省</w:t>
      </w:r>
      <w:bookmarkEnd w:id="0"/>
      <w:bookmarkStart w:id="6" w:name="_Toc15306268"/>
      <w:r>
        <w:rPr>
          <w:rFonts w:hint="eastAsia" w:ascii="Times New Roman" w:hAnsi="Times New Roman" w:eastAsia="方正小标宋简体" w:cs="Times New Roman"/>
          <w:color w:val="auto"/>
          <w:kern w:val="2"/>
          <w:sz w:val="48"/>
          <w:szCs w:val="48"/>
          <w:highlight w:val="none"/>
          <w:lang w:val="en-US" w:eastAsia="zh-CN" w:bidi="ar-SA"/>
        </w:rPr>
        <w:t>金川县俄热乡</w:t>
      </w:r>
    </w:p>
    <w:p w14:paraId="31F83C0B">
      <w:pPr>
        <w:adjustRightInd w:val="0"/>
        <w:snapToGrid w:val="0"/>
        <w:spacing w:line="360" w:lineRule="auto"/>
        <w:jc w:val="center"/>
        <w:outlineLvl w:val="0"/>
        <w:rPr>
          <w:rFonts w:hint="eastAsia" w:ascii="Times New Roman" w:hAnsi="Times New Roman" w:eastAsia="方正小标宋简体" w:cs="Times New Roman"/>
          <w:color w:val="auto"/>
          <w:kern w:val="2"/>
          <w:sz w:val="48"/>
          <w:szCs w:val="48"/>
          <w:highlight w:val="none"/>
          <w:lang w:val="en-US" w:eastAsia="zh-CN" w:bidi="ar-SA"/>
        </w:rPr>
      </w:pPr>
      <w:r>
        <w:rPr>
          <w:rFonts w:hint="eastAsia" w:ascii="Times New Roman" w:hAnsi="Times New Roman" w:eastAsia="方正小标宋简体" w:cs="Times New Roman"/>
          <w:color w:val="auto"/>
          <w:kern w:val="2"/>
          <w:sz w:val="48"/>
          <w:szCs w:val="48"/>
          <w:highlight w:val="none"/>
          <w:lang w:val="en-US" w:eastAsia="zh-CN" w:bidi="ar-SA"/>
        </w:rPr>
        <w:t>人民政府部门决算</w:t>
      </w:r>
      <w:bookmarkEnd w:id="1"/>
      <w:bookmarkEnd w:id="2"/>
      <w:bookmarkEnd w:id="3"/>
      <w:bookmarkEnd w:id="4"/>
      <w:bookmarkEnd w:id="5"/>
      <w:bookmarkEnd w:id="6"/>
    </w:p>
    <w:p w14:paraId="1F43B828">
      <w:pPr>
        <w:widowControl/>
        <w:jc w:val="center"/>
        <w:rPr>
          <w:rFonts w:hint="eastAsia" w:ascii="Times New Roman" w:hAnsi="Times New Roman" w:eastAsia="黑体"/>
          <w:color w:val="auto"/>
          <w:sz w:val="48"/>
          <w:szCs w:val="48"/>
          <w:highlight w:val="none"/>
        </w:rPr>
      </w:pPr>
    </w:p>
    <w:p w14:paraId="387466DA">
      <w:pPr>
        <w:widowControl/>
        <w:jc w:val="center"/>
        <w:rPr>
          <w:rFonts w:hint="eastAsia" w:ascii="Times New Roman" w:hAnsi="Times New Roman" w:eastAsia="黑体"/>
          <w:color w:val="auto"/>
          <w:sz w:val="48"/>
          <w:szCs w:val="48"/>
          <w:highlight w:val="none"/>
        </w:rPr>
      </w:pPr>
    </w:p>
    <w:p w14:paraId="301576E3">
      <w:pPr>
        <w:widowControl/>
        <w:jc w:val="center"/>
        <w:rPr>
          <w:rFonts w:hint="eastAsia" w:ascii="Times New Roman" w:hAnsi="Times New Roman" w:eastAsia="黑体"/>
          <w:color w:val="auto"/>
          <w:sz w:val="48"/>
          <w:szCs w:val="48"/>
          <w:highlight w:val="none"/>
        </w:rPr>
      </w:pPr>
    </w:p>
    <w:p w14:paraId="54D6CD99">
      <w:pPr>
        <w:widowControl/>
        <w:jc w:val="center"/>
        <w:rPr>
          <w:rFonts w:hint="eastAsia" w:ascii="Times New Roman" w:hAnsi="Times New Roman" w:eastAsia="黑体"/>
          <w:color w:val="auto"/>
          <w:sz w:val="48"/>
          <w:szCs w:val="48"/>
          <w:highlight w:val="none"/>
        </w:rPr>
      </w:pPr>
    </w:p>
    <w:p w14:paraId="4BA45ECA">
      <w:pPr>
        <w:widowControl/>
        <w:jc w:val="center"/>
        <w:rPr>
          <w:rFonts w:hint="eastAsia" w:ascii="Times New Roman" w:hAnsi="Times New Roman" w:eastAsia="黑体"/>
          <w:color w:val="auto"/>
          <w:sz w:val="48"/>
          <w:szCs w:val="48"/>
          <w:highlight w:val="none"/>
        </w:rPr>
      </w:pPr>
    </w:p>
    <w:p w14:paraId="2BC16A0F">
      <w:pPr>
        <w:widowControl/>
        <w:jc w:val="center"/>
        <w:rPr>
          <w:rFonts w:hint="eastAsia" w:ascii="Times New Roman" w:hAnsi="Times New Roman" w:eastAsia="黑体"/>
          <w:color w:val="auto"/>
          <w:sz w:val="48"/>
          <w:szCs w:val="48"/>
          <w:highlight w:val="none"/>
        </w:rPr>
      </w:pPr>
    </w:p>
    <w:p w14:paraId="19A1D104">
      <w:pPr>
        <w:widowControl/>
        <w:jc w:val="center"/>
        <w:rPr>
          <w:rFonts w:hint="eastAsia" w:ascii="Times New Roman" w:hAnsi="Times New Roman" w:eastAsia="黑体"/>
          <w:color w:val="auto"/>
          <w:sz w:val="48"/>
          <w:szCs w:val="48"/>
          <w:highlight w:val="none"/>
        </w:rPr>
      </w:pPr>
    </w:p>
    <w:p w14:paraId="23F4E9CA">
      <w:pPr>
        <w:widowControl/>
        <w:jc w:val="both"/>
        <w:rPr>
          <w:rFonts w:hint="eastAsia" w:ascii="Times New Roman" w:hAnsi="Times New Roman" w:eastAsia="黑体"/>
          <w:color w:val="auto"/>
          <w:sz w:val="48"/>
          <w:szCs w:val="48"/>
          <w:highlight w:val="none"/>
        </w:rPr>
      </w:pPr>
    </w:p>
    <w:p w14:paraId="14B8E4EF">
      <w:pPr>
        <w:widowControl/>
        <w:jc w:val="center"/>
        <w:rPr>
          <w:rFonts w:ascii="Times New Roman" w:hAnsi="Times New Roman" w:eastAsia="黑体"/>
          <w:color w:val="auto"/>
          <w:sz w:val="48"/>
          <w:szCs w:val="48"/>
          <w:highlight w:val="none"/>
        </w:rPr>
      </w:pPr>
      <w:r>
        <w:rPr>
          <w:rFonts w:hint="eastAsia" w:ascii="Times New Roman" w:hAnsi="Times New Roman" w:eastAsia="黑体"/>
          <w:color w:val="auto"/>
          <w:sz w:val="48"/>
          <w:szCs w:val="48"/>
          <w:highlight w:val="none"/>
        </w:rPr>
        <w:t>目录</w:t>
      </w:r>
    </w:p>
    <w:p w14:paraId="6416C46D">
      <w:pPr>
        <w:widowControl/>
        <w:jc w:val="center"/>
        <w:rPr>
          <w:rFonts w:ascii="Times New Roman" w:hAnsi="Times New Roman" w:eastAsia="黑体" w:cstheme="minorBidi"/>
          <w:color w:val="auto"/>
          <w:sz w:val="28"/>
          <w:szCs w:val="28"/>
          <w:highlight w:val="none"/>
        </w:rPr>
      </w:pPr>
    </w:p>
    <w:p w14:paraId="270A9541">
      <w:pPr>
        <w:pStyle w:val="12"/>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公开时间：20</w:t>
      </w:r>
      <w:r>
        <w:rPr>
          <w:rFonts w:hint="eastAsia" w:ascii="Times New Roman" w:hAnsi="Times New Roman" w:eastAsia="仿宋_GB2312" w:cs="仿宋_GB2312"/>
          <w:color w:val="auto"/>
          <w:sz w:val="32"/>
          <w:szCs w:val="32"/>
          <w:highlight w:val="none"/>
          <w:lang w:val="en-US" w:eastAsia="zh-CN"/>
        </w:rPr>
        <w:t>25</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val="en-US" w:eastAsia="zh-CN"/>
        </w:rPr>
        <w:t xml:space="preserve"> 8 </w:t>
      </w:r>
      <w:r>
        <w:rPr>
          <w:rFonts w:hint="eastAsia" w:ascii="Times New Roman" w:hAnsi="Times New Roman" w:eastAsia="仿宋_GB2312" w:cs="仿宋_GB2312"/>
          <w:color w:val="auto"/>
          <w:sz w:val="32"/>
          <w:szCs w:val="32"/>
          <w:highlight w:val="none"/>
        </w:rPr>
        <w:t>月</w:t>
      </w:r>
      <w:r>
        <w:rPr>
          <w:rFonts w:hint="eastAsia" w:ascii="Times New Roman" w:hAnsi="Times New Roman" w:eastAsia="仿宋_GB2312" w:cs="仿宋_GB2312"/>
          <w:color w:val="auto"/>
          <w:sz w:val="32"/>
          <w:szCs w:val="32"/>
          <w:highlight w:val="none"/>
          <w:lang w:val="en-US" w:eastAsia="zh-CN"/>
        </w:rPr>
        <w:t xml:space="preserve"> 25 </w:t>
      </w:r>
      <w:r>
        <w:rPr>
          <w:rFonts w:hint="eastAsia" w:ascii="Times New Roman" w:hAnsi="Times New Roman" w:eastAsia="仿宋_GB2312" w:cs="仿宋_GB2312"/>
          <w:color w:val="auto"/>
          <w:sz w:val="32"/>
          <w:szCs w:val="32"/>
          <w:highlight w:val="none"/>
        </w:rPr>
        <w:t>日</w:t>
      </w:r>
      <w:bookmarkStart w:id="70" w:name="_GoBack"/>
      <w:bookmarkEnd w:id="70"/>
    </w:p>
    <w:p w14:paraId="0D4F6B8A">
      <w:pPr>
        <w:rPr>
          <w:rFonts w:ascii="Times New Roman" w:hAnsi="Times New Roman"/>
          <w:color w:val="auto"/>
          <w:highlight w:val="none"/>
        </w:rPr>
      </w:pPr>
    </w:p>
    <w:p w14:paraId="3E9F814C">
      <w:pPr>
        <w:pStyle w:val="12"/>
        <w:keepNext w:val="0"/>
        <w:keepLines w:val="0"/>
        <w:pageBreakBefore w:val="0"/>
        <w:widowControl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第一部分 部门概况</w:t>
      </w:r>
      <w:r>
        <w:rPr>
          <w:rFonts w:hint="eastAsia" w:ascii="Times New Roman" w:hAnsi="Times New Roman" w:eastAsia="黑体" w:cs="黑体"/>
          <w:color w:val="auto"/>
          <w:sz w:val="32"/>
          <w:szCs w:val="32"/>
          <w:highlight w:val="none"/>
          <w:lang w:val="en-US" w:eastAsia="zh-CN"/>
        </w:rPr>
        <w:t>.............................................................3</w:t>
      </w:r>
    </w:p>
    <w:p w14:paraId="1549D3EF">
      <w:pPr>
        <w:pStyle w:val="12"/>
        <w:keepNext w:val="0"/>
        <w:keepLines w:val="0"/>
        <w:pageBreakBefore w:val="0"/>
        <w:widowControl w:val="0"/>
        <w:kinsoku/>
        <w:wordWrap/>
        <w:overflowPunct/>
        <w:topLinePunct w:val="0"/>
        <w:autoSpaceDE/>
        <w:autoSpaceDN/>
        <w:bidi w:val="0"/>
        <w:adjustRightInd w:val="0"/>
        <w:snapToGrid w:val="0"/>
        <w:spacing w:before="0" w:line="560" w:lineRule="exact"/>
        <w:ind w:firstLine="480" w:firstLineChars="200"/>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仿宋_GB2312" w:cs="仿宋_GB2312"/>
          <w:color w:val="auto"/>
          <w:kern w:val="2"/>
          <w:sz w:val="24"/>
          <w:szCs w:val="24"/>
          <w:highlight w:val="none"/>
          <w:lang w:val="en-US" w:eastAsia="zh-CN" w:bidi="ar-SA"/>
        </w:rPr>
        <w:t>一、部门职责..</w:t>
      </w:r>
      <w:r>
        <w:rPr>
          <w:rFonts w:hint="eastAsia" w:ascii="Times New Roman" w:hAnsi="Times New Roman" w:eastAsia="黑体" w:cs="黑体"/>
          <w:color w:val="auto"/>
          <w:sz w:val="32"/>
          <w:szCs w:val="32"/>
          <w:highlight w:val="none"/>
          <w:lang w:val="en-US" w:eastAsia="zh-CN"/>
        </w:rPr>
        <w:t>.....................................................................3</w:t>
      </w:r>
    </w:p>
    <w:p w14:paraId="14E8E1C8">
      <w:pPr>
        <w:pStyle w:val="12"/>
        <w:keepNext w:val="0"/>
        <w:keepLines w:val="0"/>
        <w:pageBreakBefore w:val="0"/>
        <w:widowControl w:val="0"/>
        <w:kinsoku/>
        <w:wordWrap/>
        <w:overflowPunct/>
        <w:topLinePunct w:val="0"/>
        <w:autoSpaceDE/>
        <w:autoSpaceDN/>
        <w:bidi w:val="0"/>
        <w:adjustRightInd w:val="0"/>
        <w:snapToGrid w:val="0"/>
        <w:spacing w:before="0" w:line="560" w:lineRule="exact"/>
        <w:ind w:firstLine="480" w:firstLineChars="200"/>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仿宋_GB2312" w:cs="仿宋_GB2312"/>
          <w:color w:val="auto"/>
          <w:kern w:val="2"/>
          <w:sz w:val="24"/>
          <w:szCs w:val="24"/>
          <w:highlight w:val="none"/>
          <w:lang w:val="en-US" w:eastAsia="zh-CN" w:bidi="ar-SA"/>
        </w:rPr>
        <w:t>二、机构设置.</w:t>
      </w:r>
      <w:r>
        <w:rPr>
          <w:rFonts w:hint="eastAsia" w:ascii="Times New Roman" w:hAnsi="Times New Roman" w:eastAsia="黑体" w:cs="黑体"/>
          <w:color w:val="auto"/>
          <w:sz w:val="32"/>
          <w:szCs w:val="32"/>
          <w:highlight w:val="none"/>
          <w:lang w:val="en-US" w:eastAsia="zh-CN"/>
        </w:rPr>
        <w:t>......................................................................4</w:t>
      </w:r>
    </w:p>
    <w:p w14:paraId="38364845">
      <w:pPr>
        <w:pStyle w:val="12"/>
        <w:keepNext w:val="0"/>
        <w:keepLines w:val="0"/>
        <w:pageBreakBefore w:val="0"/>
        <w:widowControl w:val="0"/>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黑体" w:cs="黑体"/>
          <w:color w:val="auto"/>
          <w:sz w:val="32"/>
          <w:szCs w:val="32"/>
          <w:highlight w:val="none"/>
          <w:lang w:val="en-US"/>
        </w:rPr>
      </w:pPr>
      <w:r>
        <w:rPr>
          <w:rFonts w:hint="eastAsia" w:ascii="Times New Roman" w:hAnsi="Times New Roman" w:eastAsia="黑体" w:cs="黑体"/>
          <w:color w:val="auto"/>
          <w:sz w:val="32"/>
          <w:szCs w:val="32"/>
          <w:highlight w:val="none"/>
        </w:rPr>
        <w:t>第二部分</w:t>
      </w:r>
      <w:r>
        <w:rPr>
          <w:rFonts w:hint="eastAsia" w:ascii="Times New Roman" w:hAnsi="Times New Roman" w:eastAsia="黑体" w:cs="黑体"/>
          <w:color w:val="auto"/>
          <w:sz w:val="32"/>
          <w:szCs w:val="32"/>
          <w:highlight w:val="none"/>
          <w:lang w:val="en-US" w:eastAsia="zh-CN"/>
        </w:rPr>
        <w:t xml:space="preserve"> 2024年度</w:t>
      </w:r>
      <w:r>
        <w:rPr>
          <w:rFonts w:hint="eastAsia" w:ascii="Times New Roman" w:hAnsi="Times New Roman" w:eastAsia="黑体" w:cs="黑体"/>
          <w:color w:val="auto"/>
          <w:sz w:val="32"/>
          <w:szCs w:val="32"/>
          <w:highlight w:val="none"/>
        </w:rPr>
        <w:t>部门决算情况</w:t>
      </w:r>
      <w:r>
        <w:rPr>
          <w:rFonts w:hint="eastAsia" w:ascii="Times New Roman" w:hAnsi="Times New Roman" w:eastAsia="黑体" w:cs="黑体"/>
          <w:color w:val="auto"/>
          <w:sz w:val="32"/>
          <w:szCs w:val="32"/>
          <w:highlight w:val="none"/>
          <w:lang w:val="en-US" w:eastAsia="zh-CN"/>
        </w:rPr>
        <w:t>说</w:t>
      </w:r>
      <w:r>
        <w:rPr>
          <w:rFonts w:hint="eastAsia" w:ascii="Times New Roman" w:hAnsi="Times New Roman" w:eastAsia="黑体" w:cs="黑体"/>
          <w:color w:val="auto"/>
          <w:sz w:val="32"/>
          <w:szCs w:val="32"/>
          <w:highlight w:val="none"/>
        </w:rPr>
        <w:t>明</w:t>
      </w:r>
      <w:r>
        <w:rPr>
          <w:rFonts w:hint="eastAsia" w:ascii="Times New Roman" w:hAnsi="Times New Roman" w:eastAsia="黑体" w:cs="黑体"/>
          <w:color w:val="auto"/>
          <w:sz w:val="32"/>
          <w:szCs w:val="32"/>
          <w:highlight w:val="none"/>
          <w:lang w:val="en-US" w:eastAsia="zh-CN"/>
        </w:rPr>
        <w:t>............................6</w:t>
      </w:r>
    </w:p>
    <w:p w14:paraId="48590FE7">
      <w:pPr>
        <w:pStyle w:val="12"/>
        <w:keepNext w:val="0"/>
        <w:keepLines w:val="0"/>
        <w:pageBreakBefore w:val="0"/>
        <w:widowControl w:val="0"/>
        <w:kinsoku/>
        <w:wordWrap/>
        <w:overflowPunct/>
        <w:topLinePunct w:val="0"/>
        <w:autoSpaceDE/>
        <w:autoSpaceDN/>
        <w:bidi w:val="0"/>
        <w:adjustRightInd w:val="0"/>
        <w:snapToGrid w:val="0"/>
        <w:spacing w:before="0" w:line="560" w:lineRule="exact"/>
        <w:ind w:firstLine="480" w:firstLineChars="200"/>
        <w:jc w:val="left"/>
        <w:textAlignment w:val="auto"/>
        <w:rPr>
          <w:rFonts w:hint="default" w:ascii="Times New Roman" w:hAnsi="Times New Roman" w:eastAsia="黑体" w:cs="黑体"/>
          <w:color w:val="auto"/>
          <w:sz w:val="32"/>
          <w:szCs w:val="32"/>
          <w:highlight w:val="none"/>
          <w:lang w:val="en-US"/>
        </w:rPr>
      </w:pPr>
      <w:r>
        <w:rPr>
          <w:rFonts w:hint="eastAsia" w:ascii="Times New Roman" w:hAnsi="Times New Roman" w:eastAsia="仿宋_GB2312" w:cs="仿宋_GB2312"/>
          <w:color w:val="auto"/>
          <w:kern w:val="2"/>
          <w:sz w:val="24"/>
          <w:szCs w:val="24"/>
          <w:highlight w:val="none"/>
          <w:lang w:val="en-US" w:eastAsia="zh-CN" w:bidi="ar-SA"/>
        </w:rPr>
        <w:t>一、收入支出决算总体情况说明.</w:t>
      </w:r>
      <w:r>
        <w:rPr>
          <w:rFonts w:hint="eastAsia" w:ascii="Times New Roman" w:hAnsi="Times New Roman" w:eastAsia="黑体" w:cs="黑体"/>
          <w:color w:val="auto"/>
          <w:sz w:val="32"/>
          <w:szCs w:val="32"/>
          <w:highlight w:val="none"/>
          <w:lang w:val="en-US" w:eastAsia="zh-CN"/>
        </w:rPr>
        <w:t>..............................................6</w:t>
      </w:r>
    </w:p>
    <w:p w14:paraId="64B8B8F3">
      <w:pPr>
        <w:pStyle w:val="12"/>
        <w:keepNext w:val="0"/>
        <w:keepLines w:val="0"/>
        <w:pageBreakBefore w:val="0"/>
        <w:widowControl w:val="0"/>
        <w:kinsoku/>
        <w:wordWrap/>
        <w:overflowPunct/>
        <w:topLinePunct w:val="0"/>
        <w:autoSpaceDE/>
        <w:autoSpaceDN/>
        <w:bidi w:val="0"/>
        <w:adjustRightInd w:val="0"/>
        <w:snapToGrid w:val="0"/>
        <w:spacing w:before="0" w:line="560" w:lineRule="exact"/>
        <w:ind w:firstLine="480" w:firstLineChars="200"/>
        <w:jc w:val="left"/>
        <w:textAlignment w:val="auto"/>
        <w:rPr>
          <w:rFonts w:hint="default" w:ascii="Times New Roman" w:hAnsi="Times New Roman" w:eastAsia="黑体" w:cs="黑体"/>
          <w:color w:val="auto"/>
          <w:sz w:val="32"/>
          <w:szCs w:val="32"/>
          <w:highlight w:val="none"/>
          <w:lang w:val="en-US" w:eastAsia="zh-CN"/>
        </w:rPr>
      </w:pPr>
      <w:r>
        <w:rPr>
          <w:rFonts w:hint="eastAsia" w:ascii="Times New Roman" w:hAnsi="Times New Roman" w:eastAsia="仿宋_GB2312" w:cs="仿宋_GB2312"/>
          <w:color w:val="auto"/>
          <w:kern w:val="2"/>
          <w:sz w:val="24"/>
          <w:szCs w:val="24"/>
          <w:highlight w:val="none"/>
          <w:lang w:val="en-US" w:eastAsia="zh-CN" w:bidi="ar-SA"/>
        </w:rPr>
        <w:t>二、收入决算情况说明.</w:t>
      </w:r>
      <w:r>
        <w:rPr>
          <w:rFonts w:hint="eastAsia" w:ascii="Times New Roman" w:hAnsi="Times New Roman" w:eastAsia="黑体" w:cs="黑体"/>
          <w:color w:val="auto"/>
          <w:sz w:val="32"/>
          <w:szCs w:val="32"/>
          <w:highlight w:val="none"/>
          <w:lang w:val="en-US" w:eastAsia="zh-CN"/>
        </w:rPr>
        <w:t>..........................................................6</w:t>
      </w:r>
    </w:p>
    <w:p w14:paraId="7A5F064C">
      <w:pPr>
        <w:pStyle w:val="12"/>
        <w:keepNext w:val="0"/>
        <w:keepLines w:val="0"/>
        <w:pageBreakBefore w:val="0"/>
        <w:widowControl w:val="0"/>
        <w:kinsoku/>
        <w:wordWrap/>
        <w:overflowPunct/>
        <w:topLinePunct w:val="0"/>
        <w:autoSpaceDE/>
        <w:autoSpaceDN/>
        <w:bidi w:val="0"/>
        <w:adjustRightInd w:val="0"/>
        <w:snapToGrid w:val="0"/>
        <w:spacing w:before="0" w:line="560" w:lineRule="exact"/>
        <w:ind w:firstLine="480" w:firstLineChars="200"/>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仿宋_GB2312" w:cs="仿宋_GB2312"/>
          <w:color w:val="auto"/>
          <w:kern w:val="2"/>
          <w:sz w:val="24"/>
          <w:szCs w:val="24"/>
          <w:highlight w:val="none"/>
          <w:lang w:val="en-US" w:eastAsia="zh-CN" w:bidi="ar-SA"/>
        </w:rPr>
        <w:t>三、支出决算情况说明</w:t>
      </w:r>
      <w:r>
        <w:rPr>
          <w:rFonts w:hint="eastAsia" w:ascii="Times New Roman" w:hAnsi="Times New Roman" w:eastAsia="黑体" w:cs="黑体"/>
          <w:color w:val="auto"/>
          <w:sz w:val="32"/>
          <w:szCs w:val="32"/>
          <w:highlight w:val="none"/>
          <w:lang w:val="en-US" w:eastAsia="zh-CN"/>
        </w:rPr>
        <w:t>...........................................................7</w:t>
      </w:r>
    </w:p>
    <w:p w14:paraId="44B748E5">
      <w:pPr>
        <w:pStyle w:val="12"/>
        <w:keepNext w:val="0"/>
        <w:keepLines w:val="0"/>
        <w:pageBreakBefore w:val="0"/>
        <w:widowControl w:val="0"/>
        <w:kinsoku/>
        <w:wordWrap/>
        <w:overflowPunct/>
        <w:topLinePunct w:val="0"/>
        <w:autoSpaceDE/>
        <w:autoSpaceDN/>
        <w:bidi w:val="0"/>
        <w:adjustRightInd w:val="0"/>
        <w:snapToGrid w:val="0"/>
        <w:spacing w:before="0" w:line="560" w:lineRule="exact"/>
        <w:ind w:firstLine="480" w:firstLineChars="200"/>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仿宋_GB2312" w:cs="仿宋_GB2312"/>
          <w:color w:val="auto"/>
          <w:kern w:val="2"/>
          <w:sz w:val="24"/>
          <w:szCs w:val="24"/>
          <w:highlight w:val="none"/>
          <w:lang w:val="en-US" w:eastAsia="zh-CN" w:bidi="ar-SA"/>
        </w:rPr>
        <w:t>四、财政拨款收入支出决算总体情况说明.</w:t>
      </w:r>
      <w:r>
        <w:rPr>
          <w:rFonts w:hint="eastAsia" w:ascii="Times New Roman" w:hAnsi="Times New Roman" w:eastAsia="黑体" w:cs="黑体"/>
          <w:color w:val="auto"/>
          <w:sz w:val="32"/>
          <w:szCs w:val="32"/>
          <w:highlight w:val="none"/>
          <w:lang w:val="en-US" w:eastAsia="zh-CN"/>
        </w:rPr>
        <w:t>..................................8</w:t>
      </w:r>
    </w:p>
    <w:p w14:paraId="76F5F461">
      <w:pPr>
        <w:pStyle w:val="12"/>
        <w:keepNext w:val="0"/>
        <w:keepLines w:val="0"/>
        <w:pageBreakBefore w:val="0"/>
        <w:widowControl w:val="0"/>
        <w:kinsoku/>
        <w:wordWrap/>
        <w:overflowPunct/>
        <w:topLinePunct w:val="0"/>
        <w:autoSpaceDE/>
        <w:autoSpaceDN/>
        <w:bidi w:val="0"/>
        <w:adjustRightInd w:val="0"/>
        <w:snapToGrid w:val="0"/>
        <w:spacing w:before="0" w:line="560" w:lineRule="exact"/>
        <w:ind w:firstLine="480" w:firstLineChars="200"/>
        <w:jc w:val="left"/>
        <w:textAlignment w:val="auto"/>
        <w:rPr>
          <w:rFonts w:hint="eastAsia" w:ascii="Times New Roman" w:hAnsi="Times New Roman" w:eastAsia="黑体" w:cs="黑体"/>
          <w:color w:val="auto"/>
          <w:sz w:val="32"/>
          <w:szCs w:val="32"/>
          <w:highlight w:val="none"/>
          <w:lang w:val="en-US" w:eastAsia="zh-CN"/>
        </w:rPr>
      </w:pPr>
      <w:r>
        <w:rPr>
          <w:rFonts w:hint="eastAsia" w:ascii="Times New Roman" w:hAnsi="Times New Roman" w:eastAsia="仿宋_GB2312" w:cs="仿宋_GB2312"/>
          <w:color w:val="auto"/>
          <w:kern w:val="2"/>
          <w:sz w:val="24"/>
          <w:szCs w:val="24"/>
          <w:highlight w:val="none"/>
          <w:lang w:val="en-US" w:eastAsia="zh-CN" w:bidi="ar-SA"/>
        </w:rPr>
        <w:t>五、一般公共预算财政拨款支出决算情况说明</w:t>
      </w:r>
      <w:r>
        <w:rPr>
          <w:rFonts w:hint="eastAsia" w:ascii="Times New Roman" w:hAnsi="Times New Roman" w:eastAsia="黑体" w:cs="黑体"/>
          <w:color w:val="auto"/>
          <w:sz w:val="32"/>
          <w:szCs w:val="32"/>
          <w:highlight w:val="none"/>
          <w:lang w:val="en-US" w:eastAsia="zh-CN"/>
        </w:rPr>
        <w:t>.............................8</w:t>
      </w:r>
    </w:p>
    <w:p w14:paraId="1CDDEEDE">
      <w:pPr>
        <w:pStyle w:val="12"/>
        <w:keepNext w:val="0"/>
        <w:keepLines w:val="0"/>
        <w:pageBreakBefore w:val="0"/>
        <w:widowControl w:val="0"/>
        <w:kinsoku/>
        <w:wordWrap/>
        <w:overflowPunct/>
        <w:topLinePunct w:val="0"/>
        <w:autoSpaceDE/>
        <w:autoSpaceDN/>
        <w:bidi w:val="0"/>
        <w:adjustRightInd w:val="0"/>
        <w:snapToGrid w:val="0"/>
        <w:spacing w:before="0" w:line="560" w:lineRule="exact"/>
        <w:ind w:firstLine="480" w:firstLineChars="200"/>
        <w:jc w:val="left"/>
        <w:textAlignment w:val="auto"/>
        <w:rPr>
          <w:rFonts w:hint="default" w:ascii="Times New Roman" w:hAnsi="Times New Roman" w:eastAsia="黑体" w:cs="黑体"/>
          <w:color w:val="auto"/>
          <w:sz w:val="32"/>
          <w:szCs w:val="32"/>
          <w:highlight w:val="none"/>
          <w:lang w:val="en-US" w:eastAsia="zh-CN"/>
        </w:rPr>
      </w:pPr>
      <w:r>
        <w:rPr>
          <w:rFonts w:hint="eastAsia" w:ascii="Times New Roman" w:hAnsi="Times New Roman" w:eastAsia="仿宋_GB2312" w:cs="仿宋_GB2312"/>
          <w:color w:val="auto"/>
          <w:kern w:val="2"/>
          <w:sz w:val="24"/>
          <w:szCs w:val="24"/>
          <w:highlight w:val="none"/>
          <w:lang w:val="en-US" w:eastAsia="zh-CN" w:bidi="ar-SA"/>
        </w:rPr>
        <w:t>六、一般公共预算财政拨款基本支出决算情况说明</w:t>
      </w:r>
      <w:r>
        <w:rPr>
          <w:rFonts w:hint="eastAsia" w:ascii="Times New Roman" w:hAnsi="Times New Roman" w:eastAsia="黑体" w:cs="黑体"/>
          <w:color w:val="auto"/>
          <w:sz w:val="32"/>
          <w:szCs w:val="32"/>
          <w:highlight w:val="none"/>
          <w:lang w:val="en-US" w:eastAsia="zh-CN"/>
        </w:rPr>
        <w:t>.......................12</w:t>
      </w:r>
    </w:p>
    <w:p w14:paraId="53E62751">
      <w:pPr>
        <w:pStyle w:val="12"/>
        <w:keepNext w:val="0"/>
        <w:keepLines w:val="0"/>
        <w:pageBreakBefore w:val="0"/>
        <w:widowControl w:val="0"/>
        <w:kinsoku/>
        <w:wordWrap/>
        <w:overflowPunct/>
        <w:topLinePunct w:val="0"/>
        <w:autoSpaceDE/>
        <w:autoSpaceDN/>
        <w:bidi w:val="0"/>
        <w:adjustRightInd w:val="0"/>
        <w:snapToGrid w:val="0"/>
        <w:spacing w:before="0" w:line="560" w:lineRule="exact"/>
        <w:ind w:firstLine="480" w:firstLineChars="200"/>
        <w:jc w:val="left"/>
        <w:textAlignment w:val="auto"/>
        <w:rPr>
          <w:rFonts w:hint="default" w:ascii="Times New Roman" w:hAnsi="Times New Roman" w:eastAsia="黑体" w:cs="黑体"/>
          <w:color w:val="auto"/>
          <w:sz w:val="32"/>
          <w:szCs w:val="32"/>
          <w:highlight w:val="none"/>
          <w:lang w:val="en-US"/>
        </w:rPr>
      </w:pPr>
      <w:r>
        <w:rPr>
          <w:rFonts w:hint="eastAsia" w:ascii="Times New Roman" w:hAnsi="Times New Roman" w:eastAsia="仿宋_GB2312" w:cs="仿宋_GB2312"/>
          <w:color w:val="auto"/>
          <w:kern w:val="2"/>
          <w:sz w:val="24"/>
          <w:szCs w:val="24"/>
          <w:highlight w:val="none"/>
          <w:lang w:val="en-US" w:eastAsia="zh-CN" w:bidi="ar-SA"/>
        </w:rPr>
        <w:t>七、财政拨款“三公”经费支出决算情况说明.</w:t>
      </w:r>
      <w:r>
        <w:rPr>
          <w:rFonts w:hint="eastAsia" w:ascii="Times New Roman" w:hAnsi="Times New Roman" w:eastAsia="黑体" w:cs="黑体"/>
          <w:color w:val="auto"/>
          <w:sz w:val="32"/>
          <w:szCs w:val="32"/>
          <w:highlight w:val="none"/>
          <w:lang w:val="en-US" w:eastAsia="zh-CN"/>
        </w:rPr>
        <w:t>............................12</w:t>
      </w:r>
    </w:p>
    <w:p w14:paraId="6710FF00">
      <w:pPr>
        <w:pStyle w:val="12"/>
        <w:keepNext w:val="0"/>
        <w:keepLines w:val="0"/>
        <w:pageBreakBefore w:val="0"/>
        <w:widowControl w:val="0"/>
        <w:kinsoku/>
        <w:wordWrap/>
        <w:overflowPunct/>
        <w:topLinePunct w:val="0"/>
        <w:autoSpaceDE/>
        <w:autoSpaceDN/>
        <w:bidi w:val="0"/>
        <w:adjustRightInd w:val="0"/>
        <w:snapToGrid w:val="0"/>
        <w:spacing w:before="0" w:line="560" w:lineRule="exact"/>
        <w:ind w:firstLine="480" w:firstLineChars="200"/>
        <w:jc w:val="left"/>
        <w:textAlignment w:val="auto"/>
        <w:rPr>
          <w:rFonts w:hint="default" w:ascii="Times New Roman" w:hAnsi="Times New Roman" w:eastAsia="黑体" w:cs="黑体"/>
          <w:color w:val="auto"/>
          <w:sz w:val="32"/>
          <w:szCs w:val="32"/>
          <w:highlight w:val="none"/>
          <w:lang w:val="en-US"/>
        </w:rPr>
      </w:pPr>
      <w:r>
        <w:rPr>
          <w:rFonts w:hint="eastAsia" w:ascii="Times New Roman" w:hAnsi="Times New Roman" w:eastAsia="仿宋_GB2312" w:cs="仿宋_GB2312"/>
          <w:color w:val="auto"/>
          <w:kern w:val="2"/>
          <w:sz w:val="24"/>
          <w:szCs w:val="24"/>
          <w:highlight w:val="none"/>
          <w:lang w:val="en-US" w:eastAsia="zh-CN" w:bidi="ar-SA"/>
        </w:rPr>
        <w:t>八、政府性基金预算支出决算情况说明</w:t>
      </w:r>
      <w:r>
        <w:rPr>
          <w:rFonts w:hint="eastAsia" w:ascii="Times New Roman" w:hAnsi="Times New Roman" w:eastAsia="黑体" w:cs="黑体"/>
          <w:color w:val="auto"/>
          <w:sz w:val="32"/>
          <w:szCs w:val="32"/>
          <w:highlight w:val="none"/>
          <w:lang w:val="en-US" w:eastAsia="zh-CN"/>
        </w:rPr>
        <w:t>......................................14</w:t>
      </w:r>
    </w:p>
    <w:p w14:paraId="6F961F5E">
      <w:pPr>
        <w:pStyle w:val="12"/>
        <w:keepNext w:val="0"/>
        <w:keepLines w:val="0"/>
        <w:pageBreakBefore w:val="0"/>
        <w:widowControl w:val="0"/>
        <w:kinsoku/>
        <w:wordWrap/>
        <w:overflowPunct/>
        <w:topLinePunct w:val="0"/>
        <w:autoSpaceDE/>
        <w:autoSpaceDN/>
        <w:bidi w:val="0"/>
        <w:adjustRightInd w:val="0"/>
        <w:snapToGrid w:val="0"/>
        <w:spacing w:before="0" w:line="560" w:lineRule="exact"/>
        <w:ind w:firstLine="480" w:firstLineChars="200"/>
        <w:jc w:val="left"/>
        <w:textAlignment w:val="auto"/>
        <w:rPr>
          <w:rFonts w:hint="default" w:ascii="Times New Roman" w:hAnsi="Times New Roman" w:eastAsia="黑体" w:cs="黑体"/>
          <w:color w:val="auto"/>
          <w:sz w:val="32"/>
          <w:szCs w:val="32"/>
          <w:highlight w:val="none"/>
          <w:lang w:val="en-US" w:eastAsia="zh-CN"/>
        </w:rPr>
      </w:pPr>
      <w:r>
        <w:rPr>
          <w:rFonts w:hint="eastAsia" w:ascii="Times New Roman" w:hAnsi="Times New Roman" w:eastAsia="仿宋_GB2312" w:cs="仿宋_GB2312"/>
          <w:color w:val="auto"/>
          <w:kern w:val="2"/>
          <w:sz w:val="24"/>
          <w:szCs w:val="24"/>
          <w:highlight w:val="none"/>
          <w:lang w:val="en-US" w:eastAsia="zh-CN" w:bidi="ar-SA"/>
        </w:rPr>
        <w:t>九、国有资本经营预算支出决算情况说明</w:t>
      </w:r>
      <w:r>
        <w:rPr>
          <w:rFonts w:hint="eastAsia" w:ascii="Times New Roman" w:hAnsi="Times New Roman" w:eastAsia="黑体" w:cs="黑体"/>
          <w:color w:val="auto"/>
          <w:sz w:val="32"/>
          <w:szCs w:val="32"/>
          <w:highlight w:val="none"/>
          <w:lang w:val="en-US" w:eastAsia="zh-CN"/>
        </w:rPr>
        <w:t>...................................14</w:t>
      </w:r>
    </w:p>
    <w:p w14:paraId="2E67C6A9">
      <w:pPr>
        <w:pStyle w:val="12"/>
        <w:keepNext w:val="0"/>
        <w:keepLines w:val="0"/>
        <w:pageBreakBefore w:val="0"/>
        <w:widowControl w:val="0"/>
        <w:kinsoku/>
        <w:wordWrap/>
        <w:overflowPunct/>
        <w:topLinePunct w:val="0"/>
        <w:autoSpaceDE/>
        <w:autoSpaceDN/>
        <w:bidi w:val="0"/>
        <w:adjustRightInd w:val="0"/>
        <w:snapToGrid w:val="0"/>
        <w:spacing w:before="0" w:line="560" w:lineRule="exact"/>
        <w:ind w:firstLine="480" w:firstLineChars="200"/>
        <w:jc w:val="left"/>
        <w:textAlignment w:val="auto"/>
        <w:rPr>
          <w:rFonts w:hint="default" w:ascii="Times New Roman" w:hAnsi="Times New Roman" w:eastAsia="黑体" w:cs="黑体"/>
          <w:color w:val="auto"/>
          <w:sz w:val="32"/>
          <w:szCs w:val="32"/>
          <w:highlight w:val="none"/>
          <w:lang w:val="en-US"/>
        </w:rPr>
      </w:pPr>
      <w:r>
        <w:rPr>
          <w:rFonts w:hint="eastAsia" w:ascii="Times New Roman" w:hAnsi="Times New Roman" w:eastAsia="仿宋_GB2312" w:cs="仿宋_GB2312"/>
          <w:color w:val="auto"/>
          <w:kern w:val="2"/>
          <w:sz w:val="24"/>
          <w:szCs w:val="24"/>
          <w:highlight w:val="none"/>
          <w:lang w:val="en-US" w:eastAsia="zh-CN" w:bidi="ar-SA"/>
        </w:rPr>
        <w:t>十、其他重要事项的情况说明.</w:t>
      </w:r>
      <w:r>
        <w:rPr>
          <w:rFonts w:hint="eastAsia" w:ascii="Times New Roman" w:hAnsi="Times New Roman" w:eastAsia="黑体" w:cs="黑体"/>
          <w:color w:val="auto"/>
          <w:sz w:val="32"/>
          <w:szCs w:val="32"/>
          <w:highlight w:val="none"/>
          <w:lang w:val="en-US" w:eastAsia="zh-CN"/>
        </w:rPr>
        <w:t>.................................................14</w:t>
      </w:r>
    </w:p>
    <w:p w14:paraId="4EA20AF1">
      <w:pPr>
        <w:pStyle w:val="12"/>
        <w:keepNext w:val="0"/>
        <w:keepLines w:val="0"/>
        <w:pageBreakBefore w:val="0"/>
        <w:widowControl w:val="0"/>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黑体" w:cs="黑体"/>
          <w:color w:val="auto"/>
          <w:sz w:val="32"/>
          <w:szCs w:val="32"/>
          <w:highlight w:val="none"/>
          <w:lang w:val="en-US"/>
        </w:rPr>
      </w:pPr>
      <w:r>
        <w:rPr>
          <w:rFonts w:hint="eastAsia" w:ascii="Times New Roman" w:hAnsi="Times New Roman" w:eastAsia="黑体" w:cs="黑体"/>
          <w:color w:val="auto"/>
          <w:sz w:val="32"/>
          <w:szCs w:val="32"/>
          <w:highlight w:val="none"/>
        </w:rPr>
        <w:t>第三部分 名词解释</w:t>
      </w:r>
      <w:r>
        <w:rPr>
          <w:rFonts w:hint="eastAsia" w:ascii="Times New Roman" w:hAnsi="Times New Roman" w:eastAsia="黑体" w:cs="黑体"/>
          <w:color w:val="auto"/>
          <w:sz w:val="32"/>
          <w:szCs w:val="32"/>
          <w:highlight w:val="none"/>
          <w:lang w:val="en-US" w:eastAsia="zh-CN"/>
        </w:rPr>
        <w:t>.............................................................17</w:t>
      </w:r>
    </w:p>
    <w:p w14:paraId="35A14AC2">
      <w:pPr>
        <w:pStyle w:val="12"/>
        <w:keepNext w:val="0"/>
        <w:keepLines w:val="0"/>
        <w:pageBreakBefore w:val="0"/>
        <w:widowControl w:val="0"/>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黑体" w:cs="黑体"/>
          <w:color w:val="auto"/>
          <w:sz w:val="32"/>
          <w:szCs w:val="32"/>
          <w:highlight w:val="none"/>
          <w:lang w:val="en-US"/>
        </w:rPr>
      </w:pPr>
      <w:r>
        <w:rPr>
          <w:rFonts w:hint="eastAsia" w:ascii="Times New Roman" w:hAnsi="Times New Roman" w:eastAsia="黑体" w:cs="黑体"/>
          <w:color w:val="auto"/>
          <w:sz w:val="32"/>
          <w:szCs w:val="32"/>
          <w:highlight w:val="none"/>
        </w:rPr>
        <w:t>第四部分 附件</w:t>
      </w:r>
      <w:r>
        <w:rPr>
          <w:rFonts w:hint="eastAsia" w:ascii="Times New Roman" w:hAnsi="Times New Roman" w:eastAsia="黑体" w:cs="黑体"/>
          <w:color w:val="auto"/>
          <w:sz w:val="32"/>
          <w:szCs w:val="32"/>
          <w:highlight w:val="none"/>
          <w:lang w:val="en-US" w:eastAsia="zh-CN"/>
        </w:rPr>
        <w:t>.....................................................................21</w:t>
      </w:r>
    </w:p>
    <w:p w14:paraId="3942E609">
      <w:pPr>
        <w:pStyle w:val="12"/>
        <w:keepNext w:val="0"/>
        <w:keepLines w:val="0"/>
        <w:pageBreakBefore w:val="0"/>
        <w:widowControl w:val="0"/>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黑体" w:cs="黑体"/>
          <w:color w:val="auto"/>
          <w:sz w:val="32"/>
          <w:szCs w:val="32"/>
          <w:highlight w:val="none"/>
          <w:lang w:val="en-US" w:eastAsia="zh-CN"/>
        </w:rPr>
      </w:pPr>
      <w:r>
        <w:rPr>
          <w:rFonts w:hint="eastAsia" w:ascii="Times New Roman" w:hAnsi="Times New Roman" w:eastAsia="黑体" w:cs="黑体"/>
          <w:color w:val="auto"/>
          <w:sz w:val="32"/>
          <w:szCs w:val="32"/>
          <w:highlight w:val="none"/>
        </w:rPr>
        <w:t>第五部分 附表</w:t>
      </w:r>
      <w:r>
        <w:rPr>
          <w:rFonts w:hint="eastAsia" w:ascii="Times New Roman" w:hAnsi="Times New Roman" w:eastAsia="黑体" w:cs="黑体"/>
          <w:color w:val="auto"/>
          <w:sz w:val="32"/>
          <w:szCs w:val="32"/>
          <w:highlight w:val="none"/>
          <w:lang w:val="en-US" w:eastAsia="zh-CN"/>
        </w:rPr>
        <w:t>.....................................................................42</w:t>
      </w:r>
    </w:p>
    <w:p w14:paraId="596121F5">
      <w:pPr>
        <w:pStyle w:val="12"/>
        <w:keepNext w:val="0"/>
        <w:keepLines w:val="0"/>
        <w:pageBreakBefore w:val="0"/>
        <w:widowControl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p>
    <w:p w14:paraId="24792AA1">
      <w:pPr>
        <w:pStyle w:val="3"/>
        <w:jc w:val="center"/>
        <w:rPr>
          <w:rStyle w:val="34"/>
          <w:rFonts w:hint="eastAsia" w:ascii="Times New Roman" w:hAnsi="Times New Roman" w:eastAsia="方正小标宋简体" w:cs="方正小标宋简体"/>
          <w:b/>
          <w:bCs w:val="0"/>
          <w:color w:val="auto"/>
          <w:highlight w:val="none"/>
        </w:rPr>
      </w:pPr>
      <w:bookmarkStart w:id="7" w:name="_Toc15377196"/>
      <w:bookmarkStart w:id="8" w:name="_Toc15396599"/>
      <w:r>
        <w:rPr>
          <w:rFonts w:hint="eastAsia" w:ascii="Times New Roman" w:hAnsi="Times New Roman" w:eastAsia="方正小标宋简体" w:cs="方正小标宋简体"/>
          <w:b w:val="0"/>
          <w:color w:val="auto"/>
          <w:highlight w:val="none"/>
        </w:rPr>
        <w:t>第一部分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Style w:val="34"/>
          <w:rFonts w:hint="eastAsia" w:ascii="Times New Roman" w:hAnsi="Times New Roman" w:eastAsia="方正小标宋简体" w:cs="方正小标宋简体"/>
          <w:b w:val="0"/>
          <w:bCs w:val="0"/>
          <w:color w:val="auto"/>
          <w:highlight w:val="none"/>
        </w:rPr>
        <w:t>部门概况</w:t>
      </w:r>
      <w:bookmarkEnd w:id="7"/>
      <w:bookmarkEnd w:id="8"/>
    </w:p>
    <w:p w14:paraId="753A16E5">
      <w:pPr>
        <w:widowControl/>
        <w:jc w:val="left"/>
        <w:rPr>
          <w:rFonts w:ascii="Times New Roman" w:hAnsi="Times New Roman" w:eastAsia="黑体"/>
          <w:color w:val="auto"/>
          <w:sz w:val="32"/>
          <w:szCs w:val="32"/>
          <w:highlight w:val="none"/>
        </w:rPr>
      </w:pPr>
    </w:p>
    <w:p w14:paraId="692631E7">
      <w:pPr>
        <w:pStyle w:val="4"/>
        <w:numPr>
          <w:ilvl w:val="0"/>
          <w:numId w:val="1"/>
        </w:numPr>
        <w:rPr>
          <w:rFonts w:hint="eastAsia" w:ascii="Times New Roman" w:hAnsi="Times New Roman" w:eastAsia="黑体"/>
          <w:b w:val="0"/>
          <w:color w:val="auto"/>
          <w:highlight w:val="none"/>
          <w:lang w:eastAsia="zh-CN"/>
        </w:rPr>
      </w:pPr>
      <w:r>
        <w:rPr>
          <w:rFonts w:hint="eastAsia" w:ascii="Times New Roman" w:hAnsi="Times New Roman" w:eastAsia="黑体"/>
          <w:b w:val="0"/>
          <w:color w:val="auto"/>
          <w:highlight w:val="none"/>
          <w:lang w:eastAsia="zh-CN"/>
        </w:rPr>
        <w:t>部门职责</w:t>
      </w:r>
    </w:p>
    <w:p w14:paraId="4CBD8225">
      <w:pPr>
        <w:pStyle w:val="4"/>
        <w:spacing w:before="0" w:after="0" w:line="240" w:lineRule="auto"/>
        <w:ind w:left="642" w:leftChars="153" w:hanging="321" w:hangingChars="100"/>
        <w:rPr>
          <w:rFonts w:ascii="楷体" w:eastAsia="楷体" w:cs="楷体"/>
          <w:color w:val="000000"/>
        </w:rPr>
      </w:pPr>
      <w:bookmarkStart w:id="9" w:name="_Toc31800"/>
      <w:r>
        <w:rPr>
          <w:rFonts w:hint="eastAsia" w:ascii="楷体" w:eastAsia="楷体" w:cs="楷体"/>
          <w:color w:val="000000"/>
        </w:rPr>
        <w:t>（一）主要职能</w:t>
      </w:r>
      <w:bookmarkEnd w:id="9"/>
      <w:bookmarkStart w:id="10" w:name="_Toc15378446"/>
      <w:bookmarkStart w:id="11" w:name="_Toc15377199"/>
    </w:p>
    <w:p w14:paraId="68DA1A15">
      <w:pPr>
        <w:snapToGrid w:val="0"/>
        <w:spacing w:line="360" w:lineRule="auto"/>
        <w:ind w:firstLine="640" w:firstLineChars="200"/>
        <w:outlineLvl w:val="1"/>
        <w:rPr>
          <w:rFonts w:ascii="仿宋_GB2312" w:eastAsia="仿宋_GB2312" w:cs="仿宋_GB2312"/>
          <w:sz w:val="32"/>
          <w:szCs w:val="32"/>
        </w:rPr>
      </w:pPr>
      <w:bookmarkStart w:id="12" w:name="_Toc32413"/>
      <w:r>
        <w:rPr>
          <w:rFonts w:hint="eastAsia" w:ascii="仿宋_GB2312" w:eastAsia="仿宋_GB2312" w:cs="仿宋_GB2312"/>
          <w:sz w:val="32"/>
          <w:szCs w:val="32"/>
        </w:rPr>
        <w:t>贯彻执行党和国家关于预算、税收、行政事业单位国有资产、财务、会计等法律、法规、规章和方针、政策。根据我乡实际，编制中长期财政计划；以邓小平理论、“三个代表”重要思想、科学发展观为指导，紧紧抓住“发展、民生、稳定”三件大事，结合实际，全面深化改革，认真践行群众路线，一心一意谋发展、聚精会神搞建设、千方百计惠民生、同心同德保稳定，面对机遇和挑战，需要我们更加科学地研判形势，找准发展定位，理清工作思路，细化工作措施，以更强的勇气和智慧，牢牢把握发展的主动权，开拓发展的新空间，努力开创</w:t>
      </w:r>
      <w:r>
        <w:rPr>
          <w:rFonts w:hint="eastAsia" w:ascii="仿宋_GB2312" w:eastAsia="仿宋_GB2312" w:cs="仿宋_GB2312"/>
          <w:sz w:val="32"/>
          <w:szCs w:val="32"/>
          <w:lang w:eastAsia="zh-CN"/>
        </w:rPr>
        <w:t>俄热</w:t>
      </w:r>
      <w:r>
        <w:rPr>
          <w:rFonts w:hint="eastAsia" w:ascii="仿宋_GB2312" w:eastAsia="仿宋_GB2312" w:cs="仿宋_GB2312"/>
          <w:sz w:val="32"/>
          <w:szCs w:val="32"/>
        </w:rPr>
        <w:t>发展的新局面。</w:t>
      </w:r>
      <w:bookmarkEnd w:id="12"/>
    </w:p>
    <w:p w14:paraId="25312E12">
      <w:pPr>
        <w:pStyle w:val="4"/>
        <w:spacing w:before="0" w:after="0" w:line="240" w:lineRule="auto"/>
        <w:ind w:firstLine="321" w:firstLineChars="100"/>
        <w:rPr>
          <w:rFonts w:ascii="楷体" w:eastAsia="楷体" w:cs="楷体"/>
          <w:color w:val="000000"/>
        </w:rPr>
      </w:pPr>
      <w:bookmarkStart w:id="13" w:name="_Toc21487"/>
      <w:r>
        <w:rPr>
          <w:rFonts w:hint="eastAsia" w:ascii="楷体" w:eastAsia="楷体" w:cs="楷体"/>
          <w:color w:val="000000"/>
        </w:rPr>
        <w:t>（二）</w:t>
      </w:r>
      <w:r>
        <w:rPr>
          <w:rFonts w:hint="eastAsia" w:ascii="楷体" w:eastAsia="楷体" w:cs="楷体"/>
          <w:color w:val="000000"/>
          <w:lang w:eastAsia="zh-CN"/>
        </w:rPr>
        <w:t>2024</w:t>
      </w:r>
      <w:r>
        <w:rPr>
          <w:rFonts w:hint="eastAsia" w:ascii="楷体" w:eastAsia="楷体" w:cs="楷体"/>
          <w:color w:val="000000"/>
        </w:rPr>
        <w:t>年重点工作完成情况</w:t>
      </w:r>
      <w:bookmarkEnd w:id="10"/>
      <w:bookmarkEnd w:id="11"/>
      <w:bookmarkEnd w:id="13"/>
    </w:p>
    <w:p w14:paraId="21A99501">
      <w:pPr>
        <w:pStyle w:val="19"/>
        <w:shd w:val="clear" w:color="auto" w:fill="FFFFFF"/>
        <w:spacing w:line="560" w:lineRule="exact"/>
        <w:ind w:firstLine="720"/>
        <w:rPr>
          <w:rFonts w:ascii="仿宋_GB2312" w:eastAsia="仿宋_GB2312" w:cs="仿宋_GB2312"/>
          <w:sz w:val="32"/>
          <w:szCs w:val="32"/>
          <w:shd w:val="clear" w:color="auto" w:fill="FFFFFF"/>
        </w:rPr>
      </w:pPr>
      <w:r>
        <w:rPr>
          <w:rFonts w:hint="eastAsia" w:ascii="仿宋_GB2312" w:eastAsia="仿宋_GB2312" w:cs="仿宋_GB2312"/>
          <w:sz w:val="32"/>
          <w:szCs w:val="32"/>
          <w:shd w:val="clear" w:color="auto" w:fill="FFFFFF"/>
          <w:lang w:eastAsia="zh-CN"/>
        </w:rPr>
        <w:t>2024</w:t>
      </w:r>
      <w:r>
        <w:rPr>
          <w:rFonts w:ascii="仿宋_GB2312" w:eastAsia="仿宋_GB2312" w:cs="仿宋_GB2312"/>
          <w:sz w:val="32"/>
          <w:szCs w:val="32"/>
          <w:shd w:val="clear" w:color="auto" w:fill="FFFFFF"/>
        </w:rPr>
        <w:t>年是全乡发展进程中极为困难、充满挑战的一年，也是奋发有为、满载收获的一年。一年来，全乡面临着疫情防控、护林防火、地灾防范等重重困难带来的挑战，始终坚持以习近平新时代中国特色社会主义思想为指引，坚持稳中求进工作总基调,以脱贫攻坚、环境整治、文明创建、党的建设、防汛救灾等重点任务为抓手,重精准、补短板，主动适应社会经济发展新常态,解决了一个又一个发展难题,圆满完成了各项年度目标任务，交出了一份上级认可、社会肯定、群众满意的答卷。</w:t>
      </w:r>
    </w:p>
    <w:p w14:paraId="4ADA3291">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一、在冲击和危机面前，我们逆势求变、稳中求进，保住了势头、促进了发展</w:t>
      </w:r>
    </w:p>
    <w:p w14:paraId="7170554C">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坚奋进之志、谋创业之策”面临具有极强扩散性的新冠肺炎疫情与多点频发的灾情，为确保全乡经济稳步推进，一年来，按照“目标不减、任务不减、严守实效关、把准质量关”的工作宗旨，不等不靠、主动出击，科学谋划发展大局，围绕经济建设、脱贫攻坚、项目投资、水电移民等重大工作因时因地开展复工复产。</w:t>
      </w:r>
    </w:p>
    <w:p w14:paraId="054C4ABB">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奏好“振兴曲”，农业发展纵深延续。自乡村振兴战略实施以来，全乡始终坚持党管农村工作、农业农村优先发展，坚持农民主体地位、因地制宜的工作原则，全力推进</w:t>
      </w:r>
      <w:r>
        <w:rPr>
          <w:rFonts w:hint="eastAsia" w:ascii="仿宋_GB2312" w:eastAsia="仿宋_GB2312" w:cs="仿宋_GB2312"/>
          <w:sz w:val="32"/>
          <w:szCs w:val="32"/>
          <w:lang w:eastAsia="zh-CN"/>
        </w:rPr>
        <w:t>俄热</w:t>
      </w:r>
      <w:r>
        <w:rPr>
          <w:rFonts w:hint="eastAsia" w:ascii="仿宋_GB2312" w:eastAsia="仿宋_GB2312" w:cs="仿宋_GB2312"/>
          <w:sz w:val="32"/>
          <w:szCs w:val="32"/>
        </w:rPr>
        <w:t>乡“面子”、“里子”工程的大提升。以产业振兴为支撑，壮大乡域经济。全面启动阶段性防疫工作，加强动物检疫，强化蹄疫、猪瘟、包虫病等疫病的接诊防治。自厕所改革启动实施以来，各村严格按照改厕标准进行实施。</w:t>
      </w:r>
    </w:p>
    <w:p w14:paraId="2EF59FB7">
      <w:pPr>
        <w:numPr>
          <w:ilvl w:val="0"/>
          <w:numId w:val="0"/>
        </w:numPr>
        <w:rPr>
          <w:rFonts w:hint="eastAsia"/>
          <w:lang w:eastAsia="zh-CN"/>
        </w:rPr>
      </w:pPr>
    </w:p>
    <w:p w14:paraId="5EAE7B28">
      <w:pPr>
        <w:pStyle w:val="4"/>
        <w:rPr>
          <w:rStyle w:val="35"/>
          <w:rFonts w:ascii="Times New Roman" w:hAnsi="Times New Roman"/>
          <w:b w:val="0"/>
          <w:bCs w:val="0"/>
          <w:color w:val="auto"/>
          <w:highlight w:val="none"/>
        </w:rPr>
      </w:pPr>
      <w:bookmarkStart w:id="14" w:name="_Toc15377200"/>
      <w:bookmarkStart w:id="15" w:name="_Toc15396601"/>
      <w:r>
        <w:rPr>
          <w:rFonts w:hint="eastAsia" w:ascii="Times New Roman" w:hAnsi="Times New Roman" w:eastAsia="黑体"/>
          <w:b w:val="0"/>
          <w:color w:val="auto"/>
          <w:highlight w:val="none"/>
        </w:rPr>
        <w:t>二、机</w:t>
      </w:r>
      <w:r>
        <w:rPr>
          <w:rStyle w:val="35"/>
          <w:rFonts w:hint="eastAsia" w:ascii="Times New Roman" w:hAnsi="Times New Roman" w:eastAsia="黑体"/>
          <w:b w:val="0"/>
          <w:bCs w:val="0"/>
          <w:color w:val="auto"/>
          <w:highlight w:val="none"/>
        </w:rPr>
        <w:t>构设置</w:t>
      </w:r>
      <w:bookmarkEnd w:id="14"/>
      <w:bookmarkEnd w:id="15"/>
    </w:p>
    <w:p w14:paraId="43222B84">
      <w:pPr>
        <w:ind w:firstLine="800" w:firstLineChars="250"/>
        <w:rPr>
          <w:rFonts w:hint="eastAsia" w:ascii="Times New Roman" w:hAnsi="Times New Roman"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金川县俄热乡人民政府</w:t>
      </w:r>
      <w:r>
        <w:rPr>
          <w:rFonts w:hint="eastAsia" w:ascii="Times New Roman" w:hAnsi="Times New Roman" w:eastAsia="仿宋_GB2312" w:cs="仿宋_GB2312"/>
          <w:color w:val="auto"/>
          <w:sz w:val="32"/>
          <w:szCs w:val="32"/>
          <w:highlight w:val="none"/>
        </w:rPr>
        <w:t>下属二级</w:t>
      </w:r>
      <w:r>
        <w:rPr>
          <w:rFonts w:hint="eastAsia" w:ascii="Times New Roman" w:hAnsi="Times New Roman" w:eastAsia="仿宋_GB2312" w:cs="仿宋_GB2312"/>
          <w:color w:val="auto"/>
          <w:sz w:val="32"/>
          <w:szCs w:val="32"/>
          <w:highlight w:val="none"/>
          <w:lang w:eastAsia="zh-CN"/>
        </w:rPr>
        <w:t>预算</w:t>
      </w:r>
      <w:r>
        <w:rPr>
          <w:rFonts w:hint="eastAsia" w:ascii="Times New Roman" w:hAnsi="Times New Roman" w:eastAsia="仿宋_GB2312" w:cs="仿宋_GB2312"/>
          <w:color w:val="auto"/>
          <w:sz w:val="32"/>
          <w:szCs w:val="32"/>
          <w:highlight w:val="none"/>
        </w:rPr>
        <w:t>单位</w:t>
      </w:r>
      <w:r>
        <w:rPr>
          <w:rFonts w:hint="eastAsia" w:eastAsia="仿宋_GB2312" w:cs="仿宋_GB2312"/>
          <w:color w:val="auto"/>
          <w:sz w:val="32"/>
          <w:szCs w:val="32"/>
          <w:highlight w:val="none"/>
          <w:lang w:val="en-US" w:eastAsia="zh-CN"/>
        </w:rPr>
        <w:t>4</w:t>
      </w:r>
      <w:r>
        <w:rPr>
          <w:rFonts w:hint="eastAsia" w:ascii="Times New Roman" w:hAnsi="Times New Roman" w:eastAsia="仿宋_GB2312" w:cs="仿宋_GB2312"/>
          <w:color w:val="auto"/>
          <w:sz w:val="32"/>
          <w:szCs w:val="32"/>
          <w:highlight w:val="none"/>
        </w:rPr>
        <w:t>个，其中行政单位</w:t>
      </w:r>
      <w:r>
        <w:rPr>
          <w:rFonts w:hint="eastAsia" w:eastAsia="仿宋_GB2312" w:cs="仿宋_GB2312"/>
          <w:color w:val="auto"/>
          <w:sz w:val="32"/>
          <w:szCs w:val="32"/>
          <w:highlight w:val="none"/>
          <w:lang w:val="en-US" w:eastAsia="zh-CN"/>
        </w:rPr>
        <w:t>3</w:t>
      </w:r>
      <w:r>
        <w:rPr>
          <w:rFonts w:hint="eastAsia" w:ascii="Times New Roman" w:hAnsi="Times New Roman" w:eastAsia="仿宋_GB2312" w:cs="仿宋_GB2312"/>
          <w:color w:val="auto"/>
          <w:sz w:val="32"/>
          <w:szCs w:val="32"/>
          <w:highlight w:val="none"/>
        </w:rPr>
        <w:t>个，参照公务员法管理的事业单位</w:t>
      </w:r>
      <w:r>
        <w:rPr>
          <w:rFonts w:hint="eastAsia" w:eastAsia="仿宋_GB2312" w:cs="仿宋_GB2312"/>
          <w:bCs/>
          <w:color w:val="auto"/>
          <w:sz w:val="32"/>
          <w:szCs w:val="32"/>
          <w:highlight w:val="none"/>
          <w:lang w:val="en-US" w:eastAsia="zh-CN"/>
        </w:rPr>
        <w:t>0</w:t>
      </w:r>
      <w:r>
        <w:rPr>
          <w:rFonts w:hint="eastAsia" w:ascii="Times New Roman" w:hAnsi="Times New Roman" w:eastAsia="仿宋_GB2312" w:cs="仿宋_GB2312"/>
          <w:color w:val="auto"/>
          <w:sz w:val="32"/>
          <w:szCs w:val="32"/>
          <w:highlight w:val="none"/>
        </w:rPr>
        <w:t>个，其他事业单位</w:t>
      </w:r>
      <w:r>
        <w:rPr>
          <w:rFonts w:hint="eastAsia" w:eastAsia="仿宋_GB2312" w:cs="仿宋_GB2312"/>
          <w:color w:val="auto"/>
          <w:sz w:val="32"/>
          <w:szCs w:val="32"/>
          <w:highlight w:val="none"/>
          <w:lang w:val="en-US" w:eastAsia="zh-CN"/>
        </w:rPr>
        <w:t>1</w:t>
      </w:r>
      <w:r>
        <w:rPr>
          <w:rFonts w:hint="eastAsia" w:ascii="Times New Roman" w:hAnsi="Times New Roman" w:eastAsia="仿宋_GB2312" w:cs="仿宋_GB2312"/>
          <w:color w:val="auto"/>
          <w:sz w:val="32"/>
          <w:szCs w:val="32"/>
          <w:highlight w:val="none"/>
        </w:rPr>
        <w:t>个。</w:t>
      </w:r>
    </w:p>
    <w:p w14:paraId="6D3E35C3">
      <w:pPr>
        <w:pStyle w:val="6"/>
        <w:adjustRightInd w:val="0"/>
        <w:snapToGrid w:val="0"/>
        <w:spacing w:before="93" w:line="600" w:lineRule="exact"/>
        <w:ind w:firstLine="672" w:firstLineChars="210"/>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纳入</w:t>
      </w:r>
      <w:r>
        <w:rPr>
          <w:sz w:val="32"/>
          <w:szCs w:val="32"/>
        </w:rPr>
        <w:t>金川县俄热乡人民政府</w:t>
      </w:r>
      <w:r>
        <w:rPr>
          <w:rFonts w:hint="eastAsia" w:ascii="Times New Roman" w:hAnsi="Times New Roman" w:eastAsia="仿宋_GB2312" w:cs="仿宋_GB2312"/>
          <w:color w:val="auto"/>
          <w:sz w:val="32"/>
          <w:szCs w:val="32"/>
          <w:highlight w:val="none"/>
          <w:lang w:eastAsia="zh-CN"/>
        </w:rPr>
        <w:t>2024年度</w:t>
      </w:r>
      <w:r>
        <w:rPr>
          <w:rFonts w:hint="eastAsia" w:ascii="Times New Roman" w:hAnsi="Times New Roman" w:eastAsia="仿宋_GB2312" w:cs="仿宋_GB2312"/>
          <w:color w:val="auto"/>
          <w:sz w:val="32"/>
          <w:szCs w:val="32"/>
          <w:highlight w:val="none"/>
        </w:rPr>
        <w:t>部门决算编制范围的二级预算单位包括：</w:t>
      </w:r>
    </w:p>
    <w:p w14:paraId="405E8545">
      <w:pPr>
        <w:pStyle w:val="6"/>
        <w:numPr>
          <w:ilvl w:val="0"/>
          <w:numId w:val="2"/>
        </w:numPr>
        <w:adjustRightInd w:val="0"/>
        <w:snapToGrid w:val="0"/>
        <w:spacing w:before="93" w:line="600" w:lineRule="exact"/>
        <w:outlineLvl w:val="2"/>
        <w:rPr>
          <w:rFonts w:hint="eastAsia" w:ascii="Times New Roman" w:hAnsi="Times New Roman" w:eastAsia="仿宋_GB2312" w:cs="仿宋_GB2312"/>
          <w:color w:val="auto"/>
          <w:sz w:val="32"/>
          <w:szCs w:val="32"/>
          <w:highlight w:val="none"/>
        </w:rPr>
      </w:pPr>
      <w:r>
        <w:rPr>
          <w:rFonts w:hint="eastAsia" w:ascii="Times New Roman" w:cs="仿宋_GB2312"/>
          <w:color w:val="auto"/>
          <w:sz w:val="32"/>
          <w:szCs w:val="32"/>
          <w:highlight w:val="none"/>
          <w:lang w:val="en-US" w:eastAsia="zh-CN"/>
        </w:rPr>
        <w:t>金川县俄热乡人民政府办公室</w:t>
      </w:r>
    </w:p>
    <w:p w14:paraId="1EF5FC68">
      <w:pPr>
        <w:pStyle w:val="6"/>
        <w:numPr>
          <w:ilvl w:val="0"/>
          <w:numId w:val="2"/>
        </w:numPr>
        <w:adjustRightInd w:val="0"/>
        <w:snapToGrid w:val="0"/>
        <w:spacing w:before="93" w:line="600" w:lineRule="exact"/>
        <w:outlineLvl w:val="2"/>
        <w:rPr>
          <w:rFonts w:hint="eastAsia" w:ascii="Times New Roman" w:hAnsi="Times New Roman" w:eastAsia="仿宋_GB2312" w:cs="仿宋_GB2312"/>
          <w:color w:val="auto"/>
          <w:sz w:val="32"/>
          <w:szCs w:val="32"/>
          <w:highlight w:val="none"/>
        </w:rPr>
      </w:pPr>
      <w:r>
        <w:rPr>
          <w:rFonts w:hint="eastAsia" w:ascii="Times New Roman" w:cs="仿宋_GB2312"/>
          <w:color w:val="auto"/>
          <w:sz w:val="32"/>
          <w:szCs w:val="32"/>
          <w:highlight w:val="none"/>
          <w:lang w:val="en-US" w:eastAsia="zh-CN"/>
        </w:rPr>
        <w:t>金川县俄热乡党委办公室</w:t>
      </w:r>
    </w:p>
    <w:p w14:paraId="0B428B57">
      <w:pPr>
        <w:pStyle w:val="6"/>
        <w:numPr>
          <w:ilvl w:val="0"/>
          <w:numId w:val="2"/>
        </w:numPr>
        <w:adjustRightInd w:val="0"/>
        <w:snapToGrid w:val="0"/>
        <w:spacing w:before="93" w:line="600" w:lineRule="exact"/>
        <w:outlineLvl w:val="2"/>
        <w:rPr>
          <w:rFonts w:hint="eastAsia" w:ascii="Times New Roman" w:hAnsi="Times New Roman" w:eastAsia="仿宋_GB2312" w:cs="仿宋_GB2312"/>
          <w:color w:val="auto"/>
          <w:sz w:val="32"/>
          <w:szCs w:val="32"/>
          <w:highlight w:val="none"/>
        </w:rPr>
      </w:pPr>
      <w:r>
        <w:rPr>
          <w:rFonts w:hint="eastAsia" w:ascii="Times New Roman" w:cs="仿宋_GB2312"/>
          <w:color w:val="auto"/>
          <w:sz w:val="32"/>
          <w:szCs w:val="32"/>
          <w:highlight w:val="none"/>
          <w:lang w:val="en-US" w:eastAsia="zh-CN"/>
        </w:rPr>
        <w:t>金川县俄热乡人大办公室</w:t>
      </w:r>
    </w:p>
    <w:p w14:paraId="57AA6AF4">
      <w:pPr>
        <w:pStyle w:val="6"/>
        <w:numPr>
          <w:ilvl w:val="0"/>
          <w:numId w:val="2"/>
        </w:numPr>
        <w:adjustRightInd w:val="0"/>
        <w:snapToGrid w:val="0"/>
        <w:spacing w:before="93" w:line="600" w:lineRule="exact"/>
        <w:outlineLvl w:val="2"/>
        <w:rPr>
          <w:rFonts w:hint="eastAsia" w:ascii="Times New Roman" w:hAnsi="Times New Roman" w:eastAsia="仿宋_GB2312" w:cs="仿宋_GB2312"/>
          <w:color w:val="auto"/>
          <w:sz w:val="32"/>
          <w:szCs w:val="32"/>
          <w:highlight w:val="none"/>
        </w:rPr>
      </w:pPr>
      <w:r>
        <w:rPr>
          <w:rFonts w:hint="eastAsia" w:ascii="Times New Roman" w:cs="仿宋_GB2312"/>
          <w:color w:val="auto"/>
          <w:sz w:val="32"/>
          <w:szCs w:val="32"/>
          <w:highlight w:val="none"/>
          <w:lang w:val="en-US" w:eastAsia="zh-CN"/>
        </w:rPr>
        <w:t>金川县俄热乡综合服务中心</w:t>
      </w:r>
    </w:p>
    <w:p w14:paraId="6F719C67">
      <w:pPr>
        <w:widowControl/>
        <w:jc w:val="left"/>
        <w:rPr>
          <w:rFonts w:ascii="Times New Roman" w:hAnsi="Times New Roman" w:eastAsia="仿宋"/>
          <w:color w:val="auto"/>
          <w:kern w:val="0"/>
          <w:sz w:val="32"/>
          <w:szCs w:val="32"/>
          <w:highlight w:val="none"/>
        </w:rPr>
      </w:pPr>
      <w:r>
        <w:rPr>
          <w:rFonts w:ascii="Times New Roman" w:hAnsi="Times New Roman" w:eastAsia="仿宋"/>
          <w:color w:val="auto"/>
          <w:sz w:val="32"/>
          <w:szCs w:val="32"/>
          <w:highlight w:val="none"/>
        </w:rPr>
        <w:br w:type="page"/>
      </w:r>
    </w:p>
    <w:p w14:paraId="423F4A74">
      <w:pPr>
        <w:pStyle w:val="3"/>
        <w:jc w:val="center"/>
        <w:rPr>
          <w:rFonts w:hint="eastAsia" w:ascii="Times New Roman" w:hAnsi="Times New Roman" w:eastAsia="方正小标宋简体" w:cs="方正小标宋简体"/>
          <w:b w:val="0"/>
          <w:color w:val="auto"/>
          <w:highlight w:val="none"/>
        </w:rPr>
      </w:pPr>
      <w:bookmarkStart w:id="16" w:name="_Toc15377204"/>
      <w:bookmarkStart w:id="17" w:name="_Toc15396602"/>
      <w:r>
        <w:rPr>
          <w:rFonts w:hint="eastAsia" w:ascii="Times New Roman" w:hAnsi="Times New Roman" w:eastAsia="方正小标宋简体" w:cs="方正小标宋简体"/>
          <w:b w:val="0"/>
          <w:color w:val="auto"/>
          <w:highlight w:val="none"/>
        </w:rPr>
        <w:t>第二部分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Fonts w:hint="eastAsia" w:ascii="Times New Roman" w:hAnsi="Times New Roman" w:eastAsia="方正小标宋简体" w:cs="方正小标宋简体"/>
          <w:b w:val="0"/>
          <w:color w:val="auto"/>
          <w:highlight w:val="none"/>
          <w:lang w:val="en-US" w:eastAsia="zh-CN"/>
        </w:rPr>
        <w:t>2024年度</w:t>
      </w:r>
      <w:r>
        <w:rPr>
          <w:rFonts w:hint="eastAsia" w:ascii="Times New Roman" w:hAnsi="Times New Roman" w:eastAsia="方正小标宋简体" w:cs="方正小标宋简体"/>
          <w:b w:val="0"/>
          <w:color w:val="auto"/>
          <w:highlight w:val="none"/>
        </w:rPr>
        <w:t>部门决算情况说明</w:t>
      </w:r>
      <w:bookmarkEnd w:id="16"/>
      <w:bookmarkEnd w:id="17"/>
    </w:p>
    <w:p w14:paraId="6AF4AA72">
      <w:pPr>
        <w:rPr>
          <w:rFonts w:ascii="Times New Roman" w:hAnsi="Times New Roman"/>
          <w:color w:val="auto"/>
          <w:highlight w:val="none"/>
        </w:rPr>
      </w:pPr>
    </w:p>
    <w:p w14:paraId="5BF20BFB">
      <w:pPr>
        <w:pStyle w:val="33"/>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35"/>
          <w:rFonts w:hint="eastAsia" w:ascii="Times New Roman" w:hAnsi="Times New Roman" w:eastAsia="黑体"/>
          <w:b w:val="0"/>
          <w:color w:val="auto"/>
          <w:highlight w:val="none"/>
        </w:rPr>
      </w:pPr>
      <w:bookmarkStart w:id="18" w:name="_Toc15377205"/>
      <w:bookmarkStart w:id="19" w:name="_Toc15396603"/>
      <w:r>
        <w:rPr>
          <w:rFonts w:hint="eastAsia" w:ascii="Times New Roman" w:hAnsi="Times New Roman" w:eastAsia="黑体"/>
          <w:color w:val="auto"/>
          <w:sz w:val="32"/>
          <w:szCs w:val="32"/>
          <w:highlight w:val="none"/>
          <w:lang w:eastAsia="zh-CN"/>
        </w:rPr>
        <w:t>一、</w:t>
      </w:r>
      <w:r>
        <w:rPr>
          <w:rFonts w:hint="eastAsia" w:ascii="Times New Roman" w:hAnsi="Times New Roman" w:eastAsia="黑体"/>
          <w:color w:val="auto"/>
          <w:sz w:val="32"/>
          <w:szCs w:val="32"/>
          <w:highlight w:val="none"/>
        </w:rPr>
        <w:t>收</w:t>
      </w:r>
      <w:r>
        <w:rPr>
          <w:rStyle w:val="35"/>
          <w:rFonts w:hint="eastAsia" w:ascii="Times New Roman" w:hAnsi="Times New Roman" w:eastAsia="黑体"/>
          <w:b w:val="0"/>
          <w:color w:val="auto"/>
          <w:highlight w:val="none"/>
        </w:rPr>
        <w:t>入支出决算总体情况说明</w:t>
      </w:r>
      <w:bookmarkEnd w:id="18"/>
      <w:bookmarkEnd w:id="19"/>
    </w:p>
    <w:p w14:paraId="2D09EAFD">
      <w:pPr>
        <w:pStyle w:val="33"/>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2024年度收入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总计</w:t>
      </w:r>
      <w:r>
        <w:rPr>
          <w:rFonts w:hint="eastAsia" w:ascii="Times New Roman" w:hAnsi="Times New Roman" w:eastAsia="仿宋_GB2312" w:cs="仿宋_GB2312"/>
          <w:color w:val="auto"/>
          <w:sz w:val="32"/>
          <w:szCs w:val="32"/>
          <w:highlight w:val="none"/>
          <w:lang w:eastAsia="zh-CN"/>
        </w:rPr>
        <w:t>均为</w:t>
      </w:r>
      <w:r>
        <w:rPr>
          <w:rFonts w:hint="eastAsia" w:ascii="仿宋_GB2312" w:hAnsi="仿宋_GB2312" w:eastAsia="仿宋_GB2312" w:cs="仿宋_GB2312"/>
          <w:sz w:val="32"/>
          <w:szCs w:val="32"/>
        </w:rPr>
        <w:t>1029.08</w:t>
      </w:r>
      <w:r>
        <w:rPr>
          <w:rFonts w:hint="eastAsia" w:ascii="Times New Roman" w:hAnsi="Times New Roman" w:eastAsia="仿宋_GB2312" w:cs="仿宋_GB2312"/>
          <w:color w:val="auto"/>
          <w:sz w:val="32"/>
          <w:szCs w:val="32"/>
          <w:highlight w:val="none"/>
        </w:rPr>
        <w:t>万元。与</w:t>
      </w:r>
      <w:r>
        <w:rPr>
          <w:rFonts w:hint="eastAsia" w:ascii="Times New Roman" w:hAnsi="Times New Roman" w:eastAsia="仿宋_GB2312" w:cs="仿宋_GB2312"/>
          <w:color w:val="auto"/>
          <w:sz w:val="32"/>
          <w:szCs w:val="32"/>
          <w:highlight w:val="none"/>
          <w:lang w:eastAsia="zh-CN"/>
        </w:rPr>
        <w:t>202</w:t>
      </w:r>
      <w:r>
        <w:rPr>
          <w:rFonts w:hint="eastAsia" w:ascii="Times New Roman" w:hAnsi="Times New Roman" w:eastAsia="仿宋_GB2312" w:cs="仿宋_GB2312"/>
          <w:color w:val="auto"/>
          <w:sz w:val="32"/>
          <w:szCs w:val="32"/>
          <w:highlight w:val="none"/>
          <w:lang w:val="en-US" w:eastAsia="zh-CN"/>
        </w:rPr>
        <w:t>3</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eastAsia="zh-CN"/>
        </w:rPr>
        <w:t>度</w:t>
      </w:r>
      <w:r>
        <w:rPr>
          <w:rFonts w:hint="eastAsia" w:ascii="Times New Roman" w:hAnsi="Times New Roman" w:eastAsia="仿宋_GB2312" w:cs="仿宋_GB2312"/>
          <w:color w:val="auto"/>
          <w:sz w:val="32"/>
          <w:szCs w:val="32"/>
          <w:highlight w:val="none"/>
        </w:rPr>
        <w:t>相比，</w:t>
      </w:r>
      <w:r>
        <w:rPr>
          <w:rFonts w:hint="eastAsia" w:ascii="Times New Roman" w:hAnsi="Times New Roman" w:eastAsia="仿宋_GB2312" w:cs="仿宋_GB2312"/>
          <w:color w:val="auto"/>
          <w:sz w:val="32"/>
          <w:szCs w:val="32"/>
          <w:highlight w:val="none"/>
          <w:lang w:eastAsia="zh-CN"/>
        </w:rPr>
        <w:t>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总计各</w:t>
      </w:r>
      <w:r>
        <w:rPr>
          <w:rFonts w:hint="eastAsia" w:ascii="仿宋_GB2312" w:eastAsia="仿宋_GB2312"/>
          <w:color w:val="000000"/>
          <w:spacing w:val="-2"/>
          <w:sz w:val="32"/>
          <w:szCs w:val="32"/>
          <w:lang w:val="en-US" w:eastAsia="zh-CN"/>
        </w:rPr>
        <w:t>减少188.17</w:t>
      </w:r>
      <w:r>
        <w:rPr>
          <w:rFonts w:hint="eastAsia" w:ascii="仿宋_GB2312" w:eastAsia="仿宋_GB2312"/>
          <w:color w:val="000000"/>
          <w:spacing w:val="-2"/>
          <w:sz w:val="32"/>
          <w:szCs w:val="32"/>
        </w:rPr>
        <w:t>万元</w:t>
      </w:r>
      <w:r>
        <w:rPr>
          <w:rFonts w:hint="eastAsia" w:ascii="Times New Roman" w:hAnsi="Times New Roman" w:eastAsia="仿宋_GB2312" w:cs="仿宋_GB2312"/>
          <w:color w:val="auto"/>
          <w:sz w:val="32"/>
          <w:szCs w:val="32"/>
          <w:highlight w:val="none"/>
        </w:rPr>
        <w:t>，下降</w:t>
      </w:r>
      <w:r>
        <w:rPr>
          <w:rFonts w:hint="eastAsia" w:ascii="仿宋_GB2312" w:eastAsia="仿宋_GB2312"/>
          <w:color w:val="000000"/>
          <w:spacing w:val="-2"/>
          <w:sz w:val="32"/>
          <w:szCs w:val="32"/>
          <w:lang w:val="en-US" w:eastAsia="zh-CN"/>
        </w:rPr>
        <w:t>15.46</w:t>
      </w:r>
      <w:r>
        <w:rPr>
          <w:rFonts w:hint="eastAsia" w:ascii="仿宋_GB2312" w:eastAsia="仿宋_GB2312"/>
          <w:color w:val="000000"/>
          <w:spacing w:val="-2"/>
          <w:sz w:val="32"/>
          <w:szCs w:val="32"/>
        </w:rPr>
        <w:t>%</w:t>
      </w:r>
      <w:r>
        <w:rPr>
          <w:rFonts w:hint="eastAsia" w:ascii="Times New Roman" w:hAnsi="Times New Roman" w:eastAsia="仿宋_GB2312" w:cs="仿宋_GB2312"/>
          <w:color w:val="auto"/>
          <w:sz w:val="32"/>
          <w:szCs w:val="32"/>
          <w:highlight w:val="none"/>
        </w:rPr>
        <w:t>。主要变动原因是</w:t>
      </w:r>
      <w:r>
        <w:rPr>
          <w:rFonts w:hint="eastAsia" w:ascii="仿宋_GB2312" w:eastAsia="仿宋_GB2312"/>
          <w:spacing w:val="-2"/>
          <w:sz w:val="32"/>
          <w:szCs w:val="32"/>
          <w:lang w:val="en-US" w:eastAsia="zh-CN"/>
        </w:rPr>
        <w:t>项目比上年减少。</w:t>
      </w:r>
    </w:p>
    <w:p w14:paraId="6135ACC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rPr>
      </w:pPr>
      <w:r>
        <w:rPr>
          <w:rFonts w:hint="eastAsia" w:ascii="黑体" w:eastAsia="黑体"/>
          <w:color w:val="000000"/>
          <w:sz w:val="32"/>
          <w:szCs w:val="32"/>
        </w:rPr>
        <w:drawing>
          <wp:anchor distT="0" distB="0" distL="114300" distR="114300" simplePos="0" relativeHeight="251660288" behindDoc="0" locked="0" layoutInCell="1" allowOverlap="1">
            <wp:simplePos x="0" y="0"/>
            <wp:positionH relativeFrom="column">
              <wp:posOffset>313690</wp:posOffset>
            </wp:positionH>
            <wp:positionV relativeFrom="paragraph">
              <wp:posOffset>274320</wp:posOffset>
            </wp:positionV>
            <wp:extent cx="5080000" cy="2582545"/>
            <wp:effectExtent l="4445" t="4445" r="5715" b="19050"/>
            <wp:wrapTopAndBottom/>
            <wp:docPr id="1"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14:paraId="43AEF489">
      <w:pPr>
        <w:pStyle w:val="33"/>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黑体"/>
          <w:color w:val="auto"/>
          <w:sz w:val="32"/>
          <w:szCs w:val="32"/>
          <w:highlight w:val="none"/>
          <w:lang w:eastAsia="zh-CN"/>
        </w:rPr>
      </w:pPr>
      <w:bookmarkStart w:id="20" w:name="_Toc15396604"/>
      <w:bookmarkStart w:id="21" w:name="_Toc15377206"/>
    </w:p>
    <w:p w14:paraId="0F80F4DC">
      <w:pPr>
        <w:pStyle w:val="33"/>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黑体"/>
          <w:color w:val="auto"/>
          <w:sz w:val="32"/>
          <w:szCs w:val="32"/>
          <w:highlight w:val="none"/>
          <w:lang w:eastAsia="zh-CN"/>
        </w:rPr>
      </w:pPr>
      <w:r>
        <w:rPr>
          <w:rFonts w:hint="eastAsia" w:ascii="Times New Roman" w:hAnsi="Times New Roman" w:eastAsia="黑体"/>
          <w:color w:val="auto"/>
          <w:sz w:val="32"/>
          <w:szCs w:val="32"/>
          <w:highlight w:val="none"/>
          <w:lang w:eastAsia="zh-CN"/>
        </w:rPr>
        <w:t>二、收入决算情况说明</w:t>
      </w:r>
      <w:bookmarkEnd w:id="20"/>
      <w:bookmarkEnd w:id="21"/>
    </w:p>
    <w:p w14:paraId="263024AF">
      <w:pPr>
        <w:pStyle w:val="33"/>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1"/>
        <w:rPr>
          <w:rFonts w:hint="eastAsia" w:ascii="Times New Roman" w:hAnsi="Times New Roman" w:eastAsia="仿宋_GB2312" w:cs="仿宋_GB2312"/>
          <w:b/>
          <w:bCs/>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2024年度本年收入合计</w:t>
      </w:r>
      <w:r>
        <w:rPr>
          <w:rFonts w:hint="eastAsia" w:ascii="仿宋_GB2312" w:hAnsi="仿宋_GB2312" w:eastAsia="仿宋_GB2312" w:cs="仿宋_GB2312"/>
          <w:sz w:val="32"/>
          <w:szCs w:val="32"/>
        </w:rPr>
        <w:t>1029.08万元，其中：一般公共预算财政拨款收入1029.08</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sz w:val="32"/>
          <w:szCs w:val="32"/>
          <w:highlight w:val="none"/>
          <w:lang w:eastAsia="zh-CN"/>
        </w:rPr>
        <w:t>%；政府性基金预算财政拨款收入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%；国有资本经营预算财政拨款收入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%；上级补助收入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%；事业收入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%；经营收入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%；附属单位上缴收入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%；其他收入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w:t>
      </w:r>
      <w:r>
        <w:rPr>
          <w:rFonts w:hint="eastAsia" w:ascii="Times New Roman" w:hAnsi="Times New Roman" w:eastAsia="仿宋_GB2312" w:cs="仿宋_GB2312"/>
          <w:b/>
          <w:bCs/>
          <w:color w:val="auto"/>
          <w:sz w:val="32"/>
          <w:szCs w:val="32"/>
          <w:highlight w:val="none"/>
          <w:lang w:eastAsia="zh-CN"/>
        </w:rPr>
        <w:t>（注：仅罗列本部门涉及的收入）</w:t>
      </w:r>
    </w:p>
    <w:p w14:paraId="631BE1A0">
      <w:pPr>
        <w:pStyle w:val="24"/>
        <w:ind w:left="0" w:leftChars="0" w:firstLine="0" w:firstLineChars="0"/>
        <w:rPr>
          <w:rFonts w:hint="eastAsia"/>
          <w:lang w:eastAsia="zh-CN"/>
        </w:rPr>
      </w:pPr>
      <w:r>
        <w:rPr>
          <w:rFonts w:hint="eastAsia" w:ascii="黑体" w:eastAsia="黑体"/>
          <w:color w:val="000000"/>
          <w:sz w:val="32"/>
          <w:szCs w:val="32"/>
        </w:rPr>
        <w:drawing>
          <wp:anchor distT="0" distB="0" distL="114300" distR="114300" simplePos="0" relativeHeight="251661312" behindDoc="0" locked="0" layoutInCell="1" allowOverlap="1">
            <wp:simplePos x="0" y="0"/>
            <wp:positionH relativeFrom="column">
              <wp:posOffset>-131445</wp:posOffset>
            </wp:positionH>
            <wp:positionV relativeFrom="paragraph">
              <wp:posOffset>-619125</wp:posOffset>
            </wp:positionV>
            <wp:extent cx="5373370" cy="2648585"/>
            <wp:effectExtent l="4445" t="4445" r="17145" b="13970"/>
            <wp:wrapTopAndBottom/>
            <wp:docPr id="2"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14:paraId="05277550">
      <w:pPr>
        <w:pStyle w:val="33"/>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35"/>
          <w:rFonts w:hint="eastAsia" w:ascii="Times New Roman" w:hAnsi="Times New Roman" w:eastAsia="黑体"/>
          <w:b w:val="0"/>
          <w:color w:val="auto"/>
          <w:highlight w:val="none"/>
        </w:rPr>
      </w:pPr>
      <w:bookmarkStart w:id="22" w:name="_Toc15377207"/>
      <w:bookmarkStart w:id="23" w:name="_Toc15396605"/>
      <w:r>
        <w:rPr>
          <w:rFonts w:hint="eastAsia" w:ascii="Times New Roman" w:hAnsi="Times New Roman" w:eastAsia="黑体"/>
          <w:color w:val="auto"/>
          <w:sz w:val="32"/>
          <w:szCs w:val="32"/>
          <w:highlight w:val="none"/>
          <w:lang w:eastAsia="zh-CN"/>
        </w:rPr>
        <w:t>三、</w:t>
      </w:r>
      <w:r>
        <w:rPr>
          <w:rFonts w:hint="eastAsia" w:ascii="Times New Roman" w:hAnsi="Times New Roman" w:eastAsia="黑体"/>
          <w:color w:val="auto"/>
          <w:sz w:val="32"/>
          <w:szCs w:val="32"/>
          <w:highlight w:val="none"/>
        </w:rPr>
        <w:t>支</w:t>
      </w:r>
      <w:r>
        <w:rPr>
          <w:rStyle w:val="35"/>
          <w:rFonts w:hint="eastAsia" w:ascii="Times New Roman" w:hAnsi="Times New Roman" w:eastAsia="黑体"/>
          <w:b w:val="0"/>
          <w:color w:val="auto"/>
          <w:highlight w:val="none"/>
        </w:rPr>
        <w:t>出决算情况说明</w:t>
      </w:r>
      <w:bookmarkEnd w:id="22"/>
      <w:bookmarkEnd w:id="23"/>
    </w:p>
    <w:p w14:paraId="56044180">
      <w:pPr>
        <w:pStyle w:val="33"/>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1"/>
        <w:rPr>
          <w:rFonts w:hint="eastAsia" w:ascii="Times New Roman" w:hAnsi="Times New Roman"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2024年度本年支出合计</w:t>
      </w:r>
      <w:r>
        <w:rPr>
          <w:rFonts w:hint="eastAsia" w:ascii="仿宋_GB2312" w:hAnsi="仿宋_GB2312" w:eastAsia="仿宋_GB2312" w:cs="仿宋_GB2312"/>
          <w:sz w:val="32"/>
          <w:szCs w:val="32"/>
        </w:rPr>
        <w:t>1029.08</w:t>
      </w:r>
      <w:r>
        <w:rPr>
          <w:rFonts w:hint="eastAsia" w:ascii="仿宋_GB2312" w:hAnsi="仿宋_GB2312" w:eastAsia="仿宋_GB2312" w:cs="仿宋_GB2312"/>
          <w:color w:val="auto"/>
          <w:sz w:val="32"/>
          <w:szCs w:val="32"/>
          <w:highlight w:val="none"/>
          <w:lang w:eastAsia="zh-CN"/>
        </w:rPr>
        <w:t>万元，其中：基本支出</w:t>
      </w:r>
      <w:r>
        <w:rPr>
          <w:rFonts w:hint="eastAsia" w:ascii="仿宋_GB2312" w:hAnsi="仿宋_GB2312" w:eastAsia="仿宋_GB2312" w:cs="仿宋_GB2312"/>
          <w:sz w:val="32"/>
          <w:szCs w:val="32"/>
        </w:rPr>
        <w:t>746.29</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72.52</w:t>
      </w:r>
      <w:r>
        <w:rPr>
          <w:rFonts w:hint="eastAsia" w:ascii="仿宋_GB2312" w:hAnsi="仿宋_GB2312" w:eastAsia="仿宋_GB2312" w:cs="仿宋_GB2312"/>
          <w:color w:val="auto"/>
          <w:sz w:val="32"/>
          <w:szCs w:val="32"/>
          <w:highlight w:val="none"/>
          <w:lang w:eastAsia="zh-CN"/>
        </w:rPr>
        <w:t>%；项目支出</w:t>
      </w:r>
      <w:r>
        <w:rPr>
          <w:rFonts w:hint="eastAsia" w:ascii="仿宋_GB2312" w:hAnsi="仿宋_GB2312" w:eastAsia="仿宋_GB2312" w:cs="仿宋_GB2312"/>
          <w:sz w:val="32"/>
          <w:szCs w:val="32"/>
        </w:rPr>
        <w:t>282.79</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27.47</w:t>
      </w:r>
      <w:r>
        <w:rPr>
          <w:rFonts w:hint="eastAsia" w:ascii="仿宋_GB2312" w:hAnsi="仿宋_GB2312" w:eastAsia="仿宋_GB2312" w:cs="仿宋_GB2312"/>
          <w:color w:val="auto"/>
          <w:sz w:val="32"/>
          <w:szCs w:val="32"/>
          <w:highlight w:val="none"/>
          <w:lang w:eastAsia="zh-CN"/>
        </w:rPr>
        <w:t>%；上缴上级支出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%；经营支出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%；对附属单位补助支出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w:t>
      </w:r>
      <w:r>
        <w:rPr>
          <w:rFonts w:hint="eastAsia" w:ascii="Times New Roman" w:hAnsi="Times New Roman" w:eastAsia="仿宋_GB2312" w:cs="仿宋_GB2312"/>
          <w:b/>
          <w:bCs/>
          <w:color w:val="auto"/>
          <w:sz w:val="32"/>
          <w:szCs w:val="32"/>
          <w:highlight w:val="none"/>
          <w:lang w:eastAsia="zh-CN"/>
        </w:rPr>
        <w:t>（注：仅罗列本部门涉及的支出）</w:t>
      </w:r>
    </w:p>
    <w:p w14:paraId="2B6958F4">
      <w:pPr>
        <w:ind w:firstLine="800" w:firstLineChars="250"/>
        <w:rPr>
          <w:rFonts w:hint="eastAsia" w:ascii="Times New Roman" w:hAnsi="Times New Roman" w:eastAsia="仿宋_GB2312" w:cs="仿宋_GB2312"/>
          <w:color w:val="auto"/>
          <w:sz w:val="32"/>
          <w:szCs w:val="32"/>
          <w:highlight w:val="none"/>
          <w:lang w:eastAsia="zh-CN"/>
        </w:rPr>
      </w:pPr>
    </w:p>
    <w:p w14:paraId="20598828">
      <w:pPr>
        <w:ind w:firstLine="800" w:firstLineChars="250"/>
        <w:rPr>
          <w:rFonts w:hint="eastAsia" w:ascii="Times New Roman" w:hAnsi="Times New Roman" w:eastAsia="仿宋_GB2312" w:cs="仿宋_GB2312"/>
          <w:color w:val="auto"/>
          <w:sz w:val="32"/>
          <w:szCs w:val="32"/>
          <w:highlight w:val="none"/>
          <w:lang w:eastAsia="zh-CN"/>
        </w:rPr>
      </w:pPr>
      <w:r>
        <w:rPr>
          <w:rFonts w:hint="eastAsia" w:ascii="黑体" w:eastAsia="黑体"/>
          <w:color w:val="000000"/>
          <w:sz w:val="32"/>
          <w:szCs w:val="32"/>
        </w:rPr>
        <w:drawing>
          <wp:anchor distT="0" distB="0" distL="114300" distR="114300" simplePos="0" relativeHeight="251662336" behindDoc="0" locked="0" layoutInCell="1" allowOverlap="1">
            <wp:simplePos x="0" y="0"/>
            <wp:positionH relativeFrom="column">
              <wp:posOffset>-6985</wp:posOffset>
            </wp:positionH>
            <wp:positionV relativeFrom="paragraph">
              <wp:posOffset>53975</wp:posOffset>
            </wp:positionV>
            <wp:extent cx="5373370" cy="2648585"/>
            <wp:effectExtent l="4445" t="4445" r="17145" b="13970"/>
            <wp:wrapTopAndBottom/>
            <wp:docPr id="3"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14:paraId="0DD0B12E">
      <w:pPr>
        <w:spacing w:line="600" w:lineRule="exact"/>
        <w:ind w:firstLine="640" w:firstLineChars="200"/>
        <w:outlineLvl w:val="1"/>
        <w:rPr>
          <w:rFonts w:hint="eastAsia" w:ascii="Times New Roman" w:hAnsi="Times New Roman" w:eastAsia="黑体"/>
          <w:color w:val="auto"/>
          <w:sz w:val="32"/>
          <w:szCs w:val="32"/>
          <w:highlight w:val="none"/>
        </w:rPr>
      </w:pPr>
      <w:bookmarkStart w:id="24" w:name="_Toc15377208"/>
      <w:bookmarkStart w:id="25" w:name="_Toc15396606"/>
    </w:p>
    <w:p w14:paraId="465C040F">
      <w:pPr>
        <w:spacing w:line="600" w:lineRule="exact"/>
        <w:ind w:firstLine="640" w:firstLineChars="200"/>
        <w:outlineLvl w:val="1"/>
        <w:rPr>
          <w:rStyle w:val="35"/>
          <w:rFonts w:ascii="Times New Roman" w:hAnsi="Times New Roman" w:eastAsia="黑体"/>
          <w:b w:val="0"/>
          <w:color w:val="auto"/>
          <w:highlight w:val="none"/>
        </w:rPr>
      </w:pPr>
      <w:r>
        <w:rPr>
          <w:rFonts w:hint="eastAsia" w:ascii="Times New Roman" w:hAnsi="Times New Roman" w:eastAsia="黑体"/>
          <w:color w:val="auto"/>
          <w:sz w:val="32"/>
          <w:szCs w:val="32"/>
          <w:highlight w:val="none"/>
        </w:rPr>
        <w:t>四、财</w:t>
      </w:r>
      <w:r>
        <w:rPr>
          <w:rStyle w:val="35"/>
          <w:rFonts w:hint="eastAsia" w:ascii="Times New Roman" w:hAnsi="Times New Roman" w:eastAsia="黑体"/>
          <w:b w:val="0"/>
          <w:color w:val="auto"/>
          <w:highlight w:val="none"/>
        </w:rPr>
        <w:t>政拨款收入支出决算总体情况说明</w:t>
      </w:r>
      <w:bookmarkEnd w:id="24"/>
      <w:bookmarkEnd w:id="25"/>
    </w:p>
    <w:p w14:paraId="0593ACA8">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2024年度财政拨款收入、支出总计均为</w:t>
      </w:r>
      <w:r>
        <w:rPr>
          <w:rFonts w:hint="eastAsia" w:ascii="仿宋_GB2312" w:hAnsi="仿宋_GB2312" w:eastAsia="仿宋_GB2312" w:cs="仿宋_GB2312"/>
          <w:sz w:val="32"/>
          <w:szCs w:val="32"/>
        </w:rPr>
        <w:t>1029.08</w:t>
      </w:r>
      <w:r>
        <w:rPr>
          <w:rFonts w:hint="eastAsia" w:ascii="Times New Roman" w:hAnsi="Times New Roman" w:eastAsia="仿宋_GB2312" w:cs="仿宋_GB2312"/>
          <w:color w:val="auto"/>
          <w:kern w:val="2"/>
          <w:sz w:val="32"/>
          <w:szCs w:val="32"/>
          <w:highlight w:val="none"/>
          <w:lang w:val="en-US" w:eastAsia="zh-CN" w:bidi="ar-SA"/>
        </w:rPr>
        <w:t>万元。与2023年度相比，财政拨款收入总计、支出总计各</w:t>
      </w:r>
      <w:r>
        <w:rPr>
          <w:rFonts w:hint="eastAsia" w:eastAsia="仿宋_GB2312" w:cs="仿宋_GB2312"/>
          <w:color w:val="auto"/>
          <w:kern w:val="2"/>
          <w:sz w:val="32"/>
          <w:szCs w:val="32"/>
          <w:highlight w:val="none"/>
          <w:lang w:val="en-US" w:eastAsia="zh-CN" w:bidi="ar-SA"/>
        </w:rPr>
        <w:t>减少</w:t>
      </w:r>
      <w:r>
        <w:rPr>
          <w:rFonts w:hint="eastAsia" w:ascii="仿宋_GB2312" w:eastAsia="仿宋_GB2312"/>
          <w:color w:val="000000"/>
          <w:spacing w:val="-2"/>
          <w:sz w:val="32"/>
          <w:szCs w:val="32"/>
          <w:lang w:val="en-US" w:eastAsia="zh-CN"/>
        </w:rPr>
        <w:t>188.17</w:t>
      </w:r>
      <w:r>
        <w:rPr>
          <w:rFonts w:hint="eastAsia" w:ascii="仿宋_GB2312" w:eastAsia="仿宋_GB2312"/>
          <w:color w:val="000000"/>
          <w:spacing w:val="-2"/>
          <w:sz w:val="32"/>
          <w:szCs w:val="32"/>
        </w:rPr>
        <w:t>万元</w:t>
      </w:r>
      <w:r>
        <w:rPr>
          <w:rFonts w:hint="eastAsia" w:ascii="仿宋_GB2312" w:eastAsia="仿宋_GB2312"/>
          <w:color w:val="000000"/>
          <w:spacing w:val="-2"/>
          <w:sz w:val="32"/>
          <w:szCs w:val="32"/>
          <w:lang w:eastAsia="zh-CN"/>
        </w:rPr>
        <w:t>，</w:t>
      </w:r>
      <w:r>
        <w:rPr>
          <w:rFonts w:hint="eastAsia" w:ascii="Times New Roman" w:hAnsi="Times New Roman" w:eastAsia="仿宋_GB2312" w:cs="仿宋_GB2312"/>
          <w:color w:val="auto"/>
          <w:kern w:val="2"/>
          <w:sz w:val="32"/>
          <w:szCs w:val="32"/>
          <w:highlight w:val="none"/>
          <w:lang w:val="en-US" w:eastAsia="zh-CN" w:bidi="ar-SA"/>
        </w:rPr>
        <w:t>下降</w:t>
      </w:r>
      <w:r>
        <w:rPr>
          <w:rFonts w:hint="eastAsia" w:ascii="仿宋_GB2312" w:eastAsia="仿宋_GB2312"/>
          <w:color w:val="000000"/>
          <w:spacing w:val="-2"/>
          <w:sz w:val="32"/>
          <w:szCs w:val="32"/>
          <w:lang w:val="en-US" w:eastAsia="zh-CN"/>
        </w:rPr>
        <w:t>15.46</w:t>
      </w:r>
      <w:r>
        <w:rPr>
          <w:rFonts w:hint="eastAsia" w:ascii="仿宋_GB2312" w:eastAsia="仿宋_GB2312"/>
          <w:color w:val="000000"/>
          <w:spacing w:val="-2"/>
          <w:sz w:val="32"/>
          <w:szCs w:val="32"/>
        </w:rPr>
        <w:t>%</w:t>
      </w:r>
      <w:r>
        <w:rPr>
          <w:rFonts w:hint="eastAsia" w:ascii="Times New Roman" w:hAnsi="Times New Roman" w:eastAsia="仿宋_GB2312" w:cs="仿宋_GB2312"/>
          <w:color w:val="auto"/>
          <w:kern w:val="2"/>
          <w:sz w:val="32"/>
          <w:szCs w:val="32"/>
          <w:highlight w:val="none"/>
          <w:lang w:val="en-US" w:eastAsia="zh-CN" w:bidi="ar-SA"/>
        </w:rPr>
        <w:t>%。主要变动原因是</w:t>
      </w:r>
      <w:r>
        <w:rPr>
          <w:rFonts w:hint="eastAsia" w:ascii="仿宋_GB2312" w:eastAsia="仿宋_GB2312"/>
          <w:color w:val="000000"/>
          <w:spacing w:val="-2"/>
          <w:sz w:val="32"/>
          <w:szCs w:val="32"/>
          <w:lang w:eastAsia="zh-CN"/>
        </w:rPr>
        <w:t>2024</w:t>
      </w:r>
      <w:r>
        <w:rPr>
          <w:rFonts w:hint="eastAsia" w:ascii="仿宋_GB2312" w:eastAsia="仿宋_GB2312"/>
          <w:color w:val="000000"/>
          <w:spacing w:val="-2"/>
          <w:sz w:val="32"/>
          <w:szCs w:val="32"/>
        </w:rPr>
        <w:t>年</w:t>
      </w:r>
      <w:r>
        <w:rPr>
          <w:rFonts w:hint="eastAsia" w:ascii="仿宋_GB2312" w:eastAsia="仿宋_GB2312"/>
          <w:color w:val="000000"/>
          <w:spacing w:val="-2"/>
          <w:sz w:val="32"/>
          <w:szCs w:val="32"/>
          <w:lang w:val="en-US" w:eastAsia="zh-CN"/>
        </w:rPr>
        <w:t>项目支出减少。</w:t>
      </w:r>
    </w:p>
    <w:p w14:paraId="66C80A99">
      <w:pPr>
        <w:spacing w:line="600" w:lineRule="exact"/>
        <w:ind w:firstLine="640"/>
        <w:rPr>
          <w:rFonts w:hint="eastAsia"/>
          <w:lang w:val="en-US" w:eastAsia="zh-CN"/>
        </w:rPr>
      </w:pPr>
      <w:r>
        <w:rPr>
          <w:rFonts w:hint="eastAsia" w:ascii="仿宋" w:eastAsia="仿宋"/>
          <w:color w:val="000000"/>
          <w:sz w:val="32"/>
          <w:szCs w:val="32"/>
        </w:rPr>
        <w:drawing>
          <wp:anchor distT="0" distB="0" distL="114300" distR="114300" simplePos="0" relativeHeight="251663360" behindDoc="0" locked="0" layoutInCell="1" allowOverlap="1">
            <wp:simplePos x="0" y="0"/>
            <wp:positionH relativeFrom="column">
              <wp:posOffset>131445</wp:posOffset>
            </wp:positionH>
            <wp:positionV relativeFrom="paragraph">
              <wp:posOffset>250825</wp:posOffset>
            </wp:positionV>
            <wp:extent cx="5090160" cy="2953385"/>
            <wp:effectExtent l="4445" t="4445" r="10795" b="13970"/>
            <wp:wrapTopAndBottom/>
            <wp:docPr id="4"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14:paraId="273C76B3">
      <w:pPr>
        <w:spacing w:line="600" w:lineRule="exact"/>
        <w:ind w:firstLine="640" w:firstLineChars="200"/>
        <w:outlineLvl w:val="1"/>
        <w:rPr>
          <w:rStyle w:val="35"/>
          <w:rFonts w:ascii="Times New Roman" w:hAnsi="Times New Roman" w:eastAsia="黑体"/>
          <w:b w:val="0"/>
          <w:color w:val="auto"/>
          <w:highlight w:val="none"/>
        </w:rPr>
      </w:pPr>
      <w:bookmarkStart w:id="26" w:name="_Toc15377209"/>
      <w:bookmarkStart w:id="27" w:name="_Toc15396607"/>
      <w:r>
        <w:rPr>
          <w:rFonts w:hint="eastAsia" w:ascii="Times New Roman" w:hAnsi="Times New Roman" w:eastAsia="黑体"/>
          <w:color w:val="auto"/>
          <w:sz w:val="32"/>
          <w:szCs w:val="32"/>
          <w:highlight w:val="none"/>
        </w:rPr>
        <w:t>五、</w:t>
      </w:r>
      <w:r>
        <w:rPr>
          <w:rFonts w:hint="eastAsia" w:ascii="Times New Roman" w:hAnsi="Times New Roman" w:eastAsia="黑体"/>
          <w:b/>
          <w:color w:val="auto"/>
          <w:sz w:val="32"/>
          <w:szCs w:val="32"/>
          <w:highlight w:val="none"/>
        </w:rPr>
        <w:t>一</w:t>
      </w:r>
      <w:r>
        <w:rPr>
          <w:rStyle w:val="35"/>
          <w:rFonts w:hint="eastAsia" w:ascii="Times New Roman" w:hAnsi="Times New Roman" w:eastAsia="黑体"/>
          <w:b w:val="0"/>
          <w:color w:val="auto"/>
          <w:highlight w:val="none"/>
        </w:rPr>
        <w:t>般公共预算财政拨款支出决算情况说明</w:t>
      </w:r>
      <w:bookmarkEnd w:id="26"/>
      <w:bookmarkEnd w:id="27"/>
    </w:p>
    <w:p w14:paraId="625C79F3">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28" w:name="_Toc15377210"/>
      <w:r>
        <w:rPr>
          <w:rFonts w:hint="eastAsia" w:ascii="Times New Roman" w:hAnsi="Times New Roman" w:eastAsia="楷体_GB2312" w:cs="楷体_GB2312"/>
          <w:b/>
          <w:color w:val="auto"/>
          <w:sz w:val="32"/>
          <w:szCs w:val="32"/>
          <w:highlight w:val="none"/>
        </w:rPr>
        <w:t>（一）一般公共预算财政拨款支出决算总体情况</w:t>
      </w:r>
      <w:bookmarkEnd w:id="28"/>
    </w:p>
    <w:p w14:paraId="50918EBA">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sz w:val="32"/>
          <w:szCs w:val="32"/>
        </w:rPr>
        <w:t>1029.08</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kern w:val="2"/>
          <w:sz w:val="32"/>
          <w:szCs w:val="32"/>
          <w:highlight w:val="none"/>
          <w:lang w:val="en-US" w:eastAsia="zh-CN" w:bidi="ar-SA"/>
        </w:rPr>
        <w:t>%。与2023年度相比，一般公共预算财政拨款支出</w:t>
      </w:r>
      <w:r>
        <w:rPr>
          <w:rFonts w:hint="eastAsia" w:eastAsia="仿宋_GB2312" w:cs="仿宋_GB2312"/>
          <w:color w:val="auto"/>
          <w:kern w:val="2"/>
          <w:sz w:val="32"/>
          <w:szCs w:val="32"/>
          <w:highlight w:val="none"/>
          <w:lang w:val="en-US" w:eastAsia="zh-CN" w:bidi="ar-SA"/>
        </w:rPr>
        <w:t>减少</w:t>
      </w:r>
      <w:r>
        <w:rPr>
          <w:rFonts w:hint="eastAsia" w:ascii="仿宋_GB2312" w:eastAsia="仿宋_GB2312"/>
          <w:color w:val="000000"/>
          <w:spacing w:val="-2"/>
          <w:sz w:val="32"/>
          <w:szCs w:val="32"/>
          <w:lang w:val="en-US" w:eastAsia="zh-CN"/>
        </w:rPr>
        <w:t>188.17</w:t>
      </w:r>
      <w:r>
        <w:rPr>
          <w:rFonts w:hint="eastAsia" w:ascii="仿宋_GB2312" w:eastAsia="仿宋_GB2312"/>
          <w:color w:val="000000"/>
          <w:spacing w:val="-2"/>
          <w:sz w:val="32"/>
          <w:szCs w:val="32"/>
        </w:rPr>
        <w:t>万元</w:t>
      </w:r>
      <w:r>
        <w:rPr>
          <w:rFonts w:hint="eastAsia" w:ascii="仿宋_GB2312" w:eastAsia="仿宋_GB2312"/>
          <w:color w:val="000000"/>
          <w:spacing w:val="-2"/>
          <w:sz w:val="32"/>
          <w:szCs w:val="32"/>
          <w:lang w:eastAsia="zh-CN"/>
        </w:rPr>
        <w:t>，</w:t>
      </w:r>
      <w:r>
        <w:rPr>
          <w:rFonts w:hint="eastAsia" w:ascii="Times New Roman" w:hAnsi="Times New Roman" w:eastAsia="仿宋_GB2312" w:cs="仿宋_GB2312"/>
          <w:color w:val="auto"/>
          <w:kern w:val="2"/>
          <w:sz w:val="32"/>
          <w:szCs w:val="32"/>
          <w:highlight w:val="none"/>
          <w:lang w:val="en-US" w:eastAsia="zh-CN" w:bidi="ar-SA"/>
        </w:rPr>
        <w:t>下降</w:t>
      </w:r>
      <w:r>
        <w:rPr>
          <w:rFonts w:hint="eastAsia" w:ascii="仿宋_GB2312" w:eastAsia="仿宋_GB2312"/>
          <w:color w:val="000000"/>
          <w:spacing w:val="-2"/>
          <w:sz w:val="32"/>
          <w:szCs w:val="32"/>
          <w:lang w:val="en-US" w:eastAsia="zh-CN"/>
        </w:rPr>
        <w:t>15.46</w:t>
      </w:r>
      <w:r>
        <w:rPr>
          <w:rFonts w:hint="eastAsia" w:ascii="仿宋_GB2312" w:eastAsia="仿宋_GB2312"/>
          <w:color w:val="000000"/>
          <w:spacing w:val="-2"/>
          <w:sz w:val="32"/>
          <w:szCs w:val="32"/>
        </w:rPr>
        <w:t>%</w:t>
      </w:r>
      <w:r>
        <w:rPr>
          <w:rFonts w:hint="eastAsia" w:ascii="Times New Roman" w:hAnsi="Times New Roman" w:eastAsia="仿宋_GB2312" w:cs="仿宋_GB2312"/>
          <w:color w:val="auto"/>
          <w:kern w:val="2"/>
          <w:sz w:val="32"/>
          <w:szCs w:val="32"/>
          <w:highlight w:val="none"/>
          <w:lang w:val="en-US" w:eastAsia="zh-CN" w:bidi="ar-SA"/>
        </w:rPr>
        <w:t>%。主要变动原因是</w:t>
      </w:r>
      <w:r>
        <w:rPr>
          <w:rFonts w:hint="eastAsia" w:ascii="仿宋_GB2312" w:eastAsia="仿宋_GB2312"/>
          <w:color w:val="000000"/>
          <w:spacing w:val="-2"/>
          <w:sz w:val="32"/>
          <w:szCs w:val="32"/>
          <w:lang w:eastAsia="zh-CN"/>
        </w:rPr>
        <w:t>2024</w:t>
      </w:r>
      <w:r>
        <w:rPr>
          <w:rFonts w:hint="eastAsia" w:ascii="仿宋_GB2312" w:eastAsia="仿宋_GB2312"/>
          <w:color w:val="000000"/>
          <w:spacing w:val="-2"/>
          <w:sz w:val="32"/>
          <w:szCs w:val="32"/>
        </w:rPr>
        <w:t>年</w:t>
      </w:r>
      <w:r>
        <w:rPr>
          <w:rFonts w:hint="eastAsia" w:ascii="仿宋_GB2312" w:eastAsia="仿宋_GB2312"/>
          <w:color w:val="000000"/>
          <w:spacing w:val="-2"/>
          <w:sz w:val="32"/>
          <w:szCs w:val="32"/>
          <w:lang w:val="en-US" w:eastAsia="zh-CN"/>
        </w:rPr>
        <w:t>项目支出减少。</w:t>
      </w:r>
    </w:p>
    <w:p w14:paraId="7A854686">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39D137F2">
      <w:pPr>
        <w:pStyle w:val="24"/>
        <w:rPr>
          <w:rFonts w:hint="eastAsia" w:ascii="Times New Roman" w:hAnsi="Times New Roman" w:eastAsia="仿宋_GB2312" w:cs="仿宋_GB2312"/>
          <w:color w:val="auto"/>
          <w:kern w:val="2"/>
          <w:sz w:val="32"/>
          <w:szCs w:val="32"/>
          <w:highlight w:val="none"/>
          <w:lang w:val="en-US" w:eastAsia="zh-CN" w:bidi="ar-SA"/>
        </w:rPr>
      </w:pPr>
    </w:p>
    <w:p w14:paraId="69B30E64">
      <w:pPr>
        <w:rPr>
          <w:rFonts w:hint="eastAsia"/>
          <w:lang w:val="en-US" w:eastAsia="zh-CN"/>
        </w:rPr>
      </w:pPr>
      <w:r>
        <w:rPr>
          <w:rFonts w:hint="eastAsia" w:ascii="仿宋" w:eastAsia="仿宋"/>
          <w:color w:val="000000"/>
          <w:sz w:val="32"/>
          <w:szCs w:val="32"/>
        </w:rPr>
        <w:drawing>
          <wp:anchor distT="0" distB="0" distL="114300" distR="114300" simplePos="0" relativeHeight="251664384" behindDoc="0" locked="0" layoutInCell="1" allowOverlap="1">
            <wp:simplePos x="0" y="0"/>
            <wp:positionH relativeFrom="column">
              <wp:posOffset>104140</wp:posOffset>
            </wp:positionH>
            <wp:positionV relativeFrom="paragraph">
              <wp:posOffset>-810260</wp:posOffset>
            </wp:positionV>
            <wp:extent cx="5090160" cy="2953385"/>
            <wp:effectExtent l="4445" t="4445" r="10795" b="13970"/>
            <wp:wrapTopAndBottom/>
            <wp:docPr id="5"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14:paraId="027FA6A1">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29" w:name="_Toc15377211"/>
      <w:r>
        <w:rPr>
          <w:rFonts w:hint="eastAsia" w:ascii="Times New Roman" w:hAnsi="Times New Roman" w:eastAsia="楷体_GB2312" w:cs="楷体_GB2312"/>
          <w:b/>
          <w:color w:val="auto"/>
          <w:sz w:val="32"/>
          <w:szCs w:val="32"/>
          <w:highlight w:val="none"/>
        </w:rPr>
        <w:t>（二）一般公共预算财政拨款支出决算结构情况</w:t>
      </w:r>
      <w:bookmarkEnd w:id="29"/>
    </w:p>
    <w:p w14:paraId="3AE81A8E">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sz w:val="32"/>
          <w:szCs w:val="32"/>
        </w:rPr>
        <w:t>1029.08</w:t>
      </w:r>
      <w:r>
        <w:rPr>
          <w:rFonts w:hint="eastAsia" w:ascii="仿宋_GB2312" w:hAnsi="仿宋_GB2312"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，主要用于以下方面</w:t>
      </w:r>
      <w:r>
        <w:rPr>
          <w:rFonts w:hint="eastAsia" w:eastAsia="仿宋_GB2312" w:cs="仿宋_GB2312"/>
          <w:color w:val="auto"/>
          <w:kern w:val="2"/>
          <w:sz w:val="32"/>
          <w:szCs w:val="32"/>
          <w:highlight w:val="none"/>
          <w:lang w:val="en-US" w:eastAsia="zh-CN" w:bidi="ar-SA"/>
        </w:rPr>
        <w:t>：</w:t>
      </w:r>
      <w:r>
        <w:rPr>
          <w:rFonts w:hint="eastAsia" w:ascii="仿宋" w:eastAsia="仿宋"/>
          <w:bCs/>
          <w:color w:val="000000"/>
          <w:sz w:val="32"/>
          <w:szCs w:val="32"/>
        </w:rPr>
        <w:t>一般公共服务支出为</w:t>
      </w:r>
      <w:r>
        <w:rPr>
          <w:rFonts w:hint="eastAsia" w:ascii="仿宋" w:eastAsia="仿宋"/>
          <w:bCs/>
          <w:color w:val="000000"/>
          <w:sz w:val="32"/>
          <w:szCs w:val="32"/>
          <w:lang w:val="en-US" w:eastAsia="zh-CN"/>
        </w:rPr>
        <w:t>370.69</w:t>
      </w:r>
      <w:r>
        <w:rPr>
          <w:rFonts w:hint="eastAsia" w:ascii="仿宋" w:eastAsia="仿宋"/>
          <w:bCs/>
          <w:color w:val="000000"/>
          <w:sz w:val="32"/>
          <w:szCs w:val="32"/>
        </w:rPr>
        <w:t>万元，占比</w:t>
      </w:r>
      <w:r>
        <w:rPr>
          <w:rFonts w:hint="eastAsia" w:ascii="仿宋" w:eastAsia="仿宋"/>
          <w:bCs/>
          <w:color w:val="000000"/>
          <w:sz w:val="32"/>
          <w:szCs w:val="32"/>
          <w:lang w:val="en-US" w:eastAsia="zh-CN"/>
        </w:rPr>
        <w:t>36.02</w:t>
      </w:r>
      <w:r>
        <w:rPr>
          <w:rFonts w:hint="eastAsia" w:ascii="仿宋" w:eastAsia="仿宋"/>
          <w:bCs/>
          <w:color w:val="000000"/>
          <w:sz w:val="32"/>
          <w:szCs w:val="32"/>
        </w:rPr>
        <w:t>%；农林水支出为</w:t>
      </w:r>
      <w:r>
        <w:rPr>
          <w:rFonts w:hint="eastAsia" w:ascii="仿宋" w:eastAsia="仿宋"/>
          <w:bCs/>
          <w:color w:val="000000"/>
          <w:sz w:val="32"/>
          <w:szCs w:val="32"/>
          <w:lang w:val="en-US" w:eastAsia="zh-CN"/>
        </w:rPr>
        <w:t>186.21</w:t>
      </w:r>
      <w:r>
        <w:rPr>
          <w:rFonts w:hint="eastAsia" w:ascii="仿宋" w:eastAsia="仿宋"/>
          <w:bCs/>
          <w:color w:val="000000"/>
          <w:sz w:val="32"/>
          <w:szCs w:val="32"/>
        </w:rPr>
        <w:t>万元，占比</w:t>
      </w:r>
      <w:r>
        <w:rPr>
          <w:rFonts w:hint="eastAsia" w:ascii="仿宋" w:eastAsia="仿宋"/>
          <w:bCs/>
          <w:color w:val="000000"/>
          <w:sz w:val="32"/>
          <w:szCs w:val="32"/>
          <w:lang w:val="en-US" w:eastAsia="zh-CN"/>
        </w:rPr>
        <w:t>18.09</w:t>
      </w:r>
      <w:r>
        <w:rPr>
          <w:rFonts w:hint="eastAsia" w:ascii="仿宋" w:eastAsia="仿宋"/>
          <w:bCs/>
          <w:color w:val="000000"/>
          <w:sz w:val="32"/>
          <w:szCs w:val="32"/>
        </w:rPr>
        <w:t>%；社会保障和就业支出为</w:t>
      </w:r>
      <w:r>
        <w:rPr>
          <w:rFonts w:hint="eastAsia" w:ascii="仿宋" w:eastAsia="仿宋"/>
          <w:bCs/>
          <w:color w:val="000000"/>
          <w:sz w:val="32"/>
          <w:szCs w:val="32"/>
          <w:lang w:val="en-US" w:eastAsia="zh-CN"/>
        </w:rPr>
        <w:t>92.17</w:t>
      </w:r>
      <w:r>
        <w:rPr>
          <w:rFonts w:hint="eastAsia" w:ascii="仿宋" w:eastAsia="仿宋"/>
          <w:bCs/>
          <w:color w:val="000000"/>
          <w:sz w:val="32"/>
          <w:szCs w:val="32"/>
        </w:rPr>
        <w:t>万元，占比</w:t>
      </w:r>
      <w:r>
        <w:rPr>
          <w:rFonts w:hint="eastAsia" w:ascii="仿宋" w:eastAsia="仿宋"/>
          <w:bCs/>
          <w:color w:val="000000"/>
          <w:sz w:val="32"/>
          <w:szCs w:val="32"/>
          <w:lang w:val="en-US" w:eastAsia="zh-CN"/>
        </w:rPr>
        <w:t>8.96</w:t>
      </w:r>
      <w:r>
        <w:rPr>
          <w:rFonts w:hint="eastAsia" w:ascii="仿宋" w:eastAsia="仿宋"/>
          <w:bCs/>
          <w:color w:val="000000"/>
          <w:sz w:val="32"/>
          <w:szCs w:val="32"/>
        </w:rPr>
        <w:t>%；卫生健康支出为</w:t>
      </w:r>
      <w:r>
        <w:rPr>
          <w:rFonts w:hint="eastAsia" w:ascii="仿宋" w:eastAsia="仿宋"/>
          <w:bCs/>
          <w:color w:val="000000"/>
          <w:sz w:val="32"/>
          <w:szCs w:val="32"/>
          <w:lang w:val="en-US" w:eastAsia="zh-CN"/>
        </w:rPr>
        <w:t>45.55</w:t>
      </w:r>
      <w:r>
        <w:rPr>
          <w:rFonts w:hint="eastAsia" w:ascii="仿宋" w:eastAsia="仿宋"/>
          <w:bCs/>
          <w:color w:val="000000"/>
          <w:sz w:val="32"/>
          <w:szCs w:val="32"/>
        </w:rPr>
        <w:t>万元，占比</w:t>
      </w:r>
      <w:r>
        <w:rPr>
          <w:rFonts w:hint="eastAsia" w:ascii="仿宋" w:eastAsia="仿宋"/>
          <w:bCs/>
          <w:color w:val="000000"/>
          <w:sz w:val="32"/>
          <w:szCs w:val="32"/>
          <w:lang w:val="en-US" w:eastAsia="zh-CN"/>
        </w:rPr>
        <w:t>4.43</w:t>
      </w:r>
      <w:r>
        <w:rPr>
          <w:rFonts w:hint="eastAsia" w:ascii="仿宋" w:eastAsia="仿宋"/>
          <w:bCs/>
          <w:color w:val="000000"/>
          <w:sz w:val="32"/>
          <w:szCs w:val="32"/>
        </w:rPr>
        <w:t>%；住房保障支出为</w:t>
      </w:r>
      <w:r>
        <w:rPr>
          <w:rFonts w:hint="eastAsia" w:ascii="仿宋" w:eastAsia="仿宋"/>
          <w:bCs/>
          <w:color w:val="000000"/>
          <w:sz w:val="32"/>
          <w:szCs w:val="32"/>
          <w:lang w:val="en-US" w:eastAsia="zh-CN"/>
        </w:rPr>
        <w:t>55.65</w:t>
      </w:r>
      <w:r>
        <w:rPr>
          <w:rFonts w:hint="eastAsia" w:ascii="仿宋" w:eastAsia="仿宋"/>
          <w:bCs/>
          <w:color w:val="000000"/>
          <w:sz w:val="32"/>
          <w:szCs w:val="32"/>
        </w:rPr>
        <w:t>万元，占比</w:t>
      </w:r>
      <w:r>
        <w:rPr>
          <w:rFonts w:hint="eastAsia" w:ascii="仿宋" w:eastAsia="仿宋"/>
          <w:bCs/>
          <w:color w:val="000000"/>
          <w:sz w:val="32"/>
          <w:szCs w:val="32"/>
          <w:lang w:val="en-US" w:eastAsia="zh-CN"/>
        </w:rPr>
        <w:t>5.41</w:t>
      </w:r>
      <w:r>
        <w:rPr>
          <w:rFonts w:hint="eastAsia" w:ascii="仿宋" w:eastAsia="仿宋"/>
          <w:bCs/>
          <w:color w:val="000000"/>
          <w:sz w:val="32"/>
          <w:szCs w:val="32"/>
        </w:rPr>
        <w:t>%</w:t>
      </w:r>
      <w:r>
        <w:rPr>
          <w:rFonts w:hint="eastAsia" w:ascii="仿宋" w:eastAsia="仿宋"/>
          <w:bCs/>
          <w:color w:val="000000"/>
          <w:sz w:val="32"/>
          <w:szCs w:val="32"/>
          <w:lang w:eastAsia="zh-CN"/>
        </w:rPr>
        <w:t>。</w:t>
      </w:r>
    </w:p>
    <w:p w14:paraId="1A6B2AA3">
      <w:pPr>
        <w:rPr>
          <w:rFonts w:hint="eastAsia"/>
          <w:lang w:val="en-US" w:eastAsia="zh-CN"/>
        </w:rPr>
      </w:pPr>
      <w:r>
        <w:rPr>
          <w:rFonts w:hint="eastAsia" w:ascii="仿宋" w:eastAsia="仿宋"/>
          <w:bCs/>
          <w:color w:val="000000"/>
          <w:sz w:val="32"/>
          <w:szCs w:val="32"/>
          <w:lang w:eastAsia="zh-CN"/>
        </w:rPr>
        <w:drawing>
          <wp:inline distT="0" distB="0" distL="114300" distR="114300">
            <wp:extent cx="5042535" cy="3663950"/>
            <wp:effectExtent l="5080" t="4445" r="12065" b="19685"/>
            <wp:docPr id="6"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E3C4788">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30" w:name="_Toc15377212"/>
      <w:r>
        <w:rPr>
          <w:rFonts w:hint="eastAsia" w:ascii="Times New Roman" w:hAnsi="Times New Roman" w:eastAsia="楷体_GB2312" w:cs="楷体_GB2312"/>
          <w:b/>
          <w:color w:val="auto"/>
          <w:sz w:val="32"/>
          <w:szCs w:val="32"/>
          <w:highlight w:val="none"/>
        </w:rPr>
        <w:t>（三）一般公共预算财政拨款支出决算具体情况</w:t>
      </w:r>
      <w:bookmarkEnd w:id="30"/>
    </w:p>
    <w:p w14:paraId="510ADBB6">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bookmarkStart w:id="31" w:name="_Toc15378460"/>
      <w:bookmarkStart w:id="32" w:name="_Toc15377213"/>
      <w:bookmarkStart w:id="33" w:name="_Toc15377444"/>
      <w:r>
        <w:rPr>
          <w:rFonts w:hint="eastAsia" w:ascii="Times New Roman" w:hAnsi="Times New Roman" w:eastAsia="仿宋_GB2312" w:cs="仿宋_GB2312"/>
          <w:color w:val="auto"/>
          <w:kern w:val="2"/>
          <w:sz w:val="32"/>
          <w:szCs w:val="32"/>
          <w:highlight w:val="none"/>
          <w:lang w:val="en-US" w:eastAsia="zh-CN" w:bidi="ar-SA"/>
        </w:rPr>
        <w:t>2024年度一般公共预算财政拨款支出决算数为</w:t>
      </w:r>
      <w:r>
        <w:rPr>
          <w:rFonts w:hint="eastAsia" w:ascii="仿宋_GB2312" w:hAnsi="仿宋_GB2312" w:eastAsia="仿宋_GB2312" w:cs="仿宋_GB2312"/>
          <w:sz w:val="32"/>
          <w:szCs w:val="32"/>
        </w:rPr>
        <w:t>1029.08</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%。其中：</w:t>
      </w:r>
      <w:bookmarkEnd w:id="31"/>
      <w:bookmarkEnd w:id="32"/>
      <w:bookmarkEnd w:id="33"/>
    </w:p>
    <w:p w14:paraId="3C42C7AE">
      <w:pPr>
        <w:spacing w:line="600" w:lineRule="exact"/>
        <w:ind w:firstLine="640" w:firstLineChars="200"/>
        <w:rPr>
          <w:rStyle w:val="22"/>
          <w:rFonts w:hint="eastAsia" w:ascii="仿宋" w:eastAsia="仿宋"/>
          <w:b w:val="0"/>
          <w:bCs/>
          <w:color w:val="000000"/>
          <w:sz w:val="32"/>
          <w:szCs w:val="32"/>
        </w:rPr>
      </w:pPr>
      <w:r>
        <w:rPr>
          <w:rStyle w:val="22"/>
          <w:rFonts w:hint="eastAsia" w:ascii="仿宋" w:eastAsia="仿宋"/>
          <w:b w:val="0"/>
          <w:bCs/>
          <w:color w:val="000000"/>
          <w:sz w:val="32"/>
          <w:szCs w:val="32"/>
        </w:rPr>
        <w:t>1.一般公共服务（类）政府办公厅（室）及相关机构事务（款）行政运行（项）: 支出决算为</w:t>
      </w:r>
      <w:r>
        <w:rPr>
          <w:rStyle w:val="22"/>
          <w:rFonts w:hint="eastAsia" w:ascii="仿宋" w:eastAsia="仿宋"/>
          <w:b w:val="0"/>
          <w:bCs/>
          <w:color w:val="000000"/>
          <w:sz w:val="32"/>
          <w:szCs w:val="32"/>
          <w:lang w:val="en-US" w:eastAsia="zh-CN"/>
        </w:rPr>
        <w:t>306.37</w:t>
      </w:r>
      <w:r>
        <w:rPr>
          <w:rStyle w:val="22"/>
          <w:rFonts w:hint="eastAsia" w:ascii="仿宋" w:eastAsia="仿宋"/>
          <w:b w:val="0"/>
          <w:bCs/>
          <w:color w:val="000000"/>
          <w:sz w:val="32"/>
          <w:szCs w:val="32"/>
        </w:rPr>
        <w:t>万元，完成预算100%，结转下年0万元。</w:t>
      </w:r>
    </w:p>
    <w:p w14:paraId="5D348862">
      <w:pPr>
        <w:spacing w:line="600" w:lineRule="exact"/>
        <w:ind w:firstLine="640" w:firstLineChars="200"/>
        <w:rPr>
          <w:rStyle w:val="22"/>
          <w:rFonts w:hint="eastAsia" w:ascii="仿宋" w:eastAsia="仿宋"/>
          <w:b w:val="0"/>
          <w:bCs/>
          <w:color w:val="000000"/>
          <w:sz w:val="32"/>
          <w:szCs w:val="32"/>
        </w:rPr>
      </w:pPr>
      <w:r>
        <w:rPr>
          <w:rStyle w:val="22"/>
          <w:rFonts w:hint="eastAsia" w:ascii="仿宋" w:eastAsia="仿宋"/>
          <w:b w:val="0"/>
          <w:bCs/>
          <w:color w:val="000000"/>
          <w:sz w:val="32"/>
          <w:szCs w:val="32"/>
        </w:rPr>
        <w:t>2.一般公共服务（类）</w:t>
      </w:r>
      <w:r>
        <w:rPr>
          <w:rStyle w:val="22"/>
          <w:rFonts w:hint="eastAsia" w:ascii="仿宋" w:eastAsia="仿宋"/>
          <w:b w:val="0"/>
          <w:bCs/>
          <w:color w:val="000000"/>
          <w:sz w:val="32"/>
          <w:szCs w:val="32"/>
          <w:lang w:val="en-US" w:eastAsia="zh-CN"/>
        </w:rPr>
        <w:t>党委</w:t>
      </w:r>
      <w:r>
        <w:rPr>
          <w:rStyle w:val="22"/>
          <w:rFonts w:hint="eastAsia" w:ascii="仿宋" w:eastAsia="仿宋"/>
          <w:b w:val="0"/>
          <w:bCs/>
          <w:color w:val="000000"/>
          <w:sz w:val="32"/>
          <w:szCs w:val="32"/>
        </w:rPr>
        <w:t>办公室（室）及相关机构事务（款）一般行政管理事务（项）: 支出决算为</w:t>
      </w:r>
      <w:r>
        <w:rPr>
          <w:rStyle w:val="22"/>
          <w:rFonts w:hint="eastAsia" w:ascii="仿宋" w:eastAsia="仿宋"/>
          <w:b w:val="0"/>
          <w:bCs/>
          <w:color w:val="000000"/>
          <w:sz w:val="32"/>
          <w:szCs w:val="32"/>
          <w:lang w:val="en-US" w:eastAsia="zh-CN"/>
        </w:rPr>
        <w:t>43.07</w:t>
      </w:r>
      <w:r>
        <w:rPr>
          <w:rStyle w:val="22"/>
          <w:rFonts w:hint="eastAsia" w:ascii="仿宋" w:eastAsia="仿宋"/>
          <w:b w:val="0"/>
          <w:bCs/>
          <w:color w:val="000000"/>
          <w:sz w:val="32"/>
          <w:szCs w:val="32"/>
        </w:rPr>
        <w:t>万元，完成预算100%。结转下年0万元。</w:t>
      </w:r>
    </w:p>
    <w:p w14:paraId="7A89B749">
      <w:pPr>
        <w:spacing w:line="600" w:lineRule="exact"/>
        <w:ind w:firstLine="640" w:firstLineChars="200"/>
        <w:rPr>
          <w:rStyle w:val="22"/>
          <w:rFonts w:hint="eastAsia" w:ascii="仿宋" w:eastAsia="仿宋"/>
          <w:b w:val="0"/>
          <w:bCs/>
          <w:color w:val="000000"/>
          <w:sz w:val="32"/>
          <w:szCs w:val="32"/>
        </w:rPr>
      </w:pPr>
      <w:r>
        <w:rPr>
          <w:rStyle w:val="22"/>
          <w:rFonts w:hint="eastAsia" w:ascii="仿宋" w:eastAsia="仿宋"/>
          <w:b w:val="0"/>
          <w:bCs/>
          <w:color w:val="000000"/>
          <w:sz w:val="32"/>
          <w:szCs w:val="32"/>
          <w:lang w:val="en-US" w:eastAsia="zh-CN"/>
        </w:rPr>
        <w:t>3.一般公共服务（类）人大事务（款）一般行政管理事务（项）:</w:t>
      </w:r>
      <w:r>
        <w:rPr>
          <w:rStyle w:val="22"/>
          <w:rFonts w:hint="eastAsia" w:ascii="仿宋" w:eastAsia="仿宋"/>
          <w:b w:val="0"/>
          <w:bCs/>
          <w:color w:val="000000"/>
          <w:sz w:val="32"/>
          <w:szCs w:val="32"/>
        </w:rPr>
        <w:t>支出决算为</w:t>
      </w:r>
      <w:r>
        <w:rPr>
          <w:rStyle w:val="22"/>
          <w:rFonts w:hint="eastAsia" w:ascii="仿宋" w:eastAsia="仿宋"/>
          <w:b w:val="0"/>
          <w:bCs/>
          <w:color w:val="000000"/>
          <w:sz w:val="32"/>
          <w:szCs w:val="32"/>
          <w:lang w:val="en-US" w:eastAsia="zh-CN"/>
        </w:rPr>
        <w:t>21.26</w:t>
      </w:r>
      <w:r>
        <w:rPr>
          <w:rStyle w:val="22"/>
          <w:rFonts w:hint="eastAsia" w:ascii="仿宋" w:eastAsia="仿宋"/>
          <w:b w:val="0"/>
          <w:bCs/>
          <w:color w:val="000000"/>
          <w:sz w:val="32"/>
          <w:szCs w:val="32"/>
        </w:rPr>
        <w:t>万元，完成预算100%。结转下年0万元。</w:t>
      </w:r>
    </w:p>
    <w:p w14:paraId="74D7247E">
      <w:pPr>
        <w:spacing w:line="600" w:lineRule="exact"/>
        <w:ind w:firstLine="640" w:firstLineChars="200"/>
        <w:rPr>
          <w:rStyle w:val="22"/>
          <w:rFonts w:hint="eastAsia" w:ascii="仿宋" w:eastAsia="仿宋"/>
          <w:b w:val="0"/>
          <w:bCs/>
          <w:color w:val="000000"/>
          <w:sz w:val="32"/>
          <w:szCs w:val="32"/>
        </w:rPr>
      </w:pPr>
      <w:r>
        <w:rPr>
          <w:rStyle w:val="22"/>
          <w:rFonts w:hint="eastAsia" w:ascii="仿宋" w:eastAsia="仿宋"/>
          <w:b w:val="0"/>
          <w:bCs/>
          <w:color w:val="000000"/>
          <w:sz w:val="32"/>
          <w:szCs w:val="32"/>
          <w:lang w:val="en-US" w:eastAsia="zh-CN"/>
        </w:rPr>
        <w:t>4</w:t>
      </w:r>
      <w:r>
        <w:rPr>
          <w:rStyle w:val="22"/>
          <w:rFonts w:hint="eastAsia" w:ascii="仿宋" w:eastAsia="仿宋"/>
          <w:b w:val="0"/>
          <w:bCs/>
          <w:color w:val="000000"/>
          <w:sz w:val="32"/>
          <w:szCs w:val="32"/>
        </w:rPr>
        <w:t>. 社会保障和就业（类）行政事业单位离退休（款）机关事业单位基本养老保险缴费支出（项）: 支出决算为</w:t>
      </w:r>
      <w:r>
        <w:rPr>
          <w:rStyle w:val="22"/>
          <w:rFonts w:hint="eastAsia" w:ascii="仿宋" w:eastAsia="仿宋"/>
          <w:b w:val="0"/>
          <w:bCs/>
          <w:color w:val="000000"/>
          <w:sz w:val="32"/>
          <w:szCs w:val="32"/>
          <w:lang w:val="en-US" w:eastAsia="zh-CN"/>
        </w:rPr>
        <w:t>60.59</w:t>
      </w:r>
      <w:r>
        <w:rPr>
          <w:rStyle w:val="22"/>
          <w:rFonts w:hint="eastAsia" w:ascii="仿宋" w:eastAsia="仿宋"/>
          <w:b w:val="0"/>
          <w:bCs/>
          <w:color w:val="000000"/>
          <w:sz w:val="32"/>
          <w:szCs w:val="32"/>
        </w:rPr>
        <w:t>万元，完成预算100%，决算数等于预算数。</w:t>
      </w:r>
    </w:p>
    <w:p w14:paraId="0A3E398D">
      <w:pPr>
        <w:spacing w:line="600" w:lineRule="exact"/>
        <w:ind w:firstLine="640" w:firstLineChars="200"/>
        <w:rPr>
          <w:rStyle w:val="22"/>
          <w:rFonts w:hint="eastAsia" w:ascii="仿宋" w:eastAsia="仿宋"/>
          <w:b w:val="0"/>
          <w:bCs/>
          <w:color w:val="000000"/>
          <w:sz w:val="32"/>
          <w:szCs w:val="32"/>
        </w:rPr>
      </w:pPr>
      <w:r>
        <w:rPr>
          <w:rStyle w:val="22"/>
          <w:rFonts w:hint="eastAsia" w:ascii="仿宋" w:eastAsia="仿宋"/>
          <w:b w:val="0"/>
          <w:bCs/>
          <w:color w:val="000000"/>
          <w:sz w:val="32"/>
          <w:szCs w:val="32"/>
          <w:lang w:val="en-US" w:eastAsia="zh-CN"/>
        </w:rPr>
        <w:t>5</w:t>
      </w:r>
      <w:r>
        <w:rPr>
          <w:rStyle w:val="22"/>
          <w:rFonts w:hint="eastAsia" w:ascii="仿宋" w:eastAsia="仿宋"/>
          <w:b w:val="0"/>
          <w:bCs/>
          <w:color w:val="000000"/>
          <w:sz w:val="32"/>
          <w:szCs w:val="32"/>
        </w:rPr>
        <w:t>.社会保障和就业（类）行政事业单位离退休（款）机关事业单位基本职业年金缴费支出（项）:支出决算为</w:t>
      </w:r>
      <w:r>
        <w:rPr>
          <w:rStyle w:val="22"/>
          <w:rFonts w:hint="eastAsia" w:ascii="仿宋" w:eastAsia="仿宋"/>
          <w:b w:val="0"/>
          <w:bCs/>
          <w:color w:val="000000"/>
          <w:sz w:val="32"/>
          <w:szCs w:val="32"/>
          <w:lang w:val="en-US" w:eastAsia="zh-CN"/>
        </w:rPr>
        <w:t>31.58</w:t>
      </w:r>
      <w:r>
        <w:rPr>
          <w:rStyle w:val="22"/>
          <w:rFonts w:hint="eastAsia" w:ascii="仿宋" w:eastAsia="仿宋"/>
          <w:b w:val="0"/>
          <w:bCs/>
          <w:color w:val="000000"/>
          <w:sz w:val="32"/>
          <w:szCs w:val="32"/>
        </w:rPr>
        <w:t>万元，完成预算100%，决算数等于预算数。</w:t>
      </w:r>
    </w:p>
    <w:p w14:paraId="5D660B0A">
      <w:pPr>
        <w:spacing w:line="600" w:lineRule="exact"/>
        <w:ind w:firstLine="640" w:firstLineChars="200"/>
        <w:rPr>
          <w:rStyle w:val="22"/>
          <w:rFonts w:hint="eastAsia" w:ascii="仿宋" w:eastAsia="仿宋"/>
          <w:b w:val="0"/>
          <w:bCs/>
          <w:color w:val="000000"/>
          <w:sz w:val="32"/>
          <w:szCs w:val="32"/>
        </w:rPr>
      </w:pPr>
      <w:r>
        <w:rPr>
          <w:rStyle w:val="22"/>
          <w:rFonts w:hint="eastAsia" w:ascii="仿宋" w:eastAsia="仿宋"/>
          <w:b w:val="0"/>
          <w:bCs/>
          <w:color w:val="000000"/>
          <w:sz w:val="32"/>
          <w:szCs w:val="32"/>
          <w:lang w:val="en-US" w:eastAsia="zh-CN"/>
        </w:rPr>
        <w:t>6</w:t>
      </w:r>
      <w:r>
        <w:rPr>
          <w:rStyle w:val="22"/>
          <w:rFonts w:hint="eastAsia" w:ascii="仿宋" w:eastAsia="仿宋"/>
          <w:b w:val="0"/>
          <w:bCs/>
          <w:color w:val="000000"/>
          <w:sz w:val="32"/>
          <w:szCs w:val="32"/>
        </w:rPr>
        <w:t>.卫生健康支出（类）行政事业单位医疗（款）行政单位医疗（项）:支出决算为</w:t>
      </w:r>
      <w:r>
        <w:rPr>
          <w:rStyle w:val="22"/>
          <w:rFonts w:hint="eastAsia" w:ascii="仿宋" w:eastAsia="仿宋"/>
          <w:b w:val="0"/>
          <w:bCs/>
          <w:color w:val="000000"/>
          <w:sz w:val="32"/>
          <w:szCs w:val="32"/>
          <w:lang w:val="en-US" w:eastAsia="zh-CN"/>
        </w:rPr>
        <w:t>22.62</w:t>
      </w:r>
      <w:r>
        <w:rPr>
          <w:rStyle w:val="22"/>
          <w:rFonts w:hint="eastAsia" w:ascii="仿宋" w:eastAsia="仿宋"/>
          <w:b w:val="0"/>
          <w:bCs/>
          <w:color w:val="000000"/>
          <w:sz w:val="32"/>
          <w:szCs w:val="32"/>
        </w:rPr>
        <w:t>万元，完成预算100%，决算数等于预算数。</w:t>
      </w:r>
    </w:p>
    <w:p w14:paraId="7D83751B">
      <w:pPr>
        <w:spacing w:line="600" w:lineRule="exact"/>
        <w:ind w:firstLine="640" w:firstLineChars="200"/>
        <w:rPr>
          <w:rStyle w:val="22"/>
          <w:rFonts w:hint="eastAsia" w:ascii="仿宋" w:eastAsia="仿宋"/>
          <w:b w:val="0"/>
          <w:bCs/>
          <w:color w:val="000000"/>
          <w:sz w:val="32"/>
          <w:szCs w:val="32"/>
        </w:rPr>
      </w:pPr>
      <w:r>
        <w:rPr>
          <w:rStyle w:val="22"/>
          <w:rFonts w:hint="eastAsia" w:ascii="仿宋" w:eastAsia="仿宋"/>
          <w:b w:val="0"/>
          <w:bCs/>
          <w:color w:val="000000"/>
          <w:sz w:val="32"/>
          <w:szCs w:val="32"/>
          <w:lang w:val="en-US" w:eastAsia="zh-CN"/>
        </w:rPr>
        <w:t>7</w:t>
      </w:r>
      <w:r>
        <w:rPr>
          <w:rStyle w:val="22"/>
          <w:rFonts w:hint="eastAsia" w:ascii="仿宋" w:eastAsia="仿宋"/>
          <w:b w:val="0"/>
          <w:bCs/>
          <w:color w:val="000000"/>
          <w:sz w:val="32"/>
          <w:szCs w:val="32"/>
        </w:rPr>
        <w:t>.卫生健康支出（类）行政事业单位医疗（款）</w:t>
      </w:r>
      <w:r>
        <w:rPr>
          <w:rStyle w:val="22"/>
          <w:rFonts w:hint="eastAsia" w:ascii="仿宋" w:eastAsia="仿宋"/>
          <w:b w:val="0"/>
          <w:bCs/>
          <w:color w:val="000000"/>
          <w:sz w:val="32"/>
          <w:szCs w:val="32"/>
          <w:lang w:val="en-US" w:eastAsia="zh-CN"/>
        </w:rPr>
        <w:t>事业</w:t>
      </w:r>
      <w:r>
        <w:rPr>
          <w:rStyle w:val="22"/>
          <w:rFonts w:hint="eastAsia" w:ascii="仿宋" w:eastAsia="仿宋"/>
          <w:b w:val="0"/>
          <w:bCs/>
          <w:color w:val="000000"/>
          <w:sz w:val="32"/>
          <w:szCs w:val="32"/>
        </w:rPr>
        <w:t>单位医疗（项）:支出决算为</w:t>
      </w:r>
      <w:r>
        <w:rPr>
          <w:rStyle w:val="22"/>
          <w:rFonts w:hint="eastAsia" w:ascii="仿宋" w:eastAsia="仿宋"/>
          <w:b w:val="0"/>
          <w:bCs/>
          <w:color w:val="000000"/>
          <w:sz w:val="32"/>
          <w:szCs w:val="32"/>
          <w:lang w:val="en-US" w:eastAsia="zh-CN"/>
        </w:rPr>
        <w:t>11.15</w:t>
      </w:r>
      <w:r>
        <w:rPr>
          <w:rStyle w:val="22"/>
          <w:rFonts w:hint="eastAsia" w:ascii="仿宋" w:eastAsia="仿宋"/>
          <w:b w:val="0"/>
          <w:bCs/>
          <w:color w:val="000000"/>
          <w:sz w:val="32"/>
          <w:szCs w:val="32"/>
        </w:rPr>
        <w:t>万元，完成预算100%，决算数等于预算数。</w:t>
      </w:r>
    </w:p>
    <w:p w14:paraId="3D1E808E">
      <w:pPr>
        <w:spacing w:line="600" w:lineRule="exact"/>
        <w:ind w:firstLine="640" w:firstLineChars="200"/>
        <w:rPr>
          <w:rStyle w:val="22"/>
          <w:rFonts w:hint="eastAsia" w:ascii="仿宋" w:eastAsia="仿宋"/>
          <w:b w:val="0"/>
          <w:bCs/>
          <w:color w:val="000000"/>
          <w:sz w:val="32"/>
          <w:szCs w:val="32"/>
        </w:rPr>
      </w:pPr>
      <w:r>
        <w:rPr>
          <w:rStyle w:val="22"/>
          <w:rFonts w:hint="eastAsia" w:ascii="仿宋" w:eastAsia="仿宋"/>
          <w:b w:val="0"/>
          <w:bCs/>
          <w:color w:val="000000"/>
          <w:sz w:val="32"/>
          <w:szCs w:val="32"/>
          <w:lang w:val="en-US" w:eastAsia="zh-CN"/>
        </w:rPr>
        <w:t>8</w:t>
      </w:r>
      <w:r>
        <w:rPr>
          <w:rStyle w:val="22"/>
          <w:rFonts w:hint="eastAsia" w:ascii="仿宋" w:eastAsia="仿宋"/>
          <w:b w:val="0"/>
          <w:bCs/>
          <w:color w:val="000000"/>
          <w:sz w:val="32"/>
          <w:szCs w:val="32"/>
        </w:rPr>
        <w:t>.卫生健康支出（类）行政事业单位医疗（款）</w:t>
      </w:r>
      <w:r>
        <w:rPr>
          <w:rStyle w:val="22"/>
          <w:rFonts w:hint="eastAsia" w:ascii="仿宋" w:eastAsia="仿宋"/>
          <w:b w:val="0"/>
          <w:bCs/>
          <w:color w:val="000000"/>
          <w:sz w:val="32"/>
          <w:szCs w:val="32"/>
          <w:lang w:val="en-US" w:eastAsia="zh-CN"/>
        </w:rPr>
        <w:t>公务员医疗补助</w:t>
      </w:r>
      <w:r>
        <w:rPr>
          <w:rStyle w:val="22"/>
          <w:rFonts w:hint="eastAsia" w:ascii="仿宋" w:eastAsia="仿宋"/>
          <w:b w:val="0"/>
          <w:bCs/>
          <w:color w:val="000000"/>
          <w:sz w:val="32"/>
          <w:szCs w:val="32"/>
        </w:rPr>
        <w:t>（项）:支出决算为</w:t>
      </w:r>
      <w:r>
        <w:rPr>
          <w:rStyle w:val="22"/>
          <w:rFonts w:hint="eastAsia" w:ascii="仿宋" w:eastAsia="仿宋"/>
          <w:b w:val="0"/>
          <w:bCs/>
          <w:color w:val="000000"/>
          <w:sz w:val="32"/>
          <w:szCs w:val="32"/>
          <w:lang w:val="en-US" w:eastAsia="zh-CN"/>
        </w:rPr>
        <w:t>4.33</w:t>
      </w:r>
      <w:r>
        <w:rPr>
          <w:rStyle w:val="22"/>
          <w:rFonts w:hint="eastAsia" w:ascii="仿宋" w:eastAsia="仿宋"/>
          <w:b w:val="0"/>
          <w:bCs/>
          <w:color w:val="000000"/>
          <w:sz w:val="32"/>
          <w:szCs w:val="32"/>
        </w:rPr>
        <w:t>万元，完成预算100%，决算数等于预算数。</w:t>
      </w:r>
    </w:p>
    <w:p w14:paraId="0B7C8675">
      <w:pPr>
        <w:spacing w:line="600" w:lineRule="exact"/>
        <w:ind w:firstLine="640" w:firstLineChars="200"/>
        <w:rPr>
          <w:rStyle w:val="22"/>
          <w:rFonts w:hint="eastAsia" w:ascii="仿宋" w:eastAsia="仿宋"/>
          <w:b w:val="0"/>
          <w:bCs/>
          <w:color w:val="000000"/>
          <w:sz w:val="32"/>
          <w:szCs w:val="32"/>
        </w:rPr>
      </w:pPr>
      <w:r>
        <w:rPr>
          <w:rStyle w:val="22"/>
          <w:rFonts w:hint="eastAsia" w:ascii="仿宋" w:eastAsia="仿宋"/>
          <w:b w:val="0"/>
          <w:bCs/>
          <w:color w:val="000000"/>
          <w:sz w:val="32"/>
          <w:szCs w:val="32"/>
          <w:lang w:val="en-US" w:eastAsia="zh-CN"/>
        </w:rPr>
        <w:t>9</w:t>
      </w:r>
      <w:r>
        <w:rPr>
          <w:rStyle w:val="22"/>
          <w:rFonts w:hint="eastAsia" w:ascii="仿宋" w:eastAsia="仿宋"/>
          <w:b w:val="0"/>
          <w:bCs/>
          <w:color w:val="000000"/>
          <w:sz w:val="32"/>
          <w:szCs w:val="32"/>
        </w:rPr>
        <w:t>.卫生健康支出（类）行政事业单位医疗（款）</w:t>
      </w:r>
      <w:r>
        <w:rPr>
          <w:rStyle w:val="22"/>
          <w:rFonts w:hint="eastAsia" w:ascii="仿宋" w:eastAsia="仿宋"/>
          <w:b w:val="0"/>
          <w:bCs/>
          <w:color w:val="000000"/>
          <w:sz w:val="32"/>
          <w:szCs w:val="32"/>
          <w:lang w:val="en-US" w:eastAsia="zh-CN"/>
        </w:rPr>
        <w:t>其他行政事业单位医疗支出</w:t>
      </w:r>
      <w:r>
        <w:rPr>
          <w:rStyle w:val="22"/>
          <w:rFonts w:hint="eastAsia" w:ascii="仿宋" w:eastAsia="仿宋"/>
          <w:b w:val="0"/>
          <w:bCs/>
          <w:color w:val="000000"/>
          <w:sz w:val="32"/>
          <w:szCs w:val="32"/>
        </w:rPr>
        <w:t>（项）:支出决算为</w:t>
      </w:r>
      <w:r>
        <w:rPr>
          <w:rStyle w:val="22"/>
          <w:rFonts w:hint="eastAsia" w:ascii="仿宋" w:eastAsia="仿宋"/>
          <w:b w:val="0"/>
          <w:bCs/>
          <w:color w:val="000000"/>
          <w:sz w:val="32"/>
          <w:szCs w:val="32"/>
          <w:lang w:val="en-US" w:eastAsia="zh-CN"/>
        </w:rPr>
        <w:t>3.5</w:t>
      </w:r>
      <w:r>
        <w:rPr>
          <w:rStyle w:val="22"/>
          <w:rFonts w:hint="eastAsia" w:ascii="仿宋" w:eastAsia="仿宋"/>
          <w:b w:val="0"/>
          <w:bCs/>
          <w:color w:val="000000"/>
          <w:sz w:val="32"/>
          <w:szCs w:val="32"/>
        </w:rPr>
        <w:t>万元，完成预算100%，决算数等于预算数。</w:t>
      </w:r>
    </w:p>
    <w:p w14:paraId="0598D34B">
      <w:pPr>
        <w:spacing w:line="600" w:lineRule="exact"/>
        <w:ind w:firstLine="640" w:firstLineChars="200"/>
        <w:rPr>
          <w:rStyle w:val="22"/>
          <w:rFonts w:hint="eastAsia" w:ascii="仿宋" w:eastAsia="仿宋"/>
          <w:b w:val="0"/>
          <w:bCs/>
          <w:color w:val="000000"/>
          <w:sz w:val="32"/>
          <w:szCs w:val="32"/>
        </w:rPr>
      </w:pPr>
      <w:r>
        <w:rPr>
          <w:rStyle w:val="22"/>
          <w:rFonts w:hint="eastAsia" w:ascii="仿宋" w:eastAsia="仿宋"/>
          <w:b w:val="0"/>
          <w:bCs/>
          <w:color w:val="000000"/>
          <w:sz w:val="32"/>
          <w:szCs w:val="32"/>
          <w:lang w:val="en-US" w:eastAsia="zh-CN"/>
        </w:rPr>
        <w:t>10</w:t>
      </w:r>
      <w:r>
        <w:rPr>
          <w:rStyle w:val="22"/>
          <w:rFonts w:hint="eastAsia" w:ascii="仿宋" w:eastAsia="仿宋"/>
          <w:b w:val="0"/>
          <w:bCs/>
          <w:color w:val="000000"/>
          <w:sz w:val="32"/>
          <w:szCs w:val="32"/>
        </w:rPr>
        <w:t>.住房保障（类）住房改革支出（款）住房公积金（项）：支出决算为</w:t>
      </w:r>
      <w:r>
        <w:rPr>
          <w:rStyle w:val="22"/>
          <w:rFonts w:hint="eastAsia" w:ascii="仿宋" w:eastAsia="仿宋"/>
          <w:b w:val="0"/>
          <w:bCs/>
          <w:color w:val="000000"/>
          <w:sz w:val="32"/>
          <w:szCs w:val="32"/>
          <w:lang w:val="en-US" w:eastAsia="zh-CN"/>
        </w:rPr>
        <w:t>55.65</w:t>
      </w:r>
      <w:r>
        <w:rPr>
          <w:rStyle w:val="22"/>
          <w:rFonts w:hint="eastAsia" w:ascii="仿宋" w:eastAsia="仿宋"/>
          <w:b w:val="0"/>
          <w:bCs/>
          <w:color w:val="000000"/>
          <w:sz w:val="32"/>
          <w:szCs w:val="32"/>
        </w:rPr>
        <w:t>万元，完成预算100%，决算数等于预算数。</w:t>
      </w:r>
    </w:p>
    <w:p w14:paraId="35B25F3D">
      <w:pPr>
        <w:spacing w:line="600" w:lineRule="exact"/>
        <w:ind w:firstLine="640" w:firstLineChars="200"/>
        <w:rPr>
          <w:rStyle w:val="22"/>
          <w:rFonts w:hint="eastAsia" w:ascii="仿宋" w:eastAsia="仿宋"/>
          <w:b w:val="0"/>
          <w:bCs/>
          <w:color w:val="000000"/>
          <w:sz w:val="32"/>
          <w:szCs w:val="32"/>
        </w:rPr>
      </w:pPr>
      <w:r>
        <w:rPr>
          <w:rStyle w:val="22"/>
          <w:rFonts w:hint="eastAsia" w:ascii="仿宋" w:eastAsia="仿宋"/>
          <w:b w:val="0"/>
          <w:bCs/>
          <w:color w:val="000000"/>
          <w:sz w:val="32"/>
          <w:szCs w:val="32"/>
          <w:lang w:val="en-US" w:eastAsia="zh-CN"/>
        </w:rPr>
        <w:t>13.农林水支出（类）农业农村（款）事业运行（项）：</w:t>
      </w:r>
      <w:r>
        <w:rPr>
          <w:rStyle w:val="22"/>
          <w:rFonts w:hint="eastAsia" w:ascii="仿宋" w:eastAsia="仿宋"/>
          <w:b w:val="0"/>
          <w:bCs/>
          <w:color w:val="000000"/>
          <w:sz w:val="32"/>
          <w:szCs w:val="32"/>
        </w:rPr>
        <w:t>支出决算为</w:t>
      </w:r>
      <w:r>
        <w:rPr>
          <w:rStyle w:val="22"/>
          <w:rFonts w:hint="eastAsia" w:ascii="仿宋" w:eastAsia="仿宋"/>
          <w:b w:val="0"/>
          <w:bCs/>
          <w:color w:val="000000"/>
          <w:sz w:val="32"/>
          <w:szCs w:val="32"/>
          <w:lang w:val="en-US" w:eastAsia="zh-CN"/>
        </w:rPr>
        <w:t>186.22</w:t>
      </w:r>
      <w:r>
        <w:rPr>
          <w:rStyle w:val="22"/>
          <w:rFonts w:hint="eastAsia" w:ascii="仿宋" w:eastAsia="仿宋"/>
          <w:b w:val="0"/>
          <w:bCs/>
          <w:color w:val="000000"/>
          <w:sz w:val="32"/>
          <w:szCs w:val="32"/>
        </w:rPr>
        <w:t>万元，完成预算100%，决算数等于预算数。</w:t>
      </w:r>
    </w:p>
    <w:p w14:paraId="3D0B80EA">
      <w:pPr>
        <w:spacing w:line="600" w:lineRule="exact"/>
        <w:ind w:firstLine="640" w:firstLineChars="200"/>
        <w:rPr>
          <w:rStyle w:val="22"/>
          <w:rFonts w:hint="eastAsia" w:ascii="仿宋" w:eastAsia="仿宋"/>
          <w:b w:val="0"/>
          <w:bCs/>
          <w:color w:val="000000"/>
          <w:sz w:val="32"/>
          <w:szCs w:val="32"/>
        </w:rPr>
      </w:pPr>
      <w:r>
        <w:rPr>
          <w:rStyle w:val="22"/>
          <w:rFonts w:hint="eastAsia" w:ascii="仿宋" w:eastAsia="仿宋"/>
          <w:b w:val="0"/>
          <w:bCs/>
          <w:color w:val="000000"/>
          <w:sz w:val="32"/>
          <w:szCs w:val="32"/>
          <w:lang w:val="en-US" w:eastAsia="zh-CN"/>
        </w:rPr>
        <w:t>14.农林水支出（类）农业农村（款）巩固脱贫攻坚成果衔接乡村振兴（项）：</w:t>
      </w:r>
      <w:r>
        <w:rPr>
          <w:rStyle w:val="22"/>
          <w:rFonts w:hint="eastAsia" w:ascii="仿宋" w:eastAsia="仿宋"/>
          <w:b w:val="0"/>
          <w:bCs/>
          <w:color w:val="000000"/>
          <w:sz w:val="32"/>
          <w:szCs w:val="32"/>
        </w:rPr>
        <w:t>支出决算为</w:t>
      </w:r>
      <w:r>
        <w:rPr>
          <w:rStyle w:val="22"/>
          <w:rFonts w:hint="eastAsia" w:ascii="仿宋" w:eastAsia="仿宋"/>
          <w:b w:val="0"/>
          <w:bCs/>
          <w:color w:val="000000"/>
          <w:sz w:val="32"/>
          <w:szCs w:val="32"/>
          <w:lang w:val="en-US" w:eastAsia="zh-CN"/>
        </w:rPr>
        <w:t>19.58</w:t>
      </w:r>
      <w:r>
        <w:rPr>
          <w:rStyle w:val="22"/>
          <w:rFonts w:hint="eastAsia" w:ascii="仿宋" w:eastAsia="仿宋"/>
          <w:b w:val="0"/>
          <w:bCs/>
          <w:color w:val="000000"/>
          <w:sz w:val="32"/>
          <w:szCs w:val="32"/>
        </w:rPr>
        <w:t>万元，完成预算100%，决算数等于预算数。</w:t>
      </w:r>
    </w:p>
    <w:p w14:paraId="5B39CE87">
      <w:pPr>
        <w:spacing w:line="600" w:lineRule="exact"/>
        <w:ind w:firstLine="640" w:firstLineChars="200"/>
        <w:rPr>
          <w:rStyle w:val="22"/>
          <w:rFonts w:hint="eastAsia" w:ascii="仿宋" w:eastAsia="仿宋"/>
          <w:b w:val="0"/>
          <w:bCs/>
          <w:color w:val="000000"/>
          <w:sz w:val="32"/>
          <w:szCs w:val="32"/>
        </w:rPr>
      </w:pPr>
      <w:r>
        <w:rPr>
          <w:rStyle w:val="22"/>
          <w:rFonts w:hint="eastAsia" w:ascii="仿宋" w:eastAsia="仿宋"/>
          <w:b w:val="0"/>
          <w:bCs/>
          <w:color w:val="000000"/>
          <w:sz w:val="32"/>
          <w:szCs w:val="32"/>
          <w:lang w:val="en-US" w:eastAsia="zh-CN"/>
        </w:rPr>
        <w:t>15.农林水支出（类）农村综合改革（款）对村民委员会和村党支部的补助（项）：</w:t>
      </w:r>
      <w:r>
        <w:rPr>
          <w:rStyle w:val="22"/>
          <w:rFonts w:hint="eastAsia" w:ascii="仿宋" w:eastAsia="仿宋"/>
          <w:b w:val="0"/>
          <w:bCs/>
          <w:color w:val="000000"/>
          <w:sz w:val="32"/>
          <w:szCs w:val="32"/>
        </w:rPr>
        <w:t>支出决算为</w:t>
      </w:r>
      <w:r>
        <w:rPr>
          <w:rStyle w:val="22"/>
          <w:rFonts w:hint="eastAsia" w:ascii="仿宋" w:eastAsia="仿宋"/>
          <w:b w:val="0"/>
          <w:bCs/>
          <w:color w:val="000000"/>
          <w:sz w:val="32"/>
          <w:szCs w:val="32"/>
          <w:lang w:val="en-US" w:eastAsia="zh-CN"/>
        </w:rPr>
        <w:t>242.32</w:t>
      </w:r>
      <w:r>
        <w:rPr>
          <w:rStyle w:val="22"/>
          <w:rFonts w:hint="eastAsia" w:ascii="仿宋" w:eastAsia="仿宋"/>
          <w:b w:val="0"/>
          <w:bCs/>
          <w:color w:val="000000"/>
          <w:sz w:val="32"/>
          <w:szCs w:val="32"/>
        </w:rPr>
        <w:t>万元，完成预算100%，决算数等于预算数。</w:t>
      </w:r>
    </w:p>
    <w:p w14:paraId="5DAFF8E7">
      <w:pPr>
        <w:spacing w:line="600" w:lineRule="exact"/>
        <w:ind w:firstLine="640" w:firstLineChars="200"/>
        <w:rPr>
          <w:rStyle w:val="22"/>
          <w:rFonts w:hint="eastAsia" w:ascii="仿宋" w:eastAsia="仿宋"/>
          <w:b w:val="0"/>
          <w:bCs/>
          <w:color w:val="000000"/>
          <w:sz w:val="32"/>
          <w:szCs w:val="32"/>
        </w:rPr>
      </w:pPr>
      <w:r>
        <w:rPr>
          <w:rStyle w:val="22"/>
          <w:rFonts w:hint="eastAsia" w:ascii="仿宋" w:eastAsia="仿宋"/>
          <w:b w:val="0"/>
          <w:bCs/>
          <w:color w:val="000000"/>
          <w:sz w:val="32"/>
          <w:szCs w:val="32"/>
          <w:lang w:val="en-US" w:eastAsia="zh-CN"/>
        </w:rPr>
        <w:t>16.城乡社区支出（类）城乡社区环境卫生（款）城乡社区环境卫生（项）：</w:t>
      </w:r>
      <w:r>
        <w:rPr>
          <w:rStyle w:val="22"/>
          <w:rFonts w:hint="eastAsia" w:ascii="仿宋" w:eastAsia="仿宋"/>
          <w:b w:val="0"/>
          <w:bCs/>
          <w:color w:val="000000"/>
          <w:sz w:val="32"/>
          <w:szCs w:val="32"/>
        </w:rPr>
        <w:t>支出决算为</w:t>
      </w:r>
      <w:r>
        <w:rPr>
          <w:rStyle w:val="22"/>
          <w:rFonts w:hint="eastAsia" w:ascii="仿宋" w:eastAsia="仿宋"/>
          <w:b w:val="0"/>
          <w:bCs/>
          <w:color w:val="000000"/>
          <w:sz w:val="32"/>
          <w:szCs w:val="32"/>
          <w:lang w:val="en-US" w:eastAsia="zh-CN"/>
        </w:rPr>
        <w:t>14.89</w:t>
      </w:r>
      <w:r>
        <w:rPr>
          <w:rStyle w:val="22"/>
          <w:rFonts w:hint="eastAsia" w:ascii="仿宋" w:eastAsia="仿宋"/>
          <w:b w:val="0"/>
          <w:bCs/>
          <w:color w:val="000000"/>
          <w:sz w:val="32"/>
          <w:szCs w:val="32"/>
        </w:rPr>
        <w:t>万元，完成预算100%，决算数等于预算数。</w:t>
      </w:r>
    </w:p>
    <w:p w14:paraId="171B1B83">
      <w:pPr>
        <w:spacing w:line="600" w:lineRule="exact"/>
        <w:ind w:firstLine="640" w:firstLineChars="200"/>
        <w:rPr>
          <w:rStyle w:val="22"/>
          <w:rFonts w:hint="eastAsia" w:ascii="仿宋" w:eastAsia="仿宋"/>
          <w:b w:val="0"/>
          <w:bCs/>
          <w:color w:val="000000"/>
          <w:sz w:val="32"/>
          <w:szCs w:val="32"/>
        </w:rPr>
      </w:pPr>
      <w:r>
        <w:rPr>
          <w:rStyle w:val="22"/>
          <w:rFonts w:hint="eastAsia" w:ascii="仿宋" w:eastAsia="仿宋"/>
          <w:b w:val="0"/>
          <w:bCs/>
          <w:color w:val="000000"/>
          <w:sz w:val="32"/>
          <w:szCs w:val="32"/>
          <w:lang w:val="en-US" w:eastAsia="zh-CN"/>
        </w:rPr>
        <w:t>17.</w:t>
      </w:r>
      <w:r>
        <w:rPr>
          <w:rStyle w:val="22"/>
          <w:rFonts w:hint="eastAsia" w:ascii="仿宋" w:eastAsia="仿宋"/>
          <w:b w:val="0"/>
          <w:bCs/>
          <w:color w:val="000000"/>
          <w:sz w:val="32"/>
          <w:szCs w:val="32"/>
        </w:rPr>
        <w:t>一般公共服务（类）政府办公厅（室）及相关机构事务（款）</w:t>
      </w:r>
      <w:r>
        <w:rPr>
          <w:rStyle w:val="22"/>
          <w:rFonts w:hint="eastAsia" w:ascii="仿宋" w:eastAsia="仿宋"/>
          <w:b w:val="0"/>
          <w:bCs/>
          <w:color w:val="000000"/>
          <w:sz w:val="32"/>
          <w:szCs w:val="32"/>
          <w:lang w:val="en-US" w:eastAsia="zh-CN"/>
        </w:rPr>
        <w:t>一般行政管理事务（项）：</w:t>
      </w:r>
      <w:r>
        <w:rPr>
          <w:rStyle w:val="22"/>
          <w:rFonts w:hint="eastAsia" w:ascii="仿宋" w:eastAsia="仿宋"/>
          <w:b w:val="0"/>
          <w:bCs/>
          <w:color w:val="000000"/>
          <w:sz w:val="32"/>
          <w:szCs w:val="32"/>
        </w:rPr>
        <w:t>支出决算为</w:t>
      </w:r>
      <w:r>
        <w:rPr>
          <w:rStyle w:val="22"/>
          <w:rFonts w:hint="eastAsia" w:ascii="仿宋" w:eastAsia="仿宋"/>
          <w:b w:val="0"/>
          <w:bCs/>
          <w:color w:val="000000"/>
          <w:sz w:val="32"/>
          <w:szCs w:val="32"/>
          <w:lang w:val="en-US" w:eastAsia="zh-CN"/>
        </w:rPr>
        <w:t>6</w:t>
      </w:r>
      <w:r>
        <w:rPr>
          <w:rStyle w:val="22"/>
          <w:rFonts w:hint="eastAsia" w:ascii="仿宋" w:eastAsia="仿宋"/>
          <w:b w:val="0"/>
          <w:bCs/>
          <w:color w:val="000000"/>
          <w:sz w:val="32"/>
          <w:szCs w:val="32"/>
        </w:rPr>
        <w:t>万元，完成预算100%，决算数等于预算数。</w:t>
      </w:r>
    </w:p>
    <w:p w14:paraId="71571796">
      <w:pPr>
        <w:spacing w:line="600" w:lineRule="exact"/>
        <w:rPr>
          <w:rFonts w:hint="eastAsia" w:ascii="Times New Roman" w:hAnsi="Times New Roman" w:eastAsia="仿宋_GB2312" w:cs="仿宋_GB2312"/>
          <w:color w:val="auto"/>
          <w:kern w:val="2"/>
          <w:sz w:val="32"/>
          <w:szCs w:val="32"/>
          <w:highlight w:val="none"/>
          <w:lang w:val="en-US" w:eastAsia="zh-CN" w:bidi="ar-SA"/>
        </w:rPr>
      </w:pPr>
    </w:p>
    <w:p w14:paraId="2CC6DAA7">
      <w:pPr>
        <w:tabs>
          <w:tab w:val="right" w:pos="8306"/>
        </w:tabs>
        <w:spacing w:line="600" w:lineRule="exact"/>
        <w:ind w:firstLine="640"/>
        <w:outlineLvl w:val="1"/>
        <w:rPr>
          <w:rStyle w:val="35"/>
          <w:rFonts w:ascii="Times New Roman" w:hAnsi="Times New Roman"/>
          <w:color w:val="auto"/>
          <w:highlight w:val="none"/>
        </w:rPr>
      </w:pPr>
      <w:bookmarkStart w:id="34" w:name="_Toc15396608"/>
      <w:bookmarkStart w:id="35" w:name="_Toc15377214"/>
      <w:r>
        <w:rPr>
          <w:rFonts w:hint="eastAsia" w:ascii="Times New Roman" w:hAnsi="Times New Roman" w:eastAsia="黑体"/>
          <w:color w:val="auto"/>
          <w:sz w:val="32"/>
          <w:szCs w:val="32"/>
          <w:highlight w:val="none"/>
        </w:rPr>
        <w:t>六</w:t>
      </w:r>
      <w:r>
        <w:rPr>
          <w:rFonts w:hint="eastAsia" w:ascii="Times New Roman" w:hAnsi="Times New Roman" w:eastAsia="黑体"/>
          <w:b/>
          <w:color w:val="auto"/>
          <w:sz w:val="32"/>
          <w:szCs w:val="32"/>
          <w:highlight w:val="none"/>
        </w:rPr>
        <w:t>、一</w:t>
      </w:r>
      <w:r>
        <w:rPr>
          <w:rStyle w:val="35"/>
          <w:rFonts w:hint="eastAsia" w:ascii="Times New Roman" w:hAnsi="Times New Roman" w:eastAsia="黑体"/>
          <w:b w:val="0"/>
          <w:color w:val="auto"/>
          <w:highlight w:val="none"/>
        </w:rPr>
        <w:t>般公共预算财政拨款基本支出决算情况说明</w:t>
      </w:r>
      <w:bookmarkEnd w:id="34"/>
      <w:bookmarkEnd w:id="35"/>
      <w:r>
        <w:rPr>
          <w:rStyle w:val="35"/>
          <w:rFonts w:ascii="Times New Roman" w:hAnsi="Times New Roman" w:eastAsia="黑体"/>
          <w:b w:val="0"/>
          <w:color w:val="auto"/>
          <w:highlight w:val="none"/>
        </w:rPr>
        <w:tab/>
      </w:r>
    </w:p>
    <w:p w14:paraId="7E92E243">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2024年度一般公共预算财政拨款基本支出</w:t>
      </w:r>
      <w:r>
        <w:rPr>
          <w:rFonts w:hint="eastAsia" w:ascii="仿宋_GB2312" w:hAnsi="仿宋_GB2312" w:eastAsia="仿宋_GB2312" w:cs="仿宋_GB2312"/>
          <w:sz w:val="32"/>
          <w:szCs w:val="32"/>
        </w:rPr>
        <w:t>746.29</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元，其中：</w:t>
      </w:r>
    </w:p>
    <w:p w14:paraId="252A1FBB">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人员经费</w:t>
      </w:r>
      <w:r>
        <w:rPr>
          <w:rFonts w:hint="eastAsia" w:ascii="仿宋_GB2312" w:hAnsi="仿宋_GB2312" w:eastAsia="仿宋_GB2312" w:cs="仿宋_GB2312"/>
          <w:sz w:val="32"/>
          <w:szCs w:val="32"/>
        </w:rPr>
        <w:t>712.48</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hint="eastAsia" w:ascii="Times New Roman" w:hAnsi="Times New Roman" w:eastAsia="仿宋_GB2312" w:cs="仿宋_GB2312"/>
          <w:color w:val="auto"/>
          <w:kern w:val="2"/>
          <w:sz w:val="32"/>
          <w:szCs w:val="32"/>
          <w:highlight w:val="none"/>
          <w:lang w:val="en-US" w:eastAsia="zh-CN" w:bidi="ar-SA"/>
        </w:rPr>
        <w:br w:type="textWrapping"/>
      </w:r>
      <w:r>
        <w:rPr>
          <w:rFonts w:hint="eastAsia" w:ascii="Times New Roman" w:hAnsi="Times New Roman" w:eastAsia="仿宋_GB2312" w:cs="仿宋_GB2312"/>
          <w:color w:val="auto"/>
          <w:kern w:val="2"/>
          <w:sz w:val="32"/>
          <w:szCs w:val="32"/>
          <w:highlight w:val="none"/>
          <w:lang w:val="en-US" w:eastAsia="zh-CN" w:bidi="ar-SA"/>
        </w:rPr>
        <w:t>　　公用经费</w:t>
      </w:r>
      <w:r>
        <w:rPr>
          <w:rFonts w:hint="eastAsia" w:ascii="仿宋_GB2312" w:hAnsi="仿宋_GB2312" w:eastAsia="仿宋_GB2312" w:cs="仿宋_GB2312"/>
          <w:sz w:val="32"/>
          <w:szCs w:val="32"/>
        </w:rPr>
        <w:t>33.81</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4B111652">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69469CA1">
      <w:pPr>
        <w:spacing w:line="600" w:lineRule="exact"/>
        <w:ind w:firstLine="640"/>
        <w:outlineLvl w:val="1"/>
        <w:rPr>
          <w:rStyle w:val="35"/>
          <w:rFonts w:ascii="Times New Roman" w:hAnsi="Times New Roman" w:eastAsia="黑体"/>
          <w:b w:val="0"/>
          <w:color w:val="auto"/>
          <w:highlight w:val="none"/>
        </w:rPr>
      </w:pPr>
      <w:bookmarkStart w:id="36" w:name="_Toc15396609"/>
      <w:bookmarkStart w:id="37" w:name="_Toc15377215"/>
      <w:r>
        <w:rPr>
          <w:rFonts w:hint="eastAsia" w:ascii="Times New Roman" w:hAnsi="Times New Roman" w:eastAsia="黑体"/>
          <w:color w:val="auto"/>
          <w:sz w:val="32"/>
          <w:szCs w:val="32"/>
          <w:highlight w:val="none"/>
        </w:rPr>
        <w:t>七、</w:t>
      </w:r>
      <w:r>
        <w:rPr>
          <w:rStyle w:val="35"/>
          <w:rFonts w:hint="eastAsia" w:ascii="Times New Roman" w:hAnsi="Times New Roman" w:eastAsia="黑体"/>
          <w:b w:val="0"/>
          <w:color w:val="auto"/>
          <w:highlight w:val="none"/>
        </w:rPr>
        <w:t>财政拨款</w:t>
      </w:r>
      <w:r>
        <w:rPr>
          <w:rStyle w:val="35"/>
          <w:rFonts w:hint="eastAsia" w:ascii="Times New Roman" w:hAnsi="Times New Roman" w:eastAsia="黑体"/>
          <w:color w:val="auto"/>
          <w:highlight w:val="none"/>
        </w:rPr>
        <w:t>“</w:t>
      </w:r>
      <w:r>
        <w:rPr>
          <w:rStyle w:val="35"/>
          <w:rFonts w:hint="eastAsia" w:ascii="Times New Roman" w:hAnsi="Times New Roman" w:eastAsia="黑体"/>
          <w:b w:val="0"/>
          <w:color w:val="auto"/>
          <w:highlight w:val="none"/>
        </w:rPr>
        <w:t>三公”经费支出决算情况说明</w:t>
      </w:r>
      <w:bookmarkEnd w:id="36"/>
      <w:bookmarkEnd w:id="37"/>
    </w:p>
    <w:p w14:paraId="10FC35A0">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38" w:name="_Toc15377216"/>
      <w:r>
        <w:rPr>
          <w:rFonts w:hint="eastAsia" w:ascii="Times New Roman" w:hAnsi="Times New Roman" w:eastAsia="楷体_GB2312" w:cs="楷体_GB2312"/>
          <w:b/>
          <w:color w:val="auto"/>
          <w:sz w:val="32"/>
          <w:szCs w:val="32"/>
          <w:highlight w:val="none"/>
        </w:rPr>
        <w:t>（一）“三公”经费财政拨款支出决算总体情况说明</w:t>
      </w:r>
      <w:bookmarkEnd w:id="38"/>
    </w:p>
    <w:p w14:paraId="7E0C6276">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2024年度“三公”经费财政拨款支出决算为</w:t>
      </w:r>
      <w:r>
        <w:rPr>
          <w:rFonts w:hint="eastAsia" w:ascii="仿宋_GB2312" w:hAnsi="仿宋_GB2312" w:eastAsia="仿宋_GB2312" w:cs="仿宋_GB2312"/>
          <w:sz w:val="32"/>
          <w:szCs w:val="32"/>
        </w:rPr>
        <w:t>10</w:t>
      </w:r>
      <w:r>
        <w:rPr>
          <w:rFonts w:hint="eastAsia" w:ascii="仿宋_GB2312" w:hAnsi="仿宋_GB2312" w:eastAsia="仿宋_GB2312" w:cs="仿宋_GB2312"/>
          <w:color w:val="auto"/>
          <w:kern w:val="2"/>
          <w:sz w:val="32"/>
          <w:szCs w:val="32"/>
          <w:highlight w:val="none"/>
          <w:lang w:val="en-US" w:eastAsia="zh-CN" w:bidi="ar-SA"/>
        </w:rPr>
        <w:t>万元，完成预算</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较上年度增加/减少</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万元，增长/下降</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w:t>
      </w:r>
      <w:r>
        <w:rPr>
          <w:rFonts w:hint="eastAsia" w:ascii="仿宋" w:eastAsia="仿宋"/>
          <w:color w:val="000000"/>
          <w:sz w:val="32"/>
          <w:szCs w:val="32"/>
        </w:rPr>
        <w:t>决算数与预算数持平。</w:t>
      </w:r>
    </w:p>
    <w:p w14:paraId="11073D4D">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39" w:name="_Toc15377217"/>
      <w:r>
        <w:rPr>
          <w:rFonts w:hint="eastAsia" w:ascii="Times New Roman" w:hAnsi="Times New Roman" w:eastAsia="楷体_GB2312" w:cs="楷体_GB2312"/>
          <w:b/>
          <w:color w:val="auto"/>
          <w:sz w:val="32"/>
          <w:szCs w:val="32"/>
          <w:highlight w:val="none"/>
        </w:rPr>
        <w:t>（二）“三公”经费财政拨款支出决算具体情况说明</w:t>
      </w:r>
      <w:bookmarkEnd w:id="39"/>
    </w:p>
    <w:p w14:paraId="44CA55BC">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2024年度“三公”经费财政拨款支出决算中，因公出国（境）费支出决算</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万元，占0%；公务用车购置及运行维护费支出决算</w:t>
      </w:r>
      <w:r>
        <w:rPr>
          <w:rFonts w:hint="eastAsia" w:ascii="仿宋_GB2312" w:hAnsi="仿宋_GB2312" w:eastAsia="仿宋_GB2312" w:cs="仿宋_GB2312"/>
          <w:sz w:val="32"/>
          <w:szCs w:val="32"/>
        </w:rPr>
        <w:t>10</w:t>
      </w:r>
      <w:r>
        <w:rPr>
          <w:rFonts w:hint="eastAsia" w:ascii="仿宋_GB2312" w:hAnsi="仿宋_GB2312" w:eastAsia="仿宋_GB2312" w:cs="仿宋_GB2312"/>
          <w:color w:val="auto"/>
          <w:kern w:val="2"/>
          <w:sz w:val="32"/>
          <w:szCs w:val="32"/>
          <w:highlight w:val="none"/>
          <w:lang w:val="en-US" w:eastAsia="zh-CN" w:bidi="ar-SA"/>
        </w:rPr>
        <w:t>万元，占100%；公务接待费支出决算</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万元，占0%。具体情况如下：</w:t>
      </w:r>
    </w:p>
    <w:p w14:paraId="6C288935">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黑体" w:eastAsia="黑体"/>
          <w:color w:val="000000"/>
          <w:sz w:val="32"/>
          <w:szCs w:val="32"/>
        </w:rPr>
        <w:drawing>
          <wp:anchor distT="0" distB="0" distL="114300" distR="114300" simplePos="0" relativeHeight="251665408" behindDoc="0" locked="0" layoutInCell="1" allowOverlap="1">
            <wp:simplePos x="0" y="0"/>
            <wp:positionH relativeFrom="column">
              <wp:posOffset>67945</wp:posOffset>
            </wp:positionH>
            <wp:positionV relativeFrom="paragraph">
              <wp:posOffset>221615</wp:posOffset>
            </wp:positionV>
            <wp:extent cx="5373370" cy="2648585"/>
            <wp:effectExtent l="4445" t="4445" r="17145" b="13970"/>
            <wp:wrapTopAndBottom/>
            <wp:docPr id="11"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14:paraId="0FEFB2A0">
      <w:pPr>
        <w:spacing w:line="600" w:lineRule="exact"/>
        <w:ind w:firstLine="643" w:firstLineChars="20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1.因公出国（境）经费支出</w:t>
      </w:r>
      <w:r>
        <w:rPr>
          <w:rFonts w:hint="eastAsia" w:eastAsia="仿宋_GB2312" w:cs="仿宋_GB2312"/>
          <w:b/>
          <w:bCs/>
          <w:color w:val="auto"/>
          <w:kern w:val="2"/>
          <w:sz w:val="32"/>
          <w:szCs w:val="32"/>
          <w:highlight w:val="none"/>
          <w:lang w:val="en-US" w:eastAsia="zh-CN" w:bidi="ar-SA"/>
        </w:rPr>
        <w:t>0</w:t>
      </w:r>
      <w:r>
        <w:rPr>
          <w:rFonts w:hint="eastAsia" w:ascii="Times New Roman" w:hAnsi="Times New Roman" w:eastAsia="仿宋_GB2312" w:cs="仿宋_GB2312"/>
          <w:b/>
          <w:bCs/>
          <w:color w:val="auto"/>
          <w:kern w:val="2"/>
          <w:sz w:val="32"/>
          <w:szCs w:val="32"/>
          <w:highlight w:val="none"/>
          <w:lang w:val="en-US" w:eastAsia="zh-CN" w:bidi="ar-SA"/>
        </w:rPr>
        <w:t>万元，完成预算</w:t>
      </w:r>
      <w:r>
        <w:rPr>
          <w:rFonts w:hint="eastAsia" w:eastAsia="仿宋_GB2312" w:cs="仿宋_GB2312"/>
          <w:b/>
          <w:bCs/>
          <w:color w:val="auto"/>
          <w:kern w:val="2"/>
          <w:sz w:val="32"/>
          <w:szCs w:val="32"/>
          <w:highlight w:val="none"/>
          <w:lang w:val="en-US" w:eastAsia="zh-CN" w:bidi="ar-SA"/>
        </w:rPr>
        <w:t>0</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全年安排因公出国（境）团</w:t>
      </w:r>
      <w:r>
        <w:rPr>
          <w:rFonts w:hint="eastAsia" w:ascii="仿宋_GB2312" w:hAnsi="仿宋_GB2312" w:eastAsia="仿宋_GB2312" w:cs="仿宋_GB2312"/>
          <w:color w:val="auto"/>
          <w:kern w:val="2"/>
          <w:sz w:val="32"/>
          <w:szCs w:val="32"/>
          <w:highlight w:val="none"/>
          <w:lang w:val="en-US" w:eastAsia="zh-CN" w:bidi="ar-SA"/>
        </w:rPr>
        <w:t>组</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次，出国（境）</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人</w:t>
      </w:r>
      <w:r>
        <w:rPr>
          <w:rFonts w:hint="eastAsia" w:ascii="Times New Roman" w:hAnsi="Times New Roman" w:eastAsia="仿宋_GB2312" w:cs="仿宋_GB2312"/>
          <w:color w:val="auto"/>
          <w:kern w:val="2"/>
          <w:sz w:val="32"/>
          <w:szCs w:val="32"/>
          <w:highlight w:val="none"/>
          <w:lang w:val="en-US" w:eastAsia="zh-CN" w:bidi="ar-SA"/>
        </w:rPr>
        <w:t>。因公出国（境）支出决算比2023年增加/减少</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万元，增长/下降</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w:t>
      </w:r>
    </w:p>
    <w:p w14:paraId="7723B266">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2.公务用车购置及运行维护费支出</w:t>
      </w:r>
      <w:r>
        <w:rPr>
          <w:rFonts w:hint="eastAsia" w:ascii="仿宋_GB2312" w:hAnsi="仿宋_GB2312" w:eastAsia="仿宋_GB2312" w:cs="仿宋_GB2312"/>
          <w:b/>
          <w:bCs/>
          <w:color w:val="auto"/>
          <w:kern w:val="2"/>
          <w:sz w:val="32"/>
          <w:szCs w:val="32"/>
          <w:highlight w:val="none"/>
          <w:lang w:val="en-US" w:eastAsia="zh-CN" w:bidi="ar-SA"/>
        </w:rPr>
        <w:t>10万</w:t>
      </w:r>
      <w:r>
        <w:rPr>
          <w:rFonts w:hint="eastAsia" w:ascii="Times New Roman" w:hAnsi="Times New Roman" w:eastAsia="仿宋_GB2312" w:cs="仿宋_GB2312"/>
          <w:b/>
          <w:bCs/>
          <w:color w:val="auto"/>
          <w:kern w:val="2"/>
          <w:sz w:val="32"/>
          <w:szCs w:val="32"/>
          <w:highlight w:val="none"/>
          <w:lang w:val="en-US" w:eastAsia="zh-CN" w:bidi="ar-SA"/>
        </w:rPr>
        <w:t>元</w:t>
      </w:r>
      <w:r>
        <w:rPr>
          <w:rFonts w:hint="eastAsia"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完成预算</w:t>
      </w:r>
      <w:r>
        <w:rPr>
          <w:rFonts w:hint="eastAsia" w:eastAsia="仿宋_GB2312" w:cs="仿宋_GB2312"/>
          <w:b/>
          <w:bCs/>
          <w:color w:val="auto"/>
          <w:kern w:val="2"/>
          <w:sz w:val="32"/>
          <w:szCs w:val="32"/>
          <w:highlight w:val="none"/>
          <w:lang w:val="en-US" w:eastAsia="zh-CN" w:bidi="ar-SA"/>
        </w:rPr>
        <w:t>100</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公务用车购置及运行维护费支出决算比2023年度增加/减少</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万元，增长/下降</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w:t>
      </w:r>
    </w:p>
    <w:p w14:paraId="16A0CFE5">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其中：公务用车购置支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万元。全年按规定更新购置公务用车</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辆，其中：轿车</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辆、金额</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万元，越野车</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辆、金额</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万元，载客汽车</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辆、金额</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万元。截至2024年12月31日，单位共有公务用车</w:t>
      </w:r>
      <w:r>
        <w:rPr>
          <w:rFonts w:hint="eastAsia" w:eastAsia="仿宋_GB2312" w:cs="仿宋_GB2312"/>
          <w:color w:val="auto"/>
          <w:kern w:val="2"/>
          <w:sz w:val="32"/>
          <w:szCs w:val="32"/>
          <w:highlight w:val="none"/>
          <w:lang w:val="en-US" w:eastAsia="zh-CN" w:bidi="ar-SA"/>
        </w:rPr>
        <w:t>3</w:t>
      </w:r>
      <w:r>
        <w:rPr>
          <w:rFonts w:hint="eastAsia" w:ascii="Times New Roman" w:hAnsi="Times New Roman" w:eastAsia="仿宋_GB2312" w:cs="仿宋_GB2312"/>
          <w:color w:val="auto"/>
          <w:kern w:val="2"/>
          <w:sz w:val="32"/>
          <w:szCs w:val="32"/>
          <w:highlight w:val="none"/>
          <w:lang w:val="en-US" w:eastAsia="zh-CN" w:bidi="ar-SA"/>
        </w:rPr>
        <w:t>辆，其中：轿车</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辆、越野车</w:t>
      </w:r>
      <w:r>
        <w:rPr>
          <w:rFonts w:hint="eastAsia" w:eastAsia="仿宋_GB2312" w:cs="仿宋_GB2312"/>
          <w:color w:val="auto"/>
          <w:kern w:val="2"/>
          <w:sz w:val="32"/>
          <w:szCs w:val="32"/>
          <w:highlight w:val="none"/>
          <w:lang w:val="en-US" w:eastAsia="zh-CN" w:bidi="ar-SA"/>
        </w:rPr>
        <w:t>2</w:t>
      </w:r>
      <w:r>
        <w:rPr>
          <w:rFonts w:hint="eastAsia" w:ascii="Times New Roman" w:hAnsi="Times New Roman" w:eastAsia="仿宋_GB2312" w:cs="仿宋_GB2312"/>
          <w:color w:val="auto"/>
          <w:kern w:val="2"/>
          <w:sz w:val="32"/>
          <w:szCs w:val="32"/>
          <w:highlight w:val="none"/>
          <w:lang w:val="en-US" w:eastAsia="zh-CN" w:bidi="ar-SA"/>
        </w:rPr>
        <w:t>辆、载客汽车</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辆</w:t>
      </w:r>
      <w:r>
        <w:rPr>
          <w:rFonts w:hint="eastAsia" w:eastAsia="仿宋_GB2312" w:cs="仿宋_GB2312"/>
          <w:color w:val="auto"/>
          <w:kern w:val="2"/>
          <w:sz w:val="32"/>
          <w:szCs w:val="32"/>
          <w:highlight w:val="none"/>
          <w:lang w:val="en-US" w:eastAsia="zh-CN" w:bidi="ar-SA"/>
        </w:rPr>
        <w:t>，</w:t>
      </w:r>
      <w:r>
        <w:rPr>
          <w:rFonts w:hint="eastAsia" w:ascii="仿宋_GB2312" w:eastAsia="仿宋_GB2312"/>
          <w:color w:val="000000"/>
          <w:sz w:val="32"/>
          <w:szCs w:val="32"/>
        </w:rPr>
        <w:t>特种专业技术用车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p>
    <w:p w14:paraId="37E751F3">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公务用车运行维护费支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10</w:t>
      </w:r>
      <w:r>
        <w:rPr>
          <w:rFonts w:hint="eastAsia" w:ascii="Times New Roman" w:hAnsi="Times New Roman" w:eastAsia="仿宋_GB2312" w:cs="仿宋_GB2312"/>
          <w:color w:val="auto"/>
          <w:kern w:val="2"/>
          <w:sz w:val="32"/>
          <w:szCs w:val="32"/>
          <w:highlight w:val="none"/>
          <w:lang w:val="en-US" w:eastAsia="zh-CN" w:bidi="ar-SA"/>
        </w:rPr>
        <w:t>万元。主要用于</w:t>
      </w:r>
      <w:r>
        <w:rPr>
          <w:rFonts w:hint="eastAsia" w:eastAsia="仿宋_GB2312" w:cs="仿宋_GB2312"/>
          <w:color w:val="auto"/>
          <w:kern w:val="2"/>
          <w:sz w:val="32"/>
          <w:szCs w:val="32"/>
          <w:highlight w:val="none"/>
          <w:lang w:val="en-US" w:eastAsia="zh-CN" w:bidi="ar-SA"/>
        </w:rPr>
        <w:t>下村、上县</w:t>
      </w:r>
      <w:r>
        <w:rPr>
          <w:rFonts w:hint="eastAsia" w:ascii="Times New Roman" w:hAnsi="Times New Roman" w:eastAsia="仿宋_GB2312" w:cs="仿宋_GB2312"/>
          <w:color w:val="auto"/>
          <w:kern w:val="2"/>
          <w:sz w:val="32"/>
          <w:szCs w:val="32"/>
          <w:highlight w:val="none"/>
          <w:lang w:val="en-US" w:eastAsia="zh-CN" w:bidi="ar-SA"/>
        </w:rPr>
        <w:t>所需的公务用车燃料费、维修费、过路过桥费、保险费等支出。</w:t>
      </w:r>
    </w:p>
    <w:p w14:paraId="7F5321AD">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3.公务接待费支出</w:t>
      </w:r>
      <w:r>
        <w:rPr>
          <w:rFonts w:hint="eastAsia" w:ascii="仿宋_GB2312" w:hAnsi="仿宋_GB2312" w:eastAsia="仿宋_GB2312" w:cs="仿宋_GB2312"/>
          <w:b/>
          <w:bCs/>
          <w:color w:val="auto"/>
          <w:kern w:val="2"/>
          <w:sz w:val="32"/>
          <w:szCs w:val="32"/>
          <w:highlight w:val="none"/>
          <w:lang w:val="en-US" w:eastAsia="zh-CN" w:bidi="ar-SA"/>
        </w:rPr>
        <w:t>0万</w:t>
      </w:r>
      <w:r>
        <w:rPr>
          <w:rFonts w:hint="eastAsia" w:ascii="Times New Roman" w:hAnsi="Times New Roman" w:eastAsia="仿宋_GB2312" w:cs="仿宋_GB2312"/>
          <w:b/>
          <w:bCs/>
          <w:color w:val="auto"/>
          <w:kern w:val="2"/>
          <w:sz w:val="32"/>
          <w:szCs w:val="32"/>
          <w:highlight w:val="none"/>
          <w:lang w:val="en-US" w:eastAsia="zh-CN" w:bidi="ar-SA"/>
        </w:rPr>
        <w:t>元，完成预算</w:t>
      </w:r>
      <w:r>
        <w:rPr>
          <w:rFonts w:hint="eastAsia" w:eastAsia="仿宋_GB2312" w:cs="仿宋_GB2312"/>
          <w:b/>
          <w:bCs/>
          <w:color w:val="auto"/>
          <w:kern w:val="2"/>
          <w:sz w:val="32"/>
          <w:szCs w:val="32"/>
          <w:highlight w:val="none"/>
          <w:lang w:val="en-US" w:eastAsia="zh-CN" w:bidi="ar-SA"/>
        </w:rPr>
        <w:t>0</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公务接待费支出决算比2023年度增加/减少</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万元，增长/下降</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%。国内公务接待支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元，国内公务接</w:t>
      </w:r>
      <w:r>
        <w:rPr>
          <w:rFonts w:hint="eastAsia" w:ascii="仿宋_GB2312" w:hAnsi="仿宋_GB2312" w:eastAsia="仿宋_GB2312" w:cs="仿宋_GB2312"/>
          <w:color w:val="auto"/>
          <w:kern w:val="2"/>
          <w:sz w:val="32"/>
          <w:szCs w:val="32"/>
          <w:highlight w:val="none"/>
          <w:lang w:val="en-US" w:eastAsia="zh-CN" w:bidi="ar-SA"/>
        </w:rPr>
        <w:t>待</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批次，</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人次（不包括陪同人员），共计支出</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万元，具体内容包括：外事接待支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万元。外事接待</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批次，</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人次（不包括陪同人员），共计支出0万</w:t>
      </w:r>
      <w:r>
        <w:rPr>
          <w:rFonts w:hint="eastAsia" w:ascii="Times New Roman" w:hAnsi="Times New Roman" w:eastAsia="仿宋_GB2312" w:cs="仿宋_GB2312"/>
          <w:color w:val="auto"/>
          <w:kern w:val="2"/>
          <w:sz w:val="32"/>
          <w:szCs w:val="32"/>
          <w:highlight w:val="none"/>
          <w:lang w:val="en-US" w:eastAsia="zh-CN" w:bidi="ar-SA"/>
        </w:rPr>
        <w:t>元。</w:t>
      </w:r>
    </w:p>
    <w:p w14:paraId="61EEF41D">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bookmarkStart w:id="40" w:name="_Toc15377218"/>
      <w:bookmarkStart w:id="41" w:name="_Toc15396610"/>
    </w:p>
    <w:p w14:paraId="24CA98B6">
      <w:pPr>
        <w:spacing w:line="600" w:lineRule="exact"/>
        <w:ind w:firstLine="640"/>
        <w:outlineLvl w:val="1"/>
        <w:rPr>
          <w:rStyle w:val="35"/>
          <w:rFonts w:ascii="Times New Roman" w:hAnsi="Times New Roman" w:eastAsia="黑体"/>
          <w:color w:val="auto"/>
          <w:highlight w:val="none"/>
        </w:rPr>
      </w:pPr>
      <w:r>
        <w:rPr>
          <w:rFonts w:hint="eastAsia" w:ascii="Times New Roman" w:hAnsi="Times New Roman" w:eastAsia="黑体"/>
          <w:color w:val="auto"/>
          <w:sz w:val="32"/>
          <w:szCs w:val="32"/>
          <w:highlight w:val="none"/>
        </w:rPr>
        <w:t>八、</w:t>
      </w:r>
      <w:r>
        <w:rPr>
          <w:rStyle w:val="35"/>
          <w:rFonts w:hint="eastAsia" w:ascii="Times New Roman" w:hAnsi="Times New Roman" w:eastAsia="黑体"/>
          <w:b w:val="0"/>
          <w:color w:val="auto"/>
          <w:highlight w:val="none"/>
        </w:rPr>
        <w:t>政府性基金预算支出决算情况说明</w:t>
      </w:r>
      <w:bookmarkEnd w:id="40"/>
      <w:bookmarkEnd w:id="41"/>
    </w:p>
    <w:p w14:paraId="405ECAEF">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2024年度政府性基金预算财政拨款支出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。与2023年度相比，政府性基金预算财政拨款支出增加/减少</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万元，增长/下降</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w:t>
      </w:r>
    </w:p>
    <w:p w14:paraId="2B16AC81">
      <w:pPr>
        <w:numPr>
          <w:ilvl w:val="0"/>
          <w:numId w:val="0"/>
        </w:numPr>
        <w:spacing w:line="600" w:lineRule="exact"/>
        <w:ind w:left="630" w:leftChars="0"/>
        <w:outlineLvl w:val="1"/>
        <w:rPr>
          <w:rStyle w:val="35"/>
          <w:rFonts w:ascii="Times New Roman" w:hAnsi="Times New Roman" w:eastAsia="黑体"/>
          <w:b w:val="0"/>
          <w:color w:val="auto"/>
          <w:highlight w:val="none"/>
        </w:rPr>
      </w:pPr>
      <w:bookmarkStart w:id="42" w:name="_Toc15377219"/>
      <w:bookmarkStart w:id="43" w:name="_Toc15396611"/>
      <w:r>
        <w:rPr>
          <w:rStyle w:val="35"/>
          <w:rFonts w:hint="eastAsia" w:ascii="Times New Roman" w:hAnsi="Times New Roman" w:eastAsia="黑体"/>
          <w:b w:val="0"/>
          <w:color w:val="auto"/>
          <w:highlight w:val="none"/>
          <w:lang w:eastAsia="zh-CN"/>
        </w:rPr>
        <w:t>九、</w:t>
      </w:r>
      <w:r>
        <w:rPr>
          <w:rStyle w:val="35"/>
          <w:rFonts w:hint="eastAsia" w:ascii="Times New Roman" w:hAnsi="Times New Roman" w:eastAsia="黑体"/>
          <w:b w:val="0"/>
          <w:color w:val="auto"/>
          <w:highlight w:val="none"/>
        </w:rPr>
        <w:t>国有资本经营预算支出决算情况说明</w:t>
      </w:r>
      <w:bookmarkEnd w:id="42"/>
      <w:bookmarkEnd w:id="43"/>
    </w:p>
    <w:p w14:paraId="000C1330">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2024年度国有资本经营预算财政拨款支出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。与2023年度相比，国有资本经营预算财政拨款支出增加/减少</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万元，增长/下降</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w:t>
      </w:r>
    </w:p>
    <w:p w14:paraId="0F085F26">
      <w:pPr>
        <w:numPr>
          <w:ilvl w:val="0"/>
          <w:numId w:val="0"/>
        </w:numPr>
        <w:spacing w:line="600" w:lineRule="exact"/>
        <w:ind w:left="630" w:leftChars="0"/>
        <w:outlineLvl w:val="1"/>
        <w:rPr>
          <w:rStyle w:val="35"/>
          <w:rFonts w:hint="eastAsia" w:ascii="Times New Roman" w:hAnsi="Times New Roman" w:eastAsia="黑体"/>
          <w:b w:val="0"/>
          <w:color w:val="auto"/>
          <w:highlight w:val="none"/>
        </w:rPr>
      </w:pPr>
      <w:bookmarkStart w:id="44" w:name="_Toc15377221"/>
      <w:bookmarkStart w:id="45" w:name="_Toc15396612"/>
      <w:r>
        <w:rPr>
          <w:rStyle w:val="35"/>
          <w:rFonts w:hint="eastAsia" w:ascii="Times New Roman" w:hAnsi="Times New Roman" w:eastAsia="黑体"/>
          <w:b w:val="0"/>
          <w:color w:val="auto"/>
          <w:highlight w:val="none"/>
          <w:lang w:eastAsia="zh-CN"/>
        </w:rPr>
        <w:t>十、</w:t>
      </w:r>
      <w:r>
        <w:rPr>
          <w:rStyle w:val="35"/>
          <w:rFonts w:hint="eastAsia" w:ascii="Times New Roman" w:hAnsi="Times New Roman" w:eastAsia="黑体"/>
          <w:b w:val="0"/>
          <w:color w:val="auto"/>
          <w:highlight w:val="none"/>
        </w:rPr>
        <w:t>其他重要事项的情况说明</w:t>
      </w:r>
      <w:bookmarkEnd w:id="44"/>
      <w:bookmarkEnd w:id="45"/>
    </w:p>
    <w:p w14:paraId="17DE635F">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46" w:name="_Toc15377222"/>
      <w:r>
        <w:rPr>
          <w:rFonts w:hint="eastAsia" w:ascii="Times New Roman" w:hAnsi="Times New Roman" w:eastAsia="楷体_GB2312" w:cs="楷体_GB2312"/>
          <w:b/>
          <w:color w:val="auto"/>
          <w:sz w:val="32"/>
          <w:szCs w:val="32"/>
          <w:highlight w:val="none"/>
        </w:rPr>
        <w:t>（一）机关运行经费支出情况</w:t>
      </w:r>
      <w:bookmarkEnd w:id="46"/>
    </w:p>
    <w:p w14:paraId="7FEE457E">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color w:val="auto"/>
          <w:kern w:val="2"/>
          <w:sz w:val="32"/>
          <w:szCs w:val="32"/>
          <w:highlight w:val="none"/>
          <w:lang w:val="en-US" w:eastAsia="zh-CN" w:bidi="ar-SA"/>
        </w:rPr>
        <w:t>，</w:t>
      </w:r>
      <w:r>
        <w:rPr>
          <w:rFonts w:hint="eastAsia" w:ascii="仿宋_GB2312" w:hAnsi="仿宋_GB2312" w:eastAsia="仿宋_GB2312" w:cs="仿宋_GB2312"/>
          <w:sz w:val="32"/>
          <w:szCs w:val="32"/>
        </w:rPr>
        <w:t>金川县俄热乡人民政府</w:t>
      </w:r>
      <w:r>
        <w:rPr>
          <w:rFonts w:hint="eastAsia" w:ascii="仿宋_GB2312" w:hAnsi="仿宋_GB2312" w:eastAsia="仿宋_GB2312" w:cs="仿宋_GB2312"/>
          <w:color w:val="auto"/>
          <w:kern w:val="2"/>
          <w:sz w:val="32"/>
          <w:szCs w:val="32"/>
          <w:highlight w:val="none"/>
          <w:lang w:val="en-US" w:eastAsia="zh-CN" w:bidi="ar-SA"/>
        </w:rPr>
        <w:t>机关运行经费支出23.81万</w:t>
      </w:r>
      <w:r>
        <w:rPr>
          <w:rFonts w:hint="eastAsia" w:ascii="Times New Roman" w:hAnsi="Times New Roman" w:eastAsia="仿宋_GB2312" w:cs="仿宋_GB2312"/>
          <w:color w:val="auto"/>
          <w:kern w:val="2"/>
          <w:sz w:val="32"/>
          <w:szCs w:val="32"/>
          <w:highlight w:val="none"/>
          <w:lang w:val="en-US" w:eastAsia="zh-CN" w:bidi="ar-SA"/>
        </w:rPr>
        <w:t>元，比2023年度增加</w:t>
      </w:r>
      <w:r>
        <w:rPr>
          <w:rFonts w:hint="eastAsia" w:eastAsia="仿宋_GB2312" w:cs="仿宋_GB2312"/>
          <w:color w:val="auto"/>
          <w:kern w:val="2"/>
          <w:sz w:val="32"/>
          <w:szCs w:val="32"/>
          <w:highlight w:val="none"/>
          <w:lang w:val="en-US" w:eastAsia="zh-CN" w:bidi="ar-SA"/>
        </w:rPr>
        <w:t>2.04</w:t>
      </w:r>
      <w:r>
        <w:rPr>
          <w:rFonts w:hint="eastAsia" w:ascii="Times New Roman" w:hAnsi="Times New Roman" w:eastAsia="仿宋_GB2312" w:cs="仿宋_GB2312"/>
          <w:color w:val="auto"/>
          <w:kern w:val="2"/>
          <w:sz w:val="32"/>
          <w:szCs w:val="32"/>
          <w:highlight w:val="none"/>
          <w:lang w:val="en-US" w:eastAsia="zh-CN" w:bidi="ar-SA"/>
        </w:rPr>
        <w:t>万元，增长</w:t>
      </w:r>
      <w:r>
        <w:rPr>
          <w:rFonts w:hint="eastAsia" w:eastAsia="仿宋_GB2312" w:cs="仿宋_GB2312"/>
          <w:color w:val="auto"/>
          <w:kern w:val="2"/>
          <w:sz w:val="32"/>
          <w:szCs w:val="32"/>
          <w:highlight w:val="none"/>
          <w:lang w:val="en-US" w:eastAsia="zh-CN" w:bidi="ar-SA"/>
        </w:rPr>
        <w:t>8.57</w:t>
      </w:r>
      <w:r>
        <w:rPr>
          <w:rFonts w:hint="eastAsia" w:ascii="Times New Roman" w:hAnsi="Times New Roman" w:eastAsia="仿宋_GB2312" w:cs="仿宋_GB2312"/>
          <w:color w:val="auto"/>
          <w:kern w:val="2"/>
          <w:sz w:val="32"/>
          <w:szCs w:val="32"/>
          <w:highlight w:val="none"/>
          <w:lang w:val="en-US" w:eastAsia="zh-CN" w:bidi="ar-SA"/>
        </w:rPr>
        <w:t>%。主要原因</w:t>
      </w:r>
      <w:r>
        <w:rPr>
          <w:rFonts w:hint="eastAsia" w:ascii="仿宋_GB2312" w:eastAsia="仿宋_GB2312"/>
          <w:color w:val="000000"/>
          <w:sz w:val="32"/>
          <w:szCs w:val="32"/>
          <w:lang w:eastAsia="zh-CN"/>
        </w:rPr>
        <w:t>是人员变动及薪资变化。</w:t>
      </w:r>
    </w:p>
    <w:p w14:paraId="020A01E4">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47" w:name="_Toc15377223"/>
      <w:r>
        <w:rPr>
          <w:rFonts w:hint="eastAsia" w:ascii="Times New Roman" w:hAnsi="Times New Roman" w:eastAsia="楷体_GB2312" w:cs="楷体_GB2312"/>
          <w:b/>
          <w:color w:val="auto"/>
          <w:sz w:val="32"/>
          <w:szCs w:val="32"/>
          <w:highlight w:val="none"/>
        </w:rPr>
        <w:t>（二）政府采购支出情况</w:t>
      </w:r>
      <w:bookmarkEnd w:id="47"/>
    </w:p>
    <w:p w14:paraId="1C106516">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sz w:val="32"/>
          <w:szCs w:val="32"/>
        </w:rPr>
        <w:t>金川县俄热乡人民政府</w:t>
      </w:r>
      <w:r>
        <w:rPr>
          <w:rFonts w:hint="eastAsia" w:ascii="仿宋_GB2312" w:hAnsi="仿宋_GB2312" w:eastAsia="仿宋_GB2312" w:cs="仿宋_GB2312"/>
          <w:color w:val="auto"/>
          <w:kern w:val="2"/>
          <w:sz w:val="32"/>
          <w:szCs w:val="32"/>
          <w:highlight w:val="none"/>
          <w:lang w:val="en-US" w:eastAsia="zh-CN" w:bidi="ar-SA"/>
        </w:rPr>
        <w:t>政府采购支出总额</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万元，其中：政府采购货物支出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万元、政府采购工程支出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万元、政府采购服务支出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万元。授予中小企业合同金额</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万元，占政府采购支出总额的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%，其中：授予小微企业合同金额</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万元，占政府采购支出总额的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w:t>
      </w:r>
    </w:p>
    <w:p w14:paraId="4416D95B">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01B924E8">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48" w:name="_Toc15377224"/>
      <w:r>
        <w:rPr>
          <w:rFonts w:hint="eastAsia" w:ascii="Times New Roman" w:hAnsi="Times New Roman" w:eastAsia="楷体_GB2312" w:cs="楷体_GB2312"/>
          <w:b/>
          <w:color w:val="auto"/>
          <w:sz w:val="32"/>
          <w:szCs w:val="32"/>
          <w:highlight w:val="none"/>
        </w:rPr>
        <w:t>（三）国有资产占有使用情况</w:t>
      </w:r>
      <w:bookmarkEnd w:id="48"/>
    </w:p>
    <w:p w14:paraId="03A5D39F">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截至2024年12月31日，</w:t>
      </w:r>
      <w:r>
        <w:rPr>
          <w:rFonts w:hint="eastAsia" w:ascii="仿宋_GB2312" w:hAnsi="仿宋_GB2312" w:eastAsia="仿宋_GB2312" w:cs="仿宋_GB2312"/>
          <w:sz w:val="32"/>
          <w:szCs w:val="32"/>
        </w:rPr>
        <w:t>金川县俄热乡人民政府</w:t>
      </w:r>
      <w:r>
        <w:rPr>
          <w:rFonts w:hint="eastAsia" w:ascii="仿宋_GB2312" w:hAnsi="仿宋_GB2312" w:eastAsia="仿宋_GB2312" w:cs="仿宋_GB2312"/>
          <w:color w:val="auto"/>
          <w:kern w:val="2"/>
          <w:sz w:val="32"/>
          <w:szCs w:val="32"/>
          <w:highlight w:val="none"/>
          <w:lang w:val="en-US" w:eastAsia="zh-CN" w:bidi="ar-SA"/>
        </w:rPr>
        <w:t>共有车辆</w:t>
      </w:r>
      <w:r>
        <w:rPr>
          <w:rFonts w:hint="eastAsia" w:ascii="仿宋_GB2312" w:hAnsi="仿宋_GB2312" w:eastAsia="仿宋_GB2312" w:cs="仿宋_GB2312"/>
          <w:sz w:val="32"/>
          <w:szCs w:val="32"/>
        </w:rPr>
        <w:t>2</w:t>
      </w:r>
      <w:r>
        <w:rPr>
          <w:rFonts w:hint="eastAsia" w:ascii="仿宋_GB2312" w:hAnsi="仿宋_GB2312" w:eastAsia="仿宋_GB2312" w:cs="仿宋_GB2312"/>
          <w:color w:val="auto"/>
          <w:kern w:val="2"/>
          <w:sz w:val="32"/>
          <w:szCs w:val="32"/>
          <w:highlight w:val="none"/>
          <w:lang w:val="en-US" w:eastAsia="zh-CN" w:bidi="ar-SA"/>
        </w:rPr>
        <w:t>辆，其中：主要负责人用车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辆、机要通信用车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辆、应急保障用车</w:t>
      </w:r>
      <w:r>
        <w:rPr>
          <w:rFonts w:hint="eastAsia" w:ascii="仿宋_GB2312" w:hAnsi="仿宋_GB2312" w:eastAsia="仿宋_GB2312" w:cs="仿宋_GB2312"/>
          <w:sz w:val="32"/>
          <w:szCs w:val="32"/>
        </w:rPr>
        <w:t>2</w:t>
      </w:r>
      <w:r>
        <w:rPr>
          <w:rFonts w:hint="eastAsia" w:ascii="仿宋_GB2312" w:hAnsi="仿宋_GB2312" w:eastAsia="仿宋_GB2312" w:cs="仿宋_GB2312"/>
          <w:color w:val="auto"/>
          <w:kern w:val="2"/>
          <w:sz w:val="32"/>
          <w:szCs w:val="32"/>
          <w:highlight w:val="none"/>
          <w:lang w:val="en-US" w:eastAsia="zh-CN" w:bidi="ar-SA"/>
        </w:rPr>
        <w:t>辆、其他用车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辆，其他用车主要是用于……。单价100万元（含）以上设备（不含车辆）</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台（套）</w:t>
      </w:r>
      <w:r>
        <w:rPr>
          <w:rFonts w:hint="eastAsia" w:ascii="Times New Roman" w:hAnsi="Times New Roman" w:eastAsia="仿宋_GB2312" w:cs="仿宋_GB2312"/>
          <w:color w:val="auto"/>
          <w:kern w:val="2"/>
          <w:sz w:val="32"/>
          <w:szCs w:val="32"/>
          <w:highlight w:val="none"/>
          <w:lang w:val="en-US" w:eastAsia="zh-CN" w:bidi="ar-SA"/>
        </w:rPr>
        <w:t>。</w:t>
      </w:r>
    </w:p>
    <w:p w14:paraId="5E00F0E8">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39B635D8">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（四）预算绩效管理情况</w:t>
      </w:r>
    </w:p>
    <w:p w14:paraId="4901BF39">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根据预算绩效管理要求，</w:t>
      </w:r>
      <w:r>
        <w:rPr>
          <w:rFonts w:hint="eastAsia" w:eastAsia="仿宋_GB2312" w:cs="仿宋_GB2312"/>
          <w:color w:val="auto"/>
          <w:kern w:val="2"/>
          <w:sz w:val="32"/>
          <w:szCs w:val="32"/>
          <w:highlight w:val="none"/>
          <w:lang w:val="en-US" w:eastAsia="zh-CN" w:bidi="ar-SA"/>
        </w:rPr>
        <w:t>我单位</w:t>
      </w:r>
      <w:r>
        <w:rPr>
          <w:rFonts w:hint="eastAsia" w:ascii="Times New Roman" w:hAnsi="Times New Roman" w:eastAsia="仿宋_GB2312" w:cs="仿宋_GB2312"/>
          <w:color w:val="auto"/>
          <w:kern w:val="2"/>
          <w:sz w:val="32"/>
          <w:szCs w:val="32"/>
          <w:highlight w:val="none"/>
          <w:lang w:val="en-US" w:eastAsia="zh-CN" w:bidi="ar-SA"/>
        </w:rPr>
        <w:t>在2024年度预算编制阶段，组织对</w:t>
      </w:r>
      <w:r>
        <w:rPr>
          <w:rFonts w:hint="eastAsia" w:ascii="仿宋_GB2312" w:eastAsia="仿宋_GB2312"/>
          <w:color w:val="000000"/>
          <w:sz w:val="32"/>
          <w:szCs w:val="32"/>
          <w:lang w:val="en-US" w:eastAsia="zh-CN"/>
        </w:rPr>
        <w:t>俄热乡英布汝人居环境改造3</w:t>
      </w:r>
      <w:r>
        <w:rPr>
          <w:rFonts w:hint="eastAsia" w:ascii="Times New Roman" w:hAnsi="Times New Roman" w:eastAsia="仿宋_GB2312" w:cs="仿宋_GB2312"/>
          <w:color w:val="auto"/>
          <w:kern w:val="2"/>
          <w:sz w:val="32"/>
          <w:szCs w:val="32"/>
          <w:highlight w:val="none"/>
          <w:lang w:val="en-US" w:eastAsia="zh-CN" w:bidi="ar-SA"/>
        </w:rPr>
        <w:t>个项目开展了预算事前绩效评估，对</w:t>
      </w:r>
      <w:r>
        <w:rPr>
          <w:rFonts w:hint="eastAsia" w:eastAsia="仿宋_GB2312" w:cs="仿宋_GB2312"/>
          <w:color w:val="auto"/>
          <w:kern w:val="2"/>
          <w:sz w:val="32"/>
          <w:szCs w:val="32"/>
          <w:highlight w:val="none"/>
          <w:lang w:val="en-US" w:eastAsia="zh-CN" w:bidi="ar-SA"/>
        </w:rPr>
        <w:t>2</w:t>
      </w:r>
      <w:r>
        <w:rPr>
          <w:rFonts w:hint="eastAsia" w:ascii="Times New Roman" w:hAnsi="Times New Roman" w:eastAsia="仿宋_GB2312" w:cs="仿宋_GB2312"/>
          <w:color w:val="auto"/>
          <w:kern w:val="2"/>
          <w:sz w:val="32"/>
          <w:szCs w:val="32"/>
          <w:highlight w:val="none"/>
          <w:lang w:val="en-US" w:eastAsia="zh-CN" w:bidi="ar-SA"/>
        </w:rPr>
        <w:t>个项目编制了绩效目标，预算执行过程中，选取</w:t>
      </w:r>
      <w:r>
        <w:rPr>
          <w:rFonts w:hint="eastAsia" w:eastAsia="仿宋_GB2312" w:cs="仿宋_GB2312"/>
          <w:color w:val="auto"/>
          <w:kern w:val="2"/>
          <w:sz w:val="32"/>
          <w:szCs w:val="32"/>
          <w:highlight w:val="none"/>
          <w:lang w:val="en-US" w:eastAsia="zh-CN" w:bidi="ar-SA"/>
        </w:rPr>
        <w:t>2</w:t>
      </w:r>
      <w:r>
        <w:rPr>
          <w:rFonts w:hint="eastAsia" w:ascii="Times New Roman" w:hAnsi="Times New Roman" w:eastAsia="仿宋_GB2312" w:cs="仿宋_GB2312"/>
          <w:color w:val="auto"/>
          <w:kern w:val="2"/>
          <w:sz w:val="32"/>
          <w:szCs w:val="32"/>
          <w:highlight w:val="none"/>
          <w:lang w:val="en-US" w:eastAsia="zh-CN" w:bidi="ar-SA"/>
        </w:rPr>
        <w:t>个项目开展绩效监控。</w:t>
      </w:r>
    </w:p>
    <w:p w14:paraId="51A963BD">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组织对2024年度一般公共预算、政府性基金预算、国有资本经营预算、社会保险基金预算以及资本资产、债券资金等全面开展绩效自评，形成</w:t>
      </w:r>
      <w:r>
        <w:rPr>
          <w:rFonts w:hint="eastAsia" w:eastAsia="仿宋_GB2312" w:cs="仿宋_GB2312"/>
          <w:color w:val="auto"/>
          <w:kern w:val="2"/>
          <w:sz w:val="32"/>
          <w:szCs w:val="32"/>
          <w:highlight w:val="none"/>
          <w:lang w:val="en-US" w:eastAsia="zh-CN" w:bidi="ar-SA"/>
        </w:rPr>
        <w:t>俄热乡</w:t>
      </w:r>
      <w:r>
        <w:rPr>
          <w:rFonts w:hint="eastAsia" w:ascii="Times New Roman" w:hAnsi="Times New Roman" w:eastAsia="仿宋_GB2312" w:cs="仿宋_GB2312"/>
          <w:color w:val="auto"/>
          <w:kern w:val="2"/>
          <w:sz w:val="32"/>
          <w:szCs w:val="32"/>
          <w:highlight w:val="none"/>
          <w:lang w:val="en-US" w:eastAsia="zh-CN" w:bidi="ar-SA"/>
        </w:rPr>
        <w:t>部门整体（含部门预算项目）绩效自评报告、</w:t>
      </w:r>
      <w:r>
        <w:rPr>
          <w:rFonts w:hint="eastAsia" w:eastAsia="仿宋_GB2312" w:cs="仿宋_GB2312"/>
          <w:color w:val="auto"/>
          <w:kern w:val="2"/>
          <w:sz w:val="32"/>
          <w:szCs w:val="32"/>
          <w:highlight w:val="none"/>
          <w:lang w:val="en-US" w:eastAsia="zh-CN" w:bidi="ar-SA"/>
        </w:rPr>
        <w:t>俄热乡</w:t>
      </w:r>
      <w:r>
        <w:rPr>
          <w:rFonts w:hint="eastAsia" w:ascii="Times New Roman" w:hAnsi="Times New Roman" w:eastAsia="仿宋_GB2312" w:cs="仿宋_GB2312"/>
          <w:color w:val="auto"/>
          <w:kern w:val="2"/>
          <w:sz w:val="32"/>
          <w:szCs w:val="32"/>
          <w:highlight w:val="none"/>
          <w:lang w:val="en-US" w:eastAsia="zh-CN" w:bidi="ar-SA"/>
        </w:rPr>
        <w:t>专项预算项目绩效自评报告，其中，</w:t>
      </w:r>
      <w:r>
        <w:rPr>
          <w:rFonts w:hint="eastAsia" w:eastAsia="仿宋_GB2312" w:cs="仿宋_GB2312"/>
          <w:color w:val="auto"/>
          <w:kern w:val="2"/>
          <w:sz w:val="32"/>
          <w:szCs w:val="32"/>
          <w:highlight w:val="none"/>
          <w:lang w:val="en-US" w:eastAsia="zh-CN" w:bidi="ar-SA"/>
        </w:rPr>
        <w:t>俄热乡</w:t>
      </w:r>
      <w:r>
        <w:rPr>
          <w:rFonts w:hint="eastAsia" w:ascii="Times New Roman" w:hAnsi="Times New Roman" w:eastAsia="仿宋_GB2312" w:cs="仿宋_GB2312"/>
          <w:color w:val="auto"/>
          <w:kern w:val="2"/>
          <w:sz w:val="32"/>
          <w:szCs w:val="32"/>
          <w:highlight w:val="none"/>
          <w:lang w:val="en-US" w:eastAsia="zh-CN" w:bidi="ar-SA"/>
        </w:rPr>
        <w:t>部门整体（含部门预算项目）绩效自评得分为</w:t>
      </w:r>
      <w:r>
        <w:rPr>
          <w:rFonts w:hint="eastAsia" w:eastAsia="仿宋_GB2312" w:cs="仿宋_GB2312"/>
          <w:color w:val="auto"/>
          <w:kern w:val="2"/>
          <w:sz w:val="32"/>
          <w:szCs w:val="32"/>
          <w:highlight w:val="none"/>
          <w:lang w:val="en-US" w:eastAsia="zh-CN" w:bidi="ar-SA"/>
        </w:rPr>
        <w:t>95</w:t>
      </w:r>
      <w:r>
        <w:rPr>
          <w:rFonts w:hint="eastAsia" w:ascii="Times New Roman" w:hAnsi="Times New Roman" w:eastAsia="仿宋_GB2312" w:cs="仿宋_GB2312"/>
          <w:color w:val="auto"/>
          <w:kern w:val="2"/>
          <w:sz w:val="32"/>
          <w:szCs w:val="32"/>
          <w:highlight w:val="none"/>
          <w:lang w:val="en-US" w:eastAsia="zh-CN" w:bidi="ar-SA"/>
        </w:rPr>
        <w:t>分，绩效自评综述</w:t>
      </w:r>
      <w:r>
        <w:rPr>
          <w:rFonts w:hint="eastAsia" w:ascii="仿宋_GB2312" w:eastAsia="仿宋_GB2312"/>
          <w:color w:val="000000"/>
          <w:sz w:val="32"/>
          <w:szCs w:val="32"/>
          <w:lang w:val="en-US" w:eastAsia="zh-CN"/>
        </w:rPr>
        <w:t>绩效自评综述</w:t>
      </w:r>
      <w:r>
        <w:rPr>
          <w:rFonts w:ascii="Times New Roman" w:hAnsi="Times New Roman" w:eastAsia="仿宋_GB2312" w:cs="Times New Roman"/>
          <w:bCs/>
          <w:kern w:val="0"/>
          <w:sz w:val="32"/>
          <w:szCs w:val="32"/>
          <w:shd w:val="clear" w:color="auto" w:fill="FFFFFF"/>
          <w:lang w:val="zh-CN" w:eastAsia="zh-CN"/>
        </w:rPr>
        <w:t>全年整体支出较优，实现了年初绩效目标</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2个</w:t>
      </w:r>
      <w:r>
        <w:rPr>
          <w:rFonts w:hint="eastAsia" w:ascii="Times New Roman" w:hAnsi="Times New Roman" w:eastAsia="仿宋_GB2312" w:cs="仿宋_GB2312"/>
          <w:color w:val="auto"/>
          <w:kern w:val="2"/>
          <w:sz w:val="32"/>
          <w:szCs w:val="32"/>
          <w:highlight w:val="none"/>
          <w:lang w:val="en-US" w:eastAsia="zh-CN" w:bidi="ar-SA"/>
        </w:rPr>
        <w:t>专项预算项目绩效自评得分为</w:t>
      </w:r>
      <w:r>
        <w:rPr>
          <w:rFonts w:hint="eastAsia" w:eastAsia="仿宋_GB2312" w:cs="仿宋_GB2312"/>
          <w:color w:val="auto"/>
          <w:kern w:val="2"/>
          <w:sz w:val="32"/>
          <w:szCs w:val="32"/>
          <w:highlight w:val="none"/>
          <w:lang w:val="en-US" w:eastAsia="zh-CN" w:bidi="ar-SA"/>
        </w:rPr>
        <w:t>95</w:t>
      </w:r>
      <w:r>
        <w:rPr>
          <w:rFonts w:hint="eastAsia" w:ascii="Times New Roman" w:hAnsi="Times New Roman" w:eastAsia="仿宋_GB2312" w:cs="仿宋_GB2312"/>
          <w:color w:val="auto"/>
          <w:kern w:val="2"/>
          <w:sz w:val="32"/>
          <w:szCs w:val="32"/>
          <w:highlight w:val="none"/>
          <w:lang w:val="en-US" w:eastAsia="zh-CN" w:bidi="ar-SA"/>
        </w:rPr>
        <w:t>分，绩效自评综述</w:t>
      </w:r>
      <w:r>
        <w:rPr>
          <w:rFonts w:ascii="Times New Roman" w:hAnsi="Times New Roman" w:eastAsia="仿宋_GB2312" w:cs="Times New Roman"/>
          <w:bCs/>
          <w:kern w:val="0"/>
          <w:sz w:val="32"/>
          <w:szCs w:val="32"/>
          <w:shd w:val="clear" w:color="auto" w:fill="FFFFFF"/>
          <w:lang w:val="zh-CN" w:eastAsia="zh-CN"/>
        </w:rPr>
        <w:t>全年整体支出较优，实现了年初绩效目标</w:t>
      </w:r>
      <w:r>
        <w:rPr>
          <w:rFonts w:hint="eastAsia" w:ascii="Times New Roman" w:hAnsi="Times New Roman" w:eastAsia="仿宋_GB2312" w:cs="仿宋_GB2312"/>
          <w:color w:val="auto"/>
          <w:kern w:val="2"/>
          <w:sz w:val="32"/>
          <w:szCs w:val="32"/>
          <w:highlight w:val="none"/>
          <w:lang w:val="en-US" w:eastAsia="zh-CN" w:bidi="ar-SA"/>
        </w:rPr>
        <w:t>。绩效自评报告详见附件。</w:t>
      </w:r>
    </w:p>
    <w:p w14:paraId="449CF479">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7532291E">
      <w:pPr>
        <w:numPr>
          <w:ilvl w:val="0"/>
          <w:numId w:val="0"/>
        </w:numPr>
        <w:spacing w:line="600" w:lineRule="exact"/>
        <w:jc w:val="center"/>
        <w:outlineLvl w:val="0"/>
        <w:rPr>
          <w:rFonts w:hint="eastAsia" w:ascii="Times New Roman" w:hAnsi="Times New Roman" w:eastAsia="黑体"/>
          <w:color w:val="auto"/>
          <w:sz w:val="44"/>
          <w:szCs w:val="44"/>
          <w:highlight w:val="none"/>
        </w:rPr>
      </w:pPr>
      <w:bookmarkStart w:id="49" w:name="_Toc15396613"/>
      <w:bookmarkStart w:id="50" w:name="_Toc15377225"/>
    </w:p>
    <w:p w14:paraId="24DD3132">
      <w:pPr>
        <w:numPr>
          <w:ilvl w:val="0"/>
          <w:numId w:val="0"/>
        </w:numPr>
        <w:spacing w:line="600" w:lineRule="exact"/>
        <w:jc w:val="center"/>
        <w:outlineLvl w:val="0"/>
        <w:rPr>
          <w:rFonts w:hint="eastAsia" w:ascii="Times New Roman" w:hAnsi="Times New Roman" w:eastAsia="黑体"/>
          <w:color w:val="auto"/>
          <w:sz w:val="44"/>
          <w:szCs w:val="44"/>
          <w:highlight w:val="none"/>
        </w:rPr>
      </w:pPr>
    </w:p>
    <w:p w14:paraId="11618BF4">
      <w:pPr>
        <w:numPr>
          <w:ilvl w:val="0"/>
          <w:numId w:val="0"/>
        </w:numPr>
        <w:spacing w:line="600" w:lineRule="exact"/>
        <w:jc w:val="center"/>
        <w:outlineLvl w:val="0"/>
        <w:rPr>
          <w:rFonts w:hint="eastAsia" w:ascii="Times New Roman" w:hAnsi="Times New Roman" w:eastAsia="黑体"/>
          <w:color w:val="auto"/>
          <w:sz w:val="44"/>
          <w:szCs w:val="44"/>
          <w:highlight w:val="none"/>
        </w:rPr>
      </w:pPr>
    </w:p>
    <w:p w14:paraId="2B668FD2">
      <w:pPr>
        <w:numPr>
          <w:ilvl w:val="0"/>
          <w:numId w:val="0"/>
        </w:numPr>
        <w:spacing w:line="600" w:lineRule="exact"/>
        <w:jc w:val="center"/>
        <w:outlineLvl w:val="0"/>
        <w:rPr>
          <w:rFonts w:hint="eastAsia" w:ascii="Times New Roman" w:hAnsi="Times New Roman" w:eastAsia="黑体"/>
          <w:color w:val="auto"/>
          <w:sz w:val="44"/>
          <w:szCs w:val="44"/>
          <w:highlight w:val="none"/>
        </w:rPr>
      </w:pPr>
    </w:p>
    <w:p w14:paraId="1ED11EEF">
      <w:pPr>
        <w:numPr>
          <w:ilvl w:val="0"/>
          <w:numId w:val="0"/>
        </w:numPr>
        <w:spacing w:line="600" w:lineRule="exact"/>
        <w:jc w:val="center"/>
        <w:outlineLvl w:val="0"/>
        <w:rPr>
          <w:rFonts w:hint="eastAsia" w:ascii="Times New Roman" w:hAnsi="Times New Roman" w:eastAsia="黑体"/>
          <w:color w:val="auto"/>
          <w:sz w:val="44"/>
          <w:szCs w:val="44"/>
          <w:highlight w:val="none"/>
        </w:rPr>
      </w:pPr>
    </w:p>
    <w:p w14:paraId="7774F8C9">
      <w:pPr>
        <w:numPr>
          <w:ilvl w:val="0"/>
          <w:numId w:val="0"/>
        </w:numPr>
        <w:spacing w:line="600" w:lineRule="exact"/>
        <w:jc w:val="center"/>
        <w:outlineLvl w:val="0"/>
        <w:rPr>
          <w:rFonts w:hint="eastAsia" w:ascii="Times New Roman" w:hAnsi="Times New Roman" w:eastAsia="黑体"/>
          <w:color w:val="auto"/>
          <w:sz w:val="44"/>
          <w:szCs w:val="44"/>
          <w:highlight w:val="none"/>
        </w:rPr>
      </w:pPr>
    </w:p>
    <w:p w14:paraId="5CF6C0C7">
      <w:pPr>
        <w:numPr>
          <w:ilvl w:val="0"/>
          <w:numId w:val="0"/>
        </w:numPr>
        <w:spacing w:line="600" w:lineRule="exact"/>
        <w:jc w:val="center"/>
        <w:outlineLvl w:val="0"/>
        <w:rPr>
          <w:rFonts w:hint="eastAsia" w:ascii="Times New Roman" w:hAnsi="Times New Roman" w:eastAsia="黑体"/>
          <w:color w:val="auto"/>
          <w:sz w:val="44"/>
          <w:szCs w:val="44"/>
          <w:highlight w:val="none"/>
        </w:rPr>
      </w:pPr>
    </w:p>
    <w:p w14:paraId="560DDA80">
      <w:pPr>
        <w:numPr>
          <w:ilvl w:val="0"/>
          <w:numId w:val="0"/>
        </w:numPr>
        <w:spacing w:line="600" w:lineRule="exact"/>
        <w:jc w:val="center"/>
        <w:outlineLvl w:val="0"/>
        <w:rPr>
          <w:rFonts w:hint="eastAsia" w:ascii="Times New Roman" w:hAnsi="Times New Roman" w:eastAsia="黑体"/>
          <w:color w:val="auto"/>
          <w:sz w:val="44"/>
          <w:szCs w:val="44"/>
          <w:highlight w:val="none"/>
        </w:rPr>
      </w:pPr>
    </w:p>
    <w:p w14:paraId="586FC71D">
      <w:pPr>
        <w:numPr>
          <w:ilvl w:val="0"/>
          <w:numId w:val="0"/>
        </w:numPr>
        <w:spacing w:line="600" w:lineRule="exact"/>
        <w:jc w:val="center"/>
        <w:outlineLvl w:val="0"/>
        <w:rPr>
          <w:rFonts w:hint="eastAsia" w:ascii="Times New Roman" w:hAnsi="Times New Roman" w:eastAsia="黑体"/>
          <w:color w:val="auto"/>
          <w:sz w:val="44"/>
          <w:szCs w:val="44"/>
          <w:highlight w:val="none"/>
        </w:rPr>
      </w:pPr>
    </w:p>
    <w:p w14:paraId="4D93E291">
      <w:pPr>
        <w:numPr>
          <w:ilvl w:val="0"/>
          <w:numId w:val="0"/>
        </w:numPr>
        <w:spacing w:line="600" w:lineRule="exact"/>
        <w:jc w:val="center"/>
        <w:outlineLvl w:val="0"/>
        <w:rPr>
          <w:rFonts w:hint="eastAsia" w:ascii="Times New Roman" w:hAnsi="Times New Roman" w:eastAsia="黑体"/>
          <w:color w:val="auto"/>
          <w:sz w:val="44"/>
          <w:szCs w:val="44"/>
          <w:highlight w:val="none"/>
        </w:rPr>
      </w:pPr>
    </w:p>
    <w:p w14:paraId="1212BE2D">
      <w:pPr>
        <w:numPr>
          <w:ilvl w:val="0"/>
          <w:numId w:val="0"/>
        </w:numPr>
        <w:spacing w:line="600" w:lineRule="exact"/>
        <w:jc w:val="center"/>
        <w:outlineLvl w:val="0"/>
        <w:rPr>
          <w:rFonts w:hint="eastAsia" w:ascii="Times New Roman" w:hAnsi="Times New Roman" w:eastAsia="黑体"/>
          <w:color w:val="auto"/>
          <w:sz w:val="44"/>
          <w:szCs w:val="44"/>
          <w:highlight w:val="none"/>
        </w:rPr>
      </w:pPr>
    </w:p>
    <w:p w14:paraId="416AD8D0">
      <w:pPr>
        <w:numPr>
          <w:ilvl w:val="0"/>
          <w:numId w:val="0"/>
        </w:numPr>
        <w:spacing w:line="600" w:lineRule="exact"/>
        <w:jc w:val="center"/>
        <w:outlineLvl w:val="0"/>
        <w:rPr>
          <w:rFonts w:hint="eastAsia" w:ascii="Times New Roman" w:hAnsi="Times New Roman" w:eastAsia="黑体"/>
          <w:color w:val="auto"/>
          <w:sz w:val="44"/>
          <w:szCs w:val="44"/>
          <w:highlight w:val="none"/>
        </w:rPr>
      </w:pPr>
    </w:p>
    <w:p w14:paraId="69A98C87">
      <w:pPr>
        <w:numPr>
          <w:ilvl w:val="0"/>
          <w:numId w:val="0"/>
        </w:numPr>
        <w:spacing w:line="600" w:lineRule="exact"/>
        <w:jc w:val="center"/>
        <w:outlineLvl w:val="0"/>
        <w:rPr>
          <w:rFonts w:hint="eastAsia" w:ascii="Times New Roman" w:hAnsi="Times New Roman" w:eastAsia="黑体"/>
          <w:color w:val="auto"/>
          <w:sz w:val="44"/>
          <w:szCs w:val="44"/>
          <w:highlight w:val="none"/>
        </w:rPr>
      </w:pPr>
    </w:p>
    <w:p w14:paraId="32D6DA7E">
      <w:pPr>
        <w:numPr>
          <w:ilvl w:val="0"/>
          <w:numId w:val="0"/>
        </w:numPr>
        <w:spacing w:line="600" w:lineRule="exact"/>
        <w:jc w:val="center"/>
        <w:outlineLvl w:val="0"/>
        <w:rPr>
          <w:rFonts w:hint="eastAsia" w:ascii="Times New Roman" w:hAnsi="Times New Roman" w:eastAsia="黑体"/>
          <w:color w:val="auto"/>
          <w:sz w:val="44"/>
          <w:szCs w:val="44"/>
          <w:highlight w:val="none"/>
        </w:rPr>
      </w:pPr>
    </w:p>
    <w:p w14:paraId="2E9A0CAE">
      <w:pPr>
        <w:numPr>
          <w:ilvl w:val="0"/>
          <w:numId w:val="0"/>
        </w:numPr>
        <w:spacing w:line="600" w:lineRule="exact"/>
        <w:jc w:val="center"/>
        <w:outlineLvl w:val="0"/>
        <w:rPr>
          <w:rFonts w:hint="eastAsia" w:ascii="Times New Roman" w:hAnsi="Times New Roman" w:eastAsia="黑体"/>
          <w:color w:val="auto"/>
          <w:sz w:val="44"/>
          <w:szCs w:val="44"/>
          <w:highlight w:val="none"/>
        </w:rPr>
      </w:pPr>
    </w:p>
    <w:p w14:paraId="31F394E4">
      <w:pPr>
        <w:numPr>
          <w:ilvl w:val="0"/>
          <w:numId w:val="0"/>
        </w:numPr>
        <w:spacing w:line="600" w:lineRule="exact"/>
        <w:jc w:val="center"/>
        <w:outlineLvl w:val="0"/>
        <w:rPr>
          <w:rFonts w:hint="eastAsia" w:ascii="Times New Roman" w:hAnsi="Times New Roman" w:eastAsia="黑体"/>
          <w:color w:val="auto"/>
          <w:sz w:val="44"/>
          <w:szCs w:val="44"/>
          <w:highlight w:val="none"/>
        </w:rPr>
      </w:pPr>
    </w:p>
    <w:p w14:paraId="498175BF">
      <w:pPr>
        <w:numPr>
          <w:ilvl w:val="0"/>
          <w:numId w:val="0"/>
        </w:numPr>
        <w:spacing w:line="600" w:lineRule="exact"/>
        <w:jc w:val="center"/>
        <w:outlineLvl w:val="0"/>
        <w:rPr>
          <w:rFonts w:hint="eastAsia" w:ascii="Times New Roman" w:hAnsi="Times New Roman" w:eastAsia="黑体"/>
          <w:color w:val="auto"/>
          <w:sz w:val="44"/>
          <w:szCs w:val="44"/>
          <w:highlight w:val="none"/>
        </w:rPr>
      </w:pPr>
      <w:r>
        <w:rPr>
          <w:rFonts w:hint="eastAsia" w:ascii="Times New Roman" w:hAnsi="Times New Roman" w:eastAsia="黑体"/>
          <w:color w:val="auto"/>
          <w:sz w:val="44"/>
          <w:szCs w:val="44"/>
          <w:highlight w:val="none"/>
        </w:rPr>
        <w:t>第</w:t>
      </w:r>
      <w:r>
        <w:rPr>
          <w:rFonts w:hint="eastAsia" w:eastAsia="黑体"/>
          <w:color w:val="auto"/>
          <w:sz w:val="44"/>
          <w:szCs w:val="44"/>
          <w:highlight w:val="none"/>
          <w:lang w:eastAsia="zh-CN"/>
        </w:rPr>
        <w:t>三</w:t>
      </w:r>
      <w:r>
        <w:rPr>
          <w:rFonts w:hint="eastAsia" w:ascii="Times New Roman" w:hAnsi="Times New Roman" w:eastAsia="黑体"/>
          <w:color w:val="auto"/>
          <w:sz w:val="44"/>
          <w:szCs w:val="44"/>
          <w:highlight w:val="none"/>
        </w:rPr>
        <w:t>部分</w:t>
      </w:r>
      <w:r>
        <w:rPr>
          <w:rFonts w:hint="eastAsia" w:ascii="Times New Roman" w:hAnsi="Times New Roman" w:eastAsia="黑体"/>
          <w:color w:val="auto"/>
          <w:sz w:val="44"/>
          <w:szCs w:val="44"/>
          <w:highlight w:val="none"/>
          <w:lang w:val="en-US" w:eastAsia="zh-CN"/>
        </w:rPr>
        <w:t xml:space="preserve"> </w:t>
      </w:r>
      <w:r>
        <w:rPr>
          <w:rFonts w:hint="eastAsia"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名词解释</w:t>
      </w:r>
      <w:bookmarkEnd w:id="49"/>
      <w:bookmarkEnd w:id="50"/>
    </w:p>
    <w:p w14:paraId="21F5640B">
      <w:pPr>
        <w:spacing w:line="600" w:lineRule="exact"/>
        <w:jc w:val="left"/>
        <w:rPr>
          <w:rFonts w:ascii="Times New Roman" w:hAnsi="Times New Roman"/>
          <w:b/>
          <w:color w:val="auto"/>
          <w:sz w:val="44"/>
          <w:szCs w:val="44"/>
          <w:highlight w:val="none"/>
        </w:rPr>
      </w:pPr>
    </w:p>
    <w:p w14:paraId="3F207470">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1.财政拨款收入：指单位从同级财政部门取得的财政预算资金。</w:t>
      </w:r>
    </w:p>
    <w:p w14:paraId="4CC075C9">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2.事业收入：指事业单位开展专业业务活动及辅助活动取得的收入。</w:t>
      </w:r>
    </w:p>
    <w:p w14:paraId="6C42EB93">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3.经营收入：指事业单位在专业业务活动及其辅助活动之外开展非独立核算经营活动取得的收入。</w:t>
      </w:r>
    </w:p>
    <w:p w14:paraId="4E92E2C2">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 xml:space="preserve">4.其他收入：指单位取得的除上述收入以外的各项收入。 </w:t>
      </w:r>
    </w:p>
    <w:p w14:paraId="23B2C4B8">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 xml:space="preserve">5.使用非财政拨款结余（含专用结余）：指事业单位使用以前年度积累的非财政拨款结余弥补当年收支差额的金额。 </w:t>
      </w:r>
    </w:p>
    <w:p w14:paraId="3100326F">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 xml:space="preserve">6.年初结转和结余：指以前年度尚未完成、结转到本年按有关规定继续使用的资金。 </w:t>
      </w:r>
    </w:p>
    <w:p w14:paraId="6ED9548B">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7.结余分配：指事业单位按照会计制度规定缴纳的所得税、提取的专用结余以及转入非财政拨款结余的金额等。</w:t>
      </w:r>
    </w:p>
    <w:p w14:paraId="655F362A">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8.年末结转和结余：指单位按有关规定结转到下年或以后年度继续使用的资金。</w:t>
      </w:r>
    </w:p>
    <w:p w14:paraId="66726C5B">
      <w:pPr>
        <w:ind w:firstLine="632" w:firstLineChars="200"/>
        <w:rPr>
          <w:rFonts w:hint="eastAsia" w:ascii="仿宋_GB2312" w:hAnsi="Times New Roman" w:eastAsia="仿宋_GB2312" w:cstheme="minorBidi"/>
          <w:color w:val="auto"/>
          <w:spacing w:val="-2"/>
          <w:kern w:val="2"/>
          <w:sz w:val="32"/>
          <w:szCs w:val="32"/>
          <w:lang w:val="en-US" w:eastAsia="zh-CN" w:bidi="ar-SA"/>
        </w:rPr>
      </w:pPr>
      <w:bookmarkStart w:id="51" w:name="_Toc15396614"/>
      <w:bookmarkStart w:id="52" w:name="_Toc15377226"/>
      <w:r>
        <w:rPr>
          <w:rFonts w:hint="eastAsia" w:ascii="仿宋_GB2312" w:hAnsi="Times New Roman" w:eastAsia="仿宋_GB2312" w:cstheme="minorBidi"/>
          <w:color w:val="auto"/>
          <w:spacing w:val="-2"/>
          <w:kern w:val="2"/>
          <w:sz w:val="32"/>
          <w:szCs w:val="32"/>
          <w:lang w:val="en-US" w:eastAsia="zh-CN" w:bidi="ar-SA"/>
        </w:rPr>
        <w:t>9.一般公共服务（类）政府办公厅（室）及相关机构事务（款）一般行政管理事务（项）：指反映行政单位未单独设置顶级科目的其他项目支出。</w:t>
      </w:r>
    </w:p>
    <w:p w14:paraId="3BAEFF87">
      <w:pPr>
        <w:spacing w:line="600" w:lineRule="exact"/>
        <w:ind w:firstLine="632" w:firstLineChars="200"/>
        <w:rPr>
          <w:rFonts w:hint="eastAsia" w:ascii="仿宋_GB2312" w:hAnsi="Times New Roman" w:eastAsia="仿宋_GB2312" w:cstheme="minorBidi"/>
          <w:color w:val="auto"/>
          <w:spacing w:val="-2"/>
          <w:kern w:val="2"/>
          <w:sz w:val="32"/>
          <w:szCs w:val="32"/>
          <w:lang w:val="en-US" w:eastAsia="zh-CN" w:bidi="ar-SA"/>
        </w:rPr>
      </w:pPr>
      <w:r>
        <w:rPr>
          <w:rFonts w:hint="eastAsia" w:ascii="仿宋_GB2312" w:hAnsi="Times New Roman" w:eastAsia="仿宋_GB2312" w:cstheme="minorBidi"/>
          <w:color w:val="auto"/>
          <w:spacing w:val="-2"/>
          <w:kern w:val="2"/>
          <w:sz w:val="32"/>
          <w:szCs w:val="32"/>
          <w:lang w:val="en-US" w:eastAsia="zh-CN" w:bidi="ar-SA"/>
        </w:rPr>
        <w:t>10.教育（类）其他教育支出（款）其他教育支出（项）：除上诉项目以外用于教育管理事务方面的支出。</w:t>
      </w:r>
    </w:p>
    <w:p w14:paraId="100AC917">
      <w:pPr>
        <w:spacing w:line="600" w:lineRule="exact"/>
        <w:ind w:firstLine="632" w:firstLineChars="200"/>
        <w:rPr>
          <w:rFonts w:hint="eastAsia" w:ascii="仿宋_GB2312" w:hAnsi="Times New Roman" w:eastAsia="仿宋_GB2312" w:cstheme="minorBidi"/>
          <w:color w:val="auto"/>
          <w:spacing w:val="-2"/>
          <w:kern w:val="2"/>
          <w:sz w:val="32"/>
          <w:szCs w:val="32"/>
          <w:lang w:val="en-US" w:eastAsia="zh-CN" w:bidi="ar-SA"/>
        </w:rPr>
      </w:pPr>
      <w:r>
        <w:rPr>
          <w:rFonts w:hint="eastAsia" w:ascii="仿宋_GB2312" w:hAnsi="Times New Roman" w:eastAsia="仿宋_GB2312" w:cstheme="minorBidi"/>
          <w:color w:val="auto"/>
          <w:spacing w:val="-2"/>
          <w:kern w:val="2"/>
          <w:sz w:val="32"/>
          <w:szCs w:val="32"/>
          <w:lang w:val="en-US" w:eastAsia="zh-CN" w:bidi="ar-SA"/>
        </w:rPr>
        <w:t>11.社会保障和就业（类）行政事业单位离退休（款）机关事业单位基本养老保险缴费支出（项）：指单位为职工缴纳的基本养老保险费。</w:t>
      </w:r>
    </w:p>
    <w:p w14:paraId="57CD3B76">
      <w:pPr>
        <w:ind w:firstLine="632" w:firstLineChars="200"/>
        <w:rPr>
          <w:rFonts w:hint="eastAsia" w:ascii="仿宋_GB2312" w:hAnsi="Times New Roman" w:eastAsia="仿宋_GB2312" w:cstheme="minorBidi"/>
          <w:color w:val="auto"/>
          <w:spacing w:val="-2"/>
          <w:kern w:val="2"/>
          <w:sz w:val="32"/>
          <w:szCs w:val="32"/>
          <w:lang w:val="en-US" w:eastAsia="zh-CN" w:bidi="ar-SA"/>
        </w:rPr>
      </w:pPr>
      <w:r>
        <w:rPr>
          <w:rFonts w:hint="eastAsia" w:ascii="仿宋_GB2312" w:hAnsi="Times New Roman" w:eastAsia="仿宋_GB2312" w:cstheme="minorBidi"/>
          <w:color w:val="auto"/>
          <w:spacing w:val="-2"/>
          <w:kern w:val="2"/>
          <w:sz w:val="32"/>
          <w:szCs w:val="32"/>
          <w:lang w:val="en-US" w:eastAsia="zh-CN" w:bidi="ar-SA"/>
        </w:rPr>
        <w:t>12.社会保障和就业（类）行政事业单位离退休（款）机关事业单位基本职业年金缴费支出（项）：指单位为职工实际缴纳的职业年金。</w:t>
      </w:r>
    </w:p>
    <w:p w14:paraId="4D20EA0A">
      <w:pPr>
        <w:ind w:firstLine="632" w:firstLineChars="200"/>
        <w:rPr>
          <w:rFonts w:hint="eastAsia" w:ascii="仿宋_GB2312" w:hAnsi="Times New Roman" w:eastAsia="仿宋_GB2312" w:cstheme="minorBidi"/>
          <w:color w:val="auto"/>
          <w:spacing w:val="-2"/>
          <w:kern w:val="2"/>
          <w:sz w:val="32"/>
          <w:szCs w:val="32"/>
          <w:lang w:val="en-US" w:eastAsia="zh-CN" w:bidi="ar-SA"/>
        </w:rPr>
      </w:pPr>
      <w:r>
        <w:rPr>
          <w:rFonts w:hint="eastAsia" w:ascii="仿宋_GB2312" w:hAnsi="Times New Roman" w:eastAsia="仿宋_GB2312" w:cstheme="minorBidi"/>
          <w:color w:val="auto"/>
          <w:spacing w:val="-2"/>
          <w:kern w:val="2"/>
          <w:sz w:val="32"/>
          <w:szCs w:val="32"/>
          <w:lang w:val="en-US" w:eastAsia="zh-CN" w:bidi="ar-SA"/>
        </w:rPr>
        <w:t>13.医疗卫生与计划生育（类）行政事业单位医疗（款）行政单位医疗（项）：指反映职工缴纳的基本医疗保险费。</w:t>
      </w:r>
    </w:p>
    <w:p w14:paraId="058C792D">
      <w:pPr>
        <w:ind w:firstLine="632" w:firstLineChars="200"/>
        <w:rPr>
          <w:rFonts w:hint="eastAsia" w:ascii="仿宋_GB2312" w:hAnsi="Times New Roman" w:eastAsia="仿宋_GB2312" w:cstheme="minorBidi"/>
          <w:color w:val="auto"/>
          <w:spacing w:val="-2"/>
          <w:kern w:val="2"/>
          <w:sz w:val="32"/>
          <w:szCs w:val="32"/>
          <w:lang w:val="en-US" w:eastAsia="zh-CN" w:bidi="ar-SA"/>
        </w:rPr>
      </w:pPr>
      <w:r>
        <w:rPr>
          <w:rFonts w:hint="eastAsia" w:ascii="仿宋_GB2312" w:hAnsi="Times New Roman" w:eastAsia="仿宋_GB2312" w:cstheme="minorBidi"/>
          <w:color w:val="auto"/>
          <w:spacing w:val="-2"/>
          <w:kern w:val="2"/>
          <w:sz w:val="32"/>
          <w:szCs w:val="32"/>
          <w:lang w:val="en-US" w:eastAsia="zh-CN" w:bidi="ar-SA"/>
        </w:rPr>
        <w:t>14.医疗卫生与计划生育（类）行政事业单位医疗（款）公务员医疗补助（项）：指按规定可享受公务员医疗补助单位为职工缴纳的公务员医疗补助费。</w:t>
      </w:r>
    </w:p>
    <w:p w14:paraId="7DC27417">
      <w:pPr>
        <w:ind w:firstLine="632" w:firstLineChars="200"/>
        <w:rPr>
          <w:rFonts w:hint="eastAsia" w:ascii="仿宋_GB2312" w:hAnsi="Times New Roman" w:eastAsia="仿宋_GB2312" w:cstheme="minorBidi"/>
          <w:color w:val="auto"/>
          <w:spacing w:val="-2"/>
          <w:kern w:val="2"/>
          <w:sz w:val="32"/>
          <w:szCs w:val="32"/>
          <w:lang w:val="en-US" w:eastAsia="zh-CN" w:bidi="ar-SA"/>
        </w:rPr>
      </w:pPr>
      <w:r>
        <w:rPr>
          <w:rFonts w:hint="eastAsia" w:ascii="仿宋_GB2312" w:hAnsi="Times New Roman" w:eastAsia="仿宋_GB2312" w:cstheme="minorBidi"/>
          <w:color w:val="auto"/>
          <w:spacing w:val="-2"/>
          <w:kern w:val="2"/>
          <w:sz w:val="32"/>
          <w:szCs w:val="32"/>
          <w:lang w:val="en-US" w:eastAsia="zh-CN" w:bidi="ar-SA"/>
        </w:rPr>
        <w:t>15.住房保障（类）住房改革支出（款）住房公积金（项）：指单位按规定为职工缴纳的住房公积金。</w:t>
      </w:r>
    </w:p>
    <w:p w14:paraId="64C8B74C">
      <w:pPr>
        <w:ind w:firstLine="632" w:firstLineChars="200"/>
        <w:rPr>
          <w:rFonts w:hint="eastAsia" w:ascii="仿宋_GB2312" w:hAnsi="Times New Roman" w:eastAsia="仿宋_GB2312" w:cstheme="minorBidi"/>
          <w:color w:val="auto"/>
          <w:spacing w:val="-2"/>
          <w:kern w:val="2"/>
          <w:sz w:val="32"/>
          <w:szCs w:val="32"/>
          <w:lang w:val="en-US" w:eastAsia="zh-CN" w:bidi="ar-SA"/>
        </w:rPr>
      </w:pPr>
      <w:r>
        <w:rPr>
          <w:rFonts w:hint="eastAsia" w:ascii="仿宋_GB2312" w:hAnsi="Times New Roman" w:eastAsia="仿宋_GB2312" w:cstheme="minorBidi"/>
          <w:color w:val="auto"/>
          <w:spacing w:val="-2"/>
          <w:kern w:val="2"/>
          <w:sz w:val="32"/>
          <w:szCs w:val="32"/>
          <w:lang w:val="en-US" w:eastAsia="zh-CN" w:bidi="ar-SA"/>
        </w:rPr>
        <w:t>16.基本支出：指为保障机构正常运转、完成日常工作任务而发生的人员支出和公用支出。</w:t>
      </w:r>
    </w:p>
    <w:p w14:paraId="37DCF7A7">
      <w:pPr>
        <w:ind w:firstLine="632" w:firstLineChars="200"/>
        <w:rPr>
          <w:rFonts w:hint="eastAsia" w:ascii="仿宋_GB2312" w:hAnsi="Times New Roman" w:eastAsia="仿宋_GB2312" w:cstheme="minorBidi"/>
          <w:color w:val="auto"/>
          <w:spacing w:val="-2"/>
          <w:kern w:val="2"/>
          <w:sz w:val="32"/>
          <w:szCs w:val="32"/>
          <w:lang w:val="en-US" w:eastAsia="zh-CN" w:bidi="ar-SA"/>
        </w:rPr>
      </w:pPr>
      <w:r>
        <w:rPr>
          <w:rFonts w:hint="eastAsia" w:ascii="仿宋_GB2312" w:hAnsi="Times New Roman" w:eastAsia="仿宋_GB2312" w:cstheme="minorBidi"/>
          <w:color w:val="auto"/>
          <w:spacing w:val="-2"/>
          <w:kern w:val="2"/>
          <w:sz w:val="32"/>
          <w:szCs w:val="32"/>
          <w:lang w:val="en-US" w:eastAsia="zh-CN" w:bidi="ar-SA"/>
        </w:rPr>
        <w:t xml:space="preserve">17.项目支出：指在基本支出之外为完成特定行政任务和事业发展目标所发生的支出。 </w:t>
      </w:r>
    </w:p>
    <w:p w14:paraId="6264A02A">
      <w:pPr>
        <w:pStyle w:val="32"/>
        <w:spacing w:line="560" w:lineRule="exact"/>
        <w:ind w:firstLine="632" w:firstLineChars="200"/>
        <w:rPr>
          <w:rFonts w:hint="eastAsia" w:ascii="仿宋_GB2312" w:hAnsi="Times New Roman" w:eastAsia="仿宋_GB2312" w:cstheme="minorBidi"/>
          <w:color w:val="auto"/>
          <w:spacing w:val="-2"/>
          <w:kern w:val="2"/>
          <w:sz w:val="32"/>
          <w:szCs w:val="32"/>
          <w:lang w:val="en-US" w:eastAsia="zh-CN" w:bidi="ar-SA"/>
        </w:rPr>
      </w:pPr>
      <w:r>
        <w:rPr>
          <w:rFonts w:hint="eastAsia" w:ascii="仿宋_GB2312" w:hAnsi="Times New Roman" w:eastAsia="仿宋_GB2312" w:cstheme="minorBidi"/>
          <w:color w:val="auto"/>
          <w:spacing w:val="-2"/>
          <w:kern w:val="2"/>
          <w:sz w:val="32"/>
          <w:szCs w:val="32"/>
          <w:lang w:val="en-US" w:eastAsia="zh-CN" w:bidi="ar-SA"/>
        </w:rPr>
        <w:t>18.“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3CB3EAB6">
      <w:pPr>
        <w:pStyle w:val="32"/>
        <w:spacing w:line="560" w:lineRule="exact"/>
        <w:ind w:firstLine="632" w:firstLineChars="200"/>
        <w:rPr>
          <w:rFonts w:hint="eastAsia" w:ascii="仿宋_GB2312" w:hAnsi="Times New Roman" w:eastAsia="仿宋_GB2312" w:cstheme="minorBidi"/>
          <w:color w:val="auto"/>
          <w:spacing w:val="-2"/>
          <w:kern w:val="2"/>
          <w:sz w:val="32"/>
          <w:szCs w:val="32"/>
          <w:lang w:val="en-US" w:eastAsia="zh-CN" w:bidi="ar-SA"/>
        </w:rPr>
      </w:pPr>
      <w:r>
        <w:rPr>
          <w:rFonts w:hint="eastAsia" w:ascii="仿宋_GB2312" w:hAnsi="Times New Roman" w:eastAsia="仿宋_GB2312" w:cstheme="minorBidi"/>
          <w:color w:val="auto"/>
          <w:spacing w:val="-2"/>
          <w:kern w:val="2"/>
          <w:sz w:val="32"/>
          <w:szCs w:val="32"/>
          <w:lang w:val="en-US" w:eastAsia="zh-CN" w:bidi="ar-SA"/>
        </w:rPr>
        <w:t>19.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4C424F26">
      <w:pPr>
        <w:spacing w:line="600" w:lineRule="exact"/>
        <w:ind w:firstLine="640" w:firstLineChars="20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20</w:t>
      </w:r>
      <w:r>
        <w:rPr>
          <w:rFonts w:hint="eastAsia" w:ascii="Times New Roman" w:hAnsi="Times New Roman" w:eastAsia="仿宋_GB2312" w:cs="仿宋_GB2312"/>
          <w:color w:val="auto"/>
          <w:kern w:val="2"/>
          <w:sz w:val="32"/>
          <w:szCs w:val="32"/>
          <w:highlight w:val="none"/>
          <w:lang w:val="en-US" w:eastAsia="zh-CN" w:bidi="ar-SA"/>
        </w:rPr>
        <w:t>.基本支出：指为保障机构正常运转、完成日常工作任务而发生的人员支出和公用支出。</w:t>
      </w:r>
    </w:p>
    <w:p w14:paraId="2DF646A5">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21</w:t>
      </w:r>
      <w:r>
        <w:rPr>
          <w:rFonts w:hint="eastAsia" w:ascii="Times New Roman" w:hAnsi="Times New Roman" w:eastAsia="仿宋_GB2312" w:cs="仿宋_GB2312"/>
          <w:color w:val="auto"/>
          <w:kern w:val="2"/>
          <w:sz w:val="32"/>
          <w:szCs w:val="32"/>
          <w:highlight w:val="none"/>
          <w:lang w:val="en-US" w:eastAsia="zh-CN" w:bidi="ar-SA"/>
        </w:rPr>
        <w:t xml:space="preserve">.项目支出：指在基本支出之外为完成特定行政任务和事业发展目标所发生的支出。 </w:t>
      </w:r>
    </w:p>
    <w:p w14:paraId="58FEF493">
      <w:pPr>
        <w:spacing w:line="600" w:lineRule="exact"/>
        <w:ind w:firstLine="640"/>
        <w:rPr>
          <w:rFonts w:hint="eastAsia" w:ascii="仿宋_GB2312" w:hAnsi="Times New Roman" w:eastAsia="仿宋_GB2312" w:cstheme="minorBidi"/>
          <w:color w:val="auto"/>
          <w:spacing w:val="-2"/>
          <w:kern w:val="2"/>
          <w:sz w:val="32"/>
          <w:szCs w:val="32"/>
          <w:lang w:val="en-US" w:eastAsia="zh-CN" w:bidi="ar-SA"/>
        </w:rPr>
      </w:pPr>
      <w:r>
        <w:rPr>
          <w:rFonts w:hint="eastAsia" w:eastAsia="仿宋_GB2312" w:cs="仿宋_GB2312"/>
          <w:color w:val="auto"/>
          <w:kern w:val="2"/>
          <w:sz w:val="32"/>
          <w:szCs w:val="32"/>
          <w:highlight w:val="none"/>
          <w:lang w:val="en-US" w:eastAsia="zh-CN" w:bidi="ar-SA"/>
        </w:rPr>
        <w:t>22</w:t>
      </w:r>
      <w:r>
        <w:rPr>
          <w:rFonts w:hint="eastAsia" w:ascii="Times New Roman" w:hAnsi="Times New Roman" w:eastAsia="仿宋_GB2312" w:cs="仿宋_GB2312"/>
          <w:color w:val="auto"/>
          <w:kern w:val="2"/>
          <w:sz w:val="32"/>
          <w:szCs w:val="32"/>
          <w:highlight w:val="none"/>
          <w:lang w:val="en-US" w:eastAsia="zh-CN" w:bidi="ar-SA"/>
        </w:rPr>
        <w:t>.经营支出：指事业单位在专业业务活动及其辅助活动之外开展非独立核算经营活动发生的支出。</w:t>
      </w:r>
    </w:p>
    <w:p w14:paraId="2BCDB3B7">
      <w:pPr>
        <w:pStyle w:val="16"/>
        <w:numPr>
          <w:ilvl w:val="0"/>
          <w:numId w:val="0"/>
        </w:numPr>
        <w:rPr>
          <w:rFonts w:hint="eastAsia"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23“</w:t>
      </w:r>
      <w:r>
        <w:rPr>
          <w:rFonts w:hint="eastAsia" w:ascii="Times New Roman" w:hAnsi="Times New Roman" w:eastAsia="仿宋_GB2312" w:cs="仿宋_GB2312"/>
          <w:color w:val="auto"/>
          <w:kern w:val="2"/>
          <w:sz w:val="32"/>
          <w:szCs w:val="32"/>
          <w:highlight w:val="none"/>
          <w:lang w:val="en-US" w:eastAsia="zh-CN" w:bidi="ar-SA"/>
        </w:rPr>
        <w:t>三公</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r>
        <w:rPr>
          <w:rFonts w:hint="eastAsia" w:eastAsia="仿宋_GB2312" w:cs="仿宋_GB2312"/>
          <w:color w:val="auto"/>
          <w:kern w:val="2"/>
          <w:sz w:val="32"/>
          <w:szCs w:val="32"/>
          <w:highlight w:val="none"/>
          <w:lang w:val="en-US" w:eastAsia="zh-CN" w:bidi="ar-SA"/>
        </w:rPr>
        <w:t>。</w:t>
      </w:r>
    </w:p>
    <w:p w14:paraId="39BD0679">
      <w:pPr>
        <w:pStyle w:val="16"/>
        <w:numPr>
          <w:ilvl w:val="0"/>
          <w:numId w:val="0"/>
        </w:numPr>
        <w:ind w:firstLine="640" w:firstLineChars="20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24、</w:t>
      </w:r>
      <w:r>
        <w:rPr>
          <w:rFonts w:hint="eastAsia" w:ascii="Times New Roman" w:hAnsi="Times New Roman" w:eastAsia="仿宋_GB2312" w:cs="仿宋_GB2312"/>
          <w:color w:val="auto"/>
          <w:kern w:val="2"/>
          <w:sz w:val="32"/>
          <w:szCs w:val="32"/>
          <w:highlight w:val="none"/>
          <w:lang w:val="en-US" w:eastAsia="zh-CN" w:bidi="ar-SA"/>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42DA8554">
      <w:pPr>
        <w:spacing w:line="600" w:lineRule="exact"/>
        <w:ind w:firstLine="640"/>
        <w:rPr>
          <w:rFonts w:hint="eastAsia" w:eastAsia="仿宋_GB2312" w:cs="仿宋_GB2312"/>
          <w:color w:val="auto"/>
          <w:kern w:val="2"/>
          <w:sz w:val="32"/>
          <w:szCs w:val="32"/>
          <w:highlight w:val="none"/>
          <w:lang w:val="en-US" w:eastAsia="zh-CN" w:bidi="ar-SA"/>
        </w:rPr>
      </w:pPr>
    </w:p>
    <w:p w14:paraId="589F6CE0">
      <w:pPr>
        <w:rPr>
          <w:rFonts w:hint="eastAsia"/>
          <w:lang w:val="en-US" w:eastAsia="zh-CN"/>
        </w:rPr>
      </w:pPr>
    </w:p>
    <w:p w14:paraId="317C5AC5">
      <w:pPr>
        <w:pStyle w:val="2"/>
        <w:rPr>
          <w:rFonts w:hint="eastAsia"/>
          <w:lang w:val="en-US" w:eastAsia="zh-CN"/>
        </w:rPr>
      </w:pPr>
    </w:p>
    <w:p w14:paraId="2D64B37C">
      <w:pPr>
        <w:rPr>
          <w:rFonts w:hint="eastAsia"/>
          <w:lang w:val="en-US" w:eastAsia="zh-CN"/>
        </w:rPr>
      </w:pPr>
    </w:p>
    <w:p w14:paraId="101559F6">
      <w:pPr>
        <w:rPr>
          <w:rFonts w:hint="eastAsia"/>
          <w:lang w:val="en-US" w:eastAsia="zh-CN"/>
        </w:rPr>
        <w:sectPr>
          <w:headerReference r:id="rId3" w:type="default"/>
          <w:footerReference r:id="rId4" w:type="default"/>
          <w:pgSz w:w="11906" w:h="16838"/>
          <w:pgMar w:top="1440" w:right="1800" w:bottom="1440" w:left="1800" w:header="851" w:footer="992" w:gutter="0"/>
          <w:pgNumType w:fmt="decimal"/>
          <w:cols w:space="720" w:num="1"/>
          <w:docGrid w:type="lines" w:linePitch="312" w:charSpace="0"/>
        </w:sectPr>
      </w:pPr>
    </w:p>
    <w:p w14:paraId="36402C01">
      <w:pPr>
        <w:widowControl w:val="0"/>
        <w:numPr>
          <w:ilvl w:val="0"/>
          <w:numId w:val="0"/>
        </w:numPr>
        <w:jc w:val="both"/>
      </w:pPr>
    </w:p>
    <w:p w14:paraId="228436D8">
      <w:pPr>
        <w:pStyle w:val="2"/>
      </w:pPr>
    </w:p>
    <w:p w14:paraId="3D6EB06B">
      <w:pPr>
        <w:spacing w:line="600" w:lineRule="exact"/>
        <w:jc w:val="center"/>
        <w:rPr>
          <w:rStyle w:val="34"/>
          <w:rFonts w:hint="eastAsia" w:ascii="Times New Roman" w:hAnsi="Times New Roman" w:eastAsia="黑体"/>
          <w:b w:val="0"/>
          <w:color w:val="auto"/>
          <w:highlight w:val="none"/>
          <w:lang w:eastAsia="zh-CN"/>
        </w:rPr>
      </w:pPr>
      <w:r>
        <w:rPr>
          <w:rFonts w:hint="eastAsia" w:ascii="Times New Roman" w:hAnsi="Times New Roman" w:eastAsia="黑体"/>
          <w:color w:val="auto"/>
          <w:sz w:val="44"/>
          <w:szCs w:val="44"/>
          <w:highlight w:val="none"/>
        </w:rPr>
        <w:t>第四部分</w:t>
      </w:r>
      <w:r>
        <w:rPr>
          <w:rFonts w:hint="eastAsia" w:ascii="Times New Roman" w:hAnsi="Times New Roman"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 xml:space="preserve"> 附件</w:t>
      </w:r>
      <w:bookmarkEnd w:id="51"/>
    </w:p>
    <w:p w14:paraId="740DFFE0">
      <w:pPr>
        <w:keepNext w:val="0"/>
        <w:keepLines w:val="0"/>
        <w:pageBreakBefore w:val="0"/>
        <w:kinsoku/>
        <w:wordWrap/>
        <w:overflowPunct/>
        <w:topLinePunct w:val="0"/>
        <w:autoSpaceDE/>
        <w:autoSpaceDN/>
        <w:bidi w:val="0"/>
        <w:spacing w:line="572" w:lineRule="exact"/>
        <w:jc w:val="left"/>
        <w:textAlignment w:val="auto"/>
        <w:outlineLvl w:val="0"/>
        <w:rPr>
          <w:rFonts w:hint="eastAsia" w:ascii="Times New Roman" w:hAnsi="Times New Roman" w:eastAsia="黑体" w:cs="黑体"/>
          <w:color w:val="FF0000"/>
          <w:sz w:val="32"/>
          <w:szCs w:val="32"/>
          <w:highlight w:val="none"/>
        </w:rPr>
      </w:pPr>
    </w:p>
    <w:p w14:paraId="3C65E095">
      <w:pPr>
        <w:keepNext w:val="0"/>
        <w:keepLines w:val="0"/>
        <w:pageBreakBefore w:val="0"/>
        <w:kinsoku/>
        <w:wordWrap/>
        <w:overflowPunct/>
        <w:topLinePunct w:val="0"/>
        <w:autoSpaceDE/>
        <w:autoSpaceDN/>
        <w:bidi w:val="0"/>
        <w:spacing w:line="572" w:lineRule="exact"/>
        <w:jc w:val="left"/>
        <w:textAlignment w:val="auto"/>
        <w:outlineLvl w:val="0"/>
        <w:rPr>
          <w:rFonts w:hint="eastAsia" w:ascii="Times New Roman" w:hAnsi="Times New Roman" w:eastAsia="黑体" w:cs="方正小标宋简体"/>
          <w:color w:val="auto"/>
          <w:sz w:val="44"/>
          <w:szCs w:val="44"/>
          <w:highlight w:val="none"/>
          <w:lang w:val="en-US" w:eastAsia="zh-CN"/>
        </w:rPr>
      </w:pPr>
      <w:r>
        <w:rPr>
          <w:rFonts w:hint="eastAsia" w:ascii="Times New Roman" w:hAnsi="Times New Roman" w:eastAsia="黑体" w:cs="黑体"/>
          <w:color w:val="auto"/>
          <w:sz w:val="32"/>
          <w:szCs w:val="32"/>
          <w:highlight w:val="none"/>
        </w:rPr>
        <w:t>附件</w:t>
      </w:r>
      <w:r>
        <w:rPr>
          <w:rFonts w:hint="eastAsia" w:ascii="Times New Roman" w:hAnsi="Times New Roman" w:eastAsia="黑体" w:cs="黑体"/>
          <w:color w:val="auto"/>
          <w:sz w:val="32"/>
          <w:szCs w:val="32"/>
          <w:highlight w:val="none"/>
          <w:lang w:val="en-US" w:eastAsia="zh-CN"/>
        </w:rPr>
        <w:t>1</w:t>
      </w:r>
    </w:p>
    <w:p w14:paraId="58F93697">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hint="default" w:ascii="Times New Roman" w:hAnsi="Times New Roman" w:eastAsia="方正小标宋简体" w:cs="Times New Roman"/>
          <w:b w:val="0"/>
          <w:bCs/>
          <w:sz w:val="44"/>
          <w:szCs w:val="44"/>
          <w:highlight w:val="none"/>
          <w:shd w:val="clear" w:color="auto" w:fill="FFFFFF"/>
        </w:rPr>
      </w:pPr>
    </w:p>
    <w:p w14:paraId="3DA8FFCB">
      <w:pPr>
        <w:spacing w:line="576" w:lineRule="exact"/>
        <w:ind w:firstLine="2200" w:firstLineChars="500"/>
        <w:jc w:val="both"/>
        <w:rPr>
          <w:rFonts w:hint="eastAsia" w:ascii="Times New Roman" w:hAnsi="Times New Roman" w:eastAsia="方正小标宋_GBK"/>
          <w:sz w:val="44"/>
          <w:szCs w:val="44"/>
          <w:lang w:val="en-US" w:eastAsia="zh-CN"/>
        </w:rPr>
      </w:pPr>
      <w:r>
        <w:rPr>
          <w:rFonts w:hint="eastAsia" w:ascii="Times New Roman" w:hAnsi="Times New Roman" w:eastAsia="方正小标宋_GBK"/>
          <w:sz w:val="44"/>
          <w:szCs w:val="44"/>
          <w:lang w:eastAsia="zh-CN"/>
        </w:rPr>
        <w:t>金川</w:t>
      </w:r>
      <w:r>
        <w:rPr>
          <w:rFonts w:hint="eastAsia" w:eastAsia="方正小标宋_GBK"/>
          <w:sz w:val="44"/>
          <w:szCs w:val="44"/>
          <w:lang w:eastAsia="zh-CN"/>
        </w:rPr>
        <w:t>县俄热乡人民政府</w:t>
      </w:r>
    </w:p>
    <w:p w14:paraId="78ADE4F3">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hint="default" w:ascii="Times New Roman" w:hAnsi="Times New Roman" w:eastAsia="方正小标宋_GBK"/>
          <w:sz w:val="44"/>
          <w:szCs w:val="44"/>
        </w:rPr>
      </w:pPr>
      <w:r>
        <w:rPr>
          <w:rFonts w:hint="eastAsia" w:ascii="Times New Roman" w:hAnsi="Times New Roman" w:eastAsia="方正小标宋_GBK"/>
          <w:sz w:val="44"/>
          <w:szCs w:val="44"/>
          <w:lang w:eastAsia="zh-CN"/>
        </w:rPr>
        <w:t>20</w:t>
      </w:r>
      <w:r>
        <w:rPr>
          <w:rFonts w:hint="eastAsia" w:ascii="Times New Roman" w:hAnsi="Times New Roman" w:eastAsia="方正小标宋_GBK"/>
          <w:sz w:val="44"/>
          <w:szCs w:val="44"/>
          <w:lang w:val="en-US" w:eastAsia="zh-CN"/>
        </w:rPr>
        <w:t>2</w:t>
      </w:r>
      <w:r>
        <w:rPr>
          <w:rFonts w:hint="eastAsia" w:eastAsia="方正小标宋_GBK"/>
          <w:sz w:val="44"/>
          <w:szCs w:val="44"/>
          <w:lang w:val="en-US" w:eastAsia="zh-CN"/>
        </w:rPr>
        <w:t>4</w:t>
      </w:r>
      <w:r>
        <w:rPr>
          <w:rFonts w:hint="eastAsia" w:ascii="Times New Roman" w:hAnsi="Times New Roman" w:eastAsia="方正小标宋_GBK"/>
          <w:sz w:val="44"/>
          <w:szCs w:val="44"/>
          <w:lang w:eastAsia="zh-CN"/>
        </w:rPr>
        <w:t>年</w:t>
      </w:r>
      <w:r>
        <w:rPr>
          <w:rFonts w:hint="default" w:ascii="Times New Roman" w:hAnsi="Times New Roman" w:eastAsia="方正小标宋_GBK"/>
          <w:sz w:val="44"/>
          <w:szCs w:val="44"/>
          <w:lang w:eastAsia="zh-CN"/>
        </w:rPr>
        <w:t>部门预算</w:t>
      </w:r>
      <w:r>
        <w:rPr>
          <w:rFonts w:hint="default" w:ascii="Times New Roman" w:hAnsi="Times New Roman" w:eastAsia="方正小标宋_GBK"/>
          <w:sz w:val="44"/>
          <w:szCs w:val="44"/>
        </w:rPr>
        <w:t>绩效</w:t>
      </w:r>
      <w:r>
        <w:rPr>
          <w:rFonts w:hint="eastAsia" w:ascii="Times New Roman" w:hAnsi="Times New Roman" w:eastAsia="方正小标宋_GBK"/>
          <w:sz w:val="44"/>
          <w:szCs w:val="44"/>
          <w:lang w:eastAsia="zh-CN"/>
        </w:rPr>
        <w:t>评价</w:t>
      </w:r>
      <w:r>
        <w:rPr>
          <w:rFonts w:hint="default" w:ascii="Times New Roman" w:hAnsi="Times New Roman" w:eastAsia="方正小标宋_GBK"/>
          <w:sz w:val="44"/>
          <w:szCs w:val="44"/>
        </w:rPr>
        <w:t>报告</w:t>
      </w:r>
    </w:p>
    <w:p w14:paraId="6B86E122">
      <w:pPr>
        <w:pStyle w:val="41"/>
        <w:rPr>
          <w:rFonts w:hint="default"/>
        </w:rPr>
      </w:pPr>
    </w:p>
    <w:p w14:paraId="04D385B4">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eastAsia="仿宋" w:cs="仿宋"/>
          <w:sz w:val="32"/>
          <w:szCs w:val="32"/>
        </w:rPr>
      </w:pPr>
      <w:r>
        <w:rPr>
          <w:rFonts w:hint="eastAsia" w:ascii="仿宋" w:eastAsia="仿宋" w:cs="仿宋"/>
          <w:sz w:val="32"/>
          <w:szCs w:val="32"/>
        </w:rPr>
        <w:t>金川县财政局:</w:t>
      </w:r>
    </w:p>
    <w:p w14:paraId="7943866F">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仿宋" w:eastAsia="仿宋" w:cs="仿宋"/>
          <w:sz w:val="32"/>
          <w:szCs w:val="32"/>
        </w:rPr>
      </w:pPr>
      <w:r>
        <w:rPr>
          <w:rFonts w:hint="eastAsia" w:ascii="仿宋" w:eastAsia="仿宋" w:cs="仿宋"/>
          <w:sz w:val="32"/>
          <w:szCs w:val="32"/>
        </w:rPr>
        <w:t>根据《金川县财政局关于</w:t>
      </w:r>
      <w:r>
        <w:rPr>
          <w:rFonts w:hint="eastAsia" w:ascii="仿宋" w:eastAsia="仿宋" w:cs="仿宋"/>
          <w:sz w:val="32"/>
          <w:szCs w:val="32"/>
          <w:lang w:val="en-US" w:eastAsia="zh-CN"/>
        </w:rPr>
        <w:t>2024年县级部门绩效自评工作</w:t>
      </w:r>
      <w:r>
        <w:rPr>
          <w:rFonts w:hint="eastAsia" w:ascii="仿宋" w:eastAsia="仿宋" w:cs="仿宋"/>
          <w:sz w:val="32"/>
          <w:szCs w:val="32"/>
        </w:rPr>
        <w:t>的通知》的通知(金财</w:t>
      </w:r>
      <w:r>
        <w:rPr>
          <w:rFonts w:hint="eastAsia" w:ascii="仿宋" w:eastAsia="仿宋" w:cs="仿宋"/>
          <w:sz w:val="32"/>
          <w:szCs w:val="32"/>
          <w:lang w:val="en-US" w:eastAsia="zh-CN"/>
        </w:rPr>
        <w:t>监绩</w:t>
      </w:r>
      <w:r>
        <w:rPr>
          <w:rFonts w:hint="eastAsia" w:ascii="仿宋" w:eastAsia="仿宋" w:cs="仿宋"/>
          <w:sz w:val="32"/>
          <w:szCs w:val="32"/>
        </w:rPr>
        <w:t>〔202</w:t>
      </w:r>
      <w:r>
        <w:rPr>
          <w:rFonts w:hint="eastAsia" w:ascii="仿宋" w:eastAsia="仿宋" w:cs="仿宋"/>
          <w:sz w:val="32"/>
          <w:szCs w:val="32"/>
          <w:lang w:val="en-US" w:eastAsia="zh-CN"/>
        </w:rPr>
        <w:t>5</w:t>
      </w:r>
      <w:r>
        <w:rPr>
          <w:rFonts w:hint="eastAsia" w:ascii="仿宋" w:eastAsia="仿宋" w:cs="仿宋"/>
          <w:sz w:val="32"/>
          <w:szCs w:val="32"/>
        </w:rPr>
        <w:t>〕</w:t>
      </w:r>
      <w:r>
        <w:rPr>
          <w:rFonts w:hint="eastAsia" w:ascii="仿宋" w:eastAsia="仿宋" w:cs="仿宋"/>
          <w:sz w:val="32"/>
          <w:szCs w:val="32"/>
          <w:lang w:val="en-US" w:eastAsia="zh-CN"/>
        </w:rPr>
        <w:t>35</w:t>
      </w:r>
      <w:r>
        <w:rPr>
          <w:rFonts w:hint="eastAsia" w:ascii="仿宋" w:eastAsia="仿宋" w:cs="仿宋"/>
          <w:sz w:val="32"/>
          <w:szCs w:val="32"/>
        </w:rPr>
        <w:t>号)文件要求，我</w:t>
      </w:r>
      <w:r>
        <w:rPr>
          <w:rFonts w:hint="eastAsia" w:ascii="仿宋" w:eastAsia="仿宋" w:cs="仿宋"/>
          <w:sz w:val="32"/>
          <w:szCs w:val="32"/>
          <w:lang w:eastAsia="zh-CN"/>
        </w:rPr>
        <w:t>乡</w:t>
      </w:r>
      <w:r>
        <w:rPr>
          <w:rFonts w:hint="eastAsia" w:ascii="仿宋" w:eastAsia="仿宋" w:cs="仿宋"/>
          <w:sz w:val="32"/>
          <w:szCs w:val="32"/>
        </w:rPr>
        <w:t>高度重视，赓即对</w:t>
      </w:r>
      <w:r>
        <w:rPr>
          <w:rFonts w:hint="eastAsia" w:ascii="仿宋" w:eastAsia="仿宋" w:cs="仿宋"/>
          <w:sz w:val="32"/>
          <w:szCs w:val="32"/>
          <w:lang w:eastAsia="zh-CN"/>
        </w:rPr>
        <w:t>乡政府20</w:t>
      </w:r>
      <w:r>
        <w:rPr>
          <w:rFonts w:hint="eastAsia" w:ascii="仿宋" w:eastAsia="仿宋" w:cs="仿宋"/>
          <w:sz w:val="32"/>
          <w:szCs w:val="32"/>
          <w:lang w:val="en-US" w:eastAsia="zh-CN"/>
        </w:rPr>
        <w:t>24</w:t>
      </w:r>
      <w:r>
        <w:rPr>
          <w:rFonts w:hint="eastAsia" w:ascii="仿宋" w:eastAsia="仿宋" w:cs="仿宋"/>
          <w:sz w:val="32"/>
          <w:szCs w:val="32"/>
          <w:lang w:eastAsia="zh-CN"/>
        </w:rPr>
        <w:t>年</w:t>
      </w:r>
      <w:r>
        <w:rPr>
          <w:rFonts w:hint="default" w:ascii="仿宋" w:eastAsia="仿宋" w:cs="仿宋"/>
          <w:sz w:val="32"/>
          <w:szCs w:val="32"/>
          <w:lang w:eastAsia="zh-CN"/>
        </w:rPr>
        <w:t>部门预算</w:t>
      </w:r>
      <w:r>
        <w:rPr>
          <w:rFonts w:hint="default" w:ascii="仿宋" w:eastAsia="仿宋" w:cs="仿宋"/>
          <w:sz w:val="32"/>
          <w:szCs w:val="32"/>
        </w:rPr>
        <w:t>绩效</w:t>
      </w:r>
      <w:r>
        <w:rPr>
          <w:rFonts w:hint="eastAsia" w:ascii="仿宋" w:eastAsia="仿宋" w:cs="仿宋"/>
          <w:sz w:val="32"/>
          <w:szCs w:val="32"/>
          <w:lang w:val="en-US" w:eastAsia="zh-CN"/>
        </w:rPr>
        <w:t>开展自评工作，</w:t>
      </w:r>
      <w:r>
        <w:rPr>
          <w:rFonts w:hint="eastAsia" w:ascii="仿宋" w:eastAsia="仿宋" w:cs="仿宋"/>
          <w:sz w:val="32"/>
          <w:szCs w:val="32"/>
          <w:lang w:eastAsia="zh-CN"/>
        </w:rPr>
        <w:t>评价</w:t>
      </w:r>
      <w:r>
        <w:rPr>
          <w:rFonts w:hint="default" w:ascii="仿宋" w:eastAsia="仿宋" w:cs="仿宋"/>
          <w:sz w:val="32"/>
          <w:szCs w:val="32"/>
        </w:rPr>
        <w:t>报告</w:t>
      </w:r>
      <w:r>
        <w:rPr>
          <w:rFonts w:hint="eastAsia" w:ascii="仿宋" w:eastAsia="仿宋" w:cs="仿宋"/>
          <w:sz w:val="32"/>
          <w:szCs w:val="32"/>
        </w:rPr>
        <w:t>情况如下。</w:t>
      </w:r>
    </w:p>
    <w:p w14:paraId="78A52A26">
      <w:pPr>
        <w:keepNext w:val="0"/>
        <w:keepLines w:val="0"/>
        <w:pageBreakBefore w:val="0"/>
        <w:widowControl/>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Style w:val="42"/>
          <w:rFonts w:hint="default" w:ascii="黑体" w:eastAsia="黑体" w:cs="Times New Roman"/>
          <w:b w:val="0"/>
          <w:kern w:val="2"/>
          <w:lang w:val="zh-CN" w:eastAsia="zh-CN" w:bidi="ar-SA"/>
        </w:rPr>
      </w:pPr>
      <w:r>
        <w:rPr>
          <w:rStyle w:val="42"/>
          <w:rFonts w:hint="eastAsia" w:ascii="黑体" w:eastAsia="黑体" w:cs="Times New Roman"/>
          <w:b w:val="0"/>
          <w:kern w:val="2"/>
          <w:lang w:val="zh-CN" w:eastAsia="zh-CN" w:bidi="ar-SA"/>
        </w:rPr>
        <w:t>一、</w:t>
      </w:r>
      <w:r>
        <w:rPr>
          <w:rStyle w:val="42"/>
          <w:rFonts w:hint="default" w:ascii="黑体" w:eastAsia="黑体" w:cs="Times New Roman"/>
          <w:b w:val="0"/>
          <w:kern w:val="2"/>
          <w:lang w:val="zh-CN" w:eastAsia="zh-CN" w:bidi="ar-SA"/>
        </w:rPr>
        <w:t>部门（单位）基本情况</w:t>
      </w:r>
    </w:p>
    <w:p w14:paraId="7940DD03">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default" w:eastAsia="楷体_GB2312" w:cs="Times New Roman"/>
          <w:b/>
          <w:bCs/>
          <w:color w:val="000000"/>
          <w:kern w:val="0"/>
          <w:sz w:val="32"/>
          <w:szCs w:val="32"/>
          <w:highlight w:val="none"/>
          <w:shd w:val="clear" w:color="auto" w:fill="FFFFFF"/>
          <w:lang w:val="zh-CN"/>
        </w:rPr>
      </w:pPr>
      <w:r>
        <w:rPr>
          <w:rFonts w:hint="eastAsia" w:eastAsia="楷体_GB2312" w:cs="Times New Roman"/>
          <w:b/>
          <w:bCs/>
          <w:color w:val="000000"/>
          <w:kern w:val="0"/>
          <w:sz w:val="32"/>
          <w:szCs w:val="32"/>
          <w:highlight w:val="none"/>
          <w:shd w:val="clear" w:color="auto" w:fill="FFFFFF"/>
          <w:lang w:val="zh-CN"/>
        </w:rPr>
        <w:t>（一）</w:t>
      </w:r>
      <w:r>
        <w:rPr>
          <w:rFonts w:hint="default" w:eastAsia="楷体_GB2312" w:cs="Times New Roman"/>
          <w:b/>
          <w:bCs/>
          <w:color w:val="000000"/>
          <w:kern w:val="0"/>
          <w:sz w:val="32"/>
          <w:szCs w:val="32"/>
          <w:highlight w:val="none"/>
          <w:shd w:val="clear" w:color="auto" w:fill="FFFFFF"/>
          <w:lang w:val="zh-CN"/>
        </w:rPr>
        <w:t>机构组成。</w:t>
      </w:r>
    </w:p>
    <w:p w14:paraId="5845299A">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eastAsia="仿宋" w:cs="仿宋"/>
          <w:sz w:val="32"/>
          <w:szCs w:val="32"/>
          <w:lang w:val="zh-CN"/>
        </w:rPr>
      </w:pPr>
      <w:r>
        <w:rPr>
          <w:rFonts w:hint="eastAsia" w:ascii="仿宋" w:eastAsia="仿宋" w:cs="仿宋"/>
          <w:sz w:val="32"/>
          <w:szCs w:val="32"/>
          <w:lang w:val="zh-CN"/>
        </w:rPr>
        <w:t>本部门预算单位</w:t>
      </w:r>
      <w:r>
        <w:rPr>
          <w:rFonts w:hint="eastAsia" w:ascii="仿宋" w:eastAsia="仿宋" w:cs="仿宋"/>
          <w:sz w:val="32"/>
          <w:szCs w:val="32"/>
          <w:lang w:val="en-US" w:eastAsia="zh-CN"/>
        </w:rPr>
        <w:t>1</w:t>
      </w:r>
      <w:r>
        <w:rPr>
          <w:rFonts w:hint="eastAsia" w:ascii="仿宋" w:eastAsia="仿宋" w:cs="仿宋"/>
          <w:sz w:val="32"/>
          <w:szCs w:val="32"/>
          <w:lang w:val="zh-CN"/>
        </w:rPr>
        <w:t>个，其中内设机构</w:t>
      </w:r>
      <w:r>
        <w:rPr>
          <w:rFonts w:hint="eastAsia" w:ascii="仿宋" w:eastAsia="仿宋" w:cs="仿宋"/>
          <w:sz w:val="32"/>
          <w:szCs w:val="32"/>
          <w:lang w:val="en-US" w:eastAsia="zh-CN"/>
        </w:rPr>
        <w:t>4</w:t>
      </w:r>
      <w:r>
        <w:rPr>
          <w:rFonts w:hint="eastAsia" w:ascii="仿宋" w:eastAsia="仿宋" w:cs="仿宋"/>
          <w:sz w:val="32"/>
          <w:szCs w:val="32"/>
          <w:lang w:val="zh-CN"/>
        </w:rPr>
        <w:t>个，分别是金川县俄热乡人民政府办公室、俄热乡党委办公室、俄热乡人大办公室、俄热乡综合服务中心。</w:t>
      </w:r>
    </w:p>
    <w:p w14:paraId="43478D34">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eastAsia" w:eastAsia="楷体_GB2312" w:cs="Times New Roman"/>
          <w:b/>
          <w:bCs/>
          <w:color w:val="000000"/>
          <w:kern w:val="0"/>
          <w:sz w:val="32"/>
          <w:szCs w:val="32"/>
          <w:highlight w:val="none"/>
          <w:shd w:val="clear" w:color="auto" w:fill="FFFFFF"/>
          <w:lang w:val="zh-CN"/>
        </w:rPr>
      </w:pPr>
      <w:r>
        <w:rPr>
          <w:rFonts w:hint="eastAsia" w:eastAsia="楷体_GB2312" w:cs="Times New Roman"/>
          <w:b/>
          <w:bCs/>
          <w:color w:val="000000"/>
          <w:kern w:val="0"/>
          <w:sz w:val="32"/>
          <w:szCs w:val="32"/>
          <w:highlight w:val="none"/>
          <w:shd w:val="clear" w:color="auto" w:fill="FFFFFF"/>
          <w:lang w:val="zh-CN"/>
        </w:rPr>
        <w:t>（</w:t>
      </w:r>
      <w:r>
        <w:rPr>
          <w:rFonts w:hint="eastAsia" w:eastAsia="楷体_GB2312" w:cs="Times New Roman"/>
          <w:b/>
          <w:bCs/>
          <w:color w:val="000000"/>
          <w:kern w:val="0"/>
          <w:sz w:val="32"/>
          <w:szCs w:val="32"/>
          <w:highlight w:val="none"/>
          <w:shd w:val="clear" w:color="auto" w:fill="FFFFFF"/>
          <w:lang w:val="en-US" w:eastAsia="zh-CN"/>
        </w:rPr>
        <w:t>二</w:t>
      </w:r>
      <w:r>
        <w:rPr>
          <w:rFonts w:hint="eastAsia" w:eastAsia="楷体_GB2312" w:cs="Times New Roman"/>
          <w:b/>
          <w:bCs/>
          <w:color w:val="000000"/>
          <w:kern w:val="0"/>
          <w:sz w:val="32"/>
          <w:szCs w:val="32"/>
          <w:highlight w:val="none"/>
          <w:shd w:val="clear" w:color="auto" w:fill="FFFFFF"/>
          <w:lang w:val="zh-CN"/>
        </w:rPr>
        <w:t>）</w:t>
      </w:r>
      <w:r>
        <w:rPr>
          <w:rFonts w:hint="default" w:eastAsia="楷体_GB2312" w:cs="Times New Roman"/>
          <w:b/>
          <w:bCs/>
          <w:color w:val="000000"/>
          <w:kern w:val="0"/>
          <w:sz w:val="32"/>
          <w:szCs w:val="32"/>
          <w:highlight w:val="none"/>
          <w:shd w:val="clear" w:color="auto" w:fill="FFFFFF"/>
          <w:lang w:val="zh-CN"/>
        </w:rPr>
        <w:t>机构职能</w:t>
      </w:r>
      <w:r>
        <w:rPr>
          <w:rFonts w:hint="eastAsia" w:eastAsia="楷体_GB2312" w:cs="Times New Roman"/>
          <w:b/>
          <w:bCs/>
          <w:color w:val="000000"/>
          <w:kern w:val="0"/>
          <w:sz w:val="32"/>
          <w:szCs w:val="32"/>
          <w:highlight w:val="none"/>
          <w:shd w:val="clear" w:color="auto" w:fill="FFFFFF"/>
          <w:lang w:val="zh-CN"/>
        </w:rPr>
        <w:t>。</w:t>
      </w:r>
    </w:p>
    <w:p w14:paraId="27702F77">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eastAsia="仿宋" w:cs="仿宋"/>
          <w:sz w:val="32"/>
          <w:szCs w:val="32"/>
          <w:lang w:val="zh-CN"/>
        </w:rPr>
      </w:pPr>
      <w:r>
        <w:rPr>
          <w:rFonts w:hint="eastAsia" w:ascii="仿宋" w:eastAsia="仿宋" w:cs="仿宋"/>
          <w:sz w:val="32"/>
          <w:szCs w:val="32"/>
          <w:lang w:val="zh-CN"/>
        </w:rPr>
        <w:t xml:space="preserve"> 1.制定和组织实施经济、科技和社会发展计划，制定资源开发技术改造和产业结构调整方案，组织指导好各业生产，搞好商品流通，协调好本乡与外地区的经济交流与合作，抓好招商引资，人才引进项目开发，不断培育市场体系，保护各种经济组织的合法权益，组织经济运行，促进经济发展。 </w:t>
      </w:r>
    </w:p>
    <w:p w14:paraId="63FF5F8A">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eastAsia="仿宋" w:cs="仿宋"/>
          <w:sz w:val="32"/>
          <w:szCs w:val="32"/>
          <w:lang w:val="zh-CN"/>
        </w:rPr>
      </w:pPr>
      <w:r>
        <w:rPr>
          <w:rFonts w:hint="eastAsia" w:ascii="仿宋" w:eastAsia="仿宋" w:cs="仿宋"/>
          <w:sz w:val="32"/>
          <w:szCs w:val="32"/>
          <w:lang w:val="zh-CN"/>
        </w:rPr>
        <w:t xml:space="preserve">2.制定并组织实施村镇建设规划，部署重点工程建设，地方道路建设及公共设施，水利设施的管理，负责土地、林木、水等自然资源和生态环境的保护，做好护林防火工作。 </w:t>
      </w:r>
    </w:p>
    <w:p w14:paraId="2DA5725C">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eastAsia="仿宋" w:cs="仿宋"/>
          <w:sz w:val="32"/>
          <w:szCs w:val="32"/>
          <w:lang w:val="zh-CN"/>
        </w:rPr>
      </w:pPr>
      <w:r>
        <w:rPr>
          <w:rFonts w:hint="eastAsia" w:ascii="仿宋" w:eastAsia="仿宋" w:cs="仿宋"/>
          <w:sz w:val="32"/>
          <w:szCs w:val="32"/>
          <w:lang w:val="zh-CN"/>
        </w:rPr>
        <w:t xml:space="preserve">3.负责本行政区域内的民政、计划生育、文化教育、卫生、体育等社会公益事业的综合性工作，维护一切经济单位和个人的正当经济权益，取缔非法经济活动，调解和处理民事纠纷，打击刑事犯罪维护社会稳定。 </w:t>
      </w:r>
    </w:p>
    <w:p w14:paraId="6209C015">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eastAsia="仿宋" w:cs="仿宋"/>
          <w:sz w:val="32"/>
          <w:szCs w:val="32"/>
          <w:lang w:val="zh-CN"/>
        </w:rPr>
      </w:pPr>
      <w:r>
        <w:rPr>
          <w:rFonts w:hint="eastAsia" w:ascii="仿宋" w:eastAsia="仿宋" w:cs="仿宋"/>
          <w:sz w:val="32"/>
          <w:szCs w:val="32"/>
          <w:lang w:val="zh-CN"/>
        </w:rPr>
        <w:t xml:space="preserve">4.按计划组织本级财政收入和地方税的征收，完成国家财政计划，不断培植税源，管好财政资金，增强财政实力。 </w:t>
      </w:r>
    </w:p>
    <w:p w14:paraId="07FDB1FF">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仿宋" w:eastAsia="仿宋" w:cs="仿宋"/>
          <w:sz w:val="32"/>
          <w:szCs w:val="32"/>
          <w:lang w:val="zh-CN"/>
        </w:rPr>
      </w:pPr>
      <w:r>
        <w:rPr>
          <w:rFonts w:hint="eastAsia" w:ascii="仿宋" w:eastAsia="仿宋" w:cs="仿宋"/>
          <w:sz w:val="32"/>
          <w:szCs w:val="32"/>
          <w:lang w:val="zh-CN"/>
        </w:rPr>
        <w:t>5.抓好精神文明建设，丰富群众文化生活，提倡移风易俗，反对封建迷信，破除陈规陋习，树立社会主义新风尚</w:t>
      </w:r>
      <w:r>
        <w:rPr>
          <w:rFonts w:hint="eastAsia" w:ascii="仿宋" w:eastAsia="仿宋" w:cs="仿宋"/>
          <w:sz w:val="32"/>
          <w:szCs w:val="32"/>
        </w:rPr>
        <w:t>。</w:t>
      </w:r>
    </w:p>
    <w:p w14:paraId="0EE1592C">
      <w:pPr>
        <w:keepNext w:val="0"/>
        <w:keepLines w:val="0"/>
        <w:pageBreakBefore w:val="0"/>
        <w:widowControl w:val="0"/>
        <w:kinsoku/>
        <w:wordWrap w:val="0"/>
        <w:overflowPunct/>
        <w:autoSpaceDE/>
        <w:autoSpaceDN/>
        <w:bidi w:val="0"/>
        <w:spacing w:line="560" w:lineRule="exact"/>
        <w:ind w:firstLine="643" w:firstLineChars="200"/>
        <w:jc w:val="left"/>
        <w:textAlignment w:val="auto"/>
        <w:rPr>
          <w:rFonts w:hint="eastAsia" w:ascii="Times New Roman" w:hAnsi="Times New Roman" w:eastAsia="楷体_GB2312" w:cs="Times New Roman"/>
          <w:b/>
          <w:bCs/>
          <w:color w:val="000000"/>
          <w:kern w:val="0"/>
          <w:sz w:val="32"/>
          <w:szCs w:val="32"/>
          <w:highlight w:val="none"/>
          <w:shd w:val="clear" w:color="auto" w:fill="FFFFFF"/>
          <w:lang w:val="zh-CN"/>
        </w:rPr>
      </w:pP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Times New Roman" w:hAnsi="Times New Roman" w:eastAsia="楷体_GB2312" w:cs="Times New Roman"/>
          <w:b/>
          <w:bCs/>
          <w:color w:val="000000"/>
          <w:kern w:val="0"/>
          <w:sz w:val="32"/>
          <w:szCs w:val="32"/>
          <w:highlight w:val="none"/>
          <w:shd w:val="clear" w:color="auto" w:fill="FFFFFF"/>
          <w:lang w:val="zh-CN"/>
        </w:rPr>
        <w:t>三</w:t>
      </w:r>
      <w:r>
        <w:rPr>
          <w:rFonts w:hint="default" w:ascii="Times New Roman" w:hAnsi="Times New Roman" w:eastAsia="楷体_GB2312" w:cs="Times New Roman"/>
          <w:b/>
          <w:bCs/>
          <w:color w:val="000000"/>
          <w:kern w:val="0"/>
          <w:sz w:val="32"/>
          <w:szCs w:val="32"/>
          <w:highlight w:val="none"/>
          <w:shd w:val="clear" w:color="auto" w:fill="FFFFFF"/>
          <w:lang w:val="zh-CN"/>
        </w:rPr>
        <w:t>）人员概况</w:t>
      </w:r>
      <w:r>
        <w:rPr>
          <w:rFonts w:hint="eastAsia" w:ascii="Times New Roman" w:hAnsi="Times New Roman" w:eastAsia="楷体_GB2312" w:cs="Times New Roman"/>
          <w:b/>
          <w:bCs/>
          <w:color w:val="000000"/>
          <w:kern w:val="0"/>
          <w:sz w:val="32"/>
          <w:szCs w:val="32"/>
          <w:highlight w:val="none"/>
          <w:shd w:val="clear" w:color="auto" w:fill="FFFFFF"/>
          <w:lang w:val="zh-CN"/>
        </w:rPr>
        <w:t>。</w:t>
      </w:r>
    </w:p>
    <w:p w14:paraId="4049675D">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仿宋" w:eastAsia="仿宋" w:cs="仿宋"/>
          <w:sz w:val="32"/>
          <w:szCs w:val="32"/>
        </w:rPr>
      </w:pPr>
      <w:r>
        <w:rPr>
          <w:rFonts w:hint="default" w:ascii="仿宋" w:eastAsia="仿宋" w:cs="仿宋"/>
          <w:sz w:val="32"/>
          <w:szCs w:val="32"/>
        </w:rPr>
        <w:t>截至202</w:t>
      </w:r>
      <w:r>
        <w:rPr>
          <w:rFonts w:hint="eastAsia" w:ascii="仿宋" w:eastAsia="仿宋" w:cs="仿宋"/>
          <w:sz w:val="32"/>
          <w:szCs w:val="32"/>
          <w:lang w:val="en-US" w:eastAsia="zh-CN"/>
        </w:rPr>
        <w:t>4</w:t>
      </w:r>
      <w:r>
        <w:rPr>
          <w:rFonts w:hint="default" w:ascii="仿宋" w:eastAsia="仿宋" w:cs="仿宋"/>
          <w:sz w:val="32"/>
          <w:szCs w:val="32"/>
        </w:rPr>
        <w:t>年末，</w:t>
      </w:r>
      <w:r>
        <w:rPr>
          <w:rFonts w:hint="eastAsia" w:ascii="仿宋" w:eastAsia="仿宋" w:cs="仿宋"/>
          <w:sz w:val="32"/>
          <w:szCs w:val="32"/>
          <w:lang w:eastAsia="zh-CN"/>
        </w:rPr>
        <w:t>金川县俄热乡人民政府</w:t>
      </w:r>
      <w:r>
        <w:rPr>
          <w:rFonts w:hint="eastAsia" w:ascii="仿宋" w:eastAsia="仿宋" w:cs="仿宋"/>
          <w:sz w:val="32"/>
          <w:szCs w:val="32"/>
        </w:rPr>
        <w:t>只有一个行政核算机构。</w:t>
      </w:r>
      <w:r>
        <w:rPr>
          <w:rFonts w:hint="eastAsia" w:ascii="仿宋" w:eastAsia="仿宋" w:cs="仿宋"/>
          <w:sz w:val="32"/>
          <w:szCs w:val="32"/>
          <w:lang w:val="zh-CN" w:eastAsia="zh-CN"/>
        </w:rPr>
        <w:t>单位编制数</w:t>
      </w:r>
      <w:r>
        <w:rPr>
          <w:rFonts w:hint="eastAsia" w:ascii="仿宋" w:eastAsia="仿宋" w:cs="仿宋"/>
          <w:sz w:val="32"/>
          <w:szCs w:val="32"/>
          <w:lang w:val="en-US" w:eastAsia="zh-CN"/>
        </w:rPr>
        <w:t>36</w:t>
      </w:r>
      <w:r>
        <w:rPr>
          <w:rFonts w:hint="eastAsia" w:ascii="仿宋" w:eastAsia="仿宋" w:cs="仿宋"/>
          <w:sz w:val="32"/>
          <w:szCs w:val="32"/>
          <w:lang w:val="zh-CN" w:eastAsia="zh-CN"/>
        </w:rPr>
        <w:t>个，其中：公务员编制</w:t>
      </w:r>
      <w:r>
        <w:rPr>
          <w:rFonts w:hint="eastAsia" w:ascii="仿宋" w:eastAsia="仿宋" w:cs="仿宋"/>
          <w:sz w:val="32"/>
          <w:szCs w:val="32"/>
          <w:lang w:val="en-US" w:eastAsia="zh-CN"/>
        </w:rPr>
        <w:t>20个</w:t>
      </w:r>
      <w:r>
        <w:rPr>
          <w:rFonts w:hint="eastAsia" w:ascii="仿宋" w:eastAsia="仿宋" w:cs="仿宋"/>
          <w:sz w:val="32"/>
          <w:szCs w:val="32"/>
          <w:lang w:val="zh-CN" w:eastAsia="zh-CN"/>
        </w:rPr>
        <w:t>、行政工勤编制</w:t>
      </w:r>
      <w:r>
        <w:rPr>
          <w:rFonts w:hint="eastAsia" w:ascii="仿宋" w:eastAsia="仿宋" w:cs="仿宋"/>
          <w:sz w:val="32"/>
          <w:szCs w:val="32"/>
          <w:lang w:val="en-US" w:eastAsia="zh-CN"/>
        </w:rPr>
        <w:t>2</w:t>
      </w:r>
      <w:r>
        <w:rPr>
          <w:rFonts w:hint="eastAsia" w:ascii="仿宋" w:eastAsia="仿宋" w:cs="仿宋"/>
          <w:sz w:val="32"/>
          <w:szCs w:val="32"/>
          <w:lang w:val="zh-CN" w:eastAsia="zh-CN"/>
        </w:rPr>
        <w:t>个，</w:t>
      </w:r>
      <w:r>
        <w:rPr>
          <w:rFonts w:hint="eastAsia" w:ascii="仿宋" w:eastAsia="仿宋" w:cs="仿宋"/>
          <w:sz w:val="32"/>
          <w:szCs w:val="32"/>
        </w:rPr>
        <w:t>事业编制</w:t>
      </w:r>
      <w:r>
        <w:rPr>
          <w:rFonts w:hint="eastAsia" w:ascii="仿宋" w:eastAsia="仿宋" w:cs="仿宋"/>
          <w:sz w:val="32"/>
          <w:szCs w:val="32"/>
          <w:lang w:val="en-US" w:eastAsia="zh-CN"/>
        </w:rPr>
        <w:t>14</w:t>
      </w:r>
      <w:r>
        <w:rPr>
          <w:rFonts w:hint="eastAsia" w:ascii="仿宋" w:eastAsia="仿宋" w:cs="仿宋"/>
          <w:sz w:val="32"/>
          <w:szCs w:val="32"/>
        </w:rPr>
        <w:t>名</w:t>
      </w:r>
      <w:r>
        <w:rPr>
          <w:rFonts w:hint="eastAsia" w:ascii="仿宋" w:eastAsia="仿宋" w:cs="仿宋"/>
          <w:sz w:val="32"/>
          <w:szCs w:val="32"/>
          <w:lang w:val="zh-CN" w:eastAsia="zh-CN"/>
        </w:rPr>
        <w:t>。截止20</w:t>
      </w:r>
      <w:r>
        <w:rPr>
          <w:rFonts w:hint="eastAsia" w:ascii="仿宋" w:eastAsia="仿宋" w:cs="仿宋"/>
          <w:sz w:val="32"/>
          <w:szCs w:val="32"/>
          <w:lang w:val="en-US" w:eastAsia="zh-CN"/>
        </w:rPr>
        <w:t>24</w:t>
      </w:r>
      <w:r>
        <w:rPr>
          <w:rFonts w:hint="eastAsia" w:ascii="仿宋" w:eastAsia="仿宋" w:cs="仿宋"/>
          <w:sz w:val="32"/>
          <w:szCs w:val="32"/>
          <w:lang w:val="zh-CN" w:eastAsia="zh-CN"/>
        </w:rPr>
        <w:t>年</w:t>
      </w:r>
      <w:r>
        <w:rPr>
          <w:rFonts w:hint="eastAsia" w:ascii="仿宋" w:eastAsia="仿宋" w:cs="仿宋"/>
          <w:sz w:val="32"/>
          <w:szCs w:val="32"/>
          <w:lang w:val="en-US" w:eastAsia="zh-CN"/>
        </w:rPr>
        <w:t>12月</w:t>
      </w:r>
      <w:r>
        <w:rPr>
          <w:rFonts w:hint="eastAsia" w:ascii="仿宋" w:eastAsia="仿宋" w:cs="仿宋"/>
          <w:sz w:val="32"/>
          <w:szCs w:val="32"/>
          <w:lang w:val="zh-CN" w:eastAsia="zh-CN"/>
        </w:rPr>
        <w:t>，单位实有人数</w:t>
      </w:r>
      <w:r>
        <w:rPr>
          <w:rFonts w:hint="eastAsia" w:ascii="仿宋" w:eastAsia="仿宋" w:cs="仿宋"/>
          <w:sz w:val="32"/>
          <w:szCs w:val="32"/>
          <w:lang w:val="en-US" w:eastAsia="zh-CN"/>
        </w:rPr>
        <w:t>35</w:t>
      </w:r>
      <w:r>
        <w:rPr>
          <w:rFonts w:hint="eastAsia" w:ascii="仿宋" w:eastAsia="仿宋" w:cs="仿宋"/>
          <w:sz w:val="32"/>
          <w:szCs w:val="32"/>
          <w:lang w:val="zh-CN" w:eastAsia="zh-CN"/>
        </w:rPr>
        <w:t>人，其中：在</w:t>
      </w:r>
      <w:r>
        <w:rPr>
          <w:rFonts w:hint="eastAsia" w:ascii="仿宋" w:eastAsia="仿宋" w:cs="仿宋"/>
          <w:sz w:val="32"/>
          <w:szCs w:val="32"/>
          <w:lang w:val="en-US" w:eastAsia="zh-CN"/>
        </w:rPr>
        <w:t>34</w:t>
      </w:r>
      <w:r>
        <w:rPr>
          <w:rFonts w:hint="eastAsia" w:ascii="仿宋" w:eastAsia="仿宋" w:cs="仿宋"/>
          <w:sz w:val="32"/>
          <w:szCs w:val="32"/>
          <w:lang w:val="zh-CN" w:eastAsia="zh-CN"/>
        </w:rPr>
        <w:t>职人（公务员</w:t>
      </w:r>
      <w:r>
        <w:rPr>
          <w:rFonts w:hint="eastAsia" w:ascii="仿宋" w:eastAsia="仿宋" w:cs="仿宋"/>
          <w:sz w:val="32"/>
          <w:szCs w:val="32"/>
          <w:lang w:val="en-US" w:eastAsia="zh-CN"/>
        </w:rPr>
        <w:t>20个</w:t>
      </w:r>
      <w:r>
        <w:rPr>
          <w:rFonts w:hint="eastAsia" w:ascii="仿宋" w:eastAsia="仿宋" w:cs="仿宋"/>
          <w:sz w:val="32"/>
          <w:szCs w:val="32"/>
          <w:lang w:val="zh-CN" w:eastAsia="zh-CN"/>
        </w:rPr>
        <w:t>、行政工勤</w:t>
      </w:r>
      <w:r>
        <w:rPr>
          <w:rFonts w:hint="eastAsia" w:ascii="仿宋" w:eastAsia="仿宋" w:cs="仿宋"/>
          <w:sz w:val="32"/>
          <w:szCs w:val="32"/>
          <w:lang w:val="en-US" w:eastAsia="zh-CN"/>
        </w:rPr>
        <w:t>2</w:t>
      </w:r>
      <w:r>
        <w:rPr>
          <w:rFonts w:hint="eastAsia" w:ascii="仿宋" w:eastAsia="仿宋" w:cs="仿宋"/>
          <w:sz w:val="32"/>
          <w:szCs w:val="32"/>
          <w:lang w:val="zh-CN" w:eastAsia="zh-CN"/>
        </w:rPr>
        <w:t>个，</w:t>
      </w:r>
      <w:r>
        <w:rPr>
          <w:rFonts w:hint="eastAsia" w:ascii="仿宋" w:eastAsia="仿宋" w:cs="仿宋"/>
          <w:sz w:val="32"/>
          <w:szCs w:val="32"/>
        </w:rPr>
        <w:t>事业</w:t>
      </w:r>
      <w:r>
        <w:rPr>
          <w:rFonts w:hint="eastAsia" w:ascii="仿宋" w:eastAsia="仿宋" w:cs="仿宋"/>
          <w:sz w:val="32"/>
          <w:szCs w:val="32"/>
          <w:lang w:val="en-US" w:eastAsia="zh-CN"/>
        </w:rPr>
        <w:t>12</w:t>
      </w:r>
      <w:r>
        <w:rPr>
          <w:rFonts w:hint="eastAsia" w:ascii="仿宋" w:eastAsia="仿宋" w:cs="仿宋"/>
          <w:sz w:val="32"/>
          <w:szCs w:val="32"/>
        </w:rPr>
        <w:t>名</w:t>
      </w:r>
      <w:r>
        <w:rPr>
          <w:rFonts w:hint="eastAsia" w:ascii="仿宋" w:eastAsia="仿宋" w:cs="仿宋"/>
          <w:sz w:val="32"/>
          <w:szCs w:val="32"/>
          <w:lang w:val="zh-CN" w:eastAsia="zh-CN"/>
        </w:rPr>
        <w:t>），退休</w:t>
      </w:r>
      <w:r>
        <w:rPr>
          <w:rFonts w:hint="eastAsia" w:ascii="仿宋" w:eastAsia="仿宋" w:cs="仿宋"/>
          <w:sz w:val="32"/>
          <w:szCs w:val="32"/>
          <w:lang w:val="en-US" w:eastAsia="zh-CN"/>
        </w:rPr>
        <w:t>2</w:t>
      </w:r>
      <w:r>
        <w:rPr>
          <w:rFonts w:hint="eastAsia" w:ascii="仿宋" w:eastAsia="仿宋" w:cs="仿宋"/>
          <w:sz w:val="32"/>
          <w:szCs w:val="32"/>
          <w:lang w:val="zh-CN" w:eastAsia="zh-CN"/>
        </w:rPr>
        <w:t>人，（退休人员</w:t>
      </w:r>
      <w:r>
        <w:rPr>
          <w:rFonts w:hint="eastAsia" w:ascii="仿宋" w:eastAsia="仿宋" w:cs="仿宋"/>
          <w:sz w:val="32"/>
          <w:szCs w:val="32"/>
          <w:lang w:val="en-US" w:eastAsia="zh-CN"/>
        </w:rPr>
        <w:t>原本2人，1人于12月去世，</w:t>
      </w:r>
      <w:r>
        <w:rPr>
          <w:rFonts w:hint="eastAsia" w:ascii="仿宋" w:eastAsia="仿宋" w:cs="仿宋"/>
          <w:sz w:val="32"/>
          <w:szCs w:val="32"/>
          <w:lang w:val="zh-CN" w:eastAsia="zh-CN"/>
        </w:rPr>
        <w:t>工资转由社保部门发放）。</w:t>
      </w:r>
    </w:p>
    <w:p w14:paraId="6B876A1C">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rPr>
      </w:pPr>
      <w:r>
        <w:rPr>
          <w:rFonts w:hint="default" w:ascii="Times New Roman" w:hAnsi="Times New Roman" w:eastAsia="黑体" w:cs="Times New Roman"/>
          <w:color w:val="000000"/>
          <w:kern w:val="0"/>
          <w:sz w:val="32"/>
          <w:szCs w:val="32"/>
          <w:highlight w:val="none"/>
          <w:shd w:val="clear" w:color="auto" w:fill="FFFFFF"/>
        </w:rPr>
        <w:t>二、</w:t>
      </w:r>
      <w:r>
        <w:rPr>
          <w:rFonts w:hint="default" w:ascii="Times New Roman" w:hAnsi="Times New Roman" w:eastAsia="黑体" w:cs="Times New Roman"/>
          <w:color w:val="000000"/>
          <w:kern w:val="0"/>
          <w:sz w:val="32"/>
          <w:szCs w:val="32"/>
          <w:highlight w:val="none"/>
          <w:shd w:val="clear" w:color="auto" w:fill="FFFFFF"/>
          <w:lang w:eastAsia="zh-CN"/>
        </w:rPr>
        <w:t>部门</w:t>
      </w:r>
      <w:r>
        <w:rPr>
          <w:rFonts w:hint="default" w:ascii="Times New Roman" w:hAnsi="Times New Roman" w:eastAsia="黑体" w:cs="Times New Roman"/>
          <w:color w:val="000000"/>
          <w:kern w:val="0"/>
          <w:sz w:val="32"/>
          <w:szCs w:val="32"/>
          <w:highlight w:val="none"/>
          <w:shd w:val="clear" w:color="auto" w:fill="FFFFFF"/>
        </w:rPr>
        <w:t>资金收支情况</w:t>
      </w:r>
    </w:p>
    <w:p w14:paraId="768E604E">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eastAsia" w:ascii="Times New Roman" w:hAnsi="Times New Roman" w:eastAsia="楷体_GB2312" w:cs="Times New Roman"/>
          <w:b/>
          <w:bCs/>
          <w:color w:val="000000"/>
          <w:kern w:val="0"/>
          <w:sz w:val="32"/>
          <w:szCs w:val="32"/>
          <w:highlight w:val="none"/>
          <w:shd w:val="clear" w:color="auto" w:fill="FFFFFF"/>
          <w:lang w:val="en-US" w:eastAsia="zh-CN"/>
        </w:rPr>
      </w:pPr>
      <w:r>
        <w:rPr>
          <w:rFonts w:hint="default" w:ascii="Times New Roman" w:hAnsi="Times New Roman" w:eastAsia="楷体_GB2312" w:cs="Times New Roman"/>
          <w:b/>
          <w:bCs/>
          <w:color w:val="000000"/>
          <w:kern w:val="0"/>
          <w:sz w:val="32"/>
          <w:szCs w:val="32"/>
          <w:highlight w:val="none"/>
          <w:shd w:val="clear" w:color="auto" w:fill="FFFFFF"/>
          <w:lang w:val="zh-CN"/>
        </w:rPr>
        <w:t>（一）</w:t>
      </w:r>
      <w:r>
        <w:rPr>
          <w:rFonts w:hint="eastAsia" w:ascii="Times New Roman" w:hAnsi="Times New Roman" w:eastAsia="楷体_GB2312" w:cs="Times New Roman"/>
          <w:b/>
          <w:bCs/>
          <w:color w:val="000000"/>
          <w:kern w:val="0"/>
          <w:sz w:val="32"/>
          <w:szCs w:val="32"/>
          <w:highlight w:val="none"/>
          <w:shd w:val="clear" w:color="auto" w:fill="FFFFFF"/>
          <w:lang w:val="zh-CN"/>
        </w:rPr>
        <w:t>收入情况</w:t>
      </w:r>
      <w:r>
        <w:rPr>
          <w:rFonts w:hint="default" w:ascii="Times New Roman" w:hAnsi="Times New Roman" w:eastAsia="楷体_GB2312" w:cs="Times New Roman"/>
          <w:b/>
          <w:bCs/>
          <w:color w:val="000000"/>
          <w:kern w:val="0"/>
          <w:sz w:val="32"/>
          <w:szCs w:val="32"/>
          <w:highlight w:val="none"/>
          <w:shd w:val="clear" w:color="auto" w:fill="FFFFFF"/>
          <w:lang w:val="zh-CN"/>
        </w:rPr>
        <w:t>。</w:t>
      </w:r>
    </w:p>
    <w:p w14:paraId="220315DA">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eastAsia="仿宋" w:cs="仿宋"/>
          <w:sz w:val="32"/>
          <w:szCs w:val="32"/>
          <w:lang w:val="en-US" w:eastAsia="zh-CN"/>
        </w:rPr>
      </w:pPr>
      <w:r>
        <w:rPr>
          <w:rFonts w:hint="eastAsia" w:ascii="仿宋" w:eastAsia="仿宋" w:cs="仿宋"/>
          <w:sz w:val="32"/>
          <w:szCs w:val="32"/>
          <w:lang w:val="en-US" w:eastAsia="zh-CN"/>
        </w:rPr>
        <w:t>2024年度收入总计1029.08万元。与2023年相比，收入总计各减少188.17万元，降低15.46</w:t>
      </w:r>
      <w:r>
        <w:rPr>
          <w:rFonts w:hint="eastAsia" w:ascii="仿宋" w:eastAsia="仿宋" w:cs="仿宋"/>
          <w:sz w:val="32"/>
          <w:szCs w:val="32"/>
        </w:rPr>
        <w:t>%</w:t>
      </w:r>
      <w:r>
        <w:rPr>
          <w:rFonts w:hint="eastAsia" w:ascii="仿宋" w:eastAsia="仿宋" w:cs="仿宋"/>
          <w:sz w:val="32"/>
          <w:szCs w:val="32"/>
          <w:lang w:val="en-US" w:eastAsia="zh-CN"/>
        </w:rPr>
        <w:t>。</w:t>
      </w:r>
      <w:bookmarkStart w:id="53" w:name="_Toc26843610"/>
      <w:bookmarkStart w:id="54" w:name="_Toc18400"/>
      <w:r>
        <w:rPr>
          <w:rFonts w:hint="eastAsia" w:ascii="仿宋" w:eastAsia="仿宋" w:cs="仿宋"/>
          <w:sz w:val="32"/>
          <w:szCs w:val="32"/>
          <w:lang w:val="en-US" w:eastAsia="zh-CN"/>
        </w:rPr>
        <w:t>降低</w:t>
      </w:r>
      <w:r>
        <w:rPr>
          <w:rFonts w:hint="eastAsia" w:ascii="仿宋" w:eastAsia="仿宋" w:cs="仿宋"/>
          <w:sz w:val="32"/>
          <w:szCs w:val="32"/>
        </w:rPr>
        <w:t>的主要原因是</w:t>
      </w:r>
      <w:r>
        <w:rPr>
          <w:rFonts w:hint="eastAsia" w:ascii="仿宋" w:eastAsia="仿宋" w:cs="仿宋"/>
          <w:sz w:val="32"/>
          <w:szCs w:val="32"/>
          <w:lang w:eastAsia="zh-CN"/>
        </w:rPr>
        <w:t>2024</w:t>
      </w:r>
      <w:r>
        <w:rPr>
          <w:rFonts w:hint="eastAsia" w:ascii="仿宋" w:eastAsia="仿宋" w:cs="仿宋"/>
          <w:sz w:val="32"/>
          <w:szCs w:val="32"/>
        </w:rPr>
        <w:t>年</w:t>
      </w:r>
      <w:r>
        <w:rPr>
          <w:rFonts w:hint="eastAsia" w:ascii="仿宋" w:eastAsia="仿宋" w:cs="仿宋"/>
          <w:sz w:val="32"/>
          <w:szCs w:val="32"/>
          <w:lang w:val="en-US" w:eastAsia="zh-CN"/>
        </w:rPr>
        <w:t>项目支出减少。</w:t>
      </w:r>
    </w:p>
    <w:p w14:paraId="47864206">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eastAsia="仿宋" w:cs="仿宋"/>
          <w:sz w:val="32"/>
          <w:szCs w:val="32"/>
          <w:lang w:val="en-US" w:eastAsia="zh-CN"/>
        </w:rPr>
      </w:pPr>
      <w:r>
        <w:rPr>
          <w:rFonts w:hint="eastAsia" w:ascii="仿宋" w:eastAsia="仿宋" w:cs="仿宋"/>
          <w:sz w:val="32"/>
          <w:szCs w:val="32"/>
          <w:lang w:val="en-US" w:eastAsia="zh-CN"/>
        </w:rPr>
        <w:t>其中：</w:t>
      </w:r>
      <w:r>
        <w:rPr>
          <w:rFonts w:hint="eastAsia" w:ascii="仿宋" w:eastAsia="仿宋" w:cs="仿宋"/>
          <w:sz w:val="32"/>
          <w:szCs w:val="32"/>
        </w:rPr>
        <w:t>一般公共预算财政拨款收入</w:t>
      </w:r>
      <w:r>
        <w:rPr>
          <w:rFonts w:hint="eastAsia" w:ascii="仿宋" w:eastAsia="仿宋" w:cs="仿宋"/>
          <w:sz w:val="32"/>
          <w:szCs w:val="32"/>
          <w:lang w:val="en-US" w:eastAsia="zh-CN"/>
        </w:rPr>
        <w:t>1029.08</w:t>
      </w:r>
      <w:r>
        <w:rPr>
          <w:rFonts w:hint="eastAsia" w:ascii="仿宋" w:eastAsia="仿宋" w:cs="仿宋"/>
          <w:sz w:val="32"/>
          <w:szCs w:val="32"/>
        </w:rPr>
        <w:t>万元，占100%</w:t>
      </w:r>
      <w:r>
        <w:rPr>
          <w:rFonts w:hint="eastAsia" w:ascii="仿宋" w:eastAsia="仿宋" w:cs="仿宋"/>
          <w:sz w:val="32"/>
          <w:szCs w:val="32"/>
          <w:lang w:val="en-US" w:eastAsia="zh-CN"/>
        </w:rPr>
        <w:t>政府性基金预算财政拨款收入0万元，占0%；国有资本经营预算财政拨款收入0万元，占0%；上级补助收入0万元，占0%；事业收入0万元，占0%；经营收入0万元，占0%；附属单位上缴收入0万元，占0%；其他收入0万元，占0%。</w:t>
      </w:r>
      <w:bookmarkEnd w:id="53"/>
      <w:r>
        <w:rPr>
          <w:rFonts w:hint="eastAsia" w:ascii="仿宋" w:eastAsia="仿宋" w:cs="仿宋"/>
          <w:sz w:val="32"/>
          <w:szCs w:val="32"/>
          <w:lang w:val="en-US" w:eastAsia="zh-CN"/>
        </w:rPr>
        <w:t>本年度财政应返还额度0万元。</w:t>
      </w:r>
      <w:bookmarkEnd w:id="54"/>
    </w:p>
    <w:p w14:paraId="698B6F57">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Chars="200"/>
        <w:contextualSpacing/>
        <w:jc w:val="left"/>
        <w:textAlignment w:val="auto"/>
        <w:outlineLvl w:val="9"/>
        <w:rPr>
          <w:rFonts w:hint="default" w:eastAsia="楷体_GB2312" w:cs="Times New Roman"/>
          <w:b/>
          <w:bCs/>
          <w:color w:val="000000"/>
          <w:kern w:val="0"/>
          <w:sz w:val="32"/>
          <w:szCs w:val="32"/>
          <w:highlight w:val="none"/>
          <w:shd w:val="clear" w:color="auto" w:fill="FFFFFF"/>
          <w:lang w:val="zh-CN"/>
        </w:rPr>
      </w:pPr>
      <w:r>
        <w:rPr>
          <w:rFonts w:hint="eastAsia" w:eastAsia="楷体_GB2312" w:cs="Times New Roman"/>
          <w:b/>
          <w:bCs/>
          <w:color w:val="000000"/>
          <w:kern w:val="0"/>
          <w:sz w:val="32"/>
          <w:szCs w:val="32"/>
          <w:highlight w:val="none"/>
          <w:shd w:val="clear" w:color="auto" w:fill="FFFFFF"/>
          <w:lang w:val="zh-CN"/>
        </w:rPr>
        <w:t>（</w:t>
      </w:r>
      <w:r>
        <w:rPr>
          <w:rFonts w:hint="eastAsia" w:eastAsia="楷体_GB2312" w:cs="Times New Roman"/>
          <w:b/>
          <w:bCs/>
          <w:color w:val="000000"/>
          <w:kern w:val="0"/>
          <w:sz w:val="32"/>
          <w:szCs w:val="32"/>
          <w:highlight w:val="none"/>
          <w:shd w:val="clear" w:color="auto" w:fill="FFFFFF"/>
          <w:lang w:val="en-US" w:eastAsia="zh-CN"/>
        </w:rPr>
        <w:t>三</w:t>
      </w:r>
      <w:r>
        <w:rPr>
          <w:rFonts w:hint="eastAsia" w:eastAsia="楷体_GB2312" w:cs="Times New Roman"/>
          <w:b/>
          <w:bCs/>
          <w:color w:val="000000"/>
          <w:kern w:val="0"/>
          <w:sz w:val="32"/>
          <w:szCs w:val="32"/>
          <w:highlight w:val="none"/>
          <w:shd w:val="clear" w:color="auto" w:fill="FFFFFF"/>
          <w:lang w:val="zh-CN"/>
        </w:rPr>
        <w:t>）支出情况</w:t>
      </w:r>
      <w:r>
        <w:rPr>
          <w:rFonts w:hint="default" w:eastAsia="楷体_GB2312" w:cs="Times New Roman"/>
          <w:b/>
          <w:bCs/>
          <w:color w:val="000000"/>
          <w:kern w:val="0"/>
          <w:sz w:val="32"/>
          <w:szCs w:val="32"/>
          <w:highlight w:val="none"/>
          <w:shd w:val="clear" w:color="auto" w:fill="FFFFFF"/>
          <w:lang w:val="zh-CN"/>
        </w:rPr>
        <w:t>。</w:t>
      </w:r>
    </w:p>
    <w:p w14:paraId="494B4347">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eastAsia="仿宋" w:cs="仿宋"/>
          <w:sz w:val="32"/>
          <w:szCs w:val="32"/>
          <w:lang w:val="en-US" w:eastAsia="zh-CN"/>
        </w:rPr>
      </w:pPr>
      <w:r>
        <w:rPr>
          <w:rFonts w:hint="eastAsia" w:ascii="仿宋" w:eastAsia="仿宋" w:cs="仿宋"/>
          <w:sz w:val="32"/>
          <w:szCs w:val="32"/>
          <w:lang w:val="en-US" w:eastAsia="zh-CN"/>
        </w:rPr>
        <w:t>2024</w:t>
      </w:r>
      <w:r>
        <w:rPr>
          <w:rFonts w:hint="default" w:ascii="仿宋" w:eastAsia="仿宋" w:cs="仿宋"/>
          <w:sz w:val="32"/>
          <w:szCs w:val="32"/>
          <w:lang w:val="en-US" w:eastAsia="zh-CN"/>
        </w:rPr>
        <w:t>年一般公共预算财政拨款支出</w:t>
      </w:r>
      <w:r>
        <w:rPr>
          <w:rFonts w:hint="eastAsia" w:ascii="仿宋" w:eastAsia="仿宋" w:cs="仿宋"/>
          <w:sz w:val="32"/>
          <w:szCs w:val="32"/>
          <w:lang w:val="en-US" w:eastAsia="zh-CN"/>
        </w:rPr>
        <w:t>1029.08</w:t>
      </w:r>
      <w:r>
        <w:rPr>
          <w:rFonts w:hint="default" w:ascii="仿宋" w:eastAsia="仿宋" w:cs="仿宋"/>
          <w:sz w:val="32"/>
          <w:szCs w:val="32"/>
          <w:lang w:val="en-US" w:eastAsia="zh-CN"/>
        </w:rPr>
        <w:t>万元，占本年支出合计的100%。与</w:t>
      </w:r>
      <w:r>
        <w:rPr>
          <w:rFonts w:hint="eastAsia" w:ascii="仿宋" w:eastAsia="仿宋" w:cs="仿宋"/>
          <w:sz w:val="32"/>
          <w:szCs w:val="32"/>
          <w:lang w:val="en-US" w:eastAsia="zh-CN"/>
        </w:rPr>
        <w:t>2023</w:t>
      </w:r>
      <w:r>
        <w:rPr>
          <w:rFonts w:hint="default" w:ascii="仿宋" w:eastAsia="仿宋" w:cs="仿宋"/>
          <w:sz w:val="32"/>
          <w:szCs w:val="32"/>
          <w:lang w:val="en-US" w:eastAsia="zh-CN"/>
        </w:rPr>
        <w:t>年相比，一般公共预算财政拨款支出</w:t>
      </w:r>
      <w:r>
        <w:rPr>
          <w:rFonts w:hint="eastAsia" w:ascii="仿宋" w:eastAsia="仿宋" w:cs="仿宋"/>
          <w:sz w:val="32"/>
          <w:szCs w:val="32"/>
          <w:lang w:val="en-US" w:eastAsia="zh-CN"/>
        </w:rPr>
        <w:t>减少188.17</w:t>
      </w:r>
      <w:r>
        <w:rPr>
          <w:rFonts w:hint="default" w:ascii="仿宋" w:eastAsia="仿宋" w:cs="仿宋"/>
          <w:sz w:val="32"/>
          <w:szCs w:val="32"/>
          <w:lang w:val="en-US" w:eastAsia="zh-CN"/>
        </w:rPr>
        <w:t>万元，</w:t>
      </w:r>
      <w:r>
        <w:rPr>
          <w:rFonts w:hint="eastAsia" w:ascii="仿宋" w:eastAsia="仿宋" w:cs="仿宋"/>
          <w:sz w:val="32"/>
          <w:szCs w:val="32"/>
          <w:lang w:val="en-US" w:eastAsia="zh-CN"/>
        </w:rPr>
        <w:t>降低15.46</w:t>
      </w:r>
      <w:r>
        <w:rPr>
          <w:rFonts w:hint="eastAsia" w:ascii="仿宋" w:eastAsia="仿宋" w:cs="仿宋"/>
          <w:sz w:val="32"/>
          <w:szCs w:val="32"/>
        </w:rPr>
        <w:t>%</w:t>
      </w:r>
      <w:r>
        <w:rPr>
          <w:rFonts w:hint="default" w:ascii="仿宋" w:eastAsia="仿宋" w:cs="仿宋"/>
          <w:sz w:val="32"/>
          <w:szCs w:val="32"/>
          <w:lang w:val="en-US" w:eastAsia="zh-CN"/>
        </w:rPr>
        <w:t>。</w:t>
      </w:r>
      <w:r>
        <w:rPr>
          <w:rFonts w:hint="eastAsia" w:ascii="仿宋" w:eastAsia="仿宋" w:cs="仿宋"/>
          <w:sz w:val="32"/>
          <w:szCs w:val="32"/>
        </w:rPr>
        <w:t>主要原因是</w:t>
      </w:r>
      <w:r>
        <w:rPr>
          <w:rFonts w:hint="eastAsia" w:ascii="仿宋" w:eastAsia="仿宋" w:cs="仿宋"/>
          <w:sz w:val="32"/>
          <w:szCs w:val="32"/>
          <w:lang w:eastAsia="zh-CN"/>
        </w:rPr>
        <w:t>2024</w:t>
      </w:r>
      <w:r>
        <w:rPr>
          <w:rFonts w:hint="eastAsia" w:ascii="仿宋" w:eastAsia="仿宋" w:cs="仿宋"/>
          <w:sz w:val="32"/>
          <w:szCs w:val="32"/>
        </w:rPr>
        <w:t>年</w:t>
      </w:r>
      <w:r>
        <w:rPr>
          <w:rFonts w:hint="eastAsia" w:ascii="仿宋" w:eastAsia="仿宋" w:cs="仿宋"/>
          <w:sz w:val="32"/>
          <w:szCs w:val="32"/>
          <w:lang w:val="en-US" w:eastAsia="zh-CN"/>
        </w:rPr>
        <w:t>项目支出减少。</w:t>
      </w:r>
    </w:p>
    <w:p w14:paraId="12C81CF0">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eastAsia="仿宋" w:cs="仿宋"/>
          <w:sz w:val="32"/>
          <w:szCs w:val="32"/>
          <w:lang w:eastAsia="zh-CN"/>
        </w:rPr>
      </w:pPr>
      <w:r>
        <w:rPr>
          <w:rFonts w:hint="eastAsia" w:ascii="仿宋" w:eastAsia="仿宋" w:cs="仿宋"/>
          <w:sz w:val="32"/>
          <w:szCs w:val="32"/>
          <w:lang w:val="en-US" w:eastAsia="zh-CN"/>
        </w:rPr>
        <w:t>其中：</w:t>
      </w:r>
      <w:r>
        <w:rPr>
          <w:rFonts w:hint="eastAsia" w:ascii="仿宋" w:eastAsia="仿宋" w:cs="仿宋"/>
          <w:sz w:val="32"/>
          <w:szCs w:val="32"/>
        </w:rPr>
        <w:t>基本支出</w:t>
      </w:r>
      <w:r>
        <w:rPr>
          <w:rFonts w:hint="eastAsia" w:ascii="仿宋" w:eastAsia="仿宋" w:cs="仿宋"/>
          <w:sz w:val="32"/>
          <w:szCs w:val="32"/>
          <w:lang w:val="en-US" w:eastAsia="zh-CN"/>
        </w:rPr>
        <w:t>644.88</w:t>
      </w:r>
      <w:r>
        <w:rPr>
          <w:rFonts w:hint="eastAsia" w:ascii="仿宋" w:eastAsia="仿宋" w:cs="仿宋"/>
          <w:sz w:val="32"/>
          <w:szCs w:val="32"/>
        </w:rPr>
        <w:t>万元，基本支出中人员经费支出为</w:t>
      </w:r>
      <w:r>
        <w:rPr>
          <w:rFonts w:hint="eastAsia" w:ascii="仿宋" w:eastAsia="仿宋" w:cs="仿宋"/>
          <w:sz w:val="32"/>
          <w:szCs w:val="32"/>
          <w:lang w:val="en-US" w:eastAsia="zh-CN"/>
        </w:rPr>
        <w:t>712.46</w:t>
      </w:r>
      <w:r>
        <w:rPr>
          <w:rFonts w:hint="eastAsia" w:ascii="仿宋" w:eastAsia="仿宋" w:cs="仿宋"/>
          <w:sz w:val="32"/>
          <w:szCs w:val="32"/>
        </w:rPr>
        <w:t>万元，主要包括：基本工资</w:t>
      </w:r>
      <w:r>
        <w:rPr>
          <w:rFonts w:hint="eastAsia" w:ascii="仿宋" w:eastAsia="仿宋" w:cs="仿宋"/>
          <w:sz w:val="32"/>
          <w:szCs w:val="32"/>
          <w:lang w:val="en-US" w:eastAsia="zh-CN"/>
        </w:rPr>
        <w:t>116.75</w:t>
      </w:r>
      <w:r>
        <w:rPr>
          <w:rFonts w:hint="eastAsia" w:ascii="仿宋" w:eastAsia="仿宋" w:cs="仿宋"/>
          <w:sz w:val="32"/>
          <w:szCs w:val="32"/>
        </w:rPr>
        <w:t>万元、津贴补贴</w:t>
      </w:r>
      <w:r>
        <w:rPr>
          <w:rFonts w:hint="eastAsia" w:ascii="仿宋" w:eastAsia="仿宋" w:cs="仿宋"/>
          <w:sz w:val="32"/>
          <w:szCs w:val="32"/>
          <w:lang w:val="en-US" w:eastAsia="zh-CN"/>
        </w:rPr>
        <w:t>184.43</w:t>
      </w:r>
      <w:r>
        <w:rPr>
          <w:rFonts w:hint="eastAsia" w:ascii="仿宋" w:eastAsia="仿宋" w:cs="仿宋"/>
          <w:sz w:val="32"/>
          <w:szCs w:val="32"/>
        </w:rPr>
        <w:t>万元、奖金</w:t>
      </w:r>
      <w:r>
        <w:rPr>
          <w:rFonts w:hint="eastAsia" w:ascii="仿宋" w:eastAsia="仿宋" w:cs="仿宋"/>
          <w:sz w:val="32"/>
          <w:szCs w:val="32"/>
          <w:lang w:val="en-US" w:eastAsia="zh-CN"/>
        </w:rPr>
        <w:t>178.42</w:t>
      </w:r>
      <w:r>
        <w:rPr>
          <w:rFonts w:hint="eastAsia" w:ascii="仿宋" w:eastAsia="仿宋" w:cs="仿宋"/>
          <w:sz w:val="32"/>
          <w:szCs w:val="32"/>
        </w:rPr>
        <w:t>万元、绩效工资</w:t>
      </w:r>
      <w:r>
        <w:rPr>
          <w:rFonts w:hint="eastAsia" w:ascii="仿宋" w:eastAsia="仿宋" w:cs="仿宋"/>
          <w:sz w:val="32"/>
          <w:szCs w:val="32"/>
          <w:lang w:val="en-US" w:eastAsia="zh-CN"/>
        </w:rPr>
        <w:t>31.2</w:t>
      </w:r>
      <w:r>
        <w:rPr>
          <w:rFonts w:hint="eastAsia" w:ascii="仿宋" w:eastAsia="仿宋" w:cs="仿宋"/>
          <w:sz w:val="32"/>
          <w:szCs w:val="32"/>
        </w:rPr>
        <w:t>万元、机关事业单位基本养老保险缴费</w:t>
      </w:r>
      <w:r>
        <w:rPr>
          <w:rFonts w:hint="eastAsia" w:ascii="仿宋" w:eastAsia="仿宋" w:cs="仿宋"/>
          <w:sz w:val="32"/>
          <w:szCs w:val="32"/>
          <w:lang w:val="en-US" w:eastAsia="zh-CN"/>
        </w:rPr>
        <w:t>60.59</w:t>
      </w:r>
      <w:r>
        <w:rPr>
          <w:rFonts w:hint="eastAsia" w:ascii="仿宋" w:eastAsia="仿宋" w:cs="仿宋"/>
          <w:sz w:val="32"/>
          <w:szCs w:val="32"/>
        </w:rPr>
        <w:t>万元、职业年金缴费</w:t>
      </w:r>
      <w:r>
        <w:rPr>
          <w:rFonts w:hint="eastAsia" w:ascii="仿宋" w:eastAsia="仿宋" w:cs="仿宋"/>
          <w:sz w:val="32"/>
          <w:szCs w:val="32"/>
          <w:lang w:val="en-US" w:eastAsia="zh-CN"/>
        </w:rPr>
        <w:t>31.58</w:t>
      </w:r>
      <w:r>
        <w:rPr>
          <w:rFonts w:hint="eastAsia" w:ascii="仿宋" w:eastAsia="仿宋" w:cs="仿宋"/>
          <w:sz w:val="32"/>
          <w:szCs w:val="32"/>
        </w:rPr>
        <w:t>万元、其他社会保障缴费</w:t>
      </w:r>
      <w:r>
        <w:rPr>
          <w:rFonts w:hint="eastAsia" w:ascii="仿宋" w:eastAsia="仿宋" w:cs="仿宋"/>
          <w:sz w:val="32"/>
          <w:szCs w:val="32"/>
          <w:lang w:val="en-US" w:eastAsia="zh-CN"/>
        </w:rPr>
        <w:t>10.73</w:t>
      </w:r>
      <w:r>
        <w:rPr>
          <w:rFonts w:hint="eastAsia" w:ascii="仿宋" w:eastAsia="仿宋" w:cs="仿宋"/>
          <w:sz w:val="32"/>
          <w:szCs w:val="32"/>
        </w:rPr>
        <w:t>万元、住房公积金</w:t>
      </w:r>
      <w:r>
        <w:rPr>
          <w:rFonts w:hint="eastAsia" w:ascii="仿宋" w:eastAsia="仿宋" w:cs="仿宋"/>
          <w:sz w:val="32"/>
          <w:szCs w:val="32"/>
          <w:lang w:val="en-US" w:eastAsia="zh-CN"/>
        </w:rPr>
        <w:t>55.65</w:t>
      </w:r>
      <w:r>
        <w:rPr>
          <w:rFonts w:hint="eastAsia" w:ascii="仿宋" w:eastAsia="仿宋" w:cs="仿宋"/>
          <w:sz w:val="32"/>
          <w:szCs w:val="32"/>
        </w:rPr>
        <w:t>万元、职工基本医疗保险缴费</w:t>
      </w:r>
      <w:r>
        <w:rPr>
          <w:rFonts w:hint="eastAsia" w:ascii="仿宋" w:eastAsia="仿宋" w:cs="仿宋"/>
          <w:sz w:val="32"/>
          <w:szCs w:val="32"/>
          <w:lang w:val="en-US" w:eastAsia="zh-CN"/>
        </w:rPr>
        <w:t>33.78</w:t>
      </w:r>
      <w:r>
        <w:rPr>
          <w:rFonts w:hint="eastAsia" w:ascii="仿宋" w:eastAsia="仿宋" w:cs="仿宋"/>
          <w:sz w:val="32"/>
          <w:szCs w:val="32"/>
        </w:rPr>
        <w:t>万元、公务员医疗补助</w:t>
      </w:r>
      <w:r>
        <w:rPr>
          <w:rFonts w:hint="eastAsia" w:ascii="仿宋" w:eastAsia="仿宋" w:cs="仿宋"/>
          <w:sz w:val="32"/>
          <w:szCs w:val="32"/>
          <w:lang w:val="en-US" w:eastAsia="zh-CN"/>
        </w:rPr>
        <w:t>4.33</w:t>
      </w:r>
      <w:r>
        <w:rPr>
          <w:rFonts w:hint="eastAsia" w:ascii="仿宋" w:eastAsia="仿宋" w:cs="仿宋"/>
          <w:sz w:val="32"/>
          <w:szCs w:val="32"/>
        </w:rPr>
        <w:t>万元、生活补助</w:t>
      </w:r>
      <w:r>
        <w:rPr>
          <w:rFonts w:hint="eastAsia" w:ascii="仿宋" w:eastAsia="仿宋" w:cs="仿宋"/>
          <w:sz w:val="32"/>
          <w:szCs w:val="32"/>
          <w:lang w:val="en-US" w:eastAsia="zh-CN"/>
        </w:rPr>
        <w:t>5</w:t>
      </w:r>
      <w:r>
        <w:rPr>
          <w:rFonts w:hint="eastAsia" w:ascii="仿宋" w:eastAsia="仿宋" w:cs="仿宋"/>
          <w:sz w:val="32"/>
          <w:szCs w:val="32"/>
        </w:rPr>
        <w:t>万元</w:t>
      </w:r>
      <w:r>
        <w:rPr>
          <w:rFonts w:hint="eastAsia" w:ascii="仿宋" w:eastAsia="仿宋" w:cs="仿宋"/>
          <w:sz w:val="32"/>
          <w:szCs w:val="32"/>
          <w:lang w:eastAsia="zh-CN"/>
        </w:rPr>
        <w:t>。</w:t>
      </w:r>
    </w:p>
    <w:p w14:paraId="552ACA70">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eastAsia="仿宋" w:cs="仿宋"/>
          <w:sz w:val="32"/>
          <w:szCs w:val="32"/>
        </w:rPr>
      </w:pPr>
      <w:r>
        <w:rPr>
          <w:rFonts w:hint="eastAsia" w:ascii="仿宋" w:eastAsia="仿宋" w:cs="仿宋"/>
          <w:sz w:val="32"/>
          <w:szCs w:val="32"/>
        </w:rPr>
        <w:t>公用经费支出为</w:t>
      </w:r>
      <w:r>
        <w:rPr>
          <w:rFonts w:hint="eastAsia" w:ascii="仿宋" w:eastAsia="仿宋" w:cs="仿宋"/>
          <w:sz w:val="32"/>
          <w:szCs w:val="32"/>
          <w:lang w:val="en-US" w:eastAsia="zh-CN"/>
        </w:rPr>
        <w:t>33.81</w:t>
      </w:r>
      <w:r>
        <w:rPr>
          <w:rFonts w:hint="eastAsia" w:ascii="仿宋" w:eastAsia="仿宋" w:cs="仿宋"/>
          <w:sz w:val="32"/>
          <w:szCs w:val="32"/>
        </w:rPr>
        <w:t>万元，主要包括：办公费</w:t>
      </w:r>
      <w:r>
        <w:rPr>
          <w:rFonts w:hint="eastAsia" w:ascii="仿宋" w:eastAsia="仿宋" w:cs="仿宋"/>
          <w:sz w:val="32"/>
          <w:szCs w:val="32"/>
          <w:lang w:val="en-US" w:eastAsia="zh-CN"/>
        </w:rPr>
        <w:t>9.51</w:t>
      </w:r>
      <w:r>
        <w:rPr>
          <w:rFonts w:hint="eastAsia" w:ascii="仿宋" w:eastAsia="仿宋" w:cs="仿宋"/>
          <w:sz w:val="32"/>
          <w:szCs w:val="32"/>
        </w:rPr>
        <w:t>万元、电费</w:t>
      </w:r>
      <w:r>
        <w:rPr>
          <w:rFonts w:hint="eastAsia" w:ascii="仿宋" w:eastAsia="仿宋" w:cs="仿宋"/>
          <w:sz w:val="32"/>
          <w:szCs w:val="32"/>
          <w:lang w:val="en-US" w:eastAsia="zh-CN"/>
        </w:rPr>
        <w:t>2.3</w:t>
      </w:r>
      <w:r>
        <w:rPr>
          <w:rFonts w:hint="eastAsia" w:ascii="仿宋" w:eastAsia="仿宋" w:cs="仿宋"/>
          <w:sz w:val="32"/>
          <w:szCs w:val="32"/>
        </w:rPr>
        <w:t>万元、邮电费</w:t>
      </w:r>
      <w:r>
        <w:rPr>
          <w:rFonts w:hint="eastAsia" w:ascii="仿宋" w:eastAsia="仿宋" w:cs="仿宋"/>
          <w:sz w:val="32"/>
          <w:szCs w:val="32"/>
          <w:lang w:val="en-US" w:eastAsia="zh-CN"/>
        </w:rPr>
        <w:t>1.0</w:t>
      </w:r>
      <w:r>
        <w:rPr>
          <w:rFonts w:hint="eastAsia" w:ascii="仿宋" w:eastAsia="仿宋" w:cs="仿宋"/>
          <w:sz w:val="32"/>
          <w:szCs w:val="32"/>
        </w:rPr>
        <w:t>万元、</w:t>
      </w:r>
      <w:r>
        <w:rPr>
          <w:rFonts w:hint="eastAsia" w:ascii="仿宋" w:eastAsia="仿宋" w:cs="仿宋"/>
          <w:sz w:val="32"/>
          <w:szCs w:val="32"/>
          <w:lang w:val="en-US" w:eastAsia="zh-CN"/>
        </w:rPr>
        <w:t>租赁费0.6万元、委托业务费0.1万元</w:t>
      </w:r>
      <w:r>
        <w:rPr>
          <w:rFonts w:hint="eastAsia" w:ascii="仿宋" w:eastAsia="仿宋" w:cs="仿宋"/>
          <w:sz w:val="32"/>
          <w:szCs w:val="32"/>
        </w:rPr>
        <w:t>、差旅费</w:t>
      </w:r>
      <w:r>
        <w:rPr>
          <w:rFonts w:hint="eastAsia" w:ascii="仿宋" w:eastAsia="仿宋" w:cs="仿宋"/>
          <w:sz w:val="32"/>
          <w:szCs w:val="32"/>
          <w:lang w:val="en-US" w:eastAsia="zh-CN"/>
        </w:rPr>
        <w:t>1.5</w:t>
      </w:r>
      <w:r>
        <w:rPr>
          <w:rFonts w:hint="eastAsia" w:ascii="仿宋" w:eastAsia="仿宋" w:cs="仿宋"/>
          <w:sz w:val="32"/>
          <w:szCs w:val="32"/>
        </w:rPr>
        <w:t>万元、劳务费</w:t>
      </w:r>
      <w:r>
        <w:rPr>
          <w:rFonts w:hint="eastAsia" w:ascii="仿宋" w:eastAsia="仿宋" w:cs="仿宋"/>
          <w:sz w:val="32"/>
          <w:szCs w:val="32"/>
          <w:lang w:val="en-US" w:eastAsia="zh-CN"/>
        </w:rPr>
        <w:t>7.8</w:t>
      </w:r>
      <w:r>
        <w:rPr>
          <w:rFonts w:hint="eastAsia" w:ascii="仿宋" w:eastAsia="仿宋" w:cs="仿宋"/>
          <w:sz w:val="32"/>
          <w:szCs w:val="32"/>
        </w:rPr>
        <w:t>万元、其他交通</w:t>
      </w:r>
      <w:r>
        <w:rPr>
          <w:rFonts w:hint="eastAsia" w:ascii="仿宋" w:eastAsia="仿宋" w:cs="仿宋"/>
          <w:sz w:val="32"/>
          <w:szCs w:val="32"/>
          <w:lang w:val="en-US" w:eastAsia="zh-CN"/>
        </w:rPr>
        <w:t>1</w:t>
      </w:r>
      <w:r>
        <w:rPr>
          <w:rFonts w:hint="eastAsia" w:ascii="仿宋" w:eastAsia="仿宋" w:cs="仿宋"/>
          <w:sz w:val="32"/>
          <w:szCs w:val="32"/>
        </w:rPr>
        <w:t>万元，公务用车运行维护费</w:t>
      </w:r>
      <w:r>
        <w:rPr>
          <w:rFonts w:hint="eastAsia" w:ascii="仿宋" w:eastAsia="仿宋" w:cs="仿宋"/>
          <w:sz w:val="32"/>
          <w:szCs w:val="32"/>
          <w:lang w:val="en-US" w:eastAsia="zh-CN"/>
        </w:rPr>
        <w:t>10</w:t>
      </w:r>
      <w:r>
        <w:rPr>
          <w:rFonts w:hint="eastAsia" w:ascii="仿宋" w:eastAsia="仿宋" w:cs="仿宋"/>
          <w:sz w:val="32"/>
          <w:szCs w:val="32"/>
        </w:rPr>
        <w:t>万元。</w:t>
      </w:r>
    </w:p>
    <w:p w14:paraId="4CFB3EF5">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仿宋" w:eastAsia="仿宋" w:cs="仿宋"/>
          <w:sz w:val="32"/>
          <w:szCs w:val="32"/>
          <w:lang w:val="zh-CN" w:eastAsia="zh-CN"/>
        </w:rPr>
      </w:pPr>
      <w:r>
        <w:rPr>
          <w:rFonts w:hint="eastAsia" w:ascii="仿宋" w:eastAsia="仿宋" w:cs="仿宋"/>
          <w:sz w:val="32"/>
          <w:szCs w:val="32"/>
        </w:rPr>
        <w:t>项目支出</w:t>
      </w:r>
      <w:r>
        <w:rPr>
          <w:rFonts w:hint="eastAsia" w:ascii="仿宋" w:eastAsia="仿宋" w:cs="仿宋"/>
          <w:sz w:val="32"/>
          <w:szCs w:val="32"/>
          <w:lang w:val="en-US" w:eastAsia="zh-CN"/>
        </w:rPr>
        <w:t>350.39</w:t>
      </w:r>
      <w:r>
        <w:rPr>
          <w:rFonts w:hint="eastAsia" w:ascii="仿宋" w:eastAsia="仿宋" w:cs="仿宋"/>
          <w:sz w:val="32"/>
          <w:szCs w:val="32"/>
        </w:rPr>
        <w:t>万元，主要包括：</w:t>
      </w:r>
      <w:r>
        <w:rPr>
          <w:rFonts w:hint="eastAsia" w:ascii="仿宋" w:eastAsia="仿宋" w:cs="仿宋"/>
          <w:sz w:val="32"/>
          <w:szCs w:val="32"/>
          <w:lang w:val="en-US" w:eastAsia="zh-CN"/>
        </w:rPr>
        <w:t>边界矛盾纠纷协调经费6万元、英布汝村人居环境提升项目14.89万元、俄热乡村内安全饮水提升改造项目19.58万元，村级运行维护费、村干部生活补助 、意外险及社保补贴242.32万元，三老干部生活补助0.48万元。</w:t>
      </w:r>
    </w:p>
    <w:p w14:paraId="00838D79">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Chars="200"/>
        <w:contextualSpacing/>
        <w:jc w:val="left"/>
        <w:textAlignment w:val="auto"/>
        <w:outlineLvl w:val="9"/>
        <w:rPr>
          <w:rFonts w:hint="eastAsia" w:ascii="Times New Roman" w:hAnsi="Times New Roman" w:eastAsia="楷体_GB2312" w:cs="Times New Roman"/>
          <w:b/>
          <w:sz w:val="32"/>
          <w:szCs w:val="32"/>
          <w:lang w:eastAsia="zh-CN"/>
        </w:rPr>
      </w:pPr>
      <w:r>
        <w:rPr>
          <w:rFonts w:hint="eastAsia" w:ascii="Times New Roman" w:hAnsi="Times New Roman" w:eastAsia="楷体_GB2312" w:cs="Times New Roman"/>
          <w:b/>
          <w:sz w:val="32"/>
          <w:szCs w:val="32"/>
          <w:lang w:eastAsia="zh-CN"/>
        </w:rPr>
        <w:t>（</w:t>
      </w:r>
      <w:r>
        <w:rPr>
          <w:rFonts w:hint="eastAsia" w:ascii="Times New Roman" w:hAnsi="Times New Roman" w:eastAsia="楷体_GB2312" w:cs="Times New Roman"/>
          <w:b/>
          <w:sz w:val="32"/>
          <w:szCs w:val="32"/>
          <w:lang w:val="en-US" w:eastAsia="zh-CN"/>
        </w:rPr>
        <w:t>四</w:t>
      </w:r>
      <w:r>
        <w:rPr>
          <w:rFonts w:hint="eastAsia" w:ascii="Times New Roman" w:hAnsi="Times New Roman" w:eastAsia="楷体_GB2312" w:cs="Times New Roman"/>
          <w:b/>
          <w:sz w:val="32"/>
          <w:szCs w:val="32"/>
          <w:lang w:eastAsia="zh-CN"/>
        </w:rPr>
        <w:t>）</w:t>
      </w:r>
      <w:r>
        <w:rPr>
          <w:rFonts w:hint="default" w:ascii="Times New Roman" w:hAnsi="Times New Roman" w:eastAsia="楷体_GB2312" w:cs="Times New Roman"/>
          <w:b/>
          <w:sz w:val="32"/>
          <w:szCs w:val="32"/>
        </w:rPr>
        <w:t>结余分配和结转结余情况</w:t>
      </w:r>
      <w:r>
        <w:rPr>
          <w:rFonts w:hint="eastAsia" w:ascii="Times New Roman" w:hAnsi="Times New Roman" w:eastAsia="楷体_GB2312" w:cs="Times New Roman"/>
          <w:b/>
          <w:sz w:val="32"/>
          <w:szCs w:val="32"/>
          <w:lang w:eastAsia="zh-CN"/>
        </w:rPr>
        <w:t>。</w:t>
      </w:r>
    </w:p>
    <w:p w14:paraId="1C4492FB">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仿宋" w:eastAsia="仿宋" w:cs="仿宋"/>
          <w:sz w:val="32"/>
          <w:szCs w:val="32"/>
          <w:lang w:val="zh-CN" w:eastAsia="zh-CN"/>
        </w:rPr>
      </w:pPr>
      <w:r>
        <w:rPr>
          <w:rFonts w:hint="eastAsia" w:ascii="仿宋" w:eastAsia="仿宋" w:cs="仿宋"/>
          <w:sz w:val="32"/>
          <w:szCs w:val="32"/>
          <w:lang w:val="en-US" w:eastAsia="zh-CN"/>
        </w:rPr>
        <w:t>本单位2024年决算报表无</w:t>
      </w:r>
      <w:r>
        <w:rPr>
          <w:rFonts w:hint="default" w:ascii="仿宋" w:eastAsia="仿宋" w:cs="仿宋"/>
          <w:sz w:val="32"/>
          <w:szCs w:val="32"/>
          <w:lang w:val="en-US" w:eastAsia="zh-CN"/>
        </w:rPr>
        <w:t>结转结余</w:t>
      </w:r>
      <w:r>
        <w:rPr>
          <w:rFonts w:hint="eastAsia" w:ascii="仿宋" w:eastAsia="仿宋" w:cs="仿宋"/>
          <w:sz w:val="32"/>
          <w:szCs w:val="32"/>
          <w:lang w:val="en-US" w:eastAsia="zh-CN"/>
        </w:rPr>
        <w:t>情况</w:t>
      </w:r>
      <w:r>
        <w:rPr>
          <w:rFonts w:hint="default" w:ascii="仿宋" w:eastAsia="仿宋" w:cs="仿宋"/>
          <w:sz w:val="32"/>
          <w:szCs w:val="32"/>
          <w:lang w:val="en-US" w:eastAsia="zh-CN"/>
        </w:rPr>
        <w:t>。</w:t>
      </w:r>
    </w:p>
    <w:p w14:paraId="79D53531">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黑体" w:cs="Times New Roman"/>
          <w:color w:val="auto"/>
          <w:kern w:val="0"/>
          <w:sz w:val="32"/>
          <w:szCs w:val="32"/>
          <w:highlight w:val="none"/>
          <w:shd w:val="clear" w:color="auto" w:fill="FFFFFF"/>
        </w:rPr>
      </w:pPr>
      <w:r>
        <w:rPr>
          <w:rFonts w:hint="default" w:ascii="Times New Roman" w:hAnsi="Times New Roman" w:eastAsia="黑体" w:cs="Times New Roman"/>
          <w:color w:val="auto"/>
          <w:kern w:val="0"/>
          <w:sz w:val="32"/>
          <w:szCs w:val="32"/>
          <w:highlight w:val="none"/>
          <w:shd w:val="clear" w:color="auto" w:fill="FFFFFF"/>
        </w:rPr>
        <w:t>三、部门</w:t>
      </w:r>
      <w:r>
        <w:rPr>
          <w:rFonts w:hint="default" w:ascii="Times New Roman" w:hAnsi="Times New Roman" w:eastAsia="黑体" w:cs="Times New Roman"/>
          <w:color w:val="auto"/>
          <w:kern w:val="0"/>
          <w:sz w:val="32"/>
          <w:szCs w:val="32"/>
          <w:highlight w:val="none"/>
          <w:shd w:val="clear" w:color="auto" w:fill="FFFFFF"/>
          <w:lang w:eastAsia="zh-CN"/>
        </w:rPr>
        <w:t>预算</w:t>
      </w:r>
      <w:r>
        <w:rPr>
          <w:rFonts w:hint="default" w:ascii="Times New Roman" w:hAnsi="Times New Roman" w:eastAsia="黑体" w:cs="Times New Roman"/>
          <w:color w:val="auto"/>
          <w:kern w:val="0"/>
          <w:sz w:val="32"/>
          <w:szCs w:val="32"/>
          <w:highlight w:val="none"/>
          <w:shd w:val="clear" w:color="auto" w:fill="FFFFFF"/>
        </w:rPr>
        <w:t>绩效</w:t>
      </w:r>
      <w:r>
        <w:rPr>
          <w:rFonts w:hint="default" w:ascii="Times New Roman" w:hAnsi="Times New Roman" w:eastAsia="黑体" w:cs="Times New Roman"/>
          <w:color w:val="auto"/>
          <w:kern w:val="0"/>
          <w:sz w:val="32"/>
          <w:szCs w:val="32"/>
          <w:highlight w:val="none"/>
          <w:shd w:val="clear" w:color="auto" w:fill="FFFFFF"/>
          <w:lang w:eastAsia="zh-CN"/>
        </w:rPr>
        <w:t>分析</w:t>
      </w:r>
    </w:p>
    <w:p w14:paraId="63964DB5">
      <w:pPr>
        <w:keepNext w:val="0"/>
        <w:keepLines w:val="0"/>
        <w:pageBreakBefore w:val="0"/>
        <w:widowControl w:val="0"/>
        <w:kinsoku/>
        <w:wordWrap/>
        <w:overflowPunct/>
        <w:topLinePunct w:val="0"/>
        <w:autoSpaceDE/>
        <w:autoSpaceDN/>
        <w:bidi w:val="0"/>
        <w:adjustRightInd w:val="0"/>
        <w:snapToGrid w:val="0"/>
        <w:spacing w:line="578" w:lineRule="exact"/>
        <w:ind w:left="0" w:firstLine="643" w:firstLineChars="200"/>
        <w:contextualSpacing/>
        <w:jc w:val="left"/>
        <w:textAlignment w:val="auto"/>
        <w:outlineLvl w:val="9"/>
        <w:rPr>
          <w:rFonts w:hint="default" w:ascii="Times New Roman" w:hAnsi="Times New Roman" w:eastAsia="楷体_GB2312" w:cs="Times New Roman"/>
          <w:b/>
          <w:bCs/>
          <w:color w:val="000000"/>
          <w:kern w:val="0"/>
          <w:sz w:val="32"/>
          <w:szCs w:val="32"/>
          <w:highlight w:val="none"/>
          <w:shd w:val="clear" w:color="auto" w:fill="FFFFFF"/>
          <w:lang w:val="zh-CN"/>
        </w:rPr>
      </w:pPr>
      <w:r>
        <w:rPr>
          <w:rFonts w:hint="default" w:ascii="Times New Roman" w:hAnsi="Times New Roman" w:eastAsia="楷体_GB2312" w:cs="Times New Roman"/>
          <w:b/>
          <w:bCs/>
          <w:color w:val="000000"/>
          <w:kern w:val="0"/>
          <w:sz w:val="32"/>
          <w:szCs w:val="32"/>
          <w:highlight w:val="none"/>
          <w:shd w:val="clear" w:color="auto" w:fill="FFFFFF"/>
          <w:lang w:val="zh-CN"/>
        </w:rPr>
        <w:t>（一）</w:t>
      </w:r>
      <w:r>
        <w:rPr>
          <w:rFonts w:hint="eastAsia" w:ascii="Times New Roman" w:hAnsi="Times New Roman" w:eastAsia="楷体_GB2312" w:cs="Times New Roman"/>
          <w:b/>
          <w:bCs/>
          <w:color w:val="000000"/>
          <w:kern w:val="0"/>
          <w:sz w:val="32"/>
          <w:szCs w:val="32"/>
          <w:highlight w:val="none"/>
          <w:shd w:val="clear" w:color="auto" w:fill="FFFFFF"/>
          <w:lang w:val="zh-CN"/>
        </w:rPr>
        <w:t>部门预算</w:t>
      </w:r>
      <w:r>
        <w:rPr>
          <w:rFonts w:hint="default" w:ascii="Times New Roman" w:hAnsi="Times New Roman" w:eastAsia="楷体_GB2312" w:cs="Times New Roman"/>
          <w:b/>
          <w:bCs/>
          <w:color w:val="000000"/>
          <w:kern w:val="0"/>
          <w:sz w:val="32"/>
          <w:szCs w:val="32"/>
          <w:highlight w:val="none"/>
          <w:shd w:val="clear" w:color="auto" w:fill="FFFFFF"/>
          <w:lang w:val="zh-CN"/>
        </w:rPr>
        <w:t>总体绩效分析。</w:t>
      </w:r>
    </w:p>
    <w:p w14:paraId="45C9AE4E">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仿宋" w:eastAsia="仿宋" w:cs="仿宋"/>
          <w:sz w:val="32"/>
          <w:szCs w:val="32"/>
          <w:lang w:val="zh-CN"/>
        </w:rPr>
      </w:pPr>
      <w:r>
        <w:rPr>
          <w:rFonts w:hint="eastAsia" w:ascii="仿宋" w:eastAsia="仿宋" w:cs="仿宋"/>
          <w:sz w:val="32"/>
          <w:szCs w:val="32"/>
          <w:lang w:val="zh-CN" w:eastAsia="zh-CN"/>
        </w:rPr>
        <w:t>我乡按照规定完全履行职责，整体评价良好，服务对象基本满意从预算执行来情况看，预算资金覆盖我单位工作的各个方面，按照保工资、保运转、保民生的保障序列科学编制，分配办法科学，考虑的因素必要合理，分配的结果合理，保障了人员经费及单位正常运转。在预算执行过程中单位遵守财经纪律、财务制度，坚持先有预算后支出；严格审批程序，保障了资金安全。</w:t>
      </w:r>
    </w:p>
    <w:p w14:paraId="7F18DB00">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eastAsia="仿宋" w:cs="仿宋"/>
          <w:sz w:val="32"/>
          <w:szCs w:val="32"/>
          <w:lang w:val="zh-CN"/>
        </w:rPr>
      </w:pPr>
      <w:r>
        <w:rPr>
          <w:rFonts w:hint="eastAsia" w:ascii="仿宋" w:eastAsia="仿宋" w:cs="仿宋"/>
          <w:sz w:val="32"/>
          <w:szCs w:val="32"/>
          <w:lang w:val="en-US" w:eastAsia="zh-CN"/>
        </w:rPr>
        <w:t>1.</w:t>
      </w:r>
      <w:r>
        <w:rPr>
          <w:rFonts w:hint="eastAsia" w:ascii="仿宋" w:eastAsia="仿宋" w:cs="仿宋"/>
          <w:sz w:val="32"/>
          <w:szCs w:val="32"/>
          <w:lang w:val="zh-CN"/>
        </w:rPr>
        <w:t>履职效能。</w:t>
      </w:r>
    </w:p>
    <w:p w14:paraId="41111BD3">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eastAsia="仿宋" w:cs="仿宋"/>
          <w:sz w:val="32"/>
          <w:szCs w:val="32"/>
          <w:lang w:val="zh-CN" w:eastAsia="zh-CN"/>
        </w:rPr>
      </w:pPr>
      <w:r>
        <w:rPr>
          <w:rFonts w:hint="eastAsia" w:ascii="仿宋" w:eastAsia="仿宋" w:cs="仿宋"/>
          <w:sz w:val="32"/>
          <w:szCs w:val="32"/>
          <w:lang w:val="zh-CN" w:eastAsia="zh-CN"/>
        </w:rPr>
        <w:t>数量指标履职效果</w:t>
      </w:r>
      <w:r>
        <w:rPr>
          <w:rFonts w:hint="eastAsia" w:ascii="仿宋" w:eastAsia="仿宋" w:cs="仿宋"/>
          <w:sz w:val="32"/>
          <w:szCs w:val="32"/>
          <w:lang w:val="en-US" w:eastAsia="zh-CN"/>
        </w:rPr>
        <w:t>:严格控制数量确保无遗漏无浪费，厉行节约</w:t>
      </w:r>
      <w:r>
        <w:rPr>
          <w:rFonts w:hint="eastAsia" w:ascii="仿宋" w:eastAsia="仿宋" w:cs="仿宋"/>
          <w:sz w:val="32"/>
          <w:szCs w:val="32"/>
          <w:lang w:val="zh-CN" w:eastAsia="zh-CN"/>
        </w:rPr>
        <w:t>。</w:t>
      </w:r>
    </w:p>
    <w:p w14:paraId="4B09AF2A">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eastAsia="仿宋" w:cs="仿宋"/>
          <w:sz w:val="32"/>
          <w:szCs w:val="32"/>
          <w:lang w:val="en-US" w:eastAsia="zh-CN"/>
        </w:rPr>
      </w:pPr>
      <w:r>
        <w:rPr>
          <w:rFonts w:hint="eastAsia" w:ascii="仿宋" w:eastAsia="仿宋" w:cs="仿宋"/>
          <w:sz w:val="32"/>
          <w:szCs w:val="32"/>
          <w:lang w:val="zh-CN" w:eastAsia="zh-CN"/>
        </w:rPr>
        <w:t>质量指标履职效果：</w:t>
      </w:r>
      <w:r>
        <w:rPr>
          <w:rFonts w:hint="eastAsia" w:ascii="仿宋" w:eastAsia="仿宋" w:cs="仿宋"/>
          <w:sz w:val="32"/>
          <w:szCs w:val="32"/>
          <w:lang w:val="en-US" w:eastAsia="zh-CN"/>
        </w:rPr>
        <w:t>严格把控质量关，确保与采购文件相匹配。</w:t>
      </w:r>
    </w:p>
    <w:p w14:paraId="0983EAFD">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eastAsia="仿宋" w:cs="仿宋"/>
          <w:sz w:val="32"/>
          <w:szCs w:val="32"/>
          <w:lang w:val="en-US" w:eastAsia="zh-CN"/>
        </w:rPr>
      </w:pPr>
      <w:r>
        <w:rPr>
          <w:rFonts w:hint="eastAsia" w:ascii="仿宋" w:eastAsia="仿宋" w:cs="仿宋"/>
          <w:sz w:val="32"/>
          <w:szCs w:val="32"/>
          <w:lang w:val="en-US" w:eastAsia="zh-CN"/>
        </w:rPr>
        <w:t>社会效益指标履职效果：确保每一项采购项目都能实现单位职能，提高社会效益，促进社会发展。</w:t>
      </w:r>
    </w:p>
    <w:p w14:paraId="5176338E">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eastAsia="仿宋" w:cs="仿宋"/>
          <w:sz w:val="32"/>
          <w:szCs w:val="32"/>
          <w:lang w:val="en-US" w:eastAsia="zh-CN"/>
        </w:rPr>
      </w:pPr>
      <w:r>
        <w:rPr>
          <w:rFonts w:hint="default" w:ascii="仿宋" w:eastAsia="仿宋" w:cs="仿宋"/>
          <w:sz w:val="32"/>
          <w:szCs w:val="32"/>
          <w:lang w:val="en-US" w:eastAsia="zh-CN"/>
        </w:rPr>
        <w:t>服务对象满意度</w:t>
      </w:r>
      <w:r>
        <w:rPr>
          <w:rFonts w:hint="eastAsia" w:ascii="仿宋" w:eastAsia="仿宋" w:cs="仿宋"/>
          <w:sz w:val="32"/>
          <w:szCs w:val="32"/>
          <w:lang w:val="en-US" w:eastAsia="zh-CN"/>
        </w:rPr>
        <w:t>指标</w:t>
      </w:r>
      <w:r>
        <w:rPr>
          <w:rFonts w:hint="default" w:ascii="仿宋" w:eastAsia="仿宋" w:cs="仿宋"/>
          <w:sz w:val="32"/>
          <w:szCs w:val="32"/>
          <w:lang w:val="en-US" w:eastAsia="zh-CN"/>
        </w:rPr>
        <w:t>履职效果</w:t>
      </w:r>
      <w:r>
        <w:rPr>
          <w:rFonts w:hint="eastAsia" w:ascii="仿宋" w:eastAsia="仿宋" w:cs="仿宋"/>
          <w:sz w:val="32"/>
          <w:szCs w:val="32"/>
          <w:lang w:val="en-US" w:eastAsia="zh-CN"/>
        </w:rPr>
        <w:t>：以高质量、高标准、高要求实施采购项目，确保受益对象满意度。</w:t>
      </w:r>
    </w:p>
    <w:p w14:paraId="1FB90DFF">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仿宋" w:eastAsia="仿宋" w:cs="仿宋"/>
          <w:sz w:val="32"/>
          <w:szCs w:val="32"/>
          <w:lang w:val="en-US" w:eastAsia="zh-CN"/>
        </w:rPr>
      </w:pPr>
      <w:r>
        <w:rPr>
          <w:rFonts w:hint="default" w:ascii="仿宋" w:eastAsia="仿宋" w:cs="仿宋"/>
          <w:sz w:val="32"/>
          <w:szCs w:val="32"/>
          <w:lang w:val="en-US" w:eastAsia="zh-CN"/>
        </w:rPr>
        <w:t>经济成本指标履职效果</w:t>
      </w:r>
      <w:r>
        <w:rPr>
          <w:rFonts w:hint="eastAsia" w:ascii="仿宋" w:eastAsia="仿宋" w:cs="仿宋"/>
          <w:sz w:val="32"/>
          <w:szCs w:val="32"/>
          <w:lang w:val="en-US" w:eastAsia="zh-CN"/>
        </w:rPr>
        <w:t>：经过专业评估，以合理的经济成本实现项目价值。</w:t>
      </w:r>
    </w:p>
    <w:p w14:paraId="42D205F3">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eastAsia="仿宋" w:cs="仿宋"/>
          <w:sz w:val="32"/>
          <w:szCs w:val="32"/>
          <w:lang w:val="zh-CN"/>
        </w:rPr>
      </w:pPr>
      <w:r>
        <w:rPr>
          <w:rFonts w:hint="eastAsia" w:ascii="仿宋" w:eastAsia="仿宋" w:cs="仿宋"/>
          <w:sz w:val="32"/>
          <w:szCs w:val="32"/>
          <w:lang w:val="en-US" w:eastAsia="zh-CN"/>
        </w:rPr>
        <w:t>2.</w:t>
      </w:r>
      <w:r>
        <w:rPr>
          <w:rFonts w:hint="default" w:ascii="仿宋" w:eastAsia="仿宋" w:cs="仿宋"/>
          <w:sz w:val="32"/>
          <w:szCs w:val="32"/>
          <w:lang w:val="zh-CN"/>
        </w:rPr>
        <w:t>预算管理</w:t>
      </w:r>
      <w:r>
        <w:rPr>
          <w:rFonts w:hint="eastAsia" w:ascii="仿宋" w:eastAsia="仿宋" w:cs="仿宋"/>
          <w:sz w:val="32"/>
          <w:szCs w:val="32"/>
          <w:lang w:val="zh-CN"/>
        </w:rPr>
        <w:t>。</w:t>
      </w:r>
    </w:p>
    <w:p w14:paraId="7E885030">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eastAsia="仿宋" w:cs="仿宋"/>
          <w:sz w:val="32"/>
          <w:szCs w:val="32"/>
          <w:lang w:val="zh-CN"/>
        </w:rPr>
      </w:pPr>
      <w:r>
        <w:rPr>
          <w:rFonts w:hint="eastAsia" w:ascii="仿宋" w:eastAsia="仿宋" w:cs="仿宋"/>
          <w:sz w:val="32"/>
          <w:szCs w:val="32"/>
          <w:lang w:val="zh-CN" w:eastAsia="zh-CN"/>
        </w:rPr>
        <w:t>严格按照县级部门预算编制通知和有关要求，按时完成基础库、项目库报送工作，按时完成2024年预算编制工作，并按时提交部门预算草案。预算编制全面、科学。2024年实际支出和部门决算一致，绩效目标填报及年末结余结转都是严格按照县财政局的要求认真完成，不存在违规违纪使用资金的情况并按时完成202</w:t>
      </w:r>
      <w:r>
        <w:rPr>
          <w:rFonts w:hint="eastAsia" w:ascii="仿宋" w:eastAsia="仿宋" w:cs="仿宋"/>
          <w:sz w:val="32"/>
          <w:szCs w:val="32"/>
          <w:lang w:val="en-US" w:eastAsia="zh-CN"/>
        </w:rPr>
        <w:t>4</w:t>
      </w:r>
      <w:r>
        <w:rPr>
          <w:rFonts w:hint="eastAsia" w:ascii="仿宋" w:eastAsia="仿宋" w:cs="仿宋"/>
          <w:sz w:val="32"/>
          <w:szCs w:val="32"/>
          <w:lang w:val="zh-CN" w:eastAsia="zh-CN"/>
        </w:rPr>
        <w:t>年预算编制工作，及时提交了部门预算草案。</w:t>
      </w:r>
    </w:p>
    <w:p w14:paraId="01FC026D">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eastAsia="仿宋" w:cs="仿宋"/>
          <w:sz w:val="32"/>
          <w:szCs w:val="32"/>
          <w:lang w:val="zh-CN"/>
        </w:rPr>
      </w:pPr>
      <w:r>
        <w:rPr>
          <w:rFonts w:hint="default" w:ascii="仿宋" w:eastAsia="仿宋" w:cs="仿宋"/>
          <w:sz w:val="32"/>
          <w:szCs w:val="32"/>
          <w:lang w:val="zh-CN"/>
        </w:rPr>
        <w:t>财务管理</w:t>
      </w:r>
      <w:r>
        <w:rPr>
          <w:rFonts w:hint="eastAsia" w:ascii="仿宋" w:eastAsia="仿宋" w:cs="仿宋"/>
          <w:sz w:val="32"/>
          <w:szCs w:val="32"/>
          <w:lang w:val="zh-CN"/>
        </w:rPr>
        <w:t>。</w:t>
      </w:r>
    </w:p>
    <w:p w14:paraId="67E3DF23">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eastAsia="仿宋" w:cs="仿宋"/>
          <w:sz w:val="32"/>
          <w:szCs w:val="32"/>
          <w:lang w:val="zh-CN" w:eastAsia="zh-CN"/>
        </w:rPr>
      </w:pPr>
      <w:r>
        <w:rPr>
          <w:rFonts w:hint="eastAsia" w:ascii="仿宋" w:eastAsia="仿宋" w:cs="仿宋"/>
          <w:sz w:val="32"/>
          <w:szCs w:val="32"/>
          <w:lang w:val="zh-CN"/>
        </w:rPr>
        <w:t>根据相关要求，单位使用预算资金基本符合相关的预算财务管理制度。我乡在财政批复后</w:t>
      </w:r>
      <w:r>
        <w:rPr>
          <w:rFonts w:hint="eastAsia" w:ascii="仿宋" w:eastAsia="仿宋" w:cs="仿宋"/>
          <w:sz w:val="32"/>
          <w:szCs w:val="32"/>
        </w:rPr>
        <w:t>20日内在指定网站公开预决算信息。按照相关要求进行绩效自我评价，按要求及时上报，对发现的问题提出整改措施，并整改落实到位。</w:t>
      </w:r>
      <w:r>
        <w:rPr>
          <w:rFonts w:hint="eastAsia" w:ascii="仿宋" w:eastAsia="仿宋" w:cs="仿宋"/>
          <w:sz w:val="32"/>
          <w:szCs w:val="32"/>
          <w:lang w:val="zh-CN"/>
        </w:rPr>
        <w:t>绩效评价及依法接受财政监督情况等。</w:t>
      </w:r>
    </w:p>
    <w:p w14:paraId="71CF0C2F">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eastAsia="仿宋" w:cs="仿宋"/>
          <w:sz w:val="32"/>
          <w:szCs w:val="32"/>
          <w:lang w:val="zh-CN"/>
        </w:rPr>
      </w:pPr>
      <w:r>
        <w:rPr>
          <w:rFonts w:hint="default" w:ascii="仿宋" w:eastAsia="仿宋" w:cs="仿宋"/>
          <w:sz w:val="32"/>
          <w:szCs w:val="32"/>
          <w:lang w:val="zh-CN"/>
        </w:rPr>
        <w:t>资产管理</w:t>
      </w:r>
      <w:r>
        <w:rPr>
          <w:rFonts w:hint="eastAsia" w:ascii="仿宋" w:eastAsia="仿宋" w:cs="仿宋"/>
          <w:sz w:val="32"/>
          <w:szCs w:val="32"/>
          <w:lang w:val="zh-CN"/>
        </w:rPr>
        <w:t>。</w:t>
      </w:r>
    </w:p>
    <w:p w14:paraId="66795275">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仿宋" w:eastAsia="仿宋" w:cs="仿宋"/>
          <w:sz w:val="32"/>
          <w:szCs w:val="32"/>
          <w:lang w:val="en-US" w:eastAsia="zh-CN"/>
        </w:rPr>
      </w:pPr>
      <w:r>
        <w:rPr>
          <w:rFonts w:hint="eastAsia" w:ascii="仿宋" w:eastAsia="仿宋" w:cs="仿宋"/>
          <w:sz w:val="32"/>
          <w:szCs w:val="32"/>
          <w:lang w:val="zh-CN"/>
        </w:rPr>
        <w:t>我乡</w:t>
      </w:r>
      <w:r>
        <w:rPr>
          <w:rFonts w:hint="eastAsia" w:ascii="仿宋" w:eastAsia="仿宋" w:cs="仿宋"/>
          <w:sz w:val="32"/>
          <w:szCs w:val="32"/>
          <w:lang w:eastAsia="zh-CN"/>
        </w:rPr>
        <w:t>2024</w:t>
      </w:r>
      <w:r>
        <w:rPr>
          <w:rFonts w:hint="eastAsia" w:ascii="仿宋" w:eastAsia="仿宋" w:cs="仿宋"/>
          <w:sz w:val="32"/>
          <w:szCs w:val="32"/>
        </w:rPr>
        <w:t>年所有国有资产纳入</w:t>
      </w:r>
      <w:r>
        <w:rPr>
          <w:rFonts w:hint="eastAsia" w:ascii="仿宋" w:eastAsia="仿宋" w:cs="仿宋"/>
          <w:sz w:val="32"/>
          <w:szCs w:val="32"/>
          <w:lang w:val="zh-CN"/>
        </w:rPr>
        <w:t>资产管理系统，及时准确上报并做好资产的管理工作，</w:t>
      </w:r>
      <w:r>
        <w:rPr>
          <w:rFonts w:hint="eastAsia" w:ascii="仿宋" w:eastAsia="仿宋" w:cs="仿宋"/>
          <w:sz w:val="32"/>
          <w:szCs w:val="32"/>
          <w:lang w:val="en-US" w:eastAsia="zh-CN"/>
        </w:rPr>
        <w:t>无闲置资产。</w:t>
      </w:r>
    </w:p>
    <w:p w14:paraId="77420C65">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eastAsia="仿宋" w:cs="仿宋"/>
          <w:sz w:val="32"/>
          <w:szCs w:val="32"/>
          <w:lang w:val="zh-CN"/>
        </w:rPr>
      </w:pPr>
      <w:r>
        <w:rPr>
          <w:rFonts w:hint="default" w:ascii="仿宋" w:eastAsia="仿宋" w:cs="仿宋"/>
          <w:sz w:val="32"/>
          <w:szCs w:val="32"/>
          <w:lang w:val="zh-CN"/>
        </w:rPr>
        <w:t>采购管理</w:t>
      </w:r>
      <w:r>
        <w:rPr>
          <w:rFonts w:hint="eastAsia" w:ascii="仿宋" w:eastAsia="仿宋" w:cs="仿宋"/>
          <w:sz w:val="32"/>
          <w:szCs w:val="32"/>
          <w:lang w:val="zh-CN"/>
        </w:rPr>
        <w:t>。</w:t>
      </w:r>
    </w:p>
    <w:p w14:paraId="5CC750F8">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eastAsia="仿宋" w:cs="仿宋"/>
          <w:sz w:val="32"/>
          <w:szCs w:val="32"/>
          <w:lang w:val="zh-CN" w:eastAsia="zh-CN"/>
        </w:rPr>
      </w:pPr>
      <w:r>
        <w:rPr>
          <w:rFonts w:hint="eastAsia" w:ascii="仿宋" w:eastAsia="仿宋" w:cs="仿宋"/>
          <w:sz w:val="32"/>
          <w:szCs w:val="32"/>
          <w:lang w:val="en-US" w:eastAsia="zh-CN"/>
        </w:rPr>
        <w:t>为保障单位正常运转，实现机构只能，根据实际需求按照程序实施政府采购</w:t>
      </w:r>
      <w:r>
        <w:rPr>
          <w:rFonts w:hint="eastAsia" w:ascii="仿宋" w:eastAsia="仿宋" w:cs="仿宋"/>
          <w:sz w:val="32"/>
          <w:szCs w:val="32"/>
          <w:lang w:val="zh-CN" w:eastAsia="zh-CN"/>
        </w:rPr>
        <w:t>、采购</w:t>
      </w:r>
      <w:r>
        <w:rPr>
          <w:rFonts w:hint="eastAsia" w:ascii="仿宋" w:eastAsia="仿宋" w:cs="仿宋"/>
          <w:sz w:val="32"/>
          <w:szCs w:val="32"/>
          <w:lang w:val="en-US" w:eastAsia="zh-CN"/>
        </w:rPr>
        <w:t>项目</w:t>
      </w:r>
      <w:r>
        <w:rPr>
          <w:rFonts w:hint="eastAsia" w:ascii="仿宋" w:eastAsia="仿宋" w:cs="仿宋"/>
          <w:sz w:val="32"/>
          <w:szCs w:val="32"/>
          <w:lang w:val="zh-CN" w:eastAsia="zh-CN"/>
        </w:rPr>
        <w:t>执行率</w:t>
      </w:r>
      <w:r>
        <w:rPr>
          <w:rFonts w:hint="eastAsia" w:ascii="仿宋" w:eastAsia="仿宋" w:cs="仿宋"/>
          <w:sz w:val="32"/>
          <w:szCs w:val="32"/>
          <w:lang w:val="en-US" w:eastAsia="zh-CN"/>
        </w:rPr>
        <w:t>达100%，采购结果与预期目标相匹配，通过科学合理的评价方法和标准，提高采购质量和效益</w:t>
      </w:r>
      <w:r>
        <w:rPr>
          <w:rFonts w:hint="eastAsia" w:ascii="仿宋" w:eastAsia="仿宋" w:cs="仿宋"/>
          <w:sz w:val="32"/>
          <w:szCs w:val="32"/>
          <w:lang w:val="zh-CN" w:eastAsia="zh-CN"/>
        </w:rPr>
        <w:t>。</w:t>
      </w:r>
    </w:p>
    <w:p w14:paraId="5E58B09B">
      <w:pPr>
        <w:keepNext w:val="0"/>
        <w:keepLines w:val="0"/>
        <w:pageBreakBefore w:val="0"/>
        <w:widowControl/>
        <w:wordWrap w:val="0"/>
        <w:topLinePunct/>
        <w:bidi w:val="0"/>
        <w:adjustRightInd w:val="0"/>
        <w:snapToGrid w:val="0"/>
        <w:spacing w:line="600" w:lineRule="exact"/>
        <w:ind w:firstLine="643" w:firstLineChars="200"/>
        <w:jc w:val="left"/>
        <w:textAlignment w:val="auto"/>
        <w:rPr>
          <w:rFonts w:hint="default" w:ascii="Times New Roman" w:hAnsi="Times New Roman" w:eastAsia="楷体_GB2312" w:cs="Times New Roman"/>
          <w:b/>
          <w:bCs/>
          <w:color w:val="000000"/>
          <w:kern w:val="0"/>
          <w:sz w:val="32"/>
          <w:szCs w:val="32"/>
          <w:highlight w:val="none"/>
          <w:shd w:val="clear" w:color="auto" w:fill="FFFFFF"/>
          <w:lang w:val="zh-CN"/>
        </w:rPr>
      </w:pPr>
      <w:r>
        <w:rPr>
          <w:rFonts w:hint="eastAsia" w:eastAsia="楷体_GB2312" w:cs="Times New Roman"/>
          <w:b/>
          <w:bCs/>
          <w:color w:val="000000"/>
          <w:kern w:val="0"/>
          <w:sz w:val="32"/>
          <w:szCs w:val="32"/>
          <w:highlight w:val="none"/>
          <w:shd w:val="clear" w:color="auto" w:fill="FFFFFF"/>
          <w:lang w:val="zh-CN"/>
        </w:rPr>
        <w:t>（</w:t>
      </w:r>
      <w:r>
        <w:rPr>
          <w:rFonts w:hint="eastAsia" w:eastAsia="楷体_GB2312" w:cs="Times New Roman"/>
          <w:b/>
          <w:bCs/>
          <w:color w:val="000000"/>
          <w:kern w:val="0"/>
          <w:sz w:val="32"/>
          <w:szCs w:val="32"/>
          <w:highlight w:val="none"/>
          <w:shd w:val="clear" w:color="auto" w:fill="FFFFFF"/>
          <w:lang w:val="en-US" w:eastAsia="zh-CN"/>
        </w:rPr>
        <w:t>二</w:t>
      </w:r>
      <w:r>
        <w:rPr>
          <w:rFonts w:hint="eastAsia" w:eastAsia="楷体_GB2312" w:cs="Times New Roman"/>
          <w:b/>
          <w:bCs/>
          <w:color w:val="000000"/>
          <w:kern w:val="0"/>
          <w:sz w:val="32"/>
          <w:szCs w:val="32"/>
          <w:highlight w:val="none"/>
          <w:shd w:val="clear" w:color="auto" w:fill="FFFFFF"/>
          <w:lang w:val="zh-CN"/>
        </w:rPr>
        <w:t>）</w:t>
      </w:r>
      <w:r>
        <w:rPr>
          <w:rFonts w:hint="default" w:ascii="Times New Roman" w:hAnsi="Times New Roman" w:eastAsia="楷体_GB2312" w:cs="Times New Roman"/>
          <w:b/>
          <w:bCs/>
          <w:color w:val="000000"/>
          <w:kern w:val="0"/>
          <w:sz w:val="32"/>
          <w:szCs w:val="32"/>
          <w:highlight w:val="none"/>
          <w:shd w:val="clear" w:color="auto" w:fill="FFFFFF"/>
          <w:lang w:val="zh-CN"/>
        </w:rPr>
        <w:t>部门预算项目绩效分析。</w:t>
      </w:r>
    </w:p>
    <w:p w14:paraId="2900D56A">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仿宋" w:eastAsia="仿宋" w:cs="仿宋"/>
          <w:sz w:val="32"/>
          <w:szCs w:val="32"/>
          <w:lang w:val="en-US" w:eastAsia="zh-CN"/>
        </w:rPr>
      </w:pPr>
      <w:r>
        <w:rPr>
          <w:rFonts w:hint="eastAsia" w:ascii="仿宋" w:eastAsia="仿宋" w:cs="仿宋"/>
          <w:sz w:val="32"/>
          <w:szCs w:val="32"/>
          <w:lang w:val="zh-CN" w:eastAsia="zh-CN"/>
        </w:rPr>
        <w:t>填报以下数据，</w:t>
      </w:r>
      <w:r>
        <w:rPr>
          <w:rFonts w:hint="eastAsia" w:ascii="仿宋" w:eastAsia="仿宋" w:cs="仿宋"/>
          <w:sz w:val="32"/>
          <w:szCs w:val="32"/>
          <w:lang w:val="zh-CN"/>
        </w:rPr>
        <w:t>并</w:t>
      </w:r>
      <w:r>
        <w:rPr>
          <w:rFonts w:hint="default" w:ascii="仿宋" w:eastAsia="仿宋" w:cs="仿宋"/>
          <w:sz w:val="32"/>
          <w:szCs w:val="32"/>
          <w:lang w:val="zh-CN"/>
        </w:rPr>
        <w:t>根据部门预算绩效评价指标体系“项目绩效”涉及</w:t>
      </w:r>
      <w:r>
        <w:rPr>
          <w:rFonts w:hint="eastAsia" w:ascii="仿宋" w:eastAsia="仿宋" w:cs="仿宋"/>
          <w:sz w:val="32"/>
          <w:szCs w:val="32"/>
          <w:lang w:val="zh-CN"/>
        </w:rPr>
        <w:t>二、三级</w:t>
      </w:r>
      <w:r>
        <w:rPr>
          <w:rFonts w:hint="default" w:ascii="仿宋" w:eastAsia="仿宋" w:cs="仿宋"/>
          <w:sz w:val="32"/>
          <w:szCs w:val="32"/>
          <w:lang w:val="zh-CN"/>
        </w:rPr>
        <w:t>指标进行</w:t>
      </w:r>
      <w:r>
        <w:rPr>
          <w:rFonts w:hint="eastAsia" w:ascii="仿宋" w:eastAsia="仿宋" w:cs="仿宋"/>
          <w:sz w:val="32"/>
          <w:szCs w:val="32"/>
          <w:lang w:val="zh-CN"/>
        </w:rPr>
        <w:t>逐项</w:t>
      </w:r>
      <w:r>
        <w:rPr>
          <w:rFonts w:hint="default" w:ascii="仿宋" w:eastAsia="仿宋" w:cs="仿宋"/>
          <w:sz w:val="32"/>
          <w:szCs w:val="32"/>
          <w:lang w:val="zh-CN"/>
        </w:rPr>
        <w:t>绩效分析</w:t>
      </w:r>
      <w:r>
        <w:rPr>
          <w:rFonts w:hint="eastAsia" w:ascii="仿宋" w:eastAsia="仿宋" w:cs="仿宋"/>
          <w:sz w:val="32"/>
          <w:szCs w:val="32"/>
          <w:lang w:val="zh-CN"/>
        </w:rPr>
        <w:t>并评分</w:t>
      </w:r>
      <w:r>
        <w:rPr>
          <w:rFonts w:hint="default" w:ascii="仿宋" w:eastAsia="仿宋" w:cs="仿宋"/>
          <w:sz w:val="32"/>
          <w:szCs w:val="32"/>
          <w:lang w:val="zh-CN"/>
        </w:rPr>
        <w:t>，依次包括项目</w:t>
      </w:r>
      <w:r>
        <w:rPr>
          <w:rFonts w:hint="default" w:ascii="仿宋" w:eastAsia="仿宋" w:cs="仿宋"/>
          <w:sz w:val="32"/>
          <w:szCs w:val="32"/>
          <w:lang w:val="en-US" w:eastAsia="zh-CN"/>
        </w:rPr>
        <w:t>决策、项目执行、目标实现等情况</w:t>
      </w:r>
      <w:r>
        <w:rPr>
          <w:rFonts w:hint="eastAsia" w:ascii="仿宋" w:eastAsia="仿宋" w:cs="仿宋"/>
          <w:sz w:val="32"/>
          <w:szCs w:val="32"/>
          <w:lang w:val="en-US" w:eastAsia="zh-CN"/>
        </w:rPr>
        <w:t>。</w:t>
      </w:r>
    </w:p>
    <w:p w14:paraId="5DE6DFE0">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仿宋" w:eastAsia="仿宋" w:cs="仿宋"/>
          <w:sz w:val="32"/>
          <w:szCs w:val="32"/>
          <w:lang w:val="zh-CN" w:eastAsia="zh-CN"/>
        </w:rPr>
      </w:pPr>
      <w:r>
        <w:rPr>
          <w:rFonts w:hint="default" w:ascii="仿宋" w:eastAsia="仿宋" w:cs="仿宋"/>
          <w:sz w:val="32"/>
          <w:szCs w:val="32"/>
          <w:lang w:val="en-US" w:eastAsia="zh-CN"/>
        </w:rPr>
        <w:t>常年项目绩效分析。</w:t>
      </w:r>
      <w:r>
        <w:rPr>
          <w:rFonts w:hint="default" w:ascii="仿宋" w:eastAsia="仿宋" w:cs="仿宋"/>
          <w:sz w:val="32"/>
          <w:szCs w:val="32"/>
          <w:lang w:val="zh-CN" w:eastAsia="zh-CN"/>
        </w:rPr>
        <w:t>该类项目总</w:t>
      </w:r>
      <w:r>
        <w:rPr>
          <w:rFonts w:hint="eastAsia" w:ascii="仿宋" w:eastAsia="仿宋" w:cs="仿宋"/>
          <w:sz w:val="32"/>
          <w:szCs w:val="32"/>
          <w:lang w:val="en-US" w:eastAsia="zh-CN"/>
        </w:rPr>
        <w:t>3</w:t>
      </w:r>
      <w:r>
        <w:rPr>
          <w:rFonts w:hint="default" w:ascii="仿宋" w:eastAsia="仿宋" w:cs="仿宋"/>
          <w:sz w:val="32"/>
          <w:szCs w:val="32"/>
          <w:lang w:val="zh-CN" w:eastAsia="zh-CN"/>
        </w:rPr>
        <w:t>个，涉及预算总金额</w:t>
      </w:r>
      <w:r>
        <w:rPr>
          <w:rFonts w:hint="eastAsia" w:ascii="仿宋" w:eastAsia="仿宋" w:cs="仿宋"/>
          <w:sz w:val="32"/>
          <w:szCs w:val="32"/>
          <w:lang w:val="en-US" w:eastAsia="zh-CN"/>
        </w:rPr>
        <w:t>242.8</w:t>
      </w:r>
      <w:r>
        <w:rPr>
          <w:rFonts w:hint="default" w:ascii="仿宋" w:eastAsia="仿宋" w:cs="仿宋"/>
          <w:sz w:val="32"/>
          <w:szCs w:val="32"/>
          <w:lang w:val="zh-CN" w:eastAsia="zh-CN"/>
        </w:rPr>
        <w:t>万元，</w:t>
      </w:r>
      <w:r>
        <w:rPr>
          <w:rFonts w:hint="default" w:ascii="仿宋" w:eastAsia="仿宋" w:cs="仿宋"/>
          <w:sz w:val="32"/>
          <w:szCs w:val="32"/>
          <w:lang w:val="zh-CN"/>
        </w:rPr>
        <w:t>1</w:t>
      </w:r>
      <w:r>
        <w:rPr>
          <w:rFonts w:hint="eastAsia" w:ascii="仿宋" w:eastAsia="仿宋" w:cs="仿宋"/>
          <w:sz w:val="32"/>
          <w:szCs w:val="32"/>
          <w:lang w:val="zh-CN" w:eastAsia="zh-CN"/>
        </w:rPr>
        <w:t>—</w:t>
      </w:r>
      <w:r>
        <w:rPr>
          <w:rFonts w:hint="default" w:ascii="仿宋" w:eastAsia="仿宋" w:cs="仿宋"/>
          <w:sz w:val="32"/>
          <w:szCs w:val="32"/>
          <w:lang w:val="zh-CN"/>
        </w:rPr>
        <w:t>1</w:t>
      </w:r>
      <w:r>
        <w:rPr>
          <w:rFonts w:hint="default" w:ascii="仿宋" w:eastAsia="仿宋" w:cs="仿宋"/>
          <w:sz w:val="32"/>
          <w:szCs w:val="32"/>
          <w:lang w:val="en-US" w:eastAsia="zh-CN"/>
        </w:rPr>
        <w:t>2</w:t>
      </w:r>
      <w:r>
        <w:rPr>
          <w:rFonts w:hint="default" w:ascii="仿宋" w:eastAsia="仿宋" w:cs="仿宋"/>
          <w:sz w:val="32"/>
          <w:szCs w:val="32"/>
          <w:lang w:val="zh-CN"/>
        </w:rPr>
        <w:t>月预算执行总体进度为</w:t>
      </w:r>
      <w:r>
        <w:rPr>
          <w:rFonts w:hint="eastAsia" w:ascii="仿宋" w:eastAsia="仿宋" w:cs="仿宋"/>
          <w:sz w:val="32"/>
          <w:szCs w:val="32"/>
          <w:lang w:val="en-US" w:eastAsia="zh-CN"/>
        </w:rPr>
        <w:t>100</w:t>
      </w:r>
      <w:r>
        <w:rPr>
          <w:rFonts w:hint="default" w:ascii="仿宋" w:eastAsia="仿宋" w:cs="仿宋"/>
          <w:sz w:val="32"/>
          <w:szCs w:val="32"/>
          <w:lang w:val="zh-CN"/>
        </w:rPr>
        <w:t>%，其中：</w:t>
      </w:r>
      <w:r>
        <w:rPr>
          <w:rFonts w:hint="default" w:ascii="仿宋" w:eastAsia="仿宋" w:cs="仿宋"/>
          <w:sz w:val="32"/>
          <w:szCs w:val="32"/>
          <w:lang w:val="zh-CN" w:eastAsia="zh-CN"/>
        </w:rPr>
        <w:t>预算结余率大于</w:t>
      </w:r>
      <w:r>
        <w:rPr>
          <w:rFonts w:hint="default" w:ascii="仿宋" w:eastAsia="仿宋" w:cs="仿宋"/>
          <w:sz w:val="32"/>
          <w:szCs w:val="32"/>
          <w:lang w:val="en-US" w:eastAsia="zh-CN"/>
        </w:rPr>
        <w:t>10%</w:t>
      </w:r>
      <w:r>
        <w:rPr>
          <w:rFonts w:hint="default" w:ascii="仿宋" w:eastAsia="仿宋" w:cs="仿宋"/>
          <w:sz w:val="32"/>
          <w:szCs w:val="32"/>
          <w:lang w:val="zh-CN" w:eastAsia="zh-CN"/>
        </w:rPr>
        <w:t>的项目共计</w:t>
      </w:r>
      <w:r>
        <w:rPr>
          <w:rFonts w:hint="default" w:ascii="仿宋" w:eastAsia="仿宋" w:cs="仿宋"/>
          <w:sz w:val="32"/>
          <w:szCs w:val="32"/>
          <w:lang w:val="en-US" w:eastAsia="zh-CN"/>
        </w:rPr>
        <w:t xml:space="preserve"> </w:t>
      </w:r>
      <w:r>
        <w:rPr>
          <w:rFonts w:hint="eastAsia" w:ascii="仿宋" w:eastAsia="仿宋" w:cs="仿宋"/>
          <w:sz w:val="32"/>
          <w:szCs w:val="32"/>
          <w:lang w:val="en-US" w:eastAsia="zh-CN"/>
        </w:rPr>
        <w:t>0</w:t>
      </w:r>
      <w:r>
        <w:rPr>
          <w:rFonts w:hint="default" w:ascii="仿宋" w:eastAsia="仿宋" w:cs="仿宋"/>
          <w:sz w:val="32"/>
          <w:szCs w:val="32"/>
          <w:lang w:val="en-US" w:eastAsia="zh-CN"/>
        </w:rPr>
        <w:t xml:space="preserve">  </w:t>
      </w:r>
      <w:r>
        <w:rPr>
          <w:rFonts w:hint="default" w:ascii="仿宋" w:eastAsia="仿宋" w:cs="仿宋"/>
          <w:sz w:val="32"/>
          <w:szCs w:val="32"/>
          <w:lang w:val="zh-CN" w:eastAsia="zh-CN"/>
        </w:rPr>
        <w:t>个。</w:t>
      </w:r>
    </w:p>
    <w:p w14:paraId="48DD1B44">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仿宋" w:eastAsia="仿宋" w:cs="仿宋"/>
          <w:sz w:val="32"/>
          <w:szCs w:val="32"/>
          <w:lang w:val="zh-CN" w:eastAsia="zh-CN"/>
        </w:rPr>
      </w:pPr>
      <w:r>
        <w:rPr>
          <w:rFonts w:hint="default" w:ascii="仿宋" w:eastAsia="仿宋" w:cs="仿宋"/>
          <w:sz w:val="32"/>
          <w:szCs w:val="32"/>
          <w:lang w:val="en-US" w:eastAsia="zh-CN"/>
        </w:rPr>
        <w:t>阶段</w:t>
      </w:r>
      <w:r>
        <w:rPr>
          <w:rFonts w:hint="eastAsia" w:ascii="仿宋" w:eastAsia="仿宋" w:cs="仿宋"/>
          <w:sz w:val="32"/>
          <w:szCs w:val="32"/>
          <w:lang w:val="en-US" w:eastAsia="zh-CN"/>
        </w:rPr>
        <w:t>（</w:t>
      </w:r>
      <w:r>
        <w:rPr>
          <w:rFonts w:hint="default" w:ascii="仿宋" w:eastAsia="仿宋" w:cs="仿宋"/>
          <w:sz w:val="32"/>
          <w:szCs w:val="32"/>
          <w:lang w:val="en-US" w:eastAsia="zh-CN"/>
        </w:rPr>
        <w:t>一次性</w:t>
      </w:r>
      <w:r>
        <w:rPr>
          <w:rFonts w:hint="eastAsia" w:ascii="仿宋" w:eastAsia="仿宋" w:cs="仿宋"/>
          <w:sz w:val="32"/>
          <w:szCs w:val="32"/>
          <w:lang w:val="en-US" w:eastAsia="zh-CN"/>
        </w:rPr>
        <w:t>）</w:t>
      </w:r>
      <w:r>
        <w:rPr>
          <w:rFonts w:hint="default" w:ascii="仿宋" w:eastAsia="仿宋" w:cs="仿宋"/>
          <w:sz w:val="32"/>
          <w:szCs w:val="32"/>
          <w:lang w:val="en-US" w:eastAsia="zh-CN"/>
        </w:rPr>
        <w:t>项目绩效分析。</w:t>
      </w:r>
      <w:r>
        <w:rPr>
          <w:rFonts w:hint="default" w:ascii="仿宋" w:eastAsia="仿宋" w:cs="仿宋"/>
          <w:sz w:val="32"/>
          <w:szCs w:val="32"/>
          <w:lang w:val="zh-CN" w:eastAsia="zh-CN"/>
        </w:rPr>
        <w:t>该类项目总数</w:t>
      </w:r>
      <w:r>
        <w:rPr>
          <w:rFonts w:hint="eastAsia" w:ascii="仿宋" w:eastAsia="仿宋" w:cs="仿宋"/>
          <w:sz w:val="32"/>
          <w:szCs w:val="32"/>
          <w:lang w:val="en-US" w:eastAsia="zh-CN"/>
        </w:rPr>
        <w:t>3</w:t>
      </w:r>
      <w:r>
        <w:rPr>
          <w:rFonts w:hint="default" w:ascii="仿宋" w:eastAsia="仿宋" w:cs="仿宋"/>
          <w:sz w:val="32"/>
          <w:szCs w:val="32"/>
          <w:lang w:val="en-US" w:eastAsia="zh-CN"/>
        </w:rPr>
        <w:t xml:space="preserve"> </w:t>
      </w:r>
      <w:r>
        <w:rPr>
          <w:rFonts w:hint="default" w:ascii="仿宋" w:eastAsia="仿宋" w:cs="仿宋"/>
          <w:sz w:val="32"/>
          <w:szCs w:val="32"/>
          <w:lang w:val="zh-CN" w:eastAsia="zh-CN"/>
        </w:rPr>
        <w:t>个，涉及预算总金额</w:t>
      </w:r>
      <w:r>
        <w:rPr>
          <w:rFonts w:hint="eastAsia" w:ascii="仿宋" w:eastAsia="仿宋" w:cs="仿宋"/>
          <w:sz w:val="32"/>
          <w:szCs w:val="32"/>
          <w:lang w:val="en-US" w:eastAsia="zh-CN"/>
        </w:rPr>
        <w:t>40.47</w:t>
      </w:r>
      <w:r>
        <w:rPr>
          <w:rFonts w:hint="default" w:ascii="仿宋" w:eastAsia="仿宋" w:cs="仿宋"/>
          <w:sz w:val="32"/>
          <w:szCs w:val="32"/>
          <w:lang w:val="zh-CN" w:eastAsia="zh-CN"/>
        </w:rPr>
        <w:t>万元，</w:t>
      </w:r>
      <w:r>
        <w:rPr>
          <w:rFonts w:hint="default" w:ascii="仿宋" w:eastAsia="仿宋" w:cs="仿宋"/>
          <w:sz w:val="32"/>
          <w:szCs w:val="32"/>
          <w:lang w:val="zh-CN"/>
        </w:rPr>
        <w:t>1</w:t>
      </w:r>
      <w:r>
        <w:rPr>
          <w:rFonts w:hint="eastAsia" w:ascii="仿宋" w:eastAsia="仿宋" w:cs="仿宋"/>
          <w:sz w:val="32"/>
          <w:szCs w:val="32"/>
          <w:lang w:val="zh-CN" w:eastAsia="zh-CN"/>
        </w:rPr>
        <w:t>—</w:t>
      </w:r>
      <w:r>
        <w:rPr>
          <w:rFonts w:hint="default" w:ascii="仿宋" w:eastAsia="仿宋" w:cs="仿宋"/>
          <w:sz w:val="32"/>
          <w:szCs w:val="32"/>
          <w:lang w:val="zh-CN"/>
        </w:rPr>
        <w:t>1</w:t>
      </w:r>
      <w:r>
        <w:rPr>
          <w:rFonts w:hint="default" w:ascii="仿宋" w:eastAsia="仿宋" w:cs="仿宋"/>
          <w:sz w:val="32"/>
          <w:szCs w:val="32"/>
          <w:lang w:val="en-US" w:eastAsia="zh-CN"/>
        </w:rPr>
        <w:t>2</w:t>
      </w:r>
      <w:r>
        <w:rPr>
          <w:rFonts w:hint="default" w:ascii="仿宋" w:eastAsia="仿宋" w:cs="仿宋"/>
          <w:sz w:val="32"/>
          <w:szCs w:val="32"/>
          <w:lang w:val="zh-CN"/>
        </w:rPr>
        <w:t>月预算执行总体进度为</w:t>
      </w:r>
      <w:r>
        <w:rPr>
          <w:rFonts w:hint="eastAsia" w:ascii="仿宋" w:eastAsia="仿宋" w:cs="仿宋"/>
          <w:sz w:val="32"/>
          <w:szCs w:val="32"/>
          <w:lang w:val="en-US" w:eastAsia="zh-CN"/>
        </w:rPr>
        <w:t>100</w:t>
      </w:r>
      <w:r>
        <w:rPr>
          <w:rFonts w:hint="default" w:ascii="仿宋" w:eastAsia="仿宋" w:cs="仿宋"/>
          <w:sz w:val="32"/>
          <w:szCs w:val="32"/>
          <w:lang w:val="en-US" w:eastAsia="zh-CN"/>
        </w:rPr>
        <w:t xml:space="preserve"> </w:t>
      </w:r>
      <w:r>
        <w:rPr>
          <w:rFonts w:hint="default" w:ascii="仿宋" w:eastAsia="仿宋" w:cs="仿宋"/>
          <w:sz w:val="32"/>
          <w:szCs w:val="32"/>
          <w:lang w:val="zh-CN"/>
        </w:rPr>
        <w:t>%，其中：</w:t>
      </w:r>
      <w:r>
        <w:rPr>
          <w:rFonts w:hint="default" w:ascii="仿宋" w:eastAsia="仿宋" w:cs="仿宋"/>
          <w:sz w:val="32"/>
          <w:szCs w:val="32"/>
          <w:lang w:val="zh-CN" w:eastAsia="zh-CN"/>
        </w:rPr>
        <w:t>预算结余率大于</w:t>
      </w:r>
      <w:r>
        <w:rPr>
          <w:rFonts w:hint="default" w:ascii="仿宋" w:eastAsia="仿宋" w:cs="仿宋"/>
          <w:sz w:val="32"/>
          <w:szCs w:val="32"/>
          <w:lang w:val="en-US" w:eastAsia="zh-CN"/>
        </w:rPr>
        <w:t>10%</w:t>
      </w:r>
      <w:r>
        <w:rPr>
          <w:rFonts w:hint="default" w:ascii="仿宋" w:eastAsia="仿宋" w:cs="仿宋"/>
          <w:sz w:val="32"/>
          <w:szCs w:val="32"/>
          <w:lang w:val="zh-CN" w:eastAsia="zh-CN"/>
        </w:rPr>
        <w:t>的项目共计</w:t>
      </w:r>
      <w:r>
        <w:rPr>
          <w:rFonts w:hint="default" w:ascii="仿宋" w:eastAsia="仿宋" w:cs="仿宋"/>
          <w:sz w:val="32"/>
          <w:szCs w:val="32"/>
          <w:lang w:val="en-US" w:eastAsia="zh-CN"/>
        </w:rPr>
        <w:t xml:space="preserve"> </w:t>
      </w:r>
      <w:r>
        <w:rPr>
          <w:rFonts w:hint="eastAsia" w:ascii="仿宋" w:eastAsia="仿宋" w:cs="仿宋"/>
          <w:sz w:val="32"/>
          <w:szCs w:val="32"/>
          <w:lang w:val="en-US" w:eastAsia="zh-CN"/>
        </w:rPr>
        <w:t>0</w:t>
      </w:r>
      <w:r>
        <w:rPr>
          <w:rFonts w:hint="default" w:ascii="仿宋" w:eastAsia="仿宋" w:cs="仿宋"/>
          <w:sz w:val="32"/>
          <w:szCs w:val="32"/>
          <w:lang w:val="en-US" w:eastAsia="zh-CN"/>
        </w:rPr>
        <w:t xml:space="preserve"> </w:t>
      </w:r>
      <w:r>
        <w:rPr>
          <w:rFonts w:hint="default" w:ascii="仿宋" w:eastAsia="仿宋" w:cs="仿宋"/>
          <w:sz w:val="32"/>
          <w:szCs w:val="32"/>
          <w:lang w:val="zh-CN" w:eastAsia="zh-CN"/>
        </w:rPr>
        <w:t>个。</w:t>
      </w:r>
    </w:p>
    <w:p w14:paraId="287D917A">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eastAsia="仿宋" w:cs="仿宋"/>
          <w:sz w:val="32"/>
          <w:szCs w:val="32"/>
          <w:lang w:val="zh-CN"/>
        </w:rPr>
      </w:pPr>
      <w:r>
        <w:rPr>
          <w:rFonts w:hint="eastAsia" w:ascii="仿宋" w:eastAsia="仿宋" w:cs="仿宋"/>
          <w:sz w:val="32"/>
          <w:szCs w:val="32"/>
          <w:lang w:val="zh-CN"/>
        </w:rPr>
        <w:t>项目决策。</w:t>
      </w:r>
    </w:p>
    <w:p w14:paraId="1B96A326">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eastAsia="仿宋" w:cs="仿宋"/>
          <w:sz w:val="32"/>
          <w:szCs w:val="32"/>
          <w:lang w:val="zh-CN" w:eastAsia="zh-CN"/>
        </w:rPr>
      </w:pPr>
      <w:r>
        <w:rPr>
          <w:rFonts w:hint="eastAsia" w:ascii="仿宋" w:eastAsia="仿宋" w:cs="仿宋"/>
          <w:sz w:val="32"/>
          <w:szCs w:val="32"/>
          <w:lang w:val="en-US" w:eastAsia="zh-CN"/>
        </w:rPr>
        <w:t>本单位</w:t>
      </w:r>
      <w:r>
        <w:rPr>
          <w:rFonts w:hint="eastAsia" w:ascii="仿宋" w:eastAsia="仿宋" w:cs="仿宋"/>
          <w:sz w:val="32"/>
          <w:szCs w:val="32"/>
          <w:lang w:val="zh-CN" w:eastAsia="zh-CN"/>
        </w:rPr>
        <w:t>预算项目设立</w:t>
      </w:r>
      <w:r>
        <w:rPr>
          <w:rFonts w:hint="eastAsia" w:ascii="仿宋" w:eastAsia="仿宋" w:cs="仿宋"/>
          <w:sz w:val="32"/>
          <w:szCs w:val="32"/>
          <w:lang w:val="en-US" w:eastAsia="zh-CN"/>
        </w:rPr>
        <w:t>都</w:t>
      </w:r>
      <w:r>
        <w:rPr>
          <w:rFonts w:hint="eastAsia" w:ascii="仿宋" w:eastAsia="仿宋" w:cs="仿宋"/>
          <w:sz w:val="32"/>
          <w:szCs w:val="32"/>
          <w:lang w:val="zh-CN" w:eastAsia="zh-CN"/>
        </w:rPr>
        <w:t>按规定履行评估论证、按程序申报、预算项目绩效目标与计划期内的任务量、预算安排的资金量匹配情况，绩效目标设置科学合理、规范完整、量化细化、预算匹配、预算项目在规定时间</w:t>
      </w:r>
      <w:r>
        <w:rPr>
          <w:rFonts w:hint="eastAsia" w:ascii="仿宋" w:eastAsia="仿宋" w:cs="仿宋"/>
          <w:sz w:val="32"/>
          <w:szCs w:val="32"/>
          <w:lang w:val="en-US" w:eastAsia="zh-CN"/>
        </w:rPr>
        <w:t>内</w:t>
      </w:r>
      <w:r>
        <w:rPr>
          <w:rFonts w:hint="eastAsia" w:ascii="仿宋" w:eastAsia="仿宋" w:cs="仿宋"/>
          <w:sz w:val="32"/>
          <w:szCs w:val="32"/>
          <w:lang w:val="zh-CN" w:eastAsia="zh-CN"/>
        </w:rPr>
        <w:t>完成项目入库，</w:t>
      </w:r>
      <w:r>
        <w:rPr>
          <w:rFonts w:hint="eastAsia" w:ascii="仿宋" w:eastAsia="仿宋" w:cs="仿宋"/>
          <w:sz w:val="32"/>
          <w:szCs w:val="32"/>
        </w:rPr>
        <w:t>明确绩效目标，控制支行成本，提高项目发挥作用。</w:t>
      </w:r>
    </w:p>
    <w:p w14:paraId="348EB8B4">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eastAsia="仿宋" w:cs="仿宋"/>
          <w:sz w:val="32"/>
          <w:szCs w:val="32"/>
          <w:lang w:val="zh-CN"/>
        </w:rPr>
      </w:pPr>
      <w:r>
        <w:rPr>
          <w:rFonts w:hint="eastAsia" w:ascii="仿宋" w:eastAsia="仿宋" w:cs="仿宋"/>
          <w:sz w:val="32"/>
          <w:szCs w:val="32"/>
          <w:lang w:val="en-US" w:eastAsia="zh-CN"/>
        </w:rPr>
        <w:t>2.项目执行</w:t>
      </w:r>
      <w:r>
        <w:rPr>
          <w:rFonts w:hint="eastAsia" w:ascii="仿宋" w:eastAsia="仿宋" w:cs="仿宋"/>
          <w:sz w:val="32"/>
          <w:szCs w:val="32"/>
          <w:lang w:val="zh-CN"/>
        </w:rPr>
        <w:t>。</w:t>
      </w:r>
    </w:p>
    <w:p w14:paraId="652DD480">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eastAsia="仿宋" w:cs="仿宋"/>
          <w:sz w:val="32"/>
          <w:szCs w:val="32"/>
          <w:lang w:val="zh-CN"/>
        </w:rPr>
      </w:pPr>
      <w:r>
        <w:rPr>
          <w:rFonts w:hint="eastAsia" w:ascii="仿宋" w:eastAsia="仿宋" w:cs="仿宋"/>
          <w:sz w:val="32"/>
          <w:szCs w:val="32"/>
          <w:lang w:val="zh-CN"/>
        </w:rPr>
        <w:t>预算项目实际列支内容与绩效目标设置方向相符、预算项目采取对应调整措施，</w:t>
      </w:r>
      <w:r>
        <w:rPr>
          <w:rFonts w:hint="eastAsia" w:ascii="仿宋" w:eastAsia="仿宋" w:cs="仿宋"/>
          <w:sz w:val="32"/>
          <w:szCs w:val="32"/>
          <w:lang w:val="en-US" w:eastAsia="zh-CN"/>
        </w:rPr>
        <w:t>按程序调整</w:t>
      </w:r>
      <w:r>
        <w:rPr>
          <w:rFonts w:hint="eastAsia" w:ascii="仿宋" w:eastAsia="仿宋" w:cs="仿宋"/>
          <w:sz w:val="32"/>
          <w:szCs w:val="32"/>
          <w:lang w:val="zh-CN"/>
        </w:rPr>
        <w:t>、预算项目</w:t>
      </w:r>
      <w:r>
        <w:rPr>
          <w:rFonts w:hint="eastAsia" w:ascii="仿宋" w:eastAsia="仿宋" w:cs="仿宋"/>
          <w:sz w:val="32"/>
          <w:szCs w:val="32"/>
          <w:lang w:val="en-US" w:eastAsia="zh-CN"/>
        </w:rPr>
        <w:t>按照文件时间节点有序推进，按时完成并</w:t>
      </w:r>
      <w:r>
        <w:rPr>
          <w:rFonts w:hint="eastAsia" w:ascii="仿宋" w:eastAsia="仿宋" w:cs="仿宋"/>
          <w:sz w:val="32"/>
          <w:szCs w:val="32"/>
          <w:lang w:val="zh-CN"/>
        </w:rPr>
        <w:t>根据财政局统一要求编制了我办整体绩效目标报告及项目整体绩效目标表，并报县财政局。</w:t>
      </w:r>
    </w:p>
    <w:p w14:paraId="5E1FF5FE">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eastAsia="仿宋" w:cs="仿宋"/>
          <w:sz w:val="32"/>
          <w:szCs w:val="32"/>
          <w:lang w:val="zh-CN"/>
        </w:rPr>
      </w:pPr>
      <w:r>
        <w:rPr>
          <w:rFonts w:hint="eastAsia" w:ascii="仿宋" w:eastAsia="仿宋" w:cs="仿宋"/>
          <w:sz w:val="32"/>
          <w:szCs w:val="32"/>
          <w:lang w:val="en-US" w:eastAsia="zh-CN"/>
        </w:rPr>
        <w:t>3.</w:t>
      </w:r>
      <w:r>
        <w:rPr>
          <w:rFonts w:hint="eastAsia" w:ascii="仿宋" w:eastAsia="仿宋" w:cs="仿宋"/>
          <w:sz w:val="32"/>
          <w:szCs w:val="32"/>
          <w:lang w:val="zh-CN"/>
        </w:rPr>
        <w:t>目标实现。</w:t>
      </w:r>
    </w:p>
    <w:p w14:paraId="6BD61224">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eastAsia="仿宋" w:cs="仿宋"/>
          <w:sz w:val="32"/>
          <w:szCs w:val="32"/>
          <w:lang w:val="zh-CN" w:eastAsia="zh-CN"/>
        </w:rPr>
      </w:pPr>
      <w:r>
        <w:rPr>
          <w:rFonts w:hint="eastAsia" w:ascii="仿宋" w:eastAsia="仿宋" w:cs="仿宋"/>
          <w:sz w:val="32"/>
          <w:szCs w:val="32"/>
        </w:rPr>
        <w:t>根据预算绩效管理要求，我单位在年初预算编制阶段，组织对项目开展了预算事前绩效评估，本部门按要求对</w:t>
      </w:r>
      <w:r>
        <w:rPr>
          <w:rFonts w:hint="eastAsia" w:ascii="仿宋" w:eastAsia="仿宋" w:cs="仿宋"/>
          <w:sz w:val="32"/>
          <w:szCs w:val="32"/>
          <w:lang w:eastAsia="zh-CN"/>
        </w:rPr>
        <w:t>2024</w:t>
      </w:r>
      <w:r>
        <w:rPr>
          <w:rFonts w:hint="eastAsia" w:ascii="仿宋" w:eastAsia="仿宋" w:cs="仿宋"/>
          <w:sz w:val="32"/>
          <w:szCs w:val="32"/>
        </w:rPr>
        <w:t>年部门整体支出开展绩效自评，我单位深入贯彻落实</w:t>
      </w:r>
      <w:r>
        <w:rPr>
          <w:rFonts w:hint="eastAsia" w:ascii="仿宋" w:eastAsia="仿宋" w:cs="仿宋"/>
          <w:sz w:val="32"/>
          <w:szCs w:val="32"/>
          <w:lang w:val="en-US" w:eastAsia="zh-CN"/>
        </w:rPr>
        <w:t>二十</w:t>
      </w:r>
      <w:r>
        <w:rPr>
          <w:rFonts w:hint="eastAsia" w:ascii="仿宋" w:eastAsia="仿宋" w:cs="仿宋"/>
          <w:sz w:val="32"/>
          <w:szCs w:val="32"/>
        </w:rPr>
        <w:t>大关于“全面实施绩效管理”的要求，努力提升本单位绩效预算管理业务水平。主动公开绩效结果，加大资金使用效率，提升政府管理水平。及时告知各部门（科室）部门预算及项目支出进度。</w:t>
      </w:r>
    </w:p>
    <w:p w14:paraId="39F69413">
      <w:pPr>
        <w:keepNext w:val="0"/>
        <w:keepLines w:val="0"/>
        <w:pageBreakBefore w:val="0"/>
        <w:widowControl/>
        <w:numPr>
          <w:ilvl w:val="0"/>
          <w:numId w:val="3"/>
        </w:numPr>
        <w:kinsoku/>
        <w:wordWrap/>
        <w:overflowPunct/>
        <w:topLinePunct w:val="0"/>
        <w:autoSpaceDE/>
        <w:autoSpaceDN/>
        <w:bidi w:val="0"/>
        <w:adjustRightInd w:val="0"/>
        <w:snapToGrid w:val="0"/>
        <w:spacing w:line="578" w:lineRule="exact"/>
        <w:ind w:left="0" w:firstLine="643" w:firstLineChars="200"/>
        <w:contextualSpacing/>
        <w:jc w:val="left"/>
        <w:textAlignment w:val="auto"/>
        <w:outlineLvl w:val="9"/>
        <w:rPr>
          <w:rFonts w:hint="default" w:ascii="Times New Roman" w:hAnsi="Times New Roman" w:eastAsia="楷体_GB2312" w:cs="Times New Roman"/>
          <w:b/>
          <w:bCs/>
          <w:color w:val="000000"/>
          <w:kern w:val="0"/>
          <w:sz w:val="32"/>
          <w:szCs w:val="32"/>
          <w:highlight w:val="none"/>
          <w:shd w:val="clear" w:color="auto" w:fill="FFFFFF"/>
          <w:lang w:val="zh-CN" w:eastAsia="zh-CN"/>
        </w:rPr>
      </w:pPr>
      <w:r>
        <w:rPr>
          <w:rFonts w:hint="default" w:ascii="Times New Roman" w:hAnsi="Times New Roman" w:eastAsia="楷体_GB2312" w:cs="Times New Roman"/>
          <w:b/>
          <w:bCs/>
          <w:color w:val="000000"/>
          <w:kern w:val="0"/>
          <w:sz w:val="32"/>
          <w:szCs w:val="32"/>
          <w:highlight w:val="none"/>
          <w:shd w:val="clear" w:color="auto" w:fill="FFFFFF"/>
          <w:lang w:val="zh-CN" w:eastAsia="zh-CN"/>
        </w:rPr>
        <w:t>重点领域绩效分析。</w:t>
      </w:r>
    </w:p>
    <w:p w14:paraId="06E77009">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仿宋" w:eastAsia="仿宋" w:cs="仿宋"/>
          <w:sz w:val="32"/>
          <w:szCs w:val="32"/>
          <w:lang w:val="en-US" w:eastAsia="zh-CN"/>
        </w:rPr>
      </w:pPr>
      <w:r>
        <w:rPr>
          <w:rFonts w:hint="eastAsia" w:ascii="仿宋" w:eastAsia="仿宋" w:cs="仿宋"/>
          <w:sz w:val="32"/>
          <w:szCs w:val="32"/>
          <w:lang w:val="zh-CN"/>
        </w:rPr>
        <w:t>我单位按照规定完全履行职责，整体评价良好，服务对象基本满意从预算执行来情况看，预算资金覆盖我单位工作的各个方面，按照保工资、保运转、保民生的保障序列科学编制，分配办法科学，考虑的因素必要合理，分配的结果合理，保障了人员经费及单位正常运转。在预算执行过程中单位遵守财经纪律、财务制度，坚持先有预算后支出；严格审批程序，保障了资金安全。</w:t>
      </w:r>
    </w:p>
    <w:p w14:paraId="4B692CE3">
      <w:pPr>
        <w:keepNext w:val="0"/>
        <w:keepLines w:val="0"/>
        <w:pageBreakBefore w:val="0"/>
        <w:widowControl w:val="0"/>
        <w:numPr>
          <w:ilvl w:val="0"/>
          <w:numId w:val="3"/>
        </w:numPr>
        <w:kinsoku/>
        <w:wordWrap/>
        <w:overflowPunct/>
        <w:topLinePunct w:val="0"/>
        <w:autoSpaceDE/>
        <w:autoSpaceDN/>
        <w:bidi w:val="0"/>
        <w:snapToGrid w:val="0"/>
        <w:spacing w:line="600" w:lineRule="exact"/>
        <w:ind w:left="0" w:firstLine="643" w:firstLineChars="200"/>
        <w:textAlignment w:val="auto"/>
        <w:rPr>
          <w:rFonts w:hint="eastAsia" w:ascii="Times New Roman" w:hAnsi="Times New Roman" w:eastAsia="楷体_GB2312" w:cs="Times New Roman"/>
          <w:b/>
          <w:bCs/>
          <w:sz w:val="32"/>
          <w:szCs w:val="32"/>
          <w:lang w:val="zh-CN"/>
        </w:rPr>
      </w:pPr>
      <w:r>
        <w:rPr>
          <w:rFonts w:hint="default" w:ascii="Times New Roman" w:hAnsi="Times New Roman" w:eastAsia="楷体_GB2312" w:cs="Times New Roman"/>
          <w:b/>
          <w:bCs/>
          <w:sz w:val="32"/>
          <w:szCs w:val="32"/>
          <w:lang w:val="zh-CN"/>
        </w:rPr>
        <w:t>绩效结果应用情况</w:t>
      </w:r>
      <w:r>
        <w:rPr>
          <w:rFonts w:hint="eastAsia" w:ascii="Times New Roman" w:hAnsi="Times New Roman" w:eastAsia="楷体_GB2312" w:cs="Times New Roman"/>
          <w:b/>
          <w:bCs/>
          <w:sz w:val="32"/>
          <w:szCs w:val="32"/>
          <w:lang w:val="zh-CN"/>
        </w:rPr>
        <w:t>。</w:t>
      </w:r>
    </w:p>
    <w:p w14:paraId="77427780">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仿宋" w:eastAsia="仿宋" w:cs="仿宋"/>
          <w:sz w:val="32"/>
          <w:szCs w:val="32"/>
          <w:lang w:val="en-US"/>
        </w:rPr>
      </w:pPr>
      <w:r>
        <w:rPr>
          <w:rFonts w:hint="eastAsia" w:ascii="仿宋" w:eastAsia="仿宋" w:cs="仿宋"/>
          <w:sz w:val="32"/>
          <w:szCs w:val="32"/>
        </w:rPr>
        <w:t>根据预算绩效管理要求，我单位在年初预算编制阶段，组织对项目开展了预算事前绩效评估，本部门按要求对</w:t>
      </w:r>
      <w:r>
        <w:rPr>
          <w:rFonts w:hint="eastAsia" w:ascii="仿宋" w:eastAsia="仿宋" w:cs="仿宋"/>
          <w:sz w:val="32"/>
          <w:szCs w:val="32"/>
          <w:lang w:eastAsia="zh-CN"/>
        </w:rPr>
        <w:t>2024</w:t>
      </w:r>
      <w:r>
        <w:rPr>
          <w:rFonts w:hint="eastAsia" w:ascii="仿宋" w:eastAsia="仿宋" w:cs="仿宋"/>
          <w:sz w:val="32"/>
          <w:szCs w:val="32"/>
        </w:rPr>
        <w:t>年部门整体支出开展绩效自评，我单位深入贯彻落实</w:t>
      </w:r>
      <w:r>
        <w:rPr>
          <w:rFonts w:hint="eastAsia" w:ascii="仿宋" w:eastAsia="仿宋" w:cs="仿宋"/>
          <w:sz w:val="32"/>
          <w:szCs w:val="32"/>
          <w:lang w:val="en-US" w:eastAsia="zh-CN"/>
        </w:rPr>
        <w:t>二十</w:t>
      </w:r>
      <w:r>
        <w:rPr>
          <w:rFonts w:hint="eastAsia" w:ascii="仿宋" w:eastAsia="仿宋" w:cs="仿宋"/>
          <w:sz w:val="32"/>
          <w:szCs w:val="32"/>
        </w:rPr>
        <w:t>大关于“全面实施绩效管理”的要求，努力提升本单位绩效预算管理业务水平。主动公开绩效结果，加大资金使用效率，提升政府管理水平。及时告知各部门（科室）部门预算及项目支出进度。</w:t>
      </w:r>
    </w:p>
    <w:p w14:paraId="4453A6B8">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lang w:eastAsia="zh-CN"/>
        </w:rPr>
      </w:pPr>
      <w:r>
        <w:rPr>
          <w:rFonts w:hint="default" w:ascii="Times New Roman" w:hAnsi="Times New Roman" w:eastAsia="黑体" w:cs="Times New Roman"/>
          <w:color w:val="000000"/>
          <w:kern w:val="0"/>
          <w:sz w:val="32"/>
          <w:szCs w:val="32"/>
          <w:highlight w:val="none"/>
          <w:shd w:val="clear" w:color="auto" w:fill="FFFFFF"/>
          <w:lang w:eastAsia="zh-CN"/>
        </w:rPr>
        <w:t>四、评价结论及建议</w:t>
      </w:r>
    </w:p>
    <w:p w14:paraId="25FA9F59">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default" w:ascii="Times New Roman" w:hAnsi="Times New Roman" w:eastAsia="楷体_GB2312" w:cs="Times New Roman"/>
          <w:b/>
          <w:bCs/>
          <w:color w:val="000000"/>
          <w:kern w:val="0"/>
          <w:sz w:val="32"/>
          <w:szCs w:val="32"/>
          <w:highlight w:val="none"/>
          <w:shd w:val="clear" w:color="auto" w:fill="FFFFFF"/>
          <w:lang w:val="zh-CN"/>
        </w:rPr>
      </w:pPr>
      <w:r>
        <w:rPr>
          <w:rFonts w:hint="default" w:ascii="Times New Roman" w:hAnsi="Times New Roman" w:eastAsia="楷体_GB2312" w:cs="Times New Roman"/>
          <w:b/>
          <w:bCs/>
          <w:color w:val="000000"/>
          <w:kern w:val="0"/>
          <w:sz w:val="32"/>
          <w:szCs w:val="32"/>
          <w:highlight w:val="none"/>
          <w:shd w:val="clear" w:color="auto" w:fill="FFFFFF"/>
          <w:lang w:val="zh-CN"/>
        </w:rPr>
        <w:t>（一）评价结论。</w:t>
      </w:r>
    </w:p>
    <w:p w14:paraId="2E114537">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eastAsia="仿宋" w:cs="仿宋"/>
          <w:sz w:val="32"/>
          <w:szCs w:val="32"/>
          <w:lang w:val="zh-CN"/>
        </w:rPr>
      </w:pPr>
      <w:r>
        <w:rPr>
          <w:rFonts w:hint="eastAsia" w:ascii="仿宋" w:eastAsia="仿宋" w:cs="仿宋"/>
          <w:sz w:val="32"/>
          <w:szCs w:val="32"/>
          <w:lang w:val="zh-CN" w:eastAsia="zh-CN"/>
        </w:rPr>
        <w:t>我乡对2024年度整体支出情况开展自评，得分</w:t>
      </w:r>
      <w:r>
        <w:rPr>
          <w:rFonts w:hint="eastAsia" w:ascii="仿宋" w:eastAsia="仿宋" w:cs="仿宋"/>
          <w:sz w:val="32"/>
          <w:szCs w:val="32"/>
          <w:lang w:val="en-US" w:eastAsia="zh-CN"/>
        </w:rPr>
        <w:t>94</w:t>
      </w:r>
      <w:r>
        <w:rPr>
          <w:rFonts w:hint="eastAsia" w:ascii="仿宋" w:eastAsia="仿宋" w:cs="仿宋"/>
          <w:sz w:val="32"/>
          <w:szCs w:val="32"/>
          <w:lang w:val="zh-CN" w:eastAsia="zh-CN"/>
        </w:rPr>
        <w:t>分。从总体性分析评价，全年整体支出较优，实现了年初绩效目标。从结构性分析评价，一般公共预算基本支出完成预算的</w:t>
      </w:r>
      <w:r>
        <w:rPr>
          <w:rFonts w:hint="eastAsia" w:ascii="仿宋" w:eastAsia="仿宋" w:cs="仿宋"/>
          <w:sz w:val="32"/>
          <w:szCs w:val="32"/>
          <w:lang w:val="en-US" w:eastAsia="zh-CN"/>
        </w:rPr>
        <w:t>100</w:t>
      </w:r>
      <w:r>
        <w:rPr>
          <w:rFonts w:hint="eastAsia" w:ascii="仿宋" w:eastAsia="仿宋" w:cs="仿宋"/>
          <w:sz w:val="32"/>
          <w:szCs w:val="32"/>
          <w:lang w:val="zh-CN" w:eastAsia="zh-CN"/>
        </w:rPr>
        <w:t>%，绩效目标实际实现程度与预期目标的偏离度为持平，整体绩效管理合理合规；一般公共预算项目支出完成预算的</w:t>
      </w:r>
      <w:r>
        <w:rPr>
          <w:rFonts w:hint="eastAsia" w:ascii="仿宋" w:eastAsia="仿宋" w:cs="仿宋"/>
          <w:sz w:val="32"/>
          <w:szCs w:val="32"/>
          <w:lang w:val="en-US" w:eastAsia="zh-CN"/>
        </w:rPr>
        <w:t>100</w:t>
      </w:r>
      <w:r>
        <w:rPr>
          <w:rFonts w:hint="eastAsia" w:ascii="仿宋" w:eastAsia="仿宋" w:cs="仿宋"/>
          <w:sz w:val="32"/>
          <w:szCs w:val="32"/>
          <w:lang w:val="zh-CN" w:eastAsia="zh-CN"/>
        </w:rPr>
        <w:t>%，绩效目标实际实现程度与预期目标的偏离度为持平，整体绩效管理合理合规。2024年度整体支出绩效评价优好，无违纪违规问题，预算编制、预算执行、完成结果等均达到既定目标管理。</w:t>
      </w:r>
    </w:p>
    <w:p w14:paraId="30D561DD">
      <w:pPr>
        <w:keepNext w:val="0"/>
        <w:keepLines w:val="0"/>
        <w:pageBreakBefore w:val="0"/>
        <w:widowControl/>
        <w:numPr>
          <w:ilvl w:val="0"/>
          <w:numId w:val="4"/>
        </w:numPr>
        <w:kinsoku/>
        <w:wordWrap/>
        <w:overflowPunct/>
        <w:topLinePunct w:val="0"/>
        <w:autoSpaceDE/>
        <w:autoSpaceDN/>
        <w:bidi w:val="0"/>
        <w:adjustRightInd w:val="0"/>
        <w:snapToGrid w:val="0"/>
        <w:spacing w:line="578" w:lineRule="exact"/>
        <w:ind w:left="0" w:firstLine="643" w:firstLineChars="200"/>
        <w:contextualSpacing/>
        <w:jc w:val="left"/>
        <w:textAlignment w:val="auto"/>
        <w:outlineLvl w:val="9"/>
        <w:rPr>
          <w:rFonts w:hint="default" w:ascii="Times New Roman" w:hAnsi="Times New Roman" w:eastAsia="楷体_GB2312" w:cs="Times New Roman"/>
          <w:b/>
          <w:bCs/>
          <w:color w:val="000000"/>
          <w:kern w:val="0"/>
          <w:sz w:val="32"/>
          <w:szCs w:val="32"/>
          <w:highlight w:val="none"/>
          <w:shd w:val="clear" w:color="auto" w:fill="FFFFFF"/>
          <w:lang w:val="zh-CN"/>
        </w:rPr>
      </w:pPr>
      <w:r>
        <w:rPr>
          <w:rFonts w:hint="default" w:ascii="Times New Roman" w:hAnsi="Times New Roman" w:eastAsia="楷体_GB2312" w:cs="Times New Roman"/>
          <w:b/>
          <w:bCs/>
          <w:color w:val="000000"/>
          <w:kern w:val="0"/>
          <w:sz w:val="32"/>
          <w:szCs w:val="32"/>
          <w:highlight w:val="none"/>
          <w:shd w:val="clear" w:color="auto" w:fill="FFFFFF"/>
          <w:lang w:val="zh-CN"/>
        </w:rPr>
        <w:t>存在问题。</w:t>
      </w:r>
    </w:p>
    <w:p w14:paraId="7178ED2B">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eastAsia="仿宋" w:cs="仿宋"/>
          <w:sz w:val="32"/>
          <w:szCs w:val="32"/>
          <w:lang w:val="zh-CN" w:eastAsia="zh-CN"/>
        </w:rPr>
      </w:pPr>
      <w:r>
        <w:rPr>
          <w:rFonts w:hint="eastAsia" w:ascii="仿宋" w:eastAsia="仿宋" w:cs="仿宋"/>
          <w:sz w:val="32"/>
          <w:szCs w:val="32"/>
          <w:lang w:val="zh-CN" w:eastAsia="zh-CN"/>
        </w:rPr>
        <w:t>个别人员经费和公用经费测算标准及套用公式不够科学精准，部分经济科目在预算执行中存在较早亮红灯，预算经费支出进度较快。</w:t>
      </w:r>
    </w:p>
    <w:p w14:paraId="5D9C92D2">
      <w:pPr>
        <w:pageBreakBefore w:val="0"/>
        <w:widowControl/>
        <w:numPr>
          <w:ilvl w:val="0"/>
          <w:numId w:val="4"/>
        </w:numPr>
        <w:kinsoku/>
        <w:wordWrap/>
        <w:overflowPunct/>
        <w:topLinePunct w:val="0"/>
        <w:bidi w:val="0"/>
        <w:adjustRightInd w:val="0"/>
        <w:snapToGrid w:val="0"/>
        <w:spacing w:line="576" w:lineRule="exact"/>
        <w:ind w:left="0" w:firstLine="643" w:firstLineChars="200"/>
        <w:contextualSpacing/>
        <w:jc w:val="left"/>
        <w:rPr>
          <w:rFonts w:hint="default" w:ascii="Times New Roman" w:hAnsi="Times New Roman" w:eastAsia="楷体_GB2312" w:cs="Times New Roman"/>
          <w:b/>
          <w:bCs/>
          <w:color w:val="000000"/>
          <w:kern w:val="0"/>
          <w:sz w:val="32"/>
          <w:szCs w:val="32"/>
          <w:highlight w:val="none"/>
          <w:shd w:val="clear" w:color="auto" w:fill="FFFFFF"/>
          <w:lang w:val="zh-CN" w:eastAsia="zh-CN"/>
        </w:rPr>
      </w:pPr>
      <w:r>
        <w:rPr>
          <w:rFonts w:hint="default" w:ascii="Times New Roman" w:hAnsi="Times New Roman" w:eastAsia="楷体_GB2312" w:cs="Times New Roman"/>
          <w:b/>
          <w:bCs/>
          <w:color w:val="000000"/>
          <w:kern w:val="0"/>
          <w:sz w:val="32"/>
          <w:szCs w:val="32"/>
          <w:highlight w:val="none"/>
          <w:shd w:val="clear" w:color="auto" w:fill="FFFFFF"/>
          <w:lang w:val="zh-CN" w:eastAsia="zh-CN"/>
        </w:rPr>
        <w:t>改进建议。</w:t>
      </w:r>
      <w:bookmarkStart w:id="55" w:name="_Hlk110546638"/>
    </w:p>
    <w:p w14:paraId="366AD857">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eastAsia="仿宋" w:cs="仿宋"/>
          <w:sz w:val="32"/>
          <w:szCs w:val="32"/>
          <w:lang w:val="zh-CN" w:eastAsia="zh-CN"/>
        </w:rPr>
      </w:pPr>
      <w:r>
        <w:rPr>
          <w:rFonts w:hint="eastAsia" w:ascii="仿宋" w:eastAsia="仿宋" w:cs="仿宋"/>
          <w:sz w:val="32"/>
          <w:szCs w:val="32"/>
          <w:lang w:val="zh-CN" w:eastAsia="zh-CN"/>
        </w:rPr>
        <w:t>我乡将积极对接财政部门作出技术调整，优化预算测算标准，科学审批年度预算汇编，使资金真正能够因地制宜，发挥实效。进一步做好预算编制前提调研准备工作，根据实际需要积极评估测算，尽量减少减轻资金闲置或低使用率现象，启用预算执行绩效监控机制，及时提示项目管理部门按照绩效目标开展实施。</w:t>
      </w:r>
    </w:p>
    <w:p w14:paraId="0DA738C7">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eastAsia="仿宋" w:cs="仿宋"/>
          <w:sz w:val="32"/>
          <w:szCs w:val="32"/>
          <w:lang w:val="en" w:eastAsia="zh-CN"/>
        </w:rPr>
      </w:pPr>
    </w:p>
    <w:bookmarkEnd w:id="55"/>
    <w:p w14:paraId="318E6588">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仿宋" w:eastAsia="仿宋" w:cs="仿宋"/>
          <w:sz w:val="32"/>
          <w:szCs w:val="32"/>
          <w:lang w:val="zh-CN" w:eastAsia="zh-CN"/>
        </w:rPr>
      </w:pPr>
    </w:p>
    <w:p w14:paraId="34EA4EBA">
      <w:pPr>
        <w:keepNext w:val="0"/>
        <w:keepLines w:val="0"/>
        <w:pageBreakBefore w:val="0"/>
        <w:widowControl w:val="0"/>
        <w:kinsoku/>
        <w:wordWrap/>
        <w:overflowPunct/>
        <w:topLinePunct w:val="0"/>
        <w:autoSpaceDE/>
        <w:autoSpaceDN/>
        <w:bidi w:val="0"/>
        <w:spacing w:line="572" w:lineRule="exact"/>
        <w:jc w:val="left"/>
        <w:textAlignment w:val="auto"/>
        <w:outlineLvl w:val="0"/>
        <w:rPr>
          <w:rFonts w:hint="eastAsia" w:eastAsia="黑体"/>
          <w:lang w:val="en-US" w:eastAsia="zh-CN"/>
        </w:rPr>
      </w:pPr>
      <w:r>
        <w:rPr>
          <w:rFonts w:hint="eastAsia" w:ascii="Times New Roman" w:hAnsi="Times New Roman" w:eastAsia="黑体" w:cs="黑体"/>
          <w:color w:val="auto"/>
          <w:sz w:val="32"/>
          <w:szCs w:val="32"/>
          <w:highlight w:val="none"/>
        </w:rPr>
        <w:t>附件</w:t>
      </w:r>
      <w:r>
        <w:rPr>
          <w:rFonts w:hint="eastAsia" w:eastAsia="黑体" w:cs="黑体"/>
          <w:color w:val="auto"/>
          <w:sz w:val="32"/>
          <w:szCs w:val="32"/>
          <w:highlight w:val="none"/>
          <w:lang w:val="en-US" w:eastAsia="zh-CN"/>
        </w:rPr>
        <w:t>2</w:t>
      </w:r>
    </w:p>
    <w:p w14:paraId="556D49F0">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outlineLvl w:val="9"/>
        <w:rPr>
          <w:rFonts w:hint="eastAsia" w:ascii="Times New Roman" w:hAnsi="Times New Roman" w:eastAsia="方正小标宋简体" w:cs="Times New Roman"/>
          <w:i w:val="0"/>
          <w:color w:val="000000"/>
          <w:kern w:val="0"/>
          <w:sz w:val="44"/>
          <w:szCs w:val="44"/>
          <w:u w:val="none"/>
          <w:lang w:val="en-US" w:eastAsia="zh-CN"/>
        </w:rPr>
      </w:pPr>
      <w:r>
        <w:rPr>
          <w:rFonts w:hint="eastAsia" w:ascii="Times New Roman" w:hAnsi="Times New Roman" w:eastAsia="方正小标宋简体" w:cs="Times New Roman"/>
          <w:i w:val="0"/>
          <w:color w:val="000000"/>
          <w:kern w:val="0"/>
          <w:sz w:val="44"/>
          <w:szCs w:val="44"/>
          <w:u w:val="none"/>
          <w:lang w:val="en-US" w:eastAsia="zh-CN"/>
        </w:rPr>
        <w:t>部门预算绩效自评打分表</w:t>
      </w:r>
    </w:p>
    <w:tbl>
      <w:tblPr>
        <w:tblStyle w:val="20"/>
        <w:tblW w:w="852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91"/>
        <w:gridCol w:w="1151"/>
        <w:gridCol w:w="1312"/>
        <w:gridCol w:w="567"/>
        <w:gridCol w:w="3729"/>
        <w:gridCol w:w="595"/>
        <w:gridCol w:w="377"/>
      </w:tblGrid>
      <w:tr w14:paraId="1DDCD7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3821" w:type="dxa"/>
            <w:gridSpan w:val="4"/>
            <w:tcBorders>
              <w:top w:val="single" w:color="000000" w:sz="4" w:space="0"/>
              <w:left w:val="single" w:color="000000" w:sz="4" w:space="0"/>
              <w:bottom w:val="single" w:color="000000" w:sz="4" w:space="0"/>
              <w:right w:val="single" w:color="000000" w:sz="4" w:space="0"/>
            </w:tcBorders>
            <w:noWrap/>
            <w:vAlign w:val="center"/>
          </w:tcPr>
          <w:p w14:paraId="580AA63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黑体" w:eastAsia="黑体" w:cs="黑体"/>
                <w:i w:val="0"/>
                <w:color w:val="000000"/>
                <w:sz w:val="24"/>
                <w:szCs w:val="24"/>
                <w:u w:val="none"/>
              </w:rPr>
            </w:pPr>
            <w:r>
              <w:rPr>
                <w:rFonts w:hint="eastAsia" w:ascii="黑体" w:eastAsia="黑体" w:cs="黑体"/>
                <w:i w:val="0"/>
                <w:color w:val="000000"/>
                <w:kern w:val="0"/>
                <w:sz w:val="24"/>
                <w:szCs w:val="24"/>
                <w:u w:val="none"/>
                <w:lang w:val="en-US" w:eastAsia="zh-CN"/>
              </w:rPr>
              <w:t>绩效评价指标指标分值</w:t>
            </w:r>
          </w:p>
        </w:tc>
        <w:tc>
          <w:tcPr>
            <w:tcW w:w="3729" w:type="dxa"/>
            <w:vMerge w:val="restart"/>
            <w:tcBorders>
              <w:top w:val="single" w:color="000000" w:sz="4" w:space="0"/>
              <w:left w:val="single" w:color="000000" w:sz="4" w:space="0"/>
              <w:bottom w:val="single" w:color="000000" w:sz="4" w:space="0"/>
              <w:right w:val="single" w:color="000000" w:sz="4" w:space="0"/>
            </w:tcBorders>
            <w:noWrap/>
            <w:vAlign w:val="center"/>
          </w:tcPr>
          <w:p w14:paraId="284330B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eastAsia="黑体" w:cs="黑体"/>
                <w:i w:val="0"/>
                <w:color w:val="000000"/>
                <w:sz w:val="24"/>
                <w:szCs w:val="24"/>
                <w:u w:val="none"/>
              </w:rPr>
            </w:pPr>
            <w:r>
              <w:rPr>
                <w:rFonts w:hint="eastAsia" w:ascii="黑体" w:eastAsia="黑体" w:cs="黑体"/>
                <w:i w:val="0"/>
                <w:color w:val="000000"/>
                <w:kern w:val="0"/>
                <w:sz w:val="24"/>
                <w:szCs w:val="24"/>
                <w:u w:val="none"/>
                <w:lang w:val="en-US" w:eastAsia="zh-CN"/>
              </w:rPr>
              <w:t>指标解释</w:t>
            </w:r>
          </w:p>
        </w:tc>
        <w:tc>
          <w:tcPr>
            <w:tcW w:w="595" w:type="dxa"/>
            <w:vMerge w:val="restart"/>
            <w:tcBorders>
              <w:top w:val="single" w:color="000000" w:sz="4" w:space="0"/>
              <w:left w:val="single" w:color="000000" w:sz="4" w:space="0"/>
              <w:bottom w:val="nil"/>
              <w:right w:val="single" w:color="000000" w:sz="4" w:space="0"/>
            </w:tcBorders>
            <w:noWrap/>
            <w:vAlign w:val="center"/>
          </w:tcPr>
          <w:p w14:paraId="3B512D3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eastAsia="黑体" w:cs="黑体"/>
                <w:i w:val="0"/>
                <w:color w:val="000000"/>
                <w:kern w:val="0"/>
                <w:sz w:val="24"/>
                <w:szCs w:val="24"/>
                <w:u w:val="none"/>
                <w:lang w:val="en-US" w:eastAsia="zh-CN"/>
              </w:rPr>
            </w:pPr>
            <w:r>
              <w:rPr>
                <w:rFonts w:hint="eastAsia" w:ascii="黑体" w:eastAsia="黑体" w:cs="黑体"/>
                <w:i w:val="0"/>
                <w:color w:val="000000"/>
                <w:kern w:val="0"/>
                <w:sz w:val="24"/>
                <w:szCs w:val="24"/>
                <w:u w:val="none"/>
                <w:lang w:val="en-US" w:eastAsia="zh-CN"/>
              </w:rPr>
              <w:t>自评得分</w:t>
            </w:r>
          </w:p>
        </w:tc>
        <w:tc>
          <w:tcPr>
            <w:tcW w:w="377" w:type="dxa"/>
            <w:vMerge w:val="restart"/>
            <w:tcBorders>
              <w:top w:val="single" w:color="000000" w:sz="4" w:space="0"/>
              <w:left w:val="single" w:color="000000" w:sz="4" w:space="0"/>
              <w:bottom w:val="nil"/>
              <w:right w:val="single" w:color="000000" w:sz="4" w:space="0"/>
            </w:tcBorders>
            <w:noWrap/>
            <w:vAlign w:val="center"/>
          </w:tcPr>
          <w:p w14:paraId="5DDAE63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eastAsia="黑体" w:cs="黑体"/>
                <w:i w:val="0"/>
                <w:color w:val="000000"/>
                <w:kern w:val="0"/>
                <w:sz w:val="24"/>
                <w:szCs w:val="24"/>
                <w:u w:val="none"/>
                <w:lang w:val="en-US" w:eastAsia="zh-CN"/>
              </w:rPr>
            </w:pPr>
            <w:r>
              <w:rPr>
                <w:rFonts w:hint="eastAsia" w:ascii="黑体" w:eastAsia="黑体" w:cs="黑体"/>
                <w:i w:val="0"/>
                <w:color w:val="000000"/>
                <w:kern w:val="0"/>
                <w:sz w:val="24"/>
                <w:szCs w:val="24"/>
                <w:u w:val="none"/>
                <w:lang w:val="en-US" w:eastAsia="zh-CN"/>
              </w:rPr>
              <w:t>备注</w:t>
            </w:r>
          </w:p>
        </w:tc>
      </w:tr>
      <w:tr w14:paraId="3D84A0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tcBorders>
              <w:top w:val="single" w:color="000000" w:sz="4" w:space="0"/>
              <w:left w:val="single" w:color="000000" w:sz="4" w:space="0"/>
              <w:bottom w:val="single" w:color="000000" w:sz="4" w:space="0"/>
              <w:right w:val="nil"/>
            </w:tcBorders>
            <w:noWrap/>
            <w:vAlign w:val="center"/>
          </w:tcPr>
          <w:p w14:paraId="124DBF0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eastAsia="黑体" w:cs="黑体"/>
                <w:i w:val="0"/>
                <w:color w:val="000000"/>
                <w:sz w:val="24"/>
                <w:szCs w:val="24"/>
                <w:u w:val="none"/>
              </w:rPr>
            </w:pPr>
            <w:r>
              <w:rPr>
                <w:rFonts w:hint="eastAsia" w:ascii="黑体" w:eastAsia="黑体" w:cs="黑体"/>
                <w:i w:val="0"/>
                <w:color w:val="000000"/>
                <w:kern w:val="0"/>
                <w:sz w:val="24"/>
                <w:szCs w:val="24"/>
                <w:u w:val="none"/>
                <w:lang w:val="en-US" w:eastAsia="zh-CN"/>
              </w:rPr>
              <w:t>一级指标</w:t>
            </w:r>
          </w:p>
        </w:tc>
        <w:tc>
          <w:tcPr>
            <w:tcW w:w="1151" w:type="dxa"/>
            <w:tcBorders>
              <w:top w:val="single" w:color="000000" w:sz="4" w:space="0"/>
              <w:left w:val="single" w:color="000000" w:sz="4" w:space="0"/>
              <w:bottom w:val="single" w:color="000000" w:sz="4" w:space="0"/>
              <w:right w:val="single" w:color="000000" w:sz="4" w:space="0"/>
            </w:tcBorders>
            <w:noWrap/>
            <w:vAlign w:val="center"/>
          </w:tcPr>
          <w:p w14:paraId="6A1520A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eastAsia="黑体" w:cs="黑体"/>
                <w:i w:val="0"/>
                <w:color w:val="000000"/>
                <w:sz w:val="24"/>
                <w:szCs w:val="24"/>
                <w:u w:val="none"/>
              </w:rPr>
            </w:pPr>
            <w:r>
              <w:rPr>
                <w:rFonts w:hint="eastAsia" w:ascii="黑体" w:eastAsia="黑体" w:cs="黑体"/>
                <w:i w:val="0"/>
                <w:color w:val="000000"/>
                <w:kern w:val="0"/>
                <w:sz w:val="24"/>
                <w:szCs w:val="24"/>
                <w:u w:val="none"/>
                <w:lang w:val="en-US" w:eastAsia="zh-CN"/>
              </w:rPr>
              <w:t>二级指标</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3CF283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eastAsia="黑体" w:cs="黑体"/>
                <w:i w:val="0"/>
                <w:color w:val="000000"/>
                <w:sz w:val="24"/>
                <w:szCs w:val="24"/>
                <w:u w:val="none"/>
              </w:rPr>
            </w:pPr>
            <w:r>
              <w:rPr>
                <w:rFonts w:hint="eastAsia" w:ascii="黑体" w:eastAsia="黑体" w:cs="黑体"/>
                <w:i w:val="0"/>
                <w:color w:val="000000"/>
                <w:kern w:val="0"/>
                <w:sz w:val="24"/>
                <w:szCs w:val="24"/>
                <w:u w:val="none"/>
                <w:lang w:val="en-US" w:eastAsia="zh-CN"/>
              </w:rPr>
              <w:t>三级指标</w:t>
            </w:r>
          </w:p>
        </w:tc>
        <w:tc>
          <w:tcPr>
            <w:tcW w:w="567" w:type="dxa"/>
            <w:tcBorders>
              <w:top w:val="single" w:color="000000" w:sz="4" w:space="0"/>
              <w:left w:val="single" w:color="000000" w:sz="4" w:space="0"/>
              <w:bottom w:val="single" w:color="000000" w:sz="4" w:space="0"/>
              <w:right w:val="single" w:color="000000" w:sz="4" w:space="0"/>
            </w:tcBorders>
            <w:noWrap/>
            <w:vAlign w:val="center"/>
          </w:tcPr>
          <w:p w14:paraId="16D50DB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eastAsia="黑体" w:cs="黑体"/>
                <w:i w:val="0"/>
                <w:color w:val="000000"/>
                <w:sz w:val="24"/>
                <w:szCs w:val="24"/>
                <w:u w:val="none"/>
              </w:rPr>
            </w:pPr>
            <w:r>
              <w:rPr>
                <w:rFonts w:hint="eastAsia" w:ascii="黑体" w:eastAsia="黑体" w:cs="黑体"/>
                <w:i w:val="0"/>
                <w:color w:val="000000"/>
                <w:kern w:val="0"/>
                <w:sz w:val="24"/>
                <w:szCs w:val="24"/>
                <w:u w:val="none"/>
                <w:lang w:val="en-US" w:eastAsia="zh-CN"/>
              </w:rPr>
              <w:t>指标</w:t>
            </w:r>
            <w:r>
              <w:rPr>
                <w:rFonts w:hint="eastAsia" w:ascii="黑体" w:eastAsia="黑体" w:cs="黑体"/>
                <w:i w:val="0"/>
                <w:color w:val="000000"/>
                <w:kern w:val="0"/>
                <w:sz w:val="24"/>
                <w:szCs w:val="24"/>
                <w:u w:val="none"/>
                <w:lang w:val="en-US" w:eastAsia="zh-CN"/>
              </w:rPr>
              <w:br w:type="textWrapping"/>
            </w:r>
            <w:r>
              <w:rPr>
                <w:rFonts w:hint="eastAsia" w:ascii="黑体" w:eastAsia="黑体" w:cs="黑体"/>
                <w:i w:val="0"/>
                <w:color w:val="000000"/>
                <w:kern w:val="0"/>
                <w:sz w:val="24"/>
                <w:szCs w:val="24"/>
                <w:u w:val="none"/>
                <w:lang w:val="en-US" w:eastAsia="zh-CN"/>
              </w:rPr>
              <w:t>分值</w:t>
            </w:r>
          </w:p>
        </w:tc>
        <w:tc>
          <w:tcPr>
            <w:tcW w:w="3729" w:type="dxa"/>
            <w:vMerge w:val="continue"/>
            <w:tcBorders>
              <w:top w:val="single" w:color="000000" w:sz="4" w:space="0"/>
              <w:left w:val="single" w:color="000000" w:sz="4" w:space="0"/>
              <w:bottom w:val="single" w:color="000000" w:sz="4" w:space="0"/>
              <w:right w:val="single" w:color="000000" w:sz="4" w:space="0"/>
            </w:tcBorders>
            <w:noWrap/>
            <w:vAlign w:val="center"/>
          </w:tcPr>
          <w:p w14:paraId="3F26D088"/>
        </w:tc>
        <w:tc>
          <w:tcPr>
            <w:tcW w:w="595" w:type="dxa"/>
            <w:vMerge w:val="continue"/>
            <w:tcBorders>
              <w:top w:val="nil"/>
              <w:left w:val="single" w:color="000000" w:sz="4" w:space="0"/>
              <w:bottom w:val="single" w:color="000000" w:sz="4" w:space="0"/>
              <w:right w:val="single" w:color="000000" w:sz="4" w:space="0"/>
            </w:tcBorders>
            <w:noWrap/>
            <w:vAlign w:val="center"/>
          </w:tcPr>
          <w:p w14:paraId="5465FDD3"/>
        </w:tc>
        <w:tc>
          <w:tcPr>
            <w:tcW w:w="377" w:type="dxa"/>
            <w:vMerge w:val="continue"/>
            <w:tcBorders>
              <w:top w:val="nil"/>
              <w:left w:val="single" w:color="000000" w:sz="4" w:space="0"/>
              <w:bottom w:val="single" w:color="000000" w:sz="4" w:space="0"/>
              <w:right w:val="single" w:color="000000" w:sz="4" w:space="0"/>
            </w:tcBorders>
            <w:noWrap/>
            <w:vAlign w:val="center"/>
          </w:tcPr>
          <w:p w14:paraId="743A837D"/>
        </w:tc>
      </w:tr>
      <w:tr w14:paraId="27E976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vMerge w:val="restart"/>
            <w:tcBorders>
              <w:top w:val="single" w:color="000000" w:sz="4" w:space="0"/>
              <w:left w:val="single" w:color="000000" w:sz="4" w:space="0"/>
              <w:bottom w:val="single" w:color="000000" w:sz="4" w:space="0"/>
              <w:right w:val="single" w:color="000000" w:sz="4" w:space="0"/>
            </w:tcBorders>
            <w:noWrap/>
            <w:vAlign w:val="center"/>
          </w:tcPr>
          <w:p w14:paraId="188AAF0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b/>
                <w:i w:val="0"/>
                <w:color w:val="000000"/>
                <w:sz w:val="24"/>
                <w:szCs w:val="24"/>
                <w:u w:val="none"/>
              </w:rPr>
            </w:pPr>
            <w:r>
              <w:rPr>
                <w:rFonts w:hint="eastAsia" w:ascii="宋体" w:eastAsia="宋体" w:cs="宋体"/>
                <w:b/>
                <w:i w:val="0"/>
                <w:color w:val="000000"/>
                <w:kern w:val="0"/>
                <w:sz w:val="24"/>
                <w:szCs w:val="24"/>
                <w:u w:val="none"/>
                <w:lang w:val="en-US" w:eastAsia="zh-CN"/>
              </w:rPr>
              <w:t>总体绩效</w:t>
            </w:r>
            <w:r>
              <w:rPr>
                <w:rFonts w:hint="eastAsia" w:ascii="宋体" w:eastAsia="宋体" w:cs="宋体"/>
                <w:b/>
                <w:i w:val="0"/>
                <w:color w:val="000000"/>
                <w:kern w:val="0"/>
                <w:sz w:val="24"/>
                <w:szCs w:val="24"/>
                <w:u w:val="none"/>
                <w:lang w:val="en-US" w:eastAsia="zh-CN"/>
              </w:rPr>
              <w:br w:type="textWrapping"/>
            </w:r>
            <w:r>
              <w:rPr>
                <w:rFonts w:hint="eastAsia" w:ascii="宋体" w:eastAsia="宋体" w:cs="宋体"/>
                <w:b/>
                <w:i w:val="0"/>
                <w:color w:val="000000"/>
                <w:kern w:val="0"/>
                <w:sz w:val="24"/>
                <w:szCs w:val="24"/>
                <w:u w:val="none"/>
                <w:lang w:val="en-US" w:eastAsia="zh-CN"/>
              </w:rPr>
              <w:t>（65分）</w:t>
            </w:r>
          </w:p>
        </w:tc>
        <w:tc>
          <w:tcPr>
            <w:tcW w:w="1151" w:type="dxa"/>
            <w:vMerge w:val="restart"/>
            <w:tcBorders>
              <w:top w:val="single" w:color="000000" w:sz="4" w:space="0"/>
              <w:left w:val="single" w:color="000000" w:sz="4" w:space="0"/>
              <w:bottom w:val="nil"/>
              <w:right w:val="single" w:color="000000" w:sz="4" w:space="0"/>
            </w:tcBorders>
            <w:noWrap/>
            <w:vAlign w:val="center"/>
          </w:tcPr>
          <w:p w14:paraId="7134263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b/>
                <w:i w:val="0"/>
                <w:color w:val="000000"/>
                <w:sz w:val="24"/>
                <w:szCs w:val="24"/>
                <w:u w:val="none"/>
              </w:rPr>
            </w:pPr>
            <w:r>
              <w:rPr>
                <w:rFonts w:hint="eastAsia" w:ascii="宋体" w:eastAsia="宋体" w:cs="宋体"/>
                <w:b/>
                <w:i w:val="0"/>
                <w:color w:val="000000"/>
                <w:kern w:val="0"/>
                <w:sz w:val="24"/>
                <w:szCs w:val="24"/>
                <w:u w:val="none"/>
                <w:lang w:val="en-US" w:eastAsia="zh-CN"/>
              </w:rPr>
              <w:t>履职效能</w:t>
            </w:r>
            <w:r>
              <w:rPr>
                <w:rFonts w:hint="eastAsia" w:ascii="宋体" w:eastAsia="宋体" w:cs="宋体"/>
                <w:b/>
                <w:i w:val="0"/>
                <w:color w:val="000000"/>
                <w:kern w:val="0"/>
                <w:sz w:val="24"/>
                <w:szCs w:val="24"/>
                <w:u w:val="none"/>
                <w:lang w:val="en-US" w:eastAsia="zh-CN"/>
              </w:rPr>
              <w:br w:type="textWrapping"/>
            </w:r>
            <w:r>
              <w:rPr>
                <w:rFonts w:hint="eastAsia" w:ascii="宋体" w:eastAsia="宋体" w:cs="宋体"/>
                <w:b/>
                <w:i w:val="0"/>
                <w:color w:val="000000"/>
                <w:kern w:val="0"/>
                <w:sz w:val="24"/>
                <w:szCs w:val="24"/>
                <w:u w:val="none"/>
                <w:lang w:val="en-US" w:eastAsia="zh-CN"/>
              </w:rPr>
              <w:t>（15分）</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79A0F2B9">
            <w:pPr>
              <w:keepNext w:val="0"/>
              <w:keepLines w:val="0"/>
              <w:widowControl/>
              <w:suppressLineNumbers w:val="0"/>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数量指标履职效果</w:t>
            </w:r>
          </w:p>
        </w:tc>
        <w:tc>
          <w:tcPr>
            <w:tcW w:w="567" w:type="dxa"/>
            <w:tcBorders>
              <w:top w:val="nil"/>
              <w:left w:val="single" w:color="000000" w:sz="4" w:space="0"/>
              <w:bottom w:val="single" w:color="000000" w:sz="4" w:space="0"/>
              <w:right w:val="single" w:color="000000" w:sz="4" w:space="0"/>
            </w:tcBorders>
            <w:noWrap/>
            <w:vAlign w:val="center"/>
          </w:tcPr>
          <w:p w14:paraId="17FB9F1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5</w:t>
            </w:r>
          </w:p>
        </w:tc>
        <w:tc>
          <w:tcPr>
            <w:tcW w:w="3729" w:type="dxa"/>
            <w:vMerge w:val="restart"/>
            <w:tcBorders>
              <w:top w:val="single" w:color="000000" w:sz="4" w:space="0"/>
              <w:left w:val="single" w:color="000000" w:sz="4" w:space="0"/>
              <w:bottom w:val="nil"/>
              <w:right w:val="single" w:color="000000" w:sz="4" w:space="0"/>
            </w:tcBorders>
            <w:noWrap/>
            <w:vAlign w:val="center"/>
          </w:tcPr>
          <w:p w14:paraId="43FEE63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部门整体绩效目标中选定3-5个核心职能目标，反映该项职能目标完成效果情况</w:t>
            </w:r>
          </w:p>
        </w:tc>
        <w:tc>
          <w:tcPr>
            <w:tcW w:w="595" w:type="dxa"/>
            <w:tcBorders>
              <w:top w:val="single" w:color="000000" w:sz="4" w:space="0"/>
              <w:left w:val="single" w:color="000000" w:sz="4" w:space="0"/>
              <w:bottom w:val="single" w:color="000000" w:sz="4" w:space="0"/>
              <w:right w:val="single" w:color="000000" w:sz="4" w:space="0"/>
            </w:tcBorders>
            <w:noWrap/>
            <w:vAlign w:val="center"/>
          </w:tcPr>
          <w:p w14:paraId="0907F71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5</w:t>
            </w:r>
          </w:p>
        </w:tc>
        <w:tc>
          <w:tcPr>
            <w:tcW w:w="377" w:type="dxa"/>
            <w:tcBorders>
              <w:top w:val="single" w:color="000000" w:sz="4" w:space="0"/>
              <w:left w:val="single" w:color="000000" w:sz="4" w:space="0"/>
              <w:bottom w:val="single" w:color="000000" w:sz="4" w:space="0"/>
              <w:right w:val="single" w:color="000000" w:sz="4" w:space="0"/>
            </w:tcBorders>
            <w:noWrap/>
            <w:vAlign w:val="center"/>
          </w:tcPr>
          <w:p w14:paraId="3DE72B3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5B481D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vMerge w:val="continue"/>
            <w:tcBorders>
              <w:top w:val="nil"/>
              <w:left w:val="single" w:color="000000" w:sz="4" w:space="0"/>
              <w:bottom w:val="nil"/>
              <w:right w:val="single" w:color="000000" w:sz="4" w:space="0"/>
            </w:tcBorders>
            <w:noWrap/>
            <w:vAlign w:val="center"/>
          </w:tcPr>
          <w:p w14:paraId="3CF7CC09"/>
        </w:tc>
        <w:tc>
          <w:tcPr>
            <w:tcW w:w="1151" w:type="dxa"/>
            <w:vMerge w:val="continue"/>
            <w:tcBorders>
              <w:top w:val="nil"/>
              <w:left w:val="single" w:color="000000" w:sz="4" w:space="0"/>
              <w:bottom w:val="nil"/>
              <w:right w:val="single" w:color="000000" w:sz="4" w:space="0"/>
            </w:tcBorders>
            <w:noWrap/>
            <w:vAlign w:val="center"/>
          </w:tcPr>
          <w:p w14:paraId="60C351EF"/>
        </w:tc>
        <w:tc>
          <w:tcPr>
            <w:tcW w:w="1312" w:type="dxa"/>
            <w:tcBorders>
              <w:top w:val="single" w:color="000000" w:sz="4" w:space="0"/>
              <w:left w:val="single" w:color="000000" w:sz="4" w:space="0"/>
              <w:bottom w:val="single" w:color="000000" w:sz="4" w:space="0"/>
              <w:right w:val="single" w:color="000000" w:sz="4" w:space="0"/>
            </w:tcBorders>
            <w:noWrap/>
            <w:vAlign w:val="center"/>
          </w:tcPr>
          <w:p w14:paraId="69BF1CAB">
            <w:pPr>
              <w:keepNext w:val="0"/>
              <w:keepLines w:val="0"/>
              <w:widowControl/>
              <w:suppressLineNumbers w:val="0"/>
              <w:jc w:val="center"/>
              <w:textAlignment w:val="center"/>
              <w:rPr>
                <w:rFonts w:hint="eastAsia"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质量指标履职效果</w:t>
            </w:r>
          </w:p>
        </w:tc>
        <w:tc>
          <w:tcPr>
            <w:tcW w:w="567" w:type="dxa"/>
            <w:tcBorders>
              <w:top w:val="nil"/>
              <w:left w:val="single" w:color="000000" w:sz="4" w:space="0"/>
              <w:bottom w:val="single" w:color="000000" w:sz="4" w:space="0"/>
              <w:right w:val="single" w:color="000000" w:sz="4" w:space="0"/>
            </w:tcBorders>
            <w:noWrap/>
            <w:vAlign w:val="center"/>
          </w:tcPr>
          <w:p w14:paraId="2B69836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5</w:t>
            </w:r>
          </w:p>
        </w:tc>
        <w:tc>
          <w:tcPr>
            <w:tcW w:w="3729" w:type="dxa"/>
            <w:vMerge w:val="continue"/>
            <w:tcBorders>
              <w:top w:val="nil"/>
              <w:left w:val="single" w:color="000000" w:sz="4" w:space="0"/>
              <w:bottom w:val="nil"/>
              <w:right w:val="single" w:color="000000" w:sz="4" w:space="0"/>
            </w:tcBorders>
            <w:noWrap/>
            <w:vAlign w:val="center"/>
          </w:tcPr>
          <w:p w14:paraId="590F74AB"/>
        </w:tc>
        <w:tc>
          <w:tcPr>
            <w:tcW w:w="595" w:type="dxa"/>
            <w:tcBorders>
              <w:top w:val="single" w:color="000000" w:sz="4" w:space="0"/>
              <w:left w:val="single" w:color="000000" w:sz="4" w:space="0"/>
              <w:bottom w:val="single" w:color="000000" w:sz="4" w:space="0"/>
              <w:right w:val="single" w:color="000000" w:sz="4" w:space="0"/>
            </w:tcBorders>
            <w:noWrap/>
            <w:vAlign w:val="center"/>
          </w:tcPr>
          <w:p w14:paraId="32E5648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5</w:t>
            </w:r>
          </w:p>
        </w:tc>
        <w:tc>
          <w:tcPr>
            <w:tcW w:w="377" w:type="dxa"/>
            <w:tcBorders>
              <w:top w:val="single" w:color="000000" w:sz="4" w:space="0"/>
              <w:left w:val="single" w:color="000000" w:sz="4" w:space="0"/>
              <w:bottom w:val="single" w:color="000000" w:sz="4" w:space="0"/>
              <w:right w:val="single" w:color="000000" w:sz="4" w:space="0"/>
            </w:tcBorders>
            <w:noWrap/>
            <w:vAlign w:val="center"/>
          </w:tcPr>
          <w:p w14:paraId="29CE929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26B3C4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vMerge w:val="continue"/>
            <w:tcBorders>
              <w:top w:val="nil"/>
              <w:left w:val="single" w:color="000000" w:sz="4" w:space="0"/>
              <w:bottom w:val="nil"/>
              <w:right w:val="single" w:color="000000" w:sz="4" w:space="0"/>
            </w:tcBorders>
            <w:noWrap/>
            <w:vAlign w:val="center"/>
          </w:tcPr>
          <w:p w14:paraId="48AAA414"/>
        </w:tc>
        <w:tc>
          <w:tcPr>
            <w:tcW w:w="1151" w:type="dxa"/>
            <w:vMerge w:val="continue"/>
            <w:tcBorders>
              <w:top w:val="nil"/>
              <w:left w:val="single" w:color="000000" w:sz="4" w:space="0"/>
              <w:bottom w:val="single" w:color="000000" w:sz="4" w:space="0"/>
              <w:right w:val="single" w:color="000000" w:sz="4" w:space="0"/>
            </w:tcBorders>
            <w:noWrap/>
            <w:vAlign w:val="center"/>
          </w:tcPr>
          <w:p w14:paraId="1FF09C17"/>
        </w:tc>
        <w:tc>
          <w:tcPr>
            <w:tcW w:w="1312" w:type="dxa"/>
            <w:tcBorders>
              <w:top w:val="single" w:color="000000" w:sz="4" w:space="0"/>
              <w:left w:val="single" w:color="000000" w:sz="4" w:space="0"/>
              <w:bottom w:val="single" w:color="000000" w:sz="4" w:space="0"/>
              <w:right w:val="single" w:color="000000" w:sz="4" w:space="0"/>
            </w:tcBorders>
            <w:noWrap/>
            <w:vAlign w:val="center"/>
          </w:tcPr>
          <w:p w14:paraId="1739D9BC">
            <w:pPr>
              <w:keepNext w:val="0"/>
              <w:keepLines w:val="0"/>
              <w:widowControl/>
              <w:suppressLineNumbers w:val="0"/>
              <w:jc w:val="center"/>
              <w:textAlignment w:val="center"/>
              <w:rPr>
                <w:rFonts w:hint="eastAsia"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社会效益指标履职效果</w:t>
            </w:r>
          </w:p>
        </w:tc>
        <w:tc>
          <w:tcPr>
            <w:tcW w:w="567" w:type="dxa"/>
            <w:tcBorders>
              <w:top w:val="nil"/>
              <w:left w:val="single" w:color="000000" w:sz="4" w:space="0"/>
              <w:bottom w:val="single" w:color="000000" w:sz="4" w:space="0"/>
              <w:right w:val="single" w:color="000000" w:sz="4" w:space="0"/>
            </w:tcBorders>
            <w:noWrap/>
            <w:vAlign w:val="center"/>
          </w:tcPr>
          <w:p w14:paraId="180B6BE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5</w:t>
            </w:r>
          </w:p>
        </w:tc>
        <w:tc>
          <w:tcPr>
            <w:tcW w:w="3729" w:type="dxa"/>
            <w:vMerge w:val="continue"/>
            <w:tcBorders>
              <w:top w:val="nil"/>
              <w:left w:val="single" w:color="000000" w:sz="4" w:space="0"/>
              <w:bottom w:val="single" w:color="000000" w:sz="4" w:space="0"/>
              <w:right w:val="single" w:color="000000" w:sz="4" w:space="0"/>
            </w:tcBorders>
            <w:noWrap/>
            <w:vAlign w:val="center"/>
          </w:tcPr>
          <w:p w14:paraId="0622C0BE"/>
        </w:tc>
        <w:tc>
          <w:tcPr>
            <w:tcW w:w="595" w:type="dxa"/>
            <w:tcBorders>
              <w:top w:val="single" w:color="000000" w:sz="4" w:space="0"/>
              <w:left w:val="single" w:color="000000" w:sz="4" w:space="0"/>
              <w:bottom w:val="single" w:color="000000" w:sz="4" w:space="0"/>
              <w:right w:val="single" w:color="000000" w:sz="4" w:space="0"/>
            </w:tcBorders>
            <w:noWrap/>
            <w:vAlign w:val="center"/>
          </w:tcPr>
          <w:p w14:paraId="25F5F6A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4</w:t>
            </w:r>
          </w:p>
        </w:tc>
        <w:tc>
          <w:tcPr>
            <w:tcW w:w="377" w:type="dxa"/>
            <w:tcBorders>
              <w:top w:val="single" w:color="000000" w:sz="4" w:space="0"/>
              <w:left w:val="single" w:color="000000" w:sz="4" w:space="0"/>
              <w:bottom w:val="single" w:color="000000" w:sz="4" w:space="0"/>
              <w:right w:val="single" w:color="000000" w:sz="4" w:space="0"/>
            </w:tcBorders>
            <w:noWrap/>
            <w:vAlign w:val="center"/>
          </w:tcPr>
          <w:p w14:paraId="6365705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752945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vMerge w:val="continue"/>
            <w:tcBorders>
              <w:top w:val="single" w:color="000000" w:sz="4" w:space="0"/>
              <w:left w:val="single" w:color="000000" w:sz="4" w:space="0"/>
              <w:bottom w:val="single" w:color="000000" w:sz="4" w:space="0"/>
              <w:right w:val="single" w:color="000000" w:sz="4" w:space="0"/>
            </w:tcBorders>
            <w:noWrap/>
            <w:vAlign w:val="center"/>
          </w:tcPr>
          <w:p w14:paraId="2CFA4737"/>
        </w:tc>
        <w:tc>
          <w:tcPr>
            <w:tcW w:w="1151" w:type="dxa"/>
            <w:vMerge w:val="restart"/>
            <w:tcBorders>
              <w:top w:val="single" w:color="000000" w:sz="4" w:space="0"/>
              <w:left w:val="single" w:color="000000" w:sz="4" w:space="0"/>
              <w:bottom w:val="single" w:color="000000" w:sz="4" w:space="0"/>
              <w:right w:val="single" w:color="000000" w:sz="4" w:space="0"/>
            </w:tcBorders>
            <w:noWrap/>
            <w:vAlign w:val="center"/>
          </w:tcPr>
          <w:p w14:paraId="1328B22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b/>
                <w:i w:val="0"/>
                <w:color w:val="000000"/>
                <w:sz w:val="24"/>
                <w:szCs w:val="24"/>
                <w:u w:val="none"/>
              </w:rPr>
            </w:pPr>
            <w:r>
              <w:rPr>
                <w:rFonts w:hint="eastAsia" w:ascii="宋体" w:eastAsia="宋体" w:cs="宋体"/>
                <w:b/>
                <w:i w:val="0"/>
                <w:color w:val="000000"/>
                <w:kern w:val="0"/>
                <w:sz w:val="24"/>
                <w:szCs w:val="24"/>
                <w:u w:val="none"/>
                <w:lang w:val="en-US" w:eastAsia="zh-CN"/>
              </w:rPr>
              <w:t>预算管理</w:t>
            </w:r>
            <w:r>
              <w:rPr>
                <w:rFonts w:hint="eastAsia" w:ascii="宋体" w:eastAsia="宋体" w:cs="宋体"/>
                <w:b/>
                <w:i w:val="0"/>
                <w:color w:val="000000"/>
                <w:kern w:val="0"/>
                <w:sz w:val="24"/>
                <w:szCs w:val="24"/>
                <w:u w:val="none"/>
                <w:lang w:val="en-US" w:eastAsia="zh-CN"/>
              </w:rPr>
              <w:br w:type="textWrapping"/>
            </w:r>
            <w:r>
              <w:rPr>
                <w:rFonts w:hint="eastAsia" w:ascii="宋体" w:eastAsia="宋体" w:cs="宋体"/>
                <w:b/>
                <w:i w:val="0"/>
                <w:color w:val="000000"/>
                <w:kern w:val="0"/>
                <w:sz w:val="24"/>
                <w:szCs w:val="24"/>
                <w:u w:val="none"/>
                <w:lang w:val="en-US" w:eastAsia="zh-CN"/>
              </w:rPr>
              <w:t>（25分）</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2EA21B2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预算编制质量</w:t>
            </w:r>
          </w:p>
        </w:tc>
        <w:tc>
          <w:tcPr>
            <w:tcW w:w="567" w:type="dxa"/>
            <w:tcBorders>
              <w:top w:val="single" w:color="000000" w:sz="4" w:space="0"/>
              <w:left w:val="single" w:color="000000" w:sz="4" w:space="0"/>
              <w:bottom w:val="single" w:color="000000" w:sz="4" w:space="0"/>
              <w:right w:val="single" w:color="000000" w:sz="4" w:space="0"/>
            </w:tcBorders>
            <w:noWrap/>
            <w:vAlign w:val="center"/>
          </w:tcPr>
          <w:p w14:paraId="25D1CA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8</w:t>
            </w:r>
          </w:p>
        </w:tc>
        <w:tc>
          <w:tcPr>
            <w:tcW w:w="3729" w:type="dxa"/>
            <w:tcBorders>
              <w:top w:val="single" w:color="000000" w:sz="4" w:space="0"/>
              <w:left w:val="single" w:color="000000" w:sz="4" w:space="0"/>
              <w:bottom w:val="single" w:color="000000" w:sz="4" w:space="0"/>
              <w:right w:val="single" w:color="000000" w:sz="4" w:space="0"/>
            </w:tcBorders>
            <w:noWrap/>
            <w:vAlign w:val="center"/>
          </w:tcPr>
          <w:p w14:paraId="37ADE67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部门是否严格按要求编制年初部门预算，年初预算编制的科学性和准确性</w:t>
            </w:r>
          </w:p>
        </w:tc>
        <w:tc>
          <w:tcPr>
            <w:tcW w:w="595" w:type="dxa"/>
            <w:tcBorders>
              <w:top w:val="single" w:color="000000" w:sz="4" w:space="0"/>
              <w:left w:val="single" w:color="000000" w:sz="4" w:space="0"/>
              <w:bottom w:val="single" w:color="000000" w:sz="4" w:space="0"/>
              <w:right w:val="single" w:color="000000" w:sz="4" w:space="0"/>
            </w:tcBorders>
            <w:noWrap/>
            <w:vAlign w:val="center"/>
          </w:tcPr>
          <w:p w14:paraId="1A15806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7</w:t>
            </w:r>
          </w:p>
        </w:tc>
        <w:tc>
          <w:tcPr>
            <w:tcW w:w="377" w:type="dxa"/>
            <w:tcBorders>
              <w:top w:val="single" w:color="000000" w:sz="4" w:space="0"/>
              <w:left w:val="single" w:color="000000" w:sz="4" w:space="0"/>
              <w:bottom w:val="single" w:color="000000" w:sz="4" w:space="0"/>
              <w:right w:val="single" w:color="000000" w:sz="4" w:space="0"/>
            </w:tcBorders>
            <w:noWrap/>
            <w:vAlign w:val="center"/>
          </w:tcPr>
          <w:p w14:paraId="6815E35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7CC03F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vMerge w:val="continue"/>
            <w:tcBorders>
              <w:top w:val="single" w:color="000000" w:sz="4" w:space="0"/>
              <w:left w:val="single" w:color="000000" w:sz="4" w:space="0"/>
              <w:bottom w:val="single" w:color="000000" w:sz="4" w:space="0"/>
              <w:right w:val="single" w:color="000000" w:sz="4" w:space="0"/>
            </w:tcBorders>
            <w:noWrap/>
            <w:vAlign w:val="center"/>
          </w:tcPr>
          <w:p w14:paraId="3D73152E"/>
        </w:tc>
        <w:tc>
          <w:tcPr>
            <w:tcW w:w="1151" w:type="dxa"/>
            <w:vMerge w:val="continue"/>
            <w:tcBorders>
              <w:top w:val="single" w:color="000000" w:sz="4" w:space="0"/>
              <w:left w:val="single" w:color="000000" w:sz="4" w:space="0"/>
              <w:bottom w:val="single" w:color="000000" w:sz="4" w:space="0"/>
              <w:right w:val="single" w:color="000000" w:sz="4" w:space="0"/>
            </w:tcBorders>
            <w:noWrap/>
            <w:vAlign w:val="center"/>
          </w:tcPr>
          <w:p w14:paraId="521B64D4"/>
        </w:tc>
        <w:tc>
          <w:tcPr>
            <w:tcW w:w="1312" w:type="dxa"/>
            <w:tcBorders>
              <w:top w:val="single" w:color="000000" w:sz="4" w:space="0"/>
              <w:left w:val="single" w:color="000000" w:sz="4" w:space="0"/>
              <w:bottom w:val="single" w:color="000000" w:sz="4" w:space="0"/>
              <w:right w:val="single" w:color="000000" w:sz="4" w:space="0"/>
            </w:tcBorders>
            <w:noWrap/>
            <w:vAlign w:val="center"/>
          </w:tcPr>
          <w:p w14:paraId="34A226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单位收入统筹</w:t>
            </w:r>
          </w:p>
        </w:tc>
        <w:tc>
          <w:tcPr>
            <w:tcW w:w="567" w:type="dxa"/>
            <w:tcBorders>
              <w:top w:val="single" w:color="000000" w:sz="4" w:space="0"/>
              <w:left w:val="single" w:color="000000" w:sz="4" w:space="0"/>
              <w:bottom w:val="single" w:color="000000" w:sz="4" w:space="0"/>
              <w:right w:val="single" w:color="000000" w:sz="4" w:space="0"/>
            </w:tcBorders>
            <w:noWrap/>
            <w:vAlign w:val="center"/>
          </w:tcPr>
          <w:p w14:paraId="5469C34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4</w:t>
            </w:r>
          </w:p>
        </w:tc>
        <w:tc>
          <w:tcPr>
            <w:tcW w:w="3729" w:type="dxa"/>
            <w:tcBorders>
              <w:top w:val="single" w:color="000000" w:sz="4" w:space="0"/>
              <w:left w:val="single" w:color="000000" w:sz="4" w:space="0"/>
              <w:bottom w:val="single" w:color="000000" w:sz="4" w:space="0"/>
              <w:right w:val="single" w:color="000000" w:sz="4" w:space="0"/>
            </w:tcBorders>
            <w:noWrap/>
            <w:vAlign w:val="center"/>
          </w:tcPr>
          <w:p w14:paraId="7006980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部门统筹自有收入程度</w:t>
            </w:r>
          </w:p>
        </w:tc>
        <w:tc>
          <w:tcPr>
            <w:tcW w:w="595" w:type="dxa"/>
            <w:tcBorders>
              <w:top w:val="single" w:color="000000" w:sz="4" w:space="0"/>
              <w:left w:val="single" w:color="000000" w:sz="4" w:space="0"/>
              <w:bottom w:val="single" w:color="000000" w:sz="4" w:space="0"/>
              <w:right w:val="single" w:color="000000" w:sz="4" w:space="0"/>
            </w:tcBorders>
            <w:noWrap/>
            <w:vAlign w:val="center"/>
          </w:tcPr>
          <w:p w14:paraId="16F6786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3</w:t>
            </w:r>
          </w:p>
        </w:tc>
        <w:tc>
          <w:tcPr>
            <w:tcW w:w="377" w:type="dxa"/>
            <w:tcBorders>
              <w:top w:val="single" w:color="000000" w:sz="4" w:space="0"/>
              <w:left w:val="single" w:color="000000" w:sz="4" w:space="0"/>
              <w:bottom w:val="single" w:color="000000" w:sz="4" w:space="0"/>
              <w:right w:val="single" w:color="000000" w:sz="4" w:space="0"/>
            </w:tcBorders>
            <w:noWrap/>
            <w:vAlign w:val="center"/>
          </w:tcPr>
          <w:p w14:paraId="1C45A86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77CDF7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vMerge w:val="continue"/>
            <w:tcBorders>
              <w:top w:val="single" w:color="000000" w:sz="4" w:space="0"/>
              <w:left w:val="single" w:color="000000" w:sz="4" w:space="0"/>
              <w:bottom w:val="single" w:color="000000" w:sz="4" w:space="0"/>
              <w:right w:val="single" w:color="000000" w:sz="4" w:space="0"/>
            </w:tcBorders>
            <w:noWrap/>
            <w:vAlign w:val="center"/>
          </w:tcPr>
          <w:p w14:paraId="5CD3815A"/>
        </w:tc>
        <w:tc>
          <w:tcPr>
            <w:tcW w:w="1151" w:type="dxa"/>
            <w:vMerge w:val="continue"/>
            <w:tcBorders>
              <w:top w:val="single" w:color="000000" w:sz="4" w:space="0"/>
              <w:left w:val="single" w:color="000000" w:sz="4" w:space="0"/>
              <w:bottom w:val="single" w:color="000000" w:sz="4" w:space="0"/>
              <w:right w:val="single" w:color="000000" w:sz="4" w:space="0"/>
            </w:tcBorders>
            <w:noWrap/>
            <w:vAlign w:val="center"/>
          </w:tcPr>
          <w:p w14:paraId="7ADD5A60"/>
        </w:tc>
        <w:tc>
          <w:tcPr>
            <w:tcW w:w="1312" w:type="dxa"/>
            <w:tcBorders>
              <w:top w:val="single" w:color="000000" w:sz="4" w:space="0"/>
              <w:left w:val="single" w:color="000000" w:sz="4" w:space="0"/>
              <w:bottom w:val="single" w:color="000000" w:sz="4" w:space="0"/>
              <w:right w:val="single" w:color="000000" w:sz="4" w:space="0"/>
            </w:tcBorders>
            <w:noWrap/>
            <w:vAlign w:val="center"/>
          </w:tcPr>
          <w:p w14:paraId="4EE392C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支出执行进度</w:t>
            </w:r>
          </w:p>
        </w:tc>
        <w:tc>
          <w:tcPr>
            <w:tcW w:w="567" w:type="dxa"/>
            <w:tcBorders>
              <w:top w:val="single" w:color="000000" w:sz="4" w:space="0"/>
              <w:left w:val="single" w:color="000000" w:sz="4" w:space="0"/>
              <w:bottom w:val="single" w:color="000000" w:sz="4" w:space="0"/>
              <w:right w:val="single" w:color="000000" w:sz="4" w:space="0"/>
            </w:tcBorders>
            <w:noWrap/>
            <w:vAlign w:val="center"/>
          </w:tcPr>
          <w:p w14:paraId="396FFD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6</w:t>
            </w:r>
          </w:p>
        </w:tc>
        <w:tc>
          <w:tcPr>
            <w:tcW w:w="3729" w:type="dxa"/>
            <w:tcBorders>
              <w:top w:val="single" w:color="000000" w:sz="4" w:space="0"/>
              <w:left w:val="single" w:color="000000" w:sz="4" w:space="0"/>
              <w:bottom w:val="single" w:color="000000" w:sz="4" w:space="0"/>
              <w:right w:val="single" w:color="000000" w:sz="4" w:space="0"/>
            </w:tcBorders>
            <w:noWrap/>
            <w:vAlign w:val="center"/>
          </w:tcPr>
          <w:p w14:paraId="159CC4F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部门1至6月、1至10月预算执行情况</w:t>
            </w:r>
          </w:p>
        </w:tc>
        <w:tc>
          <w:tcPr>
            <w:tcW w:w="595" w:type="dxa"/>
            <w:tcBorders>
              <w:top w:val="single" w:color="000000" w:sz="4" w:space="0"/>
              <w:left w:val="single" w:color="000000" w:sz="4" w:space="0"/>
              <w:bottom w:val="single" w:color="000000" w:sz="4" w:space="0"/>
              <w:right w:val="single" w:color="000000" w:sz="4" w:space="0"/>
            </w:tcBorders>
            <w:noWrap/>
            <w:vAlign w:val="center"/>
          </w:tcPr>
          <w:p w14:paraId="5DF5192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5</w:t>
            </w:r>
          </w:p>
        </w:tc>
        <w:tc>
          <w:tcPr>
            <w:tcW w:w="377" w:type="dxa"/>
            <w:tcBorders>
              <w:top w:val="single" w:color="000000" w:sz="4" w:space="0"/>
              <w:left w:val="single" w:color="000000" w:sz="4" w:space="0"/>
              <w:bottom w:val="single" w:color="000000" w:sz="4" w:space="0"/>
              <w:right w:val="single" w:color="000000" w:sz="4" w:space="0"/>
            </w:tcBorders>
            <w:noWrap/>
            <w:vAlign w:val="center"/>
          </w:tcPr>
          <w:p w14:paraId="26D992A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389D5F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vMerge w:val="continue"/>
            <w:tcBorders>
              <w:top w:val="single" w:color="000000" w:sz="4" w:space="0"/>
              <w:left w:val="single" w:color="000000" w:sz="4" w:space="0"/>
              <w:bottom w:val="single" w:color="000000" w:sz="4" w:space="0"/>
              <w:right w:val="single" w:color="000000" w:sz="4" w:space="0"/>
            </w:tcBorders>
            <w:noWrap/>
            <w:vAlign w:val="center"/>
          </w:tcPr>
          <w:p w14:paraId="11241239"/>
        </w:tc>
        <w:tc>
          <w:tcPr>
            <w:tcW w:w="1151" w:type="dxa"/>
            <w:vMerge w:val="continue"/>
            <w:tcBorders>
              <w:top w:val="single" w:color="000000" w:sz="4" w:space="0"/>
              <w:left w:val="single" w:color="000000" w:sz="4" w:space="0"/>
              <w:bottom w:val="single" w:color="000000" w:sz="4" w:space="0"/>
              <w:right w:val="single" w:color="000000" w:sz="4" w:space="0"/>
            </w:tcBorders>
            <w:noWrap/>
            <w:vAlign w:val="center"/>
          </w:tcPr>
          <w:p w14:paraId="00C962FF"/>
        </w:tc>
        <w:tc>
          <w:tcPr>
            <w:tcW w:w="1312" w:type="dxa"/>
            <w:tcBorders>
              <w:top w:val="single" w:color="000000" w:sz="4" w:space="0"/>
              <w:left w:val="single" w:color="000000" w:sz="4" w:space="0"/>
              <w:bottom w:val="single" w:color="000000" w:sz="4" w:space="0"/>
              <w:right w:val="single" w:color="000000" w:sz="4" w:space="0"/>
            </w:tcBorders>
            <w:noWrap/>
            <w:vAlign w:val="center"/>
          </w:tcPr>
          <w:p w14:paraId="0A05899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预算年终结余</w:t>
            </w:r>
          </w:p>
        </w:tc>
        <w:tc>
          <w:tcPr>
            <w:tcW w:w="567" w:type="dxa"/>
            <w:tcBorders>
              <w:top w:val="single" w:color="000000" w:sz="4" w:space="0"/>
              <w:left w:val="single" w:color="000000" w:sz="4" w:space="0"/>
              <w:bottom w:val="single" w:color="000000" w:sz="4" w:space="0"/>
              <w:right w:val="single" w:color="000000" w:sz="4" w:space="0"/>
            </w:tcBorders>
            <w:noWrap/>
            <w:vAlign w:val="center"/>
          </w:tcPr>
          <w:p w14:paraId="57A79E5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2</w:t>
            </w:r>
          </w:p>
        </w:tc>
        <w:tc>
          <w:tcPr>
            <w:tcW w:w="3729" w:type="dxa"/>
            <w:tcBorders>
              <w:top w:val="single" w:color="000000" w:sz="4" w:space="0"/>
              <w:left w:val="single" w:color="000000" w:sz="4" w:space="0"/>
              <w:bottom w:val="single" w:color="000000" w:sz="4" w:space="0"/>
              <w:right w:val="single" w:color="000000" w:sz="4" w:space="0"/>
            </w:tcBorders>
            <w:noWrap/>
            <w:vAlign w:val="center"/>
          </w:tcPr>
          <w:p w14:paraId="46F1A54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部门整体年终预算结余情况</w:t>
            </w:r>
          </w:p>
        </w:tc>
        <w:tc>
          <w:tcPr>
            <w:tcW w:w="595" w:type="dxa"/>
            <w:tcBorders>
              <w:top w:val="single" w:color="000000" w:sz="4" w:space="0"/>
              <w:left w:val="single" w:color="000000" w:sz="4" w:space="0"/>
              <w:bottom w:val="single" w:color="000000" w:sz="4" w:space="0"/>
              <w:right w:val="single" w:color="000000" w:sz="4" w:space="0"/>
            </w:tcBorders>
            <w:noWrap/>
            <w:vAlign w:val="center"/>
          </w:tcPr>
          <w:p w14:paraId="06655B4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2</w:t>
            </w:r>
          </w:p>
        </w:tc>
        <w:tc>
          <w:tcPr>
            <w:tcW w:w="377" w:type="dxa"/>
            <w:tcBorders>
              <w:top w:val="single" w:color="000000" w:sz="4" w:space="0"/>
              <w:left w:val="single" w:color="000000" w:sz="4" w:space="0"/>
              <w:bottom w:val="single" w:color="000000" w:sz="4" w:space="0"/>
              <w:right w:val="single" w:color="000000" w:sz="4" w:space="0"/>
            </w:tcBorders>
            <w:noWrap/>
            <w:vAlign w:val="center"/>
          </w:tcPr>
          <w:p w14:paraId="5E5B911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228A20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vMerge w:val="continue"/>
            <w:tcBorders>
              <w:top w:val="single" w:color="000000" w:sz="4" w:space="0"/>
              <w:left w:val="single" w:color="000000" w:sz="4" w:space="0"/>
              <w:bottom w:val="single" w:color="000000" w:sz="4" w:space="0"/>
              <w:right w:val="single" w:color="000000" w:sz="4" w:space="0"/>
            </w:tcBorders>
            <w:noWrap/>
            <w:vAlign w:val="center"/>
          </w:tcPr>
          <w:p w14:paraId="23468CFD"/>
        </w:tc>
        <w:tc>
          <w:tcPr>
            <w:tcW w:w="1151" w:type="dxa"/>
            <w:vMerge w:val="continue"/>
            <w:tcBorders>
              <w:top w:val="single" w:color="000000" w:sz="4" w:space="0"/>
              <w:left w:val="single" w:color="000000" w:sz="4" w:space="0"/>
              <w:bottom w:val="single" w:color="000000" w:sz="4" w:space="0"/>
              <w:right w:val="single" w:color="000000" w:sz="4" w:space="0"/>
            </w:tcBorders>
            <w:noWrap/>
            <w:vAlign w:val="center"/>
          </w:tcPr>
          <w:p w14:paraId="59EB701B"/>
        </w:tc>
        <w:tc>
          <w:tcPr>
            <w:tcW w:w="1312" w:type="dxa"/>
            <w:tcBorders>
              <w:top w:val="single" w:color="000000" w:sz="4" w:space="0"/>
              <w:left w:val="single" w:color="000000" w:sz="4" w:space="0"/>
              <w:bottom w:val="single" w:color="000000" w:sz="4" w:space="0"/>
              <w:right w:val="single" w:color="000000" w:sz="4" w:space="0"/>
            </w:tcBorders>
            <w:noWrap/>
            <w:vAlign w:val="center"/>
          </w:tcPr>
          <w:p w14:paraId="6F40782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严控一般性支出</w:t>
            </w:r>
          </w:p>
        </w:tc>
        <w:tc>
          <w:tcPr>
            <w:tcW w:w="567" w:type="dxa"/>
            <w:tcBorders>
              <w:top w:val="single" w:color="000000" w:sz="4" w:space="0"/>
              <w:left w:val="single" w:color="000000" w:sz="4" w:space="0"/>
              <w:bottom w:val="single" w:color="000000" w:sz="4" w:space="0"/>
              <w:right w:val="single" w:color="000000" w:sz="4" w:space="0"/>
            </w:tcBorders>
            <w:noWrap/>
            <w:vAlign w:val="center"/>
          </w:tcPr>
          <w:p w14:paraId="12BE038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5</w:t>
            </w:r>
          </w:p>
        </w:tc>
        <w:tc>
          <w:tcPr>
            <w:tcW w:w="3729" w:type="dxa"/>
            <w:tcBorders>
              <w:top w:val="single" w:color="000000" w:sz="4" w:space="0"/>
              <w:left w:val="single" w:color="000000" w:sz="4" w:space="0"/>
              <w:bottom w:val="single" w:color="000000" w:sz="4" w:space="0"/>
              <w:right w:val="single" w:color="000000" w:sz="4" w:space="0"/>
            </w:tcBorders>
            <w:noWrap/>
            <w:vAlign w:val="center"/>
          </w:tcPr>
          <w:p w14:paraId="6098ACC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部门严控“三公”经费、会议、培训、差旅、办节办展、办公设备购置、信息网络及软件购置更新、课题经费等8项一般性支出情况</w:t>
            </w:r>
          </w:p>
        </w:tc>
        <w:tc>
          <w:tcPr>
            <w:tcW w:w="595" w:type="dxa"/>
            <w:tcBorders>
              <w:top w:val="single" w:color="000000" w:sz="4" w:space="0"/>
              <w:left w:val="single" w:color="000000" w:sz="4" w:space="0"/>
              <w:bottom w:val="single" w:color="000000" w:sz="4" w:space="0"/>
              <w:right w:val="single" w:color="000000" w:sz="4" w:space="0"/>
            </w:tcBorders>
            <w:noWrap/>
            <w:vAlign w:val="center"/>
          </w:tcPr>
          <w:p w14:paraId="633523A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5</w:t>
            </w:r>
          </w:p>
        </w:tc>
        <w:tc>
          <w:tcPr>
            <w:tcW w:w="377" w:type="dxa"/>
            <w:tcBorders>
              <w:top w:val="single" w:color="000000" w:sz="4" w:space="0"/>
              <w:left w:val="single" w:color="000000" w:sz="4" w:space="0"/>
              <w:bottom w:val="single" w:color="000000" w:sz="4" w:space="0"/>
              <w:right w:val="single" w:color="000000" w:sz="4" w:space="0"/>
            </w:tcBorders>
            <w:noWrap/>
            <w:vAlign w:val="center"/>
          </w:tcPr>
          <w:p w14:paraId="5C19C21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0A7B9C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vMerge w:val="continue"/>
            <w:tcBorders>
              <w:top w:val="single" w:color="000000" w:sz="4" w:space="0"/>
              <w:left w:val="single" w:color="000000" w:sz="4" w:space="0"/>
              <w:bottom w:val="single" w:color="000000" w:sz="4" w:space="0"/>
              <w:right w:val="single" w:color="000000" w:sz="4" w:space="0"/>
            </w:tcBorders>
            <w:noWrap/>
            <w:vAlign w:val="center"/>
          </w:tcPr>
          <w:p w14:paraId="33DC3DC7"/>
        </w:tc>
        <w:tc>
          <w:tcPr>
            <w:tcW w:w="1151" w:type="dxa"/>
            <w:vMerge w:val="restart"/>
            <w:tcBorders>
              <w:top w:val="single" w:color="000000" w:sz="4" w:space="0"/>
              <w:left w:val="single" w:color="000000" w:sz="4" w:space="0"/>
              <w:bottom w:val="single" w:color="000000" w:sz="4" w:space="0"/>
              <w:right w:val="single" w:color="000000" w:sz="4" w:space="0"/>
            </w:tcBorders>
            <w:noWrap/>
            <w:vAlign w:val="center"/>
          </w:tcPr>
          <w:p w14:paraId="22921FD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b/>
                <w:i w:val="0"/>
                <w:color w:val="000000"/>
                <w:sz w:val="24"/>
                <w:szCs w:val="24"/>
                <w:u w:val="none"/>
              </w:rPr>
            </w:pPr>
            <w:r>
              <w:rPr>
                <w:rFonts w:hint="eastAsia" w:ascii="宋体" w:eastAsia="宋体" w:cs="宋体"/>
                <w:b/>
                <w:i w:val="0"/>
                <w:color w:val="000000"/>
                <w:kern w:val="0"/>
                <w:sz w:val="24"/>
                <w:szCs w:val="24"/>
                <w:u w:val="none"/>
                <w:lang w:val="en-US" w:eastAsia="zh-CN"/>
              </w:rPr>
              <w:t>财务管理</w:t>
            </w:r>
            <w:r>
              <w:rPr>
                <w:rFonts w:hint="eastAsia" w:ascii="宋体" w:eastAsia="宋体" w:cs="宋体"/>
                <w:b/>
                <w:i w:val="0"/>
                <w:color w:val="000000"/>
                <w:kern w:val="0"/>
                <w:sz w:val="24"/>
                <w:szCs w:val="24"/>
                <w:u w:val="none"/>
                <w:lang w:val="en-US" w:eastAsia="zh-CN"/>
              </w:rPr>
              <w:br w:type="textWrapping"/>
            </w:r>
            <w:r>
              <w:rPr>
                <w:rFonts w:hint="eastAsia" w:ascii="宋体" w:eastAsia="宋体" w:cs="宋体"/>
                <w:b/>
                <w:i w:val="0"/>
                <w:color w:val="000000"/>
                <w:kern w:val="0"/>
                <w:sz w:val="24"/>
                <w:szCs w:val="24"/>
                <w:u w:val="none"/>
                <w:lang w:val="en-US" w:eastAsia="zh-CN"/>
              </w:rPr>
              <w:t>（10分）</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5121808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财务管理制度</w:t>
            </w:r>
          </w:p>
        </w:tc>
        <w:tc>
          <w:tcPr>
            <w:tcW w:w="567" w:type="dxa"/>
            <w:tcBorders>
              <w:top w:val="single" w:color="000000" w:sz="4" w:space="0"/>
              <w:left w:val="single" w:color="000000" w:sz="4" w:space="0"/>
              <w:bottom w:val="single" w:color="000000" w:sz="4" w:space="0"/>
              <w:right w:val="single" w:color="000000" w:sz="4" w:space="0"/>
            </w:tcBorders>
            <w:noWrap/>
            <w:vAlign w:val="center"/>
          </w:tcPr>
          <w:p w14:paraId="4CD477C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4</w:t>
            </w:r>
          </w:p>
        </w:tc>
        <w:tc>
          <w:tcPr>
            <w:tcW w:w="3729" w:type="dxa"/>
            <w:tcBorders>
              <w:top w:val="single" w:color="000000" w:sz="4" w:space="0"/>
              <w:left w:val="single" w:color="000000" w:sz="4" w:space="0"/>
              <w:bottom w:val="single" w:color="000000" w:sz="4" w:space="0"/>
              <w:right w:val="single" w:color="000000" w:sz="4" w:space="0"/>
            </w:tcBorders>
            <w:noWrap/>
            <w:vAlign w:val="center"/>
          </w:tcPr>
          <w:p w14:paraId="52153C9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部门财务管理制度建立情况</w:t>
            </w:r>
          </w:p>
        </w:tc>
        <w:tc>
          <w:tcPr>
            <w:tcW w:w="595" w:type="dxa"/>
            <w:tcBorders>
              <w:top w:val="single" w:color="000000" w:sz="4" w:space="0"/>
              <w:left w:val="single" w:color="000000" w:sz="4" w:space="0"/>
              <w:bottom w:val="single" w:color="000000" w:sz="4" w:space="0"/>
              <w:right w:val="single" w:color="000000" w:sz="4" w:space="0"/>
            </w:tcBorders>
            <w:noWrap/>
            <w:vAlign w:val="center"/>
          </w:tcPr>
          <w:p w14:paraId="00C9CE0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4</w:t>
            </w:r>
          </w:p>
        </w:tc>
        <w:tc>
          <w:tcPr>
            <w:tcW w:w="377" w:type="dxa"/>
            <w:tcBorders>
              <w:top w:val="single" w:color="000000" w:sz="4" w:space="0"/>
              <w:left w:val="single" w:color="000000" w:sz="4" w:space="0"/>
              <w:bottom w:val="single" w:color="000000" w:sz="4" w:space="0"/>
              <w:right w:val="single" w:color="000000" w:sz="4" w:space="0"/>
            </w:tcBorders>
            <w:noWrap/>
            <w:vAlign w:val="center"/>
          </w:tcPr>
          <w:p w14:paraId="44D990D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19DE53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vMerge w:val="continue"/>
            <w:tcBorders>
              <w:top w:val="single" w:color="000000" w:sz="4" w:space="0"/>
              <w:left w:val="single" w:color="000000" w:sz="4" w:space="0"/>
              <w:bottom w:val="single" w:color="000000" w:sz="4" w:space="0"/>
              <w:right w:val="single" w:color="000000" w:sz="4" w:space="0"/>
            </w:tcBorders>
            <w:noWrap/>
            <w:vAlign w:val="center"/>
          </w:tcPr>
          <w:p w14:paraId="364EFC5A"/>
        </w:tc>
        <w:tc>
          <w:tcPr>
            <w:tcW w:w="1151" w:type="dxa"/>
            <w:vMerge w:val="continue"/>
            <w:tcBorders>
              <w:top w:val="single" w:color="000000" w:sz="4" w:space="0"/>
              <w:left w:val="single" w:color="000000" w:sz="4" w:space="0"/>
              <w:bottom w:val="single" w:color="000000" w:sz="4" w:space="0"/>
              <w:right w:val="single" w:color="000000" w:sz="4" w:space="0"/>
            </w:tcBorders>
            <w:noWrap/>
            <w:vAlign w:val="center"/>
          </w:tcPr>
          <w:p w14:paraId="68619C8E"/>
        </w:tc>
        <w:tc>
          <w:tcPr>
            <w:tcW w:w="1312" w:type="dxa"/>
            <w:tcBorders>
              <w:top w:val="single" w:color="000000" w:sz="4" w:space="0"/>
              <w:left w:val="single" w:color="000000" w:sz="4" w:space="0"/>
              <w:bottom w:val="single" w:color="000000" w:sz="4" w:space="0"/>
              <w:right w:val="single" w:color="000000" w:sz="4" w:space="0"/>
            </w:tcBorders>
            <w:noWrap/>
            <w:vAlign w:val="center"/>
          </w:tcPr>
          <w:p w14:paraId="3A7502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财务岗位设置</w:t>
            </w:r>
          </w:p>
        </w:tc>
        <w:tc>
          <w:tcPr>
            <w:tcW w:w="567" w:type="dxa"/>
            <w:tcBorders>
              <w:top w:val="single" w:color="000000" w:sz="4" w:space="0"/>
              <w:left w:val="single" w:color="000000" w:sz="4" w:space="0"/>
              <w:bottom w:val="single" w:color="000000" w:sz="4" w:space="0"/>
              <w:right w:val="single" w:color="000000" w:sz="4" w:space="0"/>
            </w:tcBorders>
            <w:noWrap/>
            <w:vAlign w:val="center"/>
          </w:tcPr>
          <w:p w14:paraId="7B0D737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2</w:t>
            </w:r>
          </w:p>
        </w:tc>
        <w:tc>
          <w:tcPr>
            <w:tcW w:w="3729" w:type="dxa"/>
            <w:tcBorders>
              <w:top w:val="single" w:color="000000" w:sz="4" w:space="0"/>
              <w:left w:val="single" w:color="000000" w:sz="4" w:space="0"/>
              <w:bottom w:val="single" w:color="000000" w:sz="4" w:space="0"/>
              <w:right w:val="single" w:color="000000" w:sz="4" w:space="0"/>
            </w:tcBorders>
            <w:noWrap/>
            <w:vAlign w:val="center"/>
          </w:tcPr>
          <w:p w14:paraId="74E2D0E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部门财务岗位设置是否符合相关财务管理制度要求</w:t>
            </w:r>
          </w:p>
        </w:tc>
        <w:tc>
          <w:tcPr>
            <w:tcW w:w="595" w:type="dxa"/>
            <w:tcBorders>
              <w:top w:val="single" w:color="000000" w:sz="4" w:space="0"/>
              <w:left w:val="single" w:color="000000" w:sz="4" w:space="0"/>
              <w:bottom w:val="single" w:color="000000" w:sz="4" w:space="0"/>
              <w:right w:val="single" w:color="000000" w:sz="4" w:space="0"/>
            </w:tcBorders>
            <w:noWrap/>
            <w:vAlign w:val="center"/>
          </w:tcPr>
          <w:p w14:paraId="2B56952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2</w:t>
            </w:r>
          </w:p>
        </w:tc>
        <w:tc>
          <w:tcPr>
            <w:tcW w:w="377" w:type="dxa"/>
            <w:tcBorders>
              <w:top w:val="single" w:color="000000" w:sz="4" w:space="0"/>
              <w:left w:val="single" w:color="000000" w:sz="4" w:space="0"/>
              <w:bottom w:val="single" w:color="000000" w:sz="4" w:space="0"/>
              <w:right w:val="single" w:color="000000" w:sz="4" w:space="0"/>
            </w:tcBorders>
            <w:noWrap/>
            <w:vAlign w:val="center"/>
          </w:tcPr>
          <w:p w14:paraId="3A82B9A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05E0E2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vMerge w:val="continue"/>
            <w:tcBorders>
              <w:top w:val="single" w:color="000000" w:sz="4" w:space="0"/>
              <w:left w:val="single" w:color="000000" w:sz="4" w:space="0"/>
              <w:bottom w:val="single" w:color="000000" w:sz="4" w:space="0"/>
              <w:right w:val="single" w:color="000000" w:sz="4" w:space="0"/>
            </w:tcBorders>
            <w:noWrap/>
            <w:vAlign w:val="center"/>
          </w:tcPr>
          <w:p w14:paraId="2DDA86D6"/>
        </w:tc>
        <w:tc>
          <w:tcPr>
            <w:tcW w:w="1151" w:type="dxa"/>
            <w:vMerge w:val="continue"/>
            <w:tcBorders>
              <w:top w:val="single" w:color="000000" w:sz="4" w:space="0"/>
              <w:left w:val="single" w:color="000000" w:sz="4" w:space="0"/>
              <w:bottom w:val="single" w:color="000000" w:sz="4" w:space="0"/>
              <w:right w:val="single" w:color="000000" w:sz="4" w:space="0"/>
            </w:tcBorders>
            <w:noWrap/>
            <w:vAlign w:val="center"/>
          </w:tcPr>
          <w:p w14:paraId="4E1BD34D"/>
        </w:tc>
        <w:tc>
          <w:tcPr>
            <w:tcW w:w="1312" w:type="dxa"/>
            <w:tcBorders>
              <w:top w:val="single" w:color="000000" w:sz="4" w:space="0"/>
              <w:left w:val="single" w:color="000000" w:sz="4" w:space="0"/>
              <w:bottom w:val="single" w:color="000000" w:sz="4" w:space="0"/>
              <w:right w:val="single" w:color="000000" w:sz="4" w:space="0"/>
            </w:tcBorders>
            <w:noWrap/>
            <w:vAlign w:val="center"/>
          </w:tcPr>
          <w:p w14:paraId="421D7AD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资金使用规范</w:t>
            </w:r>
          </w:p>
        </w:tc>
        <w:tc>
          <w:tcPr>
            <w:tcW w:w="567" w:type="dxa"/>
            <w:tcBorders>
              <w:top w:val="single" w:color="000000" w:sz="4" w:space="0"/>
              <w:left w:val="single" w:color="000000" w:sz="4" w:space="0"/>
              <w:bottom w:val="single" w:color="000000" w:sz="4" w:space="0"/>
              <w:right w:val="single" w:color="000000" w:sz="4" w:space="0"/>
            </w:tcBorders>
            <w:noWrap/>
            <w:vAlign w:val="center"/>
          </w:tcPr>
          <w:p w14:paraId="42A7C83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4</w:t>
            </w:r>
          </w:p>
        </w:tc>
        <w:tc>
          <w:tcPr>
            <w:tcW w:w="3729" w:type="dxa"/>
            <w:tcBorders>
              <w:top w:val="single" w:color="000000" w:sz="4" w:space="0"/>
              <w:left w:val="single" w:color="000000" w:sz="4" w:space="0"/>
              <w:bottom w:val="single" w:color="000000" w:sz="4" w:space="0"/>
              <w:right w:val="single" w:color="000000" w:sz="4" w:space="0"/>
            </w:tcBorders>
            <w:noWrap/>
            <w:vAlign w:val="center"/>
          </w:tcPr>
          <w:p w14:paraId="0543A0D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部门资金使用是否符合相关财务管理制度规定</w:t>
            </w:r>
          </w:p>
        </w:tc>
        <w:tc>
          <w:tcPr>
            <w:tcW w:w="595" w:type="dxa"/>
            <w:tcBorders>
              <w:top w:val="single" w:color="000000" w:sz="4" w:space="0"/>
              <w:left w:val="single" w:color="000000" w:sz="4" w:space="0"/>
              <w:bottom w:val="single" w:color="000000" w:sz="4" w:space="0"/>
              <w:right w:val="single" w:color="000000" w:sz="4" w:space="0"/>
            </w:tcBorders>
            <w:noWrap/>
            <w:vAlign w:val="center"/>
          </w:tcPr>
          <w:p w14:paraId="3B4E406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4</w:t>
            </w:r>
          </w:p>
        </w:tc>
        <w:tc>
          <w:tcPr>
            <w:tcW w:w="377" w:type="dxa"/>
            <w:tcBorders>
              <w:top w:val="single" w:color="000000" w:sz="4" w:space="0"/>
              <w:left w:val="single" w:color="000000" w:sz="4" w:space="0"/>
              <w:bottom w:val="single" w:color="000000" w:sz="4" w:space="0"/>
              <w:right w:val="single" w:color="000000" w:sz="4" w:space="0"/>
            </w:tcBorders>
            <w:noWrap/>
            <w:vAlign w:val="center"/>
          </w:tcPr>
          <w:p w14:paraId="6670943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780AE2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vMerge w:val="continue"/>
            <w:tcBorders>
              <w:top w:val="single" w:color="000000" w:sz="4" w:space="0"/>
              <w:left w:val="single" w:color="000000" w:sz="4" w:space="0"/>
              <w:bottom w:val="single" w:color="000000" w:sz="4" w:space="0"/>
              <w:right w:val="single" w:color="000000" w:sz="4" w:space="0"/>
            </w:tcBorders>
            <w:noWrap/>
            <w:vAlign w:val="center"/>
          </w:tcPr>
          <w:p w14:paraId="0373DF35"/>
        </w:tc>
        <w:tc>
          <w:tcPr>
            <w:tcW w:w="1151" w:type="dxa"/>
            <w:vMerge w:val="restart"/>
            <w:tcBorders>
              <w:top w:val="single" w:color="000000" w:sz="4" w:space="0"/>
              <w:left w:val="single" w:color="000000" w:sz="4" w:space="0"/>
              <w:bottom w:val="single" w:color="000000" w:sz="4" w:space="0"/>
              <w:right w:val="single" w:color="000000" w:sz="4" w:space="0"/>
            </w:tcBorders>
            <w:noWrap/>
            <w:vAlign w:val="center"/>
          </w:tcPr>
          <w:p w14:paraId="292B0C7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b/>
                <w:i w:val="0"/>
                <w:color w:val="000000"/>
                <w:sz w:val="24"/>
                <w:szCs w:val="24"/>
                <w:u w:val="none"/>
              </w:rPr>
            </w:pPr>
            <w:r>
              <w:rPr>
                <w:rFonts w:hint="eastAsia" w:ascii="宋体" w:eastAsia="宋体" w:cs="宋体"/>
                <w:b/>
                <w:i w:val="0"/>
                <w:color w:val="000000"/>
                <w:kern w:val="0"/>
                <w:sz w:val="24"/>
                <w:szCs w:val="24"/>
                <w:u w:val="none"/>
                <w:lang w:val="en-US" w:eastAsia="zh-CN"/>
              </w:rPr>
              <w:t>资产管理</w:t>
            </w:r>
            <w:r>
              <w:rPr>
                <w:rFonts w:hint="eastAsia" w:ascii="宋体" w:eastAsia="宋体" w:cs="宋体"/>
                <w:b/>
                <w:i w:val="0"/>
                <w:color w:val="000000"/>
                <w:kern w:val="0"/>
                <w:sz w:val="24"/>
                <w:szCs w:val="24"/>
                <w:u w:val="none"/>
                <w:lang w:val="en-US" w:eastAsia="zh-CN"/>
              </w:rPr>
              <w:br w:type="textWrapping"/>
            </w:r>
            <w:r>
              <w:rPr>
                <w:rFonts w:hint="eastAsia" w:ascii="宋体" w:eastAsia="宋体" w:cs="宋体"/>
                <w:b/>
                <w:i w:val="0"/>
                <w:color w:val="000000"/>
                <w:kern w:val="0"/>
                <w:sz w:val="24"/>
                <w:szCs w:val="24"/>
                <w:u w:val="none"/>
                <w:lang w:val="en-US" w:eastAsia="zh-CN"/>
              </w:rPr>
              <w:t>（9分）</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542A84B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人均资产变化率</w:t>
            </w:r>
          </w:p>
        </w:tc>
        <w:tc>
          <w:tcPr>
            <w:tcW w:w="567" w:type="dxa"/>
            <w:tcBorders>
              <w:top w:val="single" w:color="000000" w:sz="4" w:space="0"/>
              <w:left w:val="single" w:color="000000" w:sz="4" w:space="0"/>
              <w:bottom w:val="single" w:color="000000" w:sz="4" w:space="0"/>
              <w:right w:val="single" w:color="000000" w:sz="4" w:space="0"/>
            </w:tcBorders>
            <w:noWrap/>
            <w:vAlign w:val="center"/>
          </w:tcPr>
          <w:p w14:paraId="2AAB772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3</w:t>
            </w:r>
          </w:p>
        </w:tc>
        <w:tc>
          <w:tcPr>
            <w:tcW w:w="3729" w:type="dxa"/>
            <w:tcBorders>
              <w:top w:val="single" w:color="000000" w:sz="4" w:space="0"/>
              <w:left w:val="single" w:color="000000" w:sz="4" w:space="0"/>
              <w:bottom w:val="single" w:color="000000" w:sz="4" w:space="0"/>
              <w:right w:val="single" w:color="000000" w:sz="4" w:space="0"/>
            </w:tcBorders>
            <w:noWrap/>
            <w:vAlign w:val="center"/>
          </w:tcPr>
          <w:p w14:paraId="04BD8AF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部门人均资产变化情况</w:t>
            </w:r>
          </w:p>
        </w:tc>
        <w:tc>
          <w:tcPr>
            <w:tcW w:w="595" w:type="dxa"/>
            <w:tcBorders>
              <w:top w:val="single" w:color="000000" w:sz="4" w:space="0"/>
              <w:left w:val="single" w:color="000000" w:sz="4" w:space="0"/>
              <w:bottom w:val="single" w:color="000000" w:sz="4" w:space="0"/>
              <w:right w:val="single" w:color="000000" w:sz="4" w:space="0"/>
            </w:tcBorders>
            <w:noWrap/>
            <w:vAlign w:val="center"/>
          </w:tcPr>
          <w:p w14:paraId="765EA15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3</w:t>
            </w:r>
          </w:p>
        </w:tc>
        <w:tc>
          <w:tcPr>
            <w:tcW w:w="377" w:type="dxa"/>
            <w:tcBorders>
              <w:top w:val="single" w:color="000000" w:sz="4" w:space="0"/>
              <w:left w:val="single" w:color="000000" w:sz="4" w:space="0"/>
              <w:bottom w:val="single" w:color="000000" w:sz="4" w:space="0"/>
              <w:right w:val="single" w:color="000000" w:sz="4" w:space="0"/>
            </w:tcBorders>
            <w:noWrap/>
            <w:vAlign w:val="center"/>
          </w:tcPr>
          <w:p w14:paraId="761C12F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161485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vMerge w:val="continue"/>
            <w:tcBorders>
              <w:top w:val="single" w:color="000000" w:sz="4" w:space="0"/>
              <w:left w:val="single" w:color="000000" w:sz="4" w:space="0"/>
              <w:bottom w:val="single" w:color="000000" w:sz="4" w:space="0"/>
              <w:right w:val="single" w:color="000000" w:sz="4" w:space="0"/>
            </w:tcBorders>
            <w:noWrap/>
            <w:vAlign w:val="center"/>
          </w:tcPr>
          <w:p w14:paraId="30ABF484"/>
        </w:tc>
        <w:tc>
          <w:tcPr>
            <w:tcW w:w="1151" w:type="dxa"/>
            <w:vMerge w:val="continue"/>
            <w:tcBorders>
              <w:top w:val="single" w:color="000000" w:sz="4" w:space="0"/>
              <w:left w:val="single" w:color="000000" w:sz="4" w:space="0"/>
              <w:bottom w:val="single" w:color="000000" w:sz="4" w:space="0"/>
              <w:right w:val="single" w:color="000000" w:sz="4" w:space="0"/>
            </w:tcBorders>
            <w:noWrap/>
            <w:vAlign w:val="center"/>
          </w:tcPr>
          <w:p w14:paraId="39CB97C6"/>
        </w:tc>
        <w:tc>
          <w:tcPr>
            <w:tcW w:w="1312" w:type="dxa"/>
            <w:tcBorders>
              <w:top w:val="single" w:color="000000" w:sz="4" w:space="0"/>
              <w:left w:val="single" w:color="000000" w:sz="4" w:space="0"/>
              <w:bottom w:val="single" w:color="000000" w:sz="4" w:space="0"/>
              <w:right w:val="single" w:color="000000" w:sz="4" w:space="0"/>
            </w:tcBorders>
            <w:noWrap/>
            <w:vAlign w:val="center"/>
          </w:tcPr>
          <w:p w14:paraId="1C12FC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资产利用率</w:t>
            </w:r>
          </w:p>
        </w:tc>
        <w:tc>
          <w:tcPr>
            <w:tcW w:w="567" w:type="dxa"/>
            <w:tcBorders>
              <w:top w:val="single" w:color="000000" w:sz="4" w:space="0"/>
              <w:left w:val="single" w:color="000000" w:sz="4" w:space="0"/>
              <w:bottom w:val="single" w:color="000000" w:sz="4" w:space="0"/>
              <w:right w:val="single" w:color="000000" w:sz="4" w:space="0"/>
            </w:tcBorders>
            <w:noWrap/>
            <w:vAlign w:val="center"/>
          </w:tcPr>
          <w:p w14:paraId="5921A68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3</w:t>
            </w:r>
          </w:p>
        </w:tc>
        <w:tc>
          <w:tcPr>
            <w:tcW w:w="3729" w:type="dxa"/>
            <w:tcBorders>
              <w:top w:val="single" w:color="000000" w:sz="4" w:space="0"/>
              <w:left w:val="single" w:color="000000" w:sz="4" w:space="0"/>
              <w:bottom w:val="single" w:color="000000" w:sz="4" w:space="0"/>
              <w:right w:val="single" w:color="000000" w:sz="4" w:space="0"/>
            </w:tcBorders>
            <w:noWrap/>
            <w:vAlign w:val="center"/>
          </w:tcPr>
          <w:p w14:paraId="2A21592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部门资产超最低使用年限情况</w:t>
            </w:r>
          </w:p>
        </w:tc>
        <w:tc>
          <w:tcPr>
            <w:tcW w:w="595" w:type="dxa"/>
            <w:tcBorders>
              <w:top w:val="single" w:color="000000" w:sz="4" w:space="0"/>
              <w:left w:val="single" w:color="000000" w:sz="4" w:space="0"/>
              <w:bottom w:val="single" w:color="000000" w:sz="4" w:space="0"/>
              <w:right w:val="single" w:color="000000" w:sz="4" w:space="0"/>
            </w:tcBorders>
            <w:noWrap/>
            <w:vAlign w:val="center"/>
          </w:tcPr>
          <w:p w14:paraId="31EF964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3</w:t>
            </w:r>
          </w:p>
        </w:tc>
        <w:tc>
          <w:tcPr>
            <w:tcW w:w="377" w:type="dxa"/>
            <w:tcBorders>
              <w:top w:val="single" w:color="000000" w:sz="4" w:space="0"/>
              <w:left w:val="single" w:color="000000" w:sz="4" w:space="0"/>
              <w:bottom w:val="single" w:color="000000" w:sz="4" w:space="0"/>
              <w:right w:val="single" w:color="000000" w:sz="4" w:space="0"/>
            </w:tcBorders>
            <w:noWrap/>
            <w:vAlign w:val="center"/>
          </w:tcPr>
          <w:p w14:paraId="6798268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7C0C4E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vMerge w:val="restart"/>
            <w:tcBorders>
              <w:top w:val="single" w:color="000000" w:sz="4" w:space="0"/>
              <w:left w:val="single" w:color="000000" w:sz="4" w:space="0"/>
              <w:bottom w:val="single" w:color="000000" w:sz="4" w:space="0"/>
              <w:right w:val="single" w:color="000000" w:sz="4" w:space="0"/>
            </w:tcBorders>
            <w:noWrap/>
            <w:vAlign w:val="center"/>
          </w:tcPr>
          <w:p w14:paraId="58234E3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b/>
                <w:i w:val="0"/>
                <w:color w:val="000000"/>
                <w:sz w:val="24"/>
                <w:szCs w:val="24"/>
                <w:u w:val="none"/>
              </w:rPr>
            </w:pPr>
            <w:r>
              <w:rPr>
                <w:rFonts w:hint="eastAsia" w:ascii="宋体" w:eastAsia="宋体" w:cs="宋体"/>
                <w:b/>
                <w:i w:val="0"/>
                <w:color w:val="000000"/>
                <w:kern w:val="0"/>
                <w:sz w:val="24"/>
                <w:szCs w:val="24"/>
                <w:u w:val="none"/>
                <w:lang w:val="en-US" w:eastAsia="zh-CN"/>
              </w:rPr>
              <w:t>总体绩效</w:t>
            </w:r>
            <w:r>
              <w:rPr>
                <w:rFonts w:hint="eastAsia" w:ascii="宋体" w:eastAsia="宋体" w:cs="宋体"/>
                <w:b/>
                <w:i w:val="0"/>
                <w:color w:val="000000"/>
                <w:kern w:val="0"/>
                <w:sz w:val="24"/>
                <w:szCs w:val="24"/>
                <w:u w:val="none"/>
                <w:lang w:val="en-US" w:eastAsia="zh-CN"/>
              </w:rPr>
              <w:br w:type="textWrapping"/>
            </w:r>
            <w:r>
              <w:rPr>
                <w:rFonts w:hint="eastAsia" w:ascii="宋体" w:eastAsia="宋体" w:cs="宋体"/>
                <w:b/>
                <w:i w:val="0"/>
                <w:color w:val="000000"/>
                <w:kern w:val="0"/>
                <w:sz w:val="24"/>
                <w:szCs w:val="24"/>
                <w:u w:val="none"/>
                <w:lang w:val="en-US" w:eastAsia="zh-CN"/>
              </w:rPr>
              <w:t>（65分）</w:t>
            </w:r>
          </w:p>
        </w:tc>
        <w:tc>
          <w:tcPr>
            <w:tcW w:w="1151" w:type="dxa"/>
            <w:tcBorders>
              <w:top w:val="single" w:color="000000" w:sz="4" w:space="0"/>
              <w:left w:val="single" w:color="000000" w:sz="4" w:space="0"/>
              <w:bottom w:val="single" w:color="000000" w:sz="4" w:space="0"/>
              <w:right w:val="single" w:color="000000" w:sz="4" w:space="0"/>
            </w:tcBorders>
            <w:noWrap/>
            <w:vAlign w:val="center"/>
          </w:tcPr>
          <w:p w14:paraId="64B68C9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b/>
                <w:i w:val="0"/>
                <w:color w:val="000000"/>
                <w:sz w:val="24"/>
                <w:szCs w:val="24"/>
                <w:u w:val="none"/>
              </w:rPr>
            </w:pPr>
            <w:r>
              <w:rPr>
                <w:rFonts w:hint="eastAsia" w:ascii="宋体" w:eastAsia="宋体" w:cs="宋体"/>
                <w:b/>
                <w:i w:val="0"/>
                <w:color w:val="000000"/>
                <w:kern w:val="0"/>
                <w:sz w:val="24"/>
                <w:szCs w:val="24"/>
                <w:u w:val="none"/>
                <w:lang w:val="en-US" w:eastAsia="zh-CN"/>
              </w:rPr>
              <w:t>资产管理</w:t>
            </w:r>
            <w:r>
              <w:rPr>
                <w:rFonts w:hint="eastAsia" w:ascii="宋体" w:eastAsia="宋体" w:cs="宋体"/>
                <w:b/>
                <w:i w:val="0"/>
                <w:color w:val="000000"/>
                <w:kern w:val="0"/>
                <w:sz w:val="24"/>
                <w:szCs w:val="24"/>
                <w:u w:val="none"/>
                <w:lang w:val="en-US" w:eastAsia="zh-CN"/>
              </w:rPr>
              <w:br w:type="textWrapping"/>
            </w:r>
            <w:r>
              <w:rPr>
                <w:rFonts w:hint="eastAsia" w:ascii="宋体" w:eastAsia="宋体" w:cs="宋体"/>
                <w:b/>
                <w:i w:val="0"/>
                <w:color w:val="000000"/>
                <w:kern w:val="0"/>
                <w:sz w:val="24"/>
                <w:szCs w:val="24"/>
                <w:u w:val="none"/>
                <w:lang w:val="en-US" w:eastAsia="zh-CN"/>
              </w:rPr>
              <w:t>（9分）</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535A98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资产盘活率</w:t>
            </w:r>
          </w:p>
        </w:tc>
        <w:tc>
          <w:tcPr>
            <w:tcW w:w="567" w:type="dxa"/>
            <w:tcBorders>
              <w:top w:val="single" w:color="000000" w:sz="4" w:space="0"/>
              <w:left w:val="single" w:color="000000" w:sz="4" w:space="0"/>
              <w:bottom w:val="single" w:color="000000" w:sz="4" w:space="0"/>
              <w:right w:val="single" w:color="000000" w:sz="4" w:space="0"/>
            </w:tcBorders>
            <w:noWrap/>
            <w:vAlign w:val="center"/>
          </w:tcPr>
          <w:p w14:paraId="5184CD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3</w:t>
            </w:r>
          </w:p>
        </w:tc>
        <w:tc>
          <w:tcPr>
            <w:tcW w:w="3729" w:type="dxa"/>
            <w:tcBorders>
              <w:top w:val="single" w:color="000000" w:sz="4" w:space="0"/>
              <w:left w:val="single" w:color="000000" w:sz="4" w:space="0"/>
              <w:bottom w:val="single" w:color="000000" w:sz="4" w:space="0"/>
              <w:right w:val="single" w:color="000000" w:sz="4" w:space="0"/>
            </w:tcBorders>
            <w:noWrap/>
            <w:vAlign w:val="center"/>
          </w:tcPr>
          <w:p w14:paraId="47FFF57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部门闲置一年以上的资产盘活情况</w:t>
            </w:r>
          </w:p>
        </w:tc>
        <w:tc>
          <w:tcPr>
            <w:tcW w:w="595" w:type="dxa"/>
            <w:tcBorders>
              <w:top w:val="single" w:color="000000" w:sz="4" w:space="0"/>
              <w:left w:val="single" w:color="000000" w:sz="4" w:space="0"/>
              <w:bottom w:val="single" w:color="000000" w:sz="4" w:space="0"/>
              <w:right w:val="single" w:color="000000" w:sz="4" w:space="0"/>
            </w:tcBorders>
            <w:noWrap/>
            <w:vAlign w:val="center"/>
          </w:tcPr>
          <w:p w14:paraId="7AF2C93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3</w:t>
            </w:r>
          </w:p>
        </w:tc>
        <w:tc>
          <w:tcPr>
            <w:tcW w:w="377" w:type="dxa"/>
            <w:tcBorders>
              <w:top w:val="single" w:color="000000" w:sz="4" w:space="0"/>
              <w:left w:val="single" w:color="000000" w:sz="4" w:space="0"/>
              <w:bottom w:val="single" w:color="000000" w:sz="4" w:space="0"/>
              <w:right w:val="single" w:color="000000" w:sz="4" w:space="0"/>
            </w:tcBorders>
            <w:noWrap/>
            <w:vAlign w:val="center"/>
          </w:tcPr>
          <w:p w14:paraId="6E475BB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38D876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vMerge w:val="continue"/>
            <w:tcBorders>
              <w:top w:val="single" w:color="000000" w:sz="4" w:space="0"/>
              <w:left w:val="single" w:color="000000" w:sz="4" w:space="0"/>
              <w:bottom w:val="single" w:color="000000" w:sz="4" w:space="0"/>
              <w:right w:val="single" w:color="000000" w:sz="4" w:space="0"/>
            </w:tcBorders>
            <w:noWrap/>
            <w:vAlign w:val="center"/>
          </w:tcPr>
          <w:p w14:paraId="57FF735F"/>
        </w:tc>
        <w:tc>
          <w:tcPr>
            <w:tcW w:w="1151" w:type="dxa"/>
            <w:vMerge w:val="restart"/>
            <w:tcBorders>
              <w:top w:val="single" w:color="000000" w:sz="4" w:space="0"/>
              <w:left w:val="single" w:color="000000" w:sz="4" w:space="0"/>
              <w:bottom w:val="single" w:color="000000" w:sz="4" w:space="0"/>
              <w:right w:val="single" w:color="000000" w:sz="4" w:space="0"/>
            </w:tcBorders>
            <w:noWrap/>
            <w:vAlign w:val="center"/>
          </w:tcPr>
          <w:p w14:paraId="038F420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b/>
                <w:i w:val="0"/>
                <w:color w:val="000000"/>
                <w:sz w:val="24"/>
                <w:szCs w:val="24"/>
                <w:u w:val="none"/>
              </w:rPr>
            </w:pPr>
            <w:r>
              <w:rPr>
                <w:rFonts w:hint="eastAsia" w:ascii="宋体" w:eastAsia="宋体" w:cs="宋体"/>
                <w:b/>
                <w:i w:val="0"/>
                <w:color w:val="000000"/>
                <w:kern w:val="0"/>
                <w:sz w:val="24"/>
                <w:szCs w:val="24"/>
                <w:u w:val="none"/>
                <w:lang w:val="en-US" w:eastAsia="zh-CN"/>
              </w:rPr>
              <w:t>采购管理</w:t>
            </w:r>
            <w:r>
              <w:rPr>
                <w:rFonts w:hint="eastAsia" w:ascii="宋体" w:eastAsia="宋体" w:cs="宋体"/>
                <w:b/>
                <w:i w:val="0"/>
                <w:color w:val="000000"/>
                <w:kern w:val="0"/>
                <w:sz w:val="24"/>
                <w:szCs w:val="24"/>
                <w:u w:val="none"/>
                <w:lang w:val="en-US" w:eastAsia="zh-CN"/>
              </w:rPr>
              <w:br w:type="textWrapping"/>
            </w:r>
            <w:r>
              <w:rPr>
                <w:rFonts w:hint="eastAsia" w:ascii="宋体" w:eastAsia="宋体" w:cs="宋体"/>
                <w:b/>
                <w:i w:val="0"/>
                <w:color w:val="000000"/>
                <w:kern w:val="0"/>
                <w:sz w:val="24"/>
                <w:szCs w:val="24"/>
                <w:u w:val="none"/>
                <w:lang w:val="en-US" w:eastAsia="zh-CN"/>
              </w:rPr>
              <w:t>（6分）</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0220E30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支持中小企业发展</w:t>
            </w:r>
          </w:p>
        </w:tc>
        <w:tc>
          <w:tcPr>
            <w:tcW w:w="567" w:type="dxa"/>
            <w:tcBorders>
              <w:top w:val="single" w:color="000000" w:sz="4" w:space="0"/>
              <w:left w:val="single" w:color="000000" w:sz="4" w:space="0"/>
              <w:bottom w:val="single" w:color="000000" w:sz="4" w:space="0"/>
              <w:right w:val="single" w:color="000000" w:sz="4" w:space="0"/>
            </w:tcBorders>
            <w:noWrap/>
            <w:vAlign w:val="center"/>
          </w:tcPr>
          <w:p w14:paraId="165F334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3</w:t>
            </w:r>
          </w:p>
        </w:tc>
        <w:tc>
          <w:tcPr>
            <w:tcW w:w="3729" w:type="dxa"/>
            <w:tcBorders>
              <w:top w:val="single" w:color="000000" w:sz="4" w:space="0"/>
              <w:left w:val="single" w:color="000000" w:sz="4" w:space="0"/>
              <w:bottom w:val="single" w:color="000000" w:sz="4" w:space="0"/>
              <w:right w:val="single" w:color="000000" w:sz="4" w:space="0"/>
            </w:tcBorders>
            <w:noWrap/>
            <w:vAlign w:val="center"/>
          </w:tcPr>
          <w:p w14:paraId="7492503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部门是否严格执行政府采购促进中小企业发展相关管理办法</w:t>
            </w:r>
          </w:p>
        </w:tc>
        <w:tc>
          <w:tcPr>
            <w:tcW w:w="595" w:type="dxa"/>
            <w:tcBorders>
              <w:top w:val="single" w:color="000000" w:sz="4" w:space="0"/>
              <w:left w:val="single" w:color="000000" w:sz="4" w:space="0"/>
              <w:bottom w:val="single" w:color="000000" w:sz="4" w:space="0"/>
              <w:right w:val="single" w:color="000000" w:sz="4" w:space="0"/>
            </w:tcBorders>
            <w:noWrap/>
            <w:vAlign w:val="center"/>
          </w:tcPr>
          <w:p w14:paraId="6D628B1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3</w:t>
            </w:r>
          </w:p>
        </w:tc>
        <w:tc>
          <w:tcPr>
            <w:tcW w:w="377" w:type="dxa"/>
            <w:tcBorders>
              <w:top w:val="single" w:color="000000" w:sz="4" w:space="0"/>
              <w:left w:val="single" w:color="000000" w:sz="4" w:space="0"/>
              <w:bottom w:val="single" w:color="000000" w:sz="4" w:space="0"/>
              <w:right w:val="single" w:color="000000" w:sz="4" w:space="0"/>
            </w:tcBorders>
            <w:noWrap/>
            <w:vAlign w:val="center"/>
          </w:tcPr>
          <w:p w14:paraId="7841790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4346A1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vMerge w:val="continue"/>
            <w:tcBorders>
              <w:top w:val="single" w:color="000000" w:sz="4" w:space="0"/>
              <w:left w:val="single" w:color="000000" w:sz="4" w:space="0"/>
              <w:bottom w:val="single" w:color="000000" w:sz="4" w:space="0"/>
              <w:right w:val="single" w:color="000000" w:sz="4" w:space="0"/>
            </w:tcBorders>
            <w:noWrap/>
            <w:vAlign w:val="center"/>
          </w:tcPr>
          <w:p w14:paraId="3157603A"/>
        </w:tc>
        <w:tc>
          <w:tcPr>
            <w:tcW w:w="1151" w:type="dxa"/>
            <w:vMerge w:val="continue"/>
            <w:tcBorders>
              <w:top w:val="single" w:color="000000" w:sz="4" w:space="0"/>
              <w:left w:val="single" w:color="000000" w:sz="4" w:space="0"/>
              <w:bottom w:val="single" w:color="000000" w:sz="4" w:space="0"/>
              <w:right w:val="single" w:color="000000" w:sz="4" w:space="0"/>
            </w:tcBorders>
            <w:noWrap/>
            <w:vAlign w:val="center"/>
          </w:tcPr>
          <w:p w14:paraId="4FD438EA"/>
        </w:tc>
        <w:tc>
          <w:tcPr>
            <w:tcW w:w="1312" w:type="dxa"/>
            <w:tcBorders>
              <w:top w:val="single" w:color="000000" w:sz="4" w:space="0"/>
              <w:left w:val="single" w:color="000000" w:sz="4" w:space="0"/>
              <w:bottom w:val="single" w:color="000000" w:sz="4" w:space="0"/>
              <w:right w:val="single" w:color="000000" w:sz="4" w:space="0"/>
            </w:tcBorders>
            <w:noWrap/>
            <w:vAlign w:val="center"/>
          </w:tcPr>
          <w:p w14:paraId="2AEC00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采购执行率</w:t>
            </w:r>
          </w:p>
        </w:tc>
        <w:tc>
          <w:tcPr>
            <w:tcW w:w="567" w:type="dxa"/>
            <w:tcBorders>
              <w:top w:val="single" w:color="000000" w:sz="4" w:space="0"/>
              <w:left w:val="single" w:color="000000" w:sz="4" w:space="0"/>
              <w:bottom w:val="single" w:color="000000" w:sz="4" w:space="0"/>
              <w:right w:val="single" w:color="000000" w:sz="4" w:space="0"/>
            </w:tcBorders>
            <w:noWrap/>
            <w:vAlign w:val="center"/>
          </w:tcPr>
          <w:p w14:paraId="6AC07A3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3</w:t>
            </w:r>
          </w:p>
        </w:tc>
        <w:tc>
          <w:tcPr>
            <w:tcW w:w="3729" w:type="dxa"/>
            <w:tcBorders>
              <w:top w:val="single" w:color="000000" w:sz="4" w:space="0"/>
              <w:left w:val="single" w:color="000000" w:sz="4" w:space="0"/>
              <w:bottom w:val="single" w:color="000000" w:sz="4" w:space="0"/>
              <w:right w:val="single" w:color="000000" w:sz="4" w:space="0"/>
            </w:tcBorders>
            <w:noWrap/>
            <w:vAlign w:val="center"/>
          </w:tcPr>
          <w:p w14:paraId="3BE34C1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部门政府采购项目资金支付比例情况</w:t>
            </w:r>
          </w:p>
        </w:tc>
        <w:tc>
          <w:tcPr>
            <w:tcW w:w="595" w:type="dxa"/>
            <w:tcBorders>
              <w:top w:val="single" w:color="000000" w:sz="4" w:space="0"/>
              <w:left w:val="single" w:color="000000" w:sz="4" w:space="0"/>
              <w:bottom w:val="single" w:color="000000" w:sz="4" w:space="0"/>
              <w:right w:val="single" w:color="000000" w:sz="4" w:space="0"/>
            </w:tcBorders>
            <w:noWrap/>
            <w:vAlign w:val="center"/>
          </w:tcPr>
          <w:p w14:paraId="635B2B8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3</w:t>
            </w:r>
          </w:p>
        </w:tc>
        <w:tc>
          <w:tcPr>
            <w:tcW w:w="377" w:type="dxa"/>
            <w:tcBorders>
              <w:top w:val="single" w:color="000000" w:sz="4" w:space="0"/>
              <w:left w:val="single" w:color="000000" w:sz="4" w:space="0"/>
              <w:bottom w:val="single" w:color="000000" w:sz="4" w:space="0"/>
              <w:right w:val="single" w:color="000000" w:sz="4" w:space="0"/>
            </w:tcBorders>
            <w:noWrap/>
            <w:vAlign w:val="center"/>
          </w:tcPr>
          <w:p w14:paraId="50D451F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058095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vMerge w:val="restart"/>
            <w:tcBorders>
              <w:top w:val="single" w:color="000000" w:sz="4" w:space="0"/>
              <w:left w:val="single" w:color="000000" w:sz="4" w:space="0"/>
              <w:bottom w:val="single" w:color="000000" w:sz="4" w:space="0"/>
              <w:right w:val="single" w:color="000000" w:sz="4" w:space="0"/>
            </w:tcBorders>
            <w:noWrap/>
            <w:vAlign w:val="center"/>
          </w:tcPr>
          <w:p w14:paraId="3457E3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b/>
                <w:i w:val="0"/>
                <w:color w:val="000000"/>
                <w:sz w:val="24"/>
                <w:szCs w:val="24"/>
                <w:u w:val="none"/>
              </w:rPr>
            </w:pPr>
            <w:r>
              <w:rPr>
                <w:rFonts w:hint="eastAsia" w:ascii="宋体" w:eastAsia="宋体" w:cs="宋体"/>
                <w:b/>
                <w:i w:val="0"/>
                <w:color w:val="000000"/>
                <w:kern w:val="0"/>
                <w:sz w:val="24"/>
                <w:szCs w:val="24"/>
                <w:u w:val="none"/>
                <w:lang w:val="en-US" w:eastAsia="zh-CN"/>
              </w:rPr>
              <w:t>项目绩效</w:t>
            </w:r>
            <w:r>
              <w:rPr>
                <w:rFonts w:hint="eastAsia" w:ascii="宋体" w:eastAsia="宋体" w:cs="宋体"/>
                <w:b/>
                <w:i w:val="0"/>
                <w:color w:val="000000"/>
                <w:kern w:val="0"/>
                <w:sz w:val="24"/>
                <w:szCs w:val="24"/>
                <w:u w:val="none"/>
                <w:lang w:val="en-US" w:eastAsia="zh-CN"/>
              </w:rPr>
              <w:br w:type="textWrapping"/>
            </w:r>
            <w:r>
              <w:rPr>
                <w:rFonts w:hint="eastAsia" w:ascii="宋体" w:eastAsia="宋体" w:cs="宋体"/>
                <w:b/>
                <w:i w:val="0"/>
                <w:color w:val="000000"/>
                <w:kern w:val="0"/>
                <w:sz w:val="24"/>
                <w:szCs w:val="24"/>
                <w:u w:val="none"/>
                <w:lang w:val="en-US" w:eastAsia="zh-CN"/>
              </w:rPr>
              <w:t>（35分）</w:t>
            </w:r>
          </w:p>
        </w:tc>
        <w:tc>
          <w:tcPr>
            <w:tcW w:w="1151" w:type="dxa"/>
            <w:vMerge w:val="restart"/>
            <w:tcBorders>
              <w:top w:val="single" w:color="000000" w:sz="4" w:space="0"/>
              <w:left w:val="single" w:color="000000" w:sz="4" w:space="0"/>
              <w:bottom w:val="nil"/>
              <w:right w:val="single" w:color="000000" w:sz="4" w:space="0"/>
            </w:tcBorders>
            <w:noWrap/>
            <w:vAlign w:val="center"/>
          </w:tcPr>
          <w:p w14:paraId="40C276C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b/>
                <w:i w:val="0"/>
                <w:color w:val="000000"/>
                <w:sz w:val="24"/>
                <w:szCs w:val="24"/>
                <w:u w:val="none"/>
              </w:rPr>
            </w:pPr>
            <w:r>
              <w:rPr>
                <w:rFonts w:hint="eastAsia" w:ascii="宋体" w:eastAsia="宋体" w:cs="宋体"/>
                <w:b/>
                <w:i w:val="0"/>
                <w:color w:val="000000"/>
                <w:kern w:val="0"/>
                <w:sz w:val="24"/>
                <w:szCs w:val="24"/>
                <w:u w:val="none"/>
                <w:lang w:val="en-US" w:eastAsia="zh-CN"/>
              </w:rPr>
              <w:t>项目决策</w:t>
            </w:r>
            <w:r>
              <w:rPr>
                <w:rFonts w:hint="eastAsia" w:ascii="宋体" w:eastAsia="宋体" w:cs="宋体"/>
                <w:b/>
                <w:i w:val="0"/>
                <w:color w:val="000000"/>
                <w:kern w:val="0"/>
                <w:sz w:val="24"/>
                <w:szCs w:val="24"/>
                <w:u w:val="none"/>
                <w:lang w:val="en-US" w:eastAsia="zh-CN"/>
              </w:rPr>
              <w:br w:type="textWrapping"/>
            </w:r>
            <w:r>
              <w:rPr>
                <w:rFonts w:hint="eastAsia" w:ascii="宋体" w:eastAsia="宋体" w:cs="宋体"/>
                <w:b/>
                <w:i w:val="0"/>
                <w:color w:val="000000"/>
                <w:kern w:val="0"/>
                <w:sz w:val="24"/>
                <w:szCs w:val="24"/>
                <w:u w:val="none"/>
                <w:lang w:val="en-US" w:eastAsia="zh-CN"/>
              </w:rPr>
              <w:t>（12分）</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1D48DB4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决策程序</w:t>
            </w:r>
          </w:p>
        </w:tc>
        <w:tc>
          <w:tcPr>
            <w:tcW w:w="567" w:type="dxa"/>
            <w:tcBorders>
              <w:top w:val="single" w:color="000000" w:sz="4" w:space="0"/>
              <w:left w:val="single" w:color="000000" w:sz="4" w:space="0"/>
              <w:bottom w:val="single" w:color="000000" w:sz="4" w:space="0"/>
              <w:right w:val="single" w:color="000000" w:sz="4" w:space="0"/>
            </w:tcBorders>
            <w:noWrap/>
            <w:vAlign w:val="center"/>
          </w:tcPr>
          <w:p w14:paraId="21B9F96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4</w:t>
            </w:r>
          </w:p>
        </w:tc>
        <w:tc>
          <w:tcPr>
            <w:tcW w:w="3729" w:type="dxa"/>
            <w:tcBorders>
              <w:top w:val="single" w:color="000000" w:sz="4" w:space="0"/>
              <w:left w:val="single" w:color="000000" w:sz="4" w:space="0"/>
              <w:bottom w:val="single" w:color="000000" w:sz="4" w:space="0"/>
              <w:right w:val="single" w:color="000000" w:sz="4" w:space="0"/>
            </w:tcBorders>
            <w:noWrap/>
            <w:vAlign w:val="center"/>
          </w:tcPr>
          <w:p w14:paraId="7BCD9A1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部门预算项目设立是否按规定履行评估论证、申报程序</w:t>
            </w:r>
          </w:p>
        </w:tc>
        <w:tc>
          <w:tcPr>
            <w:tcW w:w="595" w:type="dxa"/>
            <w:tcBorders>
              <w:top w:val="single" w:color="000000" w:sz="4" w:space="0"/>
              <w:left w:val="single" w:color="000000" w:sz="4" w:space="0"/>
              <w:bottom w:val="single" w:color="000000" w:sz="4" w:space="0"/>
              <w:right w:val="single" w:color="000000" w:sz="4" w:space="0"/>
            </w:tcBorders>
            <w:noWrap/>
            <w:vAlign w:val="center"/>
          </w:tcPr>
          <w:p w14:paraId="41998B7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4</w:t>
            </w:r>
          </w:p>
        </w:tc>
        <w:tc>
          <w:tcPr>
            <w:tcW w:w="377" w:type="dxa"/>
            <w:tcBorders>
              <w:top w:val="single" w:color="000000" w:sz="4" w:space="0"/>
              <w:left w:val="single" w:color="000000" w:sz="4" w:space="0"/>
              <w:bottom w:val="single" w:color="000000" w:sz="4" w:space="0"/>
              <w:right w:val="single" w:color="000000" w:sz="4" w:space="0"/>
            </w:tcBorders>
            <w:noWrap/>
            <w:vAlign w:val="center"/>
          </w:tcPr>
          <w:p w14:paraId="10C5504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44ED6F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vMerge w:val="continue"/>
            <w:tcBorders>
              <w:top w:val="single" w:color="000000" w:sz="4" w:space="0"/>
              <w:left w:val="single" w:color="000000" w:sz="4" w:space="0"/>
              <w:bottom w:val="single" w:color="000000" w:sz="4" w:space="0"/>
              <w:right w:val="single" w:color="000000" w:sz="4" w:space="0"/>
            </w:tcBorders>
            <w:noWrap/>
            <w:vAlign w:val="center"/>
          </w:tcPr>
          <w:p w14:paraId="22FAACE7"/>
        </w:tc>
        <w:tc>
          <w:tcPr>
            <w:tcW w:w="1151" w:type="dxa"/>
            <w:vMerge w:val="continue"/>
            <w:tcBorders>
              <w:top w:val="single" w:color="000000" w:sz="4" w:space="0"/>
              <w:left w:val="single" w:color="000000" w:sz="4" w:space="0"/>
              <w:bottom w:val="nil"/>
              <w:right w:val="single" w:color="000000" w:sz="4" w:space="0"/>
            </w:tcBorders>
            <w:noWrap/>
            <w:vAlign w:val="center"/>
          </w:tcPr>
          <w:p w14:paraId="13154F2D"/>
        </w:tc>
        <w:tc>
          <w:tcPr>
            <w:tcW w:w="1312" w:type="dxa"/>
            <w:tcBorders>
              <w:top w:val="single" w:color="000000" w:sz="4" w:space="0"/>
              <w:left w:val="single" w:color="000000" w:sz="4" w:space="0"/>
              <w:bottom w:val="single" w:color="000000" w:sz="4" w:space="0"/>
              <w:right w:val="single" w:color="000000" w:sz="4" w:space="0"/>
            </w:tcBorders>
            <w:noWrap/>
            <w:vAlign w:val="center"/>
          </w:tcPr>
          <w:p w14:paraId="194FD5D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目标设置</w:t>
            </w:r>
          </w:p>
        </w:tc>
        <w:tc>
          <w:tcPr>
            <w:tcW w:w="567" w:type="dxa"/>
            <w:tcBorders>
              <w:top w:val="single" w:color="000000" w:sz="4" w:space="0"/>
              <w:left w:val="single" w:color="000000" w:sz="4" w:space="0"/>
              <w:bottom w:val="single" w:color="000000" w:sz="4" w:space="0"/>
              <w:right w:val="single" w:color="000000" w:sz="4" w:space="0"/>
            </w:tcBorders>
            <w:noWrap/>
            <w:vAlign w:val="center"/>
          </w:tcPr>
          <w:p w14:paraId="42E9AA4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4</w:t>
            </w:r>
          </w:p>
        </w:tc>
        <w:tc>
          <w:tcPr>
            <w:tcW w:w="3729" w:type="dxa"/>
            <w:tcBorders>
              <w:top w:val="single" w:color="000000" w:sz="4" w:space="0"/>
              <w:left w:val="single" w:color="000000" w:sz="4" w:space="0"/>
              <w:bottom w:val="single" w:color="000000" w:sz="4" w:space="0"/>
              <w:right w:val="single" w:color="000000" w:sz="4" w:space="0"/>
            </w:tcBorders>
            <w:noWrap/>
            <w:vAlign w:val="center"/>
          </w:tcPr>
          <w:p w14:paraId="19525C6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部门预算项目绩效目标与计划期内的任务量、预算安排的资金量匹配情况，绩效目标设置是否科学合理、规范完整、量化细化、预算匹配</w:t>
            </w:r>
          </w:p>
        </w:tc>
        <w:tc>
          <w:tcPr>
            <w:tcW w:w="595" w:type="dxa"/>
            <w:tcBorders>
              <w:top w:val="single" w:color="000000" w:sz="4" w:space="0"/>
              <w:left w:val="single" w:color="000000" w:sz="4" w:space="0"/>
              <w:bottom w:val="single" w:color="000000" w:sz="4" w:space="0"/>
              <w:right w:val="single" w:color="000000" w:sz="4" w:space="0"/>
            </w:tcBorders>
            <w:noWrap/>
            <w:vAlign w:val="center"/>
          </w:tcPr>
          <w:p w14:paraId="4AE0B56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4</w:t>
            </w:r>
          </w:p>
        </w:tc>
        <w:tc>
          <w:tcPr>
            <w:tcW w:w="377" w:type="dxa"/>
            <w:tcBorders>
              <w:top w:val="single" w:color="000000" w:sz="4" w:space="0"/>
              <w:left w:val="single" w:color="000000" w:sz="4" w:space="0"/>
              <w:bottom w:val="single" w:color="000000" w:sz="4" w:space="0"/>
              <w:right w:val="single" w:color="000000" w:sz="4" w:space="0"/>
            </w:tcBorders>
            <w:noWrap/>
            <w:vAlign w:val="center"/>
          </w:tcPr>
          <w:p w14:paraId="6154DD2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0CB419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vMerge w:val="continue"/>
            <w:tcBorders>
              <w:top w:val="single" w:color="000000" w:sz="4" w:space="0"/>
              <w:left w:val="single" w:color="000000" w:sz="4" w:space="0"/>
              <w:bottom w:val="single" w:color="000000" w:sz="4" w:space="0"/>
              <w:right w:val="single" w:color="000000" w:sz="4" w:space="0"/>
            </w:tcBorders>
            <w:noWrap/>
            <w:vAlign w:val="center"/>
          </w:tcPr>
          <w:p w14:paraId="5B11DBFF"/>
        </w:tc>
        <w:tc>
          <w:tcPr>
            <w:tcW w:w="1151" w:type="dxa"/>
            <w:vMerge w:val="continue"/>
            <w:tcBorders>
              <w:top w:val="single" w:color="000000" w:sz="4" w:space="0"/>
              <w:left w:val="single" w:color="000000" w:sz="4" w:space="0"/>
              <w:bottom w:val="nil"/>
              <w:right w:val="single" w:color="000000" w:sz="4" w:space="0"/>
            </w:tcBorders>
            <w:noWrap/>
            <w:vAlign w:val="center"/>
          </w:tcPr>
          <w:p w14:paraId="333DEF0F"/>
        </w:tc>
        <w:tc>
          <w:tcPr>
            <w:tcW w:w="1312" w:type="dxa"/>
            <w:tcBorders>
              <w:top w:val="single" w:color="000000" w:sz="4" w:space="0"/>
              <w:left w:val="single" w:color="000000" w:sz="4" w:space="0"/>
              <w:bottom w:val="single" w:color="000000" w:sz="4" w:space="0"/>
              <w:right w:val="single" w:color="000000" w:sz="4" w:space="0"/>
            </w:tcBorders>
            <w:noWrap/>
            <w:vAlign w:val="center"/>
          </w:tcPr>
          <w:p w14:paraId="690579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项目入库</w:t>
            </w:r>
          </w:p>
        </w:tc>
        <w:tc>
          <w:tcPr>
            <w:tcW w:w="567" w:type="dxa"/>
            <w:tcBorders>
              <w:top w:val="single" w:color="000000" w:sz="4" w:space="0"/>
              <w:left w:val="single" w:color="000000" w:sz="4" w:space="0"/>
              <w:bottom w:val="single" w:color="000000" w:sz="4" w:space="0"/>
              <w:right w:val="single" w:color="000000" w:sz="4" w:space="0"/>
            </w:tcBorders>
            <w:noWrap/>
            <w:vAlign w:val="center"/>
          </w:tcPr>
          <w:p w14:paraId="78917E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4</w:t>
            </w:r>
          </w:p>
        </w:tc>
        <w:tc>
          <w:tcPr>
            <w:tcW w:w="3729" w:type="dxa"/>
            <w:tcBorders>
              <w:top w:val="single" w:color="000000" w:sz="4" w:space="0"/>
              <w:left w:val="single" w:color="000000" w:sz="4" w:space="0"/>
              <w:bottom w:val="single" w:color="000000" w:sz="4" w:space="0"/>
              <w:right w:val="single" w:color="000000" w:sz="4" w:space="0"/>
            </w:tcBorders>
            <w:noWrap/>
            <w:vAlign w:val="center"/>
          </w:tcPr>
          <w:p w14:paraId="09DD1D3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部门预算项目是否在规定时间完成项目入库</w:t>
            </w:r>
          </w:p>
        </w:tc>
        <w:tc>
          <w:tcPr>
            <w:tcW w:w="595" w:type="dxa"/>
            <w:tcBorders>
              <w:top w:val="single" w:color="000000" w:sz="4" w:space="0"/>
              <w:left w:val="single" w:color="000000" w:sz="4" w:space="0"/>
              <w:bottom w:val="single" w:color="000000" w:sz="4" w:space="0"/>
              <w:right w:val="single" w:color="000000" w:sz="4" w:space="0"/>
            </w:tcBorders>
            <w:noWrap/>
            <w:vAlign w:val="center"/>
          </w:tcPr>
          <w:p w14:paraId="2EE8ACB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4</w:t>
            </w:r>
          </w:p>
        </w:tc>
        <w:tc>
          <w:tcPr>
            <w:tcW w:w="377" w:type="dxa"/>
            <w:tcBorders>
              <w:top w:val="single" w:color="000000" w:sz="4" w:space="0"/>
              <w:left w:val="single" w:color="000000" w:sz="4" w:space="0"/>
              <w:bottom w:val="single" w:color="000000" w:sz="4" w:space="0"/>
              <w:right w:val="single" w:color="000000" w:sz="4" w:space="0"/>
            </w:tcBorders>
            <w:noWrap/>
            <w:vAlign w:val="center"/>
          </w:tcPr>
          <w:p w14:paraId="37159FB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6D8EFD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vMerge w:val="continue"/>
            <w:tcBorders>
              <w:top w:val="single" w:color="000000" w:sz="4" w:space="0"/>
              <w:left w:val="single" w:color="000000" w:sz="4" w:space="0"/>
              <w:bottom w:val="single" w:color="000000" w:sz="4" w:space="0"/>
              <w:right w:val="single" w:color="000000" w:sz="4" w:space="0"/>
            </w:tcBorders>
            <w:noWrap/>
            <w:vAlign w:val="center"/>
          </w:tcPr>
          <w:p w14:paraId="439AD801"/>
        </w:tc>
        <w:tc>
          <w:tcPr>
            <w:tcW w:w="1151" w:type="dxa"/>
            <w:vMerge w:val="restart"/>
            <w:tcBorders>
              <w:top w:val="single" w:color="000000" w:sz="4" w:space="0"/>
              <w:left w:val="single" w:color="000000" w:sz="4" w:space="0"/>
              <w:bottom w:val="nil"/>
              <w:right w:val="single" w:color="000000" w:sz="4" w:space="0"/>
            </w:tcBorders>
            <w:noWrap/>
            <w:vAlign w:val="center"/>
          </w:tcPr>
          <w:p w14:paraId="56C9960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b/>
                <w:i w:val="0"/>
                <w:color w:val="000000"/>
                <w:sz w:val="24"/>
                <w:szCs w:val="24"/>
                <w:u w:val="none"/>
              </w:rPr>
            </w:pPr>
            <w:r>
              <w:rPr>
                <w:rFonts w:hint="eastAsia" w:ascii="宋体" w:eastAsia="宋体" w:cs="宋体"/>
                <w:b/>
                <w:i w:val="0"/>
                <w:color w:val="000000"/>
                <w:kern w:val="0"/>
                <w:sz w:val="24"/>
                <w:szCs w:val="24"/>
                <w:u w:val="none"/>
                <w:lang w:val="en-US" w:eastAsia="zh-CN"/>
              </w:rPr>
              <w:t>项目执行</w:t>
            </w:r>
            <w:r>
              <w:rPr>
                <w:rFonts w:hint="eastAsia" w:ascii="宋体" w:eastAsia="宋体" w:cs="宋体"/>
                <w:b/>
                <w:i w:val="0"/>
                <w:color w:val="000000"/>
                <w:kern w:val="0"/>
                <w:sz w:val="24"/>
                <w:szCs w:val="24"/>
                <w:u w:val="none"/>
                <w:lang w:val="en-US" w:eastAsia="zh-CN"/>
              </w:rPr>
              <w:br w:type="textWrapping"/>
            </w:r>
            <w:r>
              <w:rPr>
                <w:rFonts w:hint="eastAsia" w:ascii="宋体" w:eastAsia="宋体" w:cs="宋体"/>
                <w:b/>
                <w:i w:val="0"/>
                <w:color w:val="000000"/>
                <w:kern w:val="0"/>
                <w:sz w:val="24"/>
                <w:szCs w:val="24"/>
                <w:u w:val="none"/>
                <w:lang w:val="en-US" w:eastAsia="zh-CN"/>
              </w:rPr>
              <w:t>（12分）</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0DAAD7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执行同向</w:t>
            </w:r>
          </w:p>
        </w:tc>
        <w:tc>
          <w:tcPr>
            <w:tcW w:w="567" w:type="dxa"/>
            <w:tcBorders>
              <w:top w:val="single" w:color="000000" w:sz="4" w:space="0"/>
              <w:left w:val="single" w:color="000000" w:sz="4" w:space="0"/>
              <w:bottom w:val="single" w:color="000000" w:sz="4" w:space="0"/>
              <w:right w:val="single" w:color="000000" w:sz="4" w:space="0"/>
            </w:tcBorders>
            <w:noWrap/>
            <w:vAlign w:val="center"/>
          </w:tcPr>
          <w:p w14:paraId="463E11A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4</w:t>
            </w:r>
          </w:p>
        </w:tc>
        <w:tc>
          <w:tcPr>
            <w:tcW w:w="3729" w:type="dxa"/>
            <w:tcBorders>
              <w:top w:val="single" w:color="000000" w:sz="4" w:space="0"/>
              <w:left w:val="single" w:color="000000" w:sz="4" w:space="0"/>
              <w:bottom w:val="single" w:color="000000" w:sz="4" w:space="0"/>
              <w:right w:val="single" w:color="000000" w:sz="4" w:space="0"/>
            </w:tcBorders>
            <w:noWrap/>
            <w:vAlign w:val="center"/>
          </w:tcPr>
          <w:p w14:paraId="198D704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部门预算项目实际列支内容是否与绩效目标设置方向相符</w:t>
            </w:r>
          </w:p>
        </w:tc>
        <w:tc>
          <w:tcPr>
            <w:tcW w:w="595" w:type="dxa"/>
            <w:tcBorders>
              <w:top w:val="single" w:color="000000" w:sz="4" w:space="0"/>
              <w:left w:val="single" w:color="000000" w:sz="4" w:space="0"/>
              <w:bottom w:val="single" w:color="000000" w:sz="4" w:space="0"/>
              <w:right w:val="single" w:color="000000" w:sz="4" w:space="0"/>
            </w:tcBorders>
            <w:noWrap/>
            <w:vAlign w:val="center"/>
          </w:tcPr>
          <w:p w14:paraId="6FF63F5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4</w:t>
            </w:r>
          </w:p>
        </w:tc>
        <w:tc>
          <w:tcPr>
            <w:tcW w:w="377" w:type="dxa"/>
            <w:tcBorders>
              <w:top w:val="single" w:color="000000" w:sz="4" w:space="0"/>
              <w:left w:val="single" w:color="000000" w:sz="4" w:space="0"/>
              <w:bottom w:val="single" w:color="000000" w:sz="4" w:space="0"/>
              <w:right w:val="single" w:color="000000" w:sz="4" w:space="0"/>
            </w:tcBorders>
            <w:noWrap/>
            <w:vAlign w:val="center"/>
          </w:tcPr>
          <w:p w14:paraId="7041A9F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75E574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vMerge w:val="continue"/>
            <w:tcBorders>
              <w:top w:val="single" w:color="000000" w:sz="4" w:space="0"/>
              <w:left w:val="single" w:color="000000" w:sz="4" w:space="0"/>
              <w:bottom w:val="single" w:color="000000" w:sz="4" w:space="0"/>
              <w:right w:val="single" w:color="000000" w:sz="4" w:space="0"/>
            </w:tcBorders>
            <w:noWrap/>
            <w:vAlign w:val="center"/>
          </w:tcPr>
          <w:p w14:paraId="0B6F8854"/>
        </w:tc>
        <w:tc>
          <w:tcPr>
            <w:tcW w:w="1151" w:type="dxa"/>
            <w:vMerge w:val="continue"/>
            <w:tcBorders>
              <w:top w:val="single" w:color="000000" w:sz="4" w:space="0"/>
              <w:left w:val="single" w:color="000000" w:sz="4" w:space="0"/>
              <w:bottom w:val="nil"/>
              <w:right w:val="single" w:color="000000" w:sz="4" w:space="0"/>
            </w:tcBorders>
            <w:noWrap/>
            <w:vAlign w:val="center"/>
          </w:tcPr>
          <w:p w14:paraId="1A446394"/>
        </w:tc>
        <w:tc>
          <w:tcPr>
            <w:tcW w:w="1312" w:type="dxa"/>
            <w:tcBorders>
              <w:top w:val="single" w:color="000000" w:sz="4" w:space="0"/>
              <w:left w:val="single" w:color="000000" w:sz="4" w:space="0"/>
              <w:bottom w:val="nil"/>
              <w:right w:val="single" w:color="000000" w:sz="4" w:space="0"/>
            </w:tcBorders>
            <w:noWrap/>
            <w:vAlign w:val="center"/>
          </w:tcPr>
          <w:p w14:paraId="7CF7CB1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项目调整</w:t>
            </w:r>
          </w:p>
        </w:tc>
        <w:tc>
          <w:tcPr>
            <w:tcW w:w="567" w:type="dxa"/>
            <w:tcBorders>
              <w:top w:val="single" w:color="000000" w:sz="4" w:space="0"/>
              <w:left w:val="single" w:color="000000" w:sz="4" w:space="0"/>
              <w:bottom w:val="single" w:color="000000" w:sz="4" w:space="0"/>
              <w:right w:val="single" w:color="000000" w:sz="4" w:space="0"/>
            </w:tcBorders>
            <w:noWrap/>
            <w:vAlign w:val="center"/>
          </w:tcPr>
          <w:p w14:paraId="14A6FD8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4</w:t>
            </w:r>
          </w:p>
        </w:tc>
        <w:tc>
          <w:tcPr>
            <w:tcW w:w="3729" w:type="dxa"/>
            <w:tcBorders>
              <w:top w:val="single" w:color="000000" w:sz="4" w:space="0"/>
              <w:left w:val="single" w:color="000000" w:sz="4" w:space="0"/>
              <w:bottom w:val="single" w:color="000000" w:sz="4" w:space="0"/>
              <w:right w:val="single" w:color="000000" w:sz="4" w:space="0"/>
            </w:tcBorders>
            <w:noWrap/>
            <w:vAlign w:val="center"/>
          </w:tcPr>
          <w:p w14:paraId="345353C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部门预算项目是否采取对应调整措施</w:t>
            </w:r>
          </w:p>
        </w:tc>
        <w:tc>
          <w:tcPr>
            <w:tcW w:w="595" w:type="dxa"/>
            <w:tcBorders>
              <w:top w:val="single" w:color="000000" w:sz="4" w:space="0"/>
              <w:left w:val="single" w:color="000000" w:sz="4" w:space="0"/>
              <w:bottom w:val="single" w:color="000000" w:sz="4" w:space="0"/>
              <w:right w:val="single" w:color="000000" w:sz="4" w:space="0"/>
            </w:tcBorders>
            <w:noWrap/>
            <w:vAlign w:val="center"/>
          </w:tcPr>
          <w:p w14:paraId="08D7C82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3</w:t>
            </w:r>
          </w:p>
        </w:tc>
        <w:tc>
          <w:tcPr>
            <w:tcW w:w="377" w:type="dxa"/>
            <w:tcBorders>
              <w:top w:val="single" w:color="000000" w:sz="4" w:space="0"/>
              <w:left w:val="single" w:color="000000" w:sz="4" w:space="0"/>
              <w:bottom w:val="single" w:color="000000" w:sz="4" w:space="0"/>
              <w:right w:val="single" w:color="000000" w:sz="4" w:space="0"/>
            </w:tcBorders>
            <w:noWrap/>
            <w:vAlign w:val="center"/>
          </w:tcPr>
          <w:p w14:paraId="3F89768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0C8A88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vMerge w:val="continue"/>
            <w:tcBorders>
              <w:top w:val="single" w:color="000000" w:sz="4" w:space="0"/>
              <w:left w:val="single" w:color="000000" w:sz="4" w:space="0"/>
              <w:bottom w:val="single" w:color="000000" w:sz="4" w:space="0"/>
              <w:right w:val="single" w:color="000000" w:sz="4" w:space="0"/>
            </w:tcBorders>
            <w:noWrap/>
            <w:vAlign w:val="center"/>
          </w:tcPr>
          <w:p w14:paraId="78238881"/>
        </w:tc>
        <w:tc>
          <w:tcPr>
            <w:tcW w:w="1151" w:type="dxa"/>
            <w:vMerge w:val="continue"/>
            <w:tcBorders>
              <w:top w:val="single" w:color="000000" w:sz="4" w:space="0"/>
              <w:left w:val="single" w:color="000000" w:sz="4" w:space="0"/>
              <w:bottom w:val="nil"/>
              <w:right w:val="single" w:color="000000" w:sz="4" w:space="0"/>
            </w:tcBorders>
            <w:noWrap/>
            <w:vAlign w:val="center"/>
          </w:tcPr>
          <w:p w14:paraId="1E1C627D"/>
        </w:tc>
        <w:tc>
          <w:tcPr>
            <w:tcW w:w="1312" w:type="dxa"/>
            <w:tcBorders>
              <w:top w:val="single" w:color="000000" w:sz="4" w:space="0"/>
              <w:left w:val="single" w:color="000000" w:sz="4" w:space="0"/>
              <w:bottom w:val="single" w:color="000000" w:sz="4" w:space="0"/>
              <w:right w:val="single" w:color="000000" w:sz="4" w:space="0"/>
            </w:tcBorders>
            <w:noWrap/>
            <w:vAlign w:val="center"/>
          </w:tcPr>
          <w:p w14:paraId="3762E2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执行结果</w:t>
            </w:r>
          </w:p>
        </w:tc>
        <w:tc>
          <w:tcPr>
            <w:tcW w:w="567" w:type="dxa"/>
            <w:tcBorders>
              <w:top w:val="single" w:color="000000" w:sz="4" w:space="0"/>
              <w:left w:val="single" w:color="000000" w:sz="4" w:space="0"/>
              <w:bottom w:val="single" w:color="000000" w:sz="4" w:space="0"/>
              <w:right w:val="single" w:color="000000" w:sz="4" w:space="0"/>
            </w:tcBorders>
            <w:noWrap/>
            <w:vAlign w:val="center"/>
          </w:tcPr>
          <w:p w14:paraId="509902D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4</w:t>
            </w:r>
          </w:p>
        </w:tc>
        <w:tc>
          <w:tcPr>
            <w:tcW w:w="3729" w:type="dxa"/>
            <w:tcBorders>
              <w:top w:val="single" w:color="000000" w:sz="4" w:space="0"/>
              <w:left w:val="single" w:color="000000" w:sz="4" w:space="0"/>
              <w:bottom w:val="single" w:color="000000" w:sz="4" w:space="0"/>
              <w:right w:val="single" w:color="000000" w:sz="4" w:space="0"/>
            </w:tcBorders>
            <w:noWrap/>
            <w:vAlign w:val="center"/>
          </w:tcPr>
          <w:p w14:paraId="04401EA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部门预算项目预算执行情况</w:t>
            </w:r>
          </w:p>
        </w:tc>
        <w:tc>
          <w:tcPr>
            <w:tcW w:w="595" w:type="dxa"/>
            <w:tcBorders>
              <w:top w:val="single" w:color="000000" w:sz="4" w:space="0"/>
              <w:left w:val="single" w:color="000000" w:sz="4" w:space="0"/>
              <w:bottom w:val="single" w:color="000000" w:sz="4" w:space="0"/>
              <w:right w:val="single" w:color="000000" w:sz="4" w:space="0"/>
            </w:tcBorders>
            <w:noWrap/>
            <w:vAlign w:val="center"/>
          </w:tcPr>
          <w:p w14:paraId="22AE8F3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4</w:t>
            </w:r>
          </w:p>
        </w:tc>
        <w:tc>
          <w:tcPr>
            <w:tcW w:w="377" w:type="dxa"/>
            <w:tcBorders>
              <w:top w:val="single" w:color="000000" w:sz="4" w:space="0"/>
              <w:left w:val="single" w:color="000000" w:sz="4" w:space="0"/>
              <w:bottom w:val="single" w:color="000000" w:sz="4" w:space="0"/>
              <w:right w:val="single" w:color="000000" w:sz="4" w:space="0"/>
            </w:tcBorders>
            <w:noWrap/>
            <w:vAlign w:val="center"/>
          </w:tcPr>
          <w:p w14:paraId="0619869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37979B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vMerge w:val="continue"/>
            <w:tcBorders>
              <w:top w:val="single" w:color="000000" w:sz="4" w:space="0"/>
              <w:left w:val="single" w:color="000000" w:sz="4" w:space="0"/>
              <w:bottom w:val="single" w:color="000000" w:sz="4" w:space="0"/>
              <w:right w:val="single" w:color="000000" w:sz="4" w:space="0"/>
            </w:tcBorders>
            <w:noWrap/>
            <w:vAlign w:val="center"/>
          </w:tcPr>
          <w:p w14:paraId="0E942538"/>
        </w:tc>
        <w:tc>
          <w:tcPr>
            <w:tcW w:w="1151" w:type="dxa"/>
            <w:vMerge w:val="restart"/>
            <w:tcBorders>
              <w:top w:val="single" w:color="000000" w:sz="4" w:space="0"/>
              <w:left w:val="single" w:color="000000" w:sz="4" w:space="0"/>
              <w:bottom w:val="single" w:color="000000" w:sz="4" w:space="0"/>
              <w:right w:val="single" w:color="000000" w:sz="4" w:space="0"/>
            </w:tcBorders>
            <w:noWrap/>
            <w:vAlign w:val="center"/>
          </w:tcPr>
          <w:p w14:paraId="26268C4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b/>
                <w:i w:val="0"/>
                <w:color w:val="000000"/>
                <w:sz w:val="24"/>
                <w:szCs w:val="24"/>
                <w:u w:val="none"/>
              </w:rPr>
            </w:pPr>
            <w:r>
              <w:rPr>
                <w:rFonts w:hint="eastAsia" w:ascii="宋体" w:eastAsia="宋体" w:cs="宋体"/>
                <w:b/>
                <w:i w:val="0"/>
                <w:color w:val="000000"/>
                <w:kern w:val="0"/>
                <w:sz w:val="24"/>
                <w:szCs w:val="24"/>
                <w:u w:val="none"/>
                <w:lang w:val="en-US" w:eastAsia="zh-CN"/>
              </w:rPr>
              <w:t>目标实现</w:t>
            </w:r>
            <w:r>
              <w:rPr>
                <w:rFonts w:hint="eastAsia" w:ascii="宋体" w:eastAsia="宋体" w:cs="宋体"/>
                <w:b/>
                <w:i w:val="0"/>
                <w:color w:val="000000"/>
                <w:kern w:val="0"/>
                <w:sz w:val="24"/>
                <w:szCs w:val="24"/>
                <w:u w:val="none"/>
                <w:lang w:val="en-US" w:eastAsia="zh-CN"/>
              </w:rPr>
              <w:br w:type="textWrapping"/>
            </w:r>
            <w:r>
              <w:rPr>
                <w:rFonts w:hint="eastAsia" w:ascii="宋体" w:eastAsia="宋体" w:cs="宋体"/>
                <w:b/>
                <w:i w:val="0"/>
                <w:color w:val="000000"/>
                <w:kern w:val="0"/>
                <w:sz w:val="24"/>
                <w:szCs w:val="24"/>
                <w:u w:val="none"/>
                <w:lang w:val="en-US" w:eastAsia="zh-CN"/>
              </w:rPr>
              <w:t>（11分）</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149B21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目标完成</w:t>
            </w:r>
          </w:p>
        </w:tc>
        <w:tc>
          <w:tcPr>
            <w:tcW w:w="567" w:type="dxa"/>
            <w:tcBorders>
              <w:top w:val="single" w:color="000000" w:sz="4" w:space="0"/>
              <w:left w:val="single" w:color="000000" w:sz="4" w:space="0"/>
              <w:bottom w:val="single" w:color="000000" w:sz="4" w:space="0"/>
              <w:right w:val="single" w:color="000000" w:sz="4" w:space="0"/>
            </w:tcBorders>
            <w:noWrap/>
            <w:vAlign w:val="center"/>
          </w:tcPr>
          <w:p w14:paraId="6733878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4</w:t>
            </w:r>
          </w:p>
        </w:tc>
        <w:tc>
          <w:tcPr>
            <w:tcW w:w="3729" w:type="dxa"/>
            <w:tcBorders>
              <w:top w:val="single" w:color="000000" w:sz="4" w:space="0"/>
              <w:left w:val="single" w:color="000000" w:sz="4" w:space="0"/>
              <w:bottom w:val="single" w:color="000000" w:sz="4" w:space="0"/>
              <w:right w:val="single" w:color="000000" w:sz="4" w:space="0"/>
            </w:tcBorders>
            <w:noWrap/>
            <w:vAlign w:val="center"/>
          </w:tcPr>
          <w:p w14:paraId="38523F3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部门预算项目绩效目标数量指标完成情况</w:t>
            </w:r>
          </w:p>
        </w:tc>
        <w:tc>
          <w:tcPr>
            <w:tcW w:w="595" w:type="dxa"/>
            <w:tcBorders>
              <w:top w:val="single" w:color="000000" w:sz="4" w:space="0"/>
              <w:left w:val="single" w:color="000000" w:sz="4" w:space="0"/>
              <w:bottom w:val="single" w:color="000000" w:sz="4" w:space="0"/>
              <w:right w:val="single" w:color="000000" w:sz="4" w:space="0"/>
            </w:tcBorders>
            <w:noWrap/>
            <w:vAlign w:val="center"/>
          </w:tcPr>
          <w:p w14:paraId="1A72C90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4</w:t>
            </w:r>
          </w:p>
        </w:tc>
        <w:tc>
          <w:tcPr>
            <w:tcW w:w="377" w:type="dxa"/>
            <w:tcBorders>
              <w:top w:val="single" w:color="000000" w:sz="4" w:space="0"/>
              <w:left w:val="single" w:color="000000" w:sz="4" w:space="0"/>
              <w:bottom w:val="single" w:color="000000" w:sz="4" w:space="0"/>
              <w:right w:val="single" w:color="000000" w:sz="4" w:space="0"/>
            </w:tcBorders>
            <w:noWrap/>
            <w:vAlign w:val="center"/>
          </w:tcPr>
          <w:p w14:paraId="73AD804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6102C6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vMerge w:val="continue"/>
            <w:tcBorders>
              <w:top w:val="single" w:color="000000" w:sz="4" w:space="0"/>
              <w:left w:val="single" w:color="000000" w:sz="4" w:space="0"/>
              <w:bottom w:val="single" w:color="000000" w:sz="4" w:space="0"/>
              <w:right w:val="single" w:color="000000" w:sz="4" w:space="0"/>
            </w:tcBorders>
            <w:noWrap/>
            <w:vAlign w:val="center"/>
          </w:tcPr>
          <w:p w14:paraId="0D898162"/>
        </w:tc>
        <w:tc>
          <w:tcPr>
            <w:tcW w:w="1151" w:type="dxa"/>
            <w:vMerge w:val="continue"/>
            <w:tcBorders>
              <w:top w:val="single" w:color="000000" w:sz="4" w:space="0"/>
              <w:left w:val="single" w:color="000000" w:sz="4" w:space="0"/>
              <w:bottom w:val="single" w:color="000000" w:sz="4" w:space="0"/>
              <w:right w:val="single" w:color="000000" w:sz="4" w:space="0"/>
            </w:tcBorders>
            <w:noWrap/>
            <w:vAlign w:val="center"/>
          </w:tcPr>
          <w:p w14:paraId="14BF27EE"/>
        </w:tc>
        <w:tc>
          <w:tcPr>
            <w:tcW w:w="1312" w:type="dxa"/>
            <w:tcBorders>
              <w:top w:val="single" w:color="000000" w:sz="4" w:space="0"/>
              <w:left w:val="single" w:color="000000" w:sz="4" w:space="0"/>
              <w:bottom w:val="single" w:color="000000" w:sz="4" w:space="0"/>
              <w:right w:val="single" w:color="000000" w:sz="4" w:space="0"/>
            </w:tcBorders>
            <w:noWrap/>
            <w:vAlign w:val="center"/>
          </w:tcPr>
          <w:p w14:paraId="2898D9B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目标偏离</w:t>
            </w:r>
          </w:p>
        </w:tc>
        <w:tc>
          <w:tcPr>
            <w:tcW w:w="567" w:type="dxa"/>
            <w:tcBorders>
              <w:top w:val="single" w:color="000000" w:sz="4" w:space="0"/>
              <w:left w:val="single" w:color="000000" w:sz="4" w:space="0"/>
              <w:bottom w:val="single" w:color="000000" w:sz="4" w:space="0"/>
              <w:right w:val="single" w:color="000000" w:sz="4" w:space="0"/>
            </w:tcBorders>
            <w:noWrap/>
            <w:vAlign w:val="center"/>
          </w:tcPr>
          <w:p w14:paraId="0D8AAA8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4</w:t>
            </w:r>
          </w:p>
        </w:tc>
        <w:tc>
          <w:tcPr>
            <w:tcW w:w="3729" w:type="dxa"/>
            <w:tcBorders>
              <w:top w:val="single" w:color="000000" w:sz="4" w:space="0"/>
              <w:left w:val="single" w:color="000000" w:sz="4" w:space="0"/>
              <w:bottom w:val="single" w:color="000000" w:sz="4" w:space="0"/>
              <w:right w:val="single" w:color="000000" w:sz="4" w:space="0"/>
            </w:tcBorders>
            <w:noWrap/>
            <w:vAlign w:val="center"/>
          </w:tcPr>
          <w:p w14:paraId="6AA4EC9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部门预算项目绩效目标数量指标实现程度与预期目标的偏离情况</w:t>
            </w:r>
          </w:p>
        </w:tc>
        <w:tc>
          <w:tcPr>
            <w:tcW w:w="595" w:type="dxa"/>
            <w:tcBorders>
              <w:top w:val="single" w:color="000000" w:sz="4" w:space="0"/>
              <w:left w:val="single" w:color="000000" w:sz="4" w:space="0"/>
              <w:bottom w:val="single" w:color="000000" w:sz="4" w:space="0"/>
              <w:right w:val="single" w:color="000000" w:sz="4" w:space="0"/>
            </w:tcBorders>
            <w:noWrap/>
            <w:vAlign w:val="center"/>
          </w:tcPr>
          <w:p w14:paraId="6F4CF83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4</w:t>
            </w:r>
          </w:p>
        </w:tc>
        <w:tc>
          <w:tcPr>
            <w:tcW w:w="377" w:type="dxa"/>
            <w:tcBorders>
              <w:top w:val="single" w:color="000000" w:sz="4" w:space="0"/>
              <w:left w:val="single" w:color="000000" w:sz="4" w:space="0"/>
              <w:bottom w:val="single" w:color="000000" w:sz="4" w:space="0"/>
              <w:right w:val="single" w:color="000000" w:sz="4" w:space="0"/>
            </w:tcBorders>
            <w:noWrap/>
            <w:vAlign w:val="center"/>
          </w:tcPr>
          <w:p w14:paraId="7770DB6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21C4B2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vMerge w:val="continue"/>
            <w:tcBorders>
              <w:top w:val="single" w:color="000000" w:sz="4" w:space="0"/>
              <w:left w:val="single" w:color="000000" w:sz="4" w:space="0"/>
              <w:bottom w:val="single" w:color="000000" w:sz="4" w:space="0"/>
              <w:right w:val="single" w:color="000000" w:sz="4" w:space="0"/>
            </w:tcBorders>
            <w:noWrap/>
            <w:vAlign w:val="center"/>
          </w:tcPr>
          <w:p w14:paraId="20A2C5A9"/>
        </w:tc>
        <w:tc>
          <w:tcPr>
            <w:tcW w:w="1151" w:type="dxa"/>
            <w:vMerge w:val="continue"/>
            <w:tcBorders>
              <w:top w:val="single" w:color="000000" w:sz="4" w:space="0"/>
              <w:left w:val="single" w:color="000000" w:sz="4" w:space="0"/>
              <w:bottom w:val="single" w:color="000000" w:sz="4" w:space="0"/>
              <w:right w:val="single" w:color="000000" w:sz="4" w:space="0"/>
            </w:tcBorders>
            <w:noWrap/>
            <w:vAlign w:val="center"/>
          </w:tcPr>
          <w:p w14:paraId="7AA1545E"/>
        </w:tc>
        <w:tc>
          <w:tcPr>
            <w:tcW w:w="1312" w:type="dxa"/>
            <w:tcBorders>
              <w:top w:val="single" w:color="000000" w:sz="4" w:space="0"/>
              <w:left w:val="single" w:color="000000" w:sz="4" w:space="0"/>
              <w:bottom w:val="single" w:color="000000" w:sz="4" w:space="0"/>
              <w:right w:val="single" w:color="000000" w:sz="4" w:space="0"/>
            </w:tcBorders>
            <w:noWrap/>
            <w:vAlign w:val="center"/>
          </w:tcPr>
          <w:p w14:paraId="3FB67F3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实现效果</w:t>
            </w:r>
          </w:p>
        </w:tc>
        <w:tc>
          <w:tcPr>
            <w:tcW w:w="567" w:type="dxa"/>
            <w:tcBorders>
              <w:top w:val="single" w:color="000000" w:sz="4" w:space="0"/>
              <w:left w:val="single" w:color="000000" w:sz="4" w:space="0"/>
              <w:bottom w:val="single" w:color="000000" w:sz="4" w:space="0"/>
              <w:right w:val="single" w:color="000000" w:sz="4" w:space="0"/>
            </w:tcBorders>
            <w:noWrap/>
            <w:vAlign w:val="center"/>
          </w:tcPr>
          <w:p w14:paraId="662CDEF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3</w:t>
            </w:r>
          </w:p>
        </w:tc>
        <w:tc>
          <w:tcPr>
            <w:tcW w:w="3729" w:type="dxa"/>
            <w:tcBorders>
              <w:top w:val="single" w:color="000000" w:sz="4" w:space="0"/>
              <w:left w:val="single" w:color="000000" w:sz="4" w:space="0"/>
              <w:bottom w:val="single" w:color="000000" w:sz="4" w:space="0"/>
              <w:right w:val="single" w:color="000000" w:sz="4" w:space="0"/>
            </w:tcBorders>
            <w:noWrap/>
            <w:vAlign w:val="center"/>
          </w:tcPr>
          <w:p w14:paraId="52019D2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部门预算项目绩效目标效益指标实施效果</w:t>
            </w:r>
          </w:p>
        </w:tc>
        <w:tc>
          <w:tcPr>
            <w:tcW w:w="595" w:type="dxa"/>
            <w:tcBorders>
              <w:top w:val="single" w:color="000000" w:sz="4" w:space="0"/>
              <w:left w:val="single" w:color="000000" w:sz="4" w:space="0"/>
              <w:bottom w:val="single" w:color="000000" w:sz="4" w:space="0"/>
              <w:right w:val="single" w:color="000000" w:sz="4" w:space="0"/>
            </w:tcBorders>
            <w:noWrap/>
            <w:vAlign w:val="center"/>
          </w:tcPr>
          <w:p w14:paraId="7A5D154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3</w:t>
            </w:r>
          </w:p>
        </w:tc>
        <w:tc>
          <w:tcPr>
            <w:tcW w:w="377" w:type="dxa"/>
            <w:tcBorders>
              <w:top w:val="single" w:color="000000" w:sz="4" w:space="0"/>
              <w:left w:val="single" w:color="000000" w:sz="4" w:space="0"/>
              <w:bottom w:val="single" w:color="000000" w:sz="4" w:space="0"/>
              <w:right w:val="single" w:color="000000" w:sz="4" w:space="0"/>
            </w:tcBorders>
            <w:noWrap/>
            <w:vAlign w:val="center"/>
          </w:tcPr>
          <w:p w14:paraId="50C1419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4D2A39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tcBorders>
              <w:top w:val="single" w:color="000000" w:sz="4" w:space="0"/>
              <w:left w:val="single" w:color="000000" w:sz="4" w:space="0"/>
              <w:bottom w:val="single" w:color="000000" w:sz="4" w:space="0"/>
              <w:right w:val="single" w:color="000000" w:sz="4" w:space="0"/>
            </w:tcBorders>
            <w:noWrap/>
            <w:vAlign w:val="center"/>
          </w:tcPr>
          <w:p w14:paraId="26FF85A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b/>
                <w:i w:val="0"/>
                <w:color w:val="000000"/>
                <w:sz w:val="24"/>
                <w:szCs w:val="24"/>
                <w:u w:val="none"/>
              </w:rPr>
            </w:pPr>
            <w:r>
              <w:rPr>
                <w:rFonts w:hint="eastAsia" w:ascii="宋体" w:eastAsia="宋体" w:cs="宋体"/>
                <w:b/>
                <w:i w:val="0"/>
                <w:color w:val="000000"/>
                <w:kern w:val="0"/>
                <w:sz w:val="24"/>
                <w:szCs w:val="24"/>
                <w:u w:val="none"/>
                <w:lang w:val="en-US" w:eastAsia="zh-CN"/>
              </w:rPr>
              <w:t>扣分项</w:t>
            </w:r>
            <w:r>
              <w:rPr>
                <w:rFonts w:hint="eastAsia" w:ascii="宋体" w:eastAsia="宋体" w:cs="宋体"/>
                <w:b/>
                <w:i w:val="0"/>
                <w:color w:val="000000"/>
                <w:kern w:val="0"/>
                <w:sz w:val="24"/>
                <w:szCs w:val="24"/>
                <w:u w:val="none"/>
                <w:lang w:val="en-US" w:eastAsia="zh-CN"/>
              </w:rPr>
              <w:br w:type="textWrapping"/>
            </w:r>
            <w:r>
              <w:rPr>
                <w:rFonts w:hint="eastAsia" w:ascii="宋体" w:eastAsia="宋体" w:cs="宋体"/>
                <w:b/>
                <w:i w:val="0"/>
                <w:color w:val="000000"/>
                <w:kern w:val="0"/>
                <w:sz w:val="24"/>
                <w:szCs w:val="24"/>
                <w:u w:val="none"/>
                <w:lang w:val="en-US" w:eastAsia="zh-CN"/>
              </w:rPr>
              <w:t>（10分）</w:t>
            </w:r>
          </w:p>
        </w:tc>
        <w:tc>
          <w:tcPr>
            <w:tcW w:w="2463" w:type="dxa"/>
            <w:gridSpan w:val="2"/>
            <w:tcBorders>
              <w:top w:val="single" w:color="000000" w:sz="4" w:space="0"/>
              <w:left w:val="single" w:color="000000" w:sz="4" w:space="0"/>
              <w:bottom w:val="single" w:color="000000" w:sz="4" w:space="0"/>
              <w:right w:val="single" w:color="000000" w:sz="4" w:space="0"/>
            </w:tcBorders>
            <w:noWrap/>
            <w:vAlign w:val="center"/>
          </w:tcPr>
          <w:p w14:paraId="12871B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被评价部门配合度</w:t>
            </w:r>
          </w:p>
        </w:tc>
        <w:tc>
          <w:tcPr>
            <w:tcW w:w="567" w:type="dxa"/>
            <w:tcBorders>
              <w:top w:val="single" w:color="000000" w:sz="4" w:space="0"/>
              <w:left w:val="single" w:color="000000" w:sz="4" w:space="0"/>
              <w:bottom w:val="single" w:color="000000" w:sz="4" w:space="0"/>
              <w:right w:val="single" w:color="000000" w:sz="4" w:space="0"/>
            </w:tcBorders>
            <w:noWrap/>
            <w:vAlign w:val="center"/>
          </w:tcPr>
          <w:p w14:paraId="7B2666E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w:t>
            </w:r>
          </w:p>
        </w:tc>
        <w:tc>
          <w:tcPr>
            <w:tcW w:w="3729" w:type="dxa"/>
            <w:tcBorders>
              <w:top w:val="single" w:color="000000" w:sz="4" w:space="0"/>
              <w:left w:val="single" w:color="000000" w:sz="4" w:space="0"/>
              <w:bottom w:val="single" w:color="000000" w:sz="4" w:space="0"/>
              <w:right w:val="single" w:color="000000" w:sz="4" w:space="0"/>
            </w:tcBorders>
            <w:noWrap/>
            <w:vAlign w:val="center"/>
          </w:tcPr>
          <w:p w14:paraId="0FF4D7D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被评价对象工作配合情况</w:t>
            </w:r>
          </w:p>
        </w:tc>
        <w:tc>
          <w:tcPr>
            <w:tcW w:w="595" w:type="dxa"/>
            <w:tcBorders>
              <w:top w:val="single" w:color="000000" w:sz="4" w:space="0"/>
              <w:left w:val="single" w:color="000000" w:sz="4" w:space="0"/>
              <w:bottom w:val="single" w:color="000000" w:sz="4" w:space="0"/>
              <w:right w:val="single" w:color="000000" w:sz="4" w:space="0"/>
            </w:tcBorders>
            <w:noWrap/>
            <w:vAlign w:val="center"/>
          </w:tcPr>
          <w:p w14:paraId="265C6BE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c>
          <w:tcPr>
            <w:tcW w:w="377" w:type="dxa"/>
            <w:tcBorders>
              <w:top w:val="single" w:color="000000" w:sz="4" w:space="0"/>
              <w:left w:val="single" w:color="000000" w:sz="4" w:space="0"/>
              <w:bottom w:val="single" w:color="000000" w:sz="4" w:space="0"/>
              <w:right w:val="single" w:color="000000" w:sz="4" w:space="0"/>
            </w:tcBorders>
            <w:noWrap/>
            <w:vAlign w:val="center"/>
          </w:tcPr>
          <w:p w14:paraId="1ACCD69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bl>
    <w:p w14:paraId="237C252B">
      <w:pPr>
        <w:pStyle w:val="15"/>
        <w:keepNext w:val="0"/>
        <w:keepLines w:val="0"/>
        <w:pageBreakBefore w:val="0"/>
        <w:numPr>
          <w:ilvl w:val="0"/>
          <w:numId w:val="0"/>
        </w:numPr>
        <w:kinsoku/>
        <w:wordWrap/>
        <w:overflowPunct/>
        <w:topLinePunct w:val="0"/>
        <w:autoSpaceDE/>
        <w:autoSpaceDN/>
        <w:bidi w:val="0"/>
        <w:spacing w:line="560" w:lineRule="exact"/>
        <w:textAlignment w:val="auto"/>
        <w:rPr>
          <w:rFonts w:hint="eastAsia" w:ascii="Times New Roman" w:hAnsi="Times New Roman" w:cs="Times New Roman"/>
          <w:sz w:val="32"/>
          <w:szCs w:val="32"/>
          <w:highlight w:val="yellow"/>
          <w:lang w:val="zh-CN" w:eastAsia="zh-CN"/>
        </w:rPr>
      </w:pPr>
    </w:p>
    <w:p w14:paraId="2E75472E">
      <w:pPr>
        <w:pStyle w:val="6"/>
        <w:rPr>
          <w:rFonts w:hint="eastAsia" w:ascii="Times New Roman" w:hAnsi="Times New Roman" w:cs="宋体"/>
          <w:color w:val="FF0000"/>
          <w:kern w:val="0"/>
          <w:sz w:val="32"/>
          <w:szCs w:val="32"/>
          <w:highlight w:val="yellow"/>
          <w:shd w:val="clear" w:color="auto" w:fill="FFFFFF"/>
          <w:lang w:val="zh-CN"/>
        </w:rPr>
      </w:pPr>
    </w:p>
    <w:p w14:paraId="4A87A9B0">
      <w:pPr>
        <w:rPr>
          <w:rFonts w:hint="eastAsia" w:ascii="Times New Roman" w:hAnsi="Times New Roman" w:eastAsia="黑体" w:cs="黑体"/>
          <w:color w:val="auto"/>
          <w:kern w:val="0"/>
          <w:sz w:val="32"/>
          <w:szCs w:val="32"/>
          <w:highlight w:val="none"/>
          <w:shd w:val="clear" w:color="auto" w:fill="FFFFFF"/>
          <w:lang w:val="zh-CN"/>
        </w:rPr>
      </w:pPr>
      <w:r>
        <w:rPr>
          <w:rFonts w:hint="eastAsia" w:ascii="Times New Roman" w:hAnsi="Times New Roman" w:eastAsia="黑体" w:cs="黑体"/>
          <w:color w:val="auto"/>
          <w:kern w:val="0"/>
          <w:sz w:val="32"/>
          <w:szCs w:val="32"/>
          <w:highlight w:val="none"/>
          <w:shd w:val="clear" w:color="auto" w:fill="FFFFFF"/>
          <w:lang w:val="zh-CN"/>
        </w:rPr>
        <w:br w:type="page"/>
      </w:r>
    </w:p>
    <w:p w14:paraId="7ACAB95F">
      <w:pPr>
        <w:pStyle w:val="15"/>
        <w:ind w:left="0" w:leftChars="0" w:firstLine="0" w:firstLineChars="0"/>
        <w:rPr>
          <w:rFonts w:hint="default" w:ascii="Times New Roman" w:hAnsi="Times New Roman" w:cs="Times New Roman"/>
          <w:color w:val="000000"/>
          <w:kern w:val="0"/>
          <w:szCs w:val="32"/>
          <w:highlight w:val="none"/>
          <w:shd w:val="clear" w:color="auto" w:fill="FFFFFF"/>
          <w:lang w:val="en-US" w:eastAsia="zh-CN"/>
        </w:rPr>
      </w:pPr>
      <w:r>
        <w:rPr>
          <w:rFonts w:hint="eastAsia" w:ascii="Times New Roman" w:hAnsi="Times New Roman" w:cs="Times New Roman"/>
          <w:color w:val="000000"/>
          <w:kern w:val="0"/>
          <w:szCs w:val="32"/>
          <w:highlight w:val="none"/>
          <w:shd w:val="clear" w:color="auto" w:fill="FFFFFF"/>
          <w:lang w:val="en-US" w:eastAsia="zh-CN"/>
        </w:rPr>
        <w:t>附表：</w:t>
      </w:r>
      <w:r>
        <w:rPr>
          <w:rFonts w:hint="default" w:ascii="Times New Roman" w:hAnsi="Times New Roman" w:cs="Times New Roman"/>
          <w:color w:val="000000"/>
          <w:kern w:val="0"/>
          <w:szCs w:val="32"/>
          <w:highlight w:val="none"/>
          <w:shd w:val="clear" w:color="auto" w:fill="FFFFFF"/>
          <w:lang w:val="en-US" w:eastAsia="zh-CN"/>
        </w:rPr>
        <w:t>部门整体支出绩效目标完成情况自评表</w:t>
      </w:r>
    </w:p>
    <w:tbl>
      <w:tblPr>
        <w:tblStyle w:val="20"/>
        <w:tblW w:w="105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309"/>
        <w:gridCol w:w="1347"/>
        <w:gridCol w:w="1273"/>
        <w:gridCol w:w="1100"/>
        <w:gridCol w:w="1144"/>
        <w:gridCol w:w="1"/>
        <w:gridCol w:w="1289"/>
        <w:gridCol w:w="1058"/>
        <w:gridCol w:w="926"/>
        <w:gridCol w:w="1113"/>
      </w:tblGrid>
      <w:tr w14:paraId="63B02D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62" w:hRule="exact"/>
          <w:jc w:val="center"/>
        </w:trPr>
        <w:tc>
          <w:tcPr>
            <w:tcW w:w="10560" w:type="dxa"/>
            <w:gridSpan w:val="10"/>
            <w:shd w:val="clear" w:color="auto" w:fill="auto"/>
            <w:vAlign w:val="center"/>
          </w:tcPr>
          <w:p w14:paraId="21F263C4">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outlineLvl w:val="9"/>
              <w:rPr>
                <w:rFonts w:hint="default" w:ascii="Times New Roman" w:hAnsi="Times New Roman" w:eastAsia="黑体" w:cs="Times New Roman"/>
                <w:i w:val="0"/>
                <w:color w:val="000000"/>
                <w:sz w:val="28"/>
                <w:szCs w:val="28"/>
                <w:u w:val="none"/>
              </w:rPr>
            </w:pPr>
            <w:r>
              <w:rPr>
                <w:rFonts w:hint="default" w:ascii="Times New Roman" w:hAnsi="Times New Roman" w:eastAsia="方正小标宋简体" w:cs="Times New Roman"/>
                <w:i w:val="0"/>
                <w:color w:val="000000"/>
                <w:kern w:val="0"/>
                <w:sz w:val="44"/>
                <w:szCs w:val="44"/>
                <w:u w:val="none"/>
                <w:lang w:val="en-US" w:eastAsia="zh-CN" w:bidi="ar"/>
              </w:rPr>
              <w:t>部门整体绩效目标完成情况自评表</w:t>
            </w:r>
          </w:p>
        </w:tc>
      </w:tr>
      <w:tr w14:paraId="3A228E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560" w:type="dxa"/>
            <w:gridSpan w:val="10"/>
            <w:shd w:val="clear" w:color="auto" w:fill="auto"/>
            <w:vAlign w:val="center"/>
          </w:tcPr>
          <w:p w14:paraId="2DCEB91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8"/>
                <w:szCs w:val="28"/>
                <w:u w:val="none"/>
              </w:rPr>
            </w:pPr>
            <w:r>
              <w:rPr>
                <w:rFonts w:hint="default" w:ascii="Times New Roman" w:hAnsi="Times New Roman" w:eastAsia="宋体" w:cs="Times New Roman"/>
                <w:i w:val="0"/>
                <w:color w:val="000000"/>
                <w:kern w:val="0"/>
                <w:sz w:val="28"/>
                <w:szCs w:val="28"/>
                <w:u w:val="none"/>
                <w:lang w:val="en-US" w:eastAsia="zh-CN" w:bidi="ar"/>
              </w:rPr>
              <w:t>（202</w:t>
            </w:r>
            <w:r>
              <w:rPr>
                <w:rFonts w:hint="eastAsia" w:eastAsia="宋体" w:cs="Times New Roman"/>
                <w:i w:val="0"/>
                <w:color w:val="000000"/>
                <w:kern w:val="0"/>
                <w:sz w:val="28"/>
                <w:szCs w:val="28"/>
                <w:u w:val="none"/>
                <w:lang w:val="en-US" w:eastAsia="zh-CN" w:bidi="ar"/>
              </w:rPr>
              <w:t>4</w:t>
            </w:r>
            <w:r>
              <w:rPr>
                <w:rFonts w:hint="default" w:ascii="Times New Roman" w:hAnsi="Times New Roman" w:eastAsia="宋体" w:cs="Times New Roman"/>
                <w:i w:val="0"/>
                <w:color w:val="000000"/>
                <w:kern w:val="0"/>
                <w:sz w:val="28"/>
                <w:szCs w:val="28"/>
                <w:u w:val="none"/>
                <w:lang w:val="en-US" w:eastAsia="zh-CN" w:bidi="ar"/>
              </w:rPr>
              <w:t>年度）</w:t>
            </w:r>
          </w:p>
        </w:tc>
      </w:tr>
      <w:tr w14:paraId="1C59CF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0560" w:type="dxa"/>
            <w:gridSpan w:val="10"/>
            <w:tcBorders>
              <w:bottom w:val="single" w:color="000000" w:sz="4" w:space="0"/>
            </w:tcBorders>
            <w:shd w:val="clear" w:color="auto" w:fill="auto"/>
            <w:vAlign w:val="center"/>
          </w:tcPr>
          <w:p w14:paraId="60406BD2">
            <w:pPr>
              <w:keepNext w:val="0"/>
              <w:keepLines w:val="0"/>
              <w:pageBreakBefore w:val="0"/>
              <w:widowControl/>
              <w:suppressLineNumbers w:val="0"/>
              <w:kinsoku/>
              <w:wordWrap/>
              <w:overflowPunct/>
              <w:topLinePunct w:val="0"/>
              <w:autoSpaceDE/>
              <w:autoSpaceDN/>
              <w:bidi w:val="0"/>
              <w:adjustRightInd/>
              <w:snapToGrid/>
              <w:spacing w:line="300" w:lineRule="exact"/>
              <w:jc w:val="right"/>
              <w:textAlignment w:val="center"/>
              <w:outlineLvl w:val="9"/>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单位：万元</w:t>
            </w:r>
          </w:p>
        </w:tc>
      </w:tr>
      <w:tr w14:paraId="7CE366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392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D1DA6C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部门名称</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6A7332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eastAsia" w:eastAsia="宋体" w:cs="Times New Roman"/>
                <w:i w:val="0"/>
                <w:color w:val="000000"/>
                <w:kern w:val="0"/>
                <w:sz w:val="24"/>
                <w:szCs w:val="24"/>
                <w:u w:val="none"/>
                <w:lang w:val="en-US" w:eastAsia="zh-CN" w:bidi="ar"/>
              </w:rPr>
              <w:t>金川县俄热乡人民政府</w:t>
            </w:r>
          </w:p>
        </w:tc>
      </w:tr>
      <w:tr w14:paraId="52A4C5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29F95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年度部门整体支出预算</w:t>
            </w: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A91D1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资金总额</w:t>
            </w:r>
          </w:p>
        </w:tc>
        <w:tc>
          <w:tcPr>
            <w:tcW w:w="22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1B7FB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财政拨款</w:t>
            </w:r>
          </w:p>
        </w:tc>
        <w:tc>
          <w:tcPr>
            <w:tcW w:w="438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8414A4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其他资金</w:t>
            </w:r>
          </w:p>
        </w:tc>
      </w:tr>
      <w:tr w14:paraId="23202D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9626DD">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1C0AD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758.84</w:t>
            </w:r>
          </w:p>
        </w:tc>
        <w:tc>
          <w:tcPr>
            <w:tcW w:w="22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736DA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eastAsia" w:eastAsia="宋体" w:cs="Times New Roman"/>
                <w:i w:val="0"/>
                <w:color w:val="000000"/>
                <w:sz w:val="24"/>
                <w:szCs w:val="24"/>
                <w:u w:val="none"/>
                <w:lang w:val="en-US" w:eastAsia="zh-CN"/>
              </w:rPr>
              <w:t>758.84</w:t>
            </w:r>
          </w:p>
        </w:tc>
        <w:tc>
          <w:tcPr>
            <w:tcW w:w="438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F99573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eastAsia" w:eastAsia="宋体" w:cs="Times New Roman"/>
                <w:i w:val="0"/>
                <w:color w:val="000000"/>
                <w:kern w:val="0"/>
                <w:sz w:val="24"/>
                <w:szCs w:val="24"/>
                <w:u w:val="none"/>
                <w:lang w:val="en-US" w:eastAsia="zh-CN" w:bidi="ar"/>
              </w:rPr>
              <w:t>0</w:t>
            </w:r>
          </w:p>
        </w:tc>
      </w:tr>
      <w:tr w14:paraId="44273A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5EFF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年度总体</w:t>
            </w:r>
          </w:p>
          <w:p w14:paraId="3DFF572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目标</w:t>
            </w:r>
          </w:p>
        </w:tc>
        <w:tc>
          <w:tcPr>
            <w:tcW w:w="9251"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94A3069">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宣传落实好党的路线、方针、政策和国家的法律、法规，极高、培育村民委员会自制能力。认真落实县委县政府决策部署及县委县政府工作会议精神，紧紧围绕中心、服务大局。充分发挥乡党委乡政府作用，提升服务质量，坚定政治方向、践行为民服务、坚持实事求是、用于改革创新、守住廉洁底线。推进疫情防控工作，在服务全县工作大局中发挥积极作用。</w:t>
            </w:r>
          </w:p>
        </w:tc>
      </w:tr>
      <w:tr w14:paraId="5437CB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84" w:hRule="atLeast"/>
          <w:jc w:val="center"/>
        </w:trPr>
        <w:tc>
          <w:tcPr>
            <w:tcW w:w="1309" w:type="dxa"/>
            <w:vMerge w:val="restart"/>
            <w:tcBorders>
              <w:top w:val="single" w:color="000000" w:sz="4" w:space="0"/>
              <w:left w:val="single" w:color="000000" w:sz="4" w:space="0"/>
              <w:right w:val="single" w:color="000000" w:sz="4" w:space="0"/>
            </w:tcBorders>
            <w:shd w:val="clear" w:color="auto" w:fill="auto"/>
            <w:vAlign w:val="center"/>
          </w:tcPr>
          <w:p w14:paraId="167B5C3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年度主要</w:t>
            </w:r>
          </w:p>
          <w:p w14:paraId="4D754AA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任务</w:t>
            </w: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811E5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任务名称</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4E98A7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主要内容</w:t>
            </w:r>
          </w:p>
        </w:tc>
      </w:tr>
      <w:tr w14:paraId="6208DE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left w:val="single" w:color="000000" w:sz="4" w:space="0"/>
              <w:right w:val="single" w:color="000000" w:sz="4" w:space="0"/>
            </w:tcBorders>
            <w:shd w:val="clear" w:color="auto" w:fill="auto"/>
            <w:vAlign w:val="center"/>
          </w:tcPr>
          <w:p w14:paraId="6659D3C9">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51B466">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党政办公室</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C6BAAAA">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eastAsia" w:ascii="Times New Roman" w:hAnsi="Times New Roman" w:eastAsia="宋体" w:cs="Times New Roman"/>
                <w:i w:val="0"/>
                <w:color w:val="000000"/>
                <w:kern w:val="0"/>
                <w:sz w:val="24"/>
                <w:szCs w:val="24"/>
                <w:u w:val="none"/>
                <w:lang w:val="en-US" w:eastAsia="zh-CN" w:bidi="ar"/>
              </w:rPr>
              <w:t>检查和督促党的方针政策及重要工作计划的贯彻实施情况，负责起草党委、政府文件及各种文稿，负责做好重大问题归口报告，认真做好上情下达、下情上达；负责来文来电办理，及时、准确、保密；</w:t>
            </w:r>
          </w:p>
        </w:tc>
      </w:tr>
      <w:tr w14:paraId="28F4F2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left w:val="single" w:color="000000" w:sz="4" w:space="0"/>
              <w:right w:val="single" w:color="000000" w:sz="4" w:space="0"/>
            </w:tcBorders>
            <w:shd w:val="clear" w:color="auto" w:fill="auto"/>
            <w:vAlign w:val="center"/>
          </w:tcPr>
          <w:p w14:paraId="2E2C9455">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BAF80B">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综合发展办公室</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47EAF27">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负责贯彻执行党和国家及省、市、县关于扶贫开发工作方针、政策和法律、法规；研究制定和草拟镇扶贫开发中长期规划和年度计划，并组织实施；</w:t>
            </w:r>
          </w:p>
        </w:tc>
      </w:tr>
      <w:tr w14:paraId="554865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left w:val="single" w:color="000000" w:sz="4" w:space="0"/>
              <w:right w:val="single" w:color="000000" w:sz="4" w:space="0"/>
            </w:tcBorders>
            <w:shd w:val="clear" w:color="auto" w:fill="auto"/>
            <w:vAlign w:val="center"/>
          </w:tcPr>
          <w:p w14:paraId="4AF3DE94">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CCE19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财政所</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0082BDA">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负责组织和管理镇财政收入和支出；编制年度预决算，执行镇人代会批准的财政预算，对镇财力进行综合平衡；配合上级财政及有关部门组织项目实施及相关工作；负责管理镇行政事业单位和其他组织的预算外资金；负责管理镇政府债务、管理镇资产；加强财务管理，提高理财水平，建立严格的财务管理制度，量财办事，勤俭节约，做好政府后勤工作；坚持“以人为本、从严理财”的原则，规范财务管理制度。</w:t>
            </w:r>
          </w:p>
        </w:tc>
      </w:tr>
      <w:tr w14:paraId="73AE96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left w:val="single" w:color="000000" w:sz="4" w:space="0"/>
              <w:right w:val="single" w:color="000000" w:sz="4" w:space="0"/>
            </w:tcBorders>
            <w:shd w:val="clear" w:color="auto" w:fill="auto"/>
            <w:vAlign w:val="center"/>
          </w:tcPr>
          <w:p w14:paraId="780D1634">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C3C8A1">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经济发展服务中心</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24D5BF8">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负责全镇辖区内畜牧生产统计工作；负责全镇辖区内重大动物疫病强制免疫的免疫质量、疫病监测，消毒工作和病死畜禽无害化处理的技术指导，规模畜禽养殖场动物防疫监控，疫情报告工作；负责全镇辖区内兽医新技术推广和村级动物防疫员的业务培训、指导、监督管理；</w:t>
            </w:r>
          </w:p>
        </w:tc>
      </w:tr>
      <w:tr w14:paraId="1E5411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left w:val="single" w:color="000000" w:sz="4" w:space="0"/>
              <w:right w:val="single" w:color="000000" w:sz="4" w:space="0"/>
            </w:tcBorders>
            <w:shd w:val="clear" w:color="auto" w:fill="auto"/>
            <w:vAlign w:val="center"/>
          </w:tcPr>
          <w:p w14:paraId="4AECDAD0">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D38231">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社会事业服务中心</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CCF9321">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贯彻执行党和国家的方针、政策和民政工作的有关政策、法律、法规，制定年度民政工作计划并组织实施，协助镇党政府搞好民政工作；贯彻执行城镇居民和农村居民最低生活保障制度，申报、发放最低生活保障金，实行动态管理，落实好农村五保供养政策，使鳏寡孤独人员、孤儿应保尽保;做好敬老院的监督、管理工作；准确调查、掌握残疾人的状况和需求，建档立卡; 密切联系残疾人，听取残疾人意见，反映残疾人需求，维护残疾人权益，为残疾人服务;</w:t>
            </w:r>
          </w:p>
        </w:tc>
      </w:tr>
      <w:tr w14:paraId="266869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left w:val="single" w:color="000000" w:sz="4" w:space="0"/>
              <w:right w:val="single" w:color="000000" w:sz="4" w:space="0"/>
            </w:tcBorders>
            <w:shd w:val="clear" w:color="auto" w:fill="auto"/>
            <w:vAlign w:val="center"/>
          </w:tcPr>
          <w:p w14:paraId="4E9A576F">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6CBD9D">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便民服务中心</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31A6C75">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贯彻执行党和国家的法律、法规和方针、政策; 加强政治理论和业务学习，及时掌握新的政策、法规及办事程序; 负责规范化服务的宣传、培训管理工作; 负责政府网站的管理和内容的更新工作; 撰写、编制、报送相关的各种信息、资料、报表; 完成党委、政府安排的其他工作。</w:t>
            </w:r>
          </w:p>
        </w:tc>
      </w:tr>
      <w:tr w14:paraId="1CCE12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left w:val="single" w:color="000000" w:sz="4" w:space="0"/>
              <w:right w:val="single" w:color="000000" w:sz="4" w:space="0"/>
            </w:tcBorders>
            <w:shd w:val="clear" w:color="auto" w:fill="auto"/>
            <w:vAlign w:val="center"/>
          </w:tcPr>
          <w:p w14:paraId="12594EC1">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E25FE6">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农业农村服务中心</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14F8C3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负责涉农法规的宣传、贯彻、执行，编制农业技术推广计划; 对农村土地承包、农村集体资产、农民负担进行监督、审计和管理; 宣传贯彻执行森林法和林业工作的方针、政策、法律、法规; 协助政府制定全镇林业发展规划和年度计划，保护和管理辖区林业资源; 负责本镇境内的水土保持、监督、预防及水土流失的治理工作; 负责本镇的农田水利基本建设规划、勘测设计、组织施工、技术指导、质量管理工作。</w:t>
            </w:r>
          </w:p>
        </w:tc>
      </w:tr>
      <w:tr w14:paraId="486199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left w:val="single" w:color="000000" w:sz="4" w:space="0"/>
              <w:right w:val="single" w:color="000000" w:sz="4" w:space="0"/>
            </w:tcBorders>
            <w:shd w:val="clear" w:color="auto" w:fill="auto"/>
            <w:vAlign w:val="center"/>
          </w:tcPr>
          <w:p w14:paraId="3B2E385B">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709819">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维护稳定办公室</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02DE173">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宣传党和政府的方针、政策和法律、法规，做好群众的思想工作；落实上级有关群众工作的部署，负责本镇群众工作的综合管理、协调服务工作，解决群众诉求；做好人民调解工作，防止民间纠纷激化；协助政法部门加强对外来人口的管理，严厉打击各种犯罪活动，维护社会稳定；建立健全治安防范组织；搞好社会治安综合治理工作；积极创建文明安全村（社区）；对群众关心的热难点问题和不稳定隐患定期排查；开展信访和群众工作调查研究，贯彻执行有关社会治安综合治理的法律、法规和方针、政策。</w:t>
            </w:r>
          </w:p>
        </w:tc>
      </w:tr>
      <w:tr w14:paraId="691902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left w:val="single" w:color="000000" w:sz="4" w:space="0"/>
              <w:right w:val="single" w:color="000000" w:sz="4" w:space="0"/>
            </w:tcBorders>
            <w:shd w:val="clear" w:color="auto" w:fill="auto"/>
            <w:vAlign w:val="center"/>
          </w:tcPr>
          <w:p w14:paraId="634ABCBD">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F918CA">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城镇工作办公室</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E521AAE">
            <w:pPr>
              <w:keepNext w:val="0"/>
              <w:keepLines w:val="0"/>
              <w:pageBreakBefore w:val="0"/>
              <w:widowControl/>
              <w:suppressLineNumbers w:val="0"/>
              <w:tabs>
                <w:tab w:val="left" w:pos="2276"/>
              </w:tabs>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eastAsia" w:eastAsia="宋体" w:cs="Times New Roman"/>
                <w:i w:val="0"/>
                <w:color w:val="000000"/>
                <w:kern w:val="0"/>
                <w:sz w:val="24"/>
                <w:szCs w:val="24"/>
                <w:u w:val="none"/>
                <w:lang w:val="en-US" w:eastAsia="zh-CN" w:bidi="ar"/>
              </w:rPr>
              <w:tab/>
            </w:r>
            <w:r>
              <w:rPr>
                <w:rFonts w:hint="eastAsia" w:eastAsia="宋体" w:cs="Times New Roman"/>
                <w:i w:val="0"/>
                <w:color w:val="000000"/>
                <w:kern w:val="0"/>
                <w:sz w:val="24"/>
                <w:szCs w:val="24"/>
                <w:u w:val="none"/>
                <w:lang w:val="en-US" w:eastAsia="zh-CN" w:bidi="ar"/>
              </w:rPr>
              <w:t>负责本辖区内土地出让、村居民建房手续的初核上报工作；负责配合上级部门搞好辖区内各村（居）委土地利用总体规划；协同村（社区）搞好本辖区内的土地纠纷的调处工作；负责上级主管部门开展辖区内的市政建设等基础设施工作；负责配合协调上级部门搞好本区域内涉及的征地拆迁和安置工作；协同上级部门搞好经济适用房、廉租房等的统计、核实、上报工作；负责配合、协调上级部门搞好城镇建设的其他相关工作。</w:t>
            </w:r>
          </w:p>
        </w:tc>
      </w:tr>
      <w:tr w14:paraId="64D79A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left w:val="single" w:color="000000" w:sz="4" w:space="0"/>
              <w:right w:val="single" w:color="000000" w:sz="4" w:space="0"/>
            </w:tcBorders>
            <w:shd w:val="clear" w:color="auto" w:fill="auto"/>
            <w:vAlign w:val="center"/>
          </w:tcPr>
          <w:p w14:paraId="3FCC067A">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CD94F6">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事业机构主要职责</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5B898D6">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宣传落实好党的路线、方针、政策和国家的法律、法规，极高、培育村民委员会自制能力。</w:t>
            </w:r>
          </w:p>
        </w:tc>
      </w:tr>
      <w:tr w14:paraId="637EF7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left w:val="single" w:color="000000" w:sz="4" w:space="0"/>
              <w:bottom w:val="single" w:color="000000" w:sz="4" w:space="0"/>
              <w:right w:val="single" w:color="000000" w:sz="4" w:space="0"/>
            </w:tcBorders>
            <w:shd w:val="clear" w:color="auto" w:fill="auto"/>
            <w:vAlign w:val="center"/>
          </w:tcPr>
          <w:p w14:paraId="75B03C17">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2639A5">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行政机构工作职责</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4EBED62">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宣传落实好党的路线、方针、政策和国家的法律、法规，极高、培育村民委员会自制能力。</w:t>
            </w:r>
          </w:p>
        </w:tc>
      </w:tr>
      <w:tr w14:paraId="4673F8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C8DD4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年度绩效</w:t>
            </w:r>
          </w:p>
          <w:p w14:paraId="6054D07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0989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一级指标</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7351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二级指标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1C46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三级指标</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43F42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绩效指标</w:t>
            </w:r>
          </w:p>
          <w:p w14:paraId="044DAD0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性质</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8358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绩效指标值</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7CD7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绩效度量单位</w:t>
            </w:r>
          </w:p>
        </w:tc>
        <w:tc>
          <w:tcPr>
            <w:tcW w:w="926" w:type="dxa"/>
            <w:tcBorders>
              <w:top w:val="single" w:color="000000" w:sz="4" w:space="0"/>
              <w:left w:val="single" w:color="000000" w:sz="4" w:space="0"/>
              <w:bottom w:val="single" w:color="000000" w:sz="4" w:space="0"/>
            </w:tcBorders>
            <w:shd w:val="clear" w:color="auto" w:fill="auto"/>
            <w:vAlign w:val="center"/>
          </w:tcPr>
          <w:p w14:paraId="7D809B3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权重</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890C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实际完成</w:t>
            </w:r>
          </w:p>
          <w:p w14:paraId="41C7E5F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指标值</w:t>
            </w:r>
          </w:p>
        </w:tc>
      </w:tr>
      <w:tr w14:paraId="7C3350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7D255F">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ABEBE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产出指标</w:t>
            </w:r>
          </w:p>
        </w:tc>
        <w:tc>
          <w:tcPr>
            <w:tcW w:w="12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38B2E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数量指标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169E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科目调整次数</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A2E81D">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9CA26">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sz w:val="24"/>
                <w:szCs w:val="24"/>
                <w:u w:val="none"/>
              </w:rPr>
            </w:pPr>
            <w:r>
              <w:rPr>
                <w:rFonts w:hint="eastAsia" w:eastAsia="宋体" w:cs="Times New Roman"/>
                <w:i w:val="0"/>
                <w:color w:val="000000"/>
                <w:kern w:val="0"/>
                <w:sz w:val="24"/>
                <w:szCs w:val="24"/>
                <w:u w:val="none"/>
                <w:lang w:val="en-US" w:eastAsia="zh-CN" w:bidi="ar"/>
              </w:rPr>
              <w:t>5</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4835B">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次</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F8483">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10%</w:t>
            </w:r>
          </w:p>
        </w:tc>
        <w:tc>
          <w:tcPr>
            <w:tcW w:w="1113" w:type="dxa"/>
            <w:tcBorders>
              <w:left w:val="single" w:color="000000" w:sz="4" w:space="0"/>
              <w:bottom w:val="single" w:color="000000" w:sz="4" w:space="0"/>
              <w:right w:val="single" w:color="000000" w:sz="4" w:space="0"/>
            </w:tcBorders>
            <w:shd w:val="clear" w:color="auto" w:fill="auto"/>
            <w:vAlign w:val="center"/>
          </w:tcPr>
          <w:p w14:paraId="5D8E9F36">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sz w:val="24"/>
                <w:szCs w:val="24"/>
                <w:u w:val="none"/>
              </w:rPr>
            </w:pPr>
          </w:p>
        </w:tc>
      </w:tr>
      <w:tr w14:paraId="7850BC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B93876">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D67CA6">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2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BF8204">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41D63">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全乡职工人员经费保障率</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D71E89">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1A471">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11A2A">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09610">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15%</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52698">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p>
        </w:tc>
      </w:tr>
      <w:tr w14:paraId="1A8632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91F746">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C8110C">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A367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质量指标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8831B">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预算编制准确率</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BC5D7F">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188CB">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98</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A1320">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5B537">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15%</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1802D">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p>
        </w:tc>
      </w:tr>
      <w:tr w14:paraId="0C2583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AE8766">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90D183">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5024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时效指标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0F0CA">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按时发放相应经费</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561DC5">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4134F">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95E64">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005FB">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E4731">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p>
        </w:tc>
      </w:tr>
      <w:tr w14:paraId="56ECDF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7CB0A8">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restart"/>
            <w:tcBorders>
              <w:top w:val="single" w:color="000000" w:sz="4" w:space="0"/>
              <w:left w:val="single" w:color="000000" w:sz="4" w:space="0"/>
              <w:right w:val="single" w:color="000000" w:sz="4" w:space="0"/>
            </w:tcBorders>
            <w:shd w:val="clear" w:color="auto" w:fill="auto"/>
            <w:vAlign w:val="center"/>
          </w:tcPr>
          <w:p w14:paraId="0CE50C5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效益指标</w:t>
            </w:r>
          </w:p>
        </w:tc>
        <w:tc>
          <w:tcPr>
            <w:tcW w:w="1273" w:type="dxa"/>
            <w:vMerge w:val="restart"/>
            <w:tcBorders>
              <w:top w:val="single" w:color="000000" w:sz="4" w:space="0"/>
              <w:left w:val="single" w:color="000000" w:sz="4" w:space="0"/>
              <w:right w:val="single" w:color="000000" w:sz="4" w:space="0"/>
            </w:tcBorders>
            <w:shd w:val="clear" w:color="auto" w:fill="auto"/>
            <w:vAlign w:val="center"/>
          </w:tcPr>
          <w:p w14:paraId="205D9D3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eastAsia" w:eastAsia="宋体" w:cs="Times New Roman"/>
                <w:i w:val="0"/>
                <w:color w:val="000000"/>
                <w:kern w:val="0"/>
                <w:sz w:val="24"/>
                <w:szCs w:val="24"/>
                <w:u w:val="none"/>
                <w:lang w:val="en-US" w:eastAsia="zh-CN" w:bidi="ar"/>
              </w:rPr>
              <w:t>经济</w:t>
            </w:r>
            <w:r>
              <w:rPr>
                <w:rFonts w:hint="default" w:ascii="Times New Roman" w:hAnsi="Times New Roman" w:eastAsia="宋体" w:cs="Times New Roman"/>
                <w:i w:val="0"/>
                <w:color w:val="000000"/>
                <w:kern w:val="0"/>
                <w:sz w:val="24"/>
                <w:szCs w:val="24"/>
                <w:u w:val="none"/>
                <w:lang w:val="en-US" w:eastAsia="zh-CN" w:bidi="ar"/>
              </w:rPr>
              <w:t>效益</w:t>
            </w:r>
          </w:p>
          <w:p w14:paraId="2E2FB6E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73959">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三公经费控制率</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C5A52A">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985F4">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100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18F66">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BD67B">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631A3">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p>
        </w:tc>
      </w:tr>
      <w:tr w14:paraId="417DC7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4BFAC2">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continue"/>
            <w:tcBorders>
              <w:left w:val="single" w:color="000000" w:sz="4" w:space="0"/>
              <w:right w:val="single" w:color="000000" w:sz="4" w:space="0"/>
            </w:tcBorders>
            <w:shd w:val="clear" w:color="auto" w:fill="auto"/>
            <w:vAlign w:val="center"/>
          </w:tcPr>
          <w:p w14:paraId="09073641">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273" w:type="dxa"/>
            <w:vMerge w:val="continue"/>
            <w:tcBorders>
              <w:top w:val="single" w:color="000000" w:sz="4" w:space="0"/>
              <w:left w:val="single" w:color="000000" w:sz="4" w:space="0"/>
              <w:right w:val="single" w:color="000000" w:sz="4" w:space="0"/>
            </w:tcBorders>
            <w:shd w:val="clear" w:color="auto" w:fill="auto"/>
            <w:vAlign w:val="center"/>
          </w:tcPr>
          <w:p w14:paraId="2F27AE52">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2EEA3">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预算结余率</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725BA7">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2E09F">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5</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390FF">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1DA0B">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15%</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EC408">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p>
        </w:tc>
      </w:tr>
      <w:tr w14:paraId="50B9DA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6DD40B">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continue"/>
            <w:tcBorders>
              <w:left w:val="single" w:color="000000" w:sz="4" w:space="0"/>
              <w:right w:val="single" w:color="000000" w:sz="4" w:space="0"/>
            </w:tcBorders>
            <w:shd w:val="clear" w:color="auto" w:fill="auto"/>
            <w:vAlign w:val="center"/>
          </w:tcPr>
          <w:p w14:paraId="626F3690">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76C6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eastAsia="宋体" w:cs="Times New Roman"/>
                <w:i w:val="0"/>
                <w:color w:val="000000"/>
                <w:kern w:val="0"/>
                <w:sz w:val="24"/>
                <w:szCs w:val="24"/>
                <w:u w:val="none"/>
                <w:lang w:val="en-US" w:eastAsia="zh-CN" w:bidi="ar"/>
              </w:rPr>
            </w:pPr>
            <w:r>
              <w:rPr>
                <w:rFonts w:hint="eastAsia" w:eastAsia="宋体" w:cs="Times New Roman"/>
                <w:i w:val="0"/>
                <w:color w:val="000000"/>
                <w:kern w:val="0"/>
                <w:sz w:val="24"/>
                <w:szCs w:val="24"/>
                <w:u w:val="none"/>
                <w:lang w:val="en-US" w:eastAsia="zh-CN" w:bidi="ar"/>
              </w:rPr>
              <w:t>社会效益指标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76C1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eastAsia="宋体" w:cs="Times New Roman"/>
                <w:i w:val="0"/>
                <w:color w:val="000000"/>
                <w:kern w:val="0"/>
                <w:sz w:val="24"/>
                <w:szCs w:val="24"/>
                <w:u w:val="none"/>
                <w:lang w:val="en-US" w:eastAsia="zh-CN" w:bidi="ar"/>
              </w:rPr>
            </w:pPr>
            <w:r>
              <w:rPr>
                <w:rFonts w:hint="default" w:eastAsia="宋体" w:cs="Times New Roman"/>
                <w:i w:val="0"/>
                <w:color w:val="000000"/>
                <w:kern w:val="0"/>
                <w:sz w:val="24"/>
                <w:szCs w:val="24"/>
                <w:u w:val="none"/>
                <w:lang w:val="en-US" w:eastAsia="zh-CN" w:bidi="ar"/>
              </w:rPr>
              <w:t>防火、防汛、文化和相关政策方针等宣传</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DBCA4F">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2453C">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50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8C175">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次</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A1050">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15%</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36A97">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p>
        </w:tc>
      </w:tr>
      <w:tr w14:paraId="5CB617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020D6D">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continue"/>
            <w:tcBorders>
              <w:left w:val="single" w:color="000000" w:sz="4" w:space="0"/>
              <w:bottom w:val="single" w:color="000000" w:sz="4" w:space="0"/>
              <w:right w:val="single" w:color="000000" w:sz="4" w:space="0"/>
            </w:tcBorders>
            <w:shd w:val="clear" w:color="auto" w:fill="auto"/>
            <w:vAlign w:val="center"/>
          </w:tcPr>
          <w:p w14:paraId="4E7611A6">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0F27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eastAsia="宋体" w:cs="Times New Roman"/>
                <w:i w:val="0"/>
                <w:color w:val="000000"/>
                <w:kern w:val="0"/>
                <w:sz w:val="24"/>
                <w:szCs w:val="24"/>
                <w:u w:val="none"/>
                <w:lang w:val="en-US" w:eastAsia="zh-CN" w:bidi="ar"/>
              </w:rPr>
            </w:pPr>
            <w:r>
              <w:rPr>
                <w:rFonts w:hint="default" w:eastAsia="宋体" w:cs="Times New Roman"/>
                <w:i w:val="0"/>
                <w:color w:val="000000"/>
                <w:kern w:val="0"/>
                <w:sz w:val="24"/>
                <w:szCs w:val="24"/>
                <w:u w:val="none"/>
                <w:lang w:val="en-US" w:eastAsia="zh-CN" w:bidi="ar"/>
              </w:rPr>
              <w:t>社会效益指标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CAB6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eastAsia="宋体" w:cs="Times New Roman"/>
                <w:i w:val="0"/>
                <w:color w:val="000000"/>
                <w:kern w:val="0"/>
                <w:sz w:val="24"/>
                <w:szCs w:val="24"/>
                <w:u w:val="none"/>
                <w:lang w:val="en-US" w:eastAsia="zh-CN" w:bidi="ar"/>
              </w:rPr>
            </w:pPr>
            <w:r>
              <w:rPr>
                <w:rFonts w:hint="default" w:eastAsia="宋体" w:cs="Times New Roman"/>
                <w:i w:val="0"/>
                <w:color w:val="000000"/>
                <w:kern w:val="0"/>
                <w:sz w:val="24"/>
                <w:szCs w:val="24"/>
                <w:u w:val="none"/>
                <w:lang w:val="en-US" w:eastAsia="zh-CN" w:bidi="ar"/>
              </w:rPr>
              <w:t>贯彻执行党和国家的方针、政策和民政工作的有关政策、法律、法规</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014320">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0FE1E">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100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98885">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6A839">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10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3A6F1">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p>
        </w:tc>
      </w:tr>
    </w:tbl>
    <w:p w14:paraId="2F08DC53">
      <w:pPr>
        <w:pStyle w:val="6"/>
        <w:rPr>
          <w:rFonts w:hint="eastAsia" w:ascii="Times New Roman" w:hAnsi="Times New Roman" w:eastAsia="黑体" w:cs="黑体"/>
          <w:color w:val="auto"/>
          <w:kern w:val="0"/>
          <w:sz w:val="32"/>
          <w:szCs w:val="32"/>
          <w:highlight w:val="none"/>
          <w:shd w:val="clear" w:color="auto" w:fill="FFFFFF"/>
          <w:lang w:val="zh-CN"/>
        </w:rPr>
      </w:pPr>
    </w:p>
    <w:p w14:paraId="0841B98C">
      <w:pPr>
        <w:pStyle w:val="6"/>
        <w:rPr>
          <w:rFonts w:hint="eastAsia" w:ascii="Times New Roman" w:hAnsi="Times New Roman" w:eastAsia="黑体" w:cs="黑体"/>
          <w:color w:val="auto"/>
          <w:kern w:val="0"/>
          <w:sz w:val="32"/>
          <w:szCs w:val="32"/>
          <w:highlight w:val="none"/>
          <w:shd w:val="clear" w:color="auto" w:fill="FFFFFF"/>
          <w:lang w:val="zh-CN"/>
        </w:rPr>
      </w:pPr>
    </w:p>
    <w:p w14:paraId="2CFC1CB6">
      <w:pPr>
        <w:pStyle w:val="6"/>
        <w:rPr>
          <w:rFonts w:hint="eastAsia" w:ascii="Times New Roman" w:hAnsi="Times New Roman" w:eastAsia="黑体" w:cs="黑体"/>
          <w:color w:val="auto"/>
          <w:kern w:val="0"/>
          <w:sz w:val="32"/>
          <w:szCs w:val="32"/>
          <w:highlight w:val="none"/>
          <w:shd w:val="clear" w:color="auto" w:fill="FFFFFF"/>
          <w:lang w:val="zh-CN"/>
        </w:rPr>
      </w:pPr>
    </w:p>
    <w:p w14:paraId="14EB2E9E">
      <w:pPr>
        <w:pStyle w:val="6"/>
        <w:rPr>
          <w:rFonts w:hint="eastAsia" w:ascii="Times New Roman" w:hAnsi="Times New Roman" w:eastAsia="黑体" w:cs="黑体"/>
          <w:color w:val="auto"/>
          <w:kern w:val="0"/>
          <w:sz w:val="32"/>
          <w:szCs w:val="32"/>
          <w:highlight w:val="none"/>
          <w:shd w:val="clear" w:color="auto" w:fill="FFFFFF"/>
          <w:lang w:val="zh-CN"/>
        </w:rPr>
      </w:pPr>
    </w:p>
    <w:p w14:paraId="323D1C38">
      <w:pPr>
        <w:pStyle w:val="6"/>
        <w:rPr>
          <w:rFonts w:hint="eastAsia" w:ascii="Times New Roman" w:hAnsi="Times New Roman" w:eastAsia="黑体" w:cs="黑体"/>
          <w:color w:val="auto"/>
          <w:kern w:val="0"/>
          <w:sz w:val="32"/>
          <w:szCs w:val="32"/>
          <w:highlight w:val="none"/>
          <w:shd w:val="clear" w:color="auto" w:fill="FFFFFF"/>
          <w:lang w:val="zh-CN"/>
        </w:rPr>
      </w:pPr>
    </w:p>
    <w:p w14:paraId="418F9BBE">
      <w:pPr>
        <w:pStyle w:val="6"/>
        <w:rPr>
          <w:rFonts w:hint="eastAsia" w:ascii="Times New Roman" w:hAnsi="Times New Roman" w:eastAsia="黑体" w:cs="黑体"/>
          <w:color w:val="auto"/>
          <w:kern w:val="0"/>
          <w:sz w:val="32"/>
          <w:szCs w:val="32"/>
          <w:highlight w:val="none"/>
          <w:shd w:val="clear" w:color="auto" w:fill="FFFFFF"/>
          <w:lang w:val="zh-CN"/>
        </w:rPr>
      </w:pPr>
    </w:p>
    <w:p w14:paraId="77A4828A">
      <w:pPr>
        <w:pStyle w:val="6"/>
        <w:rPr>
          <w:rFonts w:hint="eastAsia" w:ascii="Times New Roman" w:hAnsi="Times New Roman" w:eastAsia="黑体" w:cs="黑体"/>
          <w:color w:val="auto"/>
          <w:kern w:val="0"/>
          <w:sz w:val="32"/>
          <w:szCs w:val="32"/>
          <w:highlight w:val="none"/>
          <w:shd w:val="clear" w:color="auto" w:fill="FFFFFF"/>
          <w:lang w:val="zh-CN"/>
        </w:rPr>
      </w:pPr>
    </w:p>
    <w:p w14:paraId="347A60DC">
      <w:pPr>
        <w:pStyle w:val="6"/>
        <w:rPr>
          <w:rFonts w:hint="eastAsia" w:ascii="Times New Roman" w:hAnsi="Times New Roman" w:eastAsia="黑体" w:cs="黑体"/>
          <w:color w:val="auto"/>
          <w:kern w:val="0"/>
          <w:sz w:val="32"/>
          <w:szCs w:val="32"/>
          <w:highlight w:val="none"/>
          <w:shd w:val="clear" w:color="auto" w:fill="FFFFFF"/>
          <w:lang w:val="zh-CN"/>
        </w:rPr>
      </w:pPr>
    </w:p>
    <w:p w14:paraId="49A2A1E4">
      <w:pPr>
        <w:pStyle w:val="6"/>
        <w:rPr>
          <w:rFonts w:hint="eastAsia" w:ascii="Times New Roman" w:hAnsi="Times New Roman" w:eastAsia="黑体" w:cs="黑体"/>
          <w:color w:val="auto"/>
          <w:kern w:val="0"/>
          <w:sz w:val="32"/>
          <w:szCs w:val="32"/>
          <w:highlight w:val="none"/>
          <w:shd w:val="clear" w:color="auto" w:fill="FFFFFF"/>
          <w:lang w:val="zh-CN"/>
        </w:rPr>
      </w:pPr>
    </w:p>
    <w:p w14:paraId="00A23131">
      <w:pPr>
        <w:pStyle w:val="6"/>
        <w:rPr>
          <w:rFonts w:hint="eastAsia" w:ascii="Times New Roman" w:hAnsi="Times New Roman" w:eastAsia="黑体" w:cs="黑体"/>
          <w:color w:val="auto"/>
          <w:kern w:val="0"/>
          <w:sz w:val="32"/>
          <w:szCs w:val="32"/>
          <w:highlight w:val="none"/>
          <w:shd w:val="clear" w:color="auto" w:fill="FFFFFF"/>
          <w:lang w:val="zh-CN"/>
        </w:rPr>
      </w:pPr>
    </w:p>
    <w:p w14:paraId="7558EB47">
      <w:pPr>
        <w:pStyle w:val="6"/>
        <w:rPr>
          <w:rFonts w:hint="eastAsia" w:ascii="Times New Roman" w:hAnsi="Times New Roman" w:eastAsia="黑体" w:cs="黑体"/>
          <w:color w:val="auto"/>
          <w:kern w:val="0"/>
          <w:sz w:val="32"/>
          <w:szCs w:val="32"/>
          <w:highlight w:val="none"/>
          <w:shd w:val="clear" w:color="auto" w:fill="FFFFFF"/>
          <w:lang w:val="zh-CN"/>
        </w:rPr>
      </w:pPr>
    </w:p>
    <w:p w14:paraId="59F86ED9">
      <w:pPr>
        <w:pStyle w:val="6"/>
        <w:rPr>
          <w:rFonts w:hint="eastAsia" w:ascii="Times New Roman" w:hAnsi="Times New Roman" w:eastAsia="黑体" w:cs="黑体"/>
          <w:color w:val="auto"/>
          <w:kern w:val="0"/>
          <w:sz w:val="32"/>
          <w:szCs w:val="32"/>
          <w:highlight w:val="none"/>
          <w:shd w:val="clear" w:color="auto" w:fill="FFFFFF"/>
          <w:lang w:val="zh-CN"/>
        </w:rPr>
      </w:pPr>
    </w:p>
    <w:p w14:paraId="3ED48DFD">
      <w:pPr>
        <w:pStyle w:val="6"/>
        <w:rPr>
          <w:rFonts w:hint="eastAsia" w:ascii="Times New Roman" w:hAnsi="Times New Roman" w:eastAsia="黑体" w:cs="黑体"/>
          <w:color w:val="auto"/>
          <w:sz w:val="32"/>
          <w:szCs w:val="32"/>
          <w:highlight w:val="none"/>
          <w:lang w:val="en-US" w:eastAsia="zh-CN"/>
        </w:rPr>
      </w:pPr>
      <w:r>
        <w:rPr>
          <w:rFonts w:hint="eastAsia" w:ascii="Times New Roman" w:hAnsi="Times New Roman" w:eastAsia="黑体" w:cs="黑体"/>
          <w:color w:val="auto"/>
          <w:kern w:val="0"/>
          <w:sz w:val="32"/>
          <w:szCs w:val="32"/>
          <w:highlight w:val="none"/>
          <w:shd w:val="clear" w:color="auto" w:fill="FFFFFF"/>
          <w:lang w:val="zh-CN"/>
        </w:rPr>
        <w:t>附件</w:t>
      </w:r>
      <w:r>
        <w:rPr>
          <w:rFonts w:hint="eastAsia" w:ascii="Times New Roman" w:eastAsia="黑体" w:cs="黑体"/>
          <w:color w:val="auto"/>
          <w:kern w:val="0"/>
          <w:sz w:val="32"/>
          <w:szCs w:val="32"/>
          <w:highlight w:val="none"/>
          <w:shd w:val="clear" w:color="auto" w:fill="FFFFFF"/>
          <w:lang w:val="en-US" w:eastAsia="zh-CN"/>
        </w:rPr>
        <w:t>3</w:t>
      </w:r>
    </w:p>
    <w:p w14:paraId="19734394">
      <w:pPr>
        <w:pStyle w:val="40"/>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eastAsia" w:ascii="Times New Roman" w:hAnsi="Times New Roman" w:eastAsia="方正小标宋简体" w:cs="方正小标宋简体"/>
          <w:color w:val="auto"/>
          <w:kern w:val="2"/>
          <w:sz w:val="44"/>
          <w:szCs w:val="44"/>
          <w:highlight w:val="none"/>
          <w:lang w:val="en-US" w:eastAsia="zh-CN"/>
        </w:rPr>
      </w:pPr>
    </w:p>
    <w:p w14:paraId="18853DAA">
      <w:pPr>
        <w:pStyle w:val="40"/>
        <w:keepNext w:val="0"/>
        <w:keepLines w:val="0"/>
        <w:pageBreakBefore w:val="0"/>
        <w:widowControl w:val="0"/>
        <w:kinsoku/>
        <w:wordWrap/>
        <w:overflowPunct/>
        <w:topLinePunct w:val="0"/>
        <w:autoSpaceDE/>
        <w:autoSpaceDN/>
        <w:bidi w:val="0"/>
        <w:spacing w:line="578" w:lineRule="exact"/>
        <w:ind w:left="0" w:leftChars="0"/>
        <w:jc w:val="both"/>
        <w:textAlignment w:val="auto"/>
        <w:rPr>
          <w:rFonts w:hint="default" w:ascii="Times New Roman" w:hAnsi="Times New Roman" w:eastAsia="方正小标宋简体" w:cs="Times New Roman"/>
          <w:color w:val="auto"/>
          <w:kern w:val="2"/>
          <w:sz w:val="44"/>
          <w:szCs w:val="44"/>
          <w:highlight w:val="none"/>
          <w:lang w:val="en-US" w:eastAsia="zh-CN"/>
        </w:rPr>
      </w:pPr>
    </w:p>
    <w:p w14:paraId="1083A700">
      <w:pPr>
        <w:pStyle w:val="40"/>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eastAsia" w:ascii="Times New Roman" w:hAnsi="Times New Roman" w:eastAsia="方正小标宋简体" w:cs="Times New Roman"/>
          <w:color w:val="auto"/>
          <w:kern w:val="2"/>
          <w:sz w:val="44"/>
          <w:szCs w:val="44"/>
          <w:highlight w:val="none"/>
          <w:lang w:val="en-US" w:eastAsia="zh-CN"/>
        </w:rPr>
      </w:pPr>
      <w:r>
        <w:rPr>
          <w:rFonts w:hint="eastAsia" w:ascii="Times New Roman" w:hAnsi="Times New Roman" w:eastAsia="方正小标宋简体" w:cs="Times New Roman"/>
          <w:color w:val="auto"/>
          <w:kern w:val="2"/>
          <w:sz w:val="44"/>
          <w:szCs w:val="44"/>
          <w:highlight w:val="none"/>
          <w:lang w:val="en-US" w:eastAsia="zh-CN"/>
        </w:rPr>
        <w:t>俄热乡人民政府</w:t>
      </w:r>
    </w:p>
    <w:p w14:paraId="1C13DB6B">
      <w:pPr>
        <w:ind w:firstLine="1760" w:firstLineChars="400"/>
        <w:rPr>
          <w:rFonts w:hint="default" w:ascii="Times New Roman" w:hAnsi="Times New Roman" w:eastAsia="方正小标宋简体" w:cs="Times New Roman"/>
          <w:color w:val="auto"/>
          <w:kern w:val="2"/>
          <w:sz w:val="44"/>
          <w:szCs w:val="44"/>
          <w:highlight w:val="none"/>
          <w:lang w:val="en-US" w:eastAsia="zh-CN"/>
        </w:rPr>
      </w:pPr>
      <w:r>
        <w:rPr>
          <w:rFonts w:hint="default" w:ascii="Times New Roman" w:hAnsi="Times New Roman" w:eastAsia="方正小标宋简体" w:cs="Times New Roman"/>
          <w:color w:val="auto"/>
          <w:kern w:val="2"/>
          <w:sz w:val="44"/>
          <w:szCs w:val="44"/>
          <w:highlight w:val="none"/>
          <w:lang w:val="en-US" w:eastAsia="zh-CN"/>
        </w:rPr>
        <w:t>专项预算绩效自评报告</w:t>
      </w:r>
    </w:p>
    <w:p w14:paraId="2E917BAC">
      <w:pPr>
        <w:pStyle w:val="40"/>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default" w:ascii="Times New Roman" w:hAnsi="Times New Roman" w:eastAsia="仿宋_GB2312" w:cs="Times New Roman"/>
          <w:color w:val="auto"/>
          <w:kern w:val="2"/>
          <w:sz w:val="32"/>
          <w:szCs w:val="32"/>
          <w:highlight w:val="none"/>
          <w:lang w:val="en-US" w:eastAsia="zh-CN"/>
        </w:rPr>
      </w:pPr>
    </w:p>
    <w:p w14:paraId="5904667E">
      <w:pPr>
        <w:pStyle w:val="40"/>
        <w:keepNext w:val="0"/>
        <w:keepLines w:val="0"/>
        <w:pageBreakBefore w:val="0"/>
        <w:widowControl w:val="0"/>
        <w:kinsoku/>
        <w:wordWrap/>
        <w:overflowPunct/>
        <w:topLinePunct w:val="0"/>
        <w:autoSpaceDE/>
        <w:autoSpaceDN/>
        <w:bidi w:val="0"/>
        <w:spacing w:line="578" w:lineRule="exact"/>
        <w:ind w:left="0" w:leftChars="0" w:firstLine="640"/>
        <w:jc w:val="center"/>
        <w:textAlignment w:val="auto"/>
        <w:rPr>
          <w:rFonts w:hint="default" w:ascii="仿宋_GB2312" w:hAnsi="Times New Roman" w:eastAsia="仿宋_GB2312" w:cs="Arial"/>
          <w:color w:val="auto"/>
          <w:kern w:val="2"/>
          <w:sz w:val="32"/>
          <w:szCs w:val="32"/>
          <w:lang w:val="en-US" w:eastAsia="zh-CN" w:bidi="ar-SA"/>
        </w:rPr>
      </w:pPr>
    </w:p>
    <w:p w14:paraId="215BB9A2">
      <w:pPr>
        <w:ind w:firstLine="321" w:firstLineChars="100"/>
        <w:rPr>
          <w:rFonts w:hint="default" w:ascii="Times New Roman" w:hAnsi="Times New Roman" w:eastAsia="楷体_GB2312" w:cs="Times New Roman"/>
          <w:b/>
          <w:color w:val="auto"/>
          <w:sz w:val="32"/>
          <w:szCs w:val="32"/>
          <w:highlight w:val="none"/>
          <w:u w:val="none"/>
          <w:lang w:val="zh-CN" w:eastAsia="zh-CN"/>
        </w:rPr>
      </w:pPr>
      <w:r>
        <w:rPr>
          <w:rFonts w:hint="default" w:ascii="Times New Roman" w:hAnsi="Times New Roman" w:eastAsia="楷体_GB2312" w:cs="Times New Roman"/>
          <w:b/>
          <w:color w:val="auto"/>
          <w:sz w:val="32"/>
          <w:szCs w:val="32"/>
          <w:highlight w:val="none"/>
          <w:u w:val="none"/>
          <w:lang w:val="en-US" w:eastAsia="zh-CN"/>
        </w:rPr>
        <w:t>一、</w:t>
      </w:r>
      <w:r>
        <w:rPr>
          <w:rFonts w:hint="default" w:ascii="Times New Roman" w:hAnsi="Times New Roman" w:eastAsia="楷体_GB2312" w:cs="Times New Roman"/>
          <w:b/>
          <w:color w:val="auto"/>
          <w:sz w:val="32"/>
          <w:szCs w:val="32"/>
          <w:highlight w:val="none"/>
          <w:u w:val="none"/>
          <w:lang w:val="zh-CN" w:eastAsia="zh-CN"/>
        </w:rPr>
        <w:t>项目概况</w:t>
      </w:r>
    </w:p>
    <w:p w14:paraId="4ADE78DE">
      <w:pPr>
        <w:ind w:firstLine="321" w:firstLineChars="100"/>
        <w:rPr>
          <w:rFonts w:hint="eastAsia" w:ascii="Times New Roman" w:hAnsi="Times New Roman" w:eastAsia="楷体_GB2312" w:cs="Times New Roman"/>
          <w:b/>
          <w:color w:val="auto"/>
          <w:sz w:val="32"/>
          <w:szCs w:val="32"/>
          <w:highlight w:val="none"/>
          <w:u w:val="none"/>
          <w:lang w:val="zh-CN" w:eastAsia="zh-CN"/>
        </w:rPr>
      </w:pPr>
      <w:r>
        <w:rPr>
          <w:rFonts w:hint="default" w:ascii="Times New Roman" w:hAnsi="Times New Roman" w:eastAsia="楷体_GB2312" w:cs="Times New Roman"/>
          <w:b/>
          <w:color w:val="auto"/>
          <w:sz w:val="32"/>
          <w:szCs w:val="32"/>
          <w:highlight w:val="none"/>
          <w:u w:val="none"/>
          <w:lang w:val="zh-CN" w:eastAsia="zh-CN"/>
        </w:rPr>
        <w:t>（一）设立背景及基本情况</w:t>
      </w:r>
      <w:r>
        <w:rPr>
          <w:rFonts w:hint="eastAsia" w:ascii="Times New Roman" w:hAnsi="Times New Roman" w:eastAsia="楷体_GB2312" w:cs="Times New Roman"/>
          <w:b/>
          <w:color w:val="auto"/>
          <w:sz w:val="32"/>
          <w:szCs w:val="32"/>
          <w:highlight w:val="none"/>
          <w:u w:val="none"/>
          <w:lang w:val="zh-CN" w:eastAsia="zh-CN"/>
        </w:rPr>
        <w:t>。</w:t>
      </w:r>
    </w:p>
    <w:p w14:paraId="77B2A45A">
      <w:pPr>
        <w:spacing w:line="560" w:lineRule="exact"/>
        <w:ind w:firstLine="640" w:firstLineChars="200"/>
        <w:rPr>
          <w:rFonts w:hint="default" w:ascii="仿宋_GB2312" w:hAnsi="Times New Roman" w:eastAsia="仿宋_GB2312" w:cs="Arial"/>
          <w:color w:val="auto"/>
          <w:kern w:val="2"/>
          <w:sz w:val="32"/>
          <w:szCs w:val="32"/>
          <w:lang w:val="zh-CN" w:eastAsia="zh-CN" w:bidi="ar-SA"/>
        </w:rPr>
      </w:pPr>
      <w:r>
        <w:rPr>
          <w:rFonts w:hint="eastAsia" w:ascii="仿宋_GB2312" w:eastAsia="仿宋_GB2312" w:cs="Arial"/>
          <w:sz w:val="32"/>
          <w:szCs w:val="32"/>
          <w:lang w:val="en-US" w:eastAsia="zh-CN"/>
        </w:rPr>
        <w:t>俄热乡距离</w:t>
      </w:r>
      <w:r>
        <w:rPr>
          <w:rFonts w:hint="default" w:ascii="仿宋_GB2312" w:eastAsia="仿宋_GB2312" w:cs="Arial"/>
          <w:sz w:val="32"/>
          <w:szCs w:val="32"/>
          <w:lang w:val="zh-CN" w:eastAsia="zh-CN"/>
        </w:rPr>
        <w:t>县城120公里，</w:t>
      </w:r>
      <w:r>
        <w:rPr>
          <w:rFonts w:hint="eastAsia" w:ascii="仿宋_GB2312" w:eastAsia="仿宋_GB2312" w:cs="Arial"/>
          <w:sz w:val="32"/>
          <w:szCs w:val="32"/>
          <w:lang w:val="en-US" w:eastAsia="zh-CN"/>
        </w:rPr>
        <w:t>地处两州三乡交界处，近年来我乡</w:t>
      </w:r>
      <w:r>
        <w:rPr>
          <w:rFonts w:hint="eastAsia" w:ascii="仿宋_GB2312" w:eastAsia="仿宋_GB2312"/>
          <w:sz w:val="32"/>
          <w:szCs w:val="32"/>
        </w:rPr>
        <w:t>坚持统筹发展的原则，坚持因地制宜，科学规划的原则，坚持政府主导，通过</w:t>
      </w:r>
      <w:r>
        <w:rPr>
          <w:rFonts w:hint="default" w:ascii="Times New Roman" w:hAnsi="Times New Roman" w:eastAsia="仿宋_GB2312" w:cs="Times New Roman"/>
          <w:color w:val="auto"/>
          <w:kern w:val="2"/>
          <w:sz w:val="32"/>
          <w:szCs w:val="32"/>
          <w:highlight w:val="none"/>
          <w:lang w:val="en-US" w:eastAsia="zh-CN"/>
        </w:rPr>
        <w:t>俄热乡村内安全饮水提升改造项目</w:t>
      </w:r>
      <w:r>
        <w:rPr>
          <w:rFonts w:hint="default" w:ascii="仿宋_GB2312" w:eastAsia="仿宋_GB2312"/>
          <w:sz w:val="32"/>
          <w:szCs w:val="32"/>
        </w:rPr>
        <w:t>有效改善</w:t>
      </w:r>
      <w:r>
        <w:rPr>
          <w:rFonts w:hint="default" w:ascii="仿宋_GB2312" w:eastAsia="仿宋_GB2312"/>
          <w:sz w:val="32"/>
          <w:szCs w:val="32"/>
          <w:lang w:val="en-US" w:eastAsia="zh-CN"/>
        </w:rPr>
        <w:t>现有人畜用水</w:t>
      </w:r>
      <w:r>
        <w:rPr>
          <w:rFonts w:hint="default" w:ascii="仿宋_GB2312" w:eastAsia="仿宋_GB2312"/>
          <w:sz w:val="32"/>
          <w:szCs w:val="32"/>
        </w:rPr>
        <w:t>条件，</w:t>
      </w:r>
      <w:r>
        <w:rPr>
          <w:rFonts w:hint="default" w:ascii="仿宋_GB2312" w:hAnsi="Times New Roman" w:eastAsia="仿宋_GB2312" w:cs="Arial"/>
          <w:color w:val="auto"/>
          <w:kern w:val="2"/>
          <w:sz w:val="32"/>
          <w:szCs w:val="32"/>
          <w:lang w:val="en-US" w:eastAsia="zh-CN" w:bidi="ar-SA"/>
        </w:rPr>
        <w:t>新建建设基井2口及其相关配套设备，进一步改善水源水质，提高群众的饮水安全水平。将有效改善现有人畜用水条件，促进地区经济发展，对加快宜居宜业和美乡村建设提供有力的支撑。</w:t>
      </w:r>
      <w:r>
        <w:rPr>
          <w:rFonts w:hint="default" w:ascii="仿宋_GB2312" w:eastAsia="仿宋_GB2312"/>
          <w:sz w:val="32"/>
          <w:szCs w:val="32"/>
        </w:rPr>
        <w:t>促进地区经济发展，对加</w:t>
      </w:r>
      <w:r>
        <w:rPr>
          <w:rFonts w:hint="default" w:ascii="仿宋_GB2312" w:eastAsia="仿宋_GB2312"/>
          <w:sz w:val="32"/>
          <w:szCs w:val="32"/>
          <w:lang w:val="en-US" w:eastAsia="zh-CN"/>
        </w:rPr>
        <w:t>快宜居宜业和美乡村建设</w:t>
      </w:r>
      <w:r>
        <w:rPr>
          <w:rFonts w:hint="default" w:ascii="仿宋_GB2312" w:eastAsia="仿宋_GB2312"/>
          <w:sz w:val="32"/>
          <w:szCs w:val="32"/>
        </w:rPr>
        <w:t>提供有力的支撑。</w:t>
      </w:r>
      <w:r>
        <w:rPr>
          <w:rFonts w:hint="eastAsia" w:ascii="仿宋_GB2312" w:eastAsia="仿宋_GB2312"/>
          <w:sz w:val="32"/>
          <w:szCs w:val="32"/>
          <w:lang w:val="en-US" w:eastAsia="zh-CN"/>
        </w:rPr>
        <w:t>通过俄热乡英布汝村人居坏境提升改造项目有效改善我乡环境卫生，提高了村民对卫生的认识，提高了群众生活水平，为当地乡村振兴、经济发展提供坚实的基础保障，</w:t>
      </w:r>
      <w:r>
        <w:rPr>
          <w:rFonts w:hint="default" w:ascii="仿宋_GB2312" w:hAnsi="Times New Roman" w:eastAsia="仿宋_GB2312" w:cs="Arial"/>
          <w:color w:val="auto"/>
          <w:kern w:val="2"/>
          <w:sz w:val="32"/>
          <w:szCs w:val="32"/>
          <w:lang w:val="zh-CN" w:eastAsia="zh-CN" w:bidi="ar-SA"/>
        </w:rPr>
        <w:t>近年来，在党委政府的关怀下，</w:t>
      </w:r>
      <w:r>
        <w:rPr>
          <w:rFonts w:hint="eastAsia" w:ascii="仿宋_GB2312" w:eastAsia="仿宋_GB2312" w:cs="Arial"/>
          <w:color w:val="auto"/>
          <w:kern w:val="2"/>
          <w:sz w:val="32"/>
          <w:szCs w:val="32"/>
          <w:lang w:val="en-US" w:eastAsia="zh-CN" w:bidi="ar-SA"/>
        </w:rPr>
        <w:t>我乡</w:t>
      </w:r>
      <w:r>
        <w:rPr>
          <w:rFonts w:hint="default" w:ascii="仿宋_GB2312" w:hAnsi="Times New Roman" w:eastAsia="仿宋_GB2312" w:cs="Arial"/>
          <w:color w:val="auto"/>
          <w:kern w:val="2"/>
          <w:sz w:val="32"/>
          <w:szCs w:val="32"/>
          <w:lang w:val="zh-CN" w:eastAsia="zh-CN" w:bidi="ar-SA"/>
        </w:rPr>
        <w:t>不断调整产业结构，大力进行水电开发，完善基础设施，加大技能培训力度，群众经济生活条件得到了明显的改善，全村整体发展得到了长</w:t>
      </w:r>
      <w:r>
        <w:rPr>
          <w:rFonts w:hint="default" w:ascii="仿宋_GB2312" w:hAnsi="Times New Roman" w:eastAsia="仿宋_GB2312" w:cs="Arial"/>
          <w:color w:val="auto"/>
          <w:kern w:val="2"/>
          <w:sz w:val="32"/>
          <w:szCs w:val="32"/>
          <w:lang w:val="en-US" w:eastAsia="zh-CN" w:bidi="ar-SA"/>
        </w:rPr>
        <w:t>远</w:t>
      </w:r>
      <w:r>
        <w:rPr>
          <w:rFonts w:hint="default" w:ascii="仿宋_GB2312" w:hAnsi="Times New Roman" w:eastAsia="仿宋_GB2312" w:cs="Arial"/>
          <w:color w:val="auto"/>
          <w:kern w:val="2"/>
          <w:sz w:val="32"/>
          <w:szCs w:val="32"/>
          <w:lang w:val="zh-CN" w:eastAsia="zh-CN" w:bidi="ar-SA"/>
        </w:rPr>
        <w:t>的进步。</w:t>
      </w:r>
    </w:p>
    <w:p w14:paraId="31F7AED2">
      <w:pPr>
        <w:numPr>
          <w:ilvl w:val="0"/>
          <w:numId w:val="5"/>
        </w:numPr>
        <w:snapToGrid w:val="0"/>
        <w:spacing w:line="600" w:lineRule="exact"/>
        <w:ind w:left="0" w:firstLine="643" w:firstLineChars="200"/>
        <w:rPr>
          <w:rFonts w:hint="default" w:ascii="Times New Roman" w:hAnsi="Times New Roman" w:eastAsia="楷体_GB2312" w:cs="Times New Roman"/>
          <w:b/>
          <w:color w:val="auto"/>
          <w:sz w:val="32"/>
          <w:szCs w:val="32"/>
          <w:highlight w:val="none"/>
          <w:u w:val="none"/>
          <w:lang w:val="en-US" w:eastAsia="zh-CN"/>
        </w:rPr>
      </w:pPr>
      <w:r>
        <w:rPr>
          <w:rFonts w:hint="default" w:ascii="Times New Roman" w:hAnsi="Times New Roman" w:eastAsia="楷体_GB2312" w:cs="Times New Roman"/>
          <w:b/>
          <w:color w:val="auto"/>
          <w:sz w:val="32"/>
          <w:szCs w:val="32"/>
          <w:highlight w:val="none"/>
          <w:u w:val="none"/>
          <w:lang w:val="en-US" w:eastAsia="zh-CN"/>
        </w:rPr>
        <w:t>实施目的及支持方向。</w:t>
      </w:r>
    </w:p>
    <w:p w14:paraId="7E95D977">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rPr>
          <w:rFonts w:hint="eastAsia" w:ascii="仿宋_GB2312" w:eastAsia="仿宋_GB2312"/>
          <w:sz w:val="32"/>
          <w:szCs w:val="32"/>
        </w:rPr>
      </w:pPr>
      <w:r>
        <w:rPr>
          <w:rFonts w:hint="eastAsia" w:ascii="仿宋_GB2312" w:eastAsia="仿宋_GB2312"/>
          <w:sz w:val="32"/>
          <w:szCs w:val="32"/>
        </w:rPr>
        <w:t>按照有关规定和工作安排，我单位</w:t>
      </w:r>
      <w:r>
        <w:rPr>
          <w:rFonts w:hint="eastAsia" w:ascii="仿宋_GB2312" w:eastAsia="仿宋_GB2312"/>
          <w:sz w:val="32"/>
          <w:szCs w:val="32"/>
          <w:lang w:eastAsia="zh-CN"/>
        </w:rPr>
        <w:t>对该</w:t>
      </w:r>
      <w:r>
        <w:rPr>
          <w:rFonts w:hint="eastAsia" w:ascii="仿宋_GB2312" w:eastAsia="仿宋_GB2312"/>
          <w:sz w:val="32"/>
          <w:szCs w:val="32"/>
          <w:lang w:val="en-US" w:eastAsia="zh-CN"/>
        </w:rPr>
        <w:t>3个</w:t>
      </w:r>
      <w:r>
        <w:rPr>
          <w:rFonts w:hint="eastAsia" w:ascii="仿宋_GB2312" w:eastAsia="仿宋_GB2312"/>
          <w:sz w:val="32"/>
          <w:szCs w:val="32"/>
          <w:lang w:eastAsia="zh-CN"/>
        </w:rPr>
        <w:t>项目</w:t>
      </w:r>
      <w:r>
        <w:rPr>
          <w:rFonts w:hint="eastAsia" w:ascii="仿宋_GB2312" w:eastAsia="仿宋_GB2312"/>
          <w:sz w:val="32"/>
          <w:szCs w:val="32"/>
        </w:rPr>
        <w:t>开展</w:t>
      </w:r>
      <w:r>
        <w:rPr>
          <w:rFonts w:hint="eastAsia" w:ascii="仿宋_GB2312" w:eastAsia="仿宋_GB2312"/>
          <w:sz w:val="32"/>
          <w:szCs w:val="32"/>
          <w:lang w:eastAsia="zh-CN"/>
        </w:rPr>
        <w:t>了</w:t>
      </w:r>
      <w:r>
        <w:rPr>
          <w:rFonts w:hint="eastAsia" w:ascii="仿宋_GB2312" w:eastAsia="仿宋_GB2312"/>
          <w:sz w:val="32"/>
          <w:szCs w:val="32"/>
        </w:rPr>
        <w:t>自行评估，通过召开</w:t>
      </w:r>
      <w:r>
        <w:rPr>
          <w:rFonts w:hint="eastAsia" w:ascii="仿宋_GB2312" w:eastAsia="仿宋_GB2312"/>
          <w:sz w:val="32"/>
          <w:szCs w:val="32"/>
          <w:lang w:eastAsia="zh-CN"/>
        </w:rPr>
        <w:t>会议</w:t>
      </w:r>
      <w:r>
        <w:rPr>
          <w:rFonts w:hint="eastAsia" w:ascii="仿宋_GB2312" w:eastAsia="仿宋_GB2312"/>
          <w:sz w:val="32"/>
          <w:szCs w:val="32"/>
          <w:lang w:val="en-US" w:eastAsia="zh-CN"/>
        </w:rPr>
        <w:t>、</w:t>
      </w:r>
      <w:r>
        <w:rPr>
          <w:rFonts w:hint="eastAsia" w:ascii="仿宋_GB2312" w:eastAsia="仿宋_GB2312"/>
          <w:sz w:val="32"/>
          <w:szCs w:val="32"/>
        </w:rPr>
        <w:t>问卷调查</w:t>
      </w:r>
      <w:r>
        <w:rPr>
          <w:rFonts w:hint="eastAsia" w:ascii="仿宋_GB2312" w:eastAsia="仿宋_GB2312"/>
          <w:sz w:val="32"/>
          <w:szCs w:val="32"/>
          <w:lang w:eastAsia="zh-CN"/>
        </w:rPr>
        <w:t>、</w:t>
      </w:r>
      <w:r>
        <w:rPr>
          <w:rFonts w:hint="eastAsia" w:ascii="仿宋_GB2312" w:eastAsia="仿宋_GB2312"/>
          <w:sz w:val="32"/>
          <w:szCs w:val="32"/>
        </w:rPr>
        <w:t>人大代表和政协委员参与等方式</w:t>
      </w:r>
      <w:r>
        <w:rPr>
          <w:rFonts w:hint="eastAsia" w:ascii="仿宋_GB2312" w:eastAsia="仿宋_GB2312"/>
          <w:sz w:val="32"/>
          <w:szCs w:val="32"/>
          <w:lang w:eastAsia="zh-CN"/>
        </w:rPr>
        <w:t>，</w:t>
      </w:r>
      <w:r>
        <w:rPr>
          <w:rFonts w:hint="eastAsia" w:ascii="仿宋_GB2312" w:eastAsia="仿宋_GB2312"/>
          <w:sz w:val="32"/>
          <w:szCs w:val="32"/>
        </w:rPr>
        <w:t>收集被评估项目相关基础资料，查阅资料、收集数据信息等，深入论证分析后，形成绩效评估报告。</w:t>
      </w:r>
    </w:p>
    <w:p w14:paraId="6984BBC7">
      <w:pPr>
        <w:keepNext w:val="0"/>
        <w:keepLines w:val="0"/>
        <w:pageBreakBefore w:val="0"/>
        <w:widowControl/>
        <w:numPr>
          <w:ilvl w:val="0"/>
          <w:numId w:val="5"/>
        </w:numPr>
        <w:kinsoku/>
        <w:wordWrap/>
        <w:overflowPunct/>
        <w:topLinePunct w:val="0"/>
        <w:autoSpaceDE/>
        <w:autoSpaceDN/>
        <w:bidi w:val="0"/>
        <w:adjustRightInd w:val="0"/>
        <w:snapToGrid w:val="0"/>
        <w:spacing w:line="578" w:lineRule="exact"/>
        <w:ind w:left="0" w:leftChars="0" w:firstLine="643" w:firstLineChars="200"/>
        <w:contextualSpacing/>
        <w:jc w:val="left"/>
        <w:textAlignment w:val="auto"/>
        <w:rPr>
          <w:rFonts w:hint="default" w:ascii="Times New Roman" w:hAnsi="Times New Roman" w:eastAsia="楷体_GB2312" w:cs="Times New Roman"/>
          <w:b/>
          <w:color w:val="auto"/>
          <w:kern w:val="0"/>
          <w:sz w:val="32"/>
          <w:szCs w:val="32"/>
          <w:highlight w:val="none"/>
          <w:u w:val="none"/>
          <w:lang w:val="zh-CN" w:eastAsia="zh-CN" w:bidi="ar-SA"/>
        </w:rPr>
      </w:pPr>
      <w:r>
        <w:rPr>
          <w:rFonts w:hint="default" w:ascii="Times New Roman" w:hAnsi="Times New Roman" w:eastAsia="楷体_GB2312" w:cs="Times New Roman"/>
          <w:b/>
          <w:color w:val="auto"/>
          <w:kern w:val="0"/>
          <w:sz w:val="32"/>
          <w:szCs w:val="32"/>
          <w:highlight w:val="none"/>
          <w:u w:val="none"/>
          <w:lang w:val="en-US" w:eastAsia="zh-CN" w:bidi="ar-SA"/>
        </w:rPr>
        <w:t>预算安排及分配管理</w:t>
      </w:r>
      <w:r>
        <w:rPr>
          <w:rFonts w:hint="default" w:ascii="Times New Roman" w:hAnsi="Times New Roman" w:eastAsia="楷体_GB2312" w:cs="Times New Roman"/>
          <w:b/>
          <w:color w:val="auto"/>
          <w:kern w:val="0"/>
          <w:sz w:val="32"/>
          <w:szCs w:val="32"/>
          <w:highlight w:val="none"/>
          <w:u w:val="none"/>
          <w:lang w:val="zh-CN" w:eastAsia="zh-CN" w:bidi="ar-SA"/>
        </w:rPr>
        <w:t>。</w:t>
      </w:r>
    </w:p>
    <w:p w14:paraId="7E8F0F42">
      <w:pPr>
        <w:ind w:firstLine="640" w:firstLineChars="200"/>
        <w:rPr>
          <w:rFonts w:hint="default" w:ascii="仿宋_GB2312" w:hAnsi="Times New Roman" w:eastAsia="仿宋_GB2312" w:cs="Arial"/>
          <w:color w:val="auto"/>
          <w:kern w:val="2"/>
          <w:sz w:val="32"/>
          <w:szCs w:val="32"/>
          <w:lang w:val="zh-CN" w:eastAsia="zh-CN" w:bidi="ar-SA"/>
        </w:rPr>
      </w:pPr>
      <w:r>
        <w:rPr>
          <w:rFonts w:hint="eastAsia" w:ascii="仿宋_GB2312" w:eastAsia="仿宋_GB2312"/>
          <w:sz w:val="32"/>
          <w:szCs w:val="32"/>
        </w:rPr>
        <w:t>项目申报预算</w:t>
      </w:r>
      <w:r>
        <w:rPr>
          <w:rFonts w:hint="eastAsia" w:ascii="仿宋_GB2312" w:eastAsia="仿宋_GB2312"/>
          <w:sz w:val="32"/>
          <w:szCs w:val="32"/>
          <w:lang w:val="en-US" w:eastAsia="zh-CN"/>
        </w:rPr>
        <w:t>34.58</w:t>
      </w:r>
      <w:r>
        <w:rPr>
          <w:rFonts w:hint="eastAsia" w:ascii="仿宋_GB2312" w:eastAsia="仿宋_GB2312"/>
          <w:sz w:val="32"/>
          <w:szCs w:val="32"/>
        </w:rPr>
        <w:t>万元，</w:t>
      </w:r>
      <w:r>
        <w:rPr>
          <w:rFonts w:hint="eastAsia" w:ascii="仿宋_GB2312" w:eastAsia="仿宋_GB2312"/>
          <w:sz w:val="32"/>
          <w:szCs w:val="32"/>
          <w:lang w:val="en-US" w:eastAsia="zh-CN"/>
        </w:rPr>
        <w:t>2024年度</w:t>
      </w:r>
      <w:r>
        <w:rPr>
          <w:rFonts w:hint="eastAsia" w:ascii="仿宋_GB2312" w:eastAsia="仿宋_GB2312"/>
          <w:sz w:val="32"/>
          <w:szCs w:val="32"/>
        </w:rPr>
        <w:t>申报金额为</w:t>
      </w:r>
      <w:r>
        <w:rPr>
          <w:rFonts w:hint="eastAsia" w:ascii="仿宋_GB2312" w:eastAsia="仿宋_GB2312"/>
          <w:sz w:val="32"/>
          <w:szCs w:val="32"/>
          <w:lang w:val="en-US" w:eastAsia="zh-CN"/>
        </w:rPr>
        <w:t>34.58</w:t>
      </w:r>
      <w:r>
        <w:rPr>
          <w:rFonts w:hint="eastAsia" w:ascii="仿宋_GB2312" w:eastAsia="仿宋_GB2312"/>
          <w:sz w:val="32"/>
          <w:szCs w:val="32"/>
        </w:rPr>
        <w:t>万元，资金来源</w:t>
      </w:r>
      <w:r>
        <w:rPr>
          <w:rFonts w:hint="default" w:ascii="Times New Roman" w:hAnsi="Times New Roman" w:eastAsia="仿宋_GB2312" w:cs="Times New Roman"/>
          <w:color w:val="auto"/>
          <w:kern w:val="2"/>
          <w:sz w:val="32"/>
          <w:szCs w:val="32"/>
          <w:highlight w:val="none"/>
          <w:lang w:val="en-US" w:eastAsia="zh-CN"/>
        </w:rPr>
        <w:t>俄热乡村内安全饮水提升改造项目</w:t>
      </w:r>
      <w:r>
        <w:rPr>
          <w:rFonts w:hint="eastAsia" w:eastAsia="仿宋_GB2312" w:cs="Times New Roman"/>
          <w:color w:val="auto"/>
          <w:kern w:val="2"/>
          <w:sz w:val="32"/>
          <w:szCs w:val="32"/>
          <w:highlight w:val="none"/>
          <w:lang w:val="en-US" w:eastAsia="zh-CN"/>
        </w:rPr>
        <w:t>19.58万元；</w:t>
      </w:r>
      <w:r>
        <w:rPr>
          <w:rFonts w:hint="eastAsia" w:ascii="仿宋_GB2312" w:eastAsia="仿宋_GB2312"/>
          <w:sz w:val="32"/>
          <w:szCs w:val="32"/>
          <w:lang w:val="en-US" w:eastAsia="zh-CN"/>
        </w:rPr>
        <w:t>俄热乡英布汝村人居坏境提升改造项目15万元。</w:t>
      </w:r>
      <w:r>
        <w:rPr>
          <w:rFonts w:hint="eastAsia" w:ascii="仿宋_GB2312" w:eastAsia="仿宋_GB2312"/>
          <w:sz w:val="32"/>
          <w:szCs w:val="32"/>
        </w:rPr>
        <w:t>本次对项目投入经济性的评估是在项目事前绩效评估、预算测算的基础上，按照厉行节约的要求，结合项目202</w:t>
      </w:r>
      <w:r>
        <w:rPr>
          <w:rFonts w:hint="eastAsia" w:ascii="仿宋_GB2312" w:eastAsia="仿宋_GB2312"/>
          <w:sz w:val="32"/>
          <w:szCs w:val="32"/>
          <w:lang w:val="en-US" w:eastAsia="zh-CN"/>
        </w:rPr>
        <w:t>4</w:t>
      </w:r>
      <w:r>
        <w:rPr>
          <w:rFonts w:hint="eastAsia" w:ascii="仿宋_GB2312" w:eastAsia="仿宋_GB2312"/>
          <w:sz w:val="32"/>
          <w:szCs w:val="32"/>
        </w:rPr>
        <w:t>年开支情况</w:t>
      </w:r>
      <w:r>
        <w:rPr>
          <w:rFonts w:hint="eastAsia" w:ascii="仿宋_GB2312" w:eastAsia="仿宋_GB2312"/>
          <w:sz w:val="32"/>
          <w:szCs w:val="32"/>
          <w:lang w:eastAsia="zh-CN"/>
        </w:rPr>
        <w:t>，</w:t>
      </w:r>
      <w:r>
        <w:rPr>
          <w:rFonts w:hint="eastAsia" w:ascii="仿宋_GB2312" w:eastAsia="仿宋_GB2312"/>
          <w:sz w:val="32"/>
          <w:szCs w:val="32"/>
        </w:rPr>
        <w:t>结合202</w:t>
      </w:r>
      <w:r>
        <w:rPr>
          <w:rFonts w:hint="eastAsia" w:ascii="仿宋_GB2312" w:eastAsia="仿宋_GB2312"/>
          <w:sz w:val="32"/>
          <w:szCs w:val="32"/>
          <w:lang w:val="en-US" w:eastAsia="zh-CN"/>
        </w:rPr>
        <w:t>4</w:t>
      </w:r>
      <w:r>
        <w:rPr>
          <w:rFonts w:hint="eastAsia" w:ascii="仿宋_GB2312" w:eastAsia="仿宋_GB2312"/>
          <w:sz w:val="32"/>
          <w:szCs w:val="32"/>
        </w:rPr>
        <w:t>年实际需求、相关费用标准及市场价格水平，重点对数量是否合理、投入是否经济、预算测算是否准确、测算过程是否详细、测算依据是否充分等方面进行了评估。评估认为，该项目任务数量基本合理、预算测算过程较为详细、测算依据基本充分、有一定的经济性。</w:t>
      </w:r>
    </w:p>
    <w:p w14:paraId="7C5790D7">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578" w:lineRule="exact"/>
        <w:ind w:leftChars="200"/>
        <w:textAlignment w:val="auto"/>
        <w:rPr>
          <w:rFonts w:hint="default" w:ascii="Times New Roman" w:hAnsi="Times New Roman" w:eastAsia="楷体_GB2312" w:cs="Times New Roman"/>
          <w:b/>
          <w:color w:val="auto"/>
          <w:sz w:val="32"/>
          <w:szCs w:val="32"/>
          <w:highlight w:val="none"/>
          <w:u w:val="none"/>
          <w:lang w:val="zh-CN" w:eastAsia="zh-CN"/>
        </w:rPr>
      </w:pPr>
      <w:r>
        <w:rPr>
          <w:rFonts w:hint="default" w:ascii="Times New Roman" w:hAnsi="Times New Roman" w:eastAsia="楷体_GB2312" w:cs="Times New Roman"/>
          <w:b/>
          <w:color w:val="auto"/>
          <w:sz w:val="32"/>
          <w:szCs w:val="32"/>
          <w:highlight w:val="none"/>
          <w:u w:val="none"/>
          <w:lang w:val="zh-CN" w:eastAsia="zh-CN"/>
        </w:rPr>
        <w:t>（四）项目绩效目标设置。</w:t>
      </w:r>
    </w:p>
    <w:p w14:paraId="581C4C8F">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textAlignment w:val="auto"/>
        <w:rPr>
          <w:rFonts w:ascii="仿宋_GB2312" w:eastAsia="仿宋_GB2312"/>
          <w:sz w:val="32"/>
          <w:szCs w:val="32"/>
          <w:lang w:val="zh-CN" w:eastAsia="zh-CN"/>
        </w:rPr>
      </w:pPr>
      <w:r>
        <w:rPr>
          <w:rFonts w:hint="eastAsia" w:ascii="仿宋_GB2312" w:eastAsia="仿宋_GB2312"/>
          <w:sz w:val="32"/>
          <w:szCs w:val="32"/>
        </w:rPr>
        <w:t>根据20</w:t>
      </w:r>
      <w:r>
        <w:rPr>
          <w:rFonts w:hint="eastAsia" w:ascii="仿宋_GB2312" w:eastAsia="仿宋_GB2312"/>
          <w:sz w:val="32"/>
          <w:szCs w:val="32"/>
          <w:lang w:val="en-US" w:eastAsia="zh-CN"/>
        </w:rPr>
        <w:t>24</w:t>
      </w:r>
      <w:r>
        <w:rPr>
          <w:rFonts w:hint="eastAsia" w:ascii="仿宋_GB2312" w:eastAsia="仿宋_GB2312"/>
          <w:sz w:val="32"/>
          <w:szCs w:val="32"/>
        </w:rPr>
        <w:t>年预算编制要求，事前绩效评估本着真正过紧日子的原则，厉行节约、精打细算，从严从紧控制项目申报和预算安排，非必要项目和工作内容可压尽压、应压尽压，做到客观、绩效、精准。通过事前绩效评估将绩效管理关口前移，为项目设立和预算安排提供重要参考依据，提高预算编制科学性、合理性，优化财政支出结构，从源头上防控财政资源配置的低效无效，提高财政资源配置效率和财政资金使用效益</w:t>
      </w:r>
      <w:r>
        <w:rPr>
          <w:rFonts w:hint="eastAsia" w:ascii="仿宋_GB2312" w:eastAsia="仿宋_GB2312"/>
          <w:sz w:val="32"/>
          <w:szCs w:val="32"/>
          <w:lang w:val="zh-CN" w:eastAsia="zh-CN"/>
        </w:rPr>
        <w:t>。</w:t>
      </w:r>
    </w:p>
    <w:p w14:paraId="1AA8FAF1">
      <w:pPr>
        <w:keepNext w:val="0"/>
        <w:keepLines w:val="0"/>
        <w:pageBreakBefore w:val="0"/>
        <w:widowControl w:val="0"/>
        <w:kinsoku/>
        <w:wordWrap/>
        <w:overflowPunct/>
        <w:topLinePunct w:val="0"/>
        <w:autoSpaceDE/>
        <w:autoSpaceDN/>
        <w:bidi w:val="0"/>
        <w:adjustRightInd w:val="0"/>
        <w:snapToGrid w:val="0"/>
        <w:spacing w:line="578" w:lineRule="exact"/>
        <w:textAlignment w:val="auto"/>
        <w:rPr>
          <w:rFonts w:hint="default" w:ascii="Times New Roman" w:hAnsi="Times New Roman" w:eastAsia="黑体" w:cs="Arial"/>
          <w:sz w:val="32"/>
          <w:szCs w:val="32"/>
          <w:highlight w:val="none"/>
          <w:lang w:val="en-US" w:eastAsia="zh-CN"/>
        </w:rPr>
      </w:pPr>
      <w:r>
        <w:rPr>
          <w:rFonts w:hint="default" w:ascii="Times New Roman" w:hAnsi="Times New Roman" w:eastAsia="黑体" w:cs="Arial"/>
          <w:sz w:val="32"/>
          <w:szCs w:val="32"/>
          <w:highlight w:val="none"/>
          <w:lang w:val="en-US" w:eastAsia="zh-CN"/>
        </w:rPr>
        <w:t>二、评价实施</w:t>
      </w:r>
    </w:p>
    <w:p w14:paraId="50E5263A">
      <w:pPr>
        <w:pStyle w:val="6"/>
        <w:keepNext w:val="0"/>
        <w:keepLines w:val="0"/>
        <w:pageBreakBefore w:val="0"/>
        <w:widowControl w:val="0"/>
        <w:tabs>
          <w:tab w:val="left" w:pos="2160"/>
        </w:tabs>
        <w:kinsoku/>
        <w:wordWrap/>
        <w:overflowPunct/>
        <w:topLinePunct/>
        <w:autoSpaceDE/>
        <w:autoSpaceDN/>
        <w:bidi w:val="0"/>
        <w:adjustRightInd/>
        <w:snapToGrid/>
        <w:spacing w:line="600" w:lineRule="exact"/>
        <w:ind w:firstLine="643" w:firstLineChars="200"/>
        <w:jc w:val="both"/>
        <w:textAlignment w:val="auto"/>
        <w:rPr>
          <w:rFonts w:hint="default" w:ascii="Times New Roman" w:hAnsi="Times New Roman" w:eastAsia="楷体_GB2312" w:cs="Times New Roman"/>
          <w:b/>
          <w:color w:val="auto"/>
          <w:kern w:val="2"/>
          <w:sz w:val="32"/>
          <w:szCs w:val="32"/>
          <w:highlight w:val="none"/>
          <w:u w:val="none"/>
          <w:lang w:val="zh-CN" w:eastAsia="zh-CN" w:bidi="ar-SA"/>
        </w:rPr>
      </w:pPr>
      <w:r>
        <w:rPr>
          <w:rFonts w:hint="default" w:ascii="Times New Roman" w:hAnsi="Times New Roman" w:eastAsia="楷体_GB2312" w:cs="Times New Roman"/>
          <w:b/>
          <w:color w:val="auto"/>
          <w:kern w:val="2"/>
          <w:sz w:val="32"/>
          <w:szCs w:val="32"/>
          <w:highlight w:val="none"/>
          <w:u w:val="none"/>
          <w:lang w:val="zh-CN" w:eastAsia="zh-CN" w:bidi="ar-SA"/>
        </w:rPr>
        <w:t>（一）评价目的。</w:t>
      </w:r>
    </w:p>
    <w:p w14:paraId="52E39C9C">
      <w:pPr>
        <w:pStyle w:val="6"/>
        <w:keepNext w:val="0"/>
        <w:keepLines w:val="0"/>
        <w:pageBreakBefore w:val="0"/>
        <w:widowControl w:val="0"/>
        <w:tabs>
          <w:tab w:val="left" w:pos="2160"/>
        </w:tabs>
        <w:kinsoku/>
        <w:wordWrap/>
        <w:overflowPunct/>
        <w:topLinePunct/>
        <w:autoSpaceDE/>
        <w:autoSpaceDN/>
        <w:bidi w:val="0"/>
        <w:adjustRightInd/>
        <w:snapToGrid/>
        <w:spacing w:line="600" w:lineRule="exact"/>
        <w:ind w:firstLine="640" w:firstLineChars="200"/>
        <w:jc w:val="both"/>
        <w:textAlignment w:val="auto"/>
        <w:rPr>
          <w:rFonts w:hint="default" w:ascii="仿宋_GB2312" w:hAnsi="Times New Roman" w:eastAsia="仿宋_GB2312" w:cs="Arial"/>
          <w:color w:val="auto"/>
          <w:kern w:val="2"/>
          <w:sz w:val="32"/>
          <w:szCs w:val="32"/>
          <w:lang w:val="en-US" w:eastAsia="zh-CN" w:bidi="ar-SA"/>
        </w:rPr>
      </w:pPr>
      <w:r>
        <w:rPr>
          <w:rFonts w:hint="default" w:ascii="仿宋_GB2312" w:hAnsi="Times New Roman" w:eastAsia="仿宋_GB2312" w:cs="Arial"/>
          <w:color w:val="auto"/>
          <w:kern w:val="2"/>
          <w:sz w:val="32"/>
          <w:szCs w:val="32"/>
          <w:lang w:val="en-US" w:eastAsia="zh-CN" w:bidi="ar-SA"/>
        </w:rPr>
        <w:t>对2024年</w:t>
      </w:r>
      <w:r>
        <w:rPr>
          <w:rFonts w:hint="default" w:ascii="仿宋_GB2312" w:hAnsi="Times New Roman" w:eastAsia="仿宋_GB2312" w:cs="Arial"/>
          <w:color w:val="auto"/>
          <w:kern w:val="2"/>
          <w:sz w:val="32"/>
          <w:szCs w:val="32"/>
          <w:lang w:val="zh-CN" w:eastAsia="zh-CN" w:bidi="ar-SA"/>
        </w:rPr>
        <w:t>项目</w:t>
      </w:r>
      <w:r>
        <w:rPr>
          <w:rFonts w:hint="default" w:ascii="仿宋_GB2312" w:hAnsi="Times New Roman" w:eastAsia="仿宋_GB2312" w:cs="Arial"/>
          <w:color w:val="auto"/>
          <w:kern w:val="2"/>
          <w:sz w:val="32"/>
          <w:szCs w:val="32"/>
          <w:lang w:val="en-US" w:eastAsia="zh-CN" w:bidi="ar-SA"/>
        </w:rPr>
        <w:t>开展绩效自评，同时对项目支出在项目依据、绩效目标、资金管理、过程控制、项目完成、项目效益等方面进行全面、客观、公正、科学的评价，对资金支出行为过程及其效果进行综合评价和判断，评价资金使用的科学性、合理性和有效性，分析存在的问题，提出资金管理、项目管理、完善制度机制、调整支出结构相关建议，为下一步资金安排和预算编制提供依据，不断提高资金使用效益。</w:t>
      </w:r>
    </w:p>
    <w:p w14:paraId="4628A28F">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left="0" w:leftChars="0" w:firstLine="643" w:firstLineChars="200"/>
        <w:textAlignment w:val="auto"/>
        <w:outlineLvl w:val="9"/>
        <w:rPr>
          <w:rFonts w:hint="default" w:ascii="Times New Roman" w:hAnsi="Times New Roman" w:eastAsia="楷体_GB2312" w:cs="Times New Roman"/>
          <w:b/>
          <w:color w:val="auto"/>
          <w:sz w:val="32"/>
          <w:szCs w:val="32"/>
          <w:highlight w:val="none"/>
          <w:u w:val="none"/>
          <w:lang w:val="zh-CN" w:eastAsia="zh-CN"/>
        </w:rPr>
      </w:pPr>
      <w:r>
        <w:rPr>
          <w:rFonts w:hint="eastAsia" w:ascii="Times New Roman" w:hAnsi="Times New Roman" w:eastAsia="楷体_GB2312" w:cs="Times New Roman"/>
          <w:b/>
          <w:color w:val="auto"/>
          <w:kern w:val="2"/>
          <w:sz w:val="32"/>
          <w:szCs w:val="32"/>
          <w:lang w:val="zh-CN" w:eastAsia="zh-CN" w:bidi="ar-SA"/>
        </w:rPr>
        <w:t>（二）</w:t>
      </w:r>
      <w:r>
        <w:rPr>
          <w:rFonts w:hint="default" w:ascii="Times New Roman" w:hAnsi="Times New Roman" w:eastAsia="楷体_GB2312" w:cs="Times New Roman"/>
          <w:b/>
          <w:color w:val="auto"/>
          <w:sz w:val="32"/>
          <w:szCs w:val="32"/>
          <w:highlight w:val="none"/>
          <w:u w:val="none"/>
          <w:lang w:val="zh-CN" w:eastAsia="zh-CN"/>
        </w:rPr>
        <w:t>预设问题及评价重点。</w:t>
      </w:r>
    </w:p>
    <w:p w14:paraId="12C23131">
      <w:pPr>
        <w:keepNext w:val="0"/>
        <w:keepLines w:val="0"/>
        <w:pageBreakBefore w:val="0"/>
        <w:widowControl w:val="0"/>
        <w:tabs>
          <w:tab w:val="left" w:pos="0"/>
        </w:tabs>
        <w:kinsoku/>
        <w:wordWrap/>
        <w:overflowPunct/>
        <w:topLinePunct w:val="0"/>
        <w:autoSpaceDE/>
        <w:autoSpaceDN/>
        <w:bidi w:val="0"/>
        <w:adjustRightInd w:val="0"/>
        <w:snapToGrid w:val="0"/>
        <w:spacing w:line="578" w:lineRule="exact"/>
        <w:ind w:left="0" w:firstLine="640" w:firstLineChars="200"/>
        <w:textAlignment w:val="auto"/>
        <w:rPr>
          <w:rFonts w:hint="eastAsia" w:ascii="Times New Roman" w:hAnsi="Times New Roman"/>
          <w:szCs w:val="32"/>
          <w:lang w:val="zh-CN"/>
        </w:rPr>
      </w:pPr>
      <w:r>
        <w:rPr>
          <w:rFonts w:hint="eastAsia" w:ascii="仿宋_GB2312" w:eastAsia="仿宋_GB2312"/>
          <w:sz w:val="32"/>
          <w:szCs w:val="32"/>
          <w:lang w:val="en-US" w:eastAsia="zh-CN"/>
        </w:rPr>
        <w:t>1、项目决策：</w:t>
      </w:r>
      <w:r>
        <w:rPr>
          <w:rFonts w:hint="eastAsia" w:ascii="仿宋_GB2312" w:eastAsia="仿宋_GB2312"/>
          <w:sz w:val="32"/>
          <w:szCs w:val="32"/>
          <w:lang w:val="zh-CN"/>
        </w:rPr>
        <w:t>项目决策程序符合资金管理基本规范和决策程序要求，项目规划符合中央、省委省政府有关决策部署安排，绩效目标科学合理、规范完整、量化细化、预算匹配，项目属于政府支持范围，且符合财政事权支出责任划分规定，资金投向与项目总体规划、相关行业事业发展相匹配，聚焦重大任务、重点领域、重点环节和重点项目，体现“集中财力办大事”原则，避免“撒胡椒面”，未与其他同类项目或部门内部相关项目交叉重复。</w:t>
      </w:r>
    </w:p>
    <w:p w14:paraId="77C897F1">
      <w:pPr>
        <w:keepNext w:val="0"/>
        <w:keepLines w:val="0"/>
        <w:pageBreakBefore w:val="0"/>
        <w:widowControl w:val="0"/>
        <w:tabs>
          <w:tab w:val="left" w:pos="0"/>
        </w:tabs>
        <w:kinsoku/>
        <w:wordWrap/>
        <w:overflowPunct/>
        <w:topLinePunct w:val="0"/>
        <w:autoSpaceDE/>
        <w:autoSpaceDN/>
        <w:bidi w:val="0"/>
        <w:adjustRightInd w:val="0"/>
        <w:snapToGrid w:val="0"/>
        <w:spacing w:line="578" w:lineRule="exact"/>
        <w:ind w:left="0" w:firstLine="640" w:firstLineChars="200"/>
        <w:textAlignment w:val="auto"/>
        <w:rPr>
          <w:rFonts w:hint="eastAsia" w:ascii="仿宋_GB2312" w:eastAsia="仿宋_GB2312"/>
          <w:sz w:val="32"/>
          <w:szCs w:val="32"/>
          <w:lang w:val="zh-CN"/>
        </w:rPr>
      </w:pPr>
      <w:r>
        <w:rPr>
          <w:rFonts w:hint="eastAsia" w:ascii="仿宋_GB2312" w:eastAsia="仿宋_GB2312"/>
          <w:sz w:val="32"/>
          <w:szCs w:val="32"/>
          <w:lang w:val="en-US" w:eastAsia="zh-CN"/>
        </w:rPr>
        <w:t>2、项目管理：</w:t>
      </w:r>
      <w:r>
        <w:rPr>
          <w:rFonts w:hint="eastAsia" w:ascii="仿宋_GB2312" w:eastAsia="仿宋_GB2312"/>
          <w:sz w:val="32"/>
          <w:szCs w:val="32"/>
          <w:lang w:val="zh-CN"/>
        </w:rPr>
        <w:t>资金管理办法等管理制度体系健全完善，不存在管理制度缺失、管理办法过期情况，资金分配严格按管理办法执行，决策程序是否符合管理要求，及时高效，项目按中省州县要求全面完成绩效目标（含事前评估）、绩效评价、以前年度问题整改等预算绩效管理工作，主管部门预算绩效管理要求到位，不存在对中省州县资金分配和项目管理指导力度不够的情况，对项目开展评价、监督、指导等工作。</w:t>
      </w:r>
    </w:p>
    <w:p w14:paraId="54E15653">
      <w:pPr>
        <w:keepNext w:val="0"/>
        <w:keepLines w:val="0"/>
        <w:pageBreakBefore w:val="0"/>
        <w:widowControl w:val="0"/>
        <w:tabs>
          <w:tab w:val="left" w:pos="0"/>
        </w:tabs>
        <w:kinsoku/>
        <w:wordWrap/>
        <w:overflowPunct/>
        <w:topLinePunct w:val="0"/>
        <w:autoSpaceDE/>
        <w:autoSpaceDN/>
        <w:bidi w:val="0"/>
        <w:adjustRightInd w:val="0"/>
        <w:snapToGrid w:val="0"/>
        <w:spacing w:line="578" w:lineRule="exact"/>
        <w:ind w:left="0" w:firstLine="640" w:firstLineChars="200"/>
        <w:textAlignment w:val="auto"/>
        <w:rPr>
          <w:rFonts w:hint="eastAsia" w:ascii="仿宋_GB2312" w:eastAsia="仿宋_GB2312"/>
          <w:sz w:val="32"/>
          <w:szCs w:val="32"/>
          <w:lang w:val="zh-CN"/>
        </w:rPr>
      </w:pPr>
      <w:r>
        <w:rPr>
          <w:rFonts w:hint="eastAsia" w:ascii="仿宋_GB2312" w:eastAsia="仿宋_GB2312"/>
          <w:sz w:val="32"/>
          <w:szCs w:val="32"/>
          <w:lang w:val="en-US" w:eastAsia="zh-CN"/>
        </w:rPr>
        <w:t>3、项目实施：</w:t>
      </w:r>
      <w:r>
        <w:rPr>
          <w:rFonts w:hint="eastAsia" w:ascii="仿宋_GB2312" w:eastAsia="仿宋_GB2312"/>
          <w:sz w:val="32"/>
          <w:szCs w:val="32"/>
          <w:lang w:val="zh-CN"/>
        </w:rPr>
        <w:t>项目资金财政拨付按时完成率</w:t>
      </w:r>
      <w:r>
        <w:rPr>
          <w:rFonts w:hint="eastAsia" w:ascii="仿宋_GB2312" w:eastAsia="仿宋_GB2312"/>
          <w:sz w:val="32"/>
          <w:szCs w:val="32"/>
          <w:lang w:val="en-US" w:eastAsia="zh-CN"/>
        </w:rPr>
        <w:t>100%</w:t>
      </w:r>
      <w:r>
        <w:rPr>
          <w:rFonts w:hint="eastAsia" w:ascii="仿宋_GB2312" w:eastAsia="仿宋_GB2312"/>
          <w:sz w:val="32"/>
          <w:szCs w:val="32"/>
          <w:lang w:val="zh-CN"/>
        </w:rPr>
        <w:t>、单位执行资金使用率为</w:t>
      </w:r>
      <w:r>
        <w:rPr>
          <w:rFonts w:hint="eastAsia" w:ascii="仿宋_GB2312" w:eastAsia="仿宋_GB2312"/>
          <w:sz w:val="32"/>
          <w:szCs w:val="32"/>
          <w:lang w:val="en-US" w:eastAsia="zh-CN"/>
        </w:rPr>
        <w:t>100%</w:t>
      </w:r>
      <w:r>
        <w:rPr>
          <w:rFonts w:hint="eastAsia" w:ascii="仿宋_GB2312" w:eastAsia="仿宋_GB2312"/>
          <w:sz w:val="32"/>
          <w:szCs w:val="32"/>
          <w:lang w:val="zh-CN"/>
        </w:rPr>
        <w:t>和地方配套资金到位率</w:t>
      </w:r>
      <w:r>
        <w:rPr>
          <w:rFonts w:hint="eastAsia" w:ascii="仿宋_GB2312" w:eastAsia="仿宋_GB2312"/>
          <w:sz w:val="32"/>
          <w:szCs w:val="32"/>
          <w:lang w:val="en-US" w:eastAsia="zh-CN"/>
        </w:rPr>
        <w:t>100%</w:t>
      </w:r>
      <w:r>
        <w:rPr>
          <w:rFonts w:hint="eastAsia" w:ascii="仿宋_GB2312" w:eastAsia="仿宋_GB2312"/>
          <w:sz w:val="32"/>
          <w:szCs w:val="32"/>
          <w:lang w:val="zh-CN"/>
        </w:rPr>
        <w:t>，项目资金使用、拨付符合国家财经法规、财务管理制度及有关专项资金管理制度办法规定和审批程序，不存在超范围、超标准、超进度使用专项资金，不存在资金损失浪费、长期沉淀、截留、挤占、挪用、虚列支出等情况，项目实施遵守相关法律法规。</w:t>
      </w:r>
    </w:p>
    <w:p w14:paraId="6E8862EB">
      <w:pPr>
        <w:keepNext w:val="0"/>
        <w:keepLines w:val="0"/>
        <w:pageBreakBefore w:val="0"/>
        <w:widowControl w:val="0"/>
        <w:tabs>
          <w:tab w:val="left" w:pos="0"/>
        </w:tabs>
        <w:kinsoku/>
        <w:wordWrap/>
        <w:overflowPunct/>
        <w:topLinePunct w:val="0"/>
        <w:autoSpaceDE/>
        <w:autoSpaceDN/>
        <w:bidi w:val="0"/>
        <w:adjustRightInd w:val="0"/>
        <w:snapToGrid w:val="0"/>
        <w:spacing w:line="578" w:lineRule="exact"/>
        <w:ind w:left="0" w:firstLine="640" w:firstLineChars="200"/>
        <w:textAlignment w:val="auto"/>
        <w:rPr>
          <w:rFonts w:hint="eastAsia" w:ascii="Times New Roman" w:hAnsi="Times New Roman"/>
          <w:szCs w:val="32"/>
          <w:lang w:eastAsia="zh-CN"/>
        </w:rPr>
      </w:pPr>
      <w:r>
        <w:rPr>
          <w:rFonts w:hint="eastAsia" w:ascii="仿宋_GB2312" w:eastAsia="仿宋_GB2312"/>
          <w:sz w:val="32"/>
          <w:szCs w:val="32"/>
          <w:lang w:val="en-US" w:eastAsia="zh-CN"/>
        </w:rPr>
        <w:t>4、项目结果：</w:t>
      </w:r>
      <w:r>
        <w:rPr>
          <w:rFonts w:hint="eastAsia" w:ascii="仿宋_GB2312" w:eastAsia="仿宋_GB2312"/>
          <w:sz w:val="32"/>
          <w:szCs w:val="32"/>
          <w:lang w:val="zh-CN"/>
        </w:rPr>
        <w:t>项目完成预期目标，实施结果与绩效目标相匹配，反映目标实现率</w:t>
      </w:r>
      <w:r>
        <w:rPr>
          <w:rFonts w:hint="eastAsia" w:ascii="仿宋_GB2312" w:eastAsia="仿宋_GB2312"/>
          <w:sz w:val="32"/>
          <w:szCs w:val="32"/>
          <w:lang w:val="en-US" w:eastAsia="zh-CN"/>
        </w:rPr>
        <w:t>100%</w:t>
      </w:r>
      <w:r>
        <w:rPr>
          <w:rFonts w:hint="eastAsia" w:ascii="仿宋_GB2312" w:eastAsia="仿宋_GB2312"/>
          <w:sz w:val="32"/>
          <w:szCs w:val="32"/>
          <w:lang w:val="zh-CN"/>
        </w:rPr>
        <w:t>，项目实际完成时间与计划完成时间的比较差异率为</w:t>
      </w:r>
      <w:r>
        <w:rPr>
          <w:rFonts w:hint="eastAsia" w:ascii="仿宋_GB2312" w:eastAsia="仿宋_GB2312"/>
          <w:sz w:val="32"/>
          <w:szCs w:val="32"/>
          <w:lang w:val="en-US" w:eastAsia="zh-CN"/>
        </w:rPr>
        <w:t>0%</w:t>
      </w:r>
      <w:r>
        <w:rPr>
          <w:rFonts w:hint="eastAsia" w:ascii="仿宋_GB2312" w:eastAsia="仿宋_GB2312"/>
          <w:sz w:val="32"/>
          <w:szCs w:val="32"/>
          <w:lang w:val="zh-CN" w:eastAsia="zh-CN"/>
        </w:rPr>
        <w:t>。</w:t>
      </w:r>
    </w:p>
    <w:p w14:paraId="7599174A">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643" w:firstLineChars="200"/>
        <w:textAlignment w:val="auto"/>
        <w:outlineLvl w:val="9"/>
        <w:rPr>
          <w:rFonts w:hint="default" w:ascii="Times New Roman" w:hAnsi="Times New Roman" w:eastAsia="楷体_GB2312" w:cs="Times New Roman"/>
          <w:b/>
          <w:color w:val="000000"/>
          <w:sz w:val="32"/>
          <w:szCs w:val="32"/>
          <w:highlight w:val="none"/>
          <w:u w:val="none"/>
          <w:lang w:val="zh-CN" w:eastAsia="zh-CN"/>
        </w:rPr>
      </w:pPr>
      <w:r>
        <w:rPr>
          <w:rFonts w:hint="default" w:ascii="Times New Roman" w:hAnsi="Times New Roman" w:eastAsia="楷体_GB2312" w:cs="Times New Roman"/>
          <w:b/>
          <w:color w:val="000000"/>
          <w:sz w:val="32"/>
          <w:szCs w:val="32"/>
          <w:highlight w:val="none"/>
          <w:u w:val="none"/>
          <w:lang w:val="zh-CN" w:eastAsia="zh-CN"/>
        </w:rPr>
        <w:t>（三）评价选点。</w:t>
      </w:r>
    </w:p>
    <w:p w14:paraId="57E2EF68">
      <w:pPr>
        <w:keepNext w:val="0"/>
        <w:keepLines w:val="0"/>
        <w:pageBreakBefore w:val="0"/>
        <w:widowControl w:val="0"/>
        <w:tabs>
          <w:tab w:val="left" w:pos="0"/>
        </w:tabs>
        <w:kinsoku/>
        <w:wordWrap/>
        <w:overflowPunct/>
        <w:topLinePunct w:val="0"/>
        <w:autoSpaceDE/>
        <w:autoSpaceDN/>
        <w:bidi w:val="0"/>
        <w:adjustRightInd w:val="0"/>
        <w:snapToGrid w:val="0"/>
        <w:spacing w:line="578" w:lineRule="exact"/>
        <w:ind w:left="0" w:firstLine="640" w:firstLineChars="200"/>
        <w:textAlignment w:val="auto"/>
        <w:rPr>
          <w:rFonts w:ascii="仿宋_GB2312" w:eastAsia="仿宋_GB2312"/>
          <w:sz w:val="32"/>
          <w:szCs w:val="32"/>
          <w:lang w:val="zh-CN" w:eastAsia="zh-CN"/>
        </w:rPr>
      </w:pPr>
      <w:r>
        <w:rPr>
          <w:rFonts w:ascii="仿宋_GB2312" w:eastAsia="仿宋_GB2312"/>
          <w:sz w:val="32"/>
          <w:szCs w:val="32"/>
          <w:lang w:val="zh-CN" w:eastAsia="zh-CN"/>
        </w:rPr>
        <w:t>项目绩效自评所抽样点位情况。每个专项预算项目</w:t>
      </w:r>
      <w:r>
        <w:rPr>
          <w:rFonts w:ascii="仿宋_GB2312" w:eastAsia="仿宋_GB2312"/>
          <w:sz w:val="32"/>
          <w:szCs w:val="32"/>
          <w:lang w:val="en-US" w:eastAsia="zh-CN"/>
        </w:rPr>
        <w:t>应选取</w:t>
      </w:r>
      <w:r>
        <w:rPr>
          <w:rFonts w:hint="eastAsia" w:ascii="仿宋_GB2312" w:eastAsia="仿宋_GB2312"/>
          <w:sz w:val="32"/>
          <w:szCs w:val="32"/>
          <w:lang w:val="en-US" w:eastAsia="zh-CN"/>
        </w:rPr>
        <w:t>专项资金分配涉及点位总数的20%</w:t>
      </w:r>
      <w:r>
        <w:rPr>
          <w:rFonts w:ascii="仿宋_GB2312" w:eastAsia="仿宋_GB2312"/>
          <w:sz w:val="32"/>
          <w:szCs w:val="32"/>
          <w:lang w:val="en-US" w:eastAsia="zh-CN"/>
        </w:rPr>
        <w:t>进行实地踏勘，且点位清单应作为自评附</w:t>
      </w:r>
      <w:r>
        <w:rPr>
          <w:rFonts w:hint="eastAsia" w:ascii="仿宋_GB2312" w:eastAsia="仿宋_GB2312"/>
          <w:sz w:val="32"/>
          <w:szCs w:val="32"/>
          <w:lang w:val="en-US" w:eastAsia="zh-CN"/>
        </w:rPr>
        <w:t>表</w:t>
      </w:r>
      <w:r>
        <w:rPr>
          <w:rFonts w:ascii="仿宋_GB2312" w:eastAsia="仿宋_GB2312"/>
          <w:sz w:val="32"/>
          <w:szCs w:val="32"/>
          <w:lang w:val="en-US" w:eastAsia="zh-CN"/>
        </w:rPr>
        <w:t>。</w:t>
      </w:r>
    </w:p>
    <w:p w14:paraId="467F92B3">
      <w:pPr>
        <w:numPr>
          <w:ilvl w:val="0"/>
          <w:numId w:val="0"/>
        </w:numPr>
        <w:tabs>
          <w:tab w:val="left" w:pos="0"/>
        </w:tabs>
        <w:snapToGrid w:val="0"/>
        <w:spacing w:line="600" w:lineRule="exact"/>
        <w:ind w:firstLine="643" w:firstLineChars="200"/>
        <w:rPr>
          <w:rFonts w:hint="eastAsia" w:ascii="Times New Roman" w:hAnsi="Times New Roman" w:eastAsia="楷体_GB2312" w:cs="Times New Roman"/>
          <w:b/>
          <w:color w:val="auto"/>
          <w:sz w:val="32"/>
          <w:szCs w:val="32"/>
          <w:highlight w:val="none"/>
          <w:u w:val="none"/>
          <w:lang w:val="en-US" w:eastAsia="zh-CN"/>
        </w:rPr>
      </w:pPr>
      <w:r>
        <w:rPr>
          <w:rFonts w:hint="eastAsia" w:eastAsia="楷体_GB2312" w:cs="Times New Roman"/>
          <w:b/>
          <w:color w:val="auto"/>
          <w:sz w:val="32"/>
          <w:szCs w:val="32"/>
          <w:highlight w:val="none"/>
          <w:u w:val="none"/>
          <w:lang w:val="en-US" w:eastAsia="zh-CN"/>
        </w:rPr>
        <w:t>（四）</w:t>
      </w:r>
      <w:r>
        <w:rPr>
          <w:rFonts w:hint="eastAsia" w:ascii="Times New Roman" w:hAnsi="Times New Roman" w:eastAsia="楷体_GB2312" w:cs="Times New Roman"/>
          <w:b/>
          <w:color w:val="auto"/>
          <w:sz w:val="32"/>
          <w:szCs w:val="32"/>
          <w:highlight w:val="none"/>
          <w:u w:val="none"/>
          <w:lang w:val="en-US" w:eastAsia="zh-CN"/>
        </w:rPr>
        <w:t>评价方法</w:t>
      </w:r>
    </w:p>
    <w:p w14:paraId="29C03599">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578" w:lineRule="exact"/>
        <w:ind w:firstLine="640" w:firstLineChars="200"/>
        <w:textAlignment w:val="auto"/>
        <w:outlineLvl w:val="9"/>
        <w:rPr>
          <w:rFonts w:hint="default" w:ascii="仿宋_GB2312" w:hAnsi="Times New Roman" w:eastAsia="仿宋_GB2312" w:cs="Arial"/>
          <w:color w:val="auto"/>
          <w:kern w:val="2"/>
          <w:sz w:val="32"/>
          <w:szCs w:val="32"/>
          <w:lang w:val="en-US" w:eastAsia="zh-CN" w:bidi="ar-SA"/>
        </w:rPr>
      </w:pPr>
      <w:r>
        <w:rPr>
          <w:rFonts w:hint="default" w:ascii="仿宋_GB2312" w:hAnsi="Times New Roman" w:eastAsia="仿宋_GB2312" w:cs="Arial"/>
          <w:color w:val="auto"/>
          <w:kern w:val="2"/>
          <w:sz w:val="32"/>
          <w:szCs w:val="32"/>
          <w:lang w:val="en-US" w:eastAsia="zh-CN" w:bidi="ar-SA"/>
        </w:rPr>
        <w:t>本次绩效自评采取单位自评法。对实施成本进行比较，评价绩效目标实现程度。</w:t>
      </w:r>
    </w:p>
    <w:p w14:paraId="1DAF6FD0">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578" w:lineRule="exact"/>
        <w:ind w:firstLine="643" w:firstLineChars="200"/>
        <w:textAlignment w:val="auto"/>
        <w:outlineLvl w:val="9"/>
        <w:rPr>
          <w:rFonts w:hint="default" w:ascii="Times New Roman" w:hAnsi="Times New Roman" w:eastAsia="楷体_GB2312" w:cs="Times New Roman"/>
          <w:b/>
          <w:color w:val="auto"/>
          <w:sz w:val="32"/>
          <w:szCs w:val="32"/>
          <w:highlight w:val="none"/>
          <w:u w:val="none"/>
          <w:lang w:val="zh-CN" w:eastAsia="zh-CN"/>
        </w:rPr>
      </w:pPr>
      <w:r>
        <w:rPr>
          <w:rFonts w:hint="eastAsia" w:ascii="Times New Roman" w:hAnsi="Times New Roman" w:eastAsia="楷体_GB2312" w:cs="Times New Roman"/>
          <w:b/>
          <w:color w:val="auto"/>
          <w:sz w:val="32"/>
          <w:szCs w:val="32"/>
          <w:highlight w:val="none"/>
          <w:u w:val="none"/>
          <w:lang w:val="zh-CN" w:eastAsia="zh-CN"/>
        </w:rPr>
        <w:t>（五）</w:t>
      </w:r>
      <w:r>
        <w:rPr>
          <w:rFonts w:hint="default" w:ascii="Times New Roman" w:hAnsi="Times New Roman" w:eastAsia="楷体_GB2312" w:cs="Times New Roman"/>
          <w:b/>
          <w:color w:val="auto"/>
          <w:sz w:val="32"/>
          <w:szCs w:val="32"/>
          <w:highlight w:val="none"/>
          <w:u w:val="none"/>
          <w:lang w:val="zh-CN" w:eastAsia="zh-CN"/>
        </w:rPr>
        <w:t>评价组织。</w:t>
      </w:r>
    </w:p>
    <w:p w14:paraId="1D594385">
      <w:pPr>
        <w:keepNext w:val="0"/>
        <w:keepLines w:val="0"/>
        <w:pageBreakBefore w:val="0"/>
        <w:widowControl w:val="0"/>
        <w:numPr>
          <w:ilvl w:val="0"/>
          <w:numId w:val="0"/>
        </w:numPr>
        <w:kinsoku/>
        <w:wordWrap/>
        <w:overflowPunct/>
        <w:topLinePunct w:val="0"/>
        <w:autoSpaceDE/>
        <w:autoSpaceDN/>
        <w:bidi w:val="0"/>
        <w:spacing w:line="578" w:lineRule="exact"/>
        <w:ind w:left="0" w:leftChars="0" w:firstLine="640" w:firstLineChars="200"/>
        <w:textAlignment w:val="auto"/>
        <w:outlineLvl w:val="9"/>
        <w:rPr>
          <w:rFonts w:hint="default" w:ascii="仿宋_GB2312" w:hAnsi="Times New Roman" w:eastAsia="仿宋_GB2312" w:cs="Arial"/>
          <w:color w:val="auto"/>
          <w:kern w:val="2"/>
          <w:sz w:val="32"/>
          <w:szCs w:val="32"/>
          <w:lang w:val="en-US" w:eastAsia="zh-CN" w:bidi="ar-SA"/>
        </w:rPr>
      </w:pPr>
      <w:r>
        <w:rPr>
          <w:rFonts w:hint="default" w:ascii="仿宋_GB2312" w:hAnsi="Times New Roman" w:eastAsia="仿宋_GB2312" w:cs="Arial"/>
          <w:color w:val="auto"/>
          <w:kern w:val="2"/>
          <w:sz w:val="32"/>
          <w:szCs w:val="32"/>
          <w:lang w:val="en-US" w:eastAsia="zh-CN" w:bidi="ar-SA"/>
        </w:rPr>
        <w:t>成立了以分管项目副乡长为组长，项目办为成员的专项预算项目绩效自评工作领导小组。</w:t>
      </w:r>
    </w:p>
    <w:p w14:paraId="69FBBAD3">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default" w:ascii="Times New Roman" w:hAnsi="Times New Roman" w:eastAsia="黑体" w:cs="Times New Roman"/>
          <w:color w:val="auto"/>
          <w:sz w:val="32"/>
          <w:szCs w:val="32"/>
          <w:highlight w:val="none"/>
          <w:u w:val="none"/>
          <w:lang w:val="zh-CN" w:eastAsia="zh-CN"/>
        </w:rPr>
      </w:pPr>
      <w:r>
        <w:rPr>
          <w:rFonts w:hint="default" w:ascii="Times New Roman" w:hAnsi="Times New Roman" w:eastAsia="黑体" w:cs="Times New Roman"/>
          <w:color w:val="auto"/>
          <w:sz w:val="32"/>
          <w:szCs w:val="32"/>
          <w:highlight w:val="none"/>
          <w:u w:val="none"/>
          <w:lang w:val="en-US" w:eastAsia="zh-CN"/>
        </w:rPr>
        <w:t>三、绩效分析</w:t>
      </w:r>
      <w:r>
        <w:rPr>
          <w:rFonts w:hint="default" w:ascii="Times New Roman" w:hAnsi="Times New Roman" w:eastAsia="黑体" w:cs="Times New Roman"/>
          <w:color w:val="auto"/>
          <w:sz w:val="32"/>
          <w:szCs w:val="32"/>
          <w:highlight w:val="none"/>
          <w:u w:val="none"/>
          <w:lang w:val="zh-CN" w:eastAsia="zh-CN"/>
        </w:rPr>
        <w:tab/>
      </w:r>
    </w:p>
    <w:p w14:paraId="1BE03CF1">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default" w:ascii="Times New Roman" w:hAnsi="Times New Roman" w:eastAsia="楷体_GB2312" w:cs="Times New Roman"/>
          <w:b/>
          <w:color w:val="auto"/>
          <w:sz w:val="32"/>
          <w:szCs w:val="32"/>
          <w:highlight w:val="none"/>
          <w:u w:val="none"/>
          <w:lang w:val="en-US" w:eastAsia="zh-CN"/>
        </w:rPr>
      </w:pPr>
      <w:r>
        <w:rPr>
          <w:rFonts w:hint="default" w:ascii="Times New Roman" w:hAnsi="Times New Roman" w:eastAsia="楷体_GB2312" w:cs="Times New Roman"/>
          <w:b/>
          <w:color w:val="auto"/>
          <w:sz w:val="32"/>
          <w:szCs w:val="32"/>
          <w:highlight w:val="none"/>
          <w:u w:val="none"/>
          <w:lang w:val="zh-CN" w:eastAsia="zh-CN"/>
        </w:rPr>
        <w:t>（一）</w:t>
      </w:r>
      <w:r>
        <w:rPr>
          <w:rFonts w:hint="default" w:ascii="Times New Roman" w:hAnsi="Times New Roman" w:eastAsia="楷体_GB2312" w:cs="Times New Roman"/>
          <w:b/>
          <w:color w:val="auto"/>
          <w:sz w:val="32"/>
          <w:szCs w:val="32"/>
          <w:highlight w:val="none"/>
          <w:u w:val="none"/>
          <w:lang w:val="en-US" w:eastAsia="zh-CN"/>
        </w:rPr>
        <w:t>通用指标</w:t>
      </w:r>
      <w:r>
        <w:rPr>
          <w:rFonts w:hint="default" w:ascii="Times New Roman" w:hAnsi="Times New Roman" w:eastAsia="楷体_GB2312" w:cs="Times New Roman"/>
          <w:b/>
          <w:color w:val="auto"/>
          <w:sz w:val="32"/>
          <w:szCs w:val="32"/>
          <w:highlight w:val="none"/>
          <w:u w:val="none"/>
          <w:lang w:val="zh-CN" w:eastAsia="zh-CN"/>
        </w:rPr>
        <w:t>绩效分析。</w:t>
      </w:r>
    </w:p>
    <w:p w14:paraId="4E837CD1">
      <w:pPr>
        <w:keepNext w:val="0"/>
        <w:keepLines w:val="0"/>
        <w:pageBreakBefore w:val="0"/>
        <w:widowControl/>
        <w:kinsoku/>
        <w:wordWrap/>
        <w:overflowPunct/>
        <w:topLinePunct w:val="0"/>
        <w:autoSpaceDE/>
        <w:autoSpaceDN/>
        <w:bidi w:val="0"/>
        <w:adjustRightInd/>
        <w:snapToGrid/>
        <w:spacing w:beforeAutospacing="0" w:afterAutospacing="0" w:line="600" w:lineRule="atLeast"/>
        <w:ind w:firstLine="640" w:firstLineChars="200"/>
        <w:jc w:val="left"/>
        <w:textAlignment w:val="auto"/>
        <w:rPr>
          <w:rFonts w:hint="default" w:ascii="仿宋_GB2312" w:hAnsi="Times New Roman" w:eastAsia="仿宋_GB2312" w:cs="Arial"/>
          <w:color w:val="auto"/>
          <w:kern w:val="2"/>
          <w:sz w:val="32"/>
          <w:szCs w:val="32"/>
          <w:lang w:val="en-US" w:eastAsia="zh-CN" w:bidi="ar-SA"/>
        </w:rPr>
      </w:pPr>
      <w:r>
        <w:rPr>
          <w:rFonts w:hint="default" w:ascii="仿宋_GB2312" w:hAnsi="Times New Roman" w:eastAsia="仿宋_GB2312" w:cs="Arial"/>
          <w:color w:val="auto"/>
          <w:kern w:val="2"/>
          <w:sz w:val="32"/>
          <w:szCs w:val="32"/>
          <w:lang w:val="en-US" w:eastAsia="zh-CN" w:bidi="ar-SA"/>
        </w:rPr>
        <w:t>1.项目决策。真落实招标投标法和项目管理法的相关规定和要求，对施工难度大、技术性复杂的建设项目，必须通过招投标形式引进施工企业施工建设；对技术含量低，群众可以参与投工投劳的建设项目，可以按照以工代赈的建设方式组织实施，均需保证工程质量，尽可能优先当地用工。</w:t>
      </w:r>
    </w:p>
    <w:p w14:paraId="3D83AAAD">
      <w:pPr>
        <w:keepNext w:val="0"/>
        <w:keepLines w:val="0"/>
        <w:pageBreakBefore w:val="0"/>
        <w:widowControl/>
        <w:kinsoku/>
        <w:wordWrap/>
        <w:overflowPunct/>
        <w:topLinePunct w:val="0"/>
        <w:autoSpaceDE/>
        <w:autoSpaceDN/>
        <w:bidi w:val="0"/>
        <w:adjustRightInd/>
        <w:snapToGrid/>
        <w:spacing w:beforeAutospacing="0" w:afterAutospacing="0" w:line="600" w:lineRule="atLeast"/>
        <w:ind w:firstLine="640" w:firstLineChars="200"/>
        <w:jc w:val="left"/>
        <w:textAlignment w:val="auto"/>
        <w:rPr>
          <w:rFonts w:hint="default" w:ascii="仿宋_GB2312" w:hAnsi="Times New Roman" w:eastAsia="仿宋_GB2312" w:cs="Arial"/>
          <w:color w:val="auto"/>
          <w:kern w:val="2"/>
          <w:sz w:val="32"/>
          <w:szCs w:val="32"/>
          <w:lang w:val="en-US" w:eastAsia="zh-CN" w:bidi="ar-SA"/>
        </w:rPr>
      </w:pPr>
      <w:r>
        <w:rPr>
          <w:rFonts w:hint="default" w:ascii="仿宋_GB2312" w:hAnsi="Times New Roman" w:eastAsia="仿宋_GB2312" w:cs="Arial"/>
          <w:color w:val="auto"/>
          <w:kern w:val="2"/>
          <w:sz w:val="32"/>
          <w:szCs w:val="32"/>
          <w:lang w:val="en-US" w:eastAsia="zh-CN" w:bidi="ar-SA"/>
        </w:rPr>
        <w:t>坚持要件齐备、接受监督。无论采取什么方式建设，必须完备项目前期资料（包含：立项、财评等前期工作要素）做到项目资料齐备，施工合法合规。</w:t>
      </w:r>
    </w:p>
    <w:p w14:paraId="6F2F49E0">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9"/>
        <w:rPr>
          <w:rFonts w:hint="default" w:ascii="仿宋_GB2312" w:hAnsi="Times New Roman" w:eastAsia="仿宋_GB2312" w:cs="Arial"/>
          <w:color w:val="auto"/>
          <w:kern w:val="2"/>
          <w:sz w:val="32"/>
          <w:szCs w:val="32"/>
          <w:lang w:val="en-US" w:eastAsia="zh-CN" w:bidi="ar-SA"/>
        </w:rPr>
      </w:pPr>
      <w:r>
        <w:rPr>
          <w:rFonts w:hint="default" w:ascii="仿宋_GB2312" w:hAnsi="Times New Roman" w:eastAsia="仿宋_GB2312" w:cs="Arial"/>
          <w:color w:val="auto"/>
          <w:kern w:val="2"/>
          <w:sz w:val="32"/>
          <w:szCs w:val="32"/>
          <w:lang w:val="en-US" w:eastAsia="zh-CN" w:bidi="ar-SA"/>
        </w:rPr>
        <w:t>坚坚持遵章守规、确保安全。必须做到公开、透明，严禁私自拆分项目、分包项目等行为，一经发现将直接上报纪律监察机关予以处理、调查，情节严重者直接移送司法机关处理。自评绩效目标执行情况较好。</w:t>
      </w:r>
    </w:p>
    <w:p w14:paraId="6688FA08">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default" w:ascii="仿宋_GB2312" w:hAnsi="Times New Roman" w:eastAsia="仿宋_GB2312" w:cs="Arial"/>
          <w:color w:val="auto"/>
          <w:kern w:val="2"/>
          <w:sz w:val="32"/>
          <w:szCs w:val="32"/>
          <w:lang w:val="en-US" w:eastAsia="zh-CN" w:bidi="ar-SA"/>
        </w:rPr>
      </w:pPr>
      <w:r>
        <w:rPr>
          <w:rFonts w:hint="default" w:ascii="仿宋_GB2312" w:hAnsi="Times New Roman" w:eastAsia="仿宋_GB2312" w:cs="Arial"/>
          <w:color w:val="auto"/>
          <w:kern w:val="2"/>
          <w:sz w:val="32"/>
          <w:szCs w:val="32"/>
          <w:lang w:val="en-US" w:eastAsia="zh-CN" w:bidi="ar-SA"/>
        </w:rPr>
        <w:t>2.项目管理。</w:t>
      </w:r>
      <w:r>
        <w:rPr>
          <w:rFonts w:hint="default" w:ascii="仿宋_GB2312" w:hAnsi="Times New Roman" w:eastAsia="仿宋_GB2312" w:cs="Arial"/>
          <w:color w:val="auto"/>
          <w:kern w:val="2"/>
          <w:sz w:val="32"/>
          <w:szCs w:val="32"/>
          <w:lang w:val="zh-CN" w:eastAsia="zh-CN" w:bidi="ar-SA"/>
        </w:rPr>
        <w:t>按照统筹整合资金使用相关政策，结合我县</w:t>
      </w:r>
      <w:r>
        <w:rPr>
          <w:rFonts w:hint="default" w:ascii="仿宋_GB2312" w:hAnsi="Times New Roman" w:eastAsia="仿宋_GB2312" w:cs="Arial"/>
          <w:color w:val="auto"/>
          <w:kern w:val="2"/>
          <w:sz w:val="32"/>
          <w:szCs w:val="32"/>
          <w:lang w:val="en-US" w:eastAsia="zh-CN" w:bidi="ar-SA"/>
        </w:rPr>
        <w:t>乡村振兴总体</w:t>
      </w:r>
      <w:r>
        <w:rPr>
          <w:rFonts w:hint="default" w:ascii="仿宋_GB2312" w:hAnsi="Times New Roman" w:eastAsia="仿宋_GB2312" w:cs="Arial"/>
          <w:color w:val="auto"/>
          <w:kern w:val="2"/>
          <w:sz w:val="32"/>
          <w:szCs w:val="32"/>
          <w:lang w:val="zh-CN" w:eastAsia="zh-CN" w:bidi="ar-SA"/>
        </w:rPr>
        <w:t>规划和年度目标计划，因地制宜确定具体项目。</w:t>
      </w:r>
      <w:r>
        <w:rPr>
          <w:rFonts w:hint="default" w:ascii="仿宋_GB2312" w:hAnsi="Times New Roman" w:eastAsia="仿宋_GB2312" w:cs="Arial"/>
          <w:color w:val="auto"/>
          <w:kern w:val="2"/>
          <w:sz w:val="32"/>
          <w:szCs w:val="32"/>
          <w:lang w:val="en-US" w:eastAsia="zh-CN" w:bidi="ar-SA"/>
        </w:rPr>
        <w:t>项目</w:t>
      </w:r>
      <w:r>
        <w:rPr>
          <w:rFonts w:hint="default" w:ascii="仿宋_GB2312" w:hAnsi="Times New Roman" w:eastAsia="仿宋_GB2312" w:cs="Arial"/>
          <w:color w:val="auto"/>
          <w:kern w:val="2"/>
          <w:sz w:val="32"/>
          <w:szCs w:val="32"/>
          <w:lang w:val="zh-CN" w:eastAsia="zh-CN" w:bidi="ar-SA"/>
        </w:rPr>
        <w:t>从巩固拓展脱贫攻坚成果和乡村振兴项目库中选择。项目按中省要求全面完成绩效目标（含事前评估）、绩效</w:t>
      </w:r>
      <w:r>
        <w:rPr>
          <w:rFonts w:hint="default" w:ascii="仿宋_GB2312" w:hAnsi="Times New Roman" w:eastAsia="仿宋_GB2312" w:cs="Arial"/>
          <w:color w:val="auto"/>
          <w:kern w:val="2"/>
          <w:sz w:val="32"/>
          <w:szCs w:val="32"/>
          <w:lang w:val="en-US" w:eastAsia="zh-CN" w:bidi="ar-SA"/>
        </w:rPr>
        <w:t>自评和</w:t>
      </w:r>
      <w:r>
        <w:rPr>
          <w:rFonts w:hint="default" w:ascii="仿宋_GB2312" w:hAnsi="Times New Roman" w:eastAsia="仿宋_GB2312" w:cs="Arial"/>
          <w:color w:val="auto"/>
          <w:kern w:val="2"/>
          <w:sz w:val="32"/>
          <w:szCs w:val="32"/>
          <w:lang w:val="zh-CN" w:eastAsia="zh-CN" w:bidi="ar-SA"/>
        </w:rPr>
        <w:t>以前年度</w:t>
      </w:r>
      <w:r>
        <w:rPr>
          <w:rFonts w:hint="default" w:ascii="仿宋_GB2312" w:hAnsi="Times New Roman" w:eastAsia="仿宋_GB2312" w:cs="Arial"/>
          <w:color w:val="auto"/>
          <w:kern w:val="2"/>
          <w:sz w:val="32"/>
          <w:szCs w:val="32"/>
          <w:lang w:val="en-US" w:eastAsia="zh-CN" w:bidi="ar-SA"/>
        </w:rPr>
        <w:t>绩效发现</w:t>
      </w:r>
      <w:r>
        <w:rPr>
          <w:rFonts w:hint="default" w:ascii="仿宋_GB2312" w:hAnsi="Times New Roman" w:eastAsia="仿宋_GB2312" w:cs="Arial"/>
          <w:color w:val="auto"/>
          <w:kern w:val="2"/>
          <w:sz w:val="32"/>
          <w:szCs w:val="32"/>
          <w:lang w:val="zh-CN" w:eastAsia="zh-CN" w:bidi="ar-SA"/>
        </w:rPr>
        <w:t>问题整改。</w:t>
      </w:r>
    </w:p>
    <w:p w14:paraId="7C08FD95">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default" w:ascii="仿宋_GB2312" w:hAnsi="Times New Roman" w:eastAsia="仿宋_GB2312" w:cs="Arial"/>
          <w:color w:val="auto"/>
          <w:kern w:val="2"/>
          <w:sz w:val="32"/>
          <w:szCs w:val="32"/>
          <w:lang w:val="en-US" w:eastAsia="zh-CN" w:bidi="ar-SA"/>
        </w:rPr>
      </w:pPr>
      <w:r>
        <w:rPr>
          <w:rFonts w:hint="default" w:ascii="仿宋_GB2312" w:hAnsi="Times New Roman" w:eastAsia="仿宋_GB2312" w:cs="Arial"/>
          <w:color w:val="auto"/>
          <w:kern w:val="2"/>
          <w:sz w:val="32"/>
          <w:szCs w:val="32"/>
          <w:lang w:val="en-US" w:eastAsia="zh-CN" w:bidi="ar-SA"/>
        </w:rPr>
        <w:t>3.</w:t>
      </w:r>
      <w:r>
        <w:rPr>
          <w:rFonts w:hint="eastAsia" w:ascii="仿宋_GB2312" w:eastAsia="仿宋_GB2312" w:cs="Times New Roman"/>
          <w:kern w:val="2"/>
          <w:sz w:val="32"/>
          <w:szCs w:val="32"/>
          <w:lang w:val="en-US" w:eastAsia="zh-CN" w:bidi="ar-SA"/>
        </w:rPr>
        <w:t>项目实施。</w:t>
      </w:r>
      <w:r>
        <w:rPr>
          <w:rFonts w:hint="eastAsia" w:ascii="仿宋_GB2312" w:eastAsia="仿宋_GB2312" w:cs="Times New Roman"/>
          <w:kern w:val="2"/>
          <w:sz w:val="32"/>
          <w:szCs w:val="32"/>
          <w:lang w:val="zh-CN" w:eastAsia="zh-CN" w:bidi="ar-SA"/>
        </w:rPr>
        <w:t>项目资金财政拨付按时完成率</w:t>
      </w:r>
      <w:r>
        <w:rPr>
          <w:rFonts w:hint="eastAsia" w:ascii="仿宋_GB2312" w:eastAsia="仿宋_GB2312" w:cs="Times New Roman"/>
          <w:kern w:val="2"/>
          <w:sz w:val="32"/>
          <w:szCs w:val="32"/>
          <w:lang w:val="en-US" w:eastAsia="zh-CN" w:bidi="ar-SA"/>
        </w:rPr>
        <w:t>100%</w:t>
      </w:r>
      <w:r>
        <w:rPr>
          <w:rFonts w:hint="eastAsia" w:ascii="仿宋_GB2312" w:eastAsia="仿宋_GB2312" w:cs="Times New Roman"/>
          <w:kern w:val="2"/>
          <w:sz w:val="32"/>
          <w:szCs w:val="32"/>
          <w:lang w:val="zh-CN" w:eastAsia="zh-CN" w:bidi="ar-SA"/>
        </w:rPr>
        <w:t>、单位执行资金使用率为</w:t>
      </w:r>
      <w:r>
        <w:rPr>
          <w:rFonts w:hint="eastAsia" w:ascii="仿宋_GB2312" w:eastAsia="仿宋_GB2312" w:cs="Times New Roman"/>
          <w:kern w:val="2"/>
          <w:sz w:val="32"/>
          <w:szCs w:val="32"/>
          <w:lang w:val="en-US" w:eastAsia="zh-CN" w:bidi="ar-SA"/>
        </w:rPr>
        <w:t>100%</w:t>
      </w:r>
      <w:r>
        <w:rPr>
          <w:rFonts w:hint="eastAsia" w:ascii="仿宋_GB2312" w:eastAsia="仿宋_GB2312" w:cs="Times New Roman"/>
          <w:kern w:val="2"/>
          <w:sz w:val="32"/>
          <w:szCs w:val="32"/>
          <w:lang w:val="zh-CN" w:eastAsia="zh-CN" w:bidi="ar-SA"/>
        </w:rPr>
        <w:t>和地方配套资金到位率</w:t>
      </w:r>
      <w:r>
        <w:rPr>
          <w:rFonts w:hint="eastAsia" w:ascii="仿宋_GB2312" w:eastAsia="仿宋_GB2312" w:cs="Times New Roman"/>
          <w:kern w:val="2"/>
          <w:sz w:val="32"/>
          <w:szCs w:val="32"/>
          <w:lang w:val="en-US" w:eastAsia="zh-CN" w:bidi="ar-SA"/>
        </w:rPr>
        <w:t>100%</w:t>
      </w:r>
      <w:r>
        <w:rPr>
          <w:rFonts w:hint="eastAsia" w:ascii="仿宋_GB2312" w:eastAsia="仿宋_GB2312" w:cs="Times New Roman"/>
          <w:kern w:val="2"/>
          <w:sz w:val="32"/>
          <w:szCs w:val="32"/>
          <w:lang w:val="zh-CN" w:eastAsia="zh-CN" w:bidi="ar-SA"/>
        </w:rPr>
        <w:t>，项目资金使用、拨付符合国家财经法规、财务管理制度及有关专项资金管理制度办法规定和审批程序，不存在超范围、超标准、超进度使用专项资金，不存在资金损失浪费、长期沉淀、截留、挤占、挪用、虚列支出等情况，项目实施遵守相关法律法规。</w:t>
      </w:r>
    </w:p>
    <w:p w14:paraId="4122B208">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9"/>
        <w:rPr>
          <w:rFonts w:hint="default" w:ascii="仿宋_GB2312" w:hAnsi="Times New Roman" w:eastAsia="仿宋_GB2312" w:cs="Arial"/>
          <w:color w:val="auto"/>
          <w:kern w:val="2"/>
          <w:sz w:val="32"/>
          <w:szCs w:val="32"/>
          <w:lang w:val="en-US" w:eastAsia="zh-CN" w:bidi="ar-SA"/>
        </w:rPr>
      </w:pPr>
      <w:r>
        <w:rPr>
          <w:rFonts w:hint="default" w:ascii="仿宋_GB2312" w:hAnsi="Times New Roman" w:eastAsia="仿宋_GB2312" w:cs="Arial"/>
          <w:color w:val="auto"/>
          <w:kern w:val="2"/>
          <w:sz w:val="32"/>
          <w:szCs w:val="32"/>
          <w:lang w:val="en-US" w:eastAsia="zh-CN" w:bidi="ar-SA"/>
        </w:rPr>
        <w:t>4.项目结果。项目完成预期目标，实施结果与绩效目标相匹配，在规定时限内完成项目目标任务。</w:t>
      </w:r>
    </w:p>
    <w:p w14:paraId="269A604B">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outlineLvl w:val="9"/>
        <w:rPr>
          <w:rFonts w:hint="default" w:ascii="Times New Roman" w:hAnsi="Times New Roman" w:eastAsia="楷体_GB2312" w:cs="Times New Roman"/>
          <w:b/>
          <w:color w:val="auto"/>
          <w:sz w:val="32"/>
          <w:szCs w:val="32"/>
          <w:highlight w:val="none"/>
          <w:u w:val="none"/>
          <w:lang w:val="zh-CN" w:eastAsia="zh-CN"/>
        </w:rPr>
      </w:pPr>
      <w:r>
        <w:rPr>
          <w:rFonts w:hint="default" w:ascii="Times New Roman" w:hAnsi="Times New Roman" w:eastAsia="楷体_GB2312" w:cs="Times New Roman"/>
          <w:b/>
          <w:color w:val="auto"/>
          <w:sz w:val="32"/>
          <w:szCs w:val="32"/>
          <w:highlight w:val="none"/>
          <w:u w:val="none"/>
          <w:lang w:val="zh-CN" w:eastAsia="zh-CN"/>
        </w:rPr>
        <w:t>（二）</w:t>
      </w:r>
      <w:r>
        <w:rPr>
          <w:rFonts w:hint="default" w:ascii="Times New Roman" w:hAnsi="Times New Roman" w:eastAsia="楷体_GB2312" w:cs="Times New Roman"/>
          <w:b/>
          <w:color w:val="auto"/>
          <w:sz w:val="32"/>
          <w:szCs w:val="32"/>
          <w:highlight w:val="none"/>
          <w:u w:val="none"/>
          <w:lang w:val="en-US" w:eastAsia="zh-CN"/>
        </w:rPr>
        <w:t>专用指标</w:t>
      </w:r>
      <w:r>
        <w:rPr>
          <w:rFonts w:hint="default" w:ascii="Times New Roman" w:hAnsi="Times New Roman" w:eastAsia="楷体_GB2312" w:cs="Times New Roman"/>
          <w:b/>
          <w:color w:val="auto"/>
          <w:sz w:val="32"/>
          <w:szCs w:val="32"/>
          <w:highlight w:val="none"/>
          <w:u w:val="none"/>
          <w:lang w:val="zh-CN" w:eastAsia="zh-CN"/>
        </w:rPr>
        <w:t>绩效分析。</w:t>
      </w:r>
    </w:p>
    <w:p w14:paraId="02316002">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ascii="仿宋_GB2312" w:eastAsia="仿宋_GB2312" w:cs="Times New Roman"/>
          <w:kern w:val="2"/>
          <w:sz w:val="32"/>
          <w:szCs w:val="32"/>
          <w:lang w:val="zh-CN" w:eastAsia="zh-CN" w:bidi="ar-SA"/>
        </w:rPr>
      </w:pPr>
      <w:r>
        <w:rPr>
          <w:rFonts w:hint="eastAsia" w:ascii="仿宋_GB2312" w:eastAsia="仿宋_GB2312" w:cs="Times New Roman"/>
          <w:kern w:val="2"/>
          <w:sz w:val="32"/>
          <w:szCs w:val="32"/>
          <w:lang w:val="zh-CN" w:eastAsia="zh-CN" w:bidi="ar-SA"/>
        </w:rPr>
        <w:t>资金按规定用途、适用范围进行本地区专项资金分配，资金管理程序符合专项资金管理要求，资金分配标准符合专项资金管理要求。</w:t>
      </w:r>
    </w:p>
    <w:p w14:paraId="146B3286">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ascii="仿宋_GB2312" w:eastAsia="仿宋_GB2312" w:cs="Times New Roman"/>
          <w:kern w:val="2"/>
          <w:sz w:val="32"/>
          <w:szCs w:val="32"/>
          <w:lang w:val="en-US" w:eastAsia="zh-CN" w:bidi="ar-SA"/>
        </w:rPr>
      </w:pPr>
      <w:r>
        <w:rPr>
          <w:rFonts w:ascii="仿宋_GB2312" w:eastAsia="仿宋_GB2312" w:cs="Times New Roman"/>
          <w:kern w:val="2"/>
          <w:sz w:val="32"/>
          <w:szCs w:val="32"/>
          <w:lang w:val="en-US" w:eastAsia="zh-CN" w:bidi="ar-SA"/>
        </w:rPr>
        <w:t>1.产业发展类。</w:t>
      </w:r>
      <w:r>
        <w:rPr>
          <w:rFonts w:ascii="仿宋_GB2312" w:eastAsia="仿宋_GB2312" w:cs="Times New Roman"/>
          <w:kern w:val="2"/>
          <w:sz w:val="32"/>
          <w:szCs w:val="32"/>
          <w:lang w:val="zh-CN" w:eastAsia="zh-CN" w:bidi="ar-SA"/>
        </w:rPr>
        <w:t>围绕符合性、成长性、经济性进行绩效分析。</w:t>
      </w:r>
    </w:p>
    <w:p w14:paraId="32C87A10">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ascii="仿宋_GB2312" w:eastAsia="仿宋_GB2312" w:cs="Times New Roman"/>
          <w:kern w:val="2"/>
          <w:sz w:val="32"/>
          <w:szCs w:val="32"/>
          <w:lang w:val="en-US" w:eastAsia="zh-CN" w:bidi="ar-SA"/>
        </w:rPr>
      </w:pPr>
      <w:r>
        <w:rPr>
          <w:rFonts w:ascii="仿宋_GB2312" w:eastAsia="仿宋_GB2312" w:cs="Times New Roman"/>
          <w:kern w:val="2"/>
          <w:sz w:val="32"/>
          <w:szCs w:val="32"/>
          <w:lang w:val="en-US" w:eastAsia="zh-CN" w:bidi="ar-SA"/>
        </w:rPr>
        <w:t>2.</w:t>
      </w:r>
      <w:r>
        <w:rPr>
          <w:rFonts w:ascii="仿宋_GB2312" w:eastAsia="仿宋_GB2312" w:cs="Times New Roman"/>
          <w:kern w:val="2"/>
          <w:sz w:val="32"/>
          <w:szCs w:val="32"/>
          <w:lang w:val="zh-CN" w:eastAsia="zh-CN" w:bidi="ar-SA"/>
        </w:rPr>
        <w:t>民生保障</w:t>
      </w:r>
      <w:r>
        <w:rPr>
          <w:rFonts w:ascii="仿宋_GB2312" w:eastAsia="仿宋_GB2312" w:cs="Times New Roman"/>
          <w:kern w:val="2"/>
          <w:sz w:val="32"/>
          <w:szCs w:val="32"/>
          <w:lang w:val="en-US" w:eastAsia="zh-CN" w:bidi="ar-SA"/>
        </w:rPr>
        <w:t>类</w:t>
      </w:r>
      <w:r>
        <w:rPr>
          <w:rFonts w:ascii="仿宋_GB2312" w:eastAsia="仿宋_GB2312" w:cs="Times New Roman"/>
          <w:kern w:val="2"/>
          <w:sz w:val="32"/>
          <w:szCs w:val="32"/>
          <w:lang w:val="zh-CN" w:eastAsia="zh-CN" w:bidi="ar-SA"/>
        </w:rPr>
        <w:t>。围绕区域均衡性、对象精准性、标准合理性、群众满意度进行绩效分析。</w:t>
      </w:r>
    </w:p>
    <w:p w14:paraId="210D6200">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ascii="仿宋_GB2312" w:eastAsia="仿宋_GB2312" w:cs="Times New Roman"/>
          <w:kern w:val="2"/>
          <w:sz w:val="32"/>
          <w:szCs w:val="32"/>
          <w:lang w:val="en-US" w:eastAsia="zh-CN" w:bidi="ar-SA"/>
        </w:rPr>
      </w:pPr>
      <w:r>
        <w:rPr>
          <w:rFonts w:ascii="仿宋_GB2312" w:eastAsia="仿宋_GB2312" w:cs="Times New Roman"/>
          <w:kern w:val="2"/>
          <w:sz w:val="32"/>
          <w:szCs w:val="32"/>
          <w:lang w:val="en-US" w:eastAsia="zh-CN" w:bidi="ar-SA"/>
        </w:rPr>
        <w:t>3.基础设施类。</w:t>
      </w:r>
      <w:r>
        <w:rPr>
          <w:rFonts w:ascii="仿宋_GB2312" w:eastAsia="仿宋_GB2312" w:cs="Times New Roman"/>
          <w:kern w:val="2"/>
          <w:sz w:val="32"/>
          <w:szCs w:val="32"/>
          <w:lang w:val="zh-CN" w:eastAsia="zh-CN" w:bidi="ar-SA"/>
        </w:rPr>
        <w:t>在建项目围绕工程进度和资金拨付进行绩效分析；建成项目围绕项目验收、功能实现、后续管护进行绩效分析。</w:t>
      </w:r>
    </w:p>
    <w:p w14:paraId="4B3D74D4">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default" w:ascii="仿宋_GB2312" w:hAnsi="Times New Roman" w:eastAsia="仿宋_GB2312" w:cs="Arial"/>
          <w:color w:val="auto"/>
          <w:kern w:val="2"/>
          <w:sz w:val="32"/>
          <w:szCs w:val="32"/>
          <w:lang w:val="zh-CN" w:eastAsia="zh-CN" w:bidi="ar-SA"/>
        </w:rPr>
      </w:pPr>
      <w:r>
        <w:rPr>
          <w:rFonts w:ascii="仿宋_GB2312" w:eastAsia="仿宋_GB2312" w:cs="Times New Roman"/>
          <w:kern w:val="2"/>
          <w:sz w:val="32"/>
          <w:szCs w:val="32"/>
          <w:lang w:val="en-US" w:eastAsia="zh-CN" w:bidi="ar-SA"/>
        </w:rPr>
        <w:t>4.</w:t>
      </w:r>
      <w:r>
        <w:rPr>
          <w:rFonts w:ascii="仿宋_GB2312" w:eastAsia="仿宋_GB2312" w:cs="Times New Roman"/>
          <w:kern w:val="2"/>
          <w:sz w:val="32"/>
          <w:szCs w:val="32"/>
          <w:lang w:val="zh-CN" w:eastAsia="zh-CN" w:bidi="ar-SA"/>
        </w:rPr>
        <w:t>行政运转</w:t>
      </w:r>
      <w:r>
        <w:rPr>
          <w:rFonts w:ascii="仿宋_GB2312" w:eastAsia="仿宋_GB2312" w:cs="Times New Roman"/>
          <w:kern w:val="2"/>
          <w:sz w:val="32"/>
          <w:szCs w:val="32"/>
          <w:lang w:val="en-US" w:eastAsia="zh-CN" w:bidi="ar-SA"/>
        </w:rPr>
        <w:t>类</w:t>
      </w:r>
      <w:r>
        <w:rPr>
          <w:rFonts w:ascii="仿宋_GB2312" w:eastAsia="仿宋_GB2312" w:cs="Times New Roman"/>
          <w:kern w:val="2"/>
          <w:sz w:val="32"/>
          <w:szCs w:val="32"/>
          <w:lang w:val="zh-CN" w:eastAsia="zh-CN" w:bidi="ar-SA"/>
        </w:rPr>
        <w:t>。围绕用途合规性、程序合规性、标准合规性进行绩效分析。</w:t>
      </w:r>
    </w:p>
    <w:p w14:paraId="27689FF1">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default" w:ascii="Times New Roman" w:hAnsi="Times New Roman" w:eastAsia="楷体_GB2312" w:cs="Times New Roman"/>
          <w:b/>
          <w:color w:val="auto"/>
          <w:sz w:val="32"/>
          <w:szCs w:val="32"/>
          <w:highlight w:val="none"/>
          <w:u w:val="none"/>
          <w:lang w:val="zh-CN" w:eastAsia="zh-CN"/>
        </w:rPr>
      </w:pPr>
      <w:r>
        <w:rPr>
          <w:rFonts w:hint="eastAsia" w:eastAsia="楷体_GB2312" w:cs="Times New Roman"/>
          <w:b/>
          <w:color w:val="auto"/>
          <w:sz w:val="32"/>
          <w:szCs w:val="32"/>
          <w:highlight w:val="none"/>
          <w:u w:val="none"/>
          <w:lang w:val="en-US" w:eastAsia="zh-CN"/>
        </w:rPr>
        <w:t>（三）</w:t>
      </w:r>
      <w:r>
        <w:rPr>
          <w:rFonts w:hint="default" w:ascii="Times New Roman" w:hAnsi="Times New Roman" w:eastAsia="楷体_GB2312" w:cs="Times New Roman"/>
          <w:b/>
          <w:color w:val="auto"/>
          <w:sz w:val="32"/>
          <w:szCs w:val="32"/>
          <w:highlight w:val="none"/>
          <w:u w:val="none"/>
          <w:lang w:val="en-US" w:eastAsia="zh-CN"/>
        </w:rPr>
        <w:t>个性指标</w:t>
      </w:r>
      <w:r>
        <w:rPr>
          <w:rFonts w:hint="default" w:ascii="Times New Roman" w:hAnsi="Times New Roman" w:eastAsia="楷体_GB2312" w:cs="Times New Roman"/>
          <w:b/>
          <w:color w:val="auto"/>
          <w:sz w:val="32"/>
          <w:szCs w:val="32"/>
          <w:highlight w:val="none"/>
          <w:u w:val="none"/>
          <w:lang w:val="zh-CN" w:eastAsia="zh-CN"/>
        </w:rPr>
        <w:t>绩效分析。</w:t>
      </w:r>
    </w:p>
    <w:p w14:paraId="0DE55AF2">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outlineLvl w:val="9"/>
        <w:rPr>
          <w:rFonts w:hint="default" w:ascii="仿宋_GB2312" w:hAnsi="Times New Roman" w:eastAsia="仿宋_GB2312" w:cs="Arial"/>
          <w:color w:val="auto"/>
          <w:kern w:val="2"/>
          <w:sz w:val="32"/>
          <w:szCs w:val="32"/>
          <w:lang w:val="en-US" w:eastAsia="zh-CN" w:bidi="ar-SA"/>
        </w:rPr>
      </w:pPr>
      <w:r>
        <w:rPr>
          <w:rFonts w:hint="default" w:ascii="仿宋_GB2312" w:hAnsi="Times New Roman" w:eastAsia="仿宋_GB2312" w:cs="Arial"/>
          <w:color w:val="auto"/>
          <w:kern w:val="2"/>
          <w:sz w:val="32"/>
          <w:szCs w:val="32"/>
          <w:lang w:val="en-US" w:eastAsia="zh-CN" w:bidi="ar-SA"/>
        </w:rPr>
        <w:t>主要从效益发挥方面和群众满意度进行分析。</w:t>
      </w:r>
    </w:p>
    <w:p w14:paraId="24018E46">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outlineLvl w:val="9"/>
        <w:rPr>
          <w:rFonts w:hint="default" w:ascii="仿宋_GB2312" w:hAnsi="Times New Roman" w:eastAsia="仿宋_GB2312" w:cs="Arial"/>
          <w:color w:val="auto"/>
          <w:kern w:val="2"/>
          <w:sz w:val="32"/>
          <w:szCs w:val="32"/>
          <w:lang w:val="en-US" w:eastAsia="zh-CN" w:bidi="ar-SA"/>
        </w:rPr>
      </w:pPr>
      <w:r>
        <w:rPr>
          <w:rFonts w:hint="default" w:ascii="仿宋_GB2312" w:hAnsi="Times New Roman" w:eastAsia="仿宋_GB2312" w:cs="Arial"/>
          <w:color w:val="auto"/>
          <w:kern w:val="2"/>
          <w:sz w:val="32"/>
          <w:szCs w:val="32"/>
          <w:lang w:val="en-US" w:eastAsia="zh-CN" w:bidi="ar-SA"/>
        </w:rPr>
        <w:t>1.社会效益方面。有效改善群众生产生活环境，提高群众饮水质量</w:t>
      </w:r>
      <w:r>
        <w:rPr>
          <w:rFonts w:hint="eastAsia" w:ascii="仿宋_GB2312" w:eastAsia="仿宋_GB2312" w:cs="Arial"/>
          <w:color w:val="auto"/>
          <w:kern w:val="2"/>
          <w:sz w:val="32"/>
          <w:szCs w:val="32"/>
          <w:lang w:val="en-US" w:eastAsia="zh-CN" w:bidi="ar-SA"/>
        </w:rPr>
        <w:t>，提高城乡环境卫生质量。</w:t>
      </w:r>
    </w:p>
    <w:p w14:paraId="2878F755">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outlineLvl w:val="9"/>
        <w:rPr>
          <w:rFonts w:hint="default" w:ascii="仿宋_GB2312" w:hAnsi="Times New Roman" w:eastAsia="仿宋_GB2312" w:cs="Arial"/>
          <w:color w:val="auto"/>
          <w:kern w:val="2"/>
          <w:sz w:val="32"/>
          <w:szCs w:val="32"/>
          <w:lang w:val="zh-CN" w:eastAsia="zh-CN" w:bidi="ar-SA"/>
        </w:rPr>
      </w:pPr>
      <w:r>
        <w:rPr>
          <w:rFonts w:hint="default" w:ascii="仿宋_GB2312" w:hAnsi="Times New Roman" w:eastAsia="仿宋_GB2312" w:cs="Arial"/>
          <w:color w:val="auto"/>
          <w:kern w:val="2"/>
          <w:sz w:val="32"/>
          <w:szCs w:val="32"/>
          <w:lang w:val="en-US" w:eastAsia="zh-CN" w:bidi="ar-SA"/>
        </w:rPr>
        <w:t>2.经济效益方面。</w:t>
      </w:r>
      <w:r>
        <w:rPr>
          <w:rFonts w:hint="default" w:ascii="仿宋_GB2312" w:hAnsi="Times New Roman" w:eastAsia="仿宋_GB2312" w:cs="Arial"/>
          <w:color w:val="auto"/>
          <w:kern w:val="2"/>
          <w:sz w:val="32"/>
          <w:szCs w:val="32"/>
          <w:lang w:val="zh-CN" w:eastAsia="zh-CN" w:bidi="ar-SA"/>
        </w:rPr>
        <w:t>带动群众务工</w:t>
      </w:r>
      <w:r>
        <w:rPr>
          <w:rFonts w:hint="eastAsia" w:ascii="仿宋_GB2312" w:eastAsia="仿宋_GB2312" w:cs="Arial"/>
          <w:color w:val="auto"/>
          <w:kern w:val="2"/>
          <w:sz w:val="32"/>
          <w:szCs w:val="32"/>
          <w:lang w:val="zh-CN" w:eastAsia="zh-CN" w:bidi="ar-SA"/>
        </w:rPr>
        <w:t>，</w:t>
      </w:r>
      <w:r>
        <w:rPr>
          <w:rFonts w:hint="eastAsia" w:ascii="仿宋_GB2312" w:eastAsia="仿宋_GB2312" w:cs="Arial"/>
          <w:color w:val="auto"/>
          <w:kern w:val="2"/>
          <w:sz w:val="32"/>
          <w:szCs w:val="32"/>
          <w:lang w:val="en-US" w:eastAsia="zh-CN" w:bidi="ar-SA"/>
        </w:rPr>
        <w:t>带动群众</w:t>
      </w:r>
      <w:r>
        <w:rPr>
          <w:rFonts w:hint="default" w:ascii="仿宋_GB2312" w:hAnsi="Times New Roman" w:eastAsia="仿宋_GB2312" w:cs="Arial"/>
          <w:color w:val="auto"/>
          <w:kern w:val="2"/>
          <w:sz w:val="32"/>
          <w:szCs w:val="32"/>
          <w:lang w:val="zh-CN" w:eastAsia="zh-CN" w:bidi="ar-SA"/>
        </w:rPr>
        <w:t>增收</w:t>
      </w:r>
      <w:r>
        <w:rPr>
          <w:rFonts w:hint="eastAsia" w:ascii="仿宋_GB2312" w:eastAsia="仿宋_GB2312" w:cs="Arial"/>
          <w:color w:val="auto"/>
          <w:kern w:val="2"/>
          <w:sz w:val="32"/>
          <w:szCs w:val="32"/>
          <w:lang w:val="zh-CN" w:eastAsia="zh-CN" w:bidi="ar-SA"/>
        </w:rPr>
        <w:t>，</w:t>
      </w:r>
      <w:r>
        <w:rPr>
          <w:rFonts w:hint="default" w:ascii="仿宋_GB2312" w:hAnsi="Times New Roman" w:eastAsia="仿宋_GB2312" w:cs="Arial"/>
          <w:color w:val="auto"/>
          <w:kern w:val="2"/>
          <w:sz w:val="32"/>
          <w:szCs w:val="32"/>
          <w:lang w:val="zh-CN" w:eastAsia="zh-CN" w:bidi="ar-SA"/>
        </w:rPr>
        <w:t>完成了制定的绩效项目</w:t>
      </w:r>
      <w:r>
        <w:rPr>
          <w:rFonts w:hint="eastAsia" w:ascii="仿宋_GB2312" w:eastAsia="仿宋_GB2312" w:cs="Arial"/>
          <w:color w:val="auto"/>
          <w:kern w:val="2"/>
          <w:sz w:val="32"/>
          <w:szCs w:val="32"/>
          <w:lang w:val="zh-CN" w:eastAsia="zh-CN" w:bidi="ar-SA"/>
        </w:rPr>
        <w:t>。</w:t>
      </w:r>
    </w:p>
    <w:p w14:paraId="38C734CE">
      <w:pPr>
        <w:pStyle w:val="43"/>
        <w:keepNext w:val="0"/>
        <w:keepLines w:val="0"/>
        <w:pageBreakBefore w:val="0"/>
        <w:wordWrap/>
        <w:overflowPunct/>
        <w:topLinePunct w:val="0"/>
        <w:bidi w:val="0"/>
        <w:spacing w:line="520" w:lineRule="exact"/>
        <w:ind w:left="0" w:leftChars="0" w:firstLine="640" w:firstLineChars="200"/>
        <w:rPr>
          <w:rFonts w:hint="default" w:ascii="仿宋_GB2312" w:hAnsi="Times New Roman" w:eastAsia="仿宋_GB2312" w:cs="Arial"/>
          <w:color w:val="auto"/>
          <w:kern w:val="2"/>
          <w:sz w:val="32"/>
          <w:szCs w:val="32"/>
          <w:lang w:val="en-US" w:eastAsia="zh-CN" w:bidi="ar-SA"/>
        </w:rPr>
      </w:pPr>
      <w:r>
        <w:rPr>
          <w:rFonts w:hint="default" w:ascii="仿宋_GB2312" w:hAnsi="Times New Roman" w:eastAsia="仿宋_GB2312" w:cs="Arial"/>
          <w:color w:val="auto"/>
          <w:kern w:val="2"/>
          <w:sz w:val="32"/>
          <w:szCs w:val="32"/>
          <w:lang w:val="en-US" w:eastAsia="zh-CN" w:bidi="ar-SA"/>
        </w:rPr>
        <w:t>3.</w:t>
      </w:r>
      <w:r>
        <w:rPr>
          <w:rFonts w:hint="eastAsia" w:ascii="仿宋_GB2312" w:eastAsia="仿宋_GB2312" w:cs="Arial"/>
          <w:color w:val="auto"/>
          <w:kern w:val="2"/>
          <w:sz w:val="32"/>
          <w:szCs w:val="32"/>
          <w:lang w:val="en-US" w:eastAsia="zh-CN" w:bidi="ar-SA"/>
        </w:rPr>
        <w:t>提高</w:t>
      </w:r>
      <w:r>
        <w:rPr>
          <w:rFonts w:hint="default" w:ascii="仿宋_GB2312" w:hAnsi="Times New Roman" w:eastAsia="仿宋_GB2312" w:cs="Arial"/>
          <w:color w:val="auto"/>
          <w:kern w:val="2"/>
          <w:sz w:val="32"/>
          <w:szCs w:val="32"/>
          <w:lang w:val="en-US" w:eastAsia="zh-CN" w:bidi="ar-SA"/>
        </w:rPr>
        <w:t>群众满意度</w:t>
      </w:r>
    </w:p>
    <w:p w14:paraId="4DD39915">
      <w:pPr>
        <w:pStyle w:val="6"/>
        <w:pageBreakBefore w:val="0"/>
        <w:widowControl w:val="0"/>
        <w:tabs>
          <w:tab w:val="left" w:pos="2160"/>
        </w:tabs>
        <w:kinsoku/>
        <w:wordWrap/>
        <w:overflowPunct/>
        <w:topLinePunct w:val="0"/>
        <w:autoSpaceDE/>
        <w:autoSpaceDN/>
        <w:bidi w:val="0"/>
        <w:adjustRightInd/>
        <w:spacing w:before="30" w:line="600" w:lineRule="exact"/>
        <w:ind w:left="0" w:firstLine="640" w:firstLineChars="200"/>
        <w:textAlignment w:val="auto"/>
        <w:rPr>
          <w:rFonts w:hint="default" w:ascii="Times New Roman" w:hAnsi="Times New Roman" w:eastAsia="黑体" w:cs="Times New Roman"/>
          <w:color w:val="auto"/>
          <w:sz w:val="32"/>
          <w:szCs w:val="32"/>
          <w:highlight w:val="none"/>
          <w:u w:val="none"/>
          <w:lang w:val="en-US" w:eastAsia="zh-CN"/>
        </w:rPr>
      </w:pPr>
      <w:r>
        <w:rPr>
          <w:rFonts w:hint="default" w:ascii="Times New Roman" w:hAnsi="Times New Roman" w:eastAsia="黑体" w:cs="Times New Roman"/>
          <w:color w:val="auto"/>
          <w:sz w:val="32"/>
          <w:szCs w:val="32"/>
          <w:highlight w:val="none"/>
          <w:u w:val="none"/>
          <w:lang w:val="en-US" w:eastAsia="zh-CN"/>
        </w:rPr>
        <w:t>四、评价结论</w:t>
      </w:r>
    </w:p>
    <w:p w14:paraId="2492C604">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9"/>
        <w:rPr>
          <w:rFonts w:hint="default" w:ascii="仿宋_GB2312" w:hAnsi="Times New Roman" w:eastAsia="仿宋_GB2312" w:cs="Arial"/>
          <w:color w:val="auto"/>
          <w:kern w:val="2"/>
          <w:sz w:val="32"/>
          <w:szCs w:val="32"/>
          <w:lang w:val="en-US" w:eastAsia="zh-CN" w:bidi="ar-SA"/>
        </w:rPr>
      </w:pPr>
      <w:r>
        <w:rPr>
          <w:rFonts w:hint="default" w:ascii="仿宋_GB2312" w:hAnsi="Times New Roman" w:eastAsia="仿宋_GB2312" w:cs="Arial"/>
          <w:color w:val="auto"/>
          <w:kern w:val="2"/>
          <w:sz w:val="32"/>
          <w:szCs w:val="32"/>
          <w:lang w:val="en-US" w:eastAsia="zh-CN" w:bidi="ar-SA"/>
        </w:rPr>
        <w:t>按照《</w:t>
      </w:r>
      <w:r>
        <w:rPr>
          <w:rFonts w:hint="default" w:ascii="仿宋_GB2312" w:hAnsi="Times New Roman" w:eastAsia="仿宋_GB2312" w:cs="Arial"/>
          <w:color w:val="auto"/>
          <w:kern w:val="2"/>
          <w:sz w:val="32"/>
          <w:szCs w:val="32"/>
          <w:lang w:val="zh-CN" w:eastAsia="zh-CN" w:bidi="ar-SA"/>
        </w:rPr>
        <w:t>金川县财政局关于2024年县级部门绩效自评工作的通知》（</w:t>
      </w:r>
      <w:r>
        <w:rPr>
          <w:rFonts w:hint="default" w:ascii="仿宋_GB2312" w:hAnsi="Times New Roman" w:eastAsia="仿宋_GB2312" w:cs="Arial"/>
          <w:color w:val="auto"/>
          <w:kern w:val="2"/>
          <w:sz w:val="32"/>
          <w:szCs w:val="32"/>
          <w:lang w:val="en-US" w:eastAsia="zh-CN" w:bidi="ar-SA"/>
        </w:rPr>
        <w:t>金财监绩〔2024〕35号）要求开展绩效自评，总体来看，2024年</w:t>
      </w:r>
      <w:r>
        <w:rPr>
          <w:rFonts w:hint="eastAsia" w:ascii="仿宋_GB2312" w:eastAsia="仿宋_GB2312" w:cs="Arial"/>
          <w:color w:val="auto"/>
          <w:kern w:val="2"/>
          <w:sz w:val="32"/>
          <w:szCs w:val="32"/>
          <w:lang w:val="en-US" w:eastAsia="zh-CN" w:bidi="ar-SA"/>
        </w:rPr>
        <w:t>项目投入34.58</w:t>
      </w:r>
      <w:r>
        <w:rPr>
          <w:rFonts w:hint="default" w:ascii="仿宋_GB2312" w:hAnsi="Times New Roman" w:eastAsia="仿宋_GB2312" w:cs="Arial"/>
          <w:color w:val="auto"/>
          <w:kern w:val="2"/>
          <w:sz w:val="32"/>
          <w:szCs w:val="32"/>
          <w:lang w:val="en-US" w:eastAsia="zh-CN" w:bidi="ar-SA"/>
        </w:rPr>
        <w:t>万元，用于金川县</w:t>
      </w:r>
      <w:r>
        <w:rPr>
          <w:rFonts w:hint="default" w:ascii="仿宋_GB2312" w:hAnsi="Times New Roman" w:eastAsia="仿宋_GB2312" w:cs="Arial"/>
          <w:color w:val="auto"/>
          <w:kern w:val="2"/>
          <w:sz w:val="32"/>
          <w:szCs w:val="32"/>
          <w:lang w:val="zh-CN" w:eastAsia="zh-CN" w:bidi="ar-SA"/>
        </w:rPr>
        <w:t>俄热乡村内安全饮水提升改造项目</w:t>
      </w:r>
      <w:r>
        <w:rPr>
          <w:rFonts w:hint="eastAsia" w:ascii="仿宋_GB2312" w:eastAsia="仿宋_GB2312" w:cs="Arial"/>
          <w:color w:val="auto"/>
          <w:kern w:val="2"/>
          <w:sz w:val="32"/>
          <w:szCs w:val="32"/>
          <w:lang w:val="en-US" w:eastAsia="zh-CN" w:bidi="ar-SA"/>
        </w:rPr>
        <w:t>及俄热乡英布汝人居坏境提升项目</w:t>
      </w:r>
      <w:r>
        <w:rPr>
          <w:rFonts w:hint="default" w:ascii="仿宋_GB2312" w:hAnsi="Times New Roman" w:eastAsia="仿宋_GB2312" w:cs="Arial"/>
          <w:color w:val="auto"/>
          <w:kern w:val="2"/>
          <w:sz w:val="32"/>
          <w:szCs w:val="32"/>
          <w:lang w:val="en-US" w:eastAsia="zh-CN" w:bidi="ar-SA"/>
        </w:rPr>
        <w:t>通过</w:t>
      </w:r>
      <w:r>
        <w:rPr>
          <w:rFonts w:hint="default" w:ascii="仿宋_GB2312" w:hAnsi="Times New Roman" w:eastAsia="仿宋_GB2312" w:cs="Arial"/>
          <w:color w:val="auto"/>
          <w:kern w:val="2"/>
          <w:sz w:val="32"/>
          <w:szCs w:val="32"/>
          <w:lang w:val="zh-CN" w:eastAsia="zh-CN" w:bidi="ar-SA"/>
        </w:rPr>
        <w:t>安全饮水提升改造项</w:t>
      </w:r>
      <w:r>
        <w:rPr>
          <w:rFonts w:hint="default" w:ascii="仿宋_GB2312" w:hAnsi="Times New Roman" w:eastAsia="仿宋_GB2312" w:cs="Arial"/>
          <w:color w:val="auto"/>
          <w:kern w:val="2"/>
          <w:sz w:val="32"/>
          <w:szCs w:val="32"/>
          <w:lang w:val="en-US" w:eastAsia="zh-CN" w:bidi="ar-SA"/>
        </w:rPr>
        <w:t>建设，取得了较好社会效益和经济效益。项目资金使用、拨付符合国家财经法规、财务管理制度及有关专项资金管理制度办法规定和审批程序，预算执行率100%，不存在超范围、超标准、超进度使用专项资金，不存在资金损失浪费、长期沉淀、截留、挤占、挪用、虚列支出等情况，项目实施遵守相关法律法规。项目完成预期目标，实施结果与绩效目标相匹配，反映目标实现程度。在规定时限内完成项目目标任务。自评得分</w:t>
      </w:r>
      <w:r>
        <w:rPr>
          <w:rFonts w:hint="eastAsia" w:ascii="仿宋_GB2312" w:eastAsia="仿宋_GB2312" w:cs="Arial"/>
          <w:color w:val="auto"/>
          <w:kern w:val="2"/>
          <w:sz w:val="32"/>
          <w:szCs w:val="32"/>
          <w:lang w:val="en-US" w:eastAsia="zh-CN" w:bidi="ar-SA"/>
        </w:rPr>
        <w:t>95</w:t>
      </w:r>
      <w:r>
        <w:rPr>
          <w:rFonts w:hint="default" w:ascii="仿宋_GB2312" w:hAnsi="Times New Roman" w:eastAsia="仿宋_GB2312" w:cs="Arial"/>
          <w:color w:val="auto"/>
          <w:kern w:val="2"/>
          <w:sz w:val="32"/>
          <w:szCs w:val="32"/>
          <w:lang w:val="en-US" w:eastAsia="zh-CN" w:bidi="ar-SA"/>
        </w:rPr>
        <w:t>分。</w:t>
      </w:r>
    </w:p>
    <w:p w14:paraId="10FD0DC4">
      <w:pPr>
        <w:pStyle w:val="6"/>
        <w:pageBreakBefore w:val="0"/>
        <w:numPr>
          <w:ilvl w:val="0"/>
          <w:numId w:val="0"/>
        </w:numPr>
        <w:tabs>
          <w:tab w:val="left" w:pos="2160"/>
        </w:tabs>
        <w:kinsoku/>
        <w:wordWrap/>
        <w:overflowPunct/>
        <w:topLinePunct w:val="0"/>
        <w:autoSpaceDE/>
        <w:autoSpaceDN/>
        <w:bidi w:val="0"/>
        <w:adjustRightInd/>
        <w:spacing w:line="600" w:lineRule="exact"/>
        <w:ind w:firstLine="640" w:firstLineChars="200"/>
        <w:textAlignment w:val="auto"/>
        <w:rPr>
          <w:rFonts w:hint="default" w:ascii="仿宋_GB2312" w:hAnsi="Times New Roman" w:eastAsia="仿宋_GB2312" w:cs="Arial"/>
          <w:color w:val="auto"/>
          <w:kern w:val="2"/>
          <w:sz w:val="32"/>
          <w:szCs w:val="32"/>
          <w:lang w:val="en-US" w:eastAsia="zh-CN" w:bidi="ar-SA"/>
        </w:rPr>
      </w:pPr>
      <w:r>
        <w:rPr>
          <w:rFonts w:hint="default" w:ascii="仿宋_GB2312" w:hAnsi="Times New Roman" w:eastAsia="仿宋_GB2312" w:cs="Arial"/>
          <w:color w:val="auto"/>
          <w:kern w:val="2"/>
          <w:sz w:val="32"/>
          <w:szCs w:val="32"/>
          <w:lang w:val="en-US" w:eastAsia="zh-CN" w:bidi="ar-SA"/>
        </w:rPr>
        <w:t>五、存在主要问题</w:t>
      </w:r>
    </w:p>
    <w:p w14:paraId="36368E85">
      <w:pPr>
        <w:pStyle w:val="6"/>
        <w:pageBreakBefore w:val="0"/>
        <w:numPr>
          <w:ilvl w:val="0"/>
          <w:numId w:val="0"/>
        </w:numPr>
        <w:tabs>
          <w:tab w:val="left" w:pos="2160"/>
        </w:tabs>
        <w:kinsoku/>
        <w:wordWrap/>
        <w:overflowPunct/>
        <w:topLinePunct w:val="0"/>
        <w:autoSpaceDE/>
        <w:autoSpaceDN/>
        <w:bidi w:val="0"/>
        <w:adjustRightInd/>
        <w:spacing w:line="600" w:lineRule="exact"/>
        <w:ind w:firstLine="640" w:firstLineChars="200"/>
        <w:textAlignment w:val="auto"/>
        <w:rPr>
          <w:rFonts w:hint="default" w:ascii="仿宋_GB2312" w:hAnsi="Times New Roman" w:eastAsia="仿宋_GB2312" w:cs="Arial"/>
          <w:color w:val="auto"/>
          <w:kern w:val="2"/>
          <w:sz w:val="32"/>
          <w:szCs w:val="32"/>
          <w:lang w:val="en-US" w:eastAsia="zh-CN" w:bidi="ar-SA"/>
        </w:rPr>
      </w:pPr>
      <w:r>
        <w:rPr>
          <w:rFonts w:hint="default" w:ascii="仿宋_GB2312" w:hAnsi="Times New Roman" w:eastAsia="仿宋_GB2312" w:cs="Arial"/>
          <w:color w:val="auto"/>
          <w:kern w:val="2"/>
          <w:sz w:val="32"/>
          <w:szCs w:val="32"/>
          <w:lang w:val="en-US" w:eastAsia="zh-CN" w:bidi="ar-SA"/>
        </w:rPr>
        <w:t>专项项目后续管理不够强，专项项目后续管理政策宣传不全面，专项项目后续管理日志不够规范。</w:t>
      </w:r>
    </w:p>
    <w:p w14:paraId="3F7C4865">
      <w:pPr>
        <w:pStyle w:val="6"/>
        <w:pageBreakBefore w:val="0"/>
        <w:numPr>
          <w:ilvl w:val="0"/>
          <w:numId w:val="0"/>
        </w:numPr>
        <w:tabs>
          <w:tab w:val="left" w:pos="2160"/>
        </w:tabs>
        <w:kinsoku/>
        <w:wordWrap/>
        <w:overflowPunct/>
        <w:topLinePunct w:val="0"/>
        <w:autoSpaceDE/>
        <w:autoSpaceDN/>
        <w:bidi w:val="0"/>
        <w:adjustRightInd/>
        <w:spacing w:line="600" w:lineRule="exact"/>
        <w:ind w:firstLine="640" w:firstLineChars="200"/>
        <w:textAlignment w:val="auto"/>
        <w:rPr>
          <w:rFonts w:hint="default" w:ascii="仿宋_GB2312" w:hAnsi="Times New Roman" w:eastAsia="仿宋_GB2312" w:cs="Arial"/>
          <w:color w:val="auto"/>
          <w:kern w:val="2"/>
          <w:sz w:val="32"/>
          <w:szCs w:val="32"/>
          <w:lang w:val="zh-CN" w:eastAsia="zh-CN" w:bidi="ar-SA"/>
        </w:rPr>
      </w:pPr>
      <w:r>
        <w:rPr>
          <w:rFonts w:hint="default" w:ascii="仿宋_GB2312" w:hAnsi="Times New Roman" w:eastAsia="仿宋_GB2312" w:cs="Arial"/>
          <w:color w:val="auto"/>
          <w:kern w:val="2"/>
          <w:sz w:val="32"/>
          <w:szCs w:val="32"/>
          <w:lang w:val="zh-CN" w:eastAsia="zh-CN" w:bidi="ar-SA"/>
        </w:rPr>
        <w:t>六、改进建议</w:t>
      </w:r>
    </w:p>
    <w:p w14:paraId="70EE7C79">
      <w:pPr>
        <w:tabs>
          <w:tab w:val="left" w:pos="1911"/>
        </w:tabs>
        <w:jc w:val="left"/>
        <w:rPr>
          <w:rFonts w:hint="default" w:ascii="仿宋_GB2312" w:hAnsi="Times New Roman" w:eastAsia="仿宋_GB2312" w:cs="Arial"/>
          <w:color w:val="auto"/>
          <w:kern w:val="2"/>
          <w:sz w:val="32"/>
          <w:szCs w:val="32"/>
          <w:lang w:val="en-US" w:eastAsia="zh-CN" w:bidi="ar-SA"/>
        </w:rPr>
      </w:pPr>
      <w:r>
        <w:rPr>
          <w:rFonts w:hint="default" w:ascii="仿宋_GB2312" w:hAnsi="Times New Roman" w:eastAsia="仿宋_GB2312" w:cs="Arial"/>
          <w:color w:val="auto"/>
          <w:kern w:val="2"/>
          <w:sz w:val="32"/>
          <w:szCs w:val="32"/>
          <w:lang w:val="zh-CN" w:eastAsia="zh-CN" w:bidi="ar-SA"/>
        </w:rPr>
        <w:t xml:space="preserve"> </w:t>
      </w:r>
      <w:r>
        <w:rPr>
          <w:rFonts w:hint="default" w:ascii="仿宋_GB2312" w:hAnsi="Times New Roman" w:eastAsia="仿宋_GB2312" w:cs="Arial"/>
          <w:color w:val="auto"/>
          <w:kern w:val="2"/>
          <w:sz w:val="32"/>
          <w:szCs w:val="32"/>
          <w:lang w:val="en-US" w:eastAsia="zh-CN" w:bidi="ar-SA"/>
        </w:rPr>
        <w:t xml:space="preserve">    一是进一步规范绩效目标编制。在编制项目资金绩效目标时要求指向明确、细化量化、合理可行、相应匹配。</w:t>
      </w:r>
    </w:p>
    <w:p w14:paraId="6122D9C3">
      <w:pPr>
        <w:tabs>
          <w:tab w:val="left" w:pos="1911"/>
        </w:tabs>
        <w:jc w:val="left"/>
        <w:rPr>
          <w:rFonts w:hint="default" w:ascii="仿宋_GB2312" w:hAnsi="Times New Roman" w:eastAsia="仿宋_GB2312" w:cs="Arial"/>
          <w:color w:val="auto"/>
          <w:kern w:val="2"/>
          <w:sz w:val="32"/>
          <w:szCs w:val="32"/>
          <w:lang w:val="en" w:eastAsia="zh-CN" w:bidi="ar-SA"/>
        </w:rPr>
      </w:pPr>
      <w:r>
        <w:rPr>
          <w:rFonts w:hint="default" w:ascii="仿宋_GB2312" w:hAnsi="Times New Roman" w:eastAsia="仿宋_GB2312" w:cs="Arial"/>
          <w:color w:val="auto"/>
          <w:kern w:val="2"/>
          <w:sz w:val="32"/>
          <w:szCs w:val="32"/>
          <w:lang w:val="en-US" w:eastAsia="zh-CN" w:bidi="ar-SA"/>
        </w:rPr>
        <w:t>二是不断加强新《预算法》、《行政单位会计制度》等学习培训，规范部门预算收支核算，制定和完善基本支出、项目支出等各项支出标准，严格按项目和进度执行预算，增强预算的约束力和严肃性。落实预算执行分析，及时了解预算执行差异，合理调整、纠正预算执行偏差，切实提高部门预算收支管理水平。</w:t>
      </w:r>
    </w:p>
    <w:p w14:paraId="0E10E5B3">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14:paraId="53637A55">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bookmarkStart w:id="56" w:name="_Toc15396618"/>
      <w:r>
        <w:rPr>
          <w:rFonts w:hint="eastAsia" w:ascii="Times New Roman" w:hAnsi="Times New Roman" w:eastAsia="仿宋_GB2312" w:cs="仿宋_GB2312"/>
          <w:b w:val="0"/>
          <w:bCs w:val="0"/>
          <w:kern w:val="0"/>
          <w:position w:val="0"/>
          <w:sz w:val="32"/>
          <w:szCs w:val="32"/>
          <w:highlight w:val="none"/>
          <w:lang w:val="en-US" w:eastAsia="zh-CN" w:bidi="ar-SA"/>
        </w:rPr>
        <w:br w:type="page"/>
      </w:r>
    </w:p>
    <w:p w14:paraId="0F1453FF">
      <w:pPr>
        <w:widowControl/>
        <w:jc w:val="center"/>
        <w:rPr>
          <w:rFonts w:hint="eastAsia" w:ascii="Times New Roman" w:hAnsi="Times New Roman" w:eastAsia="仿宋"/>
          <w:b w:val="0"/>
          <w:color w:val="auto"/>
          <w:highlight w:val="none"/>
        </w:rPr>
      </w:pPr>
      <w:r>
        <w:rPr>
          <w:rFonts w:hint="eastAsia" w:ascii="Times New Roman" w:hAnsi="Times New Roman" w:eastAsia="黑体"/>
          <w:color w:val="auto"/>
          <w:sz w:val="44"/>
          <w:szCs w:val="44"/>
          <w:highlight w:val="none"/>
        </w:rPr>
        <w:t>第</w:t>
      </w:r>
      <w:r>
        <w:rPr>
          <w:rStyle w:val="34"/>
          <w:rFonts w:hint="eastAsia" w:ascii="Times New Roman" w:hAnsi="Times New Roman" w:eastAsia="黑体"/>
          <w:b w:val="0"/>
          <w:color w:val="auto"/>
          <w:highlight w:val="none"/>
        </w:rPr>
        <w:t>五部分 附表</w:t>
      </w:r>
      <w:bookmarkEnd w:id="52"/>
      <w:bookmarkEnd w:id="56"/>
      <w:bookmarkStart w:id="57" w:name="_Toc15396619"/>
    </w:p>
    <w:p w14:paraId="00EDC4B4">
      <w:pPr>
        <w:pStyle w:val="17"/>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p>
    <w:p w14:paraId="10E4C4D5">
      <w:pPr>
        <w:pStyle w:val="17"/>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一、收入支出决算总表</w:t>
      </w:r>
      <w:bookmarkEnd w:id="57"/>
    </w:p>
    <w:p w14:paraId="412C401E">
      <w:pPr>
        <w:pStyle w:val="17"/>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8" w:name="_Toc15396620"/>
      <w:r>
        <w:rPr>
          <w:rFonts w:hint="eastAsia" w:ascii="Times New Roman" w:hAnsi="Times New Roman" w:eastAsia="仿宋_GB2312" w:cs="仿宋_GB2312"/>
          <w:color w:val="auto"/>
          <w:sz w:val="32"/>
          <w:szCs w:val="32"/>
          <w:highlight w:val="none"/>
        </w:rPr>
        <w:t>二、收入决算表</w:t>
      </w:r>
      <w:bookmarkEnd w:id="58"/>
    </w:p>
    <w:p w14:paraId="45A6954D">
      <w:pPr>
        <w:pStyle w:val="17"/>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9" w:name="_Toc15396621"/>
      <w:r>
        <w:rPr>
          <w:rFonts w:hint="eastAsia" w:ascii="Times New Roman" w:hAnsi="Times New Roman" w:eastAsia="仿宋_GB2312" w:cs="仿宋_GB2312"/>
          <w:color w:val="auto"/>
          <w:sz w:val="32"/>
          <w:szCs w:val="32"/>
          <w:highlight w:val="none"/>
        </w:rPr>
        <w:t>三、支出决算表</w:t>
      </w:r>
      <w:bookmarkEnd w:id="59"/>
    </w:p>
    <w:p w14:paraId="043C3806">
      <w:pPr>
        <w:pStyle w:val="17"/>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0" w:name="_Toc15396622"/>
      <w:r>
        <w:rPr>
          <w:rFonts w:hint="eastAsia" w:ascii="Times New Roman" w:hAnsi="Times New Roman" w:eastAsia="仿宋_GB2312" w:cs="仿宋_GB2312"/>
          <w:color w:val="auto"/>
          <w:sz w:val="32"/>
          <w:szCs w:val="32"/>
          <w:highlight w:val="none"/>
        </w:rPr>
        <w:t>四、财政拨款收入支出决算总表</w:t>
      </w:r>
      <w:bookmarkEnd w:id="60"/>
    </w:p>
    <w:p w14:paraId="6F3A684F">
      <w:pPr>
        <w:pStyle w:val="17"/>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1" w:name="_Toc15396623"/>
      <w:r>
        <w:rPr>
          <w:rFonts w:hint="eastAsia" w:ascii="Times New Roman" w:hAnsi="Times New Roman" w:eastAsia="仿宋_GB2312" w:cs="仿宋_GB2312"/>
          <w:color w:val="auto"/>
          <w:sz w:val="32"/>
          <w:szCs w:val="32"/>
          <w:highlight w:val="none"/>
        </w:rPr>
        <w:t>五、财政拨款支出决算明细表</w:t>
      </w:r>
      <w:bookmarkEnd w:id="61"/>
      <w:bookmarkStart w:id="62" w:name="_Toc15396624"/>
    </w:p>
    <w:p w14:paraId="4400B112">
      <w:pPr>
        <w:pStyle w:val="17"/>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六、一般公共预算财政拨款支出决算表</w:t>
      </w:r>
      <w:bookmarkEnd w:id="62"/>
    </w:p>
    <w:p w14:paraId="260261BA">
      <w:pPr>
        <w:pStyle w:val="17"/>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3" w:name="_Toc15396625"/>
      <w:r>
        <w:rPr>
          <w:rFonts w:hint="eastAsia" w:ascii="Times New Roman" w:hAnsi="Times New Roman" w:eastAsia="仿宋_GB2312" w:cs="仿宋_GB2312"/>
          <w:color w:val="auto"/>
          <w:sz w:val="32"/>
          <w:szCs w:val="32"/>
          <w:highlight w:val="none"/>
        </w:rPr>
        <w:t>七、一般公共预算财政拨款支出决算明细表</w:t>
      </w:r>
      <w:bookmarkEnd w:id="63"/>
    </w:p>
    <w:p w14:paraId="31134C7A">
      <w:pPr>
        <w:pStyle w:val="17"/>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4" w:name="_Toc15396626"/>
      <w:r>
        <w:rPr>
          <w:rFonts w:hint="eastAsia" w:ascii="Times New Roman" w:hAnsi="Times New Roman" w:eastAsia="仿宋_GB2312" w:cs="仿宋_GB2312"/>
          <w:color w:val="auto"/>
          <w:sz w:val="32"/>
          <w:szCs w:val="32"/>
          <w:highlight w:val="none"/>
        </w:rPr>
        <w:t>八、一般公共预算财政拨款基本支出决算表</w:t>
      </w:r>
      <w:bookmarkEnd w:id="64"/>
    </w:p>
    <w:p w14:paraId="5BE3E651">
      <w:pPr>
        <w:pStyle w:val="17"/>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5" w:name="_Toc15396627"/>
      <w:r>
        <w:rPr>
          <w:rFonts w:hint="eastAsia" w:ascii="Times New Roman" w:hAnsi="Times New Roman" w:eastAsia="仿宋_GB2312" w:cs="仿宋_GB2312"/>
          <w:color w:val="auto"/>
          <w:sz w:val="32"/>
          <w:szCs w:val="32"/>
          <w:highlight w:val="none"/>
        </w:rPr>
        <w:t>九、一般公共预算财政拨款项目支出决算表</w:t>
      </w:r>
      <w:bookmarkEnd w:id="65"/>
    </w:p>
    <w:p w14:paraId="59386C99">
      <w:pPr>
        <w:pStyle w:val="17"/>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6" w:name="_Toc15396628"/>
      <w:r>
        <w:rPr>
          <w:rFonts w:hint="eastAsia" w:ascii="Times New Roman" w:hAnsi="Times New Roman" w:eastAsia="仿宋_GB2312" w:cs="仿宋_GB2312"/>
          <w:color w:val="auto"/>
          <w:sz w:val="32"/>
          <w:szCs w:val="32"/>
          <w:highlight w:val="none"/>
        </w:rPr>
        <w:t>十、</w:t>
      </w:r>
      <w:bookmarkEnd w:id="66"/>
      <w:r>
        <w:rPr>
          <w:rFonts w:hint="eastAsia" w:ascii="Times New Roman" w:hAnsi="Times New Roman" w:eastAsia="仿宋_GB2312" w:cs="仿宋_GB2312"/>
          <w:color w:val="auto"/>
          <w:sz w:val="32"/>
          <w:szCs w:val="32"/>
          <w:highlight w:val="none"/>
        </w:rPr>
        <w:t>政府性基金预算财政拨款收入支出决算表</w:t>
      </w:r>
    </w:p>
    <w:p w14:paraId="033CCF95">
      <w:pPr>
        <w:pStyle w:val="17"/>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7" w:name="_Toc15396629"/>
      <w:r>
        <w:rPr>
          <w:rFonts w:hint="eastAsia" w:ascii="Times New Roman" w:hAnsi="Times New Roman" w:eastAsia="仿宋_GB2312" w:cs="仿宋_GB2312"/>
          <w:color w:val="auto"/>
          <w:sz w:val="32"/>
          <w:szCs w:val="32"/>
          <w:highlight w:val="none"/>
        </w:rPr>
        <w:t>十一、</w:t>
      </w:r>
      <w:bookmarkEnd w:id="67"/>
      <w:r>
        <w:rPr>
          <w:rFonts w:hint="eastAsia" w:ascii="Times New Roman" w:hAnsi="Times New Roman" w:eastAsia="仿宋_GB2312" w:cs="仿宋_GB2312"/>
          <w:color w:val="auto"/>
          <w:sz w:val="32"/>
          <w:szCs w:val="32"/>
          <w:highlight w:val="none"/>
        </w:rPr>
        <w:t>国有资本经营预算</w:t>
      </w:r>
      <w:r>
        <w:rPr>
          <w:rFonts w:hint="eastAsia" w:ascii="Times New Roman" w:hAnsi="Times New Roman" w:eastAsia="仿宋_GB2312" w:cs="仿宋_GB2312"/>
          <w:color w:val="auto"/>
          <w:sz w:val="32"/>
          <w:szCs w:val="32"/>
          <w:highlight w:val="none"/>
          <w:lang w:eastAsia="zh-CN"/>
        </w:rPr>
        <w:t>财政拨款收入</w:t>
      </w:r>
      <w:r>
        <w:rPr>
          <w:rFonts w:hint="eastAsia" w:ascii="Times New Roman" w:hAnsi="Times New Roman" w:eastAsia="仿宋_GB2312" w:cs="仿宋_GB2312"/>
          <w:color w:val="auto"/>
          <w:sz w:val="32"/>
          <w:szCs w:val="32"/>
          <w:highlight w:val="none"/>
        </w:rPr>
        <w:t>支出决算表</w:t>
      </w:r>
    </w:p>
    <w:p w14:paraId="3C782CC6">
      <w:pPr>
        <w:pStyle w:val="17"/>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8" w:name="_Toc15396630"/>
      <w:r>
        <w:rPr>
          <w:rFonts w:hint="eastAsia" w:ascii="Times New Roman" w:hAnsi="Times New Roman" w:eastAsia="仿宋_GB2312" w:cs="仿宋_GB2312"/>
          <w:color w:val="auto"/>
          <w:sz w:val="32"/>
          <w:szCs w:val="32"/>
          <w:highlight w:val="none"/>
        </w:rPr>
        <w:t>十二、</w:t>
      </w:r>
      <w:bookmarkEnd w:id="68"/>
      <w:r>
        <w:rPr>
          <w:rFonts w:hint="eastAsia" w:ascii="Times New Roman" w:hAnsi="Times New Roman" w:eastAsia="仿宋_GB2312" w:cs="仿宋_GB2312"/>
          <w:color w:val="auto"/>
          <w:sz w:val="32"/>
          <w:szCs w:val="32"/>
          <w:highlight w:val="none"/>
          <w:lang w:eastAsia="zh-CN"/>
        </w:rPr>
        <w:t>国有资本经营预算财政拨款支出决算表</w:t>
      </w:r>
    </w:p>
    <w:p w14:paraId="4F347BA5">
      <w:pPr>
        <w:pStyle w:val="17"/>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lang w:eastAsia="zh-CN"/>
        </w:rPr>
      </w:pPr>
      <w:bookmarkStart w:id="69" w:name="_Toc15396631"/>
      <w:r>
        <w:rPr>
          <w:rFonts w:hint="eastAsia" w:ascii="Times New Roman" w:hAnsi="Times New Roman" w:eastAsia="仿宋_GB2312" w:cs="仿宋_GB2312"/>
          <w:color w:val="auto"/>
          <w:sz w:val="32"/>
          <w:szCs w:val="32"/>
          <w:highlight w:val="none"/>
        </w:rPr>
        <w:t>十三、</w:t>
      </w:r>
      <w:bookmarkEnd w:id="69"/>
      <w:r>
        <w:rPr>
          <w:rFonts w:hint="eastAsia" w:ascii="Times New Roman" w:hAnsi="Times New Roman" w:eastAsia="仿宋_GB2312" w:cs="仿宋_GB2312"/>
          <w:color w:val="auto"/>
          <w:sz w:val="32"/>
          <w:szCs w:val="32"/>
          <w:highlight w:val="none"/>
          <w:lang w:eastAsia="zh-CN"/>
        </w:rPr>
        <w:t>财政拨款“三公”经费支出决算表</w:t>
      </w:r>
    </w:p>
    <w:p w14:paraId="212CCFC2">
      <w:pPr>
        <w:rPr>
          <w:rFonts w:hint="eastAsia" w:ascii="Times New Roman" w:hAnsi="Times New Roman"/>
          <w:lang w:eastAsia="zh-CN"/>
        </w:rPr>
      </w:pPr>
    </w:p>
    <w:sectPr>
      <w:footerReference r:id="rId6" w:type="first"/>
      <w:footerReference r:id="rId5" w:type="default"/>
      <w:pgSz w:w="11906" w:h="16838"/>
      <w:pgMar w:top="1440" w:right="1800" w:bottom="1440" w:left="1800" w:header="851" w:footer="992" w:gutter="0"/>
      <w:pgNumType w:fmt="decimal" w:start="2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AR PL UKai CN">
    <w:altName w:val="Segoe Print"/>
    <w:panose1 w:val="00000000000000000000"/>
    <w:charset w:val="01"/>
    <w:family w:val="auto"/>
    <w:pitch w:val="default"/>
    <w:sig w:usb0="00000000" w:usb1="00000000" w:usb2="00000000" w:usb3="00000000" w:csb0="00000000" w:csb1="00000000"/>
  </w:font>
  <w:font w:name="Lucida Sans">
    <w:altName w:val="Lucida Sans Unicode"/>
    <w:panose1 w:val="020B0602030504020204"/>
    <w:charset w:val="01"/>
    <w:family w:val="auto"/>
    <w:pitch w:val="default"/>
    <w:sig w:usb0="00000000" w:usb1="00000000" w:usb2="00000000" w:usb3="00000000" w:csb0="00000000" w:csb1="00000000"/>
  </w:font>
  <w:font w:name="楷体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Lucida Sans Unicode">
    <w:panose1 w:val="020B0602030504020204"/>
    <w:charset w:val="00"/>
    <w:family w:val="auto"/>
    <w:pitch w:val="default"/>
    <w:sig w:usb0="80001AFF" w:usb1="0000396B" w:usb2="00000000" w:usb3="00000000" w:csb0="200000BF" w:csb1="D7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352774">
    <w:pPr>
      <w:pStyle w:val="10"/>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098747">
                          <w:pPr>
                            <w:pStyle w:val="10"/>
                          </w:pPr>
                          <w:r>
                            <w:fldChar w:fldCharType="begin"/>
                          </w:r>
                          <w:r>
                            <w:instrText xml:space="preserve"> PAGE  \* MERGEFORMAT </w:instrText>
                          </w:r>
                          <w:r>
                            <w:fldChar w:fldCharType="separate"/>
                          </w:r>
                          <w:r>
                            <w:t>- 2 -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6A098747">
                    <w:pPr>
                      <w:pStyle w:val="10"/>
                    </w:pPr>
                    <w:r>
                      <w:fldChar w:fldCharType="begin"/>
                    </w:r>
                    <w:r>
                      <w:instrText xml:space="preserve"> PAGE  \* MERGEFORMAT </w:instrText>
                    </w:r>
                    <w:r>
                      <w:fldChar w:fldCharType="separate"/>
                    </w:r>
                    <w:r>
                      <w:t>- 2 -</w:t>
                    </w:r>
                    <w:r>
                      <w:fldChar w:fldCharType="end"/>
                    </w:r>
                  </w:p>
                </w:txbxContent>
              </v:textbox>
            </v:shape>
          </w:pict>
        </mc:Fallback>
      </mc:AlternateContent>
    </w:r>
  </w:p>
  <w:p w14:paraId="6413AB12">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5CB269">
    <w:pPr>
      <w:pStyle w:val="10"/>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79B349">
                          <w:pPr>
                            <w:pStyle w:val="10"/>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6579B349">
                    <w:pPr>
                      <w:pStyle w:val="10"/>
                    </w:pPr>
                    <w:r>
                      <w:fldChar w:fldCharType="begin"/>
                    </w:r>
                    <w:r>
                      <w:instrText xml:space="preserve"> PAGE  \* MERGEFORMAT </w:instrText>
                    </w:r>
                    <w:r>
                      <w:fldChar w:fldCharType="separate"/>
                    </w:r>
                    <w:r>
                      <w:t>2</w:t>
                    </w:r>
                    <w:r>
                      <w:fldChar w:fldCharType="end"/>
                    </w:r>
                  </w:p>
                </w:txbxContent>
              </v:textbox>
            </v:shape>
          </w:pict>
        </mc:Fallback>
      </mc:AlternateContent>
    </w:r>
  </w:p>
  <w:p w14:paraId="58F5E031">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567D99">
    <w:pPr>
      <w:pStyle w:val="10"/>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5DF6CF">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0A5DF6CF">
                    <w:pPr>
                      <w:pStyle w:val="10"/>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lang w:eastAsia="zh-CN"/>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BAF2E3">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8588C4"/>
    <w:multiLevelType w:val="singleLevel"/>
    <w:tmpl w:val="2F8588C4"/>
    <w:lvl w:ilvl="0" w:tentative="0">
      <w:start w:val="2"/>
      <w:numFmt w:val="chineseCounting"/>
      <w:suff w:val="nothing"/>
      <w:lvlText w:val="（%1）"/>
      <w:lvlJc w:val="left"/>
      <w:pPr>
        <w:tabs>
          <w:tab w:val="left" w:pos="0"/>
        </w:tabs>
        <w:ind w:left="0" w:firstLine="0"/>
      </w:pPr>
      <w:rPr>
        <w:rFonts w:hint="eastAsia"/>
      </w:rPr>
    </w:lvl>
  </w:abstractNum>
  <w:abstractNum w:abstractNumId="1">
    <w:nsid w:val="4F4784CD"/>
    <w:multiLevelType w:val="singleLevel"/>
    <w:tmpl w:val="4F4784CD"/>
    <w:lvl w:ilvl="0" w:tentative="0">
      <w:start w:val="3"/>
      <w:numFmt w:val="chineseCounting"/>
      <w:suff w:val="nothing"/>
      <w:lvlText w:val="（%1）"/>
      <w:lvlJc w:val="left"/>
      <w:rPr>
        <w:rFonts w:hint="eastAsia"/>
      </w:rPr>
    </w:lvl>
  </w:abstractNum>
  <w:abstractNum w:abstractNumId="2">
    <w:nsid w:val="5594E022"/>
    <w:multiLevelType w:val="singleLevel"/>
    <w:tmpl w:val="5594E022"/>
    <w:lvl w:ilvl="0" w:tentative="0">
      <w:start w:val="1"/>
      <w:numFmt w:val="chineseCounting"/>
      <w:suff w:val="nothing"/>
      <w:lvlText w:val="%1、"/>
      <w:lvlJc w:val="left"/>
      <w:rPr>
        <w:rFonts w:hint="eastAsia"/>
      </w:rPr>
    </w:lvl>
  </w:abstractNum>
  <w:abstractNum w:abstractNumId="3">
    <w:nsid w:val="615F0E73"/>
    <w:multiLevelType w:val="singleLevel"/>
    <w:tmpl w:val="615F0E73"/>
    <w:lvl w:ilvl="0" w:tentative="0">
      <w:start w:val="2"/>
      <w:numFmt w:val="chineseCounting"/>
      <w:suff w:val="nothing"/>
      <w:lvlText w:val="（%1）"/>
      <w:lvlJc w:val="left"/>
      <w:rPr>
        <w:rFonts w:hint="eastAsia"/>
      </w:rPr>
    </w:lvl>
  </w:abstractNum>
  <w:abstractNum w:abstractNumId="4">
    <w:nsid w:val="62621CDC"/>
    <w:multiLevelType w:val="multilevel"/>
    <w:tmpl w:val="62621CDC"/>
    <w:lvl w:ilvl="0" w:tentative="0">
      <w:start w:val="1"/>
      <w:numFmt w:val="decimal"/>
      <w:lvlText w:val="%1."/>
      <w:lvlJc w:val="left"/>
      <w:pPr>
        <w:ind w:left="1152" w:hanging="480"/>
      </w:pPr>
      <w:rPr>
        <w:rFonts w:hint="default"/>
      </w:rPr>
    </w:lvl>
    <w:lvl w:ilvl="1" w:tentative="0">
      <w:start w:val="1"/>
      <w:numFmt w:val="lowerLetter"/>
      <w:lvlText w:val="%2)"/>
      <w:lvlJc w:val="left"/>
      <w:pPr>
        <w:ind w:left="1512" w:hanging="420"/>
      </w:pPr>
    </w:lvl>
    <w:lvl w:ilvl="2" w:tentative="0">
      <w:start w:val="1"/>
      <w:numFmt w:val="lowerRoman"/>
      <w:lvlText w:val="%3."/>
      <w:lvlJc w:val="right"/>
      <w:pPr>
        <w:ind w:left="1932" w:hanging="420"/>
      </w:pPr>
    </w:lvl>
    <w:lvl w:ilvl="3" w:tentative="0">
      <w:start w:val="1"/>
      <w:numFmt w:val="decimal"/>
      <w:lvlText w:val="%4."/>
      <w:lvlJc w:val="left"/>
      <w:pPr>
        <w:ind w:left="2352" w:hanging="420"/>
      </w:pPr>
    </w:lvl>
    <w:lvl w:ilvl="4" w:tentative="0">
      <w:start w:val="1"/>
      <w:numFmt w:val="lowerLetter"/>
      <w:lvlText w:val="%5)"/>
      <w:lvlJc w:val="left"/>
      <w:pPr>
        <w:ind w:left="2772" w:hanging="420"/>
      </w:pPr>
    </w:lvl>
    <w:lvl w:ilvl="5" w:tentative="0">
      <w:start w:val="1"/>
      <w:numFmt w:val="lowerRoman"/>
      <w:lvlText w:val="%6."/>
      <w:lvlJc w:val="right"/>
      <w:pPr>
        <w:ind w:left="3192" w:hanging="420"/>
      </w:pPr>
    </w:lvl>
    <w:lvl w:ilvl="6" w:tentative="0">
      <w:start w:val="1"/>
      <w:numFmt w:val="decimal"/>
      <w:lvlText w:val="%7."/>
      <w:lvlJc w:val="left"/>
      <w:pPr>
        <w:ind w:left="3612" w:hanging="420"/>
      </w:pPr>
    </w:lvl>
    <w:lvl w:ilvl="7" w:tentative="0">
      <w:start w:val="1"/>
      <w:numFmt w:val="lowerLetter"/>
      <w:lvlText w:val="%8)"/>
      <w:lvlJc w:val="left"/>
      <w:pPr>
        <w:ind w:left="4032" w:hanging="420"/>
      </w:pPr>
    </w:lvl>
    <w:lvl w:ilvl="8" w:tentative="0">
      <w:start w:val="1"/>
      <w:numFmt w:val="lowerRoman"/>
      <w:lvlText w:val="%9."/>
      <w:lvlJc w:val="right"/>
      <w:pPr>
        <w:ind w:left="4452" w:hanging="420"/>
      </w:p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A5EC2"/>
    <w:rsid w:val="015975B8"/>
    <w:rsid w:val="02FEBE30"/>
    <w:rsid w:val="04916F1E"/>
    <w:rsid w:val="061E35DE"/>
    <w:rsid w:val="066E0107"/>
    <w:rsid w:val="07996F6E"/>
    <w:rsid w:val="07DFD8BA"/>
    <w:rsid w:val="09867E8F"/>
    <w:rsid w:val="0A2032A3"/>
    <w:rsid w:val="0CA8290A"/>
    <w:rsid w:val="0D35B1ED"/>
    <w:rsid w:val="0E254B6B"/>
    <w:rsid w:val="0F98263C"/>
    <w:rsid w:val="0FA22ADA"/>
    <w:rsid w:val="101860EC"/>
    <w:rsid w:val="101F47CC"/>
    <w:rsid w:val="10C055FF"/>
    <w:rsid w:val="11694EBD"/>
    <w:rsid w:val="11772AA4"/>
    <w:rsid w:val="118107EC"/>
    <w:rsid w:val="12E24EE2"/>
    <w:rsid w:val="12EE6D77"/>
    <w:rsid w:val="12FC59FA"/>
    <w:rsid w:val="13D50BC4"/>
    <w:rsid w:val="14B17F78"/>
    <w:rsid w:val="165E0673"/>
    <w:rsid w:val="16B831D5"/>
    <w:rsid w:val="16BB723D"/>
    <w:rsid w:val="17E50567"/>
    <w:rsid w:val="186504BB"/>
    <w:rsid w:val="19A445FC"/>
    <w:rsid w:val="1BE8440E"/>
    <w:rsid w:val="1D155CEE"/>
    <w:rsid w:val="1D1638FE"/>
    <w:rsid w:val="1E312DEB"/>
    <w:rsid w:val="1E740ACF"/>
    <w:rsid w:val="1FF35744"/>
    <w:rsid w:val="1FF6BC77"/>
    <w:rsid w:val="2186353C"/>
    <w:rsid w:val="23860B96"/>
    <w:rsid w:val="240371BF"/>
    <w:rsid w:val="244F3473"/>
    <w:rsid w:val="24C97D99"/>
    <w:rsid w:val="25A718F0"/>
    <w:rsid w:val="25BB59F6"/>
    <w:rsid w:val="260F557C"/>
    <w:rsid w:val="26970054"/>
    <w:rsid w:val="281408E2"/>
    <w:rsid w:val="29022994"/>
    <w:rsid w:val="29FD04D3"/>
    <w:rsid w:val="2BFF7BC6"/>
    <w:rsid w:val="2C8A61B5"/>
    <w:rsid w:val="2DF04E50"/>
    <w:rsid w:val="2E586DFA"/>
    <w:rsid w:val="2F040D46"/>
    <w:rsid w:val="2F6B035B"/>
    <w:rsid w:val="2FAE5751"/>
    <w:rsid w:val="2FB1A395"/>
    <w:rsid w:val="2FD9A7D8"/>
    <w:rsid w:val="2FDBF714"/>
    <w:rsid w:val="30AB6865"/>
    <w:rsid w:val="319F7F4E"/>
    <w:rsid w:val="32BD1EF1"/>
    <w:rsid w:val="3304709D"/>
    <w:rsid w:val="33A773CB"/>
    <w:rsid w:val="349D6851"/>
    <w:rsid w:val="36AA5135"/>
    <w:rsid w:val="36BE0DA7"/>
    <w:rsid w:val="376B6AA6"/>
    <w:rsid w:val="376D39B2"/>
    <w:rsid w:val="37E16F03"/>
    <w:rsid w:val="37F53A3B"/>
    <w:rsid w:val="389B6C89"/>
    <w:rsid w:val="38D469F0"/>
    <w:rsid w:val="39627CCD"/>
    <w:rsid w:val="397BAF1F"/>
    <w:rsid w:val="3AB79AF3"/>
    <w:rsid w:val="3AE834C0"/>
    <w:rsid w:val="3B7EF35A"/>
    <w:rsid w:val="3B9FDB6C"/>
    <w:rsid w:val="3BF5BC2F"/>
    <w:rsid w:val="3CEBA265"/>
    <w:rsid w:val="3D98207C"/>
    <w:rsid w:val="3DEE7CF3"/>
    <w:rsid w:val="3E740A63"/>
    <w:rsid w:val="3E78745D"/>
    <w:rsid w:val="3EE17838"/>
    <w:rsid w:val="3F55381A"/>
    <w:rsid w:val="3F7F7599"/>
    <w:rsid w:val="3FF4CAE0"/>
    <w:rsid w:val="3FF7B227"/>
    <w:rsid w:val="44E268DA"/>
    <w:rsid w:val="450D13D7"/>
    <w:rsid w:val="45506656"/>
    <w:rsid w:val="486A6C7A"/>
    <w:rsid w:val="4A627F82"/>
    <w:rsid w:val="4B0E749A"/>
    <w:rsid w:val="4B2477C4"/>
    <w:rsid w:val="4B4F25DA"/>
    <w:rsid w:val="4BE068DB"/>
    <w:rsid w:val="4D4C26DE"/>
    <w:rsid w:val="4D577224"/>
    <w:rsid w:val="4DBF1CEB"/>
    <w:rsid w:val="4DF0007C"/>
    <w:rsid w:val="4EAB630A"/>
    <w:rsid w:val="4ECE2238"/>
    <w:rsid w:val="4F833267"/>
    <w:rsid w:val="4FE9BD67"/>
    <w:rsid w:val="4FFB052F"/>
    <w:rsid w:val="537E6D0A"/>
    <w:rsid w:val="53F74C96"/>
    <w:rsid w:val="55170BA8"/>
    <w:rsid w:val="553218C9"/>
    <w:rsid w:val="567E1AA5"/>
    <w:rsid w:val="56E47B74"/>
    <w:rsid w:val="57175D52"/>
    <w:rsid w:val="57BD3DD4"/>
    <w:rsid w:val="5AF92295"/>
    <w:rsid w:val="5B250254"/>
    <w:rsid w:val="5BDD79E6"/>
    <w:rsid w:val="5BF561CA"/>
    <w:rsid w:val="5BFF5DFC"/>
    <w:rsid w:val="5CD71FC4"/>
    <w:rsid w:val="5D1F11B5"/>
    <w:rsid w:val="5D695134"/>
    <w:rsid w:val="5DAE1B18"/>
    <w:rsid w:val="5DE7D9E5"/>
    <w:rsid w:val="5ECEC941"/>
    <w:rsid w:val="5FBF9FF3"/>
    <w:rsid w:val="5FCD4E2C"/>
    <w:rsid w:val="5FEF394A"/>
    <w:rsid w:val="5FF67715"/>
    <w:rsid w:val="62BF3928"/>
    <w:rsid w:val="63B3701E"/>
    <w:rsid w:val="647F5392"/>
    <w:rsid w:val="65E66580"/>
    <w:rsid w:val="664B1D71"/>
    <w:rsid w:val="664B4E8E"/>
    <w:rsid w:val="67277B67"/>
    <w:rsid w:val="67AA3209"/>
    <w:rsid w:val="698D0931"/>
    <w:rsid w:val="6A7FE5F3"/>
    <w:rsid w:val="6B053271"/>
    <w:rsid w:val="6BDD78B3"/>
    <w:rsid w:val="6C4A05C8"/>
    <w:rsid w:val="6C8742B8"/>
    <w:rsid w:val="6DBF5E93"/>
    <w:rsid w:val="6DFF077E"/>
    <w:rsid w:val="6E714EF0"/>
    <w:rsid w:val="6E7E3605"/>
    <w:rsid w:val="6E7FDCC7"/>
    <w:rsid w:val="6ED6A62E"/>
    <w:rsid w:val="6EE00B15"/>
    <w:rsid w:val="6F6FB3EB"/>
    <w:rsid w:val="6F8731EA"/>
    <w:rsid w:val="6FCE6052"/>
    <w:rsid w:val="6FD57C00"/>
    <w:rsid w:val="6FEFFFD8"/>
    <w:rsid w:val="6FF5CC65"/>
    <w:rsid w:val="6FFB47EC"/>
    <w:rsid w:val="6FFF034A"/>
    <w:rsid w:val="70484440"/>
    <w:rsid w:val="712A28F1"/>
    <w:rsid w:val="715C0E4B"/>
    <w:rsid w:val="71992E7C"/>
    <w:rsid w:val="72233669"/>
    <w:rsid w:val="72734D90"/>
    <w:rsid w:val="73160E6D"/>
    <w:rsid w:val="7332FE48"/>
    <w:rsid w:val="73AB61DA"/>
    <w:rsid w:val="73AD73D5"/>
    <w:rsid w:val="73B6EB34"/>
    <w:rsid w:val="73FA497D"/>
    <w:rsid w:val="744731E5"/>
    <w:rsid w:val="74BBD01D"/>
    <w:rsid w:val="74ED5379"/>
    <w:rsid w:val="75DEEEC2"/>
    <w:rsid w:val="75E32345"/>
    <w:rsid w:val="76E3355F"/>
    <w:rsid w:val="76FF5125"/>
    <w:rsid w:val="776F6FFA"/>
    <w:rsid w:val="778769C8"/>
    <w:rsid w:val="77A75DCA"/>
    <w:rsid w:val="77DC22F5"/>
    <w:rsid w:val="783E271A"/>
    <w:rsid w:val="78616DE9"/>
    <w:rsid w:val="78E875D7"/>
    <w:rsid w:val="79086DAD"/>
    <w:rsid w:val="79D7FD79"/>
    <w:rsid w:val="79EE5BA4"/>
    <w:rsid w:val="7A894339"/>
    <w:rsid w:val="7AD284E8"/>
    <w:rsid w:val="7AFF7572"/>
    <w:rsid w:val="7B6C7DFB"/>
    <w:rsid w:val="7BBFBED0"/>
    <w:rsid w:val="7BC3E394"/>
    <w:rsid w:val="7C1F3737"/>
    <w:rsid w:val="7CBFC87B"/>
    <w:rsid w:val="7CFE0F48"/>
    <w:rsid w:val="7D272ABC"/>
    <w:rsid w:val="7D7EC23E"/>
    <w:rsid w:val="7E8ADEBF"/>
    <w:rsid w:val="7EEF11D3"/>
    <w:rsid w:val="7EFE4840"/>
    <w:rsid w:val="7F0971A6"/>
    <w:rsid w:val="7F1D62E7"/>
    <w:rsid w:val="7F3F679B"/>
    <w:rsid w:val="7F4FC4EF"/>
    <w:rsid w:val="7F5E4D54"/>
    <w:rsid w:val="7F6E0135"/>
    <w:rsid w:val="7F79F205"/>
    <w:rsid w:val="7FA30C79"/>
    <w:rsid w:val="7FA79C44"/>
    <w:rsid w:val="7FAF8ABF"/>
    <w:rsid w:val="7FB7269E"/>
    <w:rsid w:val="7FC96657"/>
    <w:rsid w:val="7FDA9588"/>
    <w:rsid w:val="7FDF220F"/>
    <w:rsid w:val="7FEDC5F7"/>
    <w:rsid w:val="7FEDD9DE"/>
    <w:rsid w:val="7FF5890D"/>
    <w:rsid w:val="7FF93490"/>
    <w:rsid w:val="99FF2014"/>
    <w:rsid w:val="A6DD0D7F"/>
    <w:rsid w:val="ACFF4FBB"/>
    <w:rsid w:val="ADC6F725"/>
    <w:rsid w:val="B7CF06AB"/>
    <w:rsid w:val="B7CFA926"/>
    <w:rsid w:val="B7F8786B"/>
    <w:rsid w:val="BABB6AA1"/>
    <w:rsid w:val="BB2F4199"/>
    <w:rsid w:val="BCFFB442"/>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E9BE81"/>
    <w:rsid w:val="DFFFA9E8"/>
    <w:rsid w:val="E5F4E9DC"/>
    <w:rsid w:val="E70FE695"/>
    <w:rsid w:val="EB2E368B"/>
    <w:rsid w:val="ECFED1BC"/>
    <w:rsid w:val="ED1D69BB"/>
    <w:rsid w:val="ED7FD312"/>
    <w:rsid w:val="EF2E1AC6"/>
    <w:rsid w:val="EF53993F"/>
    <w:rsid w:val="EF6FD633"/>
    <w:rsid w:val="EFBFB2F4"/>
    <w:rsid w:val="EFBFFA21"/>
    <w:rsid w:val="F2BEBCB8"/>
    <w:rsid w:val="F36FB518"/>
    <w:rsid w:val="F3DE1A04"/>
    <w:rsid w:val="F3F722E5"/>
    <w:rsid w:val="F4FBCD07"/>
    <w:rsid w:val="FA5F1E70"/>
    <w:rsid w:val="FA5FDB97"/>
    <w:rsid w:val="FB7F486A"/>
    <w:rsid w:val="FBFF5B2E"/>
    <w:rsid w:val="FD7FFE2B"/>
    <w:rsid w:val="FDEE196B"/>
    <w:rsid w:val="FDFE6575"/>
    <w:rsid w:val="FEDFDDC2"/>
    <w:rsid w:val="FEED32F6"/>
    <w:rsid w:val="FEF781DD"/>
    <w:rsid w:val="FF3F7E3F"/>
    <w:rsid w:val="FFBA12D7"/>
    <w:rsid w:val="FFCBD314"/>
    <w:rsid w:val="FFDFF91C"/>
    <w:rsid w:val="FFDFFAEE"/>
    <w:rsid w:val="FFEF6777"/>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4"/>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42"/>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8"/>
    <w:unhideWhenUsed/>
    <w:qFormat/>
    <w:uiPriority w:val="9"/>
    <w:pPr>
      <w:keepNext/>
      <w:keepLines/>
      <w:spacing w:before="260" w:after="260" w:line="416" w:lineRule="auto"/>
      <w:outlineLvl w:val="2"/>
    </w:pPr>
    <w:rPr>
      <w:b/>
      <w:bCs/>
      <w:sz w:val="32"/>
      <w:szCs w:val="32"/>
    </w:rPr>
  </w:style>
  <w:style w:type="character" w:default="1" w:styleId="21">
    <w:name w:val="Default Paragraph Font"/>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customStyle="1" w:styleId="2">
    <w:name w:val="table of figures1"/>
    <w:basedOn w:val="1"/>
    <w:next w:val="1"/>
    <w:qFormat/>
    <w:uiPriority w:val="0"/>
    <w:pPr>
      <w:spacing w:before="100" w:beforeAutospacing="1" w:after="100" w:afterAutospacing="1"/>
      <w:ind w:left="400" w:leftChars="200" w:hanging="200" w:hangingChars="200"/>
    </w:pPr>
  </w:style>
  <w:style w:type="paragraph" w:styleId="6">
    <w:name w:val="Body Text"/>
    <w:basedOn w:val="1"/>
    <w:next w:val="1"/>
    <w:link w:val="31"/>
    <w:qFormat/>
    <w:uiPriority w:val="99"/>
    <w:pPr>
      <w:spacing w:beforeLines="30"/>
    </w:pPr>
    <w:rPr>
      <w:rFonts w:ascii="仿宋_GB2312" w:eastAsia="仿宋_GB2312"/>
      <w:kern w:val="0"/>
      <w:sz w:val="30"/>
    </w:rPr>
  </w:style>
  <w:style w:type="paragraph" w:styleId="7">
    <w:name w:val="Body Text Indent"/>
    <w:basedOn w:val="1"/>
    <w:qFormat/>
    <w:uiPriority w:val="0"/>
    <w:pPr>
      <w:spacing w:after="120"/>
      <w:ind w:leftChars="200"/>
    </w:pPr>
    <w:rPr>
      <w:rFonts w:ascii="仿宋_GB2312"/>
      <w:szCs w:val="32"/>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7"/>
    <w:semiHidden/>
    <w:unhideWhenUsed/>
    <w:qFormat/>
    <w:uiPriority w:val="99"/>
    <w:rPr>
      <w:sz w:val="18"/>
      <w:szCs w:val="18"/>
    </w:rPr>
  </w:style>
  <w:style w:type="paragraph" w:styleId="10">
    <w:name w:val="footer"/>
    <w:basedOn w:val="1"/>
    <w:link w:val="29"/>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7"/>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Subtitle"/>
    <w:basedOn w:val="1"/>
    <w:next w:val="1"/>
    <w:qFormat/>
    <w:uiPriority w:val="0"/>
    <w:pPr>
      <w:spacing w:before="240" w:after="60" w:line="312" w:lineRule="auto"/>
      <w:jc w:val="center"/>
      <w:outlineLvl w:val="1"/>
    </w:pPr>
    <w:rPr>
      <w:rFonts w:ascii="Cambria" w:hAnsi="Cambria" w:eastAsia="宋体" w:cs="Times New Roman"/>
      <w:b/>
      <w:kern w:val="28"/>
      <w:sz w:val="32"/>
      <w:szCs w:val="20"/>
    </w:rPr>
  </w:style>
  <w:style w:type="paragraph" w:styleId="14">
    <w:name w:val="footnote text"/>
    <w:basedOn w:val="1"/>
    <w:next w:val="15"/>
    <w:semiHidden/>
    <w:qFormat/>
    <w:uiPriority w:val="0"/>
    <w:pPr>
      <w:snapToGrid w:val="0"/>
      <w:jc w:val="left"/>
    </w:pPr>
    <w:rPr>
      <w:sz w:val="18"/>
      <w:szCs w:val="18"/>
    </w:rPr>
  </w:style>
  <w:style w:type="paragraph" w:styleId="15">
    <w:name w:val="Body Text First Indent 2"/>
    <w:basedOn w:val="7"/>
    <w:unhideWhenUsed/>
    <w:qFormat/>
    <w:uiPriority w:val="99"/>
    <w:pPr>
      <w:ind w:firstLine="420" w:firstLineChars="200"/>
    </w:pPr>
  </w:style>
  <w:style w:type="paragraph" w:styleId="16">
    <w:name w:val="table of figures"/>
    <w:basedOn w:val="1"/>
    <w:next w:val="1"/>
    <w:qFormat/>
    <w:uiPriority w:val="0"/>
    <w:pPr>
      <w:ind w:left="400" w:leftChars="200" w:hanging="200" w:hangingChars="200"/>
    </w:pPr>
  </w:style>
  <w:style w:type="paragraph" w:styleId="17">
    <w:name w:val="toc 2"/>
    <w:basedOn w:val="1"/>
    <w:next w:val="1"/>
    <w:unhideWhenUsed/>
    <w:qFormat/>
    <w:uiPriority w:val="39"/>
    <w:pPr>
      <w:tabs>
        <w:tab w:val="right" w:leader="dot" w:pos="8296"/>
      </w:tabs>
      <w:ind w:left="420" w:leftChars="200"/>
    </w:pPr>
  </w:style>
  <w:style w:type="paragraph" w:styleId="18">
    <w:name w:val="HTML Preformatted"/>
    <w:basedOn w:val="1"/>
    <w:qFormat/>
    <w:uiPriority w:val="0"/>
    <w:pPr>
      <w:jc w:val="left"/>
    </w:pPr>
    <w:rPr>
      <w:rFonts w:ascii="宋体" w:eastAsia="宋体" w:cs="宋体"/>
      <w:kern w:val="0"/>
      <w:sz w:val="24"/>
      <w:szCs w:val="24"/>
      <w:lang w:val="en-US" w:eastAsia="zh-CN"/>
    </w:rPr>
  </w:style>
  <w:style w:type="paragraph" w:styleId="19">
    <w:name w:val="Normal (Web)"/>
    <w:basedOn w:val="1"/>
    <w:qFormat/>
    <w:uiPriority w:val="0"/>
    <w:pPr>
      <w:widowControl/>
      <w:spacing w:beforeAutospacing="1" w:afterAutospacing="1"/>
      <w:jc w:val="left"/>
    </w:pPr>
    <w:rPr>
      <w:rFonts w:ascii="宋体"/>
      <w:kern w:val="0"/>
      <w:sz w:val="24"/>
    </w:rPr>
  </w:style>
  <w:style w:type="character" w:styleId="22">
    <w:name w:val="Strong"/>
    <w:basedOn w:val="21"/>
    <w:qFormat/>
    <w:uiPriority w:val="99"/>
    <w:rPr>
      <w:b/>
    </w:rPr>
  </w:style>
  <w:style w:type="character" w:styleId="23">
    <w:name w:val="Hyperlink"/>
    <w:basedOn w:val="21"/>
    <w:unhideWhenUsed/>
    <w:qFormat/>
    <w:uiPriority w:val="99"/>
    <w:rPr>
      <w:color w:val="0000FF" w:themeColor="hyperlink"/>
      <w:u w:val="single"/>
      <w14:textFill>
        <w14:solidFill>
          <w14:schemeClr w14:val="hlink"/>
        </w14:solidFill>
      </w14:textFill>
    </w:rPr>
  </w:style>
  <w:style w:type="paragraph" w:customStyle="1" w:styleId="24">
    <w:name w:val="table of figures"/>
    <w:basedOn w:val="1"/>
    <w:next w:val="1"/>
    <w:qFormat/>
    <w:uiPriority w:val="0"/>
    <w:pPr>
      <w:spacing w:before="100" w:beforeAutospacing="1" w:after="100" w:afterAutospacing="1"/>
      <w:ind w:left="400" w:leftChars="200" w:hanging="200" w:hangingChars="200"/>
    </w:pPr>
  </w:style>
  <w:style w:type="paragraph" w:customStyle="1" w:styleId="25">
    <w:name w:val="标题 5（有编号）（绿盟科技）"/>
    <w:next w:val="1"/>
    <w:qFormat/>
    <w:uiPriority w:val="99"/>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character" w:customStyle="1" w:styleId="26">
    <w:name w:val="Header Char"/>
    <w:basedOn w:val="21"/>
    <w:semiHidden/>
    <w:qFormat/>
    <w:uiPriority w:val="99"/>
    <w:rPr>
      <w:rFonts w:ascii="Times New Roman" w:hAnsi="Times New Roman"/>
      <w:sz w:val="18"/>
      <w:szCs w:val="18"/>
    </w:rPr>
  </w:style>
  <w:style w:type="character" w:customStyle="1" w:styleId="27">
    <w:name w:val="页眉 Char"/>
    <w:link w:val="11"/>
    <w:semiHidden/>
    <w:qFormat/>
    <w:locked/>
    <w:uiPriority w:val="99"/>
    <w:rPr>
      <w:sz w:val="18"/>
    </w:rPr>
  </w:style>
  <w:style w:type="character" w:customStyle="1" w:styleId="28">
    <w:name w:val="Footer Char"/>
    <w:basedOn w:val="21"/>
    <w:semiHidden/>
    <w:qFormat/>
    <w:uiPriority w:val="99"/>
    <w:rPr>
      <w:rFonts w:ascii="Times New Roman" w:hAnsi="Times New Roman"/>
      <w:sz w:val="18"/>
      <w:szCs w:val="18"/>
    </w:rPr>
  </w:style>
  <w:style w:type="character" w:customStyle="1" w:styleId="29">
    <w:name w:val="页脚 Char"/>
    <w:link w:val="10"/>
    <w:qFormat/>
    <w:locked/>
    <w:uiPriority w:val="99"/>
    <w:rPr>
      <w:sz w:val="18"/>
    </w:rPr>
  </w:style>
  <w:style w:type="character" w:customStyle="1" w:styleId="30">
    <w:name w:val="Body Text Char"/>
    <w:basedOn w:val="21"/>
    <w:semiHidden/>
    <w:qFormat/>
    <w:uiPriority w:val="99"/>
    <w:rPr>
      <w:rFonts w:ascii="Times New Roman" w:hAnsi="Times New Roman"/>
      <w:szCs w:val="24"/>
    </w:rPr>
  </w:style>
  <w:style w:type="character" w:customStyle="1" w:styleId="31">
    <w:name w:val="正文文本 Char"/>
    <w:link w:val="6"/>
    <w:qFormat/>
    <w:locked/>
    <w:uiPriority w:val="99"/>
    <w:rPr>
      <w:rFonts w:ascii="仿宋_GB2312" w:hAnsi="Times New Roman" w:eastAsia="仿宋_GB2312"/>
      <w:sz w:val="24"/>
    </w:rPr>
  </w:style>
  <w:style w:type="paragraph" w:customStyle="1" w:styleId="32">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33">
    <w:name w:val="List Paragraph"/>
    <w:basedOn w:val="1"/>
    <w:qFormat/>
    <w:uiPriority w:val="34"/>
    <w:pPr>
      <w:ind w:firstLine="420" w:firstLineChars="200"/>
    </w:pPr>
  </w:style>
  <w:style w:type="character" w:customStyle="1" w:styleId="34">
    <w:name w:val="标题 1 Char"/>
    <w:basedOn w:val="21"/>
    <w:link w:val="3"/>
    <w:qFormat/>
    <w:uiPriority w:val="9"/>
    <w:rPr>
      <w:rFonts w:ascii="Times New Roman" w:hAnsi="Times New Roman"/>
      <w:b/>
      <w:bCs/>
      <w:kern w:val="44"/>
      <w:sz w:val="44"/>
      <w:szCs w:val="44"/>
    </w:rPr>
  </w:style>
  <w:style w:type="character" w:customStyle="1" w:styleId="35">
    <w:name w:val="标题 2 Char"/>
    <w:basedOn w:val="21"/>
    <w:link w:val="4"/>
    <w:qFormat/>
    <w:uiPriority w:val="9"/>
    <w:rPr>
      <w:rFonts w:asciiTheme="majorHAnsi" w:hAnsiTheme="majorHAnsi" w:eastAsiaTheme="majorEastAsia" w:cstheme="majorBidi"/>
      <w:b/>
      <w:bCs/>
      <w:kern w:val="2"/>
      <w:sz w:val="32"/>
      <w:szCs w:val="32"/>
    </w:rPr>
  </w:style>
  <w:style w:type="paragraph" w:customStyle="1" w:styleId="36">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7">
    <w:name w:val="批注框文本 Char"/>
    <w:basedOn w:val="21"/>
    <w:link w:val="9"/>
    <w:semiHidden/>
    <w:qFormat/>
    <w:uiPriority w:val="99"/>
    <w:rPr>
      <w:rFonts w:ascii="Times New Roman" w:hAnsi="Times New Roman"/>
      <w:kern w:val="2"/>
      <w:sz w:val="18"/>
      <w:szCs w:val="18"/>
    </w:rPr>
  </w:style>
  <w:style w:type="character" w:customStyle="1" w:styleId="38">
    <w:name w:val="标题 3 Char"/>
    <w:basedOn w:val="21"/>
    <w:link w:val="5"/>
    <w:qFormat/>
    <w:uiPriority w:val="9"/>
    <w:rPr>
      <w:rFonts w:ascii="Times New Roman" w:hAnsi="Times New Roman"/>
      <w:b/>
      <w:bCs/>
      <w:kern w:val="2"/>
      <w:sz w:val="32"/>
      <w:szCs w:val="32"/>
    </w:rPr>
  </w:style>
  <w:style w:type="paragraph" w:customStyle="1" w:styleId="39">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40">
    <w:name w:val="四号正文"/>
    <w:basedOn w:val="1"/>
    <w:qFormat/>
    <w:uiPriority w:val="0"/>
    <w:pPr>
      <w:spacing w:line="360" w:lineRule="auto"/>
    </w:pPr>
    <w:rPr>
      <w:rFonts w:ascii="??" w:hAnsi="??" w:eastAsia="宋体"/>
      <w:color w:val="000000"/>
      <w:kern w:val="0"/>
      <w:sz w:val="28"/>
      <w:szCs w:val="21"/>
      <w:lang w:val="zh-CN" w:eastAsia="zh-CN"/>
    </w:rPr>
  </w:style>
  <w:style w:type="paragraph" w:customStyle="1" w:styleId="41">
    <w:name w:val="图表目录1"/>
    <w:basedOn w:val="1"/>
    <w:next w:val="1"/>
    <w:qFormat/>
    <w:uiPriority w:val="0"/>
    <w:pPr>
      <w:spacing w:beforeAutospacing="1" w:afterAutospacing="1"/>
      <w:ind w:left="200" w:leftChars="200" w:hanging="200" w:hangingChars="200"/>
    </w:pPr>
  </w:style>
  <w:style w:type="character" w:customStyle="1" w:styleId="42">
    <w:name w:val="heading 2 Char"/>
    <w:basedOn w:val="21"/>
    <w:link w:val="4"/>
    <w:qFormat/>
    <w:uiPriority w:val="0"/>
    <w:rPr>
      <w:rFonts w:ascii="Cambria" w:hAnsi="Cambria" w:eastAsia="宋体" w:cs="Arial"/>
      <w:b/>
      <w:bCs/>
      <w:kern w:val="2"/>
      <w:sz w:val="32"/>
      <w:szCs w:val="32"/>
      <w:lang w:val="en-US" w:eastAsia="zh-CN" w:bidi="ar-SA"/>
    </w:rPr>
  </w:style>
  <w:style w:type="paragraph" w:customStyle="1" w:styleId="43">
    <w:name w:val="ToCaption"/>
    <w:basedOn w:val="1"/>
    <w:next w:val="1"/>
    <w:qFormat/>
    <w:uiPriority w:val="0"/>
    <w:pPr>
      <w:ind w:left="400" w:leftChars="200" w:hanging="200" w:hangingChars="200"/>
      <w:jc w:val="both"/>
      <w:textAlignment w:val="baseline"/>
    </w:p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chart" Target="charts/chart7.xml"/><Relationship Id="rId13" Type="http://schemas.openxmlformats.org/officeDocument/2006/relationships/chart" Target="charts/chart6.xml"/><Relationship Id="rId12" Type="http://schemas.openxmlformats.org/officeDocument/2006/relationships/chart" Target="charts/chart5.xml"/><Relationship Id="rId11" Type="http://schemas.openxmlformats.org/officeDocument/2006/relationships/chart" Target="charts/chart4.xml"/><Relationship Id="rId10" Type="http://schemas.openxmlformats.org/officeDocument/2006/relationships/chart" Target="charts/chart3.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3.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4.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7.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rgbClr val="404040"/>
                </a:solidFill>
                <a:latin typeface="AR PL UKai CN"/>
                <a:ea typeface="AR PL UKai CN"/>
                <a:cs typeface="Lucida Sans" panose="020B0602030504020204"/>
              </a:defRPr>
            </a:pPr>
            <a:r>
              <a:rPr lang="zh-CN"/>
              <a:t>收、支决算结构图</a:t>
            </a:r>
            <a:endParaRPr lang="zh-CN"/>
          </a:p>
        </c:rich>
      </c:tx>
      <c:layout/>
      <c:overlay val="0"/>
      <c:spPr>
        <a:noFill/>
        <a:ln>
          <a:noFill/>
        </a:ln>
      </c:spPr>
    </c:title>
    <c:autoTitleDeleted val="0"/>
    <c:plotArea>
      <c:layout>
        <c:manualLayout>
          <c:layoutTarget val="inner"/>
          <c:xMode val="edge"/>
          <c:yMode val="edge"/>
          <c:x val="0.0613773"/>
          <c:y val="0.268490840722892"/>
          <c:w val="0.9283727"/>
          <c:h val="0.63030434"/>
        </c:manualLayout>
      </c:layout>
      <c:barChart>
        <c:barDir val="col"/>
        <c:grouping val="clustered"/>
        <c:varyColors val="0"/>
        <c:ser>
          <c:idx val="0"/>
          <c:order val="0"/>
          <c:tx>
            <c:strRef>
              <c:f>Sheet1!$B$1</c:f>
              <c:strCache>
                <c:ptCount val="1"/>
                <c:pt idx="0">
                  <c:v>总收入</c:v>
                </c:pt>
              </c:strCache>
            </c:strRef>
          </c:tx>
          <c:spPr>
            <a:solidFill>
              <a:srgbClr val="4F81BD">
                <a:alpha val="85000"/>
              </a:srgbClr>
            </a:solidFill>
            <a:ln w="6350">
              <a:solidFill>
                <a:srgbClr val="FFFFFF"/>
              </a:solidFill>
              <a:prstDash val="solid"/>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rgbClr val="FFFFFF"/>
                    </a:solidFill>
                    <a:latin typeface="AR PL UKai CN"/>
                    <a:ea typeface="AR PL UKai CN"/>
                    <a:cs typeface="Lucida Sans" panose="020B0602030504020204"/>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Sheet1!$A$2:$A$3</c:f>
              <c:numCache>
                <c:formatCode>General</c:formatCode>
                <c:ptCount val="2"/>
                <c:pt idx="0">
                  <c:v>2023</c:v>
                </c:pt>
                <c:pt idx="1">
                  <c:v>2024</c:v>
                </c:pt>
              </c:numCache>
            </c:numRef>
          </c:cat>
          <c:val>
            <c:numRef>
              <c:f>Sheet1!$B$2:$B$3</c:f>
              <c:numCache>
                <c:formatCode>General</c:formatCode>
                <c:ptCount val="2"/>
                <c:pt idx="0">
                  <c:v>1217.25</c:v>
                </c:pt>
                <c:pt idx="1">
                  <c:v>1029.08</c:v>
                </c:pt>
              </c:numCache>
            </c:numRef>
          </c:val>
        </c:ser>
        <c:ser>
          <c:idx val="1"/>
          <c:order val="1"/>
          <c:tx>
            <c:strRef>
              <c:f>Sheet1!$C$1</c:f>
              <c:strCache>
                <c:ptCount val="1"/>
                <c:pt idx="0">
                  <c:v>总支出</c:v>
                </c:pt>
              </c:strCache>
            </c:strRef>
          </c:tx>
          <c:spPr>
            <a:solidFill>
              <a:srgbClr val="C0504D">
                <a:alpha val="85000"/>
              </a:srgbClr>
            </a:solidFill>
            <a:ln w="6350">
              <a:solidFill>
                <a:srgbClr val="FFFFFF"/>
              </a:solidFill>
              <a:prstDash val="solid"/>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rgbClr val="FFFFFF"/>
                    </a:solidFill>
                    <a:latin typeface="AR PL UKai CN"/>
                    <a:ea typeface="AR PL UKai CN"/>
                    <a:cs typeface="Lucida Sans" panose="020B0602030504020204"/>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Sheet1!$A$2:$A$3</c:f>
              <c:numCache>
                <c:formatCode>General</c:formatCode>
                <c:ptCount val="2"/>
                <c:pt idx="0">
                  <c:v>2023</c:v>
                </c:pt>
                <c:pt idx="1">
                  <c:v>2024</c:v>
                </c:pt>
              </c:numCache>
            </c:numRef>
          </c:cat>
          <c:val>
            <c:numRef>
              <c:f>Sheet1!$C$2:$C$3</c:f>
              <c:numCache>
                <c:formatCode>General</c:formatCode>
                <c:ptCount val="2"/>
                <c:pt idx="0">
                  <c:v>1217.25</c:v>
                </c:pt>
                <c:pt idx="1">
                  <c:v>1029.08</c:v>
                </c:pt>
              </c:numCache>
            </c:numRef>
          </c:val>
        </c:ser>
        <c:dLbls>
          <c:showLegendKey val="0"/>
          <c:showVal val="1"/>
          <c:showCatName val="0"/>
          <c:showSerName val="0"/>
          <c:showPercent val="0"/>
          <c:showBubbleSize val="0"/>
        </c:dLbls>
        <c:gapWidth val="65"/>
        <c:axId val="0"/>
        <c:axId val="1"/>
      </c:barChart>
      <c:catAx>
        <c:axId val="0"/>
        <c:scaling>
          <c:orientation val="minMax"/>
        </c:scaling>
        <c:delete val="0"/>
        <c:axPos val="b"/>
        <c:numFmt formatCode="General" sourceLinked="1"/>
        <c:majorTickMark val="none"/>
        <c:minorTickMark val="none"/>
        <c:tickLblPos val="nextTo"/>
        <c:spPr>
          <a:ln w="19050" cap="flat" cmpd="sng" algn="ctr">
            <a:solidFill>
              <a:srgbClr val="404040"/>
            </a:solidFill>
            <a:prstDash val="solid"/>
            <a:round/>
          </a:ln>
        </c:spPr>
        <c:txPr>
          <a:bodyPr rot="-60000000" spcFirstLastPara="0" vertOverflow="ellipsis" vert="horz" wrap="square" anchor="ctr" anchorCtr="1"/>
          <a:lstStyle/>
          <a:p>
            <a:pPr>
              <a:defRPr lang="zh-CN" sz="900" b="0" i="0" u="none" strike="noStrike" kern="1200" cap="all" baseline="0">
                <a:solidFill>
                  <a:srgbClr val="404040"/>
                </a:solidFill>
                <a:latin typeface="AR PL UKai CN"/>
                <a:ea typeface="AR PL UKai CN"/>
                <a:cs typeface="Lucida Sans" panose="020B0602030504020204"/>
              </a:defRPr>
            </a:pPr>
          </a:p>
        </c:txPr>
        <c:crossAx val="1"/>
        <c:crosses val="autoZero"/>
        <c:auto val="1"/>
        <c:lblAlgn val="ctr"/>
        <c:lblOffset val="100"/>
        <c:noMultiLvlLbl val="0"/>
      </c:catAx>
      <c:valAx>
        <c:axId val="1"/>
        <c:scaling>
          <c:orientation val="minMax"/>
          <c:max val="4500"/>
          <c:min val="0"/>
        </c:scaling>
        <c:delete val="1"/>
        <c:axPos val="l"/>
        <c:majorGridlines>
          <c:spPr>
            <a:ln w="6350" cap="flat" cmpd="sng" algn="ctr">
              <a:solidFill>
                <a:srgbClr val="868686"/>
              </a:solidFill>
              <a:prstDash val="solid"/>
              <a:round/>
            </a:ln>
          </c:spPr>
        </c:majorGridlines>
        <c:numFmt formatCode="General" sourceLinked="1"/>
        <c:majorTickMark val="none"/>
        <c:minorTickMark val="none"/>
        <c:tickLblPos val="none"/>
        <c:txPr>
          <a:bodyPr rot="-60000000" spcFirstLastPara="0" vertOverflow="ellipsis" vert="horz" wrap="square" anchor="ctr" anchorCtr="1"/>
          <a:lstStyle/>
          <a:p>
            <a:pPr>
              <a:defRPr lang="zh-CN" sz="900" b="0" i="0" u="none" strike="noStrike" kern="1200" baseline="0">
                <a:solidFill>
                  <a:srgbClr val="404040"/>
                </a:solidFill>
                <a:latin typeface="AR PL UKai CN"/>
                <a:ea typeface="AR PL UKai CN"/>
                <a:cs typeface="Lucida Sans" panose="020B0602030504020204"/>
              </a:defRPr>
            </a:pPr>
          </a:p>
        </c:txPr>
        <c:crossAx val="0"/>
        <c:crossesAt val="1"/>
        <c:crossBetween val="between"/>
      </c:valAx>
      <c:spPr>
        <a:noFill/>
        <a:ln>
          <a:noFill/>
        </a:ln>
      </c:spPr>
    </c:plotArea>
    <c:legend>
      <c:legendPos val="b"/>
      <c:layout/>
      <c:overlay val="0"/>
      <c:spPr>
        <a:solidFill>
          <a:srgbClr val="F2F2F2">
            <a:alpha val="39000"/>
          </a:srgbClr>
        </a:solidFill>
        <a:ln>
          <a:noFill/>
        </a:ln>
      </c:spPr>
      <c:txPr>
        <a:bodyPr rot="0" spcFirstLastPara="0" vertOverflow="ellipsis" vert="horz" wrap="square" anchor="ctr" anchorCtr="1"/>
        <a:lstStyle/>
        <a:p>
          <a:pPr>
            <a:defRPr lang="zh-CN" sz="900" b="0" i="0" u="none" strike="noStrike" kern="1200" baseline="0">
              <a:solidFill>
                <a:srgbClr val="404040"/>
              </a:solidFill>
              <a:latin typeface="AR PL UKai CN"/>
              <a:ea typeface="AR PL UKai CN"/>
              <a:cs typeface="Lucida Sans" panose="020B0602030504020204"/>
            </a:defRPr>
          </a:pPr>
        </a:p>
      </c:txPr>
    </c:legend>
    <c:plotVisOnly val="1"/>
    <c:dispBlanksAs val="gap"/>
    <c:showDLblsOverMax val="0"/>
    <c:extLst>
      <c:ext uri="{0b15fc19-7d7d-44ad-8c2d-2c3a37ce22c3}">
        <chartProps xmlns="https://web.wps.cn/et/2018/main" chartId="{1d2956d8-84cf-4aaf-ae31-95553d736fef}"/>
      </c:ext>
    </c:extLst>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cap="flat" cmpd="sng" algn="ctr">
      <a:solidFill>
        <a:srgbClr val="BFBFBF"/>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收入决算结构图</a:t>
            </a:r>
            <a:endParaRPr lang="zh-CN"/>
          </a:p>
        </c:rich>
      </c:tx>
      <c:layout/>
      <c:overlay val="0"/>
      <c:spPr>
        <a:noFill/>
        <a:ln>
          <a:noFill/>
        </a:ln>
      </c:spPr>
    </c:title>
    <c:autoTitleDeleted val="0"/>
    <c:plotArea>
      <c:layout/>
      <c:pieChart>
        <c:varyColors val="1"/>
        <c:ser>
          <c:idx val="0"/>
          <c:order val="0"/>
          <c:tx>
            <c:strRef>
              <c:f>'Sheet1 (2)'!$B$1</c:f>
              <c:strCache>
                <c:ptCount val="1"/>
                <c:pt idx="0">
                  <c:v>收入决算结构图</c:v>
                </c:pt>
              </c:strCache>
            </c:strRef>
          </c:tx>
          <c:spPr>
            <a:solidFill>
              <a:srgbClr val="4F81BD"/>
            </a:solidFill>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rgbClr val="000000"/>
                        </a:solidFill>
                        <a:latin typeface="AR PL UKai CN"/>
                        <a:ea typeface="AR PL UKai CN"/>
                        <a:cs typeface="Lucida Sans" panose="020B0602030504020204"/>
                      </a:defRPr>
                    </a:pPr>
                    <a:r>
                      <a:rPr lang="en-US" altLang="zh-CN"/>
                      <a:t>1029.08</a:t>
                    </a:r>
                    <a:endParaRPr lang="en-US" altLang="zh-CN"/>
                  </a:p>
                </c:rich>
              </c:tx>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dLblPos val="bestFit"/>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r>
                      <a:rPr lang="zh-CN" sz="1000" b="0" i="0" u="none" strike="noStrike" baseline="0">
                        <a:solidFill>
                          <a:srgbClr val="000000"/>
                        </a:solidFill>
                        <a:latin typeface="AR PL UKai CN"/>
                        <a:ea typeface="AR PL UKai CN"/>
                        <a:cs typeface="Lucida Sans" panose="020B0602030504020204"/>
                      </a:rPr>
                      <a:t>100%</a:t>
                    </a:r>
                    <a:endParaRPr lang="zh-CN" sz="1000" b="0" i="0" u="none" strike="noStrike" baseline="0">
                      <a:solidFill>
                        <a:srgbClr val="000000"/>
                      </a:solidFill>
                      <a:latin typeface="AR PL UKai CN"/>
                      <a:ea typeface="AR PL UKai CN"/>
                      <a:cs typeface="Lucida Sans" panose="020B0602030504020204"/>
                    </a:endParaRPr>
                  </a:p>
                </c:rich>
              </c:tx>
              <c:numFmt formatCode="General"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bestFit"/>
              <c:showLegendKey val="0"/>
              <c:showVal val="1"/>
              <c:showCatName val="0"/>
              <c:showSerName val="0"/>
              <c:showPercent val="0"/>
              <c:showBubbleSize val="0"/>
              <c:extLst>
                <c:ext xmlns:c15="http://schemas.microsoft.com/office/drawing/2012/chart" uri="{CE6537A1-D6FC-4f65-9D91-7224C49458BB}"/>
              </c:extLst>
            </c:dLbl>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(2)'!$A$2:$A$3</c:f>
              <c:strCache>
                <c:ptCount val="2"/>
                <c:pt idx="0">
                  <c:v>一般公共预算财政拨款收入</c:v>
                </c:pt>
                <c:pt idx="1">
                  <c:v>其他收入</c:v>
                </c:pt>
              </c:strCache>
            </c:strRef>
          </c:cat>
          <c:val>
            <c:numRef>
              <c:f>'Sheet1 (2)'!$B$2:$B$3</c:f>
              <c:numCache>
                <c:formatCode>General</c:formatCode>
                <c:ptCount val="2"/>
                <c:pt idx="0">
                  <c:v>1219.8</c:v>
                </c:pt>
                <c:pt idx="1">
                  <c:v>0</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zero"/>
    <c:showDLblsOverMax val="0"/>
    <c:extLst>
      <c:ext uri="{0b15fc19-7d7d-44ad-8c2d-2c3a37ce22c3}">
        <chartProps xmlns="https://web.wps.cn/et/2018/main" chartId="{0183e118-5f8b-4d0c-b540-1e989c7da7d0}"/>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r>
              <a:t>收入决算结构图</a:t>
            </a:r>
          </a:p>
        </c:rich>
      </c:tx>
      <c:layout/>
      <c:overlay val="0"/>
      <c:spPr>
        <a:noFill/>
        <a:ln>
          <a:noFill/>
        </a:ln>
        <a:effectLst/>
      </c:spPr>
    </c:title>
    <c:autoTitleDeleted val="0"/>
    <c:plotArea>
      <c:layout/>
      <c:pieChart>
        <c:varyColors val="1"/>
        <c:ser>
          <c:idx val="0"/>
          <c:order val="0"/>
          <c:tx>
            <c:strRef>
              <c:f>'Sheet1 (3)'!$B$1</c:f>
              <c:strCache>
                <c:ptCount val="1"/>
                <c:pt idx="0">
                  <c:v>支出决算结构图</c:v>
                </c:pt>
              </c:strCache>
            </c:strRef>
          </c:tx>
          <c:spPr/>
          <c:explosion val="0"/>
          <c:dPt>
            <c:idx val="0"/>
            <c:bubble3D val="0"/>
            <c:explosion val="9"/>
            <c:spPr>
              <a:solidFill>
                <a:schemeClr val="accent1"/>
              </a:solidFill>
              <a:ln>
                <a:solidFill>
                  <a:schemeClr val="bg1"/>
                </a:solidFill>
              </a:ln>
              <a:effectLst/>
            </c:spPr>
          </c:dPt>
          <c:dPt>
            <c:idx val="1"/>
            <c:bubble3D val="0"/>
            <c:spPr>
              <a:solidFill>
                <a:schemeClr val="accent2"/>
              </a:solidFill>
              <a:ln>
                <a:solidFill>
                  <a:schemeClr val="bg1"/>
                </a:solidFill>
              </a:ln>
              <a:effectLst/>
            </c:spPr>
          </c:dPt>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746.29</a:t>
                    </a:r>
                  </a:p>
                </c:rich>
              </c:tx>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extLst>
                <c:ext xmlns:c15="http://schemas.microsoft.com/office/drawing/2012/chart" uri="{CE6537A1-D6FC-4f65-9D91-7224C49458BB}"/>
              </c:extLst>
            </c:dLbl>
            <c:dLbl>
              <c:idx val="1"/>
              <c:layout>
                <c:manualLayout>
                  <c:x val="-0.0338768388570078"/>
                  <c:y val="-0.030852178"/>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r>
                      <a:t>282.79</a:t>
                    </a:r>
                  </a:p>
                </c:rich>
              </c:tx>
              <c:numFmt formatCode="General"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 (3)'!$A$2:$A$3</c:f>
              <c:strCache>
                <c:ptCount val="2"/>
                <c:pt idx="0">
                  <c:v>基本支出</c:v>
                </c:pt>
                <c:pt idx="1">
                  <c:v>项目支出</c:v>
                </c:pt>
              </c:strCache>
            </c:strRef>
          </c:cat>
          <c:val>
            <c:numRef>
              <c:f>'Sheet1 (3)'!$B$2:$B$3</c:f>
              <c:numCache>
                <c:formatCode>General</c:formatCode>
                <c:ptCount val="2"/>
                <c:pt idx="0">
                  <c:v>746.29</c:v>
                </c:pt>
                <c:pt idx="1">
                  <c:v>282.79</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extLst>
      <c:ext uri="{0b15fc19-7d7d-44ad-8c2d-2c3a37ce22c3}">
        <chartProps xmlns="https://web.wps.cn/et/2018/main" chartId="{1a1df3f2-1679-4413-99a5-f4ac3b276c5d}"/>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财政拨款收、支决算总计变动情况</a:t>
            </a:r>
            <a:endParaRPr lang="zh-CN"/>
          </a:p>
        </c:rich>
      </c:tx>
      <c:layout/>
      <c:overlay val="0"/>
      <c:spPr>
        <a:noFill/>
        <a:ln>
          <a:noFill/>
        </a:ln>
      </c:spPr>
    </c:title>
    <c:autoTitleDeleted val="0"/>
    <c:plotArea>
      <c:layout/>
      <c:barChart>
        <c:barDir val="col"/>
        <c:grouping val="clustered"/>
        <c:varyColors val="0"/>
        <c:ser>
          <c:idx val="0"/>
          <c:order val="0"/>
          <c:tx>
            <c:strRef>
              <c:f>'Sheet1 (4)'!$A$2</c:f>
              <c:strCache>
                <c:ptCount val="1"/>
                <c:pt idx="0">
                  <c:v>2023</c:v>
                </c:pt>
              </c:strCache>
            </c:strRef>
          </c:tx>
          <c:spPr>
            <a:solidFill>
              <a:srgbClr val="4F81BD"/>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(4)'!$B$1:$C$1</c:f>
              <c:strCache>
                <c:ptCount val="2"/>
                <c:pt idx="0">
                  <c:v>一般公共预算财政拨款收入</c:v>
                </c:pt>
                <c:pt idx="1">
                  <c:v>一般公共预算财政拨款支出</c:v>
                </c:pt>
              </c:strCache>
            </c:strRef>
          </c:cat>
          <c:val>
            <c:numRef>
              <c:f>'Sheet1 (4)'!$B$2:$C$2</c:f>
              <c:numCache>
                <c:formatCode>General</c:formatCode>
                <c:ptCount val="2"/>
                <c:pt idx="0">
                  <c:v>1217.25</c:v>
                </c:pt>
                <c:pt idx="1">
                  <c:v>1217.25</c:v>
                </c:pt>
              </c:numCache>
            </c:numRef>
          </c:val>
        </c:ser>
        <c:ser>
          <c:idx val="1"/>
          <c:order val="1"/>
          <c:tx>
            <c:strRef>
              <c:f>'Sheet1 (4)'!$A$3</c:f>
              <c:strCache>
                <c:ptCount val="1"/>
                <c:pt idx="0">
                  <c:v>2024</c:v>
                </c:pt>
              </c:strCache>
            </c:strRef>
          </c:tx>
          <c:spPr>
            <a:solidFill>
              <a:srgbClr val="C0504D"/>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(4)'!$B$1:$C$1</c:f>
              <c:strCache>
                <c:ptCount val="2"/>
                <c:pt idx="0">
                  <c:v>一般公共预算财政拨款收入</c:v>
                </c:pt>
                <c:pt idx="1">
                  <c:v>一般公共预算财政拨款支出</c:v>
                </c:pt>
              </c:strCache>
            </c:strRef>
          </c:cat>
          <c:val>
            <c:numRef>
              <c:f>'Sheet1 (4)'!$B$3:$C$3</c:f>
              <c:numCache>
                <c:formatCode>General</c:formatCode>
                <c:ptCount val="2"/>
                <c:pt idx="0">
                  <c:v>1029.08</c:v>
                </c:pt>
                <c:pt idx="1">
                  <c:v>1029.08</c:v>
                </c:pt>
              </c:numCache>
            </c:numRef>
          </c:val>
        </c:ser>
        <c:dLbls>
          <c:showLegendKey val="0"/>
          <c:showVal val="1"/>
          <c:showCatName val="0"/>
          <c:showSerName val="0"/>
          <c:showPercent val="0"/>
          <c:showBubbleSize val="0"/>
        </c:dLbls>
        <c:gapWidth val="219"/>
        <c:overlap val="-27"/>
        <c:axId val="0"/>
        <c:axId val="1"/>
      </c:barChart>
      <c:catAx>
        <c:axId val="0"/>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crossAx val="1"/>
        <c:crosses val="autoZero"/>
        <c:auto val="1"/>
        <c:lblAlgn val="ctr"/>
        <c:lblOffset val="100"/>
        <c:noMultiLvlLbl val="0"/>
      </c:catAx>
      <c:valAx>
        <c:axId val="1"/>
        <c:scaling>
          <c:orientation val="minMax"/>
          <c:max val="4500"/>
          <c:min val="0"/>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crossAx val="0"/>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gap"/>
    <c:showDLblsOverMax val="0"/>
    <c:extLst>
      <c:ext uri="{0b15fc19-7d7d-44ad-8c2d-2c3a37ce22c3}">
        <chartProps xmlns="https://web.wps.cn/et/2018/main" chartId="{4283e149-3174-475c-b9b6-89e9a16c7be9}"/>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财政拨款收、支决算总计变动情况</a:t>
            </a:r>
            <a:endParaRPr lang="zh-CN"/>
          </a:p>
        </c:rich>
      </c:tx>
      <c:layout>
        <c:manualLayout>
          <c:xMode val="edge"/>
          <c:yMode val="edge"/>
          <c:x val="0.231162674650699"/>
          <c:y val="0.038056331971619"/>
        </c:manualLayout>
      </c:layout>
      <c:overlay val="0"/>
      <c:spPr>
        <a:noFill/>
        <a:ln>
          <a:noFill/>
        </a:ln>
      </c:spPr>
    </c:title>
    <c:autoTitleDeleted val="0"/>
    <c:plotArea>
      <c:layout/>
      <c:barChart>
        <c:barDir val="col"/>
        <c:grouping val="clustered"/>
        <c:varyColors val="0"/>
        <c:ser>
          <c:idx val="0"/>
          <c:order val="0"/>
          <c:tx>
            <c:strRef>
              <c:f>'Sheet1 (4)'!$A$2</c:f>
              <c:strCache>
                <c:ptCount val="1"/>
                <c:pt idx="0">
                  <c:v>2023</c:v>
                </c:pt>
              </c:strCache>
            </c:strRef>
          </c:tx>
          <c:spPr>
            <a:solidFill>
              <a:srgbClr val="4F81BD"/>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(4)'!$B$1:$C$1</c:f>
              <c:strCache>
                <c:ptCount val="2"/>
                <c:pt idx="0">
                  <c:v>一般公共预算财政拨款收入</c:v>
                </c:pt>
                <c:pt idx="1">
                  <c:v>一般公共预算财政拨款支出</c:v>
                </c:pt>
              </c:strCache>
            </c:strRef>
          </c:cat>
          <c:val>
            <c:numRef>
              <c:f>'Sheet1 (4)'!$B$2:$C$2</c:f>
              <c:numCache>
                <c:formatCode>General</c:formatCode>
                <c:ptCount val="2"/>
                <c:pt idx="0">
                  <c:v>1217.25</c:v>
                </c:pt>
                <c:pt idx="1">
                  <c:v>1217.25</c:v>
                </c:pt>
              </c:numCache>
            </c:numRef>
          </c:val>
        </c:ser>
        <c:ser>
          <c:idx val="1"/>
          <c:order val="1"/>
          <c:tx>
            <c:strRef>
              <c:f>'Sheet1 (4)'!$A$3</c:f>
              <c:strCache>
                <c:ptCount val="1"/>
                <c:pt idx="0">
                  <c:v>2024</c:v>
                </c:pt>
              </c:strCache>
            </c:strRef>
          </c:tx>
          <c:spPr>
            <a:solidFill>
              <a:srgbClr val="C0504D"/>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(4)'!$B$1:$C$1</c:f>
              <c:strCache>
                <c:ptCount val="2"/>
                <c:pt idx="0">
                  <c:v>一般公共预算财政拨款收入</c:v>
                </c:pt>
                <c:pt idx="1">
                  <c:v>一般公共预算财政拨款支出</c:v>
                </c:pt>
              </c:strCache>
            </c:strRef>
          </c:cat>
          <c:val>
            <c:numRef>
              <c:f>'Sheet1 (4)'!$B$3:$C$3</c:f>
              <c:numCache>
                <c:formatCode>General</c:formatCode>
                <c:ptCount val="2"/>
                <c:pt idx="0">
                  <c:v>1029.08</c:v>
                </c:pt>
                <c:pt idx="1">
                  <c:v>1029.08</c:v>
                </c:pt>
              </c:numCache>
            </c:numRef>
          </c:val>
        </c:ser>
        <c:dLbls>
          <c:showLegendKey val="0"/>
          <c:showVal val="1"/>
          <c:showCatName val="0"/>
          <c:showSerName val="0"/>
          <c:showPercent val="0"/>
          <c:showBubbleSize val="0"/>
        </c:dLbls>
        <c:gapWidth val="219"/>
        <c:overlap val="-27"/>
        <c:axId val="0"/>
        <c:axId val="1"/>
      </c:barChart>
      <c:catAx>
        <c:axId val="0"/>
        <c:scaling>
          <c:orientation val="minMax"/>
        </c:scaling>
        <c:delete val="1"/>
        <c:axPos val="b"/>
        <c:numFmt formatCode="General"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crossAx val="1"/>
        <c:crosses val="autoZero"/>
        <c:auto val="1"/>
        <c:lblAlgn val="ctr"/>
        <c:lblOffset val="100"/>
        <c:noMultiLvlLbl val="0"/>
      </c:catAx>
      <c:valAx>
        <c:axId val="1"/>
        <c:scaling>
          <c:orientation val="minMax"/>
          <c:max val="4500"/>
          <c:min val="0"/>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crossAx val="0"/>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gap"/>
    <c:showDLblsOverMax val="0"/>
    <c:extLst>
      <c:ext uri="{0b15fc19-7d7d-44ad-8c2d-2c3a37ce22c3}">
        <chartProps xmlns="https://web.wps.cn/et/2018/main" chartId="{4283e149-3174-475c-b9b6-89e9a16c7be9}"/>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支出结构表</a:t>
            </a:r>
            <a:endParaRPr lang="zh-CN"/>
          </a:p>
        </c:rich>
      </c:tx>
      <c:layout/>
      <c:overlay val="0"/>
      <c:spPr>
        <a:noFill/>
        <a:ln>
          <a:noFill/>
        </a:ln>
      </c:spPr>
    </c:title>
    <c:autoTitleDeleted val="0"/>
    <c:plotArea>
      <c:layout>
        <c:manualLayout>
          <c:layoutTarget val="inner"/>
          <c:xMode val="edge"/>
          <c:yMode val="edge"/>
          <c:x val="0.214017612241952"/>
          <c:y val="0.117818181818182"/>
          <c:w val="0.547134401616862"/>
          <c:h val="0.689090909090909"/>
        </c:manualLayout>
      </c:layout>
      <c:pieChart>
        <c:varyColors val="1"/>
        <c:ser>
          <c:idx val="0"/>
          <c:order val="0"/>
          <c:tx>
            <c:strRef>
              <c:f>'Sheet1 (5)'!$B$1</c:f>
              <c:strCache>
                <c:ptCount val="1"/>
                <c:pt idx="0">
                  <c:v>支出结构表</c:v>
                </c:pt>
              </c:strCache>
            </c:strRef>
          </c:tx>
          <c:spPr>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Pt>
            <c:idx val="3"/>
            <c:bubble3D val="0"/>
            <c:spPr>
              <a:solidFill>
                <a:srgbClr val="8064A2"/>
              </a:solidFill>
              <a:ln w="19050">
                <a:solidFill>
                  <a:srgbClr val="FFFFFF"/>
                </a:solidFill>
                <a:prstDash val="solid"/>
              </a:ln>
            </c:spPr>
          </c:dPt>
          <c:dPt>
            <c:idx val="4"/>
            <c:bubble3D val="0"/>
            <c:spPr>
              <a:solidFill>
                <a:srgbClr val="4BACC6"/>
              </a:solidFill>
              <a:ln w="19050">
                <a:solidFill>
                  <a:srgbClr val="FFFFFF"/>
                </a:solidFill>
                <a:prstDash val="solid"/>
              </a:ln>
            </c:spPr>
          </c:dPt>
          <c:dLbls>
            <c:dLbl>
              <c:idx val="0"/>
              <c:delete val="1"/>
            </c:dLbl>
            <c:dLbl>
              <c:idx val="1"/>
              <c:delete val="1"/>
            </c:dLbl>
            <c:dLbl>
              <c:idx val="2"/>
              <c:delete val="1"/>
            </c:dLbl>
            <c:dLbl>
              <c:idx val="3"/>
              <c:delete val="1"/>
            </c:dLbl>
            <c:dLbl>
              <c:idx val="4"/>
              <c:delete val="1"/>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dLblPos val="bestFit"/>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(5)'!$A$2:$A$6</c:f>
              <c:strCache>
                <c:ptCount val="5"/>
                <c:pt idx="0">
                  <c:v>一般公共服务支出</c:v>
                </c:pt>
                <c:pt idx="1">
                  <c:v>社会保障和就业支出</c:v>
                </c:pt>
                <c:pt idx="2">
                  <c:v>卫生健康支出</c:v>
                </c:pt>
                <c:pt idx="3">
                  <c:v>农林水支出</c:v>
                </c:pt>
                <c:pt idx="4">
                  <c:v>住房保障支出</c:v>
                </c:pt>
              </c:strCache>
            </c:strRef>
          </c:cat>
          <c:val>
            <c:numRef>
              <c:f>'Sheet1 (5)'!$B$2:$B$6</c:f>
              <c:numCache>
                <c:formatCode>General</c:formatCode>
                <c:ptCount val="5"/>
                <c:pt idx="0">
                  <c:v>370.69</c:v>
                </c:pt>
                <c:pt idx="1">
                  <c:v>92.17</c:v>
                </c:pt>
                <c:pt idx="2">
                  <c:v>45.55</c:v>
                </c:pt>
                <c:pt idx="3">
                  <c:v>186.21</c:v>
                </c:pt>
                <c:pt idx="4">
                  <c:v>55.65</c:v>
                </c:pt>
              </c:numCache>
            </c:numRef>
          </c:val>
        </c:ser>
        <c:dLbls>
          <c:showLegendKey val="0"/>
          <c:showVal val="0"/>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gap"/>
    <c:showDLblsOverMax val="0"/>
    <c:extLst>
      <c:ext uri="{0b15fc19-7d7d-44ad-8c2d-2c3a37ce22c3}">
        <chartProps xmlns="https://web.wps.cn/et/2018/main" chartId="{83bc6061-1a82-42f0-bbb2-ae99e607464b}"/>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三公经费支出结构图</a:t>
            </a:r>
            <a:endParaRPr lang="zh-CN"/>
          </a:p>
        </c:rich>
      </c:tx>
      <c:layout/>
      <c:overlay val="0"/>
      <c:spPr>
        <a:noFill/>
        <a:ln>
          <a:noFill/>
        </a:ln>
      </c:spPr>
    </c:title>
    <c:autoTitleDeleted val="0"/>
    <c:plotArea>
      <c:layout/>
      <c:pieChart>
        <c:varyColors val="1"/>
        <c:ser>
          <c:idx val="0"/>
          <c:order val="0"/>
          <c:tx>
            <c:strRef>
              <c:f>'Sheet1 (2)'!$B$1</c:f>
              <c:strCache>
                <c:ptCount val="1"/>
                <c:pt idx="0">
                  <c:v>收入决算结构图</c:v>
                </c:pt>
              </c:strCache>
            </c:strRef>
          </c:tx>
          <c:spPr>
            <a:solidFill>
              <a:srgbClr val="4F81BD"/>
            </a:solidFill>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rgbClr val="000000"/>
                        </a:solidFill>
                        <a:latin typeface="AR PL UKai CN"/>
                        <a:ea typeface="AR PL UKai CN"/>
                        <a:cs typeface="Lucida Sans" panose="020B0602030504020204"/>
                      </a:defRPr>
                    </a:pPr>
                    <a:r>
                      <a:rPr lang="en-US" altLang="zh-CN"/>
                      <a:t>10</a:t>
                    </a:r>
                    <a:endParaRPr lang="en-US" altLang="zh-CN"/>
                  </a:p>
                </c:rich>
              </c:tx>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dLblPos val="bestFit"/>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r>
                      <a:rPr lang="zh-CN" sz="1000" b="0" i="0" u="none" strike="noStrike" baseline="0">
                        <a:solidFill>
                          <a:srgbClr val="000000"/>
                        </a:solidFill>
                        <a:latin typeface="AR PL UKai CN"/>
                        <a:ea typeface="AR PL UKai CN"/>
                        <a:cs typeface="Lucida Sans" panose="020B0602030504020204"/>
                      </a:rPr>
                      <a:t>100%</a:t>
                    </a:r>
                    <a:endParaRPr lang="zh-CN" sz="1000" b="0" i="0" u="none" strike="noStrike" baseline="0">
                      <a:solidFill>
                        <a:srgbClr val="000000"/>
                      </a:solidFill>
                      <a:latin typeface="AR PL UKai CN"/>
                      <a:ea typeface="AR PL UKai CN"/>
                      <a:cs typeface="Lucida Sans" panose="020B0602030504020204"/>
                    </a:endParaRPr>
                  </a:p>
                </c:rich>
              </c:tx>
              <c:numFmt formatCode="General"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bestFit"/>
              <c:showLegendKey val="0"/>
              <c:showVal val="1"/>
              <c:showCatName val="0"/>
              <c:showSerName val="0"/>
              <c:showPercent val="0"/>
              <c:showBubbleSize val="0"/>
              <c:extLst>
                <c:ext xmlns:c15="http://schemas.microsoft.com/office/drawing/2012/chart" uri="{CE6537A1-D6FC-4f65-9D91-7224C49458BB}"/>
              </c:extLst>
            </c:dLbl>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(2)'!$A$2:$A$3</c:f>
              <c:strCache>
                <c:ptCount val="2"/>
                <c:pt idx="0">
                  <c:v>公务用车购置及运行维护费支出决算</c:v>
                </c:pt>
              </c:strCache>
            </c:strRef>
          </c:cat>
          <c:val>
            <c:numRef>
              <c:f>'Sheet1 (2)'!$B$2:$B$3</c:f>
              <c:numCache>
                <c:formatCode>General</c:formatCode>
                <c:ptCount val="2"/>
                <c:pt idx="0">
                  <c:v>10</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egendEntry>
        <c:idx val="1"/>
        <c:delete val="1"/>
      </c:legendEntry>
      <c:layout>
        <c:manualLayout>
          <c:xMode val="edge"/>
          <c:yMode val="edge"/>
          <c:x val="0.354998818246277"/>
          <c:y val="0.888036442100216"/>
        </c:manualLayout>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zero"/>
    <c:showDLblsOverMax val="0"/>
    <c:extLst>
      <c:ext uri="{0b15fc19-7d7d-44ad-8c2d-2c3a37ce22c3}">
        <chartProps xmlns="https://web.wps.cn/et/2018/main" chartId="{0183e118-5f8b-4d0c-b540-1e989c7da7d0}"/>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olors1.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style1.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42</Pages>
  <Words>1502</Words>
  <Characters>2414</Characters>
  <Lines>61</Lines>
  <Paragraphs>17</Paragraphs>
  <TotalTime>15</TotalTime>
  <ScaleCrop>false</ScaleCrop>
  <LinksUpToDate>false</LinksUpToDate>
  <CharactersWithSpaces>2427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2020-08-09T09:49:00Z</dcterms:created>
  <dc:creator>曹颖</dc:creator>
  <cp:lastModifiedBy>Lee.</cp:lastModifiedBy>
  <cp:lastPrinted>2025-08-06T17:34:00Z</cp:lastPrinted>
  <dcterms:modified xsi:type="dcterms:W3CDTF">2025-09-15T08:16:14Z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04787F2533EB45DC91BCDE4AB213247F</vt:lpwstr>
  </property>
  <property fmtid="{D5CDD505-2E9C-101B-9397-08002B2CF9AE}" pid="4" name="KSOTemplateDocerSaveRecord">
    <vt:lpwstr>eyJoZGlkIjoiOTE2ZDllODRiODE2ZDJhYjhiNzIxNGU1Mjk2ZDY5YmQiLCJ1c2VySWQiOiI1NTg1MTI2NjAifQ==</vt:lpwstr>
  </property>
</Properties>
</file>