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bookmarkStart w:id="62" w:name="_GoBack"/>
      <w:bookmarkEnd w:id="62"/>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77193"/>
      <w:bookmarkStart w:id="3" w:name="_Toc15396597"/>
      <w:bookmarkStart w:id="4" w:name="_Toc15378441"/>
      <w:bookmarkStart w:id="5" w:name="_Toc15377425"/>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77426"/>
      <w:bookmarkStart w:id="7" w:name="_Toc15377194"/>
      <w:bookmarkStart w:id="8" w:name="_Toc15396476"/>
      <w:bookmarkStart w:id="9" w:name="_Toc15378442"/>
      <w:bookmarkStart w:id="10" w:name="_Toc15396598"/>
      <w:r>
        <w:rPr>
          <w:rFonts w:hint="eastAsia" w:ascii="方正小标宋简体" w:eastAsia="方正小标宋简体"/>
          <w:color w:val="000000"/>
          <w:sz w:val="72"/>
          <w:szCs w:val="72"/>
        </w:rPr>
        <w:t>四川</w:t>
      </w:r>
      <w:bookmarkEnd w:id="0"/>
      <w:bookmarkStart w:id="11" w:name="_Toc15306268"/>
      <w:r>
        <w:rPr>
          <w:rFonts w:hint="eastAsia" w:ascii="方正小标宋简体" w:eastAsia="方正小标宋简体"/>
          <w:color w:val="000000"/>
          <w:sz w:val="72"/>
          <w:szCs w:val="72"/>
        </w:rPr>
        <w:t>省金川县俄热乡人民政府部门决算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pPr>
      <w:r>
        <w:rPr>
          <w:rFonts w:hint="eastAsia"/>
        </w:rPr>
        <w:t>公开时间：2021年8月3日</w:t>
      </w:r>
    </w:p>
    <w:p/>
    <w:p/>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2"/>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rPr>
          <w:rStyle w:val="17"/>
          <w:rFonts w:hint="eastAsia" w:ascii="仿宋" w:eastAsia="仿宋"/>
          <w:bCs/>
          <w:sz w:val="28"/>
          <w:szCs w:val="28"/>
        </w:rPr>
        <w:t xml:space="preserve"> 十、预算绩效情况说明..................................15</w:t>
      </w:r>
    </w:p>
    <w:p/>
    <w:p>
      <w:pPr>
        <w:pStyle w:val="12"/>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r>
        <w:rPr>
          <w:color w:val="000000"/>
          <w:sz w:val="24"/>
        </w:rPr>
        <w:fldChar w:fldCharType="end"/>
      </w:r>
      <w:bookmarkStart w:id="12" w:name="_Toc15396599"/>
      <w:bookmarkStart w:id="13" w:name="_Toc15377196"/>
    </w:p>
    <w:p>
      <w:pPr>
        <w:pStyle w:val="3"/>
        <w:jc w:val="center"/>
        <w:rPr>
          <w:rFonts w:ascii="黑体" w:eastAsia="黑体"/>
          <w:color w:val="000000"/>
          <w:sz w:val="32"/>
          <w:szCs w:val="32"/>
        </w:rPr>
      </w:pPr>
      <w:r>
        <w:rPr>
          <w:rFonts w:hint="eastAsia" w:ascii="黑体" w:eastAsia="黑体"/>
          <w:b w:val="0"/>
        </w:rPr>
        <w:t xml:space="preserve">第一部分 </w:t>
      </w:r>
      <w:r>
        <w:rPr>
          <w:rStyle w:val="18"/>
          <w:rFonts w:hint="eastAsia" w:ascii="黑体" w:eastAsia="黑体"/>
          <w:b w:val="0"/>
          <w:bCs w:val="0"/>
        </w:rPr>
        <w:t>部门概况</w:t>
      </w:r>
      <w:bookmarkEnd w:id="12"/>
      <w:bookmarkEnd w:id="13"/>
    </w:p>
    <w:p>
      <w:pPr>
        <w:pStyle w:val="4"/>
        <w:spacing w:before="0" w:after="0" w:line="240" w:lineRule="auto"/>
        <w:ind w:left="640" w:hanging="640" w:hangingChars="200"/>
        <w:rPr>
          <w:rStyle w:val="19"/>
          <w:rFonts w:ascii="黑体" w:eastAsia="黑体"/>
          <w:b w:val="0"/>
          <w:bCs w:val="0"/>
        </w:rPr>
      </w:pPr>
      <w:bookmarkStart w:id="14" w:name="_Toc15377197"/>
      <w:bookmarkStart w:id="15" w:name="_Toc15396600"/>
      <w:r>
        <w:rPr>
          <w:rFonts w:hint="eastAsia" w:ascii="黑体" w:eastAsia="黑体"/>
          <w:b w:val="0"/>
          <w:color w:val="000000"/>
        </w:rPr>
        <w:t>一、基</w:t>
      </w:r>
      <w:r>
        <w:rPr>
          <w:rStyle w:val="19"/>
          <w:rFonts w:hint="eastAsia" w:ascii="黑体" w:eastAsia="黑体"/>
          <w:b w:val="0"/>
          <w:bCs w:val="0"/>
        </w:rPr>
        <w:t>本职能及主要工作</w:t>
      </w:r>
      <w:bookmarkEnd w:id="14"/>
      <w:bookmarkEnd w:id="15"/>
      <w:bookmarkStart w:id="16" w:name="_Toc15377198"/>
      <w:bookmarkStart w:id="17" w:name="_Toc15378445"/>
    </w:p>
    <w:p>
      <w:pPr>
        <w:pStyle w:val="4"/>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8446"/>
      <w:bookmarkStart w:id="19" w:name="_Toc15377199"/>
    </w:p>
    <w:p>
      <w:pPr>
        <w:ind w:firstLine="640" w:firstLineChars="200"/>
        <w:rPr>
          <w:rFonts w:ascii="仿宋_GB2312" w:hAnsi="仿宋" w:eastAsia="仿宋_GB2312"/>
          <w:sz w:val="32"/>
          <w:szCs w:val="32"/>
        </w:rPr>
      </w:pPr>
      <w:r>
        <w:rPr>
          <w:rFonts w:hint="eastAsia" w:ascii="仿宋_GB2312" w:eastAsia="仿宋_GB2312"/>
          <w:sz w:val="32"/>
          <w:szCs w:val="32"/>
        </w:rPr>
        <w:t>贯彻执行党和国家关于预算、税收、行政事业单位国有资产、财务、会计等法律、法规、规章和方针、政策。根据我乡实际，编制中长期财政计划。</w:t>
      </w:r>
      <w:r>
        <w:rPr>
          <w:rFonts w:hint="eastAsia" w:ascii="仿宋_GB2312" w:eastAsia="仿宋_GB2312"/>
          <w:kern w:val="0"/>
          <w:sz w:val="32"/>
          <w:szCs w:val="32"/>
        </w:rPr>
        <w:t>在县级有关部门及其他兄弟乡镇的大力支持和帮助下，在乡党委的正确带领下，俄热乡人民政府高举邓小平理论伟大旗帜，以“三个代表” 重要思想和科学发展观为指导，认真贯彻落实党的十九大精神</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lang w:eastAsia="zh-CN"/>
        </w:rPr>
        <w:t>习近平总书记</w:t>
      </w:r>
      <w:r>
        <w:rPr>
          <w:rFonts w:hint="eastAsia" w:ascii="仿宋_GB2312" w:hAnsi="仿宋_GB2312" w:eastAsia="仿宋_GB2312" w:cs="仿宋_GB2312"/>
          <w:sz w:val="32"/>
          <w:szCs w:val="32"/>
        </w:rPr>
        <w:t>重要讲话精神，紧紧围绕发展战略和建设目标，坚定信心，主动作为，攻坚克难，创新实干，</w:t>
      </w:r>
      <w:r>
        <w:rPr>
          <w:rFonts w:hint="eastAsia" w:ascii="仿宋_GB2312" w:hAnsi="仿宋_GB2312" w:eastAsia="仿宋_GB2312" w:cs="仿宋_GB2312"/>
          <w:kern w:val="0"/>
          <w:sz w:val="32"/>
          <w:szCs w:val="32"/>
        </w:rPr>
        <w:t>紧紧</w:t>
      </w:r>
      <w:r>
        <w:rPr>
          <w:rFonts w:hint="eastAsia" w:ascii="仿宋_GB2312" w:eastAsia="仿宋_GB2312"/>
          <w:kern w:val="0"/>
          <w:sz w:val="32"/>
          <w:szCs w:val="32"/>
        </w:rPr>
        <w:t>围绕县委、县政府提出的建设“川西北生态经济示范县”“阿坝新江南”一二三四五发展战略和“小康金川、美丽金川”建设目标，着力抓经济、保稳定、惠民生、促发展，全乡经济和社会各项事业持续健康发展。全乡上下齐心协力，锐意进取，有力推动各项工作顺利开展并较好完成了2020年定的各项目标任务。</w:t>
      </w:r>
    </w:p>
    <w:bookmarkEnd w:id="18"/>
    <w:bookmarkEnd w:id="19"/>
    <w:p>
      <w:pPr>
        <w:snapToGrid w:val="0"/>
        <w:spacing w:line="360" w:lineRule="auto"/>
        <w:ind w:firstLine="210" w:firstLineChars="100"/>
        <w:outlineLvl w:val="1"/>
        <w:rPr>
          <w:rFonts w:ascii="楷体" w:hAnsi="楷体" w:eastAsia="楷体" w:cs="楷体"/>
          <w:b/>
          <w:bCs/>
          <w:sz w:val="30"/>
          <w:szCs w:val="30"/>
        </w:rPr>
      </w:pPr>
      <w:bookmarkStart w:id="20" w:name="_Toc19488"/>
      <w:bookmarkStart w:id="21" w:name="_Toc15377200"/>
      <w:bookmarkStart w:id="22" w:name="_Toc15396601"/>
      <w:r>
        <w:rPr>
          <w:rFonts w:hint="eastAsia" w:ascii="楷体" w:eastAsia="楷体" w:cs="楷体"/>
          <w:color w:val="000000"/>
        </w:rPr>
        <w:t xml:space="preserve"> </w:t>
      </w:r>
      <w:r>
        <w:rPr>
          <w:rFonts w:hint="eastAsia" w:ascii="楷体" w:hAnsi="楷体" w:eastAsia="楷体" w:cs="楷体"/>
          <w:b/>
          <w:bCs/>
          <w:sz w:val="30"/>
          <w:szCs w:val="30"/>
        </w:rPr>
        <w:t>（二）当年取得的主要成效：</w:t>
      </w:r>
      <w:bookmarkEnd w:id="20"/>
    </w:p>
    <w:p>
      <w:pPr>
        <w:spacing w:line="560" w:lineRule="exact"/>
        <w:ind w:left="420" w:leftChars="200" w:firstLine="640" w:firstLineChars="200"/>
        <w:outlineLvl w:val="0"/>
        <w:rPr>
          <w:rFonts w:ascii="仿宋_GB2312" w:eastAsia="仿宋_GB2312"/>
          <w:sz w:val="32"/>
          <w:szCs w:val="32"/>
        </w:rPr>
      </w:pPr>
      <w:r>
        <w:rPr>
          <w:rFonts w:hint="eastAsia" w:ascii="仿宋_GB2312" w:hAnsi="宋体" w:eastAsia="仿宋_GB2312"/>
          <w:sz w:val="32"/>
        </w:rPr>
        <w:t>以习近平新时代中国特色社会主义思想、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w:t>
      </w:r>
      <w:r>
        <w:rPr>
          <w:rFonts w:hint="eastAsia" w:ascii="仿宋_GB2312" w:hAnsi="宋体" w:eastAsia="仿宋_GB2312"/>
          <w:sz w:val="32"/>
          <w:lang w:eastAsia="zh-CN"/>
        </w:rPr>
        <w:t>开辟</w:t>
      </w:r>
      <w:r>
        <w:rPr>
          <w:rFonts w:hint="eastAsia" w:ascii="仿宋_GB2312" w:hAnsi="宋体" w:eastAsia="仿宋_GB2312"/>
          <w:sz w:val="32"/>
        </w:rPr>
        <w:t>发展的新空间，努力开创俄热乡发展的新局面。</w:t>
      </w:r>
    </w:p>
    <w:p>
      <w:pPr>
        <w:spacing w:line="578" w:lineRule="exact"/>
        <w:ind w:firstLine="640" w:firstLineChars="200"/>
        <w:rPr>
          <w:rStyle w:val="19"/>
          <w:b w:val="0"/>
          <w:bCs w:val="0"/>
        </w:rPr>
      </w:pPr>
      <w:r>
        <w:rPr>
          <w:rStyle w:val="19"/>
          <w:rFonts w:hint="eastAsia" w:ascii="黑体" w:eastAsia="黑体"/>
          <w:b w:val="0"/>
          <w:bCs w:val="0"/>
        </w:rPr>
        <w:t>二、机构设置</w:t>
      </w:r>
      <w:bookmarkEnd w:id="21"/>
      <w:bookmarkEnd w:id="22"/>
    </w:p>
    <w:p>
      <w:pPr>
        <w:widowControl/>
        <w:ind w:firstLine="640" w:firstLineChars="200"/>
        <w:jc w:val="left"/>
        <w:rPr>
          <w:rFonts w:ascii="仿宋" w:hAnsi="仿宋" w:eastAsia="仿宋_GB2312"/>
          <w:color w:val="000000"/>
          <w:kern w:val="0"/>
          <w:sz w:val="32"/>
          <w:szCs w:val="32"/>
        </w:rPr>
      </w:pPr>
      <w:r>
        <w:rPr>
          <w:rFonts w:hint="eastAsia" w:ascii="仿宋_GB2312" w:eastAsia="仿宋_GB2312"/>
          <w:color w:val="000000"/>
          <w:sz w:val="32"/>
          <w:szCs w:val="32"/>
        </w:rPr>
        <w:t>金川县俄热乡人民政府是</w:t>
      </w:r>
      <w:r>
        <w:rPr>
          <w:rFonts w:hint="eastAsia" w:ascii="仿宋_GB2312" w:eastAsia="仿宋_GB2312"/>
          <w:bCs/>
          <w:color w:val="000000"/>
          <w:sz w:val="32"/>
          <w:szCs w:val="32"/>
        </w:rPr>
        <w:t>由乡党建办公室、维护稳定办公室、经济发展和乡村振兴办公室、社会事务和应急管理办公室、便民服务中心、经济发展服务中心、农业农村服务中心、社会事业服务中心组成；乡政府为行政编制，便民中心为事业编制</w:t>
      </w:r>
      <w:r>
        <w:rPr>
          <w:rFonts w:hint="eastAsia" w:ascii="仿宋_GB2312" w:eastAsia="仿宋_GB2312"/>
          <w:color w:val="000000"/>
          <w:sz w:val="32"/>
          <w:szCs w:val="32"/>
        </w:rPr>
        <w:t>。</w:t>
      </w:r>
    </w:p>
    <w:p>
      <w:pPr>
        <w:pStyle w:val="3"/>
        <w:ind w:right="440"/>
        <w:jc w:val="right"/>
      </w:pPr>
      <w:bookmarkStart w:id="23" w:name="_Toc15396602"/>
      <w:bookmarkStart w:id="24" w:name="_Toc15377204"/>
      <w:r>
        <w:rPr>
          <w:rFonts w:hint="eastAsia" w:ascii="黑体" w:eastAsia="黑体"/>
          <w:b w:val="0"/>
          <w:color w:val="000000"/>
        </w:rPr>
        <w:t>第二部分</w:t>
      </w:r>
      <w:r>
        <w:rPr>
          <w:rFonts w:hint="eastAsia" w:ascii="黑体" w:eastAsia="黑体"/>
          <w:color w:val="000000"/>
        </w:rPr>
        <w:t xml:space="preserve"> </w:t>
      </w:r>
      <w:r>
        <w:rPr>
          <w:rStyle w:val="18"/>
          <w:rFonts w:hint="eastAsia" w:ascii="黑体" w:eastAsia="黑体"/>
          <w:b w:val="0"/>
          <w:bCs w:val="0"/>
        </w:rPr>
        <w:t>2020年度部门决算情况说明</w:t>
      </w:r>
      <w:bookmarkEnd w:id="23"/>
      <w:bookmarkEnd w:id="24"/>
    </w:p>
    <w:p>
      <w:pPr>
        <w:pStyle w:val="24"/>
        <w:numPr>
          <w:ilvl w:val="0"/>
          <w:numId w:val="1"/>
        </w:numPr>
        <w:ind w:left="0" w:firstLine="0" w:firstLineChars="0"/>
        <w:outlineLvl w:val="1"/>
        <w:rPr>
          <w:rStyle w:val="19"/>
          <w:rFonts w:ascii="黑体" w:eastAsia="黑体"/>
          <w:b w:val="0"/>
        </w:rPr>
      </w:pPr>
      <w:bookmarkStart w:id="25" w:name="_Toc15396603"/>
      <w:bookmarkStart w:id="26" w:name="_Toc15377205"/>
      <w:r>
        <w:rPr>
          <w:rFonts w:hint="eastAsia" w:ascii="黑体" w:eastAsia="黑体"/>
          <w:color w:val="000000"/>
          <w:sz w:val="32"/>
          <w:szCs w:val="32"/>
        </w:rPr>
        <w:t>收</w:t>
      </w:r>
      <w:r>
        <w:rPr>
          <w:rStyle w:val="19"/>
          <w:rFonts w:hint="eastAsia" w:ascii="黑体" w:eastAsia="黑体"/>
          <w:b w:val="0"/>
        </w:rPr>
        <w:t>入支出决算总体情况说明</w:t>
      </w:r>
      <w:bookmarkEnd w:id="25"/>
      <w:bookmarkEnd w:id="26"/>
    </w:p>
    <w:p>
      <w:pPr>
        <w:snapToGrid w:val="0"/>
        <w:spacing w:line="520" w:lineRule="exact"/>
        <w:ind w:firstLine="632" w:firstLineChars="200"/>
        <w:rPr>
          <w:rFonts w:ascii="仿宋" w:eastAsia="仿宋_GB2312"/>
          <w:sz w:val="32"/>
          <w:szCs w:val="32"/>
        </w:rPr>
      </w:pPr>
      <w:r>
        <w:rPr>
          <w:rFonts w:hint="eastAsia" w:ascii="仿宋_GB2312" w:eastAsia="仿宋_GB2312"/>
          <w:color w:val="000000"/>
          <w:spacing w:val="-2"/>
          <w:sz w:val="32"/>
          <w:szCs w:val="32"/>
        </w:rPr>
        <w:t>2020年度总收入700.84万元，</w:t>
      </w:r>
      <w:r>
        <w:rPr>
          <w:rFonts w:hint="eastAsia" w:ascii="仿宋_GB2312" w:eastAsia="仿宋_GB2312"/>
          <w:spacing w:val="-2"/>
          <w:sz w:val="32"/>
          <w:szCs w:val="32"/>
        </w:rPr>
        <w:t>2020年总支出</w:t>
      </w:r>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486410</wp:posOffset>
            </wp:positionH>
            <wp:positionV relativeFrom="paragraph">
              <wp:posOffset>560070</wp:posOffset>
            </wp:positionV>
            <wp:extent cx="5080000" cy="2582545"/>
            <wp:effectExtent l="0" t="0" r="0" b="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eastAsia="仿宋_GB2312"/>
          <w:spacing w:val="-2"/>
          <w:sz w:val="32"/>
          <w:szCs w:val="32"/>
        </w:rPr>
        <w:t>652.58万元。</w:t>
      </w:r>
    </w:p>
    <w:p>
      <w:pPr>
        <w:spacing w:line="600" w:lineRule="exact"/>
        <w:ind w:firstLine="640" w:firstLineChars="200"/>
        <w:rPr>
          <w:rStyle w:val="19"/>
          <w:rFonts w:ascii="黑体" w:eastAsia="黑体"/>
          <w:b w:val="0"/>
        </w:rPr>
      </w:pPr>
      <w:bookmarkStart w:id="27" w:name="_Toc15377206"/>
      <w:bookmarkStart w:id="28" w:name="_Toc15396604"/>
      <w:r>
        <w:rPr>
          <w:rFonts w:hint="eastAsia" w:ascii="黑体" w:eastAsia="黑体"/>
          <w:color w:val="000000"/>
          <w:sz w:val="32"/>
          <w:szCs w:val="32"/>
        </w:rPr>
        <w:t>二、收入决</w:t>
      </w:r>
      <w:r>
        <w:rPr>
          <w:rStyle w:val="19"/>
          <w:rFonts w:hint="eastAsia" w:ascii="黑体" w:eastAsia="黑体"/>
          <w:b w:val="0"/>
        </w:rPr>
        <w:t>算情况说明</w:t>
      </w:r>
      <w:bookmarkEnd w:id="27"/>
      <w:bookmarkEnd w:id="28"/>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20年总收入</w:t>
      </w:r>
      <w:r>
        <w:rPr>
          <w:rFonts w:hint="eastAsia" w:ascii="仿宋_GB2312" w:eastAsia="仿宋_GB2312"/>
          <w:color w:val="000000"/>
          <w:spacing w:val="-2"/>
          <w:sz w:val="32"/>
          <w:szCs w:val="32"/>
        </w:rPr>
        <w:t>700.84</w:t>
      </w:r>
      <w:r>
        <w:rPr>
          <w:rFonts w:hint="eastAsia" w:ascii="仿宋" w:eastAsia="仿宋"/>
          <w:color w:val="000000"/>
          <w:sz w:val="32"/>
          <w:szCs w:val="32"/>
        </w:rPr>
        <w:t>万元，其中：一般公共预算财政拨款收入</w:t>
      </w:r>
      <w:r>
        <w:rPr>
          <w:rFonts w:hint="eastAsia" w:ascii="仿宋_GB2312" w:eastAsia="仿宋_GB2312"/>
          <w:color w:val="000000"/>
          <w:spacing w:val="-2"/>
          <w:sz w:val="32"/>
          <w:szCs w:val="32"/>
        </w:rPr>
        <w:t>700.84</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pPr>
        <w:spacing w:line="600" w:lineRule="exact"/>
        <w:ind w:firstLine="640" w:firstLineChars="200"/>
        <w:outlineLvl w:val="1"/>
        <w:rPr>
          <w:rFonts w:ascii="黑体" w:eastAsia="黑体"/>
          <w:color w:val="000000"/>
          <w:sz w:val="32"/>
          <w:szCs w:val="32"/>
        </w:rPr>
      </w:pPr>
      <w:bookmarkStart w:id="29" w:name="_Toc15377207"/>
      <w:bookmarkStart w:id="30" w:name="_Toc15396605"/>
      <w:r>
        <w:rPr>
          <w:rFonts w:hint="eastAsia" w:ascii="黑体" w:eastAsia="黑体"/>
          <w:color w:val="000000"/>
          <w:sz w:val="32"/>
          <w:szCs w:val="32"/>
        </w:rPr>
        <w:drawing>
          <wp:anchor distT="0" distB="0" distL="114300" distR="114300" simplePos="0" relativeHeight="251659264" behindDoc="1" locked="0" layoutInCell="1" allowOverlap="1">
            <wp:simplePos x="0" y="0"/>
            <wp:positionH relativeFrom="column">
              <wp:posOffset>165100</wp:posOffset>
            </wp:positionH>
            <wp:positionV relativeFrom="paragraph">
              <wp:posOffset>190500</wp:posOffset>
            </wp:positionV>
            <wp:extent cx="5373370" cy="2648585"/>
            <wp:effectExtent l="4445" t="4445" r="6985" b="13970"/>
            <wp:wrapNone/>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Style w:val="19"/>
          <w:rFonts w:ascii="黑体" w:eastAsia="黑体"/>
          <w:b w:val="0"/>
        </w:rPr>
      </w:pPr>
      <w:r>
        <w:rPr>
          <w:rFonts w:hint="eastAsia" w:ascii="黑体" w:eastAsia="黑体"/>
          <w:color w:val="000000"/>
          <w:sz w:val="32"/>
          <w:szCs w:val="32"/>
        </w:rPr>
        <w:t>三、支出决</w:t>
      </w:r>
      <w:r>
        <w:rPr>
          <w:rStyle w:val="19"/>
          <w:rFonts w:hint="eastAsia" w:ascii="黑体" w:eastAsia="黑体"/>
          <w:b w:val="0"/>
        </w:rPr>
        <w:t>算情况说明</w:t>
      </w:r>
      <w:bookmarkEnd w:id="29"/>
      <w:bookmarkEnd w:id="30"/>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2020年本年总支出652.58万元，其中：基本支出424.52万元，占65.05%；项目支出228.06万元，占34.95%；上缴上级支出0万元，占0%；经营支出0万元，占0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64770</wp:posOffset>
            </wp:positionH>
            <wp:positionV relativeFrom="paragraph">
              <wp:posOffset>136525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9"/>
          <w:rFonts w:ascii="黑体" w:eastAsia="黑体"/>
          <w:b w:val="0"/>
        </w:rPr>
      </w:pPr>
      <w:bookmarkStart w:id="31" w:name="_Toc15377208"/>
      <w:bookmarkStart w:id="32" w:name="_Toc15396606"/>
      <w:r>
        <w:rPr>
          <w:rFonts w:hint="eastAsia" w:ascii="黑体" w:eastAsia="黑体"/>
          <w:color w:val="000000"/>
          <w:sz w:val="32"/>
          <w:szCs w:val="32"/>
        </w:rPr>
        <w:t>四、财</w:t>
      </w:r>
      <w:r>
        <w:rPr>
          <w:rStyle w:val="19"/>
          <w:rFonts w:hint="eastAsia" w:ascii="黑体" w:eastAsia="黑体"/>
          <w:b w:val="0"/>
        </w:rPr>
        <w:t>政拨款收入支出决算总体情况说明</w:t>
      </w:r>
      <w:bookmarkEnd w:id="31"/>
      <w:bookmarkEnd w:id="32"/>
    </w:p>
    <w:p>
      <w:pPr>
        <w:snapToGrid w:val="0"/>
        <w:spacing w:line="520" w:lineRule="exact"/>
        <w:ind w:firstLine="640" w:firstLineChars="200"/>
        <w:rPr>
          <w:rFonts w:ascii="仿宋" w:eastAsia="仿宋"/>
          <w:color w:val="FF0000"/>
          <w:sz w:val="32"/>
          <w:szCs w:val="32"/>
        </w:rPr>
      </w:pPr>
      <w:r>
        <w:rPr>
          <w:rFonts w:hint="eastAsia" w:ascii="仿宋" w:eastAsia="仿宋"/>
          <w:color w:val="000000"/>
          <w:sz w:val="32"/>
          <w:szCs w:val="32"/>
        </w:rPr>
        <w:t>2020年财政拨款收入700.84万元。2020年财政拨款支出652.58万元</w:t>
      </w:r>
      <w:r>
        <w:rPr>
          <w:rFonts w:hint="eastAsia" w:ascii="仿宋_GB2312" w:eastAsia="仿宋_GB2312"/>
          <w:spacing w:val="-2"/>
          <w:sz w:val="32"/>
          <w:szCs w:val="32"/>
        </w:rPr>
        <w:t>。</w:t>
      </w:r>
    </w:p>
    <w:p>
      <w:pPr>
        <w:spacing w:line="600" w:lineRule="exact"/>
        <w:ind w:firstLine="640" w:firstLineChars="200"/>
        <w:rPr>
          <w:rStyle w:val="19"/>
          <w:rFonts w:ascii="黑体" w:eastAsia="黑体"/>
          <w:b w:val="0"/>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3" w:name="_Toc15377209"/>
      <w:bookmarkStart w:id="34" w:name="_Toc15396607"/>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33"/>
      <w:bookmarkEnd w:id="34"/>
    </w:p>
    <w:p>
      <w:pPr>
        <w:spacing w:line="600" w:lineRule="exact"/>
        <w:ind w:firstLine="643" w:firstLineChars="200"/>
        <w:outlineLvl w:val="2"/>
        <w:rPr>
          <w:rFonts w:ascii="仿宋" w:eastAsia="仿宋"/>
          <w:b/>
          <w:color w:val="000000"/>
          <w:sz w:val="32"/>
          <w:szCs w:val="32"/>
        </w:rPr>
      </w:pPr>
      <w:bookmarkStart w:id="35" w:name="_Toc15377210"/>
      <w:r>
        <w:rPr>
          <w:rFonts w:hint="eastAsia" w:ascii="仿宋" w:eastAsia="仿宋"/>
          <w:b/>
          <w:color w:val="000000"/>
          <w:sz w:val="32"/>
          <w:szCs w:val="32"/>
        </w:rPr>
        <w:t>（一）一般公共预算财政拨款支出决算总体情况</w:t>
      </w:r>
      <w:bookmarkEnd w:id="35"/>
    </w:p>
    <w:p>
      <w:pPr>
        <w:snapToGrid w:val="0"/>
        <w:spacing w:line="520" w:lineRule="exact"/>
        <w:ind w:firstLine="640" w:firstLineChars="200"/>
        <w:rPr>
          <w:rFonts w:ascii="仿宋_GB2312" w:eastAsia="仿宋_GB2312"/>
          <w:color w:val="FF0000"/>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一般公共预算财政拨款支出652.58万元，</w:t>
      </w:r>
      <w:r>
        <w:rPr>
          <w:rFonts w:hint="eastAsia" w:ascii="仿宋" w:eastAsia="仿宋"/>
          <w:color w:val="000000"/>
          <w:sz w:val="32"/>
          <w:szCs w:val="32"/>
        </w:rPr>
        <w:t>占本年总支出的93.11</w:t>
      </w:r>
      <w:r>
        <w:rPr>
          <w:rFonts w:ascii="仿宋" w:eastAsia="仿宋"/>
          <w:color w:val="000000"/>
          <w:sz w:val="32"/>
          <w:szCs w:val="32"/>
        </w:rPr>
        <w:t>%</w:t>
      </w:r>
      <w:r>
        <w:rPr>
          <w:rFonts w:hint="eastAsia" w:ascii="仿宋" w:eastAsia="仿宋"/>
          <w:color w:val="000000"/>
          <w:sz w:val="32"/>
          <w:szCs w:val="32"/>
        </w:rPr>
        <w:t>。</w:t>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6" w:name="_Toc15377211"/>
      <w:r>
        <w:rPr>
          <w:rFonts w:hint="eastAsia" w:ascii="仿宋" w:eastAsia="仿宋"/>
          <w:b/>
          <w:color w:val="000000"/>
          <w:sz w:val="32"/>
          <w:szCs w:val="32"/>
        </w:rPr>
        <w:t>（二）一般公共预算财政拨款支出决算结构情况</w:t>
      </w:r>
      <w:bookmarkEnd w:id="36"/>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20年一般公共预算财政拨款支出652.58万元，主要用于以下方面</w:t>
      </w:r>
      <w:r>
        <w:rPr>
          <w:rFonts w:hint="eastAsia" w:ascii="仿宋" w:eastAsia="仿宋"/>
          <w:color w:val="000000"/>
          <w:sz w:val="32"/>
          <w:szCs w:val="32"/>
          <w:lang w:eastAsia="zh-CN"/>
        </w:rPr>
        <w:t>：</w:t>
      </w:r>
      <w:r>
        <w:rPr>
          <w:rFonts w:hint="eastAsia" w:ascii="仿宋" w:eastAsia="仿宋"/>
          <w:b/>
          <w:color w:val="000000"/>
          <w:sz w:val="32"/>
          <w:szCs w:val="32"/>
        </w:rPr>
        <w:t>一般公共服务（类）</w:t>
      </w:r>
      <w:r>
        <w:rPr>
          <w:rFonts w:hint="eastAsia" w:ascii="仿宋" w:eastAsia="仿宋"/>
          <w:color w:val="000000"/>
          <w:sz w:val="32"/>
          <w:szCs w:val="32"/>
        </w:rPr>
        <w:t>支出278.78万元；</w:t>
      </w:r>
      <w:r>
        <w:rPr>
          <w:rFonts w:hint="eastAsia" w:ascii="仿宋" w:eastAsia="仿宋"/>
          <w:b/>
          <w:color w:val="000000"/>
          <w:sz w:val="32"/>
          <w:szCs w:val="32"/>
        </w:rPr>
        <w:t>社会保障和就业（类）</w:t>
      </w:r>
      <w:r>
        <w:rPr>
          <w:rFonts w:hint="eastAsia" w:ascii="仿宋" w:eastAsia="仿宋"/>
          <w:color w:val="000000"/>
          <w:sz w:val="32"/>
          <w:szCs w:val="32"/>
        </w:rPr>
        <w:t>支出51.47万元；</w:t>
      </w:r>
      <w:r>
        <w:rPr>
          <w:rFonts w:hint="eastAsia" w:ascii="仿宋" w:eastAsia="仿宋"/>
          <w:b/>
          <w:bCs/>
          <w:color w:val="000000"/>
          <w:sz w:val="32"/>
          <w:szCs w:val="32"/>
        </w:rPr>
        <w:t>卫生健康支出</w:t>
      </w:r>
      <w:r>
        <w:rPr>
          <w:rFonts w:hint="eastAsia" w:ascii="仿宋" w:eastAsia="仿宋"/>
          <w:color w:val="000000"/>
          <w:sz w:val="32"/>
          <w:szCs w:val="32"/>
        </w:rPr>
        <w:t>32.71万元；</w:t>
      </w:r>
      <w:r>
        <w:rPr>
          <w:rFonts w:hint="eastAsia" w:ascii="仿宋" w:eastAsia="仿宋"/>
          <w:b/>
          <w:bCs/>
          <w:color w:val="000000"/>
          <w:sz w:val="32"/>
          <w:szCs w:val="32"/>
        </w:rPr>
        <w:t>住房保障支出</w:t>
      </w:r>
      <w:r>
        <w:rPr>
          <w:rFonts w:hint="eastAsia" w:ascii="仿宋" w:eastAsia="仿宋"/>
          <w:color w:val="000000"/>
          <w:sz w:val="32"/>
          <w:szCs w:val="32"/>
        </w:rPr>
        <w:t>34.68万元；农林水支出208.71万元；其他支出46.23万元。</w:t>
      </w:r>
    </w:p>
    <w:p>
      <w:pPr>
        <w:spacing w:line="600" w:lineRule="exact"/>
        <w:ind w:firstLine="8353" w:firstLineChars="2600"/>
        <w:outlineLvl w:val="2"/>
        <w:rPr>
          <w:rFonts w:ascii="仿宋" w:eastAsia="仿宋"/>
          <w:b/>
          <w:color w:val="000000"/>
          <w:sz w:val="32"/>
          <w:szCs w:val="32"/>
        </w:rPr>
      </w:pPr>
      <w:bookmarkStart w:id="37" w:name="_Toc15377444"/>
      <w:bookmarkStart w:id="38" w:name="_Toc15377213"/>
      <w:bookmarkStart w:id="39" w:name="_Toc15378460"/>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40" w:name="_Toc15377212"/>
      <w:r>
        <w:rPr>
          <w:rFonts w:hint="eastAsia" w:ascii="仿宋" w:eastAsia="仿宋"/>
          <w:b/>
          <w:color w:val="000000"/>
          <w:sz w:val="32"/>
          <w:szCs w:val="32"/>
        </w:rPr>
        <w:t>（三）一般公共预算财政拨款支出决算具体情况</w:t>
      </w:r>
      <w:bookmarkEnd w:id="40"/>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2020年一般公共预算数为700.84万元，支出决算数为652.58万元，完</w:t>
      </w:r>
      <w:r>
        <w:rPr>
          <w:rStyle w:val="16"/>
          <w:rFonts w:hint="eastAsia" w:ascii="仿宋" w:eastAsia="仿宋"/>
          <w:b w:val="0"/>
          <w:bCs/>
          <w:color w:val="000000"/>
          <w:sz w:val="32"/>
          <w:szCs w:val="32"/>
        </w:rPr>
        <w:t>成预算93.11</w:t>
      </w:r>
      <w:r>
        <w:rPr>
          <w:rStyle w:val="16"/>
          <w:rFonts w:ascii="仿宋" w:eastAsia="仿宋"/>
          <w:b w:val="0"/>
          <w:bCs/>
          <w:color w:val="000000"/>
          <w:sz w:val="32"/>
          <w:szCs w:val="32"/>
        </w:rPr>
        <w:t>%</w:t>
      </w:r>
      <w:r>
        <w:rPr>
          <w:rStyle w:val="16"/>
          <w:rFonts w:hint="eastAsia" w:ascii="仿宋" w:eastAsia="仿宋"/>
          <w:b w:val="0"/>
          <w:bCs/>
          <w:color w:val="000000"/>
          <w:sz w:val="32"/>
          <w:szCs w:val="32"/>
        </w:rPr>
        <w:t>。其中：</w:t>
      </w:r>
      <w:bookmarkEnd w:id="37"/>
      <w:bookmarkEnd w:id="38"/>
      <w:bookmarkEnd w:id="39"/>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1.一般公共服务（类）</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支出决算为278.78万元，完成预算100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ascii="仿宋" w:eastAsia="仿宋"/>
          <w:b w:val="0"/>
          <w:bCs/>
          <w:color w:val="000000"/>
          <w:sz w:val="32"/>
          <w:szCs w:val="32"/>
        </w:rPr>
      </w:pPr>
      <w:r>
        <w:rPr>
          <w:rStyle w:val="16"/>
          <w:rFonts w:ascii="仿宋" w:eastAsia="仿宋"/>
          <w:bCs/>
          <w:color w:val="000000"/>
          <w:sz w:val="32"/>
          <w:szCs w:val="32"/>
        </w:rPr>
        <w:t>2.</w:t>
      </w:r>
      <w:r>
        <w:rPr>
          <w:rStyle w:val="16"/>
          <w:rFonts w:hint="eastAsia" w:ascii="仿宋" w:eastAsia="仿宋"/>
          <w:bCs/>
          <w:color w:val="000000"/>
          <w:sz w:val="32"/>
          <w:szCs w:val="32"/>
        </w:rPr>
        <w:t>一般公共服务（类）政府办公室（室）及相关机构事务（款）一般行政管理事务（项）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支出决算为278.78万元，完成预算100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。结转下年0万元。</w:t>
      </w:r>
    </w:p>
    <w:p>
      <w:pPr>
        <w:spacing w:line="600" w:lineRule="exact"/>
        <w:ind w:firstLine="643" w:firstLineChars="200"/>
        <w:rPr>
          <w:rFonts w:ascii="仿宋" w:eastAsia="仿宋"/>
          <w:b/>
          <w:color w:val="000000"/>
          <w:sz w:val="32"/>
          <w:szCs w:val="32"/>
        </w:rPr>
      </w:pPr>
      <w:r>
        <w:rPr>
          <w:rStyle w:val="16"/>
          <w:rFonts w:hint="eastAsia" w:ascii="仿宋" w:eastAsia="仿宋"/>
          <w:bCs/>
          <w:color w:val="000000"/>
          <w:sz w:val="32"/>
          <w:szCs w:val="32"/>
        </w:rPr>
        <w:t>3</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Cs/>
          <w:color w:val="000000"/>
          <w:sz w:val="32"/>
          <w:szCs w:val="32"/>
        </w:rPr>
        <w:t>社会保障和就业（类）行政事业单位离退休（款）机关事业单位基本养老保险缴费支出（项）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支出决算为30.98万元，完成预算100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6"/>
          <w:rFonts w:hint="eastAsia" w:ascii="仿宋" w:eastAsia="仿宋"/>
          <w:bCs/>
          <w:color w:val="000000"/>
          <w:sz w:val="32"/>
          <w:szCs w:val="32"/>
        </w:rPr>
        <w:t>4</w:t>
      </w:r>
      <w:r>
        <w:rPr>
          <w:rStyle w:val="16"/>
          <w:rFonts w:ascii="仿宋" w:eastAsia="仿宋"/>
          <w:bCs/>
          <w:color w:val="000000"/>
          <w:sz w:val="32"/>
          <w:szCs w:val="32"/>
        </w:rPr>
        <w:t>.</w:t>
      </w:r>
      <w:r>
        <w:rPr>
          <w:rStyle w:val="16"/>
          <w:rFonts w:hint="eastAsia" w:ascii="仿宋" w:eastAsia="仿宋"/>
          <w:bCs/>
          <w:color w:val="000000"/>
          <w:sz w:val="32"/>
          <w:szCs w:val="32"/>
        </w:rPr>
        <w:t>社会保障和就业（类）行政事业单位离退休（款）机关事业单位基本职业年金缴费支出（项）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支出决算为15.49万元，完成预算100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rPr>
        <w:t>5.卫生健康支出（类）行政事业单位医疗（款）行政单位医疗（项）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支出决算为15.38万元，完成预算100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rPr>
        <w:t>6.卫生健康支出（类）行政事业单位医疗（款）公务员医疗补助（项）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支出决算为4.58万元，完成预算100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Style w:val="16"/>
          <w:rFonts w:ascii="仿宋" w:eastAsia="仿宋"/>
          <w:bCs/>
          <w:color w:val="000000"/>
          <w:sz w:val="32"/>
          <w:szCs w:val="32"/>
        </w:rPr>
      </w:pPr>
      <w:bookmarkStart w:id="41" w:name="_Toc15396608"/>
      <w:bookmarkStart w:id="42" w:name="_Toc15377214"/>
      <w:r>
        <w:rPr>
          <w:rStyle w:val="16"/>
          <w:rFonts w:hint="eastAsia" w:ascii="仿宋" w:eastAsia="仿宋"/>
          <w:bCs/>
          <w:color w:val="000000"/>
          <w:sz w:val="32"/>
          <w:szCs w:val="32"/>
        </w:rPr>
        <w:t>7.住房保障（类）住房改革支出（款）住房公积金（项）：</w:t>
      </w:r>
      <w:r>
        <w:rPr>
          <w:rStyle w:val="16"/>
          <w:rFonts w:hint="eastAsia" w:ascii="仿宋" w:eastAsia="仿宋"/>
          <w:b w:val="0"/>
          <w:bCs/>
          <w:color w:val="000000"/>
          <w:sz w:val="32"/>
          <w:szCs w:val="32"/>
        </w:rPr>
        <w:t>支出决算为34.68万元，完成预算100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0"/>
        <w:rPr>
          <w:rStyle w:val="19"/>
        </w:rPr>
      </w:pPr>
      <w:r>
        <w:rPr>
          <w:rFonts w:hint="eastAsia" w:ascii="黑体" w:eastAsia="黑体"/>
          <w:color w:val="000000"/>
          <w:sz w:val="32"/>
          <w:szCs w:val="32"/>
        </w:rPr>
        <w:t>六</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bookmarkEnd w:id="41"/>
      <w:bookmarkEnd w:id="42"/>
      <w:r>
        <w:rPr>
          <w:rStyle w:val="19"/>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20年一般公共预算财政拨款基本支出424.52万元，其中：</w:t>
      </w:r>
    </w:p>
    <w:p>
      <w:pPr>
        <w:rPr>
          <w:rFonts w:hint="eastAsia" w:ascii="仿宋" w:eastAsia="仿宋"/>
          <w:color w:val="000000"/>
          <w:sz w:val="32"/>
          <w:szCs w:val="32"/>
          <w:lang w:eastAsia="zh-CN"/>
        </w:rPr>
      </w:pPr>
      <w:r>
        <w:rPr>
          <w:rFonts w:hint="eastAsia" w:ascii="仿宋" w:eastAsia="仿宋"/>
          <w:color w:val="000000"/>
          <w:sz w:val="32"/>
          <w:szCs w:val="32"/>
        </w:rPr>
        <w:t>人员经费397.91万元，主要包括：基本工资77.7万元、绩效工资16.45万元、津贴补贴135.63万元、奖金6.47万元、机关事业单位基本养老保险缴费30.98万元、职业年金缴费15.49万元、职工基本医疗保险缴费15.38万元、公务员医疗补助缴费4.58万元、其他社会保障缴费2.82万元、其他工资福利支出0万元、生活补助1.4万元、奖励金56.32万元、抚恤金0万元、住房公积金34.68万元、其他对个人和家庭的补助支出57.72万元等。</w:t>
      </w:r>
    </w:p>
    <w:p>
      <w:r>
        <w:rPr>
          <w:rFonts w:hint="eastAsia" w:ascii="仿宋" w:eastAsia="仿宋"/>
          <w:color w:val="000000"/>
          <w:sz w:val="32"/>
          <w:szCs w:val="32"/>
        </w:rPr>
        <w:t>　　公用经费26.62万元，主要包括：办公费5.26万元、电费1.78万元、取暖费0.81万元、邮电费2万元、印刷费3.2万元、物业管理费0万元、差旅费1万元、劳务费5.92万元、公务用车运行维护费6.65万元、手续费0万元、</w:t>
      </w:r>
      <w:r>
        <w:rPr>
          <w:rFonts w:hint="eastAsia" w:ascii="仿宋" w:eastAsia="仿宋"/>
          <w:color w:val="000000"/>
          <w:sz w:val="32"/>
          <w:szCs w:val="32"/>
          <w:lang w:eastAsia="zh-CN"/>
        </w:rPr>
        <w:t>税费</w:t>
      </w:r>
      <w:r>
        <w:rPr>
          <w:rFonts w:hint="eastAsia" w:ascii="仿宋" w:eastAsia="仿宋"/>
          <w:color w:val="000000"/>
          <w:sz w:val="32"/>
          <w:szCs w:val="32"/>
        </w:rPr>
        <w:t>0万元、因公出国（境）费用0万元、维修（护）费0万元、租赁费0万元、会议费0万元、培训费0万元、公务接待费0万元、福利费0万元、其他商品和服务支出0万元、办公设备购置0万元、无形资产购置0万元等。</w:t>
      </w:r>
    </w:p>
    <w:p>
      <w:pPr>
        <w:spacing w:line="600" w:lineRule="exact"/>
        <w:ind w:firstLine="645"/>
        <w:rPr>
          <w:rFonts w:ascii="仿宋" w:eastAsia="仿宋"/>
          <w:color w:val="000000"/>
          <w:sz w:val="32"/>
          <w:szCs w:val="32"/>
        </w:rPr>
      </w:pPr>
    </w:p>
    <w:p>
      <w:pPr>
        <w:spacing w:line="600" w:lineRule="exact"/>
        <w:ind w:firstLine="640" w:firstLineChars="200"/>
        <w:outlineLvl w:val="1"/>
        <w:rPr>
          <w:rStyle w:val="19"/>
          <w:rFonts w:ascii="黑体" w:eastAsia="黑体"/>
          <w:b w:val="0"/>
        </w:rPr>
      </w:pPr>
      <w:bookmarkStart w:id="43" w:name="_Toc15396609"/>
      <w:bookmarkStart w:id="44" w:name="_Toc15377215"/>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43"/>
      <w:bookmarkEnd w:id="44"/>
    </w:p>
    <w:p>
      <w:pPr>
        <w:spacing w:line="600" w:lineRule="exact"/>
        <w:ind w:firstLine="640"/>
        <w:outlineLvl w:val="2"/>
        <w:rPr>
          <w:rFonts w:ascii="仿宋" w:eastAsia="仿宋"/>
          <w:b/>
          <w:color w:val="000000"/>
          <w:sz w:val="32"/>
          <w:szCs w:val="32"/>
        </w:rPr>
      </w:pPr>
      <w:bookmarkStart w:id="45" w:name="_Toc15377216"/>
      <w:r>
        <w:rPr>
          <w:rFonts w:hint="eastAsia" w:ascii="仿宋" w:eastAsia="仿宋"/>
          <w:b/>
          <w:color w:val="000000"/>
          <w:sz w:val="32"/>
          <w:szCs w:val="32"/>
        </w:rPr>
        <w:t>（一）“三公”经费财政拨款支出决算总体情况说明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20年“三公”经费财政拨款支出决算为6.65万元，完成预算100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6" w:name="_Toc15377217"/>
      <w:r>
        <w:rPr>
          <w:rFonts w:hint="eastAsia" w:ascii="仿宋" w:eastAsia="仿宋"/>
          <w:b/>
          <w:color w:val="000000"/>
          <w:sz w:val="32"/>
          <w:szCs w:val="32"/>
        </w:rPr>
        <w:t>（二）“三公”经费财政拨款支出决算具体情况说明</w:t>
      </w:r>
      <w:bookmarkEnd w:id="46"/>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决算6.65万元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；公务用车购置及运行维护费支出决算6.65万元，占100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4384" behindDoc="0" locked="0" layoutInCell="1" allowOverlap="1">
            <wp:simplePos x="0" y="0"/>
            <wp:positionH relativeFrom="column">
              <wp:posOffset>239395</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numPr>
          <w:ilvl w:val="0"/>
          <w:numId w:val="2"/>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6"/>
          <w:rFonts w:hint="eastAsia" w:ascii="仿宋" w:eastAsia="仿宋"/>
          <w:b w:val="0"/>
          <w:bCs/>
          <w:color w:val="000000"/>
          <w:sz w:val="32"/>
          <w:szCs w:val="32"/>
        </w:rPr>
        <w:t>完成预算0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sz w:val="32"/>
          <w:szCs w:val="32"/>
        </w:rPr>
        <w:t>全年安排因公出国（境）团组0次，出国（境）0人。因</w:t>
      </w:r>
      <w:r>
        <w:rPr>
          <w:rFonts w:hint="eastAsia" w:ascii="仿宋_GB2312" w:eastAsia="仿宋_GB2312"/>
          <w:color w:val="000000"/>
          <w:sz w:val="32"/>
          <w:szCs w:val="32"/>
        </w:rPr>
        <w:t>公出国（境）支出决算比</w:t>
      </w: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s="仿宋"/>
          <w:color w:val="000000"/>
          <w:sz w:val="32"/>
          <w:szCs w:val="32"/>
        </w:rPr>
        <w:t>增加0万元。</w:t>
      </w:r>
    </w:p>
    <w:p>
      <w:pPr>
        <w:spacing w:line="600" w:lineRule="exact"/>
        <w:ind w:firstLine="643" w:firstLineChars="20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6.65万元</w:t>
      </w:r>
      <w:r>
        <w:rPr>
          <w:rFonts w:hint="eastAsia" w:ascii="仿宋_GB2312" w:eastAsia="仿宋_GB2312"/>
          <w:color w:val="000000"/>
          <w:sz w:val="32"/>
          <w:szCs w:val="32"/>
          <w:lang w:eastAsia="zh-CN"/>
        </w:rPr>
        <w:t>，</w:t>
      </w:r>
      <w:r>
        <w:rPr>
          <w:rStyle w:val="16"/>
          <w:rFonts w:hint="eastAsia" w:ascii="仿宋" w:eastAsia="仿宋"/>
          <w:b w:val="0"/>
          <w:bCs/>
          <w:color w:val="000000"/>
          <w:sz w:val="32"/>
          <w:szCs w:val="32"/>
        </w:rPr>
        <w:t>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9年减少0.345万元，</w:t>
      </w:r>
      <w:r>
        <w:rPr>
          <w:rFonts w:hint="eastAsia" w:ascii="仿宋_GB2312" w:eastAsia="仿宋_GB2312"/>
          <w:sz w:val="32"/>
          <w:szCs w:val="32"/>
        </w:rPr>
        <w:t>下降4.9</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减少原因是合理控制规划用车，制定相关用车制度。</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6.65万元。</w:t>
      </w:r>
      <w:r>
        <w:rPr>
          <w:rFonts w:hint="eastAsia" w:ascii="仿宋_GB2312" w:eastAsia="仿宋_GB2312"/>
          <w:color w:val="000000"/>
          <w:sz w:val="32"/>
          <w:szCs w:val="32"/>
        </w:rPr>
        <w:t>主要用我单位所需的公务用车燃料费、维修费、过路过桥费、保险费等支出。</w:t>
      </w:r>
    </w:p>
    <w:p>
      <w:pPr>
        <w:numPr>
          <w:ilvl w:val="0"/>
          <w:numId w:val="3"/>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6"/>
          <w:rFonts w:hint="eastAsia" w:ascii="仿宋" w:eastAsia="仿宋"/>
          <w:b w:val="0"/>
          <w:bCs/>
          <w:color w:val="000000"/>
          <w:sz w:val="32"/>
          <w:szCs w:val="32"/>
        </w:rPr>
        <w:t>完成预算0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s="仿宋"/>
          <w:color w:val="000000"/>
          <w:sz w:val="32"/>
          <w:szCs w:val="32"/>
        </w:rPr>
        <w:t>公务接待费0万元，较上年减少0万元，减少0%。</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47" w:name="_Toc15377218"/>
      <w:bookmarkStart w:id="48" w:name="_Toc15396610"/>
    </w:p>
    <w:p>
      <w:pPr>
        <w:spacing w:line="600" w:lineRule="exact"/>
        <w:ind w:firstLine="640"/>
        <w:outlineLvl w:val="1"/>
        <w:rPr>
          <w:rStyle w:val="19"/>
          <w:rFonts w:ascii="黑体" w:eastAsia="黑体"/>
        </w:rPr>
      </w:pPr>
      <w:r>
        <w:rPr>
          <w:rFonts w:hint="eastAsia" w:ascii="黑体" w:eastAsia="黑体"/>
          <w:color w:val="000000"/>
          <w:sz w:val="32"/>
          <w:szCs w:val="32"/>
        </w:rPr>
        <w:t>八、</w:t>
      </w:r>
      <w:r>
        <w:rPr>
          <w:rStyle w:val="19"/>
          <w:rFonts w:hint="eastAsia" w:ascii="黑体" w:eastAsia="黑体"/>
          <w:b w:val="0"/>
        </w:rPr>
        <w:t>政府性基金预算支出决算情况说明</w:t>
      </w:r>
      <w:bookmarkEnd w:id="47"/>
      <w:bookmarkEnd w:id="4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4"/>
        </w:numPr>
        <w:spacing w:line="600" w:lineRule="exact"/>
        <w:ind w:firstLine="640"/>
        <w:outlineLvl w:val="1"/>
        <w:rPr>
          <w:rStyle w:val="19"/>
          <w:rFonts w:ascii="黑体" w:eastAsia="黑体"/>
          <w:b w:val="0"/>
        </w:rPr>
      </w:pPr>
      <w:bookmarkStart w:id="49" w:name="_Toc15396611"/>
      <w:bookmarkStart w:id="50" w:name="_Toc15377219"/>
      <w:r>
        <w:rPr>
          <w:rStyle w:val="19"/>
          <w:rFonts w:hint="eastAsia" w:ascii="黑体" w:eastAsia="黑体"/>
          <w:b w:val="0"/>
        </w:rPr>
        <w:t>国有资本经营预算支出决算情况说明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4"/>
        <w:numPr>
          <w:ilvl w:val="0"/>
          <w:numId w:val="5"/>
        </w:numPr>
        <w:spacing w:line="580" w:lineRule="exact"/>
        <w:ind w:firstLineChars="0"/>
        <w:rPr>
          <w:rStyle w:val="19"/>
          <w:rFonts w:ascii="黑体" w:eastAsia="黑体"/>
          <w:b w:val="0"/>
        </w:rPr>
      </w:pPr>
      <w:r>
        <w:rPr>
          <w:rStyle w:val="19"/>
          <w:rFonts w:hint="eastAsia" w:ascii="黑体" w:eastAsia="黑体"/>
          <w:b w:val="0"/>
        </w:rPr>
        <w:t>预算绩效情况说明</w:t>
      </w:r>
    </w:p>
    <w:p>
      <w:pPr>
        <w:numPr>
          <w:ilvl w:val="0"/>
          <w:numId w:val="6"/>
        </w:numPr>
        <w:spacing w:line="580" w:lineRule="exact"/>
        <w:ind w:firstLine="643"/>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3个项目编制了绩效目标，预算执行过程中，选取3个项目开展绩效监控，年终执行完毕后，对3个项目开展了绩效目标完成情况梳理填报。</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本部门按要求对2020年部门整体支出开展绩效自评，</w:t>
      </w:r>
      <w:r>
        <w:rPr>
          <w:rFonts w:hint="eastAsia" w:ascii="仿宋_GB2312" w:eastAsia="仿宋_GB2312"/>
          <w:sz w:val="32"/>
          <w:szCs w:val="32"/>
        </w:rPr>
        <w:t>经全面综合评价，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。本单位还自行组织了3个项目绩效评价，从评价情况来看我单位年初预算项目基本按照绩效目标完成支付，有部分项目结转质保金在下年质保期后进行支付。</w:t>
      </w:r>
    </w:p>
    <w:p>
      <w:pPr>
        <w:numPr>
          <w:ilvl w:val="0"/>
          <w:numId w:val="6"/>
        </w:numPr>
        <w:spacing w:line="580" w:lineRule="exact"/>
        <w:ind w:firstLine="643"/>
        <w:jc w:val="left"/>
        <w:rPr>
          <w:rFonts w:ascii="仿宋_GB2312" w:eastAsia="仿宋_GB2312" w:cs="仿宋_GB2312"/>
          <w:sz w:val="32"/>
          <w:szCs w:val="32"/>
        </w:rPr>
      </w:pPr>
      <w:r>
        <w:rPr>
          <w:rFonts w:hint="eastAsia" w:ascii="仿宋" w:eastAsia="仿宋" w:cs="楷体_GB2312"/>
          <w:b/>
          <w:bCs/>
          <w:sz w:val="32"/>
          <w:szCs w:val="32"/>
        </w:rPr>
        <w:t>项目绩效目标完成情况。</w:t>
      </w:r>
    </w:p>
    <w:p>
      <w:pPr>
        <w:numPr>
          <w:ilvl w:val="0"/>
          <w:numId w:val="6"/>
        </w:numPr>
        <w:spacing w:line="580" w:lineRule="exact"/>
        <w:ind w:firstLine="643"/>
        <w:jc w:val="left"/>
        <w:rPr>
          <w:rFonts w:ascii="仿宋_GB2312" w:eastAsia="仿宋_GB2312" w:cs="仿宋_GB2312"/>
          <w:sz w:val="32"/>
          <w:szCs w:val="32"/>
        </w:rPr>
      </w:pPr>
      <w:r>
        <w:rPr>
          <w:rFonts w:hint="eastAsia" w:ascii="仿宋_GB2312" w:eastAsia="仿宋_GB2312" w:cs="仿宋_GB2312"/>
          <w:sz w:val="32"/>
          <w:szCs w:val="32"/>
        </w:rPr>
        <w:t xml:space="preserve">    本部门在2020年度部门决算中反映“俄热乡下达村级建制调整改革资金（第一批改革地区）</w:t>
      </w:r>
      <w:r>
        <w:rPr>
          <w:rFonts w:ascii="仿宋_GB2312" w:eastAsia="仿宋_GB2312" w:cs="仿宋_GB2312"/>
          <w:sz w:val="32"/>
          <w:szCs w:val="32"/>
        </w:rPr>
        <w:t>”</w:t>
      </w:r>
      <w:r>
        <w:rPr>
          <w:rFonts w:hint="eastAsia" w:ascii="仿宋_GB2312" w:eastAsia="仿宋_GB2312" w:cs="仿宋_GB2312"/>
          <w:sz w:val="32"/>
          <w:szCs w:val="32"/>
        </w:rPr>
        <w:t>“金川县贫困村基础设施建设项目”“俄热乡依斗村新建日俄后山至柏英牧道”等3个项目绩效目标实际完成情况。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1.“俄热乡下达村级建制调整改革资金（第一批改革地区）”项目绩效目标完成情况综述。项目全年预算数5万元，执行数为5万元，完成预算的100%。</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4"/>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4"/>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(2020年度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俄热乡下达村级建制调整改革资金（第一批改革地区）</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俄热乡人民政府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r>
      <w:tr>
        <w:tblPrEx>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将俄热乡英布汝村和烧热村合并</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基本实现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村建制合并</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1次</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1次</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sz w:val="24"/>
              </w:rPr>
              <w:t>2020年12月完成相应具体工作量。</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控制成本</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材料、人工等费用控制在5万元以内</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2.“金川县贫困村基础设施建设项目”项目绩效目标完成情况综述。项目全年预算数49万元，执行数为49万元，完成预算的100%。</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pStyle w:val="24"/>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4"/>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(2020年度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金川县贫困村基础设施建设项目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俄热乡人民政府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49万元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49万元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49万元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49万元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跨河便桥建成</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按计划保质保量完成长40米、宽3米跨河便桥。</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米</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计划完成防洪河堤</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保质保量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宋体" w:cs="宋体"/>
                <w:color w:val="000000"/>
                <w:sz w:val="24"/>
              </w:rPr>
              <w:t>按计划保质保量完成长40米、宽3米跨河便桥</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w:t>
      </w:r>
    </w:p>
    <w:p>
      <w:pPr>
        <w:numPr>
          <w:ilvl w:val="0"/>
          <w:numId w:val="7"/>
        </w:num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“俄热乡依斗村新建日俄后山至柏英牧道”项目绩效目标完成情况综述。项目全年预算数45万元，执行数为45万元，完成预算的100%。</w:t>
      </w:r>
    </w:p>
    <w:p>
      <w:pPr>
        <w:spacing w:line="580" w:lineRule="exact"/>
        <w:rPr>
          <w:rFonts w:ascii="仿宋_GB2312" w:eastAsia="仿宋_GB2312" w:cs="仿宋_GB2312"/>
          <w:sz w:val="32"/>
          <w:szCs w:val="32"/>
        </w:rPr>
      </w:pPr>
    </w:p>
    <w:p>
      <w:pPr>
        <w:spacing w:line="580" w:lineRule="exact"/>
        <w:rPr>
          <w:rFonts w:ascii="仿宋_GB2312" w:eastAsia="仿宋_GB2312" w:cs="仿宋_GB2312"/>
          <w:sz w:val="32"/>
          <w:szCs w:val="32"/>
        </w:rPr>
      </w:pP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cs="宋体"/>
                <w:color w:val="000000"/>
                <w:kern w:val="0"/>
                <w:sz w:val="36"/>
                <w:szCs w:val="36"/>
              </w:rPr>
              <w:t>(2020 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俄热乡依斗村新建日俄后山至柏英牧道</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俄热乡人民政府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45万元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完成依斗村日俄后山至柏英牧道道路。</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完成牧道长7公里、宽4米（7公里土边沟）。</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ind w:firstLine="480" w:firstLineChars="200"/>
              <w:jc w:val="center"/>
            </w:pPr>
            <w:r>
              <w:rPr>
                <w:rFonts w:hint="eastAsia" w:ascii="宋体" w:cs="宋体"/>
                <w:color w:val="000000"/>
                <w:sz w:val="24"/>
              </w:rPr>
              <w:t xml:space="preserve">              完成时限</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2020年12月31日前完成。</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2020年12月31日前完成。</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sz w:val="24"/>
              </w:rPr>
              <w:t>使该片区群众出行便利。</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使该片区群众出行便利。</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
      <w:pPr>
        <w:rPr>
          <w:rFonts w:ascii="Calibri" w:hAnsi="Calibri"/>
        </w:rPr>
      </w:pPr>
    </w:p>
    <w:p>
      <w:pPr>
        <w:spacing w:line="600" w:lineRule="exact"/>
        <w:ind w:firstLine="640" w:firstLineChars="200"/>
        <w:outlineLvl w:val="1"/>
        <w:rPr>
          <w:rStyle w:val="19"/>
          <w:rFonts w:ascii="黑体" w:eastAsia="黑体"/>
        </w:rPr>
      </w:pPr>
      <w:bookmarkStart w:id="51" w:name="_Toc15377221"/>
      <w:bookmarkStart w:id="52" w:name="_Toc15396612"/>
      <w:r>
        <w:rPr>
          <w:rFonts w:hint="eastAsia" w:ascii="黑体" w:eastAsia="黑体"/>
          <w:color w:val="000000"/>
          <w:sz w:val="32"/>
          <w:szCs w:val="32"/>
        </w:rPr>
        <w:t>十</w:t>
      </w:r>
      <w:r>
        <w:rPr>
          <w:rStyle w:val="19"/>
          <w:rFonts w:hint="eastAsia" w:ascii="黑体" w:eastAsia="黑体"/>
        </w:rPr>
        <w:t>一、</w:t>
      </w:r>
      <w:r>
        <w:rPr>
          <w:rStyle w:val="19"/>
          <w:rFonts w:hint="eastAsia" w:ascii="黑体" w:eastAsia="黑体"/>
          <w:b w:val="0"/>
        </w:rPr>
        <w:t>其他重要事项的情况说明</w:t>
      </w:r>
      <w:bookmarkEnd w:id="51"/>
      <w:bookmarkEnd w:id="52"/>
    </w:p>
    <w:p>
      <w:pPr>
        <w:spacing w:line="600" w:lineRule="exact"/>
        <w:ind w:firstLine="643" w:firstLineChars="200"/>
        <w:outlineLvl w:val="2"/>
        <w:rPr>
          <w:rFonts w:ascii="仿宋" w:eastAsia="仿宋"/>
          <w:color w:val="000000"/>
          <w:sz w:val="32"/>
          <w:szCs w:val="32"/>
        </w:rPr>
      </w:pPr>
      <w:bookmarkStart w:id="53" w:name="_Toc15377222"/>
      <w:r>
        <w:rPr>
          <w:rFonts w:hint="eastAsia" w:ascii="仿宋" w:eastAsia="仿宋"/>
          <w:b/>
          <w:color w:val="000000"/>
          <w:sz w:val="32"/>
          <w:szCs w:val="32"/>
        </w:rPr>
        <w:t>（一）机关运行经费支出情况</w:t>
      </w:r>
      <w:bookmarkEnd w:id="53"/>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20年，俄热乡人民政府运行经费支出0万元</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3"/>
      <w:r>
        <w:rPr>
          <w:rFonts w:hint="eastAsia" w:ascii="仿宋" w:eastAsia="仿宋"/>
          <w:b/>
          <w:color w:val="000000"/>
          <w:sz w:val="32"/>
          <w:szCs w:val="32"/>
        </w:rPr>
        <w:t>（二）政府采购支出情况</w:t>
      </w:r>
      <w:bookmarkEnd w:id="54"/>
    </w:p>
    <w:p>
      <w:pPr>
        <w:spacing w:line="600" w:lineRule="exact"/>
        <w:ind w:firstLine="600" w:firstLineChars="200"/>
        <w:rPr>
          <w:rFonts w:ascii="仿宋" w:eastAsia="仿宋"/>
          <w:b/>
          <w:sz w:val="32"/>
          <w:szCs w:val="32"/>
        </w:rPr>
      </w:pPr>
      <w:r>
        <w:rPr>
          <w:rFonts w:hint="eastAsia" w:ascii="仿宋_GB2312" w:eastAsia="仿宋_GB2312"/>
          <w:color w:val="000000"/>
          <w:sz w:val="30"/>
          <w:szCs w:val="30"/>
        </w:rPr>
        <w:t>无政府采购项目。</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5" w:name="_Toc15377224"/>
      <w:r>
        <w:rPr>
          <w:rFonts w:hint="eastAsia" w:ascii="仿宋" w:eastAsia="仿宋"/>
          <w:b/>
          <w:color w:val="000000"/>
          <w:sz w:val="32"/>
          <w:szCs w:val="32"/>
        </w:rPr>
        <w:t>（三）国有资产占有使用情况</w:t>
      </w:r>
      <w:bookmarkEnd w:id="55"/>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日，共有车辆2辆，为日常工作及应急保障用车。</w:t>
      </w:r>
      <w:r>
        <w:rPr>
          <w:rFonts w:hint="eastAsia" w:ascii="仿宋_GB2312" w:eastAsia="仿宋_GB2312"/>
          <w:b/>
          <w:color w:val="000000"/>
          <w:sz w:val="32"/>
          <w:szCs w:val="32"/>
        </w:rPr>
        <w:t xml:space="preserve">    </w:t>
      </w:r>
    </w:p>
    <w:p>
      <w:pPr>
        <w:numPr>
          <w:ilvl w:val="0"/>
          <w:numId w:val="8"/>
        </w:numPr>
        <w:spacing w:line="600" w:lineRule="exact"/>
        <w:ind w:firstLine="663" w:firstLineChars="150"/>
        <w:jc w:val="center"/>
        <w:outlineLvl w:val="0"/>
        <w:rPr>
          <w:rStyle w:val="18"/>
          <w:rFonts w:ascii="黑体" w:eastAsia="黑体"/>
          <w:b w:val="0"/>
        </w:rPr>
      </w:pPr>
      <w:bookmarkStart w:id="56" w:name="_Toc15396613"/>
      <w:bookmarkStart w:id="57" w:name="_Toc15377225"/>
      <w:r>
        <w:rPr>
          <w:rFonts w:hint="eastAsia" w:ascii="黑体" w:eastAsia="黑体"/>
          <w:b/>
          <w:color w:val="000000"/>
          <w:sz w:val="44"/>
          <w:szCs w:val="44"/>
        </w:rPr>
        <w:t>名</w:t>
      </w:r>
      <w:r>
        <w:rPr>
          <w:rStyle w:val="18"/>
          <w:rFonts w:hint="eastAsia" w:ascii="黑体" w:eastAsia="黑体"/>
          <w:b w:val="0"/>
        </w:rPr>
        <w:t>词解释</w:t>
      </w:r>
      <w:bookmarkEnd w:id="56"/>
      <w:bookmarkEnd w:id="57"/>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一般公共服务（类）政府办公室（室）及相关机构事务（款）行政运行（项）：指行政单位的基本支出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一般公共服务（类）政府办公室（室）及相关机构事务（款）一般行政管理事务（项）：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8" w:name="_Toc15377226"/>
      <w:bookmarkStart w:id="59" w:name="_Toc15396614"/>
    </w:p>
    <w:p>
      <w:pPr>
        <w:widowControl/>
        <w:spacing w:line="560" w:lineRule="atLeast"/>
        <w:jc w:val="center"/>
        <w:rPr>
          <w:rFonts w:hint="eastAsia" w:ascii="宋体" w:hAnsi="宋体" w:cs="宋体"/>
          <w:b/>
          <w:sz w:val="44"/>
          <w:szCs w:val="44"/>
        </w:rPr>
      </w:pPr>
      <w:r>
        <w:rPr>
          <w:rFonts w:hint="eastAsia" w:ascii="宋体" w:hAnsi="宋体" w:cs="宋体"/>
          <w:b/>
          <w:sz w:val="44"/>
          <w:szCs w:val="44"/>
        </w:rPr>
        <w:t>金川县</w:t>
      </w:r>
      <w:r>
        <w:rPr>
          <w:rFonts w:hint="eastAsia" w:ascii="宋体" w:hAnsi="宋体" w:cs="宋体"/>
          <w:b/>
          <w:sz w:val="44"/>
          <w:szCs w:val="44"/>
          <w:lang w:eastAsia="zh-CN"/>
        </w:rPr>
        <w:t>俄热</w:t>
      </w:r>
      <w:r>
        <w:rPr>
          <w:rFonts w:hint="eastAsia" w:ascii="宋体" w:hAnsi="宋体" w:cs="宋体"/>
          <w:b/>
          <w:sz w:val="44"/>
          <w:szCs w:val="44"/>
        </w:rPr>
        <w:t>乡人民政府</w:t>
      </w:r>
    </w:p>
    <w:p>
      <w:pPr>
        <w:widowControl/>
        <w:spacing w:line="560" w:lineRule="atLeast"/>
        <w:jc w:val="center"/>
        <w:rPr>
          <w:rFonts w:ascii="仿宋_GB2312" w:hAnsi="仿宋"/>
          <w:color w:val="000000"/>
          <w:kern w:val="0"/>
          <w:shd w:val="clear" w:color="auto" w:fill="FFFFFF"/>
        </w:rPr>
      </w:pPr>
      <w:r>
        <w:rPr>
          <w:rFonts w:hint="eastAsia" w:ascii="宋体" w:hAnsi="宋体" w:cs="宋体"/>
          <w:b/>
          <w:sz w:val="44"/>
          <w:szCs w:val="44"/>
        </w:rPr>
        <w:t>20</w:t>
      </w:r>
      <w:r>
        <w:rPr>
          <w:rFonts w:hint="eastAsia" w:ascii="宋体" w:hAnsi="宋体" w:cs="宋体"/>
          <w:b/>
          <w:sz w:val="44"/>
          <w:szCs w:val="44"/>
          <w:lang w:val="en-US" w:eastAsia="zh-CN"/>
        </w:rPr>
        <w:t>21</w:t>
      </w:r>
      <w:r>
        <w:rPr>
          <w:rFonts w:hint="eastAsia" w:ascii="宋体" w:hAnsi="宋体" w:cs="宋体"/>
          <w:b/>
          <w:sz w:val="44"/>
          <w:szCs w:val="44"/>
        </w:rPr>
        <w:t>年部门整体支出绩效评价报告</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keepNext w:val="0"/>
        <w:keepLines w:val="0"/>
        <w:pageBreakBefore w:val="0"/>
        <w:widowControl/>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zh-CN"/>
        </w:rPr>
        <w:t>（一）俄热乡人民政府下设“一办四中心一所”：具体组成为：党政综合办公室、综合文化发展中心、社会保障综合服务中心、经济发展中心、俄热乡财政所。</w:t>
      </w:r>
    </w:p>
    <w:p>
      <w:pPr>
        <w:keepNext w:val="0"/>
        <w:keepLines w:val="0"/>
        <w:pageBreakBefore w:val="0"/>
        <w:widowControl/>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zh-CN"/>
        </w:rPr>
        <w:t>（二）</w:t>
      </w:r>
      <w:r>
        <w:rPr>
          <w:rFonts w:hint="eastAsia" w:ascii="仿宋_GB2312" w:hAnsi="仿宋_GB2312" w:eastAsia="仿宋_GB2312" w:cs="仿宋_GB2312"/>
          <w:color w:val="000000"/>
          <w:sz w:val="32"/>
          <w:szCs w:val="32"/>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w:t>
      </w:r>
      <w:r>
        <w:rPr>
          <w:rFonts w:hint="eastAsia" w:ascii="仿宋_GB2312" w:hAnsi="仿宋_GB2312" w:eastAsia="仿宋_GB2312" w:cs="仿宋_GB2312"/>
          <w:color w:val="000000"/>
          <w:sz w:val="32"/>
          <w:szCs w:val="32"/>
          <w:lang w:eastAsia="zh-CN"/>
        </w:rPr>
        <w:t>其他事项</w:t>
      </w:r>
      <w:r>
        <w:rPr>
          <w:rFonts w:hint="eastAsia" w:ascii="仿宋_GB2312" w:hAnsi="仿宋_GB2312" w:eastAsia="仿宋_GB2312" w:cs="仿宋_GB2312"/>
          <w:color w:val="000000"/>
          <w:sz w:val="32"/>
          <w:szCs w:val="32"/>
        </w:rPr>
        <w:t>。七、执行本级人民代表大会的决议和上级国家行政机关的决定和命令，发布决定和命令。 八、保护社会主义的全民所有的财产和劳动群众集体所有的财产，保护公民私人所有的合法财产，维护社会秩序，保障公民的人身权利、民主权利和其他权利。</w:t>
      </w:r>
    </w:p>
    <w:p>
      <w:pPr>
        <w:snapToGrid w:val="0"/>
        <w:spacing w:line="520" w:lineRule="exact"/>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color w:val="000000"/>
          <w:kern w:val="0"/>
          <w:sz w:val="32"/>
          <w:szCs w:val="32"/>
          <w:lang w:val="zh-CN"/>
        </w:rPr>
        <w:t>（三）</w:t>
      </w:r>
      <w:r>
        <w:rPr>
          <w:rFonts w:hint="eastAsia" w:ascii="仿宋_GB2312" w:hAnsi="仿宋_GB2312" w:eastAsia="仿宋_GB2312" w:cs="仿宋_GB2312"/>
          <w:color w:val="auto"/>
          <w:sz w:val="32"/>
          <w:szCs w:val="32"/>
          <w:lang w:eastAsia="zh-CN"/>
        </w:rPr>
        <w:t>俄热</w:t>
      </w:r>
      <w:r>
        <w:rPr>
          <w:rFonts w:hint="eastAsia" w:ascii="仿宋_GB2312" w:hAnsi="仿宋_GB2312" w:eastAsia="仿宋_GB2312" w:cs="仿宋_GB2312"/>
          <w:color w:val="auto"/>
          <w:sz w:val="32"/>
          <w:szCs w:val="32"/>
        </w:rPr>
        <w:t>乡人民政府20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年年初在职</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人，其中行政人员1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人，行政工勤</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人，事业</w:t>
      </w:r>
      <w:r>
        <w:rPr>
          <w:rFonts w:hint="eastAsia" w:ascii="仿宋_GB2312" w:hAnsi="仿宋_GB2312" w:eastAsia="仿宋_GB2312" w:cs="仿宋_GB2312"/>
          <w:color w:val="auto"/>
          <w:sz w:val="32"/>
          <w:szCs w:val="32"/>
          <w:lang w:val="en-US" w:eastAsia="zh-CN"/>
        </w:rPr>
        <w:t>工勤1人，事业管理4</w:t>
      </w:r>
      <w:r>
        <w:rPr>
          <w:rFonts w:hint="eastAsia" w:ascii="仿宋_GB2312" w:hAnsi="仿宋_GB2312" w:eastAsia="仿宋_GB2312" w:cs="仿宋_GB2312"/>
          <w:color w:val="auto"/>
          <w:sz w:val="32"/>
          <w:szCs w:val="32"/>
        </w:rPr>
        <w:t>人；20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年年末在职2</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人，其中行政人员</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人，行政工勤</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人，事业</w:t>
      </w:r>
      <w:r>
        <w:rPr>
          <w:rFonts w:hint="eastAsia" w:ascii="仿宋_GB2312" w:hAnsi="仿宋_GB2312" w:eastAsia="仿宋_GB2312" w:cs="仿宋_GB2312"/>
          <w:color w:val="auto"/>
          <w:sz w:val="32"/>
          <w:szCs w:val="32"/>
          <w:lang w:val="en-US" w:eastAsia="zh-CN"/>
        </w:rPr>
        <w:t>工勤1</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事业管理5人，事业专辑4人</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年1-6月独立编制单位机构数为1个，财政供养人员编制为</w:t>
      </w:r>
      <w:r>
        <w:rPr>
          <w:rFonts w:hint="eastAsia" w:ascii="仿宋_GB2312" w:hAnsi="仿宋_GB2312" w:eastAsia="仿宋_GB2312" w:cs="仿宋_GB2312"/>
          <w:color w:val="auto"/>
          <w:sz w:val="32"/>
          <w:szCs w:val="32"/>
          <w:lang w:val="en-US" w:eastAsia="zh-CN"/>
        </w:rPr>
        <w:t>36</w:t>
      </w:r>
      <w:r>
        <w:rPr>
          <w:rFonts w:hint="eastAsia" w:ascii="仿宋_GB2312" w:hAnsi="仿宋_GB2312" w:eastAsia="仿宋_GB2312" w:cs="仿宋_GB2312"/>
          <w:color w:val="auto"/>
          <w:sz w:val="32"/>
          <w:szCs w:val="32"/>
        </w:rPr>
        <w:t>名，其中行政编制</w:t>
      </w: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名，</w:t>
      </w:r>
      <w:r>
        <w:rPr>
          <w:rFonts w:hint="eastAsia" w:ascii="仿宋_GB2312" w:hAnsi="仿宋_GB2312" w:eastAsia="仿宋_GB2312" w:cs="仿宋_GB2312"/>
          <w:color w:val="auto"/>
          <w:sz w:val="32"/>
          <w:szCs w:val="32"/>
          <w:lang w:val="en-US" w:eastAsia="zh-CN"/>
        </w:rPr>
        <w:t>寺管所编制1名，</w:t>
      </w:r>
      <w:r>
        <w:rPr>
          <w:rFonts w:hint="eastAsia" w:ascii="仿宋_GB2312" w:hAnsi="仿宋_GB2312" w:eastAsia="仿宋_GB2312" w:cs="仿宋_GB2312"/>
          <w:color w:val="auto"/>
          <w:sz w:val="32"/>
          <w:szCs w:val="32"/>
        </w:rPr>
        <w:t>行政工勤编制</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名，事业编制</w:t>
      </w: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rPr>
        <w:t>名（其中参照公务员法管理人员编制0人）；20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 xml:space="preserve">年1-6月实际财政供养人员 </w:t>
      </w:r>
      <w:r>
        <w:rPr>
          <w:rFonts w:hint="eastAsia" w:ascii="仿宋_GB2312" w:hAnsi="仿宋_GB2312" w:eastAsia="仿宋_GB2312" w:cs="仿宋_GB2312"/>
          <w:color w:val="auto"/>
          <w:sz w:val="32"/>
          <w:szCs w:val="32"/>
          <w:lang w:val="en-US" w:eastAsia="zh-CN"/>
        </w:rPr>
        <w:t>27</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b w:val="0"/>
          <w:bCs w:val="0"/>
          <w:color w:val="auto"/>
          <w:sz w:val="32"/>
          <w:szCs w:val="32"/>
        </w:rPr>
        <w:t>其中：行政</w:t>
      </w:r>
      <w:r>
        <w:rPr>
          <w:rFonts w:hint="eastAsia" w:ascii="仿宋_GB2312" w:hAnsi="仿宋_GB2312" w:eastAsia="仿宋_GB2312" w:cs="仿宋_GB2312"/>
          <w:b w:val="0"/>
          <w:bCs w:val="0"/>
          <w:color w:val="auto"/>
          <w:sz w:val="32"/>
          <w:szCs w:val="32"/>
          <w:lang w:val="en-US" w:eastAsia="zh-CN"/>
        </w:rPr>
        <w:t>15</w:t>
      </w:r>
      <w:r>
        <w:rPr>
          <w:rFonts w:hint="eastAsia" w:ascii="仿宋_GB2312" w:hAnsi="仿宋_GB2312" w:eastAsia="仿宋_GB2312" w:cs="仿宋_GB2312"/>
          <w:b w:val="0"/>
          <w:bCs w:val="0"/>
          <w:color w:val="auto"/>
          <w:sz w:val="32"/>
          <w:szCs w:val="32"/>
        </w:rPr>
        <w:t>人，</w:t>
      </w:r>
      <w:r>
        <w:rPr>
          <w:rFonts w:hint="eastAsia" w:ascii="仿宋_GB2312" w:hAnsi="仿宋_GB2312" w:eastAsia="仿宋_GB2312" w:cs="仿宋_GB2312"/>
          <w:b w:val="0"/>
          <w:bCs w:val="0"/>
          <w:color w:val="auto"/>
          <w:sz w:val="32"/>
          <w:szCs w:val="32"/>
          <w:lang w:val="en-US" w:eastAsia="zh-CN"/>
        </w:rPr>
        <w:t>寺管所1人，</w:t>
      </w:r>
      <w:r>
        <w:rPr>
          <w:rFonts w:hint="eastAsia" w:ascii="仿宋_GB2312" w:hAnsi="仿宋_GB2312" w:eastAsia="仿宋_GB2312" w:cs="仿宋_GB2312"/>
          <w:b w:val="0"/>
          <w:bCs w:val="0"/>
          <w:color w:val="auto"/>
          <w:sz w:val="32"/>
          <w:szCs w:val="32"/>
        </w:rPr>
        <w:t>行政工勤</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人， 事业</w:t>
      </w:r>
      <w:r>
        <w:rPr>
          <w:rFonts w:hint="eastAsia" w:ascii="仿宋_GB2312" w:hAnsi="仿宋_GB2312" w:eastAsia="仿宋_GB2312" w:cs="仿宋_GB2312"/>
          <w:b w:val="0"/>
          <w:bCs w:val="0"/>
          <w:color w:val="auto"/>
          <w:sz w:val="32"/>
          <w:szCs w:val="32"/>
          <w:lang w:val="en-US" w:eastAsia="zh-CN"/>
        </w:rPr>
        <w:t>10</w:t>
      </w:r>
      <w:r>
        <w:rPr>
          <w:rFonts w:hint="eastAsia" w:ascii="仿宋_GB2312" w:hAnsi="仿宋_GB2312" w:eastAsia="仿宋_GB2312" w:cs="仿宋_GB2312"/>
          <w:b w:val="0"/>
          <w:bCs w:val="0"/>
          <w:color w:val="auto"/>
          <w:sz w:val="32"/>
          <w:szCs w:val="32"/>
        </w:rPr>
        <w:t>人</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rPr>
        <w:t>较上年</w:t>
      </w:r>
      <w:r>
        <w:rPr>
          <w:rFonts w:hint="eastAsia" w:ascii="仿宋_GB2312" w:hAnsi="仿宋_GB2312" w:eastAsia="仿宋_GB2312" w:cs="仿宋_GB2312"/>
          <w:color w:val="auto"/>
          <w:sz w:val="32"/>
          <w:szCs w:val="32"/>
          <w:lang w:val="en-US" w:eastAsia="zh-CN"/>
        </w:rPr>
        <w:t>增加2</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w:t>
      </w:r>
      <w:r>
        <w:rPr>
          <w:rFonts w:hint="eastAsia" w:ascii="仿宋_GB2312" w:hAnsi="仿宋" w:eastAsia="仿宋_GB2312"/>
          <w:color w:val="auto"/>
          <w:sz w:val="32"/>
          <w:szCs w:val="32"/>
          <w:lang w:val="en-US" w:eastAsia="zh-CN"/>
        </w:rPr>
        <w:t>主要原因是机构改革，人员增加，三站人员编制下划给乡镇</w:t>
      </w:r>
      <w:r>
        <w:rPr>
          <w:rFonts w:hint="eastAsia" w:ascii="仿宋_GB2312" w:hAnsi="仿宋" w:eastAsia="仿宋_GB2312"/>
          <w:color w:val="auto"/>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二、部门财政资金收支情况</w:t>
      </w:r>
    </w:p>
    <w:p>
      <w:pPr>
        <w:keepNext w:val="0"/>
        <w:keepLines w:val="0"/>
        <w:pageBreakBefore w:val="0"/>
        <w:kinsoku/>
        <w:wordWrap/>
        <w:overflowPunct/>
        <w:topLinePunct w:val="0"/>
        <w:autoSpaceDE/>
        <w:autoSpaceDN/>
        <w:bidi w:val="0"/>
        <w:snapToGrid w:val="0"/>
        <w:spacing w:line="54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color w:val="000000"/>
          <w:sz w:val="32"/>
          <w:szCs w:val="32"/>
          <w:lang w:val="zh-CN"/>
        </w:rPr>
        <w:t>（一）</w:t>
      </w: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eastAsia="zh-CN"/>
        </w:rPr>
        <w:t>俄热</w:t>
      </w:r>
      <w:r>
        <w:rPr>
          <w:rFonts w:hint="eastAsia" w:ascii="仿宋_GB2312" w:hAnsi="仿宋_GB2312" w:eastAsia="仿宋_GB2312" w:cs="仿宋_GB2312"/>
          <w:bCs/>
          <w:sz w:val="32"/>
          <w:szCs w:val="32"/>
        </w:rPr>
        <w:t>乡本年收入合计</w:t>
      </w:r>
      <w:r>
        <w:rPr>
          <w:rFonts w:hint="eastAsia" w:ascii="仿宋_GB2312" w:eastAsia="仿宋_GB2312"/>
          <w:color w:val="000000"/>
          <w:spacing w:val="-2"/>
          <w:sz w:val="32"/>
          <w:szCs w:val="32"/>
        </w:rPr>
        <w:t>1138.57</w:t>
      </w:r>
      <w:r>
        <w:rPr>
          <w:rFonts w:hint="eastAsia" w:ascii="仿宋_GB2312" w:hAnsi="仿宋_GB2312" w:eastAsia="仿宋_GB2312" w:cs="仿宋_GB2312"/>
          <w:bCs/>
          <w:sz w:val="32"/>
          <w:szCs w:val="32"/>
        </w:rPr>
        <w:t>万元，其中：一般公共预算财政拨款收入</w:t>
      </w:r>
      <w:r>
        <w:rPr>
          <w:rFonts w:hint="eastAsia" w:ascii="仿宋_GB2312" w:eastAsia="仿宋_GB2312"/>
          <w:color w:val="000000"/>
          <w:spacing w:val="-2"/>
          <w:sz w:val="32"/>
          <w:szCs w:val="32"/>
        </w:rPr>
        <w:t>1138.57</w:t>
      </w:r>
      <w:r>
        <w:rPr>
          <w:rFonts w:hint="eastAsia" w:ascii="仿宋_GB2312" w:hAnsi="仿宋_GB2312" w:eastAsia="仿宋_GB2312" w:cs="仿宋_GB2312"/>
          <w:bCs/>
          <w:sz w:val="32"/>
          <w:szCs w:val="32"/>
        </w:rPr>
        <w:t>万元，占100%；政府性基金预算财政拨款收入0元，占0%；国有资本经营预算财政拨款收入0万元，占0%；事业收入0万元，占0%；经营收入0万元，占0%；附属单位上缴收入0万元，占0%；其他</w:t>
      </w:r>
      <w:r>
        <w:rPr>
          <w:rFonts w:hint="eastAsia" w:ascii="仿宋_GB2312" w:hAnsi="仿宋_GB2312" w:eastAsia="仿宋_GB2312" w:cs="仿宋_GB2312"/>
          <w:bCs/>
          <w:color w:val="auto"/>
          <w:sz w:val="32"/>
          <w:szCs w:val="32"/>
        </w:rPr>
        <w:t>收入0万元，占0%。</w:t>
      </w:r>
    </w:p>
    <w:p>
      <w:pPr>
        <w:keepNext w:val="0"/>
        <w:keepLines w:val="0"/>
        <w:pageBreakBefore w:val="0"/>
        <w:kinsoku/>
        <w:wordWrap/>
        <w:overflowPunct/>
        <w:topLinePunct w:val="0"/>
        <w:autoSpaceDE/>
        <w:autoSpaceDN/>
        <w:bidi w:val="0"/>
        <w:snapToGrid w:val="0"/>
        <w:spacing w:line="540" w:lineRule="exact"/>
        <w:ind w:firstLine="640" w:firstLineChars="200"/>
        <w:textAlignment w:val="auto"/>
        <w:rPr>
          <w:rFonts w:hint="eastAsia"/>
          <w:color w:val="auto"/>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年1-6月收入合计</w:t>
      </w:r>
      <w:r>
        <w:rPr>
          <w:rFonts w:hint="eastAsia" w:ascii="仿宋_GB2312" w:hAnsi="仿宋_GB2312" w:eastAsia="仿宋_GB2312" w:cs="仿宋_GB2312"/>
          <w:bCs/>
          <w:color w:val="auto"/>
          <w:sz w:val="32"/>
          <w:szCs w:val="32"/>
          <w:lang w:val="en-US" w:eastAsia="zh-CN"/>
        </w:rPr>
        <w:t>355.12</w:t>
      </w:r>
      <w:r>
        <w:rPr>
          <w:rFonts w:hint="eastAsia" w:ascii="仿宋_GB2312" w:hAnsi="仿宋_GB2312" w:eastAsia="仿宋_GB2312" w:cs="仿宋_GB2312"/>
          <w:bCs/>
          <w:color w:val="auto"/>
          <w:sz w:val="32"/>
          <w:szCs w:val="32"/>
        </w:rPr>
        <w:t>万元，其中：一般公共预算财政拨款收入</w:t>
      </w:r>
      <w:r>
        <w:rPr>
          <w:rFonts w:hint="eastAsia" w:ascii="仿宋_GB2312" w:hAnsi="仿宋_GB2312" w:eastAsia="仿宋_GB2312" w:cs="仿宋_GB2312"/>
          <w:bCs/>
          <w:color w:val="auto"/>
          <w:sz w:val="32"/>
          <w:szCs w:val="32"/>
          <w:lang w:val="en-US" w:eastAsia="zh-CN"/>
        </w:rPr>
        <w:t>355.12</w:t>
      </w:r>
      <w:r>
        <w:rPr>
          <w:rFonts w:hint="eastAsia" w:ascii="仿宋_GB2312" w:hAnsi="仿宋_GB2312" w:eastAsia="仿宋_GB2312" w:cs="仿宋_GB2312"/>
          <w:bCs/>
          <w:color w:val="auto"/>
          <w:sz w:val="32"/>
          <w:szCs w:val="32"/>
        </w:rPr>
        <w:t>万元。</w:t>
      </w:r>
    </w:p>
    <w:p>
      <w:pPr>
        <w:snapToGrid w:val="0"/>
        <w:spacing w:line="52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_GB2312" w:eastAsia="仿宋_GB2312" w:cs="仿宋_GB2312"/>
          <w:color w:val="auto"/>
          <w:sz w:val="32"/>
          <w:szCs w:val="32"/>
          <w:lang w:val="zh-CN"/>
        </w:rPr>
        <w:t>（二）</w:t>
      </w:r>
      <w:r>
        <w:rPr>
          <w:rFonts w:hint="eastAsia" w:ascii="仿宋_GB2312" w:hAnsi="仿宋_GB2312" w:eastAsia="仿宋_GB2312" w:cs="仿宋_GB2312"/>
          <w:bCs/>
          <w:color w:val="auto"/>
          <w:sz w:val="32"/>
          <w:szCs w:val="32"/>
        </w:rPr>
        <w:t>20</w:t>
      </w:r>
      <w:r>
        <w:rPr>
          <w:rFonts w:hint="eastAsia" w:ascii="仿宋_GB2312" w:hAnsi="仿宋_GB2312" w:eastAsia="仿宋_GB2312" w:cs="仿宋_GB2312"/>
          <w:bCs/>
          <w:color w:val="auto"/>
          <w:sz w:val="32"/>
          <w:szCs w:val="32"/>
          <w:lang w:val="en-US" w:eastAsia="zh-CN"/>
        </w:rPr>
        <w:t>20</w:t>
      </w:r>
      <w:r>
        <w:rPr>
          <w:rFonts w:hint="eastAsia" w:ascii="仿宋_GB2312" w:hAnsi="仿宋_GB2312" w:eastAsia="仿宋_GB2312" w:cs="仿宋_GB2312"/>
          <w:bCs/>
          <w:color w:val="auto"/>
          <w:sz w:val="32"/>
          <w:szCs w:val="32"/>
        </w:rPr>
        <w:t>年一般公共预算财政拨款支出</w:t>
      </w:r>
      <w:r>
        <w:rPr>
          <w:rFonts w:hint="default" w:ascii="仿宋_GB2312" w:hAnsi="仿宋" w:eastAsia="仿宋_GB2312" w:cs="Times New Roman"/>
          <w:color w:val="auto"/>
          <w:kern w:val="2"/>
          <w:sz w:val="32"/>
          <w:szCs w:val="32"/>
          <w:shd w:val="clear" w:fill="FFFFFF"/>
        </w:rPr>
        <w:t>652.59</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sz w:val="32"/>
          <w:szCs w:val="32"/>
        </w:rPr>
        <w:t>主要用于以下方面</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其中</w:t>
      </w:r>
      <w:r>
        <w:rPr>
          <w:rFonts w:hint="eastAsia" w:ascii="仿宋_GB2312" w:hAnsi="仿宋" w:eastAsia="仿宋_GB2312"/>
          <w:color w:val="000000"/>
          <w:sz w:val="32"/>
          <w:szCs w:val="32"/>
          <w:lang w:val="en-US" w:eastAsia="zh-CN"/>
        </w:rPr>
        <w:t>一般公共服务支出为278.78万元，占</w:t>
      </w:r>
      <w:r>
        <w:rPr>
          <w:rFonts w:hint="eastAsia" w:ascii="仿宋_GB2312" w:hAnsi="仿宋" w:eastAsia="仿宋_GB2312"/>
          <w:color w:val="auto"/>
          <w:sz w:val="32"/>
          <w:szCs w:val="32"/>
          <w:lang w:val="en-US" w:eastAsia="zh-CN"/>
        </w:rPr>
        <w:t>42.72%</w:t>
      </w:r>
      <w:r>
        <w:rPr>
          <w:rFonts w:hint="eastAsia" w:ascii="仿宋_GB2312" w:hAnsi="仿宋" w:eastAsia="仿宋_GB2312"/>
          <w:color w:val="000000"/>
          <w:sz w:val="32"/>
          <w:szCs w:val="32"/>
          <w:lang w:val="en-US" w:eastAsia="zh-CN"/>
        </w:rPr>
        <w:t>；社会保障和就业支出为51.47万元，占</w:t>
      </w:r>
      <w:r>
        <w:rPr>
          <w:rFonts w:hint="eastAsia" w:ascii="仿宋_GB2312" w:hAnsi="仿宋" w:eastAsia="仿宋_GB2312"/>
          <w:color w:val="auto"/>
          <w:sz w:val="32"/>
          <w:szCs w:val="32"/>
          <w:lang w:val="en-US" w:eastAsia="zh-CN"/>
        </w:rPr>
        <w:t>7.9%；</w:t>
      </w:r>
      <w:r>
        <w:rPr>
          <w:rFonts w:hint="eastAsia" w:ascii="仿宋_GB2312" w:hAnsi="仿宋" w:eastAsia="仿宋_GB2312"/>
          <w:color w:val="000000"/>
          <w:sz w:val="32"/>
          <w:szCs w:val="32"/>
          <w:lang w:val="en-US" w:eastAsia="zh-CN"/>
        </w:rPr>
        <w:t>卫生健康支出为32.72万元，</w:t>
      </w:r>
      <w:r>
        <w:rPr>
          <w:rFonts w:hint="eastAsia" w:ascii="仿宋_GB2312" w:hAnsi="仿宋" w:eastAsia="仿宋_GB2312"/>
          <w:color w:val="auto"/>
          <w:sz w:val="32"/>
          <w:szCs w:val="32"/>
          <w:lang w:val="en-US" w:eastAsia="zh-CN"/>
        </w:rPr>
        <w:t>占5.01%</w:t>
      </w:r>
      <w:r>
        <w:rPr>
          <w:rFonts w:hint="eastAsia" w:ascii="仿宋_GB2312" w:hAnsi="仿宋" w:eastAsia="仿宋_GB2312"/>
          <w:color w:val="000000"/>
          <w:sz w:val="32"/>
          <w:szCs w:val="32"/>
          <w:lang w:val="en-US" w:eastAsia="zh-CN"/>
        </w:rPr>
        <w:t>；农林水支出为208.72万元，占</w:t>
      </w:r>
      <w:r>
        <w:rPr>
          <w:rFonts w:hint="eastAsia" w:ascii="仿宋_GB2312" w:hAnsi="仿宋" w:eastAsia="仿宋_GB2312"/>
          <w:color w:val="auto"/>
          <w:sz w:val="32"/>
          <w:szCs w:val="32"/>
          <w:lang w:val="en-US" w:eastAsia="zh-CN"/>
        </w:rPr>
        <w:t>31.98%</w:t>
      </w:r>
      <w:r>
        <w:rPr>
          <w:rFonts w:hint="eastAsia" w:ascii="仿宋_GB2312" w:hAnsi="仿宋" w:eastAsia="仿宋_GB2312"/>
          <w:color w:val="000000"/>
          <w:sz w:val="32"/>
          <w:szCs w:val="32"/>
          <w:lang w:val="en-US" w:eastAsia="zh-CN"/>
        </w:rPr>
        <w:t>；住房保障支出34.68万元，占</w:t>
      </w:r>
      <w:r>
        <w:rPr>
          <w:rFonts w:hint="eastAsia" w:ascii="仿宋_GB2312" w:hAnsi="仿宋" w:eastAsia="仿宋_GB2312"/>
          <w:color w:val="auto"/>
          <w:sz w:val="32"/>
          <w:szCs w:val="32"/>
          <w:lang w:val="en-US" w:eastAsia="zh-CN"/>
        </w:rPr>
        <w:t>5.31%</w:t>
      </w:r>
      <w:r>
        <w:rPr>
          <w:rFonts w:hint="eastAsia" w:ascii="仿宋_GB2312" w:hAnsi="仿宋" w:eastAsia="仿宋_GB2312"/>
          <w:color w:val="000000"/>
          <w:sz w:val="32"/>
          <w:szCs w:val="32"/>
          <w:lang w:val="en-US" w:eastAsia="zh-CN"/>
        </w:rPr>
        <w:t>；其他支出为46.23万元，占7.08%。</w:t>
      </w:r>
    </w:p>
    <w:p>
      <w:pPr>
        <w:snapToGrid w:val="0"/>
        <w:spacing w:line="52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color w:val="000000"/>
          <w:sz w:val="32"/>
          <w:szCs w:val="32"/>
        </w:rPr>
        <w:t>其中：</w:t>
      </w:r>
      <w:r>
        <w:rPr>
          <w:rFonts w:hint="eastAsia" w:ascii="仿宋_GB2312" w:hAnsi="仿宋" w:eastAsia="仿宋_GB2312"/>
          <w:color w:val="000000"/>
          <w:sz w:val="32"/>
          <w:szCs w:val="32"/>
          <w:lang w:val="en-US" w:eastAsia="zh-CN"/>
        </w:rPr>
        <w:t>人员经费支出424.53万元，</w:t>
      </w:r>
      <w:r>
        <w:rPr>
          <w:rFonts w:hint="eastAsia" w:ascii="仿宋_GB2312" w:eastAsia="仿宋_GB2312"/>
          <w:color w:val="000000"/>
          <w:sz w:val="32"/>
          <w:szCs w:val="32"/>
        </w:rPr>
        <w:t>主要包括：基本工资</w:t>
      </w:r>
      <w:r>
        <w:rPr>
          <w:rFonts w:hint="eastAsia" w:ascii="仿宋_GB2312" w:eastAsia="仿宋_GB2312"/>
          <w:color w:val="000000"/>
          <w:sz w:val="32"/>
          <w:szCs w:val="32"/>
          <w:lang w:val="en-US" w:eastAsia="zh-CN"/>
        </w:rPr>
        <w:t>77.70</w:t>
      </w:r>
      <w:r>
        <w:rPr>
          <w:rFonts w:hint="eastAsia" w:ascii="仿宋_GB2312" w:eastAsia="仿宋_GB2312"/>
          <w:color w:val="000000"/>
          <w:sz w:val="32"/>
          <w:szCs w:val="32"/>
        </w:rPr>
        <w:t>万元、津贴补贴</w:t>
      </w:r>
      <w:r>
        <w:rPr>
          <w:rFonts w:hint="eastAsia" w:ascii="仿宋_GB2312" w:eastAsia="仿宋_GB2312"/>
          <w:color w:val="000000"/>
          <w:sz w:val="32"/>
          <w:szCs w:val="32"/>
          <w:lang w:val="en-US" w:eastAsia="zh-CN"/>
        </w:rPr>
        <w:t>135.63</w:t>
      </w:r>
      <w:r>
        <w:rPr>
          <w:rFonts w:hint="eastAsia" w:ascii="仿宋_GB2312" w:eastAsia="仿宋_GB2312"/>
          <w:color w:val="000000"/>
          <w:sz w:val="32"/>
          <w:szCs w:val="32"/>
        </w:rPr>
        <w:t>万元、奖金</w:t>
      </w:r>
      <w:r>
        <w:rPr>
          <w:rFonts w:hint="eastAsia" w:ascii="仿宋_GB2312" w:eastAsia="仿宋_GB2312"/>
          <w:color w:val="000000"/>
          <w:sz w:val="32"/>
          <w:szCs w:val="32"/>
          <w:lang w:val="en-US" w:eastAsia="zh-CN"/>
        </w:rPr>
        <w:t>6.48</w:t>
      </w:r>
      <w:r>
        <w:rPr>
          <w:rFonts w:hint="eastAsia" w:ascii="仿宋_GB2312" w:eastAsia="仿宋_GB2312"/>
          <w:color w:val="000000"/>
          <w:sz w:val="32"/>
          <w:szCs w:val="32"/>
        </w:rPr>
        <w:t>万元、绩效工资</w:t>
      </w:r>
      <w:r>
        <w:rPr>
          <w:rFonts w:hint="eastAsia" w:ascii="仿宋_GB2312" w:eastAsia="仿宋_GB2312"/>
          <w:color w:val="000000"/>
          <w:sz w:val="32"/>
          <w:szCs w:val="32"/>
          <w:lang w:val="en-US" w:eastAsia="zh-CN"/>
        </w:rPr>
        <w:t>16.45</w:t>
      </w:r>
      <w:r>
        <w:rPr>
          <w:rFonts w:hint="eastAsia" w:ascii="仿宋_GB2312" w:eastAsia="仿宋_GB2312"/>
          <w:color w:val="000000"/>
          <w:sz w:val="32"/>
          <w:szCs w:val="32"/>
        </w:rPr>
        <w:t>万元、机关事业单位基本养老保险缴费</w:t>
      </w:r>
      <w:r>
        <w:rPr>
          <w:rFonts w:hint="eastAsia" w:ascii="仿宋_GB2312" w:eastAsia="仿宋_GB2312"/>
          <w:color w:val="000000"/>
          <w:sz w:val="32"/>
          <w:szCs w:val="32"/>
          <w:lang w:val="en-US" w:eastAsia="zh-CN"/>
        </w:rPr>
        <w:t>30.98</w:t>
      </w:r>
      <w:r>
        <w:rPr>
          <w:rFonts w:hint="eastAsia" w:ascii="仿宋_GB2312" w:eastAsia="仿宋_GB2312"/>
          <w:color w:val="000000"/>
          <w:sz w:val="32"/>
          <w:szCs w:val="32"/>
        </w:rPr>
        <w:t>万元、职业年金缴费</w:t>
      </w:r>
      <w:r>
        <w:rPr>
          <w:rFonts w:hint="eastAsia" w:ascii="仿宋_GB2312" w:eastAsia="仿宋_GB2312"/>
          <w:color w:val="000000"/>
          <w:sz w:val="32"/>
          <w:szCs w:val="32"/>
          <w:lang w:val="en-US" w:eastAsia="zh-CN"/>
        </w:rPr>
        <w:t>15.49</w:t>
      </w:r>
      <w:r>
        <w:rPr>
          <w:rFonts w:hint="eastAsia" w:ascii="仿宋_GB2312" w:eastAsia="仿宋_GB2312"/>
          <w:color w:val="000000"/>
          <w:sz w:val="32"/>
          <w:szCs w:val="32"/>
        </w:rPr>
        <w:t>万元、其他社会保障缴费</w:t>
      </w:r>
      <w:r>
        <w:rPr>
          <w:rFonts w:hint="eastAsia" w:ascii="仿宋_GB2312" w:eastAsia="仿宋_GB2312"/>
          <w:color w:val="000000"/>
          <w:sz w:val="32"/>
          <w:szCs w:val="32"/>
          <w:lang w:val="en-US" w:eastAsia="zh-CN"/>
        </w:rPr>
        <w:t>2.82</w:t>
      </w:r>
      <w:r>
        <w:rPr>
          <w:rFonts w:hint="eastAsia" w:ascii="仿宋_GB2312" w:eastAsia="仿宋_GB2312"/>
          <w:color w:val="000000"/>
          <w:sz w:val="32"/>
          <w:szCs w:val="32"/>
        </w:rPr>
        <w:t>万元、住房公积金</w:t>
      </w:r>
      <w:r>
        <w:rPr>
          <w:rFonts w:hint="eastAsia" w:ascii="仿宋_GB2312" w:eastAsia="仿宋_GB2312"/>
          <w:color w:val="000000"/>
          <w:sz w:val="32"/>
          <w:szCs w:val="32"/>
          <w:lang w:val="en-US" w:eastAsia="zh-CN"/>
        </w:rPr>
        <w:t>34.68</w:t>
      </w:r>
      <w:r>
        <w:rPr>
          <w:rFonts w:hint="eastAsia" w:ascii="仿宋_GB2312" w:eastAsia="仿宋_GB2312"/>
          <w:color w:val="000000"/>
          <w:sz w:val="32"/>
          <w:szCs w:val="32"/>
        </w:rPr>
        <w:t>万元、职工基本医疗保险缴费</w:t>
      </w:r>
      <w:r>
        <w:rPr>
          <w:rFonts w:hint="eastAsia" w:ascii="仿宋_GB2312" w:eastAsia="仿宋_GB2312"/>
          <w:color w:val="000000"/>
          <w:sz w:val="32"/>
          <w:szCs w:val="32"/>
          <w:lang w:val="en-US" w:eastAsia="zh-CN"/>
        </w:rPr>
        <w:t>15.38万元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公务员医疗补助4.58万元、</w:t>
      </w:r>
      <w:r>
        <w:rPr>
          <w:rFonts w:hint="eastAsia" w:ascii="仿宋_GB2312" w:eastAsia="仿宋_GB2312"/>
          <w:color w:val="000000"/>
          <w:sz w:val="32"/>
          <w:szCs w:val="32"/>
        </w:rPr>
        <w:t>生活补助</w:t>
      </w:r>
      <w:r>
        <w:rPr>
          <w:rFonts w:hint="eastAsia" w:ascii="仿宋_GB2312" w:eastAsia="仿宋_GB2312"/>
          <w:color w:val="000000"/>
          <w:sz w:val="32"/>
          <w:szCs w:val="32"/>
          <w:lang w:val="en-US" w:eastAsia="zh-CN"/>
        </w:rPr>
        <w:t>1.40</w:t>
      </w:r>
      <w:r>
        <w:rPr>
          <w:rFonts w:hint="eastAsia" w:ascii="仿宋_GB2312" w:eastAsia="仿宋_GB2312"/>
          <w:color w:val="000000"/>
          <w:sz w:val="32"/>
          <w:szCs w:val="32"/>
        </w:rPr>
        <w:t>万元、奖励金</w:t>
      </w:r>
      <w:r>
        <w:rPr>
          <w:rFonts w:hint="eastAsia" w:ascii="仿宋_GB2312" w:eastAsia="仿宋_GB2312"/>
          <w:color w:val="000000"/>
          <w:sz w:val="32"/>
          <w:szCs w:val="32"/>
          <w:lang w:val="en-US" w:eastAsia="zh-CN"/>
        </w:rPr>
        <w:t>56.32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 w:eastAsia="仿宋_GB2312"/>
          <w:color w:val="000000"/>
          <w:sz w:val="32"/>
          <w:szCs w:val="32"/>
          <w:lang w:val="en-US" w:eastAsia="zh-CN"/>
        </w:rPr>
        <w:t>日常公用经费支出26.61万元，</w:t>
      </w:r>
      <w:r>
        <w:rPr>
          <w:rFonts w:hint="eastAsia" w:ascii="仿宋_GB2312" w:eastAsia="仿宋_GB2312"/>
          <w:color w:val="000000"/>
          <w:sz w:val="32"/>
          <w:szCs w:val="32"/>
        </w:rPr>
        <w:t>主要包括：办公费</w:t>
      </w:r>
      <w:r>
        <w:rPr>
          <w:rFonts w:hint="eastAsia" w:ascii="仿宋_GB2312" w:eastAsia="仿宋_GB2312"/>
          <w:color w:val="000000"/>
          <w:sz w:val="32"/>
          <w:szCs w:val="32"/>
          <w:lang w:val="en-US" w:eastAsia="zh-CN"/>
        </w:rPr>
        <w:t>5.26</w:t>
      </w:r>
      <w:r>
        <w:rPr>
          <w:rFonts w:hint="eastAsia" w:ascii="仿宋_GB2312" w:eastAsia="仿宋_GB2312"/>
          <w:color w:val="000000"/>
          <w:sz w:val="32"/>
          <w:szCs w:val="32"/>
        </w:rPr>
        <w:t>万元、印刷费</w:t>
      </w:r>
      <w:r>
        <w:rPr>
          <w:rFonts w:hint="eastAsia" w:ascii="仿宋_GB2312" w:eastAsia="仿宋_GB2312"/>
          <w:color w:val="000000"/>
          <w:sz w:val="32"/>
          <w:szCs w:val="32"/>
          <w:lang w:val="en-US" w:eastAsia="zh-CN"/>
        </w:rPr>
        <w:t>3.2</w:t>
      </w:r>
      <w:r>
        <w:rPr>
          <w:rFonts w:hint="eastAsia" w:ascii="仿宋_GB2312" w:eastAsia="仿宋_GB2312"/>
          <w:color w:val="000000"/>
          <w:sz w:val="32"/>
          <w:szCs w:val="32"/>
        </w:rPr>
        <w:t>万元、电费</w:t>
      </w:r>
      <w:r>
        <w:rPr>
          <w:rFonts w:hint="eastAsia" w:ascii="仿宋_GB2312" w:eastAsia="仿宋_GB2312"/>
          <w:color w:val="000000"/>
          <w:sz w:val="32"/>
          <w:szCs w:val="32"/>
          <w:lang w:val="en-US" w:eastAsia="zh-CN"/>
        </w:rPr>
        <w:t>1.78</w:t>
      </w:r>
      <w:r>
        <w:rPr>
          <w:rFonts w:hint="eastAsia" w:ascii="仿宋_GB2312" w:eastAsia="仿宋_GB2312"/>
          <w:color w:val="000000"/>
          <w:sz w:val="32"/>
          <w:szCs w:val="32"/>
        </w:rPr>
        <w:t>万元、邮电费</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万元、取暖费</w:t>
      </w:r>
      <w:r>
        <w:rPr>
          <w:rFonts w:hint="eastAsia" w:ascii="仿宋_GB2312" w:eastAsia="仿宋_GB2312"/>
          <w:color w:val="000000"/>
          <w:sz w:val="32"/>
          <w:szCs w:val="32"/>
          <w:lang w:val="en-US" w:eastAsia="zh-CN"/>
        </w:rPr>
        <w:t>0.81</w:t>
      </w:r>
      <w:r>
        <w:rPr>
          <w:rFonts w:hint="eastAsia" w:ascii="仿宋_GB2312" w:eastAsia="仿宋_GB2312"/>
          <w:color w:val="000000"/>
          <w:sz w:val="32"/>
          <w:szCs w:val="32"/>
        </w:rPr>
        <w:t>万元、差旅费</w:t>
      </w:r>
      <w:r>
        <w:rPr>
          <w:rFonts w:hint="eastAsia" w:ascii="仿宋_GB2312" w:eastAsia="仿宋_GB2312"/>
          <w:color w:val="000000"/>
          <w:sz w:val="32"/>
          <w:szCs w:val="32"/>
          <w:lang w:val="en-US" w:eastAsia="zh-CN"/>
        </w:rPr>
        <w:t>0.995</w:t>
      </w:r>
      <w:r>
        <w:rPr>
          <w:rFonts w:hint="eastAsia" w:ascii="仿宋_GB2312" w:eastAsia="仿宋_GB2312"/>
          <w:color w:val="000000"/>
          <w:sz w:val="32"/>
          <w:szCs w:val="32"/>
        </w:rPr>
        <w:t>万元、劳务费</w:t>
      </w:r>
      <w:r>
        <w:rPr>
          <w:rFonts w:hint="eastAsia" w:ascii="仿宋_GB2312" w:eastAsia="仿宋_GB2312"/>
          <w:color w:val="000000"/>
          <w:sz w:val="32"/>
          <w:szCs w:val="32"/>
          <w:lang w:val="en-US" w:eastAsia="zh-CN"/>
        </w:rPr>
        <w:t>5.92</w:t>
      </w:r>
      <w:r>
        <w:rPr>
          <w:rFonts w:hint="eastAsia" w:ascii="仿宋_GB2312" w:eastAsia="仿宋_GB2312"/>
          <w:color w:val="000000"/>
          <w:sz w:val="32"/>
          <w:szCs w:val="32"/>
        </w:rPr>
        <w:t>万元、公务用车运行维护费</w:t>
      </w:r>
      <w:r>
        <w:rPr>
          <w:rFonts w:hint="eastAsia" w:ascii="仿宋_GB2312" w:eastAsia="仿宋_GB2312"/>
          <w:color w:val="000000"/>
          <w:sz w:val="32"/>
          <w:szCs w:val="32"/>
          <w:lang w:val="en-US" w:eastAsia="zh-CN"/>
        </w:rPr>
        <w:t>6.65</w:t>
      </w:r>
      <w:r>
        <w:rPr>
          <w:rFonts w:hint="eastAsia" w:ascii="仿宋_GB2312" w:eastAsia="仿宋_GB2312"/>
          <w:color w:val="000000"/>
          <w:sz w:val="32"/>
          <w:szCs w:val="32"/>
        </w:rPr>
        <w:t>万元。</w:t>
      </w:r>
    </w:p>
    <w:p>
      <w:pPr>
        <w:snapToGrid w:val="0"/>
        <w:spacing w:line="520" w:lineRule="exact"/>
        <w:ind w:firstLine="640" w:firstLineChars="200"/>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项目支出228.06万元，</w:t>
      </w:r>
      <w:r>
        <w:rPr>
          <w:rFonts w:hint="eastAsia" w:ascii="仿宋_GB2312" w:eastAsia="仿宋_GB2312"/>
          <w:color w:val="000000"/>
          <w:sz w:val="32"/>
          <w:szCs w:val="32"/>
        </w:rPr>
        <w:t>主要包括：</w:t>
      </w:r>
      <w:r>
        <w:rPr>
          <w:rFonts w:hint="eastAsia" w:ascii="仿宋_GB2312" w:hAnsi="仿宋" w:eastAsia="仿宋_GB2312"/>
          <w:color w:val="000000"/>
          <w:sz w:val="32"/>
          <w:szCs w:val="32"/>
          <w:lang w:val="en-US" w:eastAsia="zh-CN"/>
        </w:rPr>
        <w:t>人大会议费0.6万元，人大代表工作经费1.90万元，防疫经费12.75万元，村级建制合村经费5万元，村级维护费办公费77万元</w:t>
      </w: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color w:val="000000"/>
          <w:sz w:val="32"/>
          <w:szCs w:val="32"/>
          <w:lang w:eastAsia="zh-CN"/>
        </w:rPr>
        <w:t>公共</w:t>
      </w:r>
      <w:r>
        <w:rPr>
          <w:rFonts w:hint="eastAsia" w:ascii="仿宋_GB2312" w:hAnsi="仿宋_GB2312" w:eastAsia="仿宋_GB2312" w:cs="仿宋_GB2312"/>
          <w:color w:val="000000"/>
          <w:sz w:val="32"/>
          <w:szCs w:val="32"/>
        </w:rPr>
        <w:t>运行维护费</w:t>
      </w:r>
      <w:r>
        <w:rPr>
          <w:rFonts w:hint="eastAsia" w:ascii="仿宋_GB2312" w:hAnsi="仿宋_GB2312" w:eastAsia="仿宋_GB2312" w:cs="仿宋_GB2312"/>
          <w:color w:val="000000"/>
          <w:sz w:val="32"/>
          <w:szCs w:val="32"/>
          <w:lang w:val="en-US" w:eastAsia="zh-CN"/>
        </w:rPr>
        <w:t>49</w:t>
      </w:r>
      <w:r>
        <w:rPr>
          <w:rFonts w:hint="eastAsia" w:ascii="仿宋_GB2312" w:hAnsi="仿宋_GB2312" w:eastAsia="仿宋_GB2312" w:cs="仿宋_GB2312"/>
          <w:color w:val="000000"/>
          <w:sz w:val="32"/>
          <w:szCs w:val="32"/>
        </w:rPr>
        <w:t>万元、基层党组织活动经费</w:t>
      </w: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万元、办公费</w:t>
      </w: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万元）</w:t>
      </w:r>
      <w:r>
        <w:rPr>
          <w:rFonts w:hint="eastAsia" w:ascii="仿宋_GB2312" w:hAnsi="仿宋" w:eastAsia="仿宋_GB2312"/>
          <w:color w:val="000000"/>
          <w:sz w:val="32"/>
          <w:szCs w:val="32"/>
          <w:lang w:val="en-US" w:eastAsia="zh-CN"/>
        </w:rPr>
        <w:t>，三老干部生活补助0.48万元。</w:t>
      </w:r>
    </w:p>
    <w:p>
      <w:pPr>
        <w:snapToGrid w:val="0"/>
        <w:spacing w:line="520" w:lineRule="exact"/>
        <w:ind w:firstLine="640" w:firstLineChars="200"/>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二楷跨河桥电站项目44.01万元，依斗村新建日俄后山至柏英牧道项目1.73万元。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年1-6月财政总支出为</w:t>
      </w:r>
      <w:r>
        <w:rPr>
          <w:rFonts w:hint="eastAsia" w:ascii="仿宋_GB2312" w:hAnsi="仿宋_GB2312" w:eastAsia="仿宋_GB2312" w:cs="仿宋_GB2312"/>
          <w:color w:val="auto"/>
          <w:sz w:val="32"/>
          <w:szCs w:val="32"/>
          <w:lang w:val="en-US" w:eastAsia="zh-CN"/>
        </w:rPr>
        <w:t>355.12</w:t>
      </w:r>
      <w:r>
        <w:rPr>
          <w:rFonts w:hint="eastAsia" w:ascii="仿宋_GB2312" w:hAnsi="仿宋_GB2312" w:eastAsia="仿宋_GB2312" w:cs="仿宋_GB2312"/>
          <w:color w:val="auto"/>
          <w:sz w:val="32"/>
          <w:szCs w:val="32"/>
        </w:rPr>
        <w:t>万元，其中：</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人员经费</w:t>
      </w:r>
      <w:r>
        <w:rPr>
          <w:rFonts w:hint="eastAsia" w:ascii="仿宋_GB2312" w:hAnsi="仿宋_GB2312" w:eastAsia="仿宋_GB2312" w:cs="仿宋_GB2312"/>
          <w:color w:val="auto"/>
          <w:sz w:val="32"/>
          <w:szCs w:val="32"/>
          <w:lang w:val="en-US" w:eastAsia="zh-CN"/>
        </w:rPr>
        <w:t>257.87</w:t>
      </w:r>
      <w:r>
        <w:rPr>
          <w:rFonts w:hint="eastAsia" w:ascii="仿宋_GB2312" w:hAnsi="仿宋_GB2312" w:eastAsia="仿宋_GB2312" w:cs="仿宋_GB2312"/>
          <w:color w:val="auto"/>
          <w:sz w:val="32"/>
          <w:szCs w:val="32"/>
        </w:rPr>
        <w:t>万元，主要包括：基本工资</w:t>
      </w:r>
      <w:r>
        <w:rPr>
          <w:rFonts w:hint="eastAsia" w:ascii="仿宋_GB2312" w:hAnsi="仿宋_GB2312" w:eastAsia="仿宋_GB2312" w:cs="仿宋_GB2312"/>
          <w:color w:val="auto"/>
          <w:sz w:val="32"/>
          <w:szCs w:val="32"/>
          <w:lang w:val="en-US" w:eastAsia="zh-CN"/>
        </w:rPr>
        <w:t>44.04</w:t>
      </w:r>
      <w:r>
        <w:rPr>
          <w:rFonts w:hint="eastAsia" w:ascii="仿宋_GB2312" w:hAnsi="仿宋_GB2312" w:eastAsia="仿宋_GB2312" w:cs="仿宋_GB2312"/>
          <w:color w:val="auto"/>
          <w:sz w:val="32"/>
          <w:szCs w:val="32"/>
        </w:rPr>
        <w:t>万元、津贴补贴</w:t>
      </w:r>
      <w:r>
        <w:rPr>
          <w:rFonts w:hint="eastAsia" w:ascii="仿宋_GB2312" w:hAnsi="仿宋_GB2312" w:eastAsia="仿宋_GB2312" w:cs="仿宋_GB2312"/>
          <w:color w:val="auto"/>
          <w:sz w:val="32"/>
          <w:szCs w:val="32"/>
          <w:lang w:val="en-US" w:eastAsia="zh-CN"/>
        </w:rPr>
        <w:t>71.95</w:t>
      </w:r>
      <w:r>
        <w:rPr>
          <w:rFonts w:hint="eastAsia" w:ascii="仿宋_GB2312" w:hAnsi="仿宋_GB2312" w:eastAsia="仿宋_GB2312" w:cs="仿宋_GB2312"/>
          <w:color w:val="auto"/>
          <w:sz w:val="32"/>
          <w:szCs w:val="32"/>
        </w:rPr>
        <w:t>万元、绩效工资</w:t>
      </w:r>
      <w:r>
        <w:rPr>
          <w:rFonts w:hint="eastAsia" w:ascii="仿宋_GB2312" w:hAnsi="仿宋_GB2312" w:eastAsia="仿宋_GB2312" w:cs="仿宋_GB2312"/>
          <w:color w:val="auto"/>
          <w:sz w:val="32"/>
          <w:szCs w:val="32"/>
          <w:lang w:val="en-US" w:eastAsia="zh-CN"/>
        </w:rPr>
        <w:t>10.23</w:t>
      </w:r>
      <w:r>
        <w:rPr>
          <w:rFonts w:hint="eastAsia" w:ascii="仿宋_GB2312" w:hAnsi="仿宋_GB2312" w:eastAsia="仿宋_GB2312" w:cs="仿宋_GB2312"/>
          <w:color w:val="auto"/>
          <w:sz w:val="32"/>
          <w:szCs w:val="32"/>
        </w:rPr>
        <w:t>万元、机关事业单位基本养老保险缴费</w:t>
      </w:r>
      <w:r>
        <w:rPr>
          <w:rFonts w:hint="eastAsia" w:ascii="仿宋_GB2312" w:hAnsi="仿宋_GB2312" w:eastAsia="仿宋_GB2312" w:cs="仿宋_GB2312"/>
          <w:color w:val="auto"/>
          <w:sz w:val="32"/>
          <w:szCs w:val="32"/>
          <w:lang w:val="en-US" w:eastAsia="zh-CN"/>
        </w:rPr>
        <w:t>17.88</w:t>
      </w:r>
      <w:r>
        <w:rPr>
          <w:rFonts w:hint="eastAsia" w:ascii="仿宋_GB2312" w:hAnsi="仿宋_GB2312" w:eastAsia="仿宋_GB2312" w:cs="仿宋_GB2312"/>
          <w:color w:val="auto"/>
          <w:sz w:val="32"/>
          <w:szCs w:val="32"/>
        </w:rPr>
        <w:t>万元、职业年金缴费</w:t>
      </w:r>
      <w:r>
        <w:rPr>
          <w:rFonts w:hint="eastAsia" w:ascii="仿宋_GB2312" w:hAnsi="仿宋_GB2312" w:eastAsia="仿宋_GB2312" w:cs="仿宋_GB2312"/>
          <w:color w:val="auto"/>
          <w:sz w:val="32"/>
          <w:szCs w:val="32"/>
          <w:lang w:val="en-US" w:eastAsia="zh-CN"/>
        </w:rPr>
        <w:t>8.94</w:t>
      </w:r>
      <w:r>
        <w:rPr>
          <w:rFonts w:hint="eastAsia" w:ascii="仿宋_GB2312" w:hAnsi="仿宋_GB2312" w:eastAsia="仿宋_GB2312" w:cs="仿宋_GB2312"/>
          <w:color w:val="auto"/>
          <w:sz w:val="32"/>
          <w:szCs w:val="32"/>
        </w:rPr>
        <w:t>万元、职工基本医疗保险缴费</w:t>
      </w:r>
      <w:r>
        <w:rPr>
          <w:rFonts w:hint="eastAsia" w:ascii="仿宋_GB2312" w:hAnsi="仿宋_GB2312" w:eastAsia="仿宋_GB2312" w:cs="仿宋_GB2312"/>
          <w:color w:val="auto"/>
          <w:sz w:val="32"/>
          <w:szCs w:val="32"/>
          <w:lang w:val="en-US" w:eastAsia="zh-CN"/>
        </w:rPr>
        <w:t>9.08</w:t>
      </w:r>
      <w:r>
        <w:rPr>
          <w:rFonts w:hint="eastAsia" w:ascii="仿宋_GB2312" w:hAnsi="仿宋_GB2312" w:eastAsia="仿宋_GB2312" w:cs="仿宋_GB2312"/>
          <w:color w:val="auto"/>
          <w:sz w:val="32"/>
          <w:szCs w:val="32"/>
        </w:rPr>
        <w:t>万元、公务员医疗补助缴费</w:t>
      </w:r>
      <w:r>
        <w:rPr>
          <w:rFonts w:hint="eastAsia" w:ascii="仿宋_GB2312" w:hAnsi="仿宋_GB2312" w:eastAsia="仿宋_GB2312" w:cs="仿宋_GB2312"/>
          <w:color w:val="auto"/>
          <w:sz w:val="32"/>
          <w:szCs w:val="32"/>
          <w:lang w:val="en-US" w:eastAsia="zh-CN"/>
        </w:rPr>
        <w:t>2.80</w:t>
      </w:r>
      <w:r>
        <w:rPr>
          <w:rFonts w:hint="eastAsia" w:ascii="仿宋_GB2312" w:hAnsi="仿宋_GB2312" w:eastAsia="仿宋_GB2312" w:cs="仿宋_GB2312"/>
          <w:color w:val="auto"/>
          <w:sz w:val="32"/>
          <w:szCs w:val="32"/>
        </w:rPr>
        <w:t>万元、其他社会保障缴费0.</w:t>
      </w:r>
      <w:r>
        <w:rPr>
          <w:rFonts w:hint="eastAsia" w:ascii="仿宋_GB2312" w:hAnsi="仿宋_GB2312" w:eastAsia="仿宋_GB2312" w:cs="仿宋_GB2312"/>
          <w:color w:val="auto"/>
          <w:sz w:val="32"/>
          <w:szCs w:val="32"/>
          <w:lang w:val="en-US" w:eastAsia="zh-CN"/>
        </w:rPr>
        <w:t>53</w:t>
      </w:r>
      <w:r>
        <w:rPr>
          <w:rFonts w:hint="eastAsia" w:ascii="仿宋_GB2312" w:hAnsi="仿宋_GB2312" w:eastAsia="仿宋_GB2312" w:cs="仿宋_GB2312"/>
          <w:color w:val="auto"/>
          <w:sz w:val="32"/>
          <w:szCs w:val="32"/>
        </w:rPr>
        <w:t>万元、住房公积金</w:t>
      </w:r>
      <w:r>
        <w:rPr>
          <w:rFonts w:hint="eastAsia" w:ascii="仿宋_GB2312" w:hAnsi="仿宋_GB2312" w:eastAsia="仿宋_GB2312" w:cs="仿宋_GB2312"/>
          <w:color w:val="auto"/>
          <w:sz w:val="32"/>
          <w:szCs w:val="32"/>
          <w:lang w:val="en-US" w:eastAsia="zh-CN"/>
        </w:rPr>
        <w:t>18.97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、奖励金73.45万元</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autoSpaceDN/>
        <w:bidi w:val="0"/>
        <w:spacing w:line="54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　　公用经费</w:t>
      </w:r>
      <w:r>
        <w:rPr>
          <w:rFonts w:hint="eastAsia" w:ascii="仿宋_GB2312" w:hAnsi="仿宋_GB2312" w:eastAsia="仿宋_GB2312" w:cs="仿宋_GB2312"/>
          <w:color w:val="auto"/>
          <w:sz w:val="32"/>
          <w:szCs w:val="32"/>
          <w:lang w:val="en-US" w:eastAsia="zh-CN"/>
        </w:rPr>
        <w:t>45.55</w:t>
      </w:r>
      <w:r>
        <w:rPr>
          <w:rFonts w:hint="eastAsia" w:ascii="仿宋_GB2312" w:hAnsi="仿宋_GB2312" w:eastAsia="仿宋_GB2312" w:cs="仿宋_GB2312"/>
          <w:color w:val="auto"/>
          <w:sz w:val="32"/>
          <w:szCs w:val="32"/>
        </w:rPr>
        <w:t>万元，主要包括：办公费</w:t>
      </w:r>
      <w:r>
        <w:rPr>
          <w:rFonts w:hint="eastAsia" w:ascii="仿宋_GB2312" w:hAnsi="仿宋_GB2312" w:eastAsia="仿宋_GB2312" w:cs="仿宋_GB2312"/>
          <w:color w:val="auto"/>
          <w:sz w:val="32"/>
          <w:szCs w:val="32"/>
          <w:lang w:val="en-US" w:eastAsia="zh-CN"/>
        </w:rPr>
        <w:t>6.73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邮电费</w:t>
      </w:r>
      <w:r>
        <w:rPr>
          <w:rFonts w:hint="eastAsia" w:ascii="仿宋_GB2312" w:hAnsi="仿宋_GB2312" w:eastAsia="仿宋_GB2312" w:cs="仿宋_GB2312"/>
          <w:color w:val="auto"/>
          <w:sz w:val="32"/>
          <w:szCs w:val="32"/>
          <w:lang w:val="en-US" w:eastAsia="zh-CN"/>
        </w:rPr>
        <w:t>0.10</w:t>
      </w:r>
      <w:r>
        <w:rPr>
          <w:rFonts w:hint="eastAsia" w:ascii="仿宋_GB2312" w:hAnsi="仿宋_GB2312" w:eastAsia="仿宋_GB2312" w:cs="仿宋_GB2312"/>
          <w:color w:val="auto"/>
          <w:sz w:val="32"/>
          <w:szCs w:val="32"/>
        </w:rPr>
        <w:t>万元、差旅费</w:t>
      </w:r>
      <w:r>
        <w:rPr>
          <w:rFonts w:hint="eastAsia" w:ascii="仿宋_GB2312" w:hAnsi="仿宋_GB2312" w:eastAsia="仿宋_GB2312" w:cs="仿宋_GB2312"/>
          <w:color w:val="auto"/>
          <w:sz w:val="32"/>
          <w:szCs w:val="32"/>
          <w:lang w:val="en-US" w:eastAsia="zh-CN"/>
        </w:rPr>
        <w:t>1.79</w:t>
      </w:r>
      <w:r>
        <w:rPr>
          <w:rFonts w:hint="eastAsia" w:ascii="仿宋_GB2312" w:hAnsi="仿宋_GB2312" w:eastAsia="仿宋_GB2312" w:cs="仿宋_GB2312"/>
          <w:color w:val="auto"/>
          <w:sz w:val="32"/>
          <w:szCs w:val="32"/>
        </w:rPr>
        <w:t>万元、劳务费</w:t>
      </w:r>
      <w:r>
        <w:rPr>
          <w:rFonts w:hint="eastAsia" w:ascii="仿宋_GB2312" w:hAnsi="仿宋_GB2312" w:eastAsia="仿宋_GB2312" w:cs="仿宋_GB2312"/>
          <w:color w:val="auto"/>
          <w:sz w:val="32"/>
          <w:szCs w:val="32"/>
          <w:lang w:val="en-US" w:eastAsia="zh-CN"/>
        </w:rPr>
        <w:t>6.57</w:t>
      </w:r>
      <w:r>
        <w:rPr>
          <w:rFonts w:hint="eastAsia" w:ascii="仿宋_GB2312" w:hAnsi="仿宋_GB2312" w:eastAsia="仿宋_GB2312" w:cs="仿宋_GB2312"/>
          <w:color w:val="auto"/>
          <w:sz w:val="32"/>
          <w:szCs w:val="32"/>
        </w:rPr>
        <w:t>万元、公务用车运行维护费</w:t>
      </w:r>
      <w:r>
        <w:rPr>
          <w:rFonts w:hint="eastAsia" w:ascii="仿宋_GB2312" w:hAnsi="仿宋_GB2312" w:eastAsia="仿宋_GB2312" w:cs="仿宋_GB2312"/>
          <w:color w:val="auto"/>
          <w:sz w:val="32"/>
          <w:szCs w:val="32"/>
          <w:lang w:val="en-US" w:eastAsia="zh-CN"/>
        </w:rPr>
        <w:t>7.02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其他交通费用5万元、生活补助10.02万元、手续费0.05万元、委托业务费8.27万元。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default" w:eastAsia="仿宋_GB2312"/>
          <w:color w:val="auto"/>
          <w:lang w:val="en-US" w:eastAsia="zh-CN"/>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年1-6月项目支出</w:t>
      </w:r>
      <w:r>
        <w:rPr>
          <w:rFonts w:hint="eastAsia" w:ascii="仿宋_GB2312" w:hAnsi="仿宋_GB2312" w:eastAsia="仿宋_GB2312" w:cs="仿宋_GB2312"/>
          <w:color w:val="auto"/>
          <w:sz w:val="32"/>
          <w:szCs w:val="32"/>
          <w:lang w:val="en-US" w:eastAsia="zh-CN"/>
        </w:rPr>
        <w:t>51.65</w:t>
      </w:r>
      <w:r>
        <w:rPr>
          <w:rFonts w:hint="eastAsia" w:ascii="仿宋_GB2312" w:hAnsi="仿宋_GB2312" w:eastAsia="仿宋_GB2312" w:cs="仿宋_GB2312"/>
          <w:color w:val="auto"/>
          <w:sz w:val="32"/>
          <w:szCs w:val="32"/>
        </w:rPr>
        <w:t>万元，主要包括</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金川县贫困村基础设施建设：依斗村新建日俄后山至柏英牧道建设项目38.52万元、拨付二道路征地赔偿款8.59万元、国土局转入二道路征地赔偿款0.56万元、第七次人口普查“两员补助经费”3.98万元。</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三、部门财政支出管理情况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（一）预算编制情况。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(1）预算编制质量：</w:t>
      </w:r>
    </w:p>
    <w:p>
      <w:pPr>
        <w:pStyle w:val="4"/>
        <w:bidi w:val="0"/>
        <w:rPr>
          <w:rFonts w:hint="eastAsia"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2020年预算536.94万元，其中人员经费433.22万元，公用经费103.72万元。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年部门收入预算总额为</w:t>
      </w:r>
      <w:r>
        <w:rPr>
          <w:rFonts w:hint="eastAsia" w:ascii="仿宋_GB2312" w:hAnsi="仿宋_GB2312" w:eastAsia="仿宋_GB2312" w:cs="仿宋_GB2312"/>
          <w:color w:val="auto"/>
          <w:sz w:val="32"/>
          <w:szCs w:val="32"/>
          <w:lang w:val="en-US" w:eastAsia="zh-CN"/>
        </w:rPr>
        <w:t>605.07</w:t>
      </w:r>
      <w:r>
        <w:rPr>
          <w:rFonts w:hint="eastAsia" w:ascii="仿宋_GB2312" w:hAnsi="仿宋_GB2312" w:eastAsia="仿宋_GB2312" w:cs="仿宋_GB2312"/>
          <w:color w:val="auto"/>
          <w:sz w:val="32"/>
          <w:szCs w:val="32"/>
        </w:rPr>
        <w:t>元，较上年增加</w:t>
      </w:r>
      <w:r>
        <w:rPr>
          <w:rFonts w:hint="eastAsia" w:ascii="仿宋_GB2312" w:hAnsi="仿宋_GB2312" w:eastAsia="仿宋_GB2312" w:cs="仿宋_GB2312"/>
          <w:color w:val="auto"/>
          <w:sz w:val="32"/>
          <w:szCs w:val="32"/>
          <w:lang w:val="en-US" w:eastAsia="zh-CN"/>
        </w:rPr>
        <w:t>68.13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增加12.69</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主要是</w:t>
      </w:r>
      <w:r>
        <w:rPr>
          <w:rFonts w:hint="eastAsia" w:ascii="仿宋_GB2312" w:hAnsi="仿宋_GB2312" w:eastAsia="仿宋_GB2312" w:cs="仿宋_GB2312"/>
          <w:color w:val="auto"/>
          <w:sz w:val="32"/>
          <w:szCs w:val="32"/>
          <w:lang w:eastAsia="zh-CN"/>
        </w:rPr>
        <w:t>机构改革三站人员编制下划给乡镇、经费标准变更、财政信息化建设等需求增加。</w:t>
      </w:r>
      <w:r>
        <w:rPr>
          <w:rFonts w:hint="eastAsia" w:ascii="仿宋_GB2312" w:hAnsi="仿宋_GB2312" w:eastAsia="仿宋_GB2312" w:cs="仿宋_GB2312"/>
          <w:color w:val="auto"/>
          <w:sz w:val="32"/>
          <w:szCs w:val="32"/>
        </w:rPr>
        <w:t>其中：当年财政拨款收入</w:t>
      </w:r>
      <w:r>
        <w:rPr>
          <w:rFonts w:hint="eastAsia" w:ascii="仿宋_GB2312" w:hAnsi="仿宋_GB2312" w:eastAsia="仿宋_GB2312" w:cs="仿宋_GB2312"/>
          <w:color w:val="auto"/>
          <w:sz w:val="32"/>
          <w:szCs w:val="32"/>
          <w:lang w:val="en-US" w:eastAsia="zh-CN"/>
        </w:rPr>
        <w:t>605.07</w:t>
      </w:r>
      <w:r>
        <w:rPr>
          <w:rFonts w:hint="eastAsia" w:ascii="仿宋_GB2312" w:hAnsi="仿宋_GB2312" w:eastAsia="仿宋_GB2312" w:cs="仿宋_GB2312"/>
          <w:color w:val="auto"/>
          <w:sz w:val="32"/>
          <w:szCs w:val="32"/>
        </w:rPr>
        <w:t>万元，其他收入 0万元，上年结转收入0万元。相应安排支出预算</w:t>
      </w:r>
      <w:r>
        <w:rPr>
          <w:rFonts w:hint="eastAsia" w:ascii="仿宋_GB2312" w:hAnsi="仿宋_GB2312" w:eastAsia="仿宋_GB2312" w:cs="仿宋_GB2312"/>
          <w:color w:val="auto"/>
          <w:sz w:val="32"/>
          <w:szCs w:val="32"/>
          <w:lang w:val="en-US" w:eastAsia="zh-CN"/>
        </w:rPr>
        <w:t>605.07</w:t>
      </w:r>
      <w:r>
        <w:rPr>
          <w:rFonts w:hint="eastAsia" w:ascii="仿宋_GB2312" w:hAnsi="仿宋_GB2312" w:eastAsia="仿宋_GB2312" w:cs="仿宋_GB2312"/>
          <w:color w:val="auto"/>
          <w:sz w:val="32"/>
          <w:szCs w:val="32"/>
        </w:rPr>
        <w:t>万元，其中：基本支出预算</w:t>
      </w:r>
      <w:r>
        <w:rPr>
          <w:rFonts w:hint="eastAsia" w:ascii="仿宋_GB2312" w:hAnsi="仿宋_GB2312" w:eastAsia="仿宋_GB2312" w:cs="仿宋_GB2312"/>
          <w:color w:val="auto"/>
          <w:sz w:val="32"/>
          <w:szCs w:val="32"/>
          <w:lang w:val="en-US" w:eastAsia="zh-CN"/>
        </w:rPr>
        <w:t>517.03</w:t>
      </w:r>
      <w:r>
        <w:rPr>
          <w:rFonts w:hint="eastAsia" w:ascii="仿宋_GB2312" w:hAnsi="仿宋_GB2312" w:eastAsia="仿宋_GB2312" w:cs="仿宋_GB2312"/>
          <w:color w:val="auto"/>
          <w:sz w:val="32"/>
          <w:szCs w:val="32"/>
        </w:rPr>
        <w:t>万元，项目支出0万元。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（2）绩效目标填报：</w:t>
      </w:r>
      <w:r>
        <w:rPr>
          <w:rFonts w:hint="eastAsia" w:ascii="仿宋_GB2312" w:hAnsi="仿宋_GB2312" w:eastAsia="仿宋_GB2312" w:cs="仿宋_GB2312"/>
          <w:color w:val="000000"/>
          <w:sz w:val="32"/>
          <w:szCs w:val="32"/>
        </w:rPr>
        <w:t>项目申报严格按照上级要求，明确绩效目标，控制</w:t>
      </w:r>
      <w:r>
        <w:rPr>
          <w:rFonts w:hint="eastAsia" w:ascii="仿宋_GB2312" w:hAnsi="仿宋_GB2312" w:eastAsia="仿宋_GB2312" w:cs="仿宋_GB2312"/>
          <w:color w:val="000000"/>
          <w:sz w:val="32"/>
          <w:szCs w:val="32"/>
          <w:lang w:eastAsia="zh-CN"/>
        </w:rPr>
        <w:t>执行</w:t>
      </w:r>
      <w:r>
        <w:rPr>
          <w:rFonts w:hint="eastAsia" w:ascii="仿宋_GB2312" w:hAnsi="仿宋_GB2312" w:eastAsia="仿宋_GB2312" w:cs="仿宋_GB2312"/>
          <w:color w:val="000000"/>
          <w:sz w:val="32"/>
          <w:szCs w:val="32"/>
        </w:rPr>
        <w:t>成本，提高项目发挥作用。并</w:t>
      </w:r>
      <w:r>
        <w:rPr>
          <w:rFonts w:hint="eastAsia" w:ascii="仿宋_GB2312" w:hAnsi="仿宋_GB2312" w:eastAsia="仿宋_GB2312" w:cs="仿宋_GB2312"/>
          <w:color w:val="000000"/>
          <w:sz w:val="32"/>
          <w:szCs w:val="32"/>
          <w:lang w:val="zh-CN"/>
        </w:rPr>
        <w:t>根据财政局统一要求编制了我会整体绩效目标报告及项目整体绩效目标表，并报县财政局。</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（二）执行管理情况。</w:t>
      </w:r>
      <w:r>
        <w:rPr>
          <w:rFonts w:hint="eastAsia" w:ascii="仿宋_GB2312" w:hAnsi="仿宋_GB2312" w:eastAsia="仿宋_GB2312" w:cs="仿宋_GB2312"/>
          <w:color w:val="000000"/>
          <w:sz w:val="32"/>
          <w:szCs w:val="32"/>
          <w:lang w:val="zh-CN"/>
        </w:rPr>
        <w:tab/>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部门预算执行情况良好，但基本集中在下半年。支出情况中期评估不足，</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zh-CN"/>
        </w:rPr>
        <w:t>“三公”经费预算</w:t>
      </w:r>
      <w:r>
        <w:rPr>
          <w:rFonts w:hint="eastAsia" w:ascii="仿宋_GB2312" w:hAnsi="仿宋_GB2312" w:eastAsia="仿宋_GB2312" w:cs="仿宋_GB2312"/>
          <w:color w:val="auto"/>
          <w:sz w:val="32"/>
          <w:szCs w:val="32"/>
          <w:lang w:val="en-US" w:eastAsia="zh-CN"/>
        </w:rPr>
        <w:t>6.65</w:t>
      </w:r>
      <w:r>
        <w:rPr>
          <w:rFonts w:hint="eastAsia" w:ascii="仿宋_GB2312" w:hAnsi="仿宋_GB2312" w:eastAsia="仿宋_GB2312" w:cs="仿宋_GB2312"/>
          <w:color w:val="auto"/>
          <w:sz w:val="32"/>
          <w:szCs w:val="32"/>
        </w:rPr>
        <w:t>万元，其中公务接待费0万元，公务用车运行维护费</w:t>
      </w:r>
      <w:r>
        <w:rPr>
          <w:rFonts w:hint="eastAsia" w:ascii="仿宋_GB2312" w:hAnsi="仿宋_GB2312" w:eastAsia="仿宋_GB2312" w:cs="仿宋_GB2312"/>
          <w:color w:val="auto"/>
          <w:sz w:val="32"/>
          <w:szCs w:val="32"/>
          <w:lang w:val="en-US" w:eastAsia="zh-CN"/>
        </w:rPr>
        <w:t>6.65</w:t>
      </w:r>
      <w:r>
        <w:rPr>
          <w:rFonts w:hint="eastAsia" w:ascii="仿宋_GB2312" w:hAnsi="仿宋_GB2312" w:eastAsia="仿宋_GB2312" w:cs="仿宋_GB2312"/>
          <w:color w:val="auto"/>
          <w:sz w:val="32"/>
          <w:szCs w:val="32"/>
        </w:rPr>
        <w:t>万元，实际支出</w:t>
      </w:r>
      <w:r>
        <w:rPr>
          <w:rFonts w:hint="eastAsia" w:ascii="仿宋_GB2312" w:hAnsi="仿宋_GB2312" w:eastAsia="仿宋_GB2312" w:cs="仿宋_GB2312"/>
          <w:color w:val="auto"/>
          <w:sz w:val="32"/>
          <w:szCs w:val="32"/>
          <w:lang w:val="en-US" w:eastAsia="zh-CN"/>
        </w:rPr>
        <w:t>6.65</w:t>
      </w:r>
      <w:r>
        <w:rPr>
          <w:rFonts w:hint="eastAsia" w:ascii="仿宋_GB2312" w:hAnsi="仿宋_GB2312" w:eastAsia="仿宋_GB2312" w:cs="仿宋_GB2312"/>
          <w:color w:val="auto"/>
          <w:sz w:val="32"/>
          <w:szCs w:val="32"/>
        </w:rPr>
        <w:t>万元，公务接待费0万元，公务用车运行维护费</w:t>
      </w:r>
      <w:r>
        <w:rPr>
          <w:rFonts w:hint="eastAsia" w:ascii="仿宋_GB2312" w:hAnsi="仿宋_GB2312" w:eastAsia="仿宋_GB2312" w:cs="仿宋_GB2312"/>
          <w:color w:val="auto"/>
          <w:sz w:val="32"/>
          <w:szCs w:val="32"/>
          <w:lang w:val="en-US" w:eastAsia="zh-CN"/>
        </w:rPr>
        <w:t>6.65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zh-CN"/>
        </w:rPr>
        <w:t>。</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zh-CN"/>
        </w:rPr>
        <w:t>“三公”经费预算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万元，其中公务接待费0万元，严格执行厉行节约的要求，认真贯彻落实中央八项规定及省委省政府十项规定要求，严格控制接待规模及接待标准。</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rPr>
        <w:t>公务用车运行维护费</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万元，1-6月实际支出公务接待费0万元，公务用车运行维护费</w:t>
      </w:r>
      <w:r>
        <w:rPr>
          <w:rFonts w:hint="eastAsia" w:ascii="仿宋_GB2312" w:hAnsi="仿宋_GB2312" w:eastAsia="仿宋_GB2312" w:cs="仿宋_GB2312"/>
          <w:color w:val="auto"/>
          <w:sz w:val="32"/>
          <w:szCs w:val="32"/>
          <w:lang w:val="en-US" w:eastAsia="zh-CN"/>
        </w:rPr>
        <w:t>7.01</w:t>
      </w:r>
      <w:r>
        <w:rPr>
          <w:rFonts w:hint="eastAsia" w:ascii="仿宋_GB2312" w:hAnsi="仿宋_GB2312" w:eastAsia="仿宋_GB2312" w:cs="仿宋_GB2312"/>
          <w:color w:val="auto"/>
          <w:sz w:val="32"/>
          <w:szCs w:val="32"/>
        </w:rPr>
        <w:t>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（三）综合管理情况。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我乡</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年无预算、支出政府采购。所有国有资产纳入</w:t>
      </w:r>
      <w:r>
        <w:rPr>
          <w:rFonts w:hint="eastAsia" w:ascii="仿宋_GB2312" w:hAnsi="仿宋_GB2312" w:eastAsia="仿宋_GB2312" w:cs="仿宋_GB2312"/>
          <w:color w:val="000000"/>
          <w:sz w:val="32"/>
          <w:szCs w:val="32"/>
          <w:lang w:val="zh-CN"/>
        </w:rPr>
        <w:t>资产管理系统，及时准确上报并做好资产的管理工作。根据相关要求，单位使用预算资金基本符合相关的预算财务管理制度。我乡在财政批复后</w:t>
      </w:r>
      <w:r>
        <w:rPr>
          <w:rFonts w:hint="eastAsia" w:ascii="仿宋_GB2312" w:hAnsi="仿宋_GB2312" w:eastAsia="仿宋_GB2312" w:cs="仿宋_GB2312"/>
          <w:color w:val="000000"/>
          <w:sz w:val="32"/>
          <w:szCs w:val="32"/>
        </w:rPr>
        <w:t>20日内在指定网站公开预决算信息。按照相关要求进行绩效自我评价，按要求及时上报，对发现的问题提出整改措施，并整改落实到位。</w:t>
      </w:r>
      <w:r>
        <w:rPr>
          <w:rFonts w:hint="eastAsia" w:ascii="仿宋_GB2312" w:hAnsi="仿宋_GB2312" w:eastAsia="仿宋_GB2312" w:cs="仿宋_GB2312"/>
          <w:color w:val="000000"/>
          <w:sz w:val="32"/>
          <w:szCs w:val="32"/>
          <w:lang w:val="zh-CN"/>
        </w:rPr>
        <w:t>绩效评价及依法接受财政监督情况等。</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（四）整体绩效。</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乡按照规定完全履行职责，整体评价良好，服务对象基本满意从预算执行来情况看，预算资金覆盖我乡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四、评价结论及建议</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（一）评价结论。</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kern w:val="0"/>
          <w:sz w:val="32"/>
          <w:szCs w:val="32"/>
          <w:shd w:val="clear" w:color="auto" w:fill="FFFFFF"/>
          <w:lang w:val="zh-CN"/>
        </w:rPr>
        <w:t>在自评过程发现问题，查找原因，及时纠正偏差，为下一步工作夯实基础。</w:t>
      </w:r>
      <w:r>
        <w:rPr>
          <w:rFonts w:hint="eastAsia" w:ascii="仿宋_GB2312" w:hAnsi="仿宋_GB2312" w:eastAsia="仿宋_GB2312" w:cs="仿宋_GB2312"/>
          <w:color w:val="000000"/>
          <w:sz w:val="32"/>
          <w:szCs w:val="32"/>
        </w:rPr>
        <w:t>整体评价良好，预算支出和决算支出情况相符。</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（二）存在问题。</w:t>
      </w:r>
    </w:p>
    <w:p>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b/>
          <w:bCs/>
          <w:color w:val="000000"/>
          <w:kern w:val="0"/>
          <w:sz w:val="32"/>
          <w:szCs w:val="32"/>
        </w:rPr>
        <w:t xml:space="preserve"> </w:t>
      </w:r>
      <w:r>
        <w:rPr>
          <w:rFonts w:hint="eastAsia" w:ascii="仿宋_GB2312" w:hAnsi="仿宋_GB2312" w:eastAsia="仿宋_GB2312" w:cs="仿宋_GB2312"/>
          <w:color w:val="000000"/>
          <w:sz w:val="32"/>
          <w:szCs w:val="32"/>
          <w:shd w:val="clear" w:color="auto" w:fill="FFFFFF"/>
        </w:rPr>
        <w:t>一是资金使用效益有待进一步提高。</w:t>
      </w:r>
      <w:r>
        <w:rPr>
          <w:rFonts w:hint="eastAsia" w:ascii="仿宋_GB2312" w:hAnsi="仿宋_GB2312" w:eastAsia="仿宋_GB2312" w:cs="仿宋_GB2312"/>
          <w:color w:val="000000"/>
          <w:kern w:val="0"/>
          <w:sz w:val="32"/>
          <w:szCs w:val="32"/>
        </w:rPr>
        <w:t>公用经费上半年拨付进度慢。</w:t>
      </w:r>
      <w:r>
        <w:rPr>
          <w:rFonts w:hint="eastAsia" w:ascii="仿宋_GB2312" w:hAnsi="仿宋_GB2312" w:eastAsia="仿宋_GB2312" w:cs="仿宋_GB2312"/>
          <w:color w:val="000000"/>
          <w:sz w:val="32"/>
          <w:szCs w:val="32"/>
          <w:shd w:val="clear" w:color="auto" w:fill="FFFFFF"/>
        </w:rPr>
        <w:t>二是绩效目标设立不够明确、细化和量化。虽然设立了项目资金绩效目标，但目标不够明确、细化和量化。</w:t>
      </w:r>
      <w:r>
        <w:rPr>
          <w:rFonts w:hint="eastAsia" w:ascii="仿宋_GB2312" w:hAnsi="仿宋_GB2312" w:eastAsia="仿宋_GB2312" w:cs="仿宋_GB2312"/>
          <w:color w:val="000000"/>
          <w:sz w:val="32"/>
          <w:szCs w:val="32"/>
          <w:shd w:val="clear" w:color="auto" w:fill="FFFFFF"/>
          <w:lang w:val="en-US" w:eastAsia="zh-CN"/>
        </w:rPr>
        <w:t xml:space="preserve">        </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（三）改进建议。</w:t>
      </w:r>
    </w:p>
    <w:p>
      <w:pPr>
        <w:pStyle w:val="13"/>
        <w:widowControl/>
        <w:shd w:val="clear" w:color="auto" w:fill="FFFFFF"/>
        <w:spacing w:beforeAutospacing="0" w:afterAutospacing="0"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一是加强资金拨付进度，更加合理规范使用财政预算资金。二是</w:t>
      </w:r>
      <w:r>
        <w:rPr>
          <w:rFonts w:hint="eastAsia" w:ascii="仿宋_GB2312" w:hAnsi="仿宋_GB2312" w:eastAsia="仿宋_GB2312"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bookmarkEnd w:id="58"/>
    <w:bookmarkEnd w:id="59"/>
    <w:p>
      <w:pPr>
        <w:spacing w:line="600" w:lineRule="exact"/>
        <w:jc w:val="center"/>
        <w:outlineLvl w:val="0"/>
        <w:rPr>
          <w:rFonts w:ascii="黑体" w:eastAsia="黑体"/>
          <w:color w:val="000000"/>
          <w:sz w:val="44"/>
          <w:szCs w:val="44"/>
        </w:rPr>
      </w:pPr>
      <w:bookmarkStart w:id="60" w:name="_Toc15396619"/>
      <w:bookmarkStart w:id="61" w:name="_Toc15396618"/>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bookmarkEnd w:id="60"/>
    <w:bookmarkEnd w:id="61"/>
    <w:p>
      <w:pPr>
        <w:pStyle w:val="4"/>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1135400"/>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15</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13" w:firstLine="0"/>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5">
    <w:nsid w:val="386D6DF3"/>
    <w:multiLevelType w:val="singleLevel"/>
    <w:tmpl w:val="386D6DF3"/>
    <w:lvl w:ilvl="0" w:tentative="0">
      <w:start w:val="3"/>
      <w:numFmt w:val="decimal"/>
      <w:lvlText w:val="%1."/>
      <w:lvlJc w:val="left"/>
      <w:pPr>
        <w:tabs>
          <w:tab w:val="left" w:pos="0"/>
        </w:tabs>
        <w:ind w:left="0" w:firstLine="0"/>
      </w:pPr>
    </w:lvl>
  </w:abstractNum>
  <w:abstractNum w:abstractNumId="6">
    <w:nsid w:val="528065AC"/>
    <w:multiLevelType w:val="singleLevel"/>
    <w:tmpl w:val="528065AC"/>
    <w:lvl w:ilvl="0" w:tentative="0">
      <w:start w:val="1"/>
      <w:numFmt w:val="decimal"/>
      <w:lvlText w:val="%1."/>
      <w:lvlJc w:val="left"/>
      <w:pPr>
        <w:tabs>
          <w:tab w:val="left" w:pos="312"/>
        </w:tabs>
      </w:pPr>
    </w:lvl>
  </w:abstractNum>
  <w:abstractNum w:abstractNumId="7">
    <w:nsid w:val="78D72DD4"/>
    <w:multiLevelType w:val="singleLevel"/>
    <w:tmpl w:val="78D72DD4"/>
    <w:lvl w:ilvl="0" w:tentative="0">
      <w:start w:val="3"/>
      <w:numFmt w:val="decimal"/>
      <w:lvlText w:val="%1."/>
      <w:lvlJc w:val="left"/>
      <w:pPr>
        <w:tabs>
          <w:tab w:val="left" w:pos="0"/>
        </w:tabs>
        <w:ind w:left="0" w:firstLine="0"/>
      </w:pPr>
    </w:lvl>
  </w:abstractNum>
  <w:num w:numId="1">
    <w:abstractNumId w:val="3"/>
  </w:num>
  <w:num w:numId="2">
    <w:abstractNumId w:val="6"/>
  </w:num>
  <w:num w:numId="3">
    <w:abstractNumId w:val="7"/>
  </w:num>
  <w:num w:numId="4">
    <w:abstractNumId w:val="0"/>
  </w:num>
  <w:num w:numId="5">
    <w:abstractNumId w:val="4"/>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ZDVjZjE1OTBmZTc4M2ZlNjdmNWM1MmQ5OThkMGU1NjEifQ=="/>
  </w:docVars>
  <w:rsids>
    <w:rsidRoot w:val="00AD070F"/>
    <w:rsid w:val="00053BC6"/>
    <w:rsid w:val="001C47CE"/>
    <w:rsid w:val="00261711"/>
    <w:rsid w:val="003669C2"/>
    <w:rsid w:val="0073645F"/>
    <w:rsid w:val="007C6F30"/>
    <w:rsid w:val="008E3215"/>
    <w:rsid w:val="00927654"/>
    <w:rsid w:val="00AD070F"/>
    <w:rsid w:val="00DA6D67"/>
    <w:rsid w:val="00E140A6"/>
    <w:rsid w:val="00E21554"/>
    <w:rsid w:val="00EC5E85"/>
    <w:rsid w:val="0D887050"/>
    <w:rsid w:val="229B24E0"/>
    <w:rsid w:val="269812C4"/>
    <w:rsid w:val="2E4902E1"/>
    <w:rsid w:val="31EA1A3A"/>
    <w:rsid w:val="35163D24"/>
    <w:rsid w:val="37B85591"/>
    <w:rsid w:val="4615486F"/>
    <w:rsid w:val="4FDD6013"/>
    <w:rsid w:val="503B7FDD"/>
    <w:rsid w:val="60F9560E"/>
    <w:rsid w:val="67D50705"/>
    <w:rsid w:val="784A1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uiPriority w:val="0"/>
    <w:pPr>
      <w:keepNext/>
      <w:keepLines/>
      <w:spacing w:before="340" w:after="330" w:line="578" w:lineRule="auto"/>
      <w:outlineLvl w:val="0"/>
    </w:pPr>
    <w:rPr>
      <w:b/>
      <w:bCs/>
      <w:kern w:val="44"/>
      <w:sz w:val="44"/>
      <w:szCs w:val="44"/>
    </w:rPr>
  </w:style>
  <w:style w:type="paragraph" w:styleId="4">
    <w:name w:val="heading 2"/>
    <w:basedOn w:val="1"/>
    <w:next w:val="1"/>
    <w:link w:val="19"/>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table of figures"/>
    <w:basedOn w:val="1"/>
    <w:next w:val="1"/>
    <w:qFormat/>
    <w:uiPriority w:val="0"/>
    <w:pPr>
      <w:spacing w:before="100" w:beforeLines="0" w:beforeAutospacing="1" w:after="100" w:afterLines="0" w:afterAutospacing="1"/>
      <w:ind w:left="2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qFormat/>
    <w:uiPriority w:val="99"/>
    <w:pPr>
      <w:spacing w:beforeAutospacing="1" w:afterAutospacing="1"/>
      <w:jc w:val="left"/>
    </w:pPr>
    <w:rPr>
      <w:kern w:val="0"/>
      <w:sz w:val="24"/>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标题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19">
    <w:name w:val="标题 2 Char"/>
    <w:basedOn w:val="15"/>
    <w:link w:val="4"/>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qFormat/>
    <w:uiPriority w:val="0"/>
    <w:rPr>
      <w:rFonts w:ascii="Times New Roman" w:hAnsi="Times New Roman"/>
      <w:sz w:val="18"/>
      <w:szCs w:val="18"/>
    </w:rPr>
  </w:style>
  <w:style w:type="character" w:customStyle="1" w:styleId="22">
    <w:name w:val="Body Text Char"/>
    <w:basedOn w:val="15"/>
    <w:qFormat/>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收、支决算结构图</a:t>
            </a:r>
            <a:endParaRPr lang="zh-CN"/>
          </a:p>
        </c:rich>
      </c:tx>
      <c:layout/>
      <c:overlay val="0"/>
      <c:spPr>
        <a:noFill/>
        <a:ln>
          <a:noFill/>
        </a:ln>
      </c:spPr>
    </c:title>
    <c:autoTitleDeleted val="0"/>
    <c:plotArea>
      <c:layout>
        <c:manualLayout>
          <c:layoutTarget val="inner"/>
          <c:xMode val="edge"/>
          <c:yMode val="edge"/>
          <c:x val="0.08995"/>
          <c:y val="0.256442647951807"/>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elete val="1"/>
          </c:dLbls>
          <c:cat>
            <c:strRef>
              <c:f>Sheet1!$A$2:$A$3</c:f>
              <c:strCache>
                <c:ptCount val="2"/>
                <c:pt idx="0">
                  <c:v>2019年 </c:v>
                </c:pt>
                <c:pt idx="1">
                  <c:v>2020年</c:v>
                </c:pt>
              </c:strCache>
            </c:strRef>
          </c:cat>
          <c:val>
            <c:numRef>
              <c:f>Sheet1!$B$2:$B$3</c:f>
              <c:numCache>
                <c:formatCode>General</c:formatCode>
                <c:ptCount val="2"/>
                <c:pt idx="0">
                  <c:v>535.25</c:v>
                </c:pt>
                <c:pt idx="1">
                  <c:v>700.84</c:v>
                </c:pt>
              </c:numCache>
            </c:numRef>
          </c:val>
        </c:ser>
        <c:ser>
          <c:idx val="1"/>
          <c:order val="1"/>
          <c:tx>
            <c:strRef>
              <c:f>Sheet1!$C$1</c:f>
              <c:strCache>
                <c:ptCount val="1"/>
                <c:pt idx="0">
                  <c:v>总支出</c:v>
                </c:pt>
              </c:strCache>
            </c:strRef>
          </c:tx>
          <c:spPr>
            <a:solidFill>
              <a:srgbClr val="C0504D"/>
            </a:solidFill>
            <a:ln>
              <a:noFill/>
            </a:ln>
          </c:spPr>
          <c:invertIfNegative val="0"/>
          <c:dLbls>
            <c:delete val="1"/>
          </c:dLbls>
          <c:cat>
            <c:strRef>
              <c:f>Sheet1!$A$2:$A$3</c:f>
              <c:strCache>
                <c:ptCount val="2"/>
                <c:pt idx="0">
                  <c:v>2019年 </c:v>
                </c:pt>
                <c:pt idx="1">
                  <c:v>2020年</c:v>
                </c:pt>
              </c:strCache>
            </c:strRef>
          </c:cat>
          <c:val>
            <c:numRef>
              <c:f>Sheet1!$C$2:$C$3</c:f>
              <c:numCache>
                <c:formatCode>General</c:formatCode>
                <c:ptCount val="2"/>
                <c:pt idx="0">
                  <c:v>649.02</c:v>
                </c:pt>
                <c:pt idx="1">
                  <c:v>652.58</c:v>
                </c:pt>
              </c:numCache>
            </c:numRef>
          </c:val>
        </c:ser>
        <c:dLbls>
          <c:showLegendKey val="0"/>
          <c:showVal val="0"/>
          <c:showCatName val="0"/>
          <c:showSerName val="0"/>
          <c:showPercent val="0"/>
          <c:showBubbleSize val="0"/>
        </c:dLbls>
        <c:gapWidth val="219"/>
        <c:overlap val="-27"/>
        <c:axId val="121741696"/>
        <c:axId val="121743232"/>
      </c:barChart>
      <c:catAx>
        <c:axId val="121741696"/>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1743232"/>
        <c:crosses val="autoZero"/>
        <c:auto val="1"/>
        <c:lblAlgn val="ctr"/>
        <c:lblOffset val="100"/>
        <c:noMultiLvlLbl val="0"/>
      </c:catAx>
      <c:valAx>
        <c:axId val="121743232"/>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1741696"/>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100%</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15:layout>
                    <c:manualLayout>
                      <c:w val="0.104348853698889"/>
                      <c:h val="0.071205945816351"/>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strCache>
            </c:strRef>
          </c:cat>
          <c:val>
            <c:numRef>
              <c:f>'Sheet1 (2)'!$B$2:$B$3</c:f>
              <c:numCache>
                <c:formatCode>General</c:formatCode>
                <c:ptCount val="2"/>
                <c:pt idx="0">
                  <c:v>700.84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a:t>
            </a:r>
            <a:endParaRPr lang="zh-CN"/>
          </a:p>
        </c:rich>
      </c:tx>
      <c:layout>
        <c:manualLayout>
          <c:xMode val="edge"/>
          <c:yMode val="edge"/>
          <c:x val="0.264646844812445"/>
          <c:y val="0.0288"/>
        </c:manualLayout>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424.52</c:v>
                </c:pt>
                <c:pt idx="1">
                  <c:v>228.06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535.25</c:v>
                </c:pt>
                <c:pt idx="1">
                  <c:v>649.02</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700.84</c:v>
                </c:pt>
                <c:pt idx="1">
                  <c:v>652.58</c:v>
                </c:pt>
              </c:numCache>
            </c:numRef>
          </c:val>
        </c:ser>
        <c:dLbls>
          <c:showLegendKey val="0"/>
          <c:showVal val="1"/>
          <c:showCatName val="0"/>
          <c:showSerName val="0"/>
          <c:showPercent val="0"/>
          <c:showBubbleSize val="0"/>
        </c:dLbls>
        <c:gapWidth val="219"/>
        <c:overlap val="-27"/>
        <c:axId val="122350208"/>
        <c:axId val="122356096"/>
      </c:barChart>
      <c:catAx>
        <c:axId val="122350208"/>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2356096"/>
        <c:crosses val="autoZero"/>
        <c:auto val="1"/>
        <c:lblAlgn val="ctr"/>
        <c:lblOffset val="100"/>
        <c:noMultiLvlLbl val="0"/>
      </c:catAx>
      <c:valAx>
        <c:axId val="122356096"/>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2350208"/>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649.02</c:v>
                </c:pt>
                <c:pt idx="1">
                  <c:v>652.58</c:v>
                </c:pt>
              </c:numCache>
            </c:numRef>
          </c:val>
        </c:ser>
        <c:dLbls>
          <c:showLegendKey val="0"/>
          <c:showVal val="1"/>
          <c:showCatName val="0"/>
          <c:showSerName val="0"/>
          <c:showPercent val="0"/>
          <c:showBubbleSize val="0"/>
        </c:dLbls>
        <c:gapWidth val="219"/>
        <c:overlap val="-27"/>
        <c:axId val="123020032"/>
        <c:axId val="123021568"/>
      </c:barChart>
      <c:catAx>
        <c:axId val="123020032"/>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3021568"/>
        <c:crosses val="autoZero"/>
        <c:auto val="1"/>
        <c:lblAlgn val="ctr"/>
        <c:lblOffset val="100"/>
        <c:noMultiLvlLbl val="0"/>
      </c:catAx>
      <c:valAx>
        <c:axId val="123021568"/>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3020032"/>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100%</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1">
                  <c:v>公务用车购置及运行维护费</c:v>
                </c:pt>
              </c:strCache>
            </c:strRef>
          </c:cat>
          <c:val>
            <c:numRef>
              <c:f>'Sheet1 (7)'!$B$2:$B$4</c:f>
              <c:numCache>
                <c:formatCode>General</c:formatCode>
                <c:ptCount val="3"/>
                <c:pt idx="1">
                  <c:v>6.65</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8586</Words>
  <Characters>9492</Characters>
  <Lines>50</Lines>
  <Paragraphs>14</Paragraphs>
  <TotalTime>3</TotalTime>
  <ScaleCrop>false</ScaleCrop>
  <LinksUpToDate>false</LinksUpToDate>
  <CharactersWithSpaces>9736</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2021-09-17T03:11:00Z</dcterms:created>
  <dc:creator>张彬茜</dc:creator>
  <cp:lastModifiedBy>Administrator</cp:lastModifiedBy>
  <cp:lastPrinted>2020-09-29T10:36:00Z</cp:lastPrinted>
  <dcterms:modified xsi:type="dcterms:W3CDTF">2025-04-17T08:39:53Z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AB52B87E7C6842EBB70F4FEB5EFC959F</vt:lpwstr>
  </property>
</Properties>
</file>