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9"/>
        <w:rPr>
          <w:rFonts w:ascii="方正小标宋简体" w:eastAsia="方正小标宋简体"/>
          <w:color w:val="000000"/>
          <w:sz w:val="72"/>
          <w:szCs w:val="72"/>
        </w:rPr>
      </w:pPr>
      <w:bookmarkStart w:id="0" w:name="_Toc15306267"/>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spacing w:line="600" w:lineRule="exact"/>
        <w:jc w:val="center"/>
        <w:outlineLvl w:val="9"/>
        <w:rPr>
          <w:rFonts w:ascii="方正小标宋简体" w:eastAsia="方正小标宋简体"/>
          <w:color w:val="000000"/>
          <w:sz w:val="72"/>
          <w:szCs w:val="72"/>
        </w:rPr>
      </w:pPr>
    </w:p>
    <w:p>
      <w:pPr>
        <w:pStyle w:val="26"/>
        <w:jc w:val="center"/>
        <w:rPr>
          <w:rFonts w:ascii="方正小标宋简体" w:eastAsia="方正小标宋简体" w:cs="方正小标宋简体" w:hint="eastAsia"/>
          <w:color w:val="000000"/>
          <w:sz w:val="72"/>
          <w:szCs w:val="72"/>
        </w:rPr>
      </w:pPr>
      <w:bookmarkEnd w:id="0"/>
      <w:r>
        <w:rPr>
          <w:rFonts w:ascii="方正小标宋简体" w:eastAsia="方正小标宋简体" w:cs="方正小标宋简体" w:hint="eastAsia"/>
          <w:color w:val="000000"/>
          <w:sz w:val="72"/>
          <w:szCs w:val="72"/>
        </w:rPr>
        <w:t>202</w:t>
      </w:r>
      <w:r>
        <w:rPr>
          <w:rFonts w:ascii="方正小标宋简体" w:eastAsia="方正小标宋简体" w:cs="方正小标宋简体" w:hint="eastAsia"/>
          <w:color w:val="000000"/>
          <w:sz w:val="72"/>
          <w:szCs w:val="72"/>
          <w:lang w:val="en-US" w:eastAsia="zh-CN"/>
        </w:rPr>
        <w:t>4</w:t>
      </w:r>
      <w:r>
        <w:rPr>
          <w:rFonts w:ascii="方正小标宋简体" w:eastAsia="方正小标宋简体" w:cs="方正小标宋简体" w:hint="eastAsia"/>
          <w:color w:val="000000"/>
          <w:sz w:val="72"/>
          <w:szCs w:val="72"/>
        </w:rPr>
        <w:t>年度</w:t>
      </w:r>
    </w:p>
    <w:p>
      <w:pPr>
        <w:pStyle w:val="26"/>
        <w:jc w:val="center"/>
        <w:rPr>
          <w:rFonts w:ascii="方正小标宋简体" w:eastAsia="方正小标宋简体" w:cs="方正小标宋简体" w:hint="eastAsia"/>
          <w:color w:val="000000"/>
          <w:sz w:val="72"/>
          <w:szCs w:val="72"/>
        </w:rPr>
      </w:pPr>
      <w:r>
        <w:rPr>
          <w:rFonts w:ascii="方正小标宋简体" w:eastAsia="方正小标宋简体" w:cs="方正小标宋简体" w:hint="eastAsia"/>
          <w:color w:val="000000"/>
          <w:sz w:val="72"/>
          <w:szCs w:val="72"/>
        </w:rPr>
        <w:t>四川省阿坝州金川县</w:t>
      </w:r>
    </w:p>
    <w:p>
      <w:pPr>
        <w:pStyle w:val="26"/>
        <w:jc w:val="center"/>
        <w:rPr>
          <w:rFonts w:ascii="方正小标宋简体" w:eastAsia="方正小标宋简体" w:cs="方正小标宋简体" w:hint="eastAsia"/>
          <w:color w:val="000000"/>
          <w:sz w:val="72"/>
          <w:szCs w:val="72"/>
        </w:rPr>
      </w:pPr>
      <w:r>
        <w:rPr>
          <w:rFonts w:ascii="方正小标宋简体" w:eastAsia="方正小标宋简体" w:cs="方正小标宋简体" w:hint="eastAsia"/>
          <w:color w:val="000000"/>
          <w:sz w:val="72"/>
          <w:szCs w:val="72"/>
        </w:rPr>
        <w:t>观音桥镇人民政府</w:t>
      </w:r>
    </w:p>
    <w:p>
      <w:pPr>
        <w:pStyle w:val="26"/>
        <w:jc w:val="center"/>
        <w:rPr>
          <w:rFonts w:ascii="方正小标宋简体" w:eastAsia="方正小标宋简体" w:cs="方正小标宋简体" w:hint="eastAsia"/>
          <w:color w:val="000000"/>
          <w:sz w:val="72"/>
          <w:szCs w:val="72"/>
        </w:rPr>
      </w:pPr>
      <w:r>
        <w:rPr>
          <w:rFonts w:ascii="方正小标宋简体" w:eastAsia="方正小标宋简体" w:cs="方正小标宋简体" w:hint="eastAsia"/>
          <w:color w:val="000000"/>
          <w:sz w:val="72"/>
          <w:szCs w:val="72"/>
        </w:rPr>
        <w:t>部门决算</w:t>
      </w:r>
    </w:p>
    <w:p/>
    <w:p>
      <w:pPr>
        <w:widowControl/>
        <w:jc w:val="center"/>
        <w:rPr>
          <w:rFonts w:ascii="Times New Roman" w:eastAsia="方正小标宋简体" w:cs="Times New Roman" w:hAnsi="Times New Roman"/>
          <w:color w:val="000000"/>
          <w:sz w:val="36"/>
          <w:szCs w:val="36"/>
        </w:rPr>
      </w:pPr>
    </w:p>
    <w:p>
      <w:pPr>
        <w:widowControl/>
        <w:jc w:val="center"/>
        <w:rPr>
          <w:rFonts w:ascii="Times New Roman" w:eastAsia="方正小标宋简体" w:cs="Times New Roman" w:hAnsi="Times New Roman"/>
          <w:color w:val="000000"/>
          <w:sz w:val="36"/>
          <w:szCs w:val="36"/>
        </w:rPr>
      </w:pPr>
    </w:p>
    <w:p>
      <w:pPr>
        <w:widowControl/>
        <w:jc w:val="center"/>
        <w:rPr>
          <w:rFonts w:ascii="Times New Roman" w:eastAsia="方正小标宋简体" w:cs="Times New Roman" w:hAnsi="Times New Roman"/>
          <w:color w:val="000000"/>
          <w:sz w:val="36"/>
          <w:szCs w:val="36"/>
        </w:rPr>
      </w:pPr>
    </w:p>
    <w:p>
      <w:pPr>
        <w:pStyle w:val="21"/>
        <w:tabs>
          <w:tab w:val="clear" w:pos="8296"/>
          <w:tab w:val="right" w:leader="dot" w:pos="8306"/>
        </w:tabs>
        <w:jc w:val="both"/>
        <w:rPr>
          <w:rFonts w:ascii="Times New Roman" w:eastAsia="方正小标宋简体" w:cs="Times New Roman" w:hAnsi="Times New Roman"/>
          <w:color w:val="000000"/>
          <w:sz w:val="36"/>
          <w:szCs w:val="36"/>
        </w:rPr>
      </w:pPr>
      <w:r>
        <w:rPr>
          <w:rFonts w:ascii="Times New Roman" w:eastAsia="方正小标宋简体" w:cs="Times New Roman" w:hAnsi="Times New Roman"/>
          <w:color w:val="000000"/>
          <w:sz w:val="36"/>
          <w:szCs w:val="36"/>
        </w:rPr>
        <w:br w:type="page"/>
      </w:r>
    </w:p>
    <w:sdt>
      <w:sdtPr>
        <w:rPr>
          <w:rFonts w:ascii="宋体" w:eastAsia="宋体" w:cs="Times New Roman"/>
          <w:kern w:val="2"/>
          <w:sz w:val="21"/>
          <w:szCs w:val="24"/>
          <w:lang w:val="en-US" w:eastAsia="zh-CN" w:bidi="ar-SA"/>
        </w:rPr>
        <w:id w:val="-2092908082"/>
        <w15:color w:val="DBDBDB"/>
        <w:docPartObj>
          <w:docPartGallery w:val="Table of Contents"/>
          <w:docPartUnique/>
        </w:docPartObj>
      </w:sdtPr>
      <w:sdtEndPr>
        <w:rPr>
          <w:rFonts w:ascii="Times New Roman" w:hAnsi="Times New Roman"/>
        </w:rPr>
      </w:sdtEndPr>
      <w:sdtContent>
        <w:p>
          <w:pPr>
            <w:spacing w:before="0" w:after="0" w:line="240" w:lineRule="auto"/>
            <w:ind w:left="0" w:right="0" w:firstLine="0"/>
            <w:jc w:val="center"/>
            <w:rPr>
              <w:rFonts w:ascii="宋体" w:eastAsia="宋体"/>
              <w:sz w:val="21"/>
            </w:rPr>
          </w:pPr>
          <w:r>
            <w:rPr>
              <w:rFonts w:ascii="宋体" w:eastAsia="宋体"/>
              <w:sz w:val="21"/>
            </w:rPr>
            <w:t>目录</w:t>
          </w:r>
        </w:p>
        <w:p>
          <w:pPr>
            <w:pStyle w:val="15"/>
            <w:spacing w:before="100" w:after="100"/>
            <w:ind w:leftChars="200" w:left="840" w:hangingChars="200" w:hanging="420"/>
            <w:jc w:val="center"/>
          </w:pPr>
          <w:r>
            <w:t>公开时间：2025年8月25日</w:t>
          </w:r>
        </w:p>
        <w:p>
          <w:pPr>
            <w:pStyle w:val="21"/>
            <w:tabs>
              <w:tab w:val="clear" w:pos="8296"/>
              <w:tab w:val="right" w:leader="dot" w:pos="8306"/>
            </w:tabs>
          </w:pPr>
          <w:r>
            <w:fldChar w:fldCharType="begin"/>
          </w:r>
          <w:r>
            <w:instrText xml:space="preserve">TOC \o "1-3" \h \u </w:instrText>
          </w:r>
          <w:r>
            <w:fldChar w:fldCharType="separate"/>
          </w:r>
          <w:r>
            <w:fldChar w:fldCharType="begin"/>
          </w:r>
          <w:r>
            <w:instrText xml:space="preserve"> HYPERLINK \l _Toc30510 </w:instrText>
          </w:r>
          <w:r>
            <w:fldChar w:fldCharType="separate"/>
          </w:r>
          <w:r>
            <w:rPr>
              <w:rFonts w:ascii="Times New Roman" w:eastAsia="黑体" w:cs="Times New Roman" w:hAnsi="Times New Roman"/>
            </w:rPr>
            <w:t xml:space="preserve">第一部分 </w:t>
          </w:r>
          <w:r>
            <w:rPr>
              <w:rFonts w:ascii="Times New Roman" w:eastAsia="黑体" w:cs="Times New Roman" w:hAnsi="Times New Roman"/>
              <w:bCs w:val="0"/>
            </w:rPr>
            <w:t>部门概况</w:t>
          </w:r>
          <w:r>
            <w:tab/>
          </w:r>
          <w:r>
            <w:fldChar w:fldCharType="begin"/>
          </w:r>
          <w:r>
            <w:instrText xml:space="preserve"> PAGEREF _Toc30510 \h </w:instrText>
          </w:r>
          <w:r>
            <w:fldChar w:fldCharType="separate"/>
          </w:r>
          <w:r>
            <w:t>3</w:t>
          </w:r>
          <w:r>
            <w:fldChar w:fldCharType="end"/>
          </w:r>
          <w:r>
            <w:fldChar w:fldCharType="end"/>
          </w:r>
        </w:p>
        <w:p>
          <w:pPr>
            <w:pStyle w:val="22"/>
            <w:tabs>
              <w:tab w:val="clear" w:pos="8296"/>
              <w:tab w:val="right" w:leader="dot" w:pos="8306"/>
            </w:tabs>
          </w:pPr>
          <w:r>
            <w:fldChar w:fldCharType="begin"/>
          </w:r>
          <w:r>
            <w:instrText xml:space="preserve"> HYPERLINK \l _Toc30216 </w:instrText>
          </w:r>
          <w:r>
            <w:fldChar w:fldCharType="separate"/>
          </w:r>
          <w:r>
            <w:rPr>
              <w:rFonts w:ascii="Times New Roman" w:eastAsia="黑体" w:cs="Times New Roman" w:hAnsi="Times New Roman"/>
              <w:bCs/>
              <w:kern w:val="2"/>
              <w:szCs w:val="32"/>
              <w:lang w:val="en-US" w:eastAsia="zh-CN" w:bidi="ar-SA"/>
            </w:rPr>
            <w:t>一、基本职能及主要工作</w:t>
          </w:r>
          <w:r>
            <w:tab/>
          </w:r>
          <w:r>
            <w:fldChar w:fldCharType="begin"/>
          </w:r>
          <w:r>
            <w:instrText xml:space="preserve"> PAGEREF _Toc30216 \h </w:instrText>
          </w:r>
          <w:r>
            <w:fldChar w:fldCharType="separate"/>
          </w:r>
          <w:r>
            <w:t>3</w:t>
          </w:r>
          <w:r>
            <w:fldChar w:fldCharType="end"/>
          </w:r>
          <w:r>
            <w:fldChar w:fldCharType="end"/>
          </w:r>
        </w:p>
        <w:p>
          <w:pPr>
            <w:pStyle w:val="17"/>
            <w:tabs>
              <w:tab w:val="clear" w:pos="8296"/>
              <w:tab w:val="right" w:leader="dot" w:pos="8306"/>
            </w:tabs>
          </w:pPr>
          <w:r>
            <w:fldChar w:fldCharType="begin"/>
          </w:r>
          <w:r>
            <w:instrText xml:space="preserve"> HYPERLINK \l _Toc4407 </w:instrText>
          </w:r>
          <w:r>
            <w:fldChar w:fldCharType="separate"/>
          </w:r>
          <w:r>
            <w:rPr>
              <w:rFonts w:ascii="Times New Roman" w:eastAsia="楷体" w:cs="Times New Roman" w:hAnsi="Times New Roman"/>
            </w:rPr>
            <w:t>（一）主要职能</w:t>
          </w:r>
          <w:r>
            <w:tab/>
          </w:r>
          <w:r>
            <w:fldChar w:fldCharType="begin"/>
          </w:r>
          <w:r>
            <w:instrText xml:space="preserve"> PAGEREF _Toc4407 \h </w:instrText>
          </w:r>
          <w:r>
            <w:fldChar w:fldCharType="separate"/>
          </w:r>
          <w:r>
            <w:t>3</w:t>
          </w:r>
          <w:r>
            <w:fldChar w:fldCharType="end"/>
          </w:r>
          <w:r>
            <w:fldChar w:fldCharType="end"/>
          </w:r>
        </w:p>
        <w:p>
          <w:pPr>
            <w:pStyle w:val="17"/>
            <w:tabs>
              <w:tab w:val="clear" w:pos="8296"/>
              <w:tab w:val="right" w:leader="dot" w:pos="8306"/>
            </w:tabs>
          </w:pPr>
          <w:r>
            <w:fldChar w:fldCharType="begin"/>
          </w:r>
          <w:r>
            <w:instrText xml:space="preserve"> HYPERLINK \l _Toc18082 </w:instrText>
          </w:r>
          <w:r>
            <w:fldChar w:fldCharType="separate"/>
          </w:r>
          <w:r>
            <w:rPr>
              <w:rFonts w:ascii="Times New Roman" w:eastAsia="楷体" w:cs="Times New Roman" w:hAnsi="Times New Roman"/>
            </w:rPr>
            <w:t>（二）</w:t>
          </w:r>
          <w:r>
            <w:rPr>
              <w:rFonts w:ascii="Times New Roman" w:eastAsia="楷体" w:cs="Times New Roman" w:hAnsi="Times New Roman" w:hint="eastAsia"/>
              <w:lang w:eastAsia="zh-CN"/>
            </w:rPr>
            <w:t>2024年</w:t>
          </w:r>
          <w:r>
            <w:rPr>
              <w:rFonts w:ascii="Times New Roman" w:eastAsia="楷体" w:cs="Times New Roman" w:hAnsi="Times New Roman"/>
            </w:rPr>
            <w:t>重点工作完成情况</w:t>
          </w:r>
          <w:r>
            <w:tab/>
          </w:r>
          <w:r>
            <w:fldChar w:fldCharType="begin"/>
          </w:r>
          <w:r>
            <w:instrText xml:space="preserve"> PAGEREF _Toc18082 \h </w:instrText>
          </w:r>
          <w:r>
            <w:fldChar w:fldCharType="separate"/>
          </w:r>
          <w:r>
            <w:t>3</w:t>
          </w:r>
          <w:r>
            <w:fldChar w:fldCharType="end"/>
          </w:r>
          <w:r>
            <w:fldChar w:fldCharType="end"/>
          </w:r>
        </w:p>
        <w:p>
          <w:pPr>
            <w:pStyle w:val="22"/>
            <w:tabs>
              <w:tab w:val="clear" w:pos="8296"/>
              <w:tab w:val="right" w:leader="dot" w:pos="8306"/>
            </w:tabs>
          </w:pPr>
          <w:r>
            <w:fldChar w:fldCharType="begin"/>
          </w:r>
          <w:r>
            <w:instrText xml:space="preserve"> HYPERLINK \l _Toc26350 </w:instrText>
          </w:r>
          <w:r>
            <w:fldChar w:fldCharType="separate"/>
          </w:r>
          <w:r>
            <w:rPr>
              <w:rFonts w:ascii="Times New Roman" w:eastAsia="黑体" w:cs="Times New Roman" w:hAnsi="Times New Roman"/>
              <w:bCs/>
              <w:kern w:val="2"/>
              <w:szCs w:val="32"/>
              <w:lang w:val="en-US" w:eastAsia="zh-CN" w:bidi="ar-SA"/>
            </w:rPr>
            <w:t>二、机构设置</w:t>
          </w:r>
          <w:r>
            <w:tab/>
          </w:r>
          <w:r>
            <w:fldChar w:fldCharType="begin"/>
          </w:r>
          <w:r>
            <w:instrText xml:space="preserve"> PAGEREF _Toc26350 \h </w:instrText>
          </w:r>
          <w:r>
            <w:fldChar w:fldCharType="separate"/>
          </w:r>
          <w:r>
            <w:t>4</w:t>
          </w:r>
          <w:r>
            <w:fldChar w:fldCharType="end"/>
          </w:r>
          <w:r>
            <w:fldChar w:fldCharType="end"/>
          </w:r>
        </w:p>
        <w:p>
          <w:pPr>
            <w:pStyle w:val="21"/>
            <w:tabs>
              <w:tab w:val="clear" w:pos="8296"/>
              <w:tab w:val="right" w:leader="dot" w:pos="8306"/>
            </w:tabs>
          </w:pPr>
          <w:r>
            <w:fldChar w:fldCharType="begin"/>
          </w:r>
          <w:r>
            <w:instrText xml:space="preserve"> HYPERLINK \l _Toc1044 </w:instrText>
          </w:r>
          <w:r>
            <w:fldChar w:fldCharType="separate"/>
          </w:r>
          <w:r>
            <w:rPr>
              <w:rFonts w:ascii="Times New Roman" w:eastAsia="黑体" w:cs="Times New Roman" w:hAnsi="Times New Roman"/>
            </w:rPr>
            <w:t xml:space="preserve">第二部分 </w:t>
          </w:r>
          <w:r>
            <w:rPr>
              <w:rFonts w:eastAsia="黑体" w:cs="Times New Roman" w:hint="eastAsia"/>
              <w:lang w:eastAsia="zh-CN"/>
            </w:rPr>
            <w:t>2024年</w:t>
          </w:r>
          <w:r>
            <w:rPr>
              <w:rFonts w:ascii="Times New Roman" w:eastAsia="黑体" w:cs="Times New Roman" w:hAnsi="Times New Roman"/>
            </w:rPr>
            <w:t>度部门决算情况说明</w:t>
          </w:r>
          <w:r>
            <w:tab/>
          </w:r>
          <w:r>
            <w:fldChar w:fldCharType="begin"/>
          </w:r>
          <w:r>
            <w:instrText xml:space="preserve"> PAGEREF _Toc1044 \h </w:instrText>
          </w:r>
          <w:r>
            <w:fldChar w:fldCharType="separate"/>
          </w:r>
          <w:r>
            <w:t>5</w:t>
          </w:r>
          <w:r>
            <w:fldChar w:fldCharType="end"/>
          </w:r>
          <w:r>
            <w:fldChar w:fldCharType="end"/>
          </w:r>
        </w:p>
        <w:p>
          <w:pPr>
            <w:pStyle w:val="22"/>
            <w:tabs>
              <w:tab w:val="clear" w:pos="8296"/>
              <w:tab w:val="right" w:leader="dot" w:pos="8306"/>
            </w:tabs>
          </w:pPr>
          <w:r>
            <w:fldChar w:fldCharType="begin"/>
          </w:r>
          <w:r>
            <w:instrText xml:space="preserve"> HYPERLINK \l _Toc13169 </w:instrText>
          </w:r>
          <w:r>
            <w:fldChar w:fldCharType="separate"/>
          </w:r>
          <w:r>
            <w:rPr>
              <w:rFonts w:ascii="黑体" w:eastAsia="黑体" w:cs="黑体" w:hint="eastAsia"/>
              <w:szCs w:val="32"/>
              <w:lang w:val="en-US" w:eastAsia="zh-CN"/>
            </w:rPr>
            <w:t>一、</w:t>
          </w:r>
          <w:r>
            <w:rPr>
              <w:rFonts w:ascii="黑体" w:eastAsia="黑体" w:cs="黑体" w:hint="eastAsia"/>
              <w:szCs w:val="32"/>
            </w:rPr>
            <w:t>收</w:t>
          </w:r>
          <w:r>
            <w:rPr>
              <w:rFonts w:ascii="黑体" w:eastAsia="黑体" w:cs="黑体" w:hint="eastAsia"/>
            </w:rPr>
            <w:t>入支出决算总体情况说明</w:t>
          </w:r>
          <w:r>
            <w:tab/>
          </w:r>
          <w:r>
            <w:fldChar w:fldCharType="begin"/>
          </w:r>
          <w:r>
            <w:instrText xml:space="preserve"> PAGEREF _Toc13169 \h </w:instrText>
          </w:r>
          <w:r>
            <w:fldChar w:fldCharType="separate"/>
          </w:r>
          <w:r>
            <w:t>5</w:t>
          </w:r>
          <w:r>
            <w:fldChar w:fldCharType="end"/>
          </w:r>
          <w:r>
            <w:fldChar w:fldCharType="end"/>
          </w:r>
        </w:p>
        <w:p>
          <w:pPr>
            <w:pStyle w:val="22"/>
            <w:tabs>
              <w:tab w:val="clear" w:pos="8296"/>
              <w:tab w:val="right" w:leader="dot" w:pos="8306"/>
            </w:tabs>
          </w:pPr>
          <w:r>
            <w:fldChar w:fldCharType="begin"/>
          </w:r>
          <w:r>
            <w:instrText xml:space="preserve"> HYPERLINK \l _Toc20000 </w:instrText>
          </w:r>
          <w:r>
            <w:fldChar w:fldCharType="separate"/>
          </w:r>
          <w:r>
            <w:rPr>
              <w:rFonts w:ascii="黑体" w:eastAsia="黑体" w:cs="黑体"/>
              <w:szCs w:val="32"/>
              <w:lang w:val="en-US" w:eastAsia="zh-CN"/>
            </w:rPr>
            <w:t>二、收入决算情况说明</w:t>
          </w:r>
          <w:r>
            <w:tab/>
          </w:r>
          <w:r>
            <w:fldChar w:fldCharType="begin"/>
          </w:r>
          <w:r>
            <w:instrText xml:space="preserve"> PAGEREF _Toc20000 \h </w:instrText>
          </w:r>
          <w:r>
            <w:fldChar w:fldCharType="separate"/>
          </w:r>
          <w:r>
            <w:t>5</w:t>
          </w:r>
          <w:r>
            <w:fldChar w:fldCharType="end"/>
          </w:r>
          <w:r>
            <w:fldChar w:fldCharType="end"/>
          </w:r>
        </w:p>
        <w:p>
          <w:pPr>
            <w:pStyle w:val="22"/>
            <w:tabs>
              <w:tab w:val="clear" w:pos="8296"/>
              <w:tab w:val="right" w:leader="dot" w:pos="8306"/>
            </w:tabs>
          </w:pPr>
          <w:r>
            <w:fldChar w:fldCharType="begin"/>
          </w:r>
          <w:r>
            <w:instrText xml:space="preserve"> HYPERLINK \l _Toc3117 </w:instrText>
          </w:r>
          <w:r>
            <w:fldChar w:fldCharType="separate"/>
          </w:r>
          <w:r>
            <w:rPr>
              <w:rFonts w:ascii="黑体" w:eastAsia="黑体" w:cs="黑体"/>
              <w:szCs w:val="32"/>
              <w:lang w:val="en-US" w:eastAsia="zh-CN"/>
            </w:rPr>
            <w:t>三、支出决算情况说明</w:t>
          </w:r>
          <w:r>
            <w:tab/>
          </w:r>
          <w:r>
            <w:fldChar w:fldCharType="begin"/>
          </w:r>
          <w:r>
            <w:instrText xml:space="preserve"> PAGEREF _Toc3117 \h </w:instrText>
          </w:r>
          <w:r>
            <w:fldChar w:fldCharType="separate"/>
          </w:r>
          <w:r>
            <w:t>6</w:t>
          </w:r>
          <w:r>
            <w:fldChar w:fldCharType="end"/>
          </w:r>
          <w:r>
            <w:fldChar w:fldCharType="end"/>
          </w:r>
        </w:p>
        <w:p>
          <w:pPr>
            <w:pStyle w:val="22"/>
            <w:tabs>
              <w:tab w:val="clear" w:pos="8296"/>
              <w:tab w:val="right" w:leader="dot" w:pos="8306"/>
            </w:tabs>
          </w:pPr>
          <w:r>
            <w:fldChar w:fldCharType="begin"/>
          </w:r>
          <w:r>
            <w:instrText xml:space="preserve"> HYPERLINK \l _Toc20073 </w:instrText>
          </w:r>
          <w:r>
            <w:fldChar w:fldCharType="separate"/>
          </w:r>
          <w:r>
            <w:rPr>
              <w:rFonts w:ascii="黑体" w:eastAsia="黑体" w:cs="黑体"/>
              <w:szCs w:val="32"/>
              <w:lang w:val="en-US" w:eastAsia="zh-CN"/>
            </w:rPr>
            <w:t>四、财政拨款收入支出决算总体情况说明</w:t>
          </w:r>
          <w:r>
            <w:tab/>
          </w:r>
          <w:r>
            <w:fldChar w:fldCharType="begin"/>
          </w:r>
          <w:r>
            <w:instrText xml:space="preserve"> PAGEREF _Toc20073 \h </w:instrText>
          </w:r>
          <w:r>
            <w:fldChar w:fldCharType="separate"/>
          </w:r>
          <w:r>
            <w:t>6</w:t>
          </w:r>
          <w:r>
            <w:fldChar w:fldCharType="end"/>
          </w:r>
          <w:r>
            <w:fldChar w:fldCharType="end"/>
          </w:r>
        </w:p>
        <w:p>
          <w:pPr>
            <w:pStyle w:val="22"/>
            <w:tabs>
              <w:tab w:val="clear" w:pos="8296"/>
              <w:tab w:val="right" w:leader="dot" w:pos="8306"/>
            </w:tabs>
          </w:pPr>
          <w:r>
            <w:fldChar w:fldCharType="begin"/>
          </w:r>
          <w:r>
            <w:instrText xml:space="preserve"> HYPERLINK \l _Toc24191 </w:instrText>
          </w:r>
          <w:r>
            <w:fldChar w:fldCharType="separate"/>
          </w:r>
          <w:r>
            <w:rPr>
              <w:rFonts w:ascii="黑体" w:eastAsia="黑体" w:cs="黑体"/>
              <w:szCs w:val="32"/>
              <w:lang w:val="en-US" w:eastAsia="zh-CN"/>
            </w:rPr>
            <w:t>五、一般公共预算财政拨款支出决算情况说明</w:t>
          </w:r>
          <w:r>
            <w:tab/>
          </w:r>
          <w:r>
            <w:fldChar w:fldCharType="begin"/>
          </w:r>
          <w:r>
            <w:instrText xml:space="preserve"> PAGEREF _Toc24191 \h </w:instrText>
          </w:r>
          <w:r>
            <w:fldChar w:fldCharType="separate"/>
          </w:r>
          <w:r>
            <w:t>7</w:t>
          </w:r>
          <w:r>
            <w:fldChar w:fldCharType="end"/>
          </w:r>
          <w:r>
            <w:fldChar w:fldCharType="end"/>
          </w:r>
        </w:p>
        <w:p>
          <w:pPr>
            <w:pStyle w:val="17"/>
            <w:tabs>
              <w:tab w:val="clear" w:pos="8296"/>
              <w:tab w:val="right" w:leader="dot" w:pos="8306"/>
            </w:tabs>
          </w:pPr>
          <w:r>
            <w:fldChar w:fldCharType="begin"/>
          </w:r>
          <w:r>
            <w:instrText xml:space="preserve"> HYPERLINK \l _Toc1552 </w:instrText>
          </w:r>
          <w:r>
            <w:fldChar w:fldCharType="separate"/>
          </w:r>
          <w:r>
            <w:rPr>
              <w:rFonts w:ascii="Times New Roman" w:eastAsia="楷体" w:cs="Times New Roman" w:hAnsi="Times New Roman"/>
            </w:rPr>
            <w:t>（一）一般公共预算财政拨款支出决算总体情况</w:t>
          </w:r>
          <w:r>
            <w:tab/>
          </w:r>
          <w:r>
            <w:fldChar w:fldCharType="begin"/>
          </w:r>
          <w:r>
            <w:instrText xml:space="preserve"> PAGEREF _Toc1552 \h </w:instrText>
          </w:r>
          <w:r>
            <w:fldChar w:fldCharType="separate"/>
          </w:r>
          <w:r>
            <w:t>7</w:t>
          </w:r>
          <w:r>
            <w:fldChar w:fldCharType="end"/>
          </w:r>
          <w:r>
            <w:fldChar w:fldCharType="end"/>
          </w:r>
        </w:p>
        <w:p>
          <w:pPr>
            <w:pStyle w:val="17"/>
            <w:tabs>
              <w:tab w:val="clear" w:pos="8296"/>
              <w:tab w:val="right" w:leader="dot" w:pos="8306"/>
            </w:tabs>
          </w:pPr>
          <w:r>
            <w:fldChar w:fldCharType="begin"/>
          </w:r>
          <w:r>
            <w:instrText xml:space="preserve"> HYPERLINK \l _Toc13136 </w:instrText>
          </w:r>
          <w:r>
            <w:fldChar w:fldCharType="separate"/>
          </w:r>
          <w:r>
            <w:rPr>
              <w:rFonts w:ascii="Times New Roman" w:eastAsia="楷体" w:cs="Times New Roman" w:hAnsi="Times New Roman"/>
            </w:rPr>
            <w:t>（二）一般公共预算财政拨款支出决算结构情况</w:t>
          </w:r>
          <w:r>
            <w:tab/>
          </w:r>
          <w:r>
            <w:fldChar w:fldCharType="begin"/>
          </w:r>
          <w:r>
            <w:instrText xml:space="preserve"> PAGEREF _Toc13136 \h </w:instrText>
          </w:r>
          <w:r>
            <w:fldChar w:fldCharType="separate"/>
          </w:r>
          <w:r>
            <w:t>7</w:t>
          </w:r>
          <w:r>
            <w:fldChar w:fldCharType="end"/>
          </w:r>
          <w:r>
            <w:fldChar w:fldCharType="end"/>
          </w:r>
        </w:p>
        <w:p>
          <w:pPr>
            <w:pStyle w:val="17"/>
            <w:tabs>
              <w:tab w:val="clear" w:pos="8296"/>
              <w:tab w:val="right" w:leader="dot" w:pos="8306"/>
            </w:tabs>
          </w:pPr>
          <w:r>
            <w:fldChar w:fldCharType="begin"/>
          </w:r>
          <w:r>
            <w:instrText xml:space="preserve"> HYPERLINK \l _Toc32101 </w:instrText>
          </w:r>
          <w:r>
            <w:fldChar w:fldCharType="separate"/>
          </w:r>
          <w:r>
            <w:rPr>
              <w:rFonts w:ascii="Times New Roman" w:eastAsia="楷体" w:cs="Times New Roman" w:hAnsi="Times New Roman"/>
              <w:bCs/>
              <w:kern w:val="2"/>
              <w:szCs w:val="32"/>
              <w:lang w:val="en-US" w:eastAsia="zh-CN" w:bidi="ar-SA"/>
            </w:rPr>
            <w:t>（三）一般公共预算财政拨款支出决算具体情况</w:t>
          </w:r>
          <w:r>
            <w:tab/>
          </w:r>
          <w:r>
            <w:fldChar w:fldCharType="begin"/>
          </w:r>
          <w:r>
            <w:instrText xml:space="preserve"> PAGEREF _Toc32101 \h </w:instrText>
          </w:r>
          <w:r>
            <w:fldChar w:fldCharType="separate"/>
          </w:r>
          <w:r>
            <w:t>8</w:t>
          </w:r>
          <w:r>
            <w:fldChar w:fldCharType="end"/>
          </w:r>
          <w:r>
            <w:fldChar w:fldCharType="end"/>
          </w:r>
        </w:p>
        <w:p>
          <w:pPr>
            <w:pStyle w:val="22"/>
            <w:tabs>
              <w:tab w:val="clear" w:pos="8296"/>
              <w:tab w:val="right" w:leader="dot" w:pos="8306"/>
            </w:tabs>
          </w:pPr>
          <w:r>
            <w:fldChar w:fldCharType="begin"/>
          </w:r>
          <w:r>
            <w:instrText xml:space="preserve"> HYPERLINK \l _Toc12440 </w:instrText>
          </w:r>
          <w:r>
            <w:fldChar w:fldCharType="separate"/>
          </w:r>
          <w:r>
            <w:rPr>
              <w:rFonts w:ascii="黑体" w:eastAsia="黑体" w:cs="黑体"/>
              <w:szCs w:val="32"/>
              <w:lang w:val="en-US" w:eastAsia="zh-CN"/>
            </w:rPr>
            <w:t>六、一般公共预算财政拨款基本支出决算情况说明</w:t>
          </w:r>
          <w:r>
            <w:tab/>
          </w:r>
          <w:r>
            <w:fldChar w:fldCharType="begin"/>
          </w:r>
          <w:r>
            <w:instrText xml:space="preserve"> PAGEREF _Toc12440 \h </w:instrText>
          </w:r>
          <w:r>
            <w:fldChar w:fldCharType="separate"/>
          </w:r>
          <w:r>
            <w:t>9</w:t>
          </w:r>
          <w:r>
            <w:fldChar w:fldCharType="end"/>
          </w:r>
          <w:r>
            <w:fldChar w:fldCharType="end"/>
          </w:r>
        </w:p>
        <w:p>
          <w:pPr>
            <w:pStyle w:val="22"/>
            <w:tabs>
              <w:tab w:val="clear" w:pos="8296"/>
              <w:tab w:val="right" w:leader="dot" w:pos="8306"/>
            </w:tabs>
          </w:pPr>
          <w:r>
            <w:fldChar w:fldCharType="begin"/>
          </w:r>
          <w:r>
            <w:instrText xml:space="preserve"> HYPERLINK \l _Toc3548 </w:instrText>
          </w:r>
          <w:r>
            <w:fldChar w:fldCharType="separate"/>
          </w:r>
          <w:r>
            <w:rPr>
              <w:rFonts w:ascii="黑体" w:eastAsia="黑体" w:cs="黑体"/>
              <w:kern w:val="2"/>
              <w:szCs w:val="32"/>
              <w:lang w:val="en-US" w:eastAsia="zh-CN" w:bidi="ar-SA"/>
            </w:rPr>
            <w:t>七、“三公”经费财政拨款支出决算情况说明</w:t>
          </w:r>
          <w:r>
            <w:tab/>
          </w:r>
          <w:r>
            <w:fldChar w:fldCharType="begin"/>
          </w:r>
          <w:r>
            <w:instrText xml:space="preserve"> PAGEREF _Toc3548 \h </w:instrText>
          </w:r>
          <w:r>
            <w:fldChar w:fldCharType="separate"/>
          </w:r>
          <w:r>
            <w:t>9</w:t>
          </w:r>
          <w:r>
            <w:fldChar w:fldCharType="end"/>
          </w:r>
          <w:r>
            <w:fldChar w:fldCharType="end"/>
          </w:r>
        </w:p>
        <w:p>
          <w:pPr>
            <w:pStyle w:val="17"/>
            <w:tabs>
              <w:tab w:val="clear" w:pos="8296"/>
              <w:tab w:val="right" w:leader="dot" w:pos="8306"/>
            </w:tabs>
          </w:pPr>
          <w:r>
            <w:fldChar w:fldCharType="begin"/>
          </w:r>
          <w:r>
            <w:instrText xml:space="preserve"> HYPERLINK \l _Toc20457 </w:instrText>
          </w:r>
          <w:r>
            <w:fldChar w:fldCharType="separate"/>
          </w:r>
          <w:r>
            <w:rPr>
              <w:rFonts w:ascii="Times New Roman" w:eastAsia="楷体" w:cs="Times New Roman" w:hAnsi="Times New Roman"/>
              <w:bCs/>
              <w:kern w:val="2"/>
              <w:szCs w:val="32"/>
              <w:lang w:val="en-US" w:eastAsia="zh-CN" w:bidi="ar-SA"/>
            </w:rPr>
            <w:t>（一）“三公”经费财政拨款支出决算总体情况说明</w:t>
          </w:r>
          <w:r>
            <w:tab/>
          </w:r>
          <w:r>
            <w:fldChar w:fldCharType="begin"/>
          </w:r>
          <w:r>
            <w:instrText xml:space="preserve"> PAGEREF _Toc20457 \h </w:instrText>
          </w:r>
          <w:r>
            <w:fldChar w:fldCharType="separate"/>
          </w:r>
          <w:r>
            <w:t>9</w:t>
          </w:r>
          <w:r>
            <w:fldChar w:fldCharType="end"/>
          </w:r>
          <w:r>
            <w:fldChar w:fldCharType="end"/>
          </w:r>
        </w:p>
        <w:p>
          <w:pPr>
            <w:pStyle w:val="17"/>
            <w:tabs>
              <w:tab w:val="clear" w:pos="8296"/>
              <w:tab w:val="right" w:leader="dot" w:pos="8306"/>
            </w:tabs>
          </w:pPr>
          <w:r>
            <w:fldChar w:fldCharType="begin"/>
          </w:r>
          <w:r>
            <w:instrText xml:space="preserve"> HYPERLINK \l _Toc228 </w:instrText>
          </w:r>
          <w:r>
            <w:fldChar w:fldCharType="separate"/>
          </w:r>
          <w:r>
            <w:rPr>
              <w:rFonts w:ascii="Times New Roman" w:eastAsia="楷体" w:cs="Times New Roman" w:hAnsi="Times New Roman"/>
              <w:bCs/>
              <w:kern w:val="2"/>
              <w:szCs w:val="32"/>
              <w:lang w:val="en-US" w:eastAsia="zh-CN" w:bidi="ar-SA"/>
            </w:rPr>
            <w:t>（二）“三公”经费财政拨款支出决算具体情况说明</w:t>
          </w:r>
          <w:r>
            <w:tab/>
          </w:r>
          <w:r>
            <w:fldChar w:fldCharType="begin"/>
          </w:r>
          <w:r>
            <w:instrText xml:space="preserve"> PAGEREF _Toc228 \h </w:instrText>
          </w:r>
          <w:r>
            <w:fldChar w:fldCharType="separate"/>
          </w:r>
          <w:r>
            <w:t>9</w:t>
          </w:r>
          <w:r>
            <w:fldChar w:fldCharType="end"/>
          </w:r>
          <w:r>
            <w:fldChar w:fldCharType="end"/>
          </w:r>
        </w:p>
        <w:p>
          <w:pPr>
            <w:pStyle w:val="22"/>
            <w:tabs>
              <w:tab w:val="clear" w:pos="8296"/>
              <w:tab w:val="right" w:leader="dot" w:pos="8306"/>
            </w:tabs>
          </w:pPr>
          <w:r>
            <w:fldChar w:fldCharType="begin"/>
          </w:r>
          <w:r>
            <w:instrText xml:space="preserve"> HYPERLINK \l _Toc14968 </w:instrText>
          </w:r>
          <w:r>
            <w:fldChar w:fldCharType="separate"/>
          </w:r>
          <w:r>
            <w:rPr>
              <w:rFonts w:ascii="黑体" w:eastAsia="黑体" w:cs="黑体"/>
              <w:kern w:val="2"/>
              <w:szCs w:val="32"/>
              <w:lang w:val="en-US" w:eastAsia="zh-CN" w:bidi="ar-SA"/>
            </w:rPr>
            <w:t>八、政府性基金预算支出决算情况说明</w:t>
          </w:r>
          <w:r>
            <w:tab/>
          </w:r>
          <w:r>
            <w:fldChar w:fldCharType="begin"/>
          </w:r>
          <w:r>
            <w:instrText xml:space="preserve"> PAGEREF _Toc14968 \h </w:instrText>
          </w:r>
          <w:r>
            <w:fldChar w:fldCharType="separate"/>
          </w:r>
          <w:r>
            <w:t>10</w:t>
          </w:r>
          <w:r>
            <w:fldChar w:fldCharType="end"/>
          </w:r>
          <w:r>
            <w:fldChar w:fldCharType="end"/>
          </w:r>
        </w:p>
        <w:p>
          <w:pPr>
            <w:pStyle w:val="22"/>
            <w:tabs>
              <w:tab w:val="clear" w:pos="8296"/>
              <w:tab w:val="right" w:leader="dot" w:pos="8306"/>
            </w:tabs>
          </w:pPr>
          <w:r>
            <w:fldChar w:fldCharType="begin"/>
          </w:r>
          <w:r>
            <w:instrText xml:space="preserve"> HYPERLINK \l _Toc21086 </w:instrText>
          </w:r>
          <w:r>
            <w:fldChar w:fldCharType="separate"/>
          </w:r>
          <w:r>
            <w:rPr>
              <w:rFonts w:ascii="黑体" w:eastAsia="黑体" w:cs="黑体" w:hint="eastAsia"/>
              <w:kern w:val="2"/>
              <w:szCs w:val="32"/>
              <w:lang w:val="en-US" w:eastAsia="zh-CN" w:bidi="ar-SA"/>
            </w:rPr>
            <w:t>九、</w:t>
          </w:r>
          <w:r>
            <w:rPr>
              <w:rFonts w:ascii="黑体" w:eastAsia="黑体" w:cs="黑体"/>
              <w:kern w:val="2"/>
              <w:szCs w:val="32"/>
              <w:lang w:val="en-US" w:eastAsia="zh-CN" w:bidi="ar-SA"/>
            </w:rPr>
            <w:t>国有资本经营预算支出决算情况说明</w:t>
          </w:r>
          <w:r>
            <w:tab/>
          </w:r>
          <w:r>
            <w:fldChar w:fldCharType="begin"/>
          </w:r>
          <w:r>
            <w:instrText xml:space="preserve"> PAGEREF _Toc21086 \h </w:instrText>
          </w:r>
          <w:r>
            <w:fldChar w:fldCharType="separate"/>
          </w:r>
          <w:r>
            <w:t>10</w:t>
          </w:r>
          <w:r>
            <w:fldChar w:fldCharType="end"/>
          </w:r>
          <w:r>
            <w:fldChar w:fldCharType="end"/>
          </w:r>
        </w:p>
        <w:p>
          <w:pPr>
            <w:pStyle w:val="22"/>
            <w:tabs>
              <w:tab w:val="clear" w:pos="8296"/>
              <w:tab w:val="right" w:leader="dot" w:pos="8306"/>
            </w:tabs>
          </w:pPr>
          <w:r>
            <w:fldChar w:fldCharType="begin"/>
          </w:r>
          <w:r>
            <w:instrText xml:space="preserve"> HYPERLINK \l _Toc32313 </w:instrText>
          </w:r>
          <w:r>
            <w:fldChar w:fldCharType="separate"/>
          </w:r>
          <w:r>
            <w:rPr>
              <w:rFonts w:ascii="黑体" w:eastAsia="黑体" w:cs="黑体" w:hint="eastAsia"/>
              <w:kern w:val="2"/>
              <w:szCs w:val="32"/>
              <w:lang w:val="en-US" w:eastAsia="zh-CN" w:bidi="ar-SA"/>
            </w:rPr>
            <w:t>十、</w:t>
          </w:r>
          <w:r>
            <w:rPr>
              <w:rFonts w:ascii="黑体" w:eastAsia="黑体" w:cs="黑体"/>
              <w:kern w:val="2"/>
              <w:szCs w:val="32"/>
              <w:lang w:val="en-US" w:eastAsia="zh-CN" w:bidi="ar-SA"/>
            </w:rPr>
            <w:t>预算绩效情况说明</w:t>
          </w:r>
          <w:r>
            <w:tab/>
          </w:r>
          <w:r>
            <w:fldChar w:fldCharType="begin"/>
          </w:r>
          <w:r>
            <w:instrText xml:space="preserve"> PAGEREF _Toc32313 \h </w:instrText>
          </w:r>
          <w:r>
            <w:fldChar w:fldCharType="separate"/>
          </w:r>
          <w:r>
            <w:t>10</w:t>
          </w:r>
          <w:r>
            <w:fldChar w:fldCharType="end"/>
          </w:r>
          <w:r>
            <w:fldChar w:fldCharType="end"/>
          </w:r>
        </w:p>
        <w:p>
          <w:pPr>
            <w:pStyle w:val="17"/>
            <w:tabs>
              <w:tab w:val="clear" w:pos="8296"/>
              <w:tab w:val="right" w:leader="dot" w:pos="8306"/>
            </w:tabs>
          </w:pPr>
          <w:r>
            <w:fldChar w:fldCharType="begin"/>
          </w:r>
          <w:r>
            <w:instrText xml:space="preserve"> HYPERLINK \l _Toc7093 </w:instrText>
          </w:r>
          <w:r>
            <w:fldChar w:fldCharType="separate"/>
          </w:r>
          <w:r>
            <w:rPr>
              <w:rFonts w:ascii="Times New Roman" w:eastAsia="楷体" w:cs="Times New Roman" w:hAnsi="Times New Roman" w:hint="eastAsia"/>
              <w:bCs/>
              <w:kern w:val="2"/>
              <w:szCs w:val="32"/>
              <w:lang w:val="en-US" w:eastAsia="zh-CN" w:bidi="ar-SA"/>
            </w:rPr>
            <w:t>（一）</w:t>
          </w:r>
          <w:r>
            <w:rPr>
              <w:rFonts w:ascii="Times New Roman" w:eastAsia="楷体" w:cs="Times New Roman" w:hAnsi="Times New Roman"/>
              <w:bCs/>
              <w:kern w:val="2"/>
              <w:szCs w:val="32"/>
              <w:lang w:val="en-US" w:eastAsia="zh-CN" w:bidi="ar-SA"/>
            </w:rPr>
            <w:t>预算绩效管理工作开展情况</w:t>
          </w:r>
          <w:r>
            <w:tab/>
          </w:r>
          <w:r>
            <w:fldChar w:fldCharType="begin"/>
          </w:r>
          <w:r>
            <w:instrText xml:space="preserve"> PAGEREF _Toc7093 \h </w:instrText>
          </w:r>
          <w:r>
            <w:fldChar w:fldCharType="separate"/>
          </w:r>
          <w:r>
            <w:t>10</w:t>
          </w:r>
          <w:r>
            <w:fldChar w:fldCharType="end"/>
          </w:r>
          <w:r>
            <w:fldChar w:fldCharType="end"/>
          </w:r>
        </w:p>
        <w:p>
          <w:pPr>
            <w:pStyle w:val="17"/>
            <w:tabs>
              <w:tab w:val="clear" w:pos="8296"/>
              <w:tab w:val="right" w:leader="dot" w:pos="8306"/>
            </w:tabs>
          </w:pPr>
          <w:r>
            <w:fldChar w:fldCharType="begin"/>
          </w:r>
          <w:r>
            <w:instrText xml:space="preserve"> HYPERLINK \l _Toc11526 </w:instrText>
          </w:r>
          <w:r>
            <w:fldChar w:fldCharType="separate"/>
          </w:r>
          <w:r>
            <w:rPr>
              <w:rFonts w:ascii="Times New Roman" w:eastAsia="楷体" w:cs="Times New Roman" w:hAnsi="Times New Roman" w:hint="eastAsia"/>
              <w:bCs/>
              <w:kern w:val="2"/>
              <w:szCs w:val="32"/>
              <w:lang w:val="en-US" w:eastAsia="zh-CN" w:bidi="ar-SA"/>
            </w:rPr>
            <w:t>（二）</w:t>
          </w:r>
          <w:r>
            <w:rPr>
              <w:rFonts w:ascii="Times New Roman" w:eastAsia="楷体" w:cs="Times New Roman" w:hAnsi="Times New Roman"/>
              <w:bCs/>
              <w:kern w:val="2"/>
              <w:szCs w:val="32"/>
              <w:lang w:val="en-US" w:eastAsia="zh-CN" w:bidi="ar-SA"/>
            </w:rPr>
            <w:t>项目绩效目标完成情况</w:t>
          </w:r>
          <w:r>
            <w:tab/>
          </w:r>
          <w:r>
            <w:fldChar w:fldCharType="begin"/>
          </w:r>
          <w:r>
            <w:instrText xml:space="preserve"> PAGEREF _Toc11526 \h </w:instrText>
          </w:r>
          <w:r>
            <w:fldChar w:fldCharType="separate"/>
          </w:r>
          <w:r>
            <w:t>11</w:t>
          </w:r>
          <w:r>
            <w:fldChar w:fldCharType="end"/>
          </w:r>
          <w:r>
            <w:fldChar w:fldCharType="end"/>
          </w:r>
        </w:p>
        <w:p>
          <w:pPr>
            <w:pStyle w:val="22"/>
            <w:tabs>
              <w:tab w:val="clear" w:pos="8296"/>
              <w:tab w:val="right" w:leader="dot" w:pos="8306"/>
            </w:tabs>
          </w:pPr>
          <w:r>
            <w:fldChar w:fldCharType="begin"/>
          </w:r>
          <w:r>
            <w:instrText xml:space="preserve"> HYPERLINK \l _Toc5364 </w:instrText>
          </w:r>
          <w:r>
            <w:fldChar w:fldCharType="separate"/>
          </w:r>
          <w:r>
            <w:rPr>
              <w:rFonts w:ascii="黑体" w:eastAsia="黑体" w:cs="黑体" w:hint="eastAsia"/>
              <w:kern w:val="2"/>
              <w:szCs w:val="32"/>
              <w:lang w:val="en-US" w:eastAsia="zh-CN" w:bidi="ar-SA"/>
            </w:rPr>
            <w:t>十一、</w:t>
          </w:r>
          <w:r>
            <w:rPr>
              <w:rFonts w:ascii="黑体" w:eastAsia="黑体" w:cs="黑体"/>
              <w:kern w:val="2"/>
              <w:szCs w:val="32"/>
              <w:lang w:val="en-US" w:eastAsia="zh-CN" w:bidi="ar-SA"/>
            </w:rPr>
            <w:t>其他重要事项的情况说明</w:t>
          </w:r>
          <w:r>
            <w:tab/>
          </w:r>
          <w:r>
            <w:fldChar w:fldCharType="begin"/>
          </w:r>
          <w:r>
            <w:instrText xml:space="preserve"> PAGEREF _Toc5364 \h </w:instrText>
          </w:r>
          <w:r>
            <w:fldChar w:fldCharType="separate"/>
          </w:r>
          <w:r>
            <w:t>13</w:t>
          </w:r>
          <w:r>
            <w:fldChar w:fldCharType="end"/>
          </w:r>
          <w:r>
            <w:fldChar w:fldCharType="end"/>
          </w:r>
        </w:p>
        <w:p>
          <w:pPr>
            <w:pStyle w:val="17"/>
            <w:tabs>
              <w:tab w:val="clear" w:pos="8296"/>
              <w:tab w:val="right" w:leader="dot" w:pos="8306"/>
            </w:tabs>
          </w:pPr>
          <w:r>
            <w:fldChar w:fldCharType="begin"/>
          </w:r>
          <w:r>
            <w:instrText xml:space="preserve"> HYPERLINK \l _Toc15860 </w:instrText>
          </w:r>
          <w:r>
            <w:fldChar w:fldCharType="separate"/>
          </w:r>
          <w:r>
            <w:rPr>
              <w:rFonts w:ascii="Times New Roman" w:eastAsia="楷体" w:cs="Times New Roman" w:hAnsi="Times New Roman"/>
              <w:bCs/>
              <w:kern w:val="2"/>
              <w:szCs w:val="32"/>
              <w:lang w:val="en-US" w:eastAsia="zh-CN" w:bidi="ar-SA"/>
            </w:rPr>
            <w:t>（一）机关运行经费支出情况</w:t>
          </w:r>
          <w:r>
            <w:tab/>
          </w:r>
          <w:r>
            <w:fldChar w:fldCharType="begin"/>
          </w:r>
          <w:r>
            <w:instrText xml:space="preserve"> PAGEREF _Toc15860 \h </w:instrText>
          </w:r>
          <w:r>
            <w:fldChar w:fldCharType="separate"/>
          </w:r>
          <w:r>
            <w:t>13</w:t>
          </w:r>
          <w:r>
            <w:fldChar w:fldCharType="end"/>
          </w:r>
          <w:r>
            <w:fldChar w:fldCharType="end"/>
          </w:r>
        </w:p>
        <w:p>
          <w:pPr>
            <w:pStyle w:val="17"/>
            <w:tabs>
              <w:tab w:val="clear" w:pos="8296"/>
              <w:tab w:val="right" w:leader="dot" w:pos="8306"/>
            </w:tabs>
          </w:pPr>
          <w:r>
            <w:fldChar w:fldCharType="begin"/>
          </w:r>
          <w:r>
            <w:instrText xml:space="preserve"> HYPERLINK \l _Toc17227 </w:instrText>
          </w:r>
          <w:r>
            <w:fldChar w:fldCharType="separate"/>
          </w:r>
          <w:r>
            <w:rPr>
              <w:rFonts w:ascii="Times New Roman" w:eastAsia="楷体" w:cs="Times New Roman" w:hAnsi="Times New Roman"/>
              <w:bCs/>
              <w:kern w:val="2"/>
              <w:szCs w:val="32"/>
              <w:lang w:val="en-US" w:eastAsia="zh-CN" w:bidi="ar-SA"/>
            </w:rPr>
            <w:t>（二）国有资产占有使用情况</w:t>
          </w:r>
          <w:r>
            <w:tab/>
          </w:r>
          <w:r>
            <w:fldChar w:fldCharType="begin"/>
          </w:r>
          <w:r>
            <w:instrText xml:space="preserve"> PAGEREF _Toc17227 \h </w:instrText>
          </w:r>
          <w:r>
            <w:fldChar w:fldCharType="separate"/>
          </w:r>
          <w:r>
            <w:t>13</w:t>
          </w:r>
          <w:r>
            <w:fldChar w:fldCharType="end"/>
          </w:r>
          <w:r>
            <w:fldChar w:fldCharType="end"/>
          </w:r>
        </w:p>
        <w:p>
          <w:pPr>
            <w:pStyle w:val="17"/>
            <w:tabs>
              <w:tab w:val="clear" w:pos="8296"/>
              <w:tab w:val="right" w:leader="dot" w:pos="8306"/>
            </w:tabs>
          </w:pPr>
          <w:r>
            <w:fldChar w:fldCharType="begin"/>
          </w:r>
          <w:r>
            <w:instrText xml:space="preserve"> HYPERLINK \l _Toc2613 </w:instrText>
          </w:r>
          <w:r>
            <w:fldChar w:fldCharType="separate"/>
          </w:r>
          <w:r>
            <w:rPr>
              <w:rFonts w:ascii="Times New Roman" w:eastAsia="楷体" w:cs="Times New Roman" w:hAnsi="Times New Roman"/>
              <w:bCs/>
              <w:kern w:val="2"/>
              <w:szCs w:val="32"/>
              <w:lang w:val="en-US" w:eastAsia="zh-CN" w:bidi="ar-SA"/>
            </w:rPr>
            <w:t>（三）政府采购支出情况</w:t>
          </w:r>
          <w:r>
            <w:tab/>
          </w:r>
          <w:r>
            <w:fldChar w:fldCharType="begin"/>
          </w:r>
          <w:r>
            <w:instrText xml:space="preserve"> PAGEREF _Toc2613 \h </w:instrText>
          </w:r>
          <w:r>
            <w:fldChar w:fldCharType="separate"/>
          </w:r>
          <w:r>
            <w:t>13</w:t>
          </w:r>
          <w:r>
            <w:fldChar w:fldCharType="end"/>
          </w:r>
          <w:r>
            <w:fldChar w:fldCharType="end"/>
          </w:r>
        </w:p>
        <w:p>
          <w:pPr>
            <w:pStyle w:val="21"/>
            <w:tabs>
              <w:tab w:val="clear" w:pos="8296"/>
              <w:tab w:val="right" w:leader="dot" w:pos="8306"/>
            </w:tabs>
          </w:pPr>
          <w:r>
            <w:fldChar w:fldCharType="begin"/>
          </w:r>
          <w:r>
            <w:instrText xml:space="preserve"> HYPERLINK \l _Toc26839 </w:instrText>
          </w:r>
          <w:r>
            <w:fldChar w:fldCharType="separate"/>
          </w:r>
          <w:r>
            <w:rPr>
              <w:rFonts w:ascii="Times New Roman" w:eastAsia="黑体" w:cs="Times New Roman" w:hAnsi="Times New Roman" w:hint="eastAsia"/>
              <w:lang w:val="en-US" w:eastAsia="zh-CN"/>
            </w:rPr>
            <w:t>第三部分 名词解释</w:t>
          </w:r>
          <w:r>
            <w:tab/>
          </w:r>
          <w:r>
            <w:fldChar w:fldCharType="begin"/>
          </w:r>
          <w:r>
            <w:instrText xml:space="preserve"> PAGEREF _Toc26839 \h </w:instrText>
          </w:r>
          <w:r>
            <w:fldChar w:fldCharType="separate"/>
          </w:r>
          <w:r>
            <w:t>14</w:t>
          </w:r>
          <w:r>
            <w:fldChar w:fldCharType="end"/>
          </w:r>
          <w:r>
            <w:fldChar w:fldCharType="end"/>
          </w:r>
        </w:p>
        <w:p>
          <w:pPr>
            <w:pStyle w:val="21"/>
            <w:tabs>
              <w:tab w:val="clear" w:pos="8296"/>
              <w:tab w:val="right" w:leader="dot" w:pos="8306"/>
            </w:tabs>
          </w:pPr>
          <w:r>
            <w:fldChar w:fldCharType="begin"/>
          </w:r>
          <w:r>
            <w:instrText xml:space="preserve"> HYPERLINK \l _Toc19011 </w:instrText>
          </w:r>
          <w:r>
            <w:fldChar w:fldCharType="separate"/>
          </w:r>
          <w:r>
            <w:rPr>
              <w:rFonts w:ascii="黑体" w:eastAsia="黑体" w:cs="黑体" w:hint="eastAsia"/>
              <w:szCs w:val="44"/>
              <w:lang w:val="en-US" w:eastAsia="zh-CN" w:bidi="ar-SA"/>
            </w:rPr>
            <w:t xml:space="preserve">第四部分 </w:t>
          </w:r>
          <w:r>
            <w:rPr>
              <w:rFonts w:ascii="黑体" w:eastAsia="黑体" w:cs="黑体" w:hint="eastAsia"/>
              <w:szCs w:val="44"/>
              <w:lang w:bidi="ar-SA"/>
            </w:rPr>
            <w:t>附件</w:t>
          </w:r>
          <w:r>
            <w:tab/>
          </w:r>
          <w:r>
            <w:fldChar w:fldCharType="begin"/>
          </w:r>
          <w:r>
            <w:instrText xml:space="preserve"> PAGEREF _Toc19011 \h </w:instrText>
          </w:r>
          <w:r>
            <w:fldChar w:fldCharType="separate"/>
          </w:r>
          <w:r>
            <w:t>17</w:t>
          </w:r>
          <w:r>
            <w:fldChar w:fldCharType="end"/>
          </w:r>
          <w:r>
            <w:fldChar w:fldCharType="end"/>
          </w:r>
        </w:p>
        <w:p>
          <w:pPr>
            <w:pStyle w:val="21"/>
            <w:tabs>
              <w:tab w:val="clear" w:pos="8296"/>
              <w:tab w:val="right" w:leader="dot" w:pos="8306"/>
            </w:tabs>
          </w:pPr>
          <w:r>
            <w:fldChar w:fldCharType="begin"/>
          </w:r>
          <w:r>
            <w:instrText xml:space="preserve"> HYPERLINK \l _Toc10165 </w:instrText>
          </w:r>
          <w:r>
            <w:fldChar w:fldCharType="separate"/>
          </w:r>
          <w:r>
            <w:rPr>
              <w:rFonts w:ascii="黑体" w:eastAsia="黑体" w:cs="黑体" w:hint="eastAsia"/>
              <w:szCs w:val="44"/>
              <w:lang w:val="en-US" w:eastAsia="zh-CN" w:bidi="ar-SA"/>
            </w:rPr>
            <w:t>第五部分 附表</w:t>
          </w:r>
          <w:r>
            <w:tab/>
          </w:r>
          <w:r>
            <w:fldChar w:fldCharType="begin"/>
          </w:r>
          <w:r>
            <w:instrText xml:space="preserve"> PAGEREF _Toc10165 \h </w:instrText>
          </w:r>
          <w:r>
            <w:fldChar w:fldCharType="separate"/>
          </w:r>
          <w:r>
            <w:t>27</w:t>
          </w:r>
          <w:r>
            <w:fldChar w:fldCharType="end"/>
          </w:r>
          <w:r>
            <w:fldChar w:fldCharType="end"/>
          </w:r>
        </w:p>
        <w:p>
          <w:pPr>
            <w:pStyle w:val="26"/>
            <w:rPr>
              <w:rFonts w:ascii="Times New Roman" w:eastAsia="黑体" w:cs="Times New Roman" w:hAnsi="Times New Roman"/>
              <w:b w:val="0"/>
            </w:rPr>
          </w:pPr>
          <w:r>
            <w:fldChar w:fldCharType="end"/>
          </w:r>
        </w:p>
        <w:bookmarkStart w:id="1" w:name="_Toc15465" w:displacedByCustomXml="next"/>
      </w:sdtContent>
    </w:sdt>
    <w:p>
      <w:pPr>
        <w:pStyle w:val="1"/>
        <w:keepNext/>
        <w:keepLines/>
        <w:pageBreakBefore w:val="0"/>
        <w:widowControl w:val="0"/>
        <w:kinsoku/>
        <w:wordWrap/>
        <w:overflowPunct/>
        <w:topLinePunct w:val="0"/>
        <w:autoSpaceDE/>
        <w:autoSpaceDN/>
        <w:bidi w:val="0"/>
        <w:adjustRightInd/>
        <w:snapToGrid/>
        <w:spacing w:line="240" w:lineRule="auto"/>
        <w:jc w:val="center"/>
        <w:textAlignment w:val="auto"/>
        <w:rPr>
          <w:rFonts w:ascii="Times New Roman" w:eastAsia="黑体" w:cs="Times New Roman" w:hAnsi="Times New Roman"/>
          <w:b w:val="0"/>
        </w:rPr>
      </w:pPr>
    </w:p>
    <w:p>
      <w:pPr>
        <w:rPr>
          <w:rFonts w:ascii="Times New Roman" w:eastAsia="黑体" w:cs="Times New Roman" w:hAnsi="Times New Roman"/>
          <w:b w:val="0"/>
        </w:rPr>
      </w:pPr>
    </w:p>
    <w:p>
      <w:pPr>
        <w:pStyle w:val="26"/>
      </w:pPr>
    </w:p>
    <w:p>
      <w:pPr>
        <w:pStyle w:val="1"/>
        <w:keepNext/>
        <w:keepLines/>
        <w:pageBreakBefore w:val="0"/>
        <w:widowControl w:val="0"/>
        <w:kinsoku/>
        <w:wordWrap/>
        <w:overflowPunct/>
        <w:topLinePunct w:val="0"/>
        <w:autoSpaceDE/>
        <w:autoSpaceDN/>
        <w:bidi w:val="0"/>
        <w:adjustRightInd/>
        <w:snapToGrid/>
        <w:spacing w:line="578" w:lineRule="auto"/>
        <w:jc w:val="center"/>
        <w:textAlignment w:val="auto"/>
        <w:rPr>
          <w:rFonts w:ascii="Times New Roman" w:eastAsia="黑体" w:cs="Times New Roman" w:hAnsi="Times New Roman"/>
          <w:color w:val="000000"/>
          <w:sz w:val="32"/>
          <w:szCs w:val="32"/>
        </w:rPr>
      </w:pPr>
      <w:bookmarkStart w:id="2" w:name="_Toc30510"/>
      <w:r>
        <w:rPr>
          <w:rFonts w:ascii="Times New Roman" w:eastAsia="黑体" w:cs="Times New Roman" w:hAnsi="Times New Roman"/>
          <w:b w:val="0"/>
        </w:rPr>
        <w:t xml:space="preserve">第一部分 </w:t>
      </w:r>
      <w:r>
        <w:rPr>
          <w:rStyle w:val="1Char"/>
          <w:rFonts w:ascii="Times New Roman" w:eastAsia="黑体" w:cs="Times New Roman" w:hAnsi="Times New Roman"/>
          <w:b w:val="0"/>
          <w:bCs w:val="0"/>
        </w:rPr>
        <w:t>部门概况</w:t>
      </w:r>
      <w:bookmarkEnd w:id="1"/>
      <w:bookmarkEnd w:id="2"/>
    </w:p>
    <w:p>
      <w:pPr>
        <w:keepNext w:val="0"/>
        <w:keepLines w:val="0"/>
        <w:pageBreakBefore w:val="0"/>
        <w:widowControl w:val="0"/>
        <w:kinsoku/>
        <w:wordWrap/>
        <w:overflowPunct/>
        <w:topLinePunct w:val="0"/>
        <w:autoSpaceDE/>
        <w:autoSpaceDN/>
        <w:bidi w:val="0"/>
        <w:adjustRightInd/>
        <w:snapToGrid/>
        <w:spacing w:line="578" w:lineRule="exact"/>
        <w:textAlignment w:val="auto"/>
        <w:outlineLvl w:val="1"/>
        <w:rPr>
          <w:rFonts w:ascii="Times New Roman" w:eastAsia="黑体" w:cs="Times New Roman" w:hAnsi="Times New Roman"/>
          <w:b w:val="0"/>
          <w:bCs/>
          <w:color w:val="000000"/>
          <w:kern w:val="2"/>
          <w:sz w:val="32"/>
          <w:szCs w:val="32"/>
          <w:lang w:val="en-US" w:eastAsia="zh-CN" w:bidi="ar-SA"/>
        </w:rPr>
      </w:pPr>
      <w:bookmarkStart w:id="3" w:name="_Toc20260"/>
      <w:bookmarkStart w:id="4" w:name="_Toc15377197"/>
      <w:bookmarkStart w:id="5" w:name="_Toc30216"/>
      <w:r>
        <w:rPr>
          <w:rFonts w:ascii="Times New Roman" w:eastAsia="黑体" w:cs="Times New Roman" w:hAnsi="Times New Roman"/>
          <w:b w:val="0"/>
          <w:bCs/>
          <w:color w:val="000000"/>
          <w:kern w:val="2"/>
          <w:sz w:val="32"/>
          <w:szCs w:val="32"/>
          <w:lang w:val="en-US" w:eastAsia="zh-CN" w:bidi="ar-SA"/>
        </w:rPr>
        <w:t>一、基本职能及主要工作</w:t>
      </w:r>
      <w:bookmarkStart w:id="6" w:name="_Toc15378445"/>
      <w:bookmarkStart w:id="7" w:name="_Toc15377198"/>
      <w:bookmarkEnd w:id="3"/>
      <w:bookmarkEnd w:id="4"/>
      <w:bookmarkEnd w:id="5"/>
    </w:p>
    <w:p>
      <w:pPr>
        <w:pStyle w:val="2"/>
        <w:spacing w:before="0" w:after="0" w:line="240" w:lineRule="auto"/>
        <w:ind w:leftChars="153" w:left="641" w:hangingChars="100" w:hanging="320"/>
        <w:outlineLvl w:val="2"/>
        <w:rPr>
          <w:rFonts w:ascii="Times New Roman" w:eastAsia="楷体" w:cs="Times New Roman" w:hAnsi="Times New Roman"/>
          <w:color w:val="000000"/>
        </w:rPr>
      </w:pPr>
      <w:bookmarkStart w:id="8" w:name="_Toc11875"/>
      <w:bookmarkStart w:id="9" w:name="_Toc4407"/>
      <w:r>
        <w:rPr>
          <w:rFonts w:ascii="Times New Roman" w:eastAsia="楷体" w:cs="Times New Roman" w:hAnsi="Times New Roman"/>
          <w:color w:val="000000"/>
        </w:rPr>
        <w:t>（一）主要职能</w:t>
      </w:r>
      <w:bookmarkStart w:id="10" w:name="_Toc15377199"/>
      <w:bookmarkStart w:id="11" w:name="_Toc15378446"/>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val="0"/>
        <w:spacing w:line="360" w:lineRule="auto"/>
        <w:ind w:firstLineChars="200" w:firstLine="640"/>
        <w:textAlignment w:val="auto"/>
        <w:outlineLvl w:val="9"/>
        <w:rPr>
          <w:rFonts w:ascii="Times New Roman" w:eastAsia="方正仿宋_GBK" w:cs="Times New Roman" w:hAnsi="Times New Roman"/>
          <w:kern w:val="0"/>
          <w:sz w:val="32"/>
          <w:szCs w:val="32"/>
          <w:shd w:val="clear" w:color="auto" w:fill="FFFFFF"/>
          <w:lang w:val="en-US" w:eastAsia="zh-CN" w:bidi="ar-SA"/>
        </w:rPr>
      </w:pPr>
      <w:bookmarkStart w:id="12" w:name="_Toc6261"/>
      <w:bookmarkStart w:id="13" w:name="_Toc25547"/>
      <w:bookmarkStart w:id="14" w:name="_Toc18446"/>
      <w:bookmarkStart w:id="15" w:name="_Toc3332"/>
      <w:bookmarkStart w:id="16" w:name="_Toc3563"/>
      <w:bookmarkStart w:id="17" w:name="_Toc5611"/>
      <w:r>
        <w:rPr>
          <w:rFonts w:ascii="Times New Roman" w:eastAsia="方正仿宋_GBK" w:cs="Times New Roman" w:hAnsi="Times New Roman"/>
          <w:kern w:val="0"/>
          <w:sz w:val="32"/>
          <w:szCs w:val="32"/>
          <w:shd w:val="clear" w:color="auto" w:fill="FFFFFF"/>
          <w:lang w:val="en-US" w:eastAsia="zh-CN" w:bidi="ar-SA"/>
        </w:rPr>
        <w:t>2024年在县委、县政府的正确领导下，在县级有关部门及其他兄弟乡镇的大力支持和帮助下，在镇党委的正确带领下，贯彻执行党和国家关于预算、税收、行政事业单位国有资产、财务、会计等法律、法规、规章和方针、政策。根据我镇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观音桥镇发展的新局面。</w:t>
      </w:r>
      <w:bookmarkEnd w:id="12"/>
      <w:bookmarkEnd w:id="13"/>
      <w:bookmarkEnd w:id="14"/>
      <w:bookmarkEnd w:id="15"/>
      <w:bookmarkEnd w:id="16"/>
      <w:bookmarkEnd w:id="17"/>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outlineLvl w:val="2"/>
        <w:rPr>
          <w:rFonts w:ascii="Times New Roman" w:eastAsia="楷体" w:cs="Times New Roman" w:hAnsi="Times New Roman"/>
          <w:color w:val="000000"/>
        </w:rPr>
      </w:pPr>
      <w:bookmarkStart w:id="18" w:name="_Toc29688"/>
      <w:bookmarkStart w:id="19" w:name="_Toc18082"/>
      <w:r>
        <w:rPr>
          <w:rFonts w:ascii="Times New Roman" w:eastAsia="楷体" w:cs="Times New Roman" w:hAnsi="Times New Roman"/>
          <w:color w:val="000000"/>
        </w:rPr>
        <w:t>（二）</w:t>
      </w:r>
      <w:r>
        <w:rPr>
          <w:rFonts w:ascii="Times New Roman" w:eastAsia="楷体" w:cs="Times New Roman" w:hAnsi="Times New Roman" w:hint="eastAsia"/>
          <w:color w:val="000000"/>
          <w:lang w:eastAsia="zh-CN"/>
        </w:rPr>
        <w:t>2024年</w:t>
      </w:r>
      <w:r>
        <w:rPr>
          <w:rFonts w:ascii="Times New Roman" w:eastAsia="楷体" w:cs="Times New Roman" w:hAnsi="Times New Roman"/>
          <w:color w:val="000000"/>
        </w:rPr>
        <w:t>重点工作完成情况</w:t>
      </w:r>
      <w:bookmarkEnd w:id="10"/>
      <w:bookmarkEnd w:id="11"/>
      <w:bookmarkEnd w:id="18"/>
      <w:bookmarkEnd w:id="19"/>
    </w:p>
    <w:p>
      <w:pPr>
        <w:pStyle w:val="23"/>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720"/>
        <w:textAlignment w:val="auto"/>
        <w:outlineLvl w:val="9"/>
        <w:rPr>
          <w:rFonts w:ascii="Times New Roman" w:eastAsia="方正仿宋_GBK" w:cs="Times New Roman" w:hAnsi="Times New Roman"/>
          <w:sz w:val="32"/>
          <w:szCs w:val="32"/>
          <w:shd w:val="clear" w:color="auto" w:fill="FFFFFF"/>
        </w:rPr>
      </w:pPr>
      <w:bookmarkStart w:id="20" w:name="_Toc15377200"/>
      <w:r>
        <w:rPr>
          <w:rFonts w:ascii="Times New Roman" w:eastAsia="方正仿宋_GBK" w:cs="Times New Roman" w:hAnsi="Times New Roman" w:hint="eastAsia"/>
          <w:sz w:val="32"/>
          <w:szCs w:val="32"/>
          <w:shd w:val="clear" w:color="auto" w:fill="FFFFFF"/>
          <w:lang w:eastAsia="zh-CN"/>
        </w:rPr>
        <w:t>2024年</w:t>
      </w:r>
      <w:r>
        <w:rPr>
          <w:rFonts w:ascii="Times New Roman" w:eastAsia="方正仿宋_GBK" w:cs="Times New Roman" w:hAnsi="Times New Roman"/>
          <w:sz w:val="32"/>
          <w:szCs w:val="32"/>
          <w:shd w:val="clear" w:color="auto" w:fill="FFFFFF"/>
        </w:rPr>
        <w:t>是我镇发展进程中极为困难、充满挑战的一年，也是奋发有为、满载收获的一年。一年来，全镇面临着</w:t>
      </w:r>
      <w:r>
        <w:rPr>
          <w:rFonts w:ascii="Times New Roman" w:eastAsia="方正仿宋_GBK" w:cs="Times New Roman" w:hAnsi="Times New Roman" w:hint="eastAsia"/>
          <w:sz w:val="32"/>
          <w:szCs w:val="32"/>
          <w:shd w:val="clear" w:color="auto" w:fill="FFFFFF"/>
          <w:lang w:val="en-US" w:eastAsia="zh-CN"/>
        </w:rPr>
        <w:t>汛期防汛</w:t>
      </w:r>
      <w:r>
        <w:rPr>
          <w:rFonts w:ascii="Times New Roman" w:eastAsia="方正仿宋_GBK" w:cs="Times New Roman" w:hAnsi="Times New Roman"/>
          <w:sz w:val="32"/>
          <w:szCs w:val="32"/>
          <w:shd w:val="clear" w:color="auto" w:fill="FFFFFF"/>
        </w:rPr>
        <w:t>、护林防火、地灾防范等重重困难带来的挑战，始终坚持以习近平新时代中国特色社会主义思想为指引，坚持稳中求进工作总基调,以脱贫攻坚、环境整治、文明创建、党的建设、疫情防控、防汛救灾等重点任务为抓手,重精准、补短板，主动适应社会经济发展新常态,解决了一个又一个发展难题,圆满完成了各项年度目标任务，交出了一份上级认可、社会肯定、群众满意的答卷。</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40"/>
        <w:textAlignment w:val="auto"/>
        <w:outlineLvl w:val="9"/>
        <w:rPr>
          <w:rFonts w:ascii="Times New Roman" w:eastAsia="方正仿宋_GBK" w:cs="Times New Roman" w:hAnsi="Times New Roman"/>
          <w:sz w:val="32"/>
          <w:szCs w:val="32"/>
        </w:rPr>
      </w:pPr>
      <w:r>
        <w:rPr>
          <w:rFonts w:ascii="Times New Roman" w:eastAsia="方正仿宋_GBK" w:cs="Times New Roman" w:hAnsi="Times New Roman"/>
          <w:sz w:val="32"/>
          <w:szCs w:val="32"/>
        </w:rPr>
        <w:t>一、在冲击和危机面前，我们逆势求变、稳中求进，保住了势头、促进了发展“坚奋进之志、谋创业之策”面临</w:t>
      </w:r>
      <w:r>
        <w:rPr>
          <w:rFonts w:eastAsia="方正仿宋_GBK" w:cs="Times New Roman" w:hint="eastAsia"/>
          <w:sz w:val="32"/>
          <w:szCs w:val="32"/>
          <w:lang w:val="en-US" w:eastAsia="zh-CN"/>
        </w:rPr>
        <w:t>汛期</w:t>
      </w:r>
      <w:r>
        <w:rPr>
          <w:rFonts w:ascii="Times New Roman" w:eastAsia="方正仿宋_GBK" w:cs="Times New Roman" w:hAnsi="Times New Roman"/>
          <w:sz w:val="32"/>
          <w:szCs w:val="32"/>
        </w:rPr>
        <w:t>的灾情，为确保全</w:t>
      </w:r>
      <w:r>
        <w:rPr>
          <w:rFonts w:eastAsia="方正仿宋_GBK" w:cs="Times New Roman" w:hint="eastAsia"/>
          <w:sz w:val="32"/>
          <w:szCs w:val="32"/>
          <w:lang w:val="en-US" w:eastAsia="zh-CN"/>
        </w:rPr>
        <w:t>镇</w:t>
      </w:r>
      <w:r>
        <w:rPr>
          <w:rFonts w:ascii="Times New Roman" w:eastAsia="方正仿宋_GBK" w:cs="Times New Roman" w:hAnsi="Times New Roman"/>
          <w:sz w:val="32"/>
          <w:szCs w:val="32"/>
        </w:rPr>
        <w:t>经济稳步推进，一年来，按照“目标不减、任务不减、严守实效关、把准质量关”的工作宗旨，不等不靠、主动出击，科学谋划发展大局，围绕经济建设、脱贫攻坚、项目投资、水电移民等重大工作因时因地开展</w:t>
      </w:r>
      <w:r>
        <w:rPr>
          <w:rFonts w:eastAsia="方正仿宋_GBK" w:cs="Times New Roman" w:hint="eastAsia"/>
          <w:sz w:val="32"/>
          <w:szCs w:val="32"/>
          <w:lang w:val="en-US" w:eastAsia="zh-CN"/>
        </w:rPr>
        <w:t>工作</w:t>
      </w:r>
      <w:r>
        <w:rPr>
          <w:rFonts w:ascii="Times New Roman" w:eastAsia="方正仿宋_GBK" w:cs="Times New Roman" w:hAnsi="Times New Roman"/>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40"/>
        <w:textAlignment w:val="auto"/>
        <w:outlineLvl w:val="9"/>
        <w:rPr>
          <w:rFonts w:ascii="Times New Roman" w:eastAsia="仿宋_GB2312" w:cs="Times New Roman" w:hAnsi="Times New Roman"/>
          <w:sz w:val="32"/>
          <w:szCs w:val="32"/>
        </w:rPr>
      </w:pPr>
      <w:r>
        <w:rPr>
          <w:rFonts w:eastAsia="方正仿宋_GBK" w:cs="Times New Roman" w:hint="eastAsia"/>
          <w:sz w:val="32"/>
          <w:szCs w:val="32"/>
          <w:lang w:val="en-US" w:eastAsia="zh-CN"/>
        </w:rPr>
        <w:t>二、</w:t>
      </w:r>
      <w:r>
        <w:rPr>
          <w:rFonts w:ascii="Times New Roman" w:eastAsia="方正仿宋_GBK" w:cs="Times New Roman" w:hAnsi="Times New Roman"/>
          <w:sz w:val="32"/>
          <w:szCs w:val="32"/>
        </w:rPr>
        <w:t>奏好“振兴曲”，农业发展纵深延续。自乡村振兴战略实施以来，全镇始终坚持党管农村工作、农业农村优先发展，坚持农民主体地位、因地制宜的工作原则，全力推进观音桥镇“面子”、“里子”工程的大提升。以产业振兴为支撑，壮大镇域经济。</w:t>
      </w:r>
      <w:r>
        <w:rPr>
          <w:rFonts w:ascii="Times New Roman" w:eastAsia="仿宋_GB2312" w:cs="Times New Roman" w:hAnsi="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78" w:lineRule="exact"/>
        <w:textAlignment w:val="auto"/>
        <w:outlineLvl w:val="1"/>
        <w:rPr>
          <w:rFonts w:ascii="Times New Roman" w:eastAsia="黑体" w:cs="Times New Roman" w:hAnsi="Times New Roman"/>
          <w:b w:val="0"/>
          <w:bCs/>
          <w:color w:val="000000"/>
          <w:kern w:val="2"/>
          <w:sz w:val="32"/>
          <w:szCs w:val="32"/>
          <w:lang w:val="en-US" w:eastAsia="zh-CN" w:bidi="ar-SA"/>
        </w:rPr>
      </w:pPr>
      <w:bookmarkStart w:id="21" w:name="_Toc26350"/>
      <w:bookmarkStart w:id="22" w:name="_Toc3779"/>
      <w:r>
        <w:rPr>
          <w:rFonts w:ascii="Times New Roman" w:eastAsia="黑体" w:cs="Times New Roman" w:hAnsi="Times New Roman"/>
          <w:b w:val="0"/>
          <w:bCs/>
          <w:color w:val="000000"/>
          <w:kern w:val="2"/>
          <w:sz w:val="32"/>
          <w:szCs w:val="32"/>
          <w:lang w:val="en-US" w:eastAsia="zh-CN" w:bidi="ar-SA"/>
        </w:rPr>
        <w:t>二、机构设置</w:t>
      </w:r>
      <w:bookmarkEnd w:id="20"/>
      <w:bookmarkEnd w:id="21"/>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Times New Roman" w:eastAsia="方正仿宋_GBK" w:cs="Times New Roman" w:hAnsi="Times New Roman"/>
          <w:bCs/>
          <w:sz w:val="32"/>
        </w:rPr>
      </w:pPr>
      <w:bookmarkStart w:id="23" w:name="_Toc15377204"/>
      <w:bookmarkEnd w:id="22"/>
      <w:r>
        <w:rPr>
          <w:rFonts w:ascii="Times New Roman" w:eastAsia="方正仿宋_GBK" w:cs="Times New Roman" w:hAnsi="Times New Roman"/>
          <w:bCs/>
          <w:sz w:val="32"/>
        </w:rPr>
        <w:t>我镇</w:t>
      </w:r>
      <w:r>
        <w:rPr>
          <w:rFonts w:eastAsia="方正仿宋_GBK" w:cs="Times New Roman" w:hint="eastAsia"/>
          <w:bCs/>
          <w:sz w:val="32"/>
          <w:lang w:eastAsia="zh-CN"/>
        </w:rPr>
        <w:t>2024年</w:t>
      </w:r>
      <w:r>
        <w:rPr>
          <w:rFonts w:ascii="Times New Roman" w:eastAsia="方正仿宋_GBK" w:cs="Times New Roman" w:hAnsi="Times New Roman"/>
          <w:bCs/>
          <w:sz w:val="32"/>
        </w:rPr>
        <w:t>有4个机构。</w:t>
      </w:r>
      <w:r>
        <w:rPr>
          <w:rFonts w:eastAsia="方正仿宋_GBK" w:cs="Times New Roman" w:hint="eastAsia"/>
          <w:bCs/>
          <w:sz w:val="32"/>
          <w:lang w:eastAsia="zh-CN"/>
        </w:rPr>
        <w:t>2024年</w:t>
      </w:r>
      <w:r>
        <w:rPr>
          <w:rFonts w:ascii="Times New Roman" w:eastAsia="方正仿宋_GBK" w:cs="Times New Roman" w:hAnsi="Times New Roman"/>
          <w:bCs/>
          <w:sz w:val="32"/>
        </w:rPr>
        <w:t>年初在职</w:t>
      </w:r>
      <w:r>
        <w:rPr>
          <w:rFonts w:ascii="Times New Roman" w:eastAsia="方正仿宋_GBK" w:cs="Times New Roman" w:hAnsi="Times New Roman"/>
          <w:bCs/>
          <w:sz w:val="32"/>
          <w:lang w:val="en-US" w:eastAsia="zh-CN"/>
        </w:rPr>
        <w:t>53</w:t>
      </w:r>
      <w:r>
        <w:rPr>
          <w:rFonts w:ascii="Times New Roman" w:eastAsia="方正仿宋_GBK" w:cs="Times New Roman" w:hAnsi="Times New Roman"/>
          <w:bCs/>
          <w:sz w:val="32"/>
        </w:rPr>
        <w:t>人（公务员</w:t>
      </w:r>
      <w:r>
        <w:rPr>
          <w:rFonts w:eastAsia="方正仿宋_GBK" w:cs="Times New Roman" w:hint="eastAsia"/>
          <w:bCs/>
          <w:sz w:val="32"/>
          <w:lang w:val="en-US" w:eastAsia="zh-CN"/>
        </w:rPr>
        <w:t>30</w:t>
      </w:r>
      <w:r>
        <w:rPr>
          <w:rFonts w:ascii="Times New Roman" w:eastAsia="方正仿宋_GBK" w:cs="Times New Roman" w:hAnsi="Times New Roman"/>
          <w:bCs/>
          <w:sz w:val="32"/>
        </w:rPr>
        <w:t>人、事业人员</w:t>
      </w:r>
      <w:r>
        <w:rPr>
          <w:rFonts w:eastAsia="方正仿宋_GBK" w:cs="Times New Roman" w:hint="eastAsia"/>
          <w:bCs/>
          <w:sz w:val="32"/>
          <w:lang w:val="en-US" w:eastAsia="zh-CN"/>
        </w:rPr>
        <w:t>19</w:t>
      </w:r>
      <w:r>
        <w:rPr>
          <w:rFonts w:ascii="Times New Roman" w:eastAsia="方正仿宋_GBK" w:cs="Times New Roman" w:hAnsi="Times New Roman"/>
          <w:bCs/>
          <w:sz w:val="32"/>
        </w:rPr>
        <w:t>人、机关工勤</w:t>
      </w:r>
      <w:r>
        <w:rPr>
          <w:rFonts w:eastAsia="方正仿宋_GBK" w:cs="Times New Roman" w:hint="eastAsia"/>
          <w:bCs/>
          <w:sz w:val="32"/>
          <w:lang w:val="en-US" w:eastAsia="zh-CN"/>
        </w:rPr>
        <w:t>4</w:t>
      </w:r>
      <w:r>
        <w:rPr>
          <w:rFonts w:ascii="Times New Roman" w:eastAsia="方正仿宋_GBK" w:cs="Times New Roman" w:hAnsi="Times New Roman"/>
          <w:bCs/>
          <w:sz w:val="32"/>
        </w:rPr>
        <w:t>人），</w:t>
      </w:r>
      <w:r>
        <w:rPr>
          <w:rFonts w:eastAsia="方正仿宋_GBK" w:cs="Times New Roman" w:hint="eastAsia"/>
          <w:bCs/>
          <w:sz w:val="32"/>
          <w:lang w:eastAsia="zh-CN"/>
        </w:rPr>
        <w:t>2024年</w:t>
      </w:r>
      <w:r>
        <w:rPr>
          <w:rFonts w:ascii="Times New Roman" w:eastAsia="方正仿宋_GBK" w:cs="Times New Roman" w:hAnsi="Times New Roman"/>
          <w:bCs/>
          <w:sz w:val="32"/>
        </w:rPr>
        <w:t>年末在职5</w:t>
      </w:r>
      <w:r>
        <w:rPr>
          <w:rFonts w:eastAsia="方正仿宋_GBK" w:cs="Times New Roman" w:hint="eastAsia"/>
          <w:bCs/>
          <w:sz w:val="32"/>
          <w:lang w:val="en-US" w:eastAsia="zh-CN"/>
        </w:rPr>
        <w:t>0</w:t>
      </w:r>
      <w:r>
        <w:rPr>
          <w:rFonts w:ascii="Times New Roman" w:eastAsia="方正仿宋_GBK" w:cs="Times New Roman" w:hAnsi="Times New Roman"/>
          <w:bCs/>
          <w:sz w:val="32"/>
        </w:rPr>
        <w:t>人（公务员</w:t>
      </w:r>
      <w:r>
        <w:rPr>
          <w:rFonts w:eastAsia="方正仿宋_GBK" w:cs="Times New Roman" w:hint="eastAsia"/>
          <w:bCs/>
          <w:sz w:val="32"/>
          <w:lang w:val="en-US" w:eastAsia="zh-CN"/>
        </w:rPr>
        <w:t>27</w:t>
      </w:r>
      <w:r>
        <w:rPr>
          <w:rFonts w:ascii="Times New Roman" w:eastAsia="方正仿宋_GBK" w:cs="Times New Roman" w:hAnsi="Times New Roman"/>
          <w:bCs/>
          <w:sz w:val="32"/>
        </w:rPr>
        <w:t>人、事业人员</w:t>
      </w:r>
      <w:r>
        <w:rPr>
          <w:rFonts w:ascii="Times New Roman" w:eastAsia="方正仿宋_GBK" w:cs="Times New Roman" w:hAnsi="Times New Roman"/>
          <w:bCs/>
          <w:sz w:val="32"/>
          <w:lang w:val="en-US" w:eastAsia="zh-CN"/>
        </w:rPr>
        <w:t>19</w:t>
      </w:r>
      <w:r>
        <w:rPr>
          <w:rFonts w:ascii="Times New Roman" w:eastAsia="方正仿宋_GBK" w:cs="Times New Roman" w:hAnsi="Times New Roman"/>
          <w:bCs/>
          <w:sz w:val="32"/>
        </w:rPr>
        <w:t>人、机关工勤</w:t>
      </w:r>
      <w:r>
        <w:rPr>
          <w:rFonts w:ascii="Times New Roman" w:eastAsia="方正仿宋_GBK" w:cs="Times New Roman" w:hAnsi="Times New Roman"/>
          <w:bCs/>
          <w:sz w:val="32"/>
          <w:lang w:val="en-US" w:eastAsia="zh-CN"/>
        </w:rPr>
        <w:t>4</w:t>
      </w:r>
      <w:r>
        <w:rPr>
          <w:rFonts w:ascii="Times New Roman" w:eastAsia="方正仿宋_GBK" w:cs="Times New Roman" w:hAnsi="Times New Roman"/>
          <w:bCs/>
          <w:sz w:val="32"/>
        </w:rPr>
        <w:t>人）。</w:t>
      </w:r>
    </w:p>
    <w:p>
      <w:pPr>
        <w:pStyle w:val="26"/>
      </w:pPr>
    </w:p>
    <w:p/>
    <w:p>
      <w:pPr>
        <w:pStyle w:val="1"/>
        <w:keepNext/>
        <w:keepLines/>
        <w:pageBreakBefore w:val="0"/>
        <w:widowControl w:val="0"/>
        <w:kinsoku/>
        <w:wordWrap/>
        <w:overflowPunct/>
        <w:topLinePunct w:val="0"/>
        <w:autoSpaceDE/>
        <w:autoSpaceDN/>
        <w:bidi w:val="0"/>
        <w:adjustRightInd/>
        <w:snapToGrid/>
        <w:spacing w:line="578" w:lineRule="auto"/>
        <w:jc w:val="center"/>
        <w:textAlignment w:val="auto"/>
        <w:rPr>
          <w:rFonts w:ascii="Times New Roman" w:eastAsia="黑体" w:cs="Times New Roman" w:hAnsi="Times New Roman"/>
          <w:b w:val="0"/>
        </w:rPr>
      </w:pPr>
      <w:bookmarkStart w:id="24" w:name="_Toc1757"/>
      <w:bookmarkStart w:id="25" w:name="_Toc1044"/>
      <w:r>
        <w:rPr>
          <w:rFonts w:ascii="Times New Roman" w:eastAsia="黑体" w:cs="Times New Roman" w:hAnsi="Times New Roman"/>
          <w:b w:val="0"/>
        </w:rPr>
        <w:t xml:space="preserve">第二部分 </w:t>
      </w:r>
      <w:r>
        <w:rPr>
          <w:rFonts w:eastAsia="黑体" w:cs="Times New Roman" w:hint="eastAsia"/>
          <w:b w:val="0"/>
          <w:lang w:eastAsia="zh-CN"/>
        </w:rPr>
        <w:t>2024年</w:t>
      </w:r>
      <w:r>
        <w:rPr>
          <w:rFonts w:ascii="Times New Roman" w:eastAsia="黑体" w:cs="Times New Roman" w:hAnsi="Times New Roman"/>
          <w:b w:val="0"/>
        </w:rPr>
        <w:t>度部门决算情况说明</w:t>
      </w:r>
      <w:bookmarkEnd w:id="23"/>
      <w:bookmarkEnd w:id="24"/>
      <w:bookmarkEnd w:id="25"/>
    </w:p>
    <w:p>
      <w:pPr>
        <w:pStyle w:val="31"/>
        <w:keepNext w:val="0"/>
        <w:keepLines w:val="0"/>
        <w:pageBreakBefore w:val="0"/>
        <w:widowControl w:val="0"/>
        <w:kinsoku/>
        <w:wordWrap/>
        <w:overflowPunct/>
        <w:topLinePunct w:val="0"/>
        <w:autoSpaceDE/>
        <w:autoSpaceDN/>
        <w:bidi w:val="0"/>
        <w:adjustRightInd/>
        <w:snapToGrid/>
        <w:textAlignment w:val="auto"/>
        <w:outlineLvl w:val="1"/>
        <w:rPr>
          <w:rStyle w:val="2Char"/>
          <w:rFonts w:ascii="黑体" w:eastAsia="黑体" w:cs="黑体" w:hint="eastAsia"/>
          <w:b w:val="0"/>
        </w:rPr>
      </w:pPr>
      <w:bookmarkStart w:id="26" w:name="_Toc24269"/>
      <w:bookmarkStart w:id="27" w:name="_Toc15377205"/>
      <w:bookmarkStart w:id="28" w:name="_Toc13169"/>
      <w:r>
        <w:rPr>
          <w:rFonts w:ascii="黑体" w:eastAsia="黑体" w:cs="黑体" w:hint="eastAsia"/>
          <w:color w:val="000000"/>
          <w:sz w:val="32"/>
          <w:szCs w:val="32"/>
          <w:lang w:val="en-US" w:eastAsia="zh-CN"/>
        </w:rPr>
        <w:t>一、</w:t>
      </w:r>
      <w:r>
        <w:rPr>
          <w:rFonts w:ascii="黑体" w:eastAsia="黑体" w:cs="黑体" w:hint="eastAsia"/>
          <w:color w:val="000000"/>
          <w:sz w:val="32"/>
          <w:szCs w:val="32"/>
        </w:rPr>
        <w:t>收</w:t>
      </w:r>
      <w:r>
        <w:rPr>
          <w:rStyle w:val="2Char"/>
          <w:rFonts w:ascii="黑体" w:eastAsia="黑体" w:cs="黑体" w:hint="eastAsia"/>
          <w:b w:val="0"/>
        </w:rPr>
        <w:t>入支出决算总体情况说明</w:t>
      </w:r>
      <w:bookmarkEnd w:id="26"/>
      <w:bookmarkEnd w:id="27"/>
      <w:bookmarkEnd w:id="28"/>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32"/>
        <w:textAlignment w:val="auto"/>
        <w:rPr>
          <w:rFonts w:ascii="Times New Roman" w:eastAsia="方正仿宋_GBK" w:cs="Times New Roman" w:hAnsi="Times New Roman"/>
          <w:color w:val="000000"/>
          <w:spacing w:val="-2"/>
          <w:sz w:val="32"/>
          <w:szCs w:val="32"/>
          <w:lang w:val="en-US" w:eastAsia="zh-CN"/>
        </w:rPr>
      </w:pPr>
      <w:r>
        <w:rPr>
          <w:rFonts w:eastAsia="方正仿宋_GBK" w:cs="Times New Roman" w:hint="eastAsia"/>
          <w:color w:val="000000"/>
          <w:spacing w:val="-2"/>
          <w:sz w:val="32"/>
          <w:szCs w:val="32"/>
          <w:lang w:eastAsia="zh-CN"/>
        </w:rPr>
        <w:t>2024年</w:t>
      </w:r>
      <w:r>
        <w:rPr>
          <w:rFonts w:ascii="Times New Roman" w:eastAsia="方正仿宋_GBK" w:cs="Times New Roman" w:hAnsi="Times New Roman"/>
          <w:color w:val="000000"/>
          <w:spacing w:val="-2"/>
          <w:sz w:val="32"/>
          <w:szCs w:val="32"/>
        </w:rPr>
        <w:t>度总收入</w:t>
      </w:r>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pacing w:val="-2"/>
          <w:sz w:val="32"/>
          <w:szCs w:val="32"/>
        </w:rPr>
        <w:t>万元，较上年收入</w:t>
      </w:r>
      <w:r>
        <w:rPr>
          <w:rFonts w:ascii="Times New Roman" w:eastAsia="方正仿宋_GBK" w:cs="Times New Roman" w:hAnsi="Times New Roman"/>
          <w:color w:val="000000"/>
          <w:spacing w:val="-2"/>
          <w:sz w:val="32"/>
          <w:szCs w:val="32"/>
          <w:lang w:val="en-US" w:eastAsia="zh-CN"/>
        </w:rPr>
        <w:t>增加</w:t>
      </w:r>
      <w:r>
        <w:rPr>
          <w:rFonts w:eastAsia="方正仿宋_GBK" w:cs="Times New Roman" w:hint="eastAsia"/>
          <w:color w:val="000000"/>
          <w:spacing w:val="-2"/>
          <w:sz w:val="32"/>
          <w:szCs w:val="32"/>
          <w:lang w:val="en-US" w:eastAsia="zh-CN"/>
        </w:rPr>
        <w:t>1.26</w:t>
      </w:r>
      <w:r>
        <w:rPr>
          <w:rFonts w:ascii="Times New Roman" w:eastAsia="方正仿宋_GBK" w:cs="Times New Roman" w:hAnsi="Times New Roman"/>
          <w:color w:val="000000"/>
          <w:spacing w:val="-2"/>
          <w:sz w:val="32"/>
          <w:szCs w:val="32"/>
        </w:rPr>
        <w:t>万元。</w:t>
      </w:r>
      <w:r>
        <w:rPr>
          <w:rFonts w:eastAsia="方正仿宋_GBK" w:cs="Times New Roman" w:hint="eastAsia"/>
          <w:color w:val="000000"/>
          <w:spacing w:val="-2"/>
          <w:sz w:val="32"/>
          <w:szCs w:val="32"/>
          <w:lang w:val="en-US" w:eastAsia="zh-CN"/>
        </w:rPr>
        <w:t>收入较上年无明显变化。</w:t>
      </w:r>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32"/>
        <w:textAlignment w:val="auto"/>
        <w:rPr>
          <w:rFonts w:ascii="Times New Roman" w:eastAsia="方正仿宋_GBK" w:cs="Times New Roman" w:hAnsi="Times New Roman"/>
          <w:color w:val="000000"/>
          <w:spacing w:val="-2"/>
          <w:sz w:val="32"/>
          <w:szCs w:val="32"/>
          <w:lang w:val="en-US" w:eastAsia="zh-CN"/>
        </w:rPr>
      </w:pPr>
      <w:r>
        <w:rPr>
          <w:rFonts w:eastAsia="方正仿宋_GBK" w:cs="Times New Roman" w:hint="eastAsia"/>
          <w:spacing w:val="-2"/>
          <w:sz w:val="32"/>
          <w:szCs w:val="32"/>
          <w:lang w:eastAsia="zh-CN"/>
        </w:rPr>
        <w:t>2024年</w:t>
      </w:r>
      <w:r>
        <w:rPr>
          <w:rFonts w:ascii="Times New Roman" w:eastAsia="方正仿宋_GBK" w:cs="Times New Roman" w:hAnsi="Times New Roman"/>
          <w:spacing w:val="-2"/>
          <w:sz w:val="32"/>
          <w:szCs w:val="32"/>
          <w:lang w:val="en-US" w:eastAsia="zh-CN"/>
        </w:rPr>
        <w:t>度</w:t>
      </w:r>
      <w:r>
        <w:rPr>
          <w:rFonts w:ascii="Times New Roman" w:eastAsia="方正仿宋_GBK" w:cs="Times New Roman" w:hAnsi="Times New Roman"/>
          <w:spacing w:val="-2"/>
          <w:sz w:val="32"/>
          <w:szCs w:val="32"/>
        </w:rPr>
        <w:t>总支出</w:t>
      </w:r>
      <w:bookmarkStart w:id="29" w:name="_Toc2350"/>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pacing w:val="-2"/>
          <w:sz w:val="32"/>
          <w:szCs w:val="32"/>
        </w:rPr>
        <w:t>万元，较上年</w:t>
      </w:r>
      <w:r>
        <w:rPr>
          <w:rFonts w:eastAsia="方正仿宋_GBK" w:cs="Times New Roman" w:hint="eastAsia"/>
          <w:color w:val="000000"/>
          <w:spacing w:val="-2"/>
          <w:sz w:val="32"/>
          <w:szCs w:val="32"/>
          <w:lang w:val="en-US" w:eastAsia="zh-CN"/>
        </w:rPr>
        <w:t>支出</w:t>
      </w:r>
      <w:r>
        <w:rPr>
          <w:rFonts w:ascii="Times New Roman" w:eastAsia="方正仿宋_GBK" w:cs="Times New Roman" w:hAnsi="Times New Roman"/>
          <w:color w:val="000000"/>
          <w:spacing w:val="-2"/>
          <w:sz w:val="32"/>
          <w:szCs w:val="32"/>
          <w:lang w:val="en-US" w:eastAsia="zh-CN"/>
        </w:rPr>
        <w:t>增加</w:t>
      </w:r>
      <w:r>
        <w:rPr>
          <w:rFonts w:eastAsia="方正仿宋_GBK" w:cs="Times New Roman" w:hint="eastAsia"/>
          <w:color w:val="000000"/>
          <w:spacing w:val="-2"/>
          <w:sz w:val="32"/>
          <w:szCs w:val="32"/>
          <w:lang w:val="en-US" w:eastAsia="zh-CN"/>
        </w:rPr>
        <w:t>1.26</w:t>
      </w:r>
      <w:r>
        <w:rPr>
          <w:rFonts w:ascii="Times New Roman" w:eastAsia="方正仿宋_GBK" w:cs="Times New Roman" w:hAnsi="Times New Roman"/>
          <w:color w:val="000000"/>
          <w:spacing w:val="-2"/>
          <w:sz w:val="32"/>
          <w:szCs w:val="32"/>
        </w:rPr>
        <w:t>万元。</w:t>
      </w:r>
      <w:r>
        <w:rPr>
          <w:rFonts w:eastAsia="方正仿宋_GBK" w:cs="Times New Roman" w:hint="eastAsia"/>
          <w:color w:val="000000"/>
          <w:spacing w:val="-2"/>
          <w:sz w:val="32"/>
          <w:szCs w:val="32"/>
          <w:lang w:val="en-US" w:eastAsia="zh-CN"/>
        </w:rPr>
        <w:t>支出较上年无明显变化。</w:t>
      </w:r>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32"/>
        <w:textAlignment w:val="auto"/>
        <w:rPr>
          <w:rFonts w:ascii="Times New Roman" w:eastAsia="仿宋_GB2312" w:cs="Times New Roman" w:hAnsi="Times New Roman"/>
          <w:color w:val="000000"/>
          <w:spacing w:val="-2"/>
          <w:sz w:val="32"/>
          <w:szCs w:val="32"/>
        </w:rPr>
      </w:pPr>
    </w:p>
    <w:p>
      <w:pPr>
        <w:pStyle w:val="31"/>
        <w:keepNext w:val="0"/>
        <w:keepLines w:val="0"/>
        <w:pageBreakBefore w:val="0"/>
        <w:widowControl w:val="0"/>
        <w:kinsoku/>
        <w:wordWrap/>
        <w:overflowPunct/>
        <w:topLinePunct w:val="0"/>
        <w:autoSpaceDE/>
        <w:autoSpaceDN/>
        <w:bidi w:val="0"/>
        <w:adjustRightInd/>
        <w:snapToGrid/>
        <w:textAlignment w:val="auto"/>
        <w:outlineLvl w:val="1"/>
        <w:rPr>
          <w:rFonts w:ascii="黑体" w:eastAsia="黑体" w:cs="黑体"/>
          <w:color w:val="000000"/>
          <w:sz w:val="32"/>
          <w:szCs w:val="32"/>
          <w:lang w:val="en-US" w:eastAsia="zh-CN"/>
        </w:rPr>
      </w:pPr>
      <w:bookmarkStart w:id="30" w:name="_Toc20000"/>
      <w:r>
        <w:rPr>
          <w:rFonts w:ascii="黑体" w:eastAsia="黑体" w:cs="黑体"/>
          <w:color w:val="000000"/>
          <w:sz w:val="32"/>
          <w:szCs w:val="32"/>
          <w:lang w:val="en-US" w:eastAsia="zh-CN"/>
        </w:rPr>
        <w:drawing>
          <wp:anchor distT="0" distB="0" distL="114300" distR="114300" simplePos="0" relativeHeight="16"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1" w:name="_Toc15377206"/>
      <w:r>
        <w:rPr>
          <w:rFonts w:ascii="黑体" w:eastAsia="黑体" w:cs="黑体"/>
          <w:color w:val="000000"/>
          <w:sz w:val="32"/>
          <w:szCs w:val="32"/>
          <w:lang w:val="en-US" w:eastAsia="zh-CN"/>
        </w:rPr>
        <w:t>二、收入决算情况说明</w:t>
      </w:r>
      <w:bookmarkEnd w:id="29"/>
      <w:bookmarkEnd w:id="30"/>
      <w:bookmarkEnd w:id="31"/>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方正仿宋_GBK" w:cs="Times New Roman" w:hAnsi="Times New Roman"/>
          <w:color w:val="000000"/>
          <w:sz w:val="32"/>
          <w:szCs w:val="32"/>
        </w:rPr>
      </w:pPr>
      <w:bookmarkStart w:id="32" w:name="_Toc4019"/>
      <w:bookmarkStart w:id="33" w:name="_Toc23212"/>
      <w:bookmarkStart w:id="34" w:name="_Toc6522"/>
      <w:bookmarkStart w:id="35" w:name="_Toc28166"/>
      <w:bookmarkStart w:id="36" w:name="_Toc19067"/>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总收入</w:t>
      </w:r>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z w:val="32"/>
          <w:szCs w:val="32"/>
        </w:rPr>
        <w:t>万元，其中：一般公共预算财政拨款收入</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99.997</w:t>
      </w:r>
      <w:r>
        <w:rPr>
          <w:rFonts w:ascii="Times New Roman" w:eastAsia="方正仿宋_GBK" w:cs="Times New Roman" w:hAnsi="Times New Roman"/>
          <w:color w:val="000000"/>
          <w:sz w:val="32"/>
          <w:szCs w:val="32"/>
        </w:rPr>
        <w:t>%；政府性基金预算财政拨款收入0万元，占0%；国有资本经营预算财政拨款收入</w:t>
      </w:r>
      <w:r>
        <w:rPr>
          <w:rFonts w:eastAsia="方正仿宋_GBK" w:cs="Times New Roman" w:hint="eastAsia"/>
          <w:color w:val="000000"/>
          <w:sz w:val="32"/>
          <w:szCs w:val="32"/>
          <w:lang w:val="en-US" w:eastAsia="zh-CN"/>
        </w:rPr>
        <w:t>0.05</w:t>
      </w:r>
      <w:r>
        <w:rPr>
          <w:rFonts w:ascii="Times New Roman" w:eastAsia="方正仿宋_GBK" w:cs="Times New Roman" w:hAnsi="Times New Roman"/>
          <w:color w:val="000000"/>
          <w:sz w:val="32"/>
          <w:szCs w:val="32"/>
        </w:rPr>
        <w:t>万元，占0</w:t>
      </w:r>
      <w:r>
        <w:rPr>
          <w:rFonts w:eastAsia="方正仿宋_GBK" w:cs="Times New Roman" w:hint="eastAsia"/>
          <w:color w:val="000000"/>
          <w:sz w:val="32"/>
          <w:szCs w:val="32"/>
          <w:lang w:val="en-US" w:eastAsia="zh-CN"/>
        </w:rPr>
        <w:t>.003</w:t>
      </w:r>
      <w:r>
        <w:rPr>
          <w:rFonts w:ascii="Times New Roman" w:eastAsia="方正仿宋_GBK" w:cs="Times New Roman" w:hAnsi="Times New Roman"/>
          <w:color w:val="000000"/>
          <w:sz w:val="32"/>
          <w:szCs w:val="32"/>
        </w:rPr>
        <w:t>%；事业收入0万元，占0%；经营收入0万元，占0%；附属单位上缴收入0万元，占0%；其他收入0万元，占0%。</w:t>
      </w:r>
      <w:bookmarkEnd w:id="32"/>
      <w:bookmarkEnd w:id="33"/>
      <w:bookmarkEnd w:id="34"/>
      <w:bookmarkEnd w:id="35"/>
      <w:bookmarkEnd w:id="36"/>
    </w:p>
    <w:p>
      <w:pPr>
        <w:pStyle w:val="31"/>
        <w:outlineLvl w:val="9"/>
        <w:rPr>
          <w:rFonts w:ascii="黑体" w:eastAsia="黑体" w:cs="黑体"/>
          <w:color w:val="000000"/>
          <w:sz w:val="32"/>
          <w:szCs w:val="32"/>
          <w:lang w:val="en-US" w:eastAsia="zh-CN"/>
        </w:rPr>
      </w:pPr>
      <w:bookmarkStart w:id="37" w:name="_Toc32450"/>
    </w:p>
    <w:p>
      <w:pPr>
        <w:pStyle w:val="31"/>
        <w:outlineLvl w:val="9"/>
        <w:rPr>
          <w:rFonts w:ascii="黑体" w:eastAsia="黑体" w:cs="黑体"/>
          <w:color w:val="000000"/>
          <w:sz w:val="32"/>
          <w:szCs w:val="32"/>
          <w:lang w:val="en-US" w:eastAsia="zh-CN"/>
        </w:rPr>
      </w:pPr>
    </w:p>
    <w:p>
      <w:pPr>
        <w:pStyle w:val="31"/>
        <w:keepNext w:val="0"/>
        <w:keepLines w:val="0"/>
        <w:pageBreakBefore w:val="0"/>
        <w:widowControl w:val="0"/>
        <w:kinsoku/>
        <w:wordWrap/>
        <w:overflowPunct/>
        <w:topLinePunct w:val="0"/>
        <w:autoSpaceDE/>
        <w:autoSpaceDN/>
        <w:bidi w:val="0"/>
        <w:adjustRightInd/>
        <w:snapToGrid/>
        <w:textAlignment w:val="auto"/>
        <w:outlineLvl w:val="1"/>
        <w:rPr>
          <w:rFonts w:ascii="黑体" w:eastAsia="黑体" w:cs="黑体"/>
          <w:color w:val="000000"/>
          <w:sz w:val="32"/>
          <w:szCs w:val="32"/>
          <w:lang w:val="en-US" w:eastAsia="zh-CN"/>
        </w:rPr>
      </w:pPr>
      <w:bookmarkStart w:id="38" w:name="_Toc3117"/>
      <w:r>
        <w:rPr>
          <w:rFonts w:ascii="黑体" w:eastAsia="黑体" w:cs="黑体"/>
          <w:color w:val="000000"/>
          <w:sz w:val="32"/>
          <w:szCs w:val="32"/>
          <w:lang w:val="en-US" w:eastAsia="zh-CN"/>
        </w:rPr>
        <w:drawing>
          <wp:anchor distT="0" distB="0" distL="114300" distR="114300" simplePos="0" relativeHeight="18"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9" w:name="_Toc15377207"/>
      <w:r>
        <w:rPr>
          <w:rFonts w:ascii="黑体" w:eastAsia="黑体" w:cs="黑体"/>
          <w:color w:val="000000"/>
          <w:sz w:val="32"/>
          <w:szCs w:val="32"/>
          <w:lang w:val="en-US" w:eastAsia="zh-CN"/>
        </w:rPr>
        <w:t>三、支出决算情况说明</w:t>
      </w:r>
      <w:bookmarkEnd w:id="37"/>
      <w:bookmarkEnd w:id="38"/>
      <w:bookmarkEnd w:id="39"/>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shd w:val="pct10" w:color="auto" w:fill="FFFFFF"/>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本年总支出</w:t>
      </w:r>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z w:val="32"/>
          <w:szCs w:val="32"/>
        </w:rPr>
        <w:t>万元，其中：基本支出</w:t>
      </w:r>
      <w:r>
        <w:rPr>
          <w:rFonts w:eastAsia="方正仿宋_GBK" w:cs="Times New Roman" w:hint="eastAsia"/>
          <w:color w:val="000000"/>
          <w:spacing w:val="-2"/>
          <w:sz w:val="32"/>
          <w:szCs w:val="32"/>
          <w:lang w:val="en-US" w:eastAsia="zh-CN"/>
        </w:rPr>
        <w:t>1231.05</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70.54</w:t>
      </w:r>
      <w:r>
        <w:rPr>
          <w:rFonts w:ascii="Times New Roman" w:eastAsia="方正仿宋_GBK" w:cs="Times New Roman" w:hAnsi="Times New Roman"/>
          <w:color w:val="000000"/>
          <w:sz w:val="32"/>
          <w:szCs w:val="32"/>
        </w:rPr>
        <w:t>%；项目支出</w:t>
      </w:r>
      <w:r>
        <w:rPr>
          <w:rFonts w:eastAsia="方正仿宋_GBK" w:cs="Times New Roman" w:hint="eastAsia"/>
          <w:color w:val="000000"/>
          <w:sz w:val="32"/>
          <w:szCs w:val="32"/>
          <w:lang w:val="en-US" w:eastAsia="zh-CN"/>
        </w:rPr>
        <w:t>514.04</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29.46</w:t>
      </w:r>
      <w:r>
        <w:rPr>
          <w:rFonts w:ascii="Times New Roman" w:eastAsia="方正仿宋_GBK" w:cs="Times New Roman" w:hAnsi="Times New Roman"/>
          <w:color w:val="000000"/>
          <w:sz w:val="32"/>
          <w:szCs w:val="32"/>
        </w:rPr>
        <w:t>%；上缴上级支出0万元，占0%；经营支出0万元，占0%；对附属单位补助支出0万元，占0%。</w:t>
      </w:r>
    </w:p>
    <w:p>
      <w:pPr>
        <w:spacing w:line="600" w:lineRule="exact"/>
        <w:ind w:firstLineChars="200" w:firstLine="640"/>
        <w:rPr>
          <w:rFonts w:ascii="Times New Roman" w:eastAsia="仿宋_GB2312" w:cs="Times New Roman" w:hAnsi="Times New Roman"/>
          <w:color w:val="FF0000"/>
          <w:sz w:val="32"/>
          <w:szCs w:val="32"/>
        </w:rPr>
      </w:pPr>
      <w:r>
        <w:rPr>
          <w:rFonts w:ascii="Times New Roman" w:eastAsia="仿宋_GB2312" w:cs="Times New Roman" w:hAnsi="Times New Roman"/>
          <w:color w:val="FF0000"/>
          <w:sz w:val="32"/>
          <w:szCs w:val="32"/>
        </w:rPr>
        <w:drawing>
          <wp:anchor distT="0" distB="0" distL="114300" distR="114300" simplePos="0" relativeHeight="20"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pStyle w:val="31"/>
        <w:keepNext w:val="0"/>
        <w:keepLines w:val="0"/>
        <w:pageBreakBefore w:val="0"/>
        <w:widowControl w:val="0"/>
        <w:kinsoku/>
        <w:wordWrap/>
        <w:overflowPunct/>
        <w:topLinePunct w:val="0"/>
        <w:autoSpaceDE/>
        <w:autoSpaceDN/>
        <w:bidi w:val="0"/>
        <w:adjustRightInd/>
        <w:snapToGrid/>
        <w:textAlignment w:val="auto"/>
        <w:outlineLvl w:val="1"/>
        <w:rPr>
          <w:rFonts w:ascii="黑体" w:eastAsia="黑体" w:cs="黑体"/>
          <w:color w:val="000000"/>
          <w:sz w:val="32"/>
          <w:szCs w:val="32"/>
          <w:lang w:val="en-US" w:eastAsia="zh-CN"/>
        </w:rPr>
      </w:pPr>
      <w:bookmarkStart w:id="40" w:name="_Toc15377208"/>
      <w:bookmarkStart w:id="41" w:name="_Toc27007"/>
      <w:bookmarkStart w:id="42" w:name="_Toc20073"/>
      <w:r>
        <w:rPr>
          <w:rFonts w:ascii="黑体" w:eastAsia="黑体" w:cs="黑体"/>
          <w:color w:val="000000"/>
          <w:sz w:val="32"/>
          <w:szCs w:val="32"/>
          <w:lang w:val="en-US" w:eastAsia="zh-CN"/>
        </w:rPr>
        <w:t>四、财政拨款收入支出决算总体情况说明</w:t>
      </w:r>
      <w:bookmarkEnd w:id="40"/>
      <w:bookmarkEnd w:id="41"/>
      <w:bookmarkEnd w:id="42"/>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Times New Roman" w:eastAsia="方正仿宋_GBK" w:cs="Times New Roman" w:hAnsi="Times New Roman"/>
          <w:color w:val="000000"/>
          <w:spacing w:val="-2"/>
          <w:sz w:val="32"/>
          <w:szCs w:val="32"/>
          <w:lang w:val="en-US" w:eastAsia="zh-CN"/>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财政拨款收入</w:t>
      </w:r>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pacing w:val="-2"/>
          <w:sz w:val="32"/>
          <w:szCs w:val="32"/>
        </w:rPr>
        <w:t>万元，较上年收入</w:t>
      </w:r>
      <w:r>
        <w:rPr>
          <w:rFonts w:ascii="Times New Roman" w:eastAsia="方正仿宋_GBK" w:cs="Times New Roman" w:hAnsi="Times New Roman"/>
          <w:color w:val="000000"/>
          <w:spacing w:val="-2"/>
          <w:sz w:val="32"/>
          <w:szCs w:val="32"/>
          <w:lang w:val="en-US" w:eastAsia="zh-CN"/>
        </w:rPr>
        <w:t>增加</w:t>
      </w:r>
      <w:r>
        <w:rPr>
          <w:rFonts w:eastAsia="方正仿宋_GBK" w:cs="Times New Roman" w:hint="eastAsia"/>
          <w:color w:val="000000"/>
          <w:spacing w:val="-2"/>
          <w:sz w:val="32"/>
          <w:szCs w:val="32"/>
          <w:lang w:val="en-US" w:eastAsia="zh-CN"/>
        </w:rPr>
        <w:t>1.26</w:t>
      </w:r>
      <w:r>
        <w:rPr>
          <w:rFonts w:ascii="Times New Roman" w:eastAsia="方正仿宋_GBK" w:cs="Times New Roman" w:hAnsi="Times New Roman"/>
          <w:color w:val="000000"/>
          <w:spacing w:val="-2"/>
          <w:sz w:val="32"/>
          <w:szCs w:val="32"/>
        </w:rPr>
        <w:t>万元。</w:t>
      </w:r>
      <w:r>
        <w:rPr>
          <w:rFonts w:eastAsia="方正仿宋_GBK" w:cs="Times New Roman" w:hint="eastAsia"/>
          <w:color w:val="000000"/>
          <w:spacing w:val="-2"/>
          <w:sz w:val="32"/>
          <w:szCs w:val="32"/>
          <w:lang w:val="en-US" w:eastAsia="zh-CN"/>
        </w:rPr>
        <w:t>收入较上年无明显变化。</w:t>
      </w:r>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Times New Roman" w:eastAsia="方正仿宋_GBK" w:cs="Times New Roman" w:hAnsi="Times New Roman"/>
          <w:color w:val="000000"/>
          <w:spacing w:val="-2"/>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财政拨款支出</w:t>
      </w:r>
      <w:bookmarkStart w:id="43" w:name="_Toc571"/>
      <w:r>
        <w:rPr>
          <w:rFonts w:eastAsia="方正仿宋_GBK" w:cs="Times New Roman" w:hint="eastAsia"/>
          <w:color w:val="000000"/>
          <w:spacing w:val="-2"/>
          <w:sz w:val="32"/>
          <w:szCs w:val="32"/>
          <w:lang w:val="en-US" w:eastAsia="zh-CN"/>
        </w:rPr>
        <w:t>1745.09</w:t>
      </w:r>
      <w:r>
        <w:rPr>
          <w:rFonts w:ascii="Times New Roman" w:eastAsia="方正仿宋_GBK" w:cs="Times New Roman" w:hAnsi="Times New Roman"/>
          <w:color w:val="000000"/>
          <w:spacing w:val="-2"/>
          <w:sz w:val="32"/>
          <w:szCs w:val="32"/>
        </w:rPr>
        <w:t>万元，较上年</w:t>
      </w:r>
      <w:r>
        <w:rPr>
          <w:rFonts w:eastAsia="方正仿宋_GBK" w:cs="Times New Roman" w:hint="eastAsia"/>
          <w:color w:val="000000"/>
          <w:spacing w:val="-2"/>
          <w:sz w:val="32"/>
          <w:szCs w:val="32"/>
          <w:lang w:val="en-US" w:eastAsia="zh-CN"/>
        </w:rPr>
        <w:t>支出</w:t>
      </w:r>
      <w:r>
        <w:rPr>
          <w:rFonts w:ascii="Times New Roman" w:eastAsia="方正仿宋_GBK" w:cs="Times New Roman" w:hAnsi="Times New Roman"/>
          <w:color w:val="000000"/>
          <w:spacing w:val="-2"/>
          <w:sz w:val="32"/>
          <w:szCs w:val="32"/>
          <w:lang w:val="en-US" w:eastAsia="zh-CN"/>
        </w:rPr>
        <w:t>增加</w:t>
      </w:r>
      <w:r>
        <w:rPr>
          <w:rFonts w:eastAsia="方正仿宋_GBK" w:cs="Times New Roman" w:hint="eastAsia"/>
          <w:color w:val="000000"/>
          <w:spacing w:val="-2"/>
          <w:sz w:val="32"/>
          <w:szCs w:val="32"/>
          <w:lang w:val="en-US" w:eastAsia="zh-CN"/>
        </w:rPr>
        <w:t>1.26</w:t>
      </w:r>
      <w:r>
        <w:rPr>
          <w:rFonts w:ascii="Times New Roman" w:eastAsia="方正仿宋_GBK" w:cs="Times New Roman" w:hAnsi="Times New Roman"/>
          <w:color w:val="000000"/>
          <w:spacing w:val="-2"/>
          <w:sz w:val="32"/>
          <w:szCs w:val="32"/>
        </w:rPr>
        <w:t>万元。</w:t>
      </w:r>
      <w:r>
        <w:rPr>
          <w:rFonts w:eastAsia="方正仿宋_GBK" w:cs="Times New Roman" w:hint="eastAsia"/>
          <w:color w:val="000000"/>
          <w:spacing w:val="-2"/>
          <w:sz w:val="32"/>
          <w:szCs w:val="32"/>
          <w:lang w:val="en-US" w:eastAsia="zh-CN"/>
        </w:rPr>
        <w:t>支出较上年无明显变化。</w:t>
      </w:r>
    </w:p>
    <w:p>
      <w:pPr>
        <w:pStyle w:val="31"/>
        <w:keepNext w:val="0"/>
        <w:keepLines w:val="0"/>
        <w:pageBreakBefore w:val="0"/>
        <w:widowControl w:val="0"/>
        <w:kinsoku/>
        <w:wordWrap/>
        <w:overflowPunct/>
        <w:topLinePunct w:val="0"/>
        <w:autoSpaceDE/>
        <w:autoSpaceDN/>
        <w:bidi w:val="0"/>
        <w:adjustRightInd/>
        <w:snapToGrid/>
        <w:textAlignment w:val="auto"/>
        <w:outlineLvl w:val="1"/>
        <w:rPr>
          <w:rFonts w:ascii="黑体" w:eastAsia="黑体" w:cs="黑体"/>
          <w:color w:val="000000"/>
          <w:sz w:val="32"/>
          <w:szCs w:val="32"/>
          <w:lang w:val="en-US" w:eastAsia="zh-CN"/>
        </w:rPr>
      </w:pPr>
      <w:bookmarkStart w:id="44" w:name="_Toc24191"/>
      <w:r>
        <w:rPr>
          <w:rFonts w:ascii="黑体" w:eastAsia="黑体" w:cs="黑体"/>
          <w:color w:val="000000"/>
          <w:sz w:val="32"/>
          <w:szCs w:val="32"/>
          <w:lang w:val="en-US" w:eastAsia="zh-CN"/>
        </w:rPr>
        <w:drawing>
          <wp:anchor distT="0" distB="0" distL="114300" distR="114300" simplePos="0" relativeHeight="22" behindDoc="0" locked="0" layoutInCell="1" hidden="0" allowOverlap="1">
            <wp:simplePos x="0" y="0"/>
            <wp:positionH relativeFrom="column">
              <wp:posOffset>64770</wp:posOffset>
            </wp:positionH>
            <wp:positionV relativeFrom="paragraph">
              <wp:posOffset>241300</wp:posOffset>
            </wp:positionV>
            <wp:extent cx="5233034" cy="2971800"/>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45" w:name="_Toc15377209"/>
      <w:r>
        <w:rPr>
          <w:rFonts w:ascii="黑体" w:eastAsia="黑体" w:cs="黑体"/>
          <w:color w:val="000000"/>
          <w:sz w:val="32"/>
          <w:szCs w:val="32"/>
          <w:lang w:val="en-US" w:eastAsia="zh-CN"/>
        </w:rPr>
        <w:t>五、一般公共预算财政拨款支出决算情况说明</w:t>
      </w:r>
      <w:bookmarkEnd w:id="43"/>
      <w:bookmarkEnd w:id="44"/>
      <w:bookmarkEnd w:id="45"/>
    </w:p>
    <w:p>
      <w:pPr>
        <w:pStyle w:val="2"/>
        <w:keepNext/>
        <w:keepLines/>
        <w:pageBreakBefore w:val="0"/>
        <w:widowControl w:val="0"/>
        <w:kinsoku/>
        <w:wordWrap/>
        <w:overflowPunct/>
        <w:topLinePunct w:val="0"/>
        <w:autoSpaceDE/>
        <w:autoSpaceDN/>
        <w:bidi w:val="0"/>
        <w:adjustRightInd/>
        <w:snapToGrid/>
        <w:spacing w:before="0" w:after="0" w:line="240" w:lineRule="auto"/>
        <w:ind w:firstLineChars="200" w:firstLine="640"/>
        <w:textAlignment w:val="auto"/>
        <w:outlineLvl w:val="2"/>
        <w:rPr>
          <w:rFonts w:ascii="Times New Roman" w:eastAsia="楷体" w:cs="Times New Roman" w:hAnsi="Times New Roman"/>
          <w:color w:val="000000"/>
        </w:rPr>
      </w:pPr>
      <w:bookmarkStart w:id="46" w:name="_Toc15377210"/>
      <w:bookmarkStart w:id="47" w:name="_Toc1552"/>
      <w:r>
        <w:rPr>
          <w:rFonts w:ascii="Times New Roman" w:eastAsia="楷体" w:cs="Times New Roman" w:hAnsi="Times New Roman"/>
          <w:color w:val="000000"/>
        </w:rPr>
        <w:t>（一）一般公共预算财政拨款支出决算总体情况</w:t>
      </w:r>
      <w:bookmarkEnd w:id="46"/>
      <w:bookmarkEnd w:id="47"/>
    </w:p>
    <w:p>
      <w:pPr>
        <w:keepNext w:val="0"/>
        <w:keepLines w:val="0"/>
        <w:pageBreakBefore w:val="0"/>
        <w:widowControl w:val="0"/>
        <w:kinsoku/>
        <w:wordWrap/>
        <w:overflowPunct/>
        <w:topLinePunct w:val="0"/>
        <w:autoSpaceDE/>
        <w:autoSpaceDN/>
        <w:bidi w:val="0"/>
        <w:adjustRightInd/>
        <w:snapToGrid w:val="0"/>
        <w:spacing w:line="520" w:lineRule="exact"/>
        <w:ind w:firstLineChars="200" w:firstLine="640"/>
        <w:textAlignment w:val="auto"/>
        <w:rPr>
          <w:rFonts w:ascii="Times New Roman" w:eastAsia="方正仿宋_GBK" w:cs="Times New Roman" w:hAnsi="Times New Roman"/>
          <w:color w:val="000000"/>
          <w:spacing w:val="-2"/>
          <w:sz w:val="32"/>
          <w:szCs w:val="32"/>
          <w:lang w:val="en-US" w:eastAsia="zh-CN"/>
        </w:rPr>
      </w:pPr>
      <w:r>
        <w:rPr>
          <w:rFonts w:eastAsia="方正仿宋_GBK" w:cs="Times New Roman" w:hint="eastAsia"/>
          <w:color w:val="000000"/>
          <w:sz w:val="32"/>
          <w:szCs w:val="32"/>
          <w:lang w:eastAsia="zh-CN"/>
        </w:rPr>
        <w:t>2024年</w:t>
      </w:r>
      <w:r>
        <w:rPr>
          <w:rFonts w:ascii="Times New Roman" w:eastAsia="方正仿宋_GBK" w:cs="Times New Roman" w:hAnsi="Times New Roman"/>
          <w:spacing w:val="-2"/>
          <w:sz w:val="32"/>
          <w:szCs w:val="32"/>
        </w:rPr>
        <w:t>一般公共预算财政拨款支出</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spacing w:val="-2"/>
          <w:sz w:val="32"/>
          <w:szCs w:val="32"/>
        </w:rPr>
        <w:t>万元，</w:t>
      </w:r>
      <w:r>
        <w:rPr>
          <w:rFonts w:ascii="Times New Roman" w:eastAsia="方正仿宋_GBK" w:cs="Times New Roman" w:hAnsi="Times New Roman"/>
          <w:color w:val="000000"/>
          <w:sz w:val="32"/>
          <w:szCs w:val="32"/>
        </w:rPr>
        <w:t>占本年总支出的</w:t>
      </w:r>
      <w:r>
        <w:rPr>
          <w:rFonts w:eastAsia="方正仿宋_GBK" w:cs="Times New Roman" w:hint="eastAsia"/>
          <w:color w:val="000000"/>
          <w:sz w:val="32"/>
          <w:szCs w:val="32"/>
          <w:lang w:val="en-US" w:eastAsia="zh-CN"/>
        </w:rPr>
        <w:t>99.997</w:t>
      </w:r>
      <w:r>
        <w:rPr>
          <w:rFonts w:ascii="Times New Roman" w:eastAsia="方正仿宋_GBK" w:cs="Times New Roman" w:hAnsi="Times New Roman"/>
          <w:color w:val="000000"/>
          <w:sz w:val="32"/>
          <w:szCs w:val="32"/>
        </w:rPr>
        <w:t>%。与202</w:t>
      </w:r>
      <w:r>
        <w:rPr>
          <w:rFonts w:eastAsia="方正仿宋_GBK" w:cs="Times New Roman" w:hint="eastAsia"/>
          <w:color w:val="000000"/>
          <w:sz w:val="32"/>
          <w:szCs w:val="32"/>
          <w:lang w:val="en-US" w:eastAsia="zh-CN"/>
        </w:rPr>
        <w:t>3</w:t>
      </w:r>
      <w:r>
        <w:rPr>
          <w:rFonts w:ascii="Times New Roman" w:eastAsia="方正仿宋_GBK" w:cs="Times New Roman" w:hAnsi="Times New Roman"/>
          <w:color w:val="000000"/>
          <w:sz w:val="32"/>
          <w:szCs w:val="32"/>
        </w:rPr>
        <w:t>年相比，一般公共预算财政拨款</w:t>
      </w:r>
      <w:r>
        <w:rPr>
          <w:rFonts w:ascii="Times New Roman" w:eastAsia="方正仿宋_GBK" w:cs="Times New Roman" w:hAnsi="Times New Roman"/>
          <w:spacing w:val="-2"/>
          <w:sz w:val="32"/>
          <w:szCs w:val="32"/>
        </w:rPr>
        <w:t>支出</w:t>
      </w:r>
      <w:bookmarkStart w:id="48" w:name="_Toc15377211"/>
      <w:r>
        <w:rPr>
          <w:rFonts w:ascii="Times New Roman" w:eastAsia="方正仿宋_GBK" w:cs="Times New Roman" w:hAnsi="Times New Roman"/>
          <w:color w:val="000000"/>
          <w:spacing w:val="-2"/>
          <w:sz w:val="32"/>
          <w:szCs w:val="32"/>
          <w:lang w:val="en-US" w:eastAsia="zh-CN"/>
        </w:rPr>
        <w:t>增加</w:t>
      </w:r>
      <w:r>
        <w:rPr>
          <w:rFonts w:eastAsia="方正仿宋_GBK" w:cs="Times New Roman" w:hint="eastAsia"/>
          <w:color w:val="000000"/>
          <w:spacing w:val="-2"/>
          <w:sz w:val="32"/>
          <w:szCs w:val="32"/>
          <w:lang w:val="en-US" w:eastAsia="zh-CN"/>
        </w:rPr>
        <w:t>1.21</w:t>
      </w:r>
      <w:r>
        <w:rPr>
          <w:rFonts w:ascii="Times New Roman" w:eastAsia="方正仿宋_GBK" w:cs="Times New Roman" w:hAnsi="Times New Roman"/>
          <w:color w:val="000000"/>
          <w:sz w:val="32"/>
          <w:szCs w:val="32"/>
        </w:rPr>
        <w:t>万元</w:t>
      </w:r>
      <w:r>
        <w:rPr>
          <w:rFonts w:ascii="Times New Roman" w:eastAsia="方正仿宋_GBK" w:cs="Times New Roman" w:hAnsi="Times New Roman"/>
          <w:color w:val="000000"/>
          <w:spacing w:val="-2"/>
          <w:sz w:val="32"/>
          <w:szCs w:val="32"/>
        </w:rPr>
        <w:t>。</w:t>
      </w:r>
      <w:r>
        <w:rPr>
          <w:rFonts w:eastAsia="方正仿宋_GBK" w:cs="Times New Roman" w:hint="eastAsia"/>
          <w:color w:val="000000"/>
          <w:spacing w:val="-2"/>
          <w:sz w:val="32"/>
          <w:szCs w:val="32"/>
          <w:lang w:val="en-US" w:eastAsia="zh-CN"/>
        </w:rPr>
        <w:t>支出较上年无明显变化。</w:t>
      </w:r>
    </w:p>
    <w:p>
      <w:pPr>
        <w:pStyle w:val="2"/>
        <w:keepNext/>
        <w:keepLines/>
        <w:pageBreakBefore w:val="0"/>
        <w:widowControl w:val="0"/>
        <w:kinsoku/>
        <w:wordWrap/>
        <w:overflowPunct/>
        <w:topLinePunct w:val="0"/>
        <w:autoSpaceDE/>
        <w:autoSpaceDN/>
        <w:bidi w:val="0"/>
        <w:adjustRightInd/>
        <w:snapToGrid/>
        <w:spacing w:before="0" w:after="0" w:line="240" w:lineRule="auto"/>
        <w:ind w:firstLineChars="200" w:firstLine="640"/>
        <w:textAlignment w:val="auto"/>
        <w:outlineLvl w:val="2"/>
        <w:rPr>
          <w:rFonts w:ascii="Times New Roman" w:eastAsia="楷体" w:cs="Times New Roman" w:hAnsi="Times New Roman"/>
          <w:color w:val="000000"/>
        </w:rPr>
      </w:pPr>
      <w:bookmarkStart w:id="49" w:name="_Toc13136"/>
      <w:r>
        <w:rPr>
          <w:rFonts w:ascii="Times New Roman" w:eastAsia="楷体" w:cs="Times New Roman" w:hAnsi="Times New Roman"/>
          <w:color w:val="000000"/>
        </w:rPr>
        <w:t>（二）一般公共预算财政拨款支出决算结构情况</w:t>
      </w:r>
      <w:bookmarkEnd w:id="48"/>
      <w:bookmarkEnd w:id="49"/>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lang w:eastAsia="zh-CN"/>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一般公共预算财政拨款支出</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color w:val="000000"/>
          <w:sz w:val="32"/>
          <w:szCs w:val="32"/>
        </w:rPr>
        <w:t>万元，主要用于以下方面:</w:t>
      </w:r>
      <w:r>
        <w:rPr>
          <w:rFonts w:ascii="Times New Roman" w:eastAsia="方正仿宋_GBK" w:cs="Times New Roman" w:hAnsi="Times New Roman"/>
          <w:b/>
          <w:color w:val="000000"/>
          <w:sz w:val="32"/>
          <w:szCs w:val="32"/>
        </w:rPr>
        <w:t>一般公共服务（类）</w:t>
      </w:r>
      <w:r>
        <w:rPr>
          <w:rFonts w:ascii="Times New Roman" w:eastAsia="方正仿宋_GBK" w:cs="Times New Roman" w:hAnsi="Times New Roman"/>
          <w:color w:val="000000"/>
          <w:sz w:val="32"/>
          <w:szCs w:val="32"/>
        </w:rPr>
        <w:t>支出</w:t>
      </w:r>
      <w:r>
        <w:rPr>
          <w:rFonts w:eastAsia="方正仿宋_GBK" w:cs="Times New Roman" w:hint="eastAsia"/>
          <w:color w:val="000000"/>
          <w:sz w:val="32"/>
          <w:szCs w:val="32"/>
          <w:lang w:val="en-US" w:eastAsia="zh-CN"/>
        </w:rPr>
        <w:t>601.56</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34.47</w:t>
      </w:r>
      <w:r>
        <w:rPr>
          <w:rFonts w:ascii="Times New Roman" w:eastAsia="方正仿宋_GBK" w:cs="Times New Roman" w:hAnsi="Times New Roman"/>
          <w:color w:val="000000"/>
          <w:sz w:val="32"/>
          <w:szCs w:val="32"/>
        </w:rPr>
        <w:t>%；</w:t>
      </w:r>
      <w:r>
        <w:rPr>
          <w:rFonts w:ascii="Times New Roman" w:eastAsia="方正仿宋_GBK" w:cs="Times New Roman" w:hAnsi="Times New Roman"/>
          <w:b/>
          <w:color w:val="000000"/>
          <w:sz w:val="32"/>
          <w:szCs w:val="32"/>
        </w:rPr>
        <w:t>社会保障和就业（类）</w:t>
      </w:r>
      <w:r>
        <w:rPr>
          <w:rFonts w:ascii="Times New Roman" w:eastAsia="方正仿宋_GBK" w:cs="Times New Roman" w:hAnsi="Times New Roman"/>
          <w:color w:val="000000"/>
          <w:sz w:val="32"/>
          <w:szCs w:val="32"/>
        </w:rPr>
        <w:t>支出</w:t>
      </w:r>
      <w:r>
        <w:rPr>
          <w:rFonts w:eastAsia="方正仿宋_GBK" w:cs="Times New Roman" w:hint="eastAsia"/>
          <w:color w:val="000000"/>
          <w:sz w:val="32"/>
          <w:szCs w:val="32"/>
          <w:lang w:val="en-US" w:eastAsia="zh-CN"/>
        </w:rPr>
        <w:t>156.99</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9</w:t>
      </w:r>
      <w:r>
        <w:rPr>
          <w:rFonts w:ascii="Times New Roman" w:eastAsia="方正仿宋_GBK" w:cs="Times New Roman" w:hAnsi="Times New Roman"/>
          <w:color w:val="000000"/>
          <w:sz w:val="32"/>
          <w:szCs w:val="32"/>
        </w:rPr>
        <w:t>%；</w:t>
      </w:r>
      <w:r>
        <w:rPr>
          <w:rFonts w:ascii="Times New Roman" w:eastAsia="方正仿宋_GBK" w:cs="Times New Roman" w:hAnsi="Times New Roman"/>
          <w:b/>
          <w:bCs/>
          <w:color w:val="000000"/>
          <w:sz w:val="32"/>
          <w:szCs w:val="32"/>
        </w:rPr>
        <w:t>卫生健康支出</w:t>
      </w:r>
      <w:r>
        <w:rPr>
          <w:rFonts w:eastAsia="方正仿宋_GBK" w:cs="Times New Roman" w:hint="eastAsia"/>
          <w:b w:val="0"/>
          <w:bCs w:val="0"/>
          <w:color w:val="000000"/>
          <w:sz w:val="32"/>
          <w:szCs w:val="32"/>
          <w:lang w:val="en-US" w:eastAsia="zh-CN"/>
        </w:rPr>
        <w:t>67.9</w:t>
      </w:r>
      <w:r>
        <w:rPr>
          <w:rFonts w:ascii="Times New Roman" w:eastAsia="方正仿宋_GBK" w:cs="Times New Roman" w:hAnsi="Times New Roman"/>
          <w:b w:val="0"/>
          <w:bCs w:val="0"/>
          <w:color w:val="000000"/>
          <w:sz w:val="32"/>
          <w:szCs w:val="32"/>
        </w:rPr>
        <w:t>万元</w:t>
      </w:r>
      <w:r>
        <w:rPr>
          <w:rFonts w:ascii="Times New Roman" w:eastAsia="方正仿宋_GBK" w:cs="Times New Roman" w:hAnsi="Times New Roman"/>
          <w:color w:val="000000"/>
          <w:sz w:val="32"/>
          <w:szCs w:val="32"/>
        </w:rPr>
        <w:t>，占</w:t>
      </w:r>
      <w:r>
        <w:rPr>
          <w:rFonts w:ascii="Times New Roman" w:eastAsia="方正仿宋_GBK" w:cs="Times New Roman" w:hAnsi="Times New Roman"/>
          <w:color w:val="000000"/>
          <w:sz w:val="32"/>
          <w:szCs w:val="32"/>
          <w:lang w:val="en-US" w:eastAsia="zh-CN"/>
        </w:rPr>
        <w:t>3.</w:t>
      </w:r>
      <w:r>
        <w:rPr>
          <w:rFonts w:eastAsia="方正仿宋_GBK" w:cs="Times New Roman" w:hint="eastAsia"/>
          <w:color w:val="000000"/>
          <w:sz w:val="32"/>
          <w:szCs w:val="32"/>
          <w:lang w:val="en-US" w:eastAsia="zh-CN"/>
        </w:rPr>
        <w:t>89</w:t>
      </w:r>
      <w:r>
        <w:rPr>
          <w:rFonts w:ascii="Times New Roman" w:eastAsia="方正仿宋_GBK" w:cs="Times New Roman" w:hAnsi="Times New Roman"/>
          <w:color w:val="000000"/>
          <w:sz w:val="32"/>
          <w:szCs w:val="32"/>
        </w:rPr>
        <w:t>%、</w:t>
      </w:r>
      <w:r>
        <w:rPr>
          <w:rFonts w:ascii="Times New Roman" w:eastAsia="方正仿宋_GBK" w:cs="Times New Roman" w:hAnsi="Times New Roman"/>
          <w:b/>
          <w:bCs/>
          <w:color w:val="000000"/>
          <w:sz w:val="32"/>
          <w:szCs w:val="32"/>
        </w:rPr>
        <w:t>农林水支出</w:t>
      </w:r>
      <w:r>
        <w:rPr>
          <w:rFonts w:eastAsia="方正仿宋_GBK" w:cs="Times New Roman" w:hint="eastAsia"/>
          <w:color w:val="000000"/>
          <w:sz w:val="32"/>
          <w:szCs w:val="32"/>
          <w:lang w:val="en-US" w:eastAsia="zh-CN"/>
        </w:rPr>
        <w:t>700.37</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40.14</w:t>
      </w:r>
      <w:r>
        <w:rPr>
          <w:rFonts w:ascii="Times New Roman" w:eastAsia="方正仿宋_GBK" w:cs="Times New Roman" w:hAnsi="Times New Roman"/>
          <w:color w:val="000000"/>
          <w:sz w:val="32"/>
          <w:szCs w:val="32"/>
        </w:rPr>
        <w:t>%；</w:t>
      </w:r>
      <w:r>
        <w:rPr>
          <w:rFonts w:ascii="Times New Roman" w:eastAsia="方正仿宋_GBK" w:cs="Times New Roman" w:hAnsi="Times New Roman"/>
          <w:b/>
          <w:bCs/>
          <w:color w:val="000000"/>
          <w:sz w:val="32"/>
          <w:szCs w:val="32"/>
        </w:rPr>
        <w:t>住房保障支出</w:t>
      </w:r>
      <w:r>
        <w:rPr>
          <w:rFonts w:eastAsia="方正仿宋_GBK" w:cs="Times New Roman" w:hint="eastAsia"/>
          <w:color w:val="000000"/>
          <w:sz w:val="32"/>
          <w:szCs w:val="32"/>
          <w:lang w:val="en-US" w:eastAsia="zh-CN"/>
        </w:rPr>
        <w:t>92.21</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5.28</w:t>
      </w:r>
      <w:r>
        <w:rPr>
          <w:rFonts w:ascii="Times New Roman" w:eastAsia="方正仿宋_GBK" w:cs="Times New Roman" w:hAnsi="Times New Roman"/>
          <w:color w:val="000000"/>
          <w:sz w:val="32"/>
          <w:szCs w:val="32"/>
        </w:rPr>
        <w:t>%，</w:t>
      </w:r>
      <w:r>
        <w:rPr>
          <w:rFonts w:ascii="Times New Roman" w:eastAsia="方正仿宋_GBK" w:cs="Times New Roman" w:hAnsi="Times New Roman"/>
          <w:b/>
          <w:color w:val="000000"/>
          <w:sz w:val="32"/>
          <w:szCs w:val="32"/>
        </w:rPr>
        <w:t>城乡社区支出</w:t>
      </w:r>
      <w:r>
        <w:rPr>
          <w:rFonts w:eastAsia="方正仿宋_GBK" w:cs="Times New Roman" w:hint="eastAsia"/>
          <w:b w:val="0"/>
          <w:bCs/>
          <w:color w:val="000000"/>
          <w:sz w:val="32"/>
          <w:szCs w:val="32"/>
          <w:lang w:val="en-US" w:eastAsia="zh-CN"/>
        </w:rPr>
        <w:t>96</w:t>
      </w:r>
      <w:r>
        <w:rPr>
          <w:rFonts w:ascii="Times New Roman" w:eastAsia="方正仿宋_GBK" w:cs="Times New Roman" w:hAnsi="Times New Roman"/>
          <w:b w:val="0"/>
          <w:bCs/>
          <w:color w:val="000000"/>
          <w:sz w:val="32"/>
          <w:szCs w:val="32"/>
          <w:lang w:val="en-US" w:eastAsia="zh-CN"/>
        </w:rPr>
        <w:t>万元，占</w:t>
      </w:r>
      <w:r>
        <w:rPr>
          <w:rFonts w:eastAsia="方正仿宋_GBK" w:cs="Times New Roman" w:hint="eastAsia"/>
          <w:b w:val="0"/>
          <w:bCs/>
          <w:color w:val="000000"/>
          <w:sz w:val="32"/>
          <w:szCs w:val="32"/>
          <w:lang w:val="en-US" w:eastAsia="zh-CN"/>
        </w:rPr>
        <w:t>5.5</w:t>
      </w:r>
      <w:r>
        <w:rPr>
          <w:rFonts w:ascii="Times New Roman" w:eastAsia="方正仿宋_GBK" w:cs="Times New Roman" w:hAnsi="Times New Roman"/>
          <w:b w:val="0"/>
          <w:bCs/>
          <w:color w:val="000000"/>
          <w:sz w:val="32"/>
          <w:szCs w:val="32"/>
          <w:lang w:val="en-US" w:eastAsia="zh-CN"/>
        </w:rPr>
        <w:t>%；</w:t>
      </w:r>
      <w:r>
        <w:rPr>
          <w:rFonts w:ascii="Times New Roman" w:eastAsia="方正仿宋_GBK" w:cs="Times New Roman" w:hAnsi="Times New Roman"/>
          <w:b/>
          <w:bCs w:val="0"/>
          <w:color w:val="000000"/>
          <w:sz w:val="32"/>
          <w:szCs w:val="32"/>
          <w:lang w:val="en-US" w:eastAsia="zh-CN"/>
        </w:rPr>
        <w:t>节能环保支出</w:t>
      </w:r>
      <w:r>
        <w:rPr>
          <w:rFonts w:eastAsia="方正仿宋_GBK" w:cs="Times New Roman" w:hint="eastAsia"/>
          <w:b w:val="0"/>
          <w:bCs/>
          <w:color w:val="000000"/>
          <w:sz w:val="32"/>
          <w:szCs w:val="32"/>
          <w:lang w:val="en-US" w:eastAsia="zh-CN"/>
        </w:rPr>
        <w:t>30</w:t>
      </w:r>
      <w:r>
        <w:rPr>
          <w:rFonts w:ascii="Times New Roman" w:eastAsia="方正仿宋_GBK" w:cs="Times New Roman" w:hAnsi="Times New Roman"/>
          <w:b w:val="0"/>
          <w:bCs/>
          <w:color w:val="000000"/>
          <w:sz w:val="32"/>
          <w:szCs w:val="32"/>
          <w:lang w:val="en-US" w:eastAsia="zh-CN"/>
        </w:rPr>
        <w:t>万元，占</w:t>
      </w:r>
      <w:r>
        <w:rPr>
          <w:rFonts w:eastAsia="方正仿宋_GBK" w:cs="Times New Roman" w:hint="eastAsia"/>
          <w:b w:val="0"/>
          <w:bCs/>
          <w:color w:val="000000"/>
          <w:sz w:val="32"/>
          <w:szCs w:val="32"/>
          <w:lang w:val="en-US" w:eastAsia="zh-CN"/>
        </w:rPr>
        <w:t>1.72</w:t>
      </w:r>
      <w:r>
        <w:rPr>
          <w:rFonts w:ascii="Times New Roman" w:eastAsia="方正仿宋_GBK" w:cs="Times New Roman" w:hAnsi="Times New Roman"/>
          <w:b w:val="0"/>
          <w:bCs/>
          <w:color w:val="000000"/>
          <w:sz w:val="32"/>
          <w:szCs w:val="32"/>
          <w:lang w:val="en-US" w:eastAsia="zh-CN"/>
        </w:rPr>
        <w:t>%；</w:t>
      </w:r>
      <w:r>
        <w:rPr>
          <w:rFonts w:ascii="Times New Roman" w:eastAsia="方正仿宋_GBK" w:cs="Times New Roman" w:hAnsi="Times New Roman"/>
          <w:b/>
          <w:bCs/>
          <w:color w:val="000000"/>
          <w:sz w:val="32"/>
          <w:szCs w:val="32"/>
        </w:rPr>
        <w:t>其他支出</w:t>
      </w:r>
      <w:r>
        <w:rPr>
          <w:rFonts w:eastAsia="方正仿宋_GBK" w:cs="Times New Roman" w:hint="eastAsia"/>
          <w:color w:val="000000"/>
          <w:sz w:val="32"/>
          <w:szCs w:val="32"/>
          <w:lang w:val="en-US" w:eastAsia="zh-CN"/>
        </w:rPr>
        <w:t>0</w:t>
      </w:r>
      <w:r>
        <w:rPr>
          <w:rFonts w:ascii="Times New Roman" w:eastAsia="方正仿宋_GBK" w:cs="Times New Roman" w:hAnsi="Times New Roman"/>
          <w:color w:val="000000"/>
          <w:sz w:val="32"/>
          <w:szCs w:val="32"/>
        </w:rPr>
        <w:t>万元，占</w:t>
      </w:r>
      <w:r>
        <w:rPr>
          <w:rFonts w:eastAsia="方正仿宋_GBK" w:cs="Times New Roman" w:hint="eastAsia"/>
          <w:color w:val="000000"/>
          <w:sz w:val="32"/>
          <w:szCs w:val="32"/>
          <w:lang w:val="en-US" w:eastAsia="zh-CN"/>
        </w:rPr>
        <w:t>0</w:t>
      </w:r>
      <w:r>
        <w:rPr>
          <w:rFonts w:ascii="Times New Roman" w:eastAsia="方正仿宋_GBK" w:cs="Times New Roman" w:hAnsi="Times New Roman"/>
          <w:b w:val="0"/>
          <w:bCs w:val="0"/>
          <w:color w:val="000000"/>
          <w:sz w:val="32"/>
          <w:szCs w:val="32"/>
        </w:rPr>
        <w:t>%</w:t>
      </w:r>
      <w:r>
        <w:rPr>
          <w:rFonts w:ascii="Times New Roman" w:eastAsia="方正仿宋_GBK" w:cs="Times New Roman" w:hAnsi="Times New Roman"/>
          <w:b w:val="0"/>
          <w:bCs w:val="0"/>
          <w:color w:val="000000"/>
          <w:sz w:val="32"/>
          <w:szCs w:val="32"/>
          <w:lang w:eastAsia="zh-CN"/>
        </w:rPr>
        <w:t>。</w:t>
      </w:r>
    </w:p>
    <w:p>
      <w:pPr>
        <w:spacing w:line="600" w:lineRule="exact"/>
        <w:rPr>
          <w:rFonts w:ascii="Times New Roman" w:eastAsia="仿宋" w:cs="Times New Roman" w:hAnsi="Times New Roman"/>
          <w:b/>
          <w:color w:val="000000"/>
          <w:sz w:val="32"/>
          <w:szCs w:val="32"/>
        </w:rPr>
      </w:pPr>
      <w:r>
        <w:rPr>
          <w:rFonts w:ascii="Times New Roman" w:eastAsia="仿宋" w:cs="Times New Roman" w:hAnsi="Times New Roman"/>
          <w:color w:val="000000"/>
          <w:sz w:val="32"/>
          <w:szCs w:val="32"/>
        </w:rPr>
        <w:drawing>
          <wp:anchor distT="0" distB="0" distL="114300" distR="114300" simplePos="0" relativeHeight="24" behindDoc="0" locked="0" layoutInCell="1" hidden="0" allowOverlap="1">
            <wp:simplePos x="0" y="0"/>
            <wp:positionH relativeFrom="column">
              <wp:posOffset>277495</wp:posOffset>
            </wp:positionH>
            <wp:positionV relativeFrom="paragraph">
              <wp:posOffset>360045</wp:posOffset>
            </wp:positionV>
            <wp:extent cx="4453890" cy="2417445"/>
            <wp:effectExtent l="0" t="0" r="0" b="0"/>
            <wp:wrapTopAndBottom/>
            <wp:docPr id="5" name="图表 7"/>
            <wp:cNvGraphicFramePr>
              <a:graphicFrameLocks noChangeAspect="0"/>
            </wp:cNvGraphicFramePr>
            <a:graphic>
              <a:graphicData uri="http://schemas.openxmlformats.org/drawingml/2006/chart">
                <c:chart xmlns:c="http://schemas.openxmlformats.org/drawingml/2006/chart" r:id="rId8"/>
              </a:graphicData>
            </a:graphic>
          </wp:anchor>
        </w:drawing>
      </w:r>
      <w:bookmarkStart w:id="50" w:name="_Toc15377212"/>
      <w:bookmarkStart w:id="51" w:name="_Toc15378460"/>
      <w:bookmarkStart w:id="52" w:name="_Toc15377444"/>
      <w:bookmarkStart w:id="53" w:name="_Toc15377213"/>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楷体" w:cs="Times New Roman" w:hAnsi="Times New Roman"/>
          <w:b/>
          <w:bCs/>
          <w:color w:val="000000"/>
          <w:kern w:val="2"/>
          <w:sz w:val="32"/>
          <w:szCs w:val="32"/>
          <w:lang w:val="en-US" w:eastAsia="zh-CN" w:bidi="ar-SA"/>
        </w:rPr>
      </w:pPr>
      <w:bookmarkStart w:id="54" w:name="_Toc32101"/>
      <w:r>
        <w:rPr>
          <w:rFonts w:ascii="Times New Roman" w:eastAsia="楷体" w:cs="Times New Roman" w:hAnsi="Times New Roman"/>
          <w:b/>
          <w:bCs/>
          <w:color w:val="000000"/>
          <w:kern w:val="2"/>
          <w:sz w:val="32"/>
          <w:szCs w:val="32"/>
          <w:lang w:val="en-US" w:eastAsia="zh-CN" w:bidi="ar-SA"/>
        </w:rPr>
        <w:t>（三）一般公共预算财政拨款支出决算具体情况</w:t>
      </w:r>
      <w:bookmarkEnd w:id="50"/>
      <w:bookmarkEnd w:id="54"/>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方正仿宋_GBK" w:cs="Times New Roman" w:hAnsi="Times New Roman"/>
          <w:bCs/>
          <w:color w:val="FF0000"/>
          <w:sz w:val="32"/>
          <w:szCs w:val="32"/>
        </w:rPr>
      </w:pPr>
      <w:r>
        <w:rPr>
          <w:rFonts w:eastAsia="方正仿宋_GBK" w:cs="Times New Roman" w:hint="eastAsia"/>
          <w:bCs/>
          <w:color w:val="000000"/>
          <w:sz w:val="32"/>
          <w:szCs w:val="32"/>
          <w:lang w:eastAsia="zh-CN"/>
        </w:rPr>
        <w:t>2024年</w:t>
      </w:r>
      <w:r>
        <w:rPr>
          <w:rFonts w:ascii="Times New Roman" w:eastAsia="方正仿宋_GBK" w:cs="Times New Roman" w:hAnsi="Times New Roman"/>
          <w:bCs/>
          <w:color w:val="000000"/>
          <w:sz w:val="32"/>
          <w:szCs w:val="32"/>
        </w:rPr>
        <w:t>一般公共预算数为</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bCs/>
          <w:color w:val="000000"/>
          <w:sz w:val="32"/>
          <w:szCs w:val="32"/>
        </w:rPr>
        <w:t>万元，支出决算数为</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bCs/>
          <w:color w:val="000000"/>
          <w:sz w:val="32"/>
          <w:szCs w:val="32"/>
        </w:rPr>
        <w:t>万元，完</w:t>
      </w:r>
      <w:r>
        <w:rPr>
          <w:rStyle w:val="24"/>
          <w:rFonts w:ascii="Times New Roman" w:eastAsia="方正仿宋_GBK" w:cs="Times New Roman" w:hAnsi="Times New Roman"/>
          <w:b w:val="0"/>
          <w:bCs/>
          <w:color w:val="000000"/>
          <w:sz w:val="32"/>
          <w:szCs w:val="32"/>
        </w:rPr>
        <w:t>成预算100%。其中：</w:t>
      </w:r>
      <w:bookmarkEnd w:id="51"/>
      <w:bookmarkEnd w:id="52"/>
      <w:bookmarkEnd w:id="53"/>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color w:val="000000"/>
          <w:sz w:val="32"/>
          <w:szCs w:val="32"/>
        </w:rPr>
      </w:pPr>
      <w:r>
        <w:rPr>
          <w:rStyle w:val="24"/>
          <w:rFonts w:ascii="Times New Roman" w:eastAsia="仿宋" w:cs="Times New Roman" w:hAnsi="Times New Roman"/>
          <w:bCs/>
          <w:color w:val="000000"/>
          <w:sz w:val="32"/>
          <w:szCs w:val="32"/>
        </w:rPr>
        <w:t>1.一般公共服务:</w:t>
      </w:r>
      <w:r>
        <w:rPr>
          <w:rStyle w:val="24"/>
          <w:rFonts w:ascii="Times New Roman" w:eastAsia="仿宋" w:cs="Times New Roman" w:hAnsi="Times New Roman"/>
          <w:b w:val="0"/>
          <w:bCs/>
          <w:color w:val="000000"/>
          <w:sz w:val="32"/>
          <w:szCs w:val="32"/>
        </w:rPr>
        <w:t xml:space="preserve"> 支出决算为</w:t>
      </w:r>
      <w:r>
        <w:rPr>
          <w:rFonts w:eastAsia="方正仿宋_GBK" w:cs="Times New Roman" w:hint="eastAsia"/>
          <w:color w:val="000000"/>
          <w:sz w:val="32"/>
          <w:szCs w:val="32"/>
          <w:lang w:val="en-US" w:eastAsia="zh-CN"/>
        </w:rPr>
        <w:t>601.56</w:t>
      </w:r>
      <w:r>
        <w:rPr>
          <w:rStyle w:val="24"/>
          <w:rFonts w:ascii="Times New Roman" w:eastAsia="仿宋" w:cs="Times New Roman" w:hAnsi="Times New Roman"/>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rPr>
      </w:pPr>
      <w:r>
        <w:rPr>
          <w:rStyle w:val="24"/>
          <w:rFonts w:ascii="Times New Roman" w:eastAsia="仿宋" w:cs="Times New Roman" w:hAnsi="Times New Roman"/>
          <w:bCs/>
          <w:color w:val="000000"/>
          <w:sz w:val="32"/>
          <w:szCs w:val="32"/>
        </w:rPr>
        <w:t>2</w:t>
      </w:r>
      <w:r>
        <w:rPr>
          <w:rStyle w:val="24"/>
          <w:rFonts w:ascii="Times New Roman" w:eastAsia="仿宋" w:cs="Times New Roman" w:hAnsi="Times New Roman" w:hint="eastAsia"/>
          <w:bCs/>
          <w:color w:val="000000"/>
          <w:sz w:val="32"/>
          <w:szCs w:val="32"/>
          <w:lang w:eastAsia="zh-CN"/>
        </w:rPr>
        <w:t>.</w:t>
      </w:r>
      <w:r>
        <w:rPr>
          <w:rStyle w:val="24"/>
          <w:rFonts w:ascii="Times New Roman" w:eastAsia="仿宋" w:cs="Times New Roman" w:hAnsi="Times New Roman"/>
          <w:bCs/>
          <w:color w:val="000000"/>
          <w:sz w:val="32"/>
          <w:szCs w:val="32"/>
        </w:rPr>
        <w:t xml:space="preserve">社会保障和就业支出: </w:t>
      </w:r>
      <w:r>
        <w:rPr>
          <w:rStyle w:val="24"/>
          <w:rFonts w:ascii="Times New Roman" w:eastAsia="仿宋" w:cs="Times New Roman" w:hAnsi="Times New Roman"/>
          <w:b w:val="0"/>
          <w:bCs w:val="0"/>
          <w:color w:val="000000"/>
          <w:sz w:val="32"/>
          <w:szCs w:val="32"/>
        </w:rPr>
        <w:t>支出决算为</w:t>
      </w:r>
      <w:r>
        <w:rPr>
          <w:rFonts w:eastAsia="方正仿宋_GBK" w:cs="Times New Roman" w:hint="eastAsia"/>
          <w:color w:val="000000"/>
          <w:sz w:val="32"/>
          <w:szCs w:val="32"/>
          <w:lang w:val="en-US" w:eastAsia="zh-CN"/>
        </w:rPr>
        <w:t>156.99</w:t>
      </w:r>
      <w:r>
        <w:rPr>
          <w:rStyle w:val="24"/>
          <w:rFonts w:ascii="Times New Roman" w:eastAsia="仿宋" w:cs="Times New Roman" w:hAnsi="Times New Roman"/>
          <w:b w:val="0"/>
          <w:bCs w:val="0"/>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rPr>
      </w:pPr>
      <w:r>
        <w:rPr>
          <w:rStyle w:val="24"/>
          <w:rFonts w:ascii="Times New Roman" w:eastAsia="仿宋" w:cs="Times New Roman" w:hAnsi="Times New Roman"/>
          <w:bCs/>
          <w:color w:val="000000"/>
          <w:sz w:val="32"/>
          <w:szCs w:val="32"/>
        </w:rPr>
        <w:t>3.农林水支出:</w:t>
      </w:r>
      <w:r>
        <w:rPr>
          <w:rStyle w:val="24"/>
          <w:rFonts w:ascii="Times New Roman" w:eastAsia="仿宋" w:cs="Times New Roman" w:hAnsi="Times New Roman"/>
          <w:b w:val="0"/>
          <w:bCs w:val="0"/>
          <w:color w:val="000000"/>
          <w:sz w:val="32"/>
          <w:szCs w:val="32"/>
        </w:rPr>
        <w:t>支出决算为</w:t>
      </w:r>
      <w:r>
        <w:rPr>
          <w:rFonts w:eastAsia="方正仿宋_GBK" w:cs="Times New Roman" w:hint="eastAsia"/>
          <w:color w:val="000000"/>
          <w:sz w:val="32"/>
          <w:szCs w:val="32"/>
          <w:lang w:val="en-US" w:eastAsia="zh-CN"/>
        </w:rPr>
        <w:t>700.37</w:t>
      </w:r>
      <w:r>
        <w:rPr>
          <w:rStyle w:val="24"/>
          <w:rFonts w:ascii="Times New Roman" w:eastAsia="仿宋" w:cs="Times New Roman" w:hAnsi="Times New Roman"/>
          <w:b w:val="0"/>
          <w:bCs w:val="0"/>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rPr>
      </w:pPr>
      <w:bookmarkStart w:id="55" w:name="_Toc15377214"/>
      <w:r>
        <w:rPr>
          <w:rStyle w:val="24"/>
          <w:rFonts w:ascii="Times New Roman" w:eastAsia="仿宋" w:cs="Times New Roman" w:hAnsi="Times New Roman"/>
          <w:bCs/>
          <w:color w:val="000000"/>
          <w:sz w:val="32"/>
          <w:szCs w:val="32"/>
        </w:rPr>
        <w:t>4.住房保障支出：</w:t>
      </w:r>
      <w:r>
        <w:rPr>
          <w:rStyle w:val="24"/>
          <w:rFonts w:ascii="Times New Roman" w:eastAsia="仿宋" w:cs="Times New Roman" w:hAnsi="Times New Roman"/>
          <w:b w:val="0"/>
          <w:bCs w:val="0"/>
          <w:color w:val="000000"/>
          <w:sz w:val="32"/>
          <w:szCs w:val="32"/>
        </w:rPr>
        <w:t>支出决算为</w:t>
      </w:r>
      <w:r>
        <w:rPr>
          <w:rFonts w:eastAsia="方正仿宋_GBK" w:cs="Times New Roman" w:hint="eastAsia"/>
          <w:color w:val="000000"/>
          <w:sz w:val="32"/>
          <w:szCs w:val="32"/>
          <w:lang w:val="en-US" w:eastAsia="zh-CN"/>
        </w:rPr>
        <w:t>92.21</w:t>
      </w:r>
      <w:r>
        <w:rPr>
          <w:rStyle w:val="24"/>
          <w:rFonts w:ascii="Times New Roman" w:eastAsia="仿宋" w:cs="Times New Roman" w:hAnsi="Times New Roman"/>
          <w:b w:val="0"/>
          <w:bCs w:val="0"/>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rPr>
      </w:pPr>
      <w:r>
        <w:rPr>
          <w:rStyle w:val="24"/>
          <w:rFonts w:ascii="Times New Roman" w:eastAsia="仿宋" w:cs="Times New Roman" w:hAnsi="Times New Roman"/>
          <w:bCs/>
          <w:color w:val="000000"/>
          <w:sz w:val="32"/>
          <w:szCs w:val="32"/>
        </w:rPr>
        <w:t>5.卫生健康支出：</w:t>
      </w:r>
      <w:r>
        <w:rPr>
          <w:rStyle w:val="24"/>
          <w:rFonts w:ascii="Times New Roman" w:eastAsia="仿宋" w:cs="Times New Roman" w:hAnsi="Times New Roman"/>
          <w:b w:val="0"/>
          <w:bCs w:val="0"/>
          <w:color w:val="000000"/>
          <w:sz w:val="32"/>
          <w:szCs w:val="32"/>
        </w:rPr>
        <w:t>支出决算为</w:t>
      </w:r>
      <w:r>
        <w:rPr>
          <w:rFonts w:eastAsia="方正仿宋_GBK" w:cs="Times New Roman" w:hint="eastAsia"/>
          <w:b w:val="0"/>
          <w:bCs w:val="0"/>
          <w:color w:val="000000"/>
          <w:sz w:val="32"/>
          <w:szCs w:val="32"/>
          <w:lang w:val="en-US" w:eastAsia="zh-CN"/>
        </w:rPr>
        <w:t>67.9</w:t>
      </w:r>
      <w:r>
        <w:rPr>
          <w:rStyle w:val="24"/>
          <w:rFonts w:ascii="Times New Roman" w:eastAsia="仿宋" w:cs="Times New Roman" w:hAnsi="Times New Roman"/>
          <w:b w:val="0"/>
          <w:bCs w:val="0"/>
          <w:color w:val="000000"/>
          <w:sz w:val="32"/>
          <w:szCs w:val="32"/>
        </w:rPr>
        <w:t>万元，完成预算100%。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lang w:eastAsia="zh-CN"/>
        </w:rPr>
      </w:pPr>
      <w:r>
        <w:rPr>
          <w:rStyle w:val="24"/>
          <w:rFonts w:ascii="Times New Roman" w:eastAsia="仿宋" w:cs="Times New Roman" w:hAnsi="Times New Roman"/>
          <w:bCs/>
          <w:color w:val="000000"/>
          <w:sz w:val="32"/>
          <w:szCs w:val="32"/>
          <w:lang w:val="en-US" w:eastAsia="zh-CN"/>
        </w:rPr>
        <w:t>6.</w:t>
      </w:r>
      <w:r>
        <w:rPr>
          <w:rStyle w:val="24"/>
          <w:rFonts w:ascii="Times New Roman" w:eastAsia="仿宋" w:cs="Times New Roman" w:hAnsi="Times New Roman"/>
          <w:bCs/>
          <w:color w:val="000000"/>
          <w:sz w:val="32"/>
          <w:szCs w:val="32"/>
        </w:rPr>
        <w:t>城乡社区支出</w:t>
      </w:r>
      <w:r>
        <w:rPr>
          <w:rStyle w:val="24"/>
          <w:rFonts w:ascii="Times New Roman" w:eastAsia="仿宋" w:cs="Times New Roman" w:hAnsi="Times New Roman"/>
          <w:bCs/>
          <w:color w:val="000000"/>
          <w:sz w:val="32"/>
          <w:szCs w:val="32"/>
          <w:lang w:eastAsia="zh-CN"/>
        </w:rPr>
        <w:t>：</w:t>
      </w:r>
      <w:r>
        <w:rPr>
          <w:rStyle w:val="24"/>
          <w:rFonts w:ascii="Times New Roman" w:eastAsia="仿宋" w:cs="Times New Roman" w:hAnsi="Times New Roman"/>
          <w:b w:val="0"/>
          <w:bCs w:val="0"/>
          <w:color w:val="000000"/>
          <w:sz w:val="32"/>
          <w:szCs w:val="32"/>
        </w:rPr>
        <w:t>支出决算为</w:t>
      </w:r>
      <w:r>
        <w:rPr>
          <w:rFonts w:eastAsia="方正仿宋_GBK" w:cs="Times New Roman" w:hint="eastAsia"/>
          <w:b w:val="0"/>
          <w:bCs/>
          <w:color w:val="000000"/>
          <w:sz w:val="32"/>
          <w:szCs w:val="32"/>
          <w:lang w:val="en-US" w:eastAsia="zh-CN"/>
        </w:rPr>
        <w:t>96</w:t>
      </w:r>
      <w:r>
        <w:rPr>
          <w:rStyle w:val="24"/>
          <w:rFonts w:ascii="Times New Roman" w:eastAsia="仿宋" w:cs="Times New Roman" w:hAnsi="Times New Roman"/>
          <w:b w:val="0"/>
          <w:bCs w:val="0"/>
          <w:color w:val="000000"/>
          <w:sz w:val="32"/>
          <w:szCs w:val="32"/>
          <w:lang w:val="en-US" w:eastAsia="zh-CN"/>
        </w:rPr>
        <w:t>万元</w:t>
      </w:r>
      <w:r>
        <w:rPr>
          <w:rStyle w:val="24"/>
          <w:rFonts w:ascii="Times New Roman" w:eastAsia="仿宋" w:cs="Times New Roman" w:hAnsi="Times New Roman"/>
          <w:b w:val="0"/>
          <w:bCs w:val="0"/>
          <w:color w:val="000000"/>
          <w:sz w:val="32"/>
          <w:szCs w:val="32"/>
        </w:rPr>
        <w:t>，完成预算100%</w:t>
      </w:r>
      <w:r>
        <w:rPr>
          <w:rStyle w:val="24"/>
          <w:rFonts w:ascii="Times New Roman" w:eastAsia="仿宋" w:cs="Times New Roman" w:hAnsi="Times New Roman"/>
          <w:b w:val="0"/>
          <w:bCs w:val="0"/>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lang w:val="en-US" w:eastAsia="zh-CN"/>
        </w:rPr>
      </w:pPr>
      <w:r>
        <w:rPr>
          <w:rStyle w:val="24"/>
          <w:rFonts w:ascii="Times New Roman" w:eastAsia="仿宋" w:cs="Times New Roman" w:hAnsi="Times New Roman"/>
          <w:bCs/>
          <w:color w:val="000000"/>
          <w:sz w:val="32"/>
          <w:szCs w:val="32"/>
          <w:lang w:val="en-US" w:eastAsia="zh-CN"/>
        </w:rPr>
        <w:t>7.节能环保支出：</w:t>
      </w:r>
      <w:r>
        <w:rPr>
          <w:rStyle w:val="24"/>
          <w:rFonts w:ascii="Times New Roman" w:eastAsia="仿宋" w:cs="Times New Roman" w:hAnsi="Times New Roman"/>
          <w:b w:val="0"/>
          <w:bCs w:val="0"/>
          <w:color w:val="000000"/>
          <w:sz w:val="32"/>
          <w:szCs w:val="32"/>
          <w:lang w:val="en-US" w:eastAsia="zh-CN"/>
        </w:rPr>
        <w:t>支出决算为</w:t>
      </w:r>
      <w:r>
        <w:rPr>
          <w:rStyle w:val="24"/>
          <w:rFonts w:eastAsia="仿宋" w:cs="Times New Roman" w:hint="eastAsia"/>
          <w:b w:val="0"/>
          <w:bCs w:val="0"/>
          <w:color w:val="000000"/>
          <w:sz w:val="32"/>
          <w:szCs w:val="32"/>
          <w:lang w:val="en-US" w:eastAsia="zh-CN"/>
        </w:rPr>
        <w:t>30</w:t>
      </w:r>
      <w:r>
        <w:rPr>
          <w:rStyle w:val="24"/>
          <w:rFonts w:ascii="Times New Roman" w:eastAsia="仿宋" w:cs="Times New Roman" w:hAnsi="Times New Roman"/>
          <w:b w:val="0"/>
          <w:bCs w:val="0"/>
          <w:color w:val="000000"/>
          <w:sz w:val="32"/>
          <w:szCs w:val="32"/>
          <w:lang w:val="en-US" w:eastAsia="zh-CN"/>
        </w:rPr>
        <w:t xml:space="preserve">万元，完成预算100%。 </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Style w:val="24"/>
          <w:rFonts w:ascii="Times New Roman" w:eastAsia="仿宋" w:cs="Times New Roman" w:hAnsi="Times New Roman"/>
          <w:b w:val="0"/>
          <w:bCs w:val="0"/>
          <w:color w:val="000000"/>
          <w:sz w:val="32"/>
          <w:szCs w:val="32"/>
          <w:lang w:val="en-US" w:eastAsia="zh-CN"/>
        </w:rPr>
      </w:pPr>
      <w:r>
        <w:rPr>
          <w:rStyle w:val="24"/>
          <w:rFonts w:ascii="Times New Roman" w:eastAsia="仿宋" w:cs="Times New Roman" w:hAnsi="Times New Roman"/>
          <w:bCs/>
          <w:color w:val="000000"/>
          <w:sz w:val="32"/>
          <w:szCs w:val="32"/>
          <w:lang w:val="en-US" w:eastAsia="zh-CN"/>
        </w:rPr>
        <w:t>8.其他支出：</w:t>
      </w:r>
      <w:r>
        <w:rPr>
          <w:rStyle w:val="24"/>
          <w:rFonts w:ascii="Times New Roman" w:eastAsia="仿宋" w:cs="Times New Roman" w:hAnsi="Times New Roman"/>
          <w:b w:val="0"/>
          <w:bCs w:val="0"/>
          <w:color w:val="000000"/>
          <w:sz w:val="32"/>
          <w:szCs w:val="32"/>
          <w:lang w:val="en-US" w:eastAsia="zh-CN"/>
        </w:rPr>
        <w:t>支出决算为</w:t>
      </w:r>
      <w:r>
        <w:rPr>
          <w:rStyle w:val="24"/>
          <w:rFonts w:eastAsia="仿宋" w:cs="Times New Roman" w:hint="eastAsia"/>
          <w:b w:val="0"/>
          <w:bCs w:val="0"/>
          <w:color w:val="000000"/>
          <w:sz w:val="32"/>
          <w:szCs w:val="32"/>
          <w:lang w:val="en-US" w:eastAsia="zh-CN"/>
        </w:rPr>
        <w:t>0</w:t>
      </w:r>
      <w:r>
        <w:rPr>
          <w:rStyle w:val="24"/>
          <w:rFonts w:ascii="Times New Roman" w:eastAsia="仿宋" w:cs="Times New Roman" w:hAnsi="Times New Roman"/>
          <w:b w:val="0"/>
          <w:bCs w:val="0"/>
          <w:color w:val="000000"/>
          <w:sz w:val="32"/>
          <w:szCs w:val="32"/>
          <w:lang w:val="en-US" w:eastAsia="zh-CN"/>
        </w:rPr>
        <w:t>万元，完成预算100%。</w:t>
      </w:r>
    </w:p>
    <w:p>
      <w:pPr>
        <w:pStyle w:val="26"/>
        <w:rPr>
          <w:lang w:val="en-US" w:eastAsia="zh-CN"/>
        </w:rPr>
      </w:pPr>
    </w:p>
    <w:p>
      <w:pPr>
        <w:pStyle w:val="31"/>
        <w:keepNext w:val="0"/>
        <w:keepLines w:val="0"/>
        <w:pageBreakBefore w:val="0"/>
        <w:widowControl w:val="0"/>
        <w:kinsoku/>
        <w:wordWrap/>
        <w:overflowPunct/>
        <w:topLinePunct w:val="0"/>
        <w:autoSpaceDE/>
        <w:autoSpaceDN/>
        <w:bidi w:val="0"/>
        <w:adjustRightInd/>
        <w:snapToGrid/>
        <w:textAlignment w:val="auto"/>
        <w:outlineLvl w:val="1"/>
        <w:rPr>
          <w:rFonts w:ascii="黑体" w:eastAsia="黑体" w:cs="黑体"/>
          <w:color w:val="000000"/>
          <w:sz w:val="32"/>
          <w:szCs w:val="32"/>
          <w:lang w:val="en-US" w:eastAsia="zh-CN"/>
        </w:rPr>
      </w:pPr>
      <w:bookmarkStart w:id="56" w:name="_Toc21339"/>
      <w:bookmarkStart w:id="57" w:name="_Toc12440"/>
      <w:r>
        <w:rPr>
          <w:rFonts w:ascii="黑体" w:eastAsia="黑体" w:cs="黑体"/>
          <w:color w:val="000000"/>
          <w:sz w:val="32"/>
          <w:szCs w:val="32"/>
          <w:lang w:val="en-US" w:eastAsia="zh-CN"/>
        </w:rPr>
        <w:t>六、一般公共预算财政拨款基本支出决算情况说明</w:t>
      </w:r>
      <w:bookmarkEnd w:id="55"/>
      <w:bookmarkEnd w:id="56"/>
      <w:bookmarkEnd w:id="57"/>
      <w:r>
        <w:rPr>
          <w:rFonts w:ascii="黑体" w:eastAsia="黑体" w:cs="黑体"/>
          <w:color w:val="000000"/>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Times New Roman" w:eastAsia="方正仿宋_GBK" w:cs="Times New Roman" w:hAnsi="Times New Roman"/>
          <w:color w:val="000000"/>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一般公共预算财政拨款基本支出</w:t>
      </w:r>
      <w:r>
        <w:rPr>
          <w:rFonts w:eastAsia="方正仿宋_GBK" w:cs="Times New Roman" w:hint="eastAsia"/>
          <w:color w:val="000000"/>
          <w:spacing w:val="-2"/>
          <w:sz w:val="32"/>
          <w:szCs w:val="32"/>
          <w:lang w:val="en-US" w:eastAsia="zh-CN"/>
        </w:rPr>
        <w:t>1745.04</w:t>
      </w:r>
      <w:r>
        <w:rPr>
          <w:rFonts w:ascii="Times New Roman" w:eastAsia="方正仿宋_GBK" w:cs="Times New Roman" w:hAnsi="Times New Roman"/>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600" w:lineRule="exact"/>
        <w:ind w:firstLine="645"/>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b/>
          <w:bCs/>
          <w:color w:val="000000"/>
          <w:sz w:val="32"/>
          <w:szCs w:val="32"/>
        </w:rPr>
        <w:t>人员经费</w:t>
      </w:r>
      <w:r>
        <w:rPr>
          <w:rFonts w:eastAsia="方正仿宋_GBK" w:cs="Times New Roman" w:hint="eastAsia"/>
          <w:b/>
          <w:bCs/>
          <w:color w:val="000000"/>
          <w:sz w:val="32"/>
          <w:szCs w:val="32"/>
          <w:lang w:val="en-US" w:eastAsia="zh-CN"/>
        </w:rPr>
        <w:t>1178.96</w:t>
      </w:r>
      <w:r>
        <w:rPr>
          <w:rFonts w:ascii="Times New Roman" w:eastAsia="方正仿宋_GBK" w:cs="Times New Roman" w:hAnsi="Times New Roman"/>
          <w:b/>
          <w:bCs/>
          <w:color w:val="000000"/>
          <w:sz w:val="32"/>
          <w:szCs w:val="32"/>
        </w:rPr>
        <w:t>万元</w:t>
      </w:r>
      <w:r>
        <w:rPr>
          <w:rFonts w:ascii="Times New Roman" w:eastAsia="方正仿宋_GBK" w:cs="Times New Roman" w:hAnsi="Times New Roman"/>
          <w:color w:val="000000"/>
          <w:sz w:val="32"/>
          <w:szCs w:val="32"/>
        </w:rPr>
        <w:t>，主要包括：基本工资</w:t>
      </w:r>
      <w:r>
        <w:rPr>
          <w:rFonts w:eastAsia="方正仿宋_GBK" w:cs="Times New Roman" w:hint="eastAsia"/>
          <w:color w:val="000000"/>
          <w:sz w:val="32"/>
          <w:szCs w:val="32"/>
          <w:lang w:val="en-US" w:eastAsia="zh-CN"/>
        </w:rPr>
        <w:t>200.15</w:t>
      </w:r>
      <w:r>
        <w:rPr>
          <w:rFonts w:ascii="Times New Roman" w:eastAsia="方正仿宋_GBK" w:cs="Times New Roman" w:hAnsi="Times New Roman"/>
          <w:color w:val="000000"/>
          <w:sz w:val="32"/>
          <w:szCs w:val="32"/>
        </w:rPr>
        <w:t>万元、津贴补贴</w:t>
      </w:r>
      <w:r>
        <w:rPr>
          <w:rFonts w:eastAsia="方正仿宋_GBK" w:cs="Times New Roman" w:hint="eastAsia"/>
          <w:color w:val="000000"/>
          <w:sz w:val="32"/>
          <w:szCs w:val="32"/>
          <w:lang w:val="en-US" w:eastAsia="zh-CN"/>
        </w:rPr>
        <w:t>291.72</w:t>
      </w:r>
      <w:r>
        <w:rPr>
          <w:rFonts w:ascii="Times New Roman" w:eastAsia="方正仿宋_GBK" w:cs="Times New Roman" w:hAnsi="Times New Roman"/>
          <w:color w:val="000000"/>
          <w:sz w:val="32"/>
          <w:szCs w:val="32"/>
        </w:rPr>
        <w:t>万元、奖金</w:t>
      </w:r>
      <w:r>
        <w:rPr>
          <w:rFonts w:eastAsia="方正仿宋_GBK" w:cs="Times New Roman" w:hint="eastAsia"/>
          <w:color w:val="000000"/>
          <w:sz w:val="32"/>
          <w:szCs w:val="32"/>
          <w:lang w:val="en-US" w:eastAsia="zh-CN"/>
        </w:rPr>
        <w:t>268.62</w:t>
      </w:r>
      <w:r>
        <w:rPr>
          <w:rFonts w:ascii="Times New Roman" w:eastAsia="方正仿宋_GBK" w:cs="Times New Roman" w:hAnsi="Times New Roman"/>
          <w:color w:val="000000"/>
          <w:sz w:val="32"/>
          <w:szCs w:val="32"/>
        </w:rPr>
        <w:t>万元、绩效工资</w:t>
      </w:r>
      <w:r>
        <w:rPr>
          <w:rFonts w:eastAsia="方正仿宋_GBK" w:cs="Times New Roman" w:hint="eastAsia"/>
          <w:color w:val="000000"/>
          <w:sz w:val="32"/>
          <w:szCs w:val="32"/>
          <w:lang w:val="en-US" w:eastAsia="zh-CN"/>
        </w:rPr>
        <w:t>70.17</w:t>
      </w:r>
      <w:r>
        <w:rPr>
          <w:rFonts w:ascii="Times New Roman" w:eastAsia="方正仿宋_GBK" w:cs="Times New Roman" w:hAnsi="Times New Roman"/>
          <w:color w:val="000000"/>
          <w:sz w:val="32"/>
          <w:szCs w:val="32"/>
        </w:rPr>
        <w:t>万元、机关事业单位基本养老保险缴费</w:t>
      </w:r>
      <w:r>
        <w:rPr>
          <w:rFonts w:eastAsia="方正仿宋_GBK" w:cs="Times New Roman" w:hint="eastAsia"/>
          <w:color w:val="000000"/>
          <w:sz w:val="32"/>
          <w:szCs w:val="32"/>
          <w:lang w:val="en-US" w:eastAsia="zh-CN"/>
        </w:rPr>
        <w:t>1045.95</w:t>
      </w:r>
      <w:r>
        <w:rPr>
          <w:rFonts w:ascii="Times New Roman" w:eastAsia="方正仿宋_GBK" w:cs="Times New Roman" w:hAnsi="Times New Roman"/>
          <w:color w:val="000000"/>
          <w:sz w:val="32"/>
          <w:szCs w:val="32"/>
        </w:rPr>
        <w:t>万元、职业年金缴费</w:t>
      </w:r>
      <w:r>
        <w:rPr>
          <w:rFonts w:eastAsia="方正仿宋_GBK" w:cs="Times New Roman" w:hint="eastAsia"/>
          <w:color w:val="000000"/>
          <w:sz w:val="32"/>
          <w:szCs w:val="32"/>
          <w:lang w:val="en-US" w:eastAsia="zh-CN"/>
        </w:rPr>
        <w:t>52.4</w:t>
      </w:r>
      <w:r>
        <w:rPr>
          <w:rFonts w:ascii="Times New Roman" w:eastAsia="方正仿宋_GBK" w:cs="Times New Roman" w:hAnsi="Times New Roman"/>
          <w:color w:val="000000"/>
          <w:sz w:val="32"/>
          <w:szCs w:val="32"/>
        </w:rPr>
        <w:t>万元、职工基本医疗保险缴费</w:t>
      </w:r>
      <w:r>
        <w:rPr>
          <w:rFonts w:eastAsia="方正仿宋_GBK" w:cs="Times New Roman" w:hint="eastAsia"/>
          <w:color w:val="000000"/>
          <w:sz w:val="32"/>
          <w:szCs w:val="32"/>
          <w:lang w:val="en-US" w:eastAsia="zh-CN"/>
        </w:rPr>
        <w:t>55.08</w:t>
      </w:r>
      <w:r>
        <w:rPr>
          <w:rFonts w:ascii="Times New Roman" w:eastAsia="方正仿宋_GBK" w:cs="Times New Roman" w:hAnsi="Times New Roman"/>
          <w:color w:val="000000"/>
          <w:sz w:val="32"/>
          <w:szCs w:val="32"/>
        </w:rPr>
        <w:t>万元、公务员医疗补助缴费</w:t>
      </w:r>
      <w:r>
        <w:rPr>
          <w:rFonts w:eastAsia="方正仿宋_GBK" w:cs="Times New Roman" w:hint="eastAsia"/>
          <w:color w:val="000000"/>
          <w:sz w:val="32"/>
          <w:szCs w:val="32"/>
          <w:lang w:val="en-US" w:eastAsia="zh-CN"/>
        </w:rPr>
        <w:t>8.72</w:t>
      </w:r>
      <w:r>
        <w:rPr>
          <w:rFonts w:ascii="Times New Roman" w:eastAsia="方正仿宋_GBK" w:cs="Times New Roman" w:hAnsi="Times New Roman"/>
          <w:color w:val="000000"/>
          <w:sz w:val="32"/>
          <w:szCs w:val="32"/>
        </w:rPr>
        <w:t>万元、其他社会保障缴费</w:t>
      </w:r>
      <w:r>
        <w:rPr>
          <w:rFonts w:eastAsia="方正仿宋_GBK" w:cs="Times New Roman" w:hint="eastAsia"/>
          <w:color w:val="000000"/>
          <w:sz w:val="32"/>
          <w:szCs w:val="32"/>
          <w:lang w:val="en-US" w:eastAsia="zh-CN"/>
        </w:rPr>
        <w:t>18.04</w:t>
      </w:r>
      <w:r>
        <w:rPr>
          <w:rFonts w:ascii="Times New Roman" w:eastAsia="方正仿宋_GBK" w:cs="Times New Roman" w:hAnsi="Times New Roman"/>
          <w:color w:val="000000"/>
          <w:sz w:val="32"/>
          <w:szCs w:val="32"/>
        </w:rPr>
        <w:t>万元、住房公积金</w:t>
      </w:r>
      <w:r>
        <w:rPr>
          <w:rFonts w:eastAsia="方正仿宋_GBK" w:cs="Times New Roman" w:hint="eastAsia"/>
          <w:color w:val="000000"/>
          <w:sz w:val="32"/>
          <w:szCs w:val="32"/>
          <w:lang w:val="en-US" w:eastAsia="zh-CN"/>
        </w:rPr>
        <w:t>91.21</w:t>
      </w:r>
      <w:r>
        <w:rPr>
          <w:rFonts w:ascii="Times New Roman" w:eastAsia="方正仿宋_GBK" w:cs="Times New Roman" w:hAnsi="Times New Roman"/>
          <w:color w:val="000000"/>
          <w:sz w:val="32"/>
          <w:szCs w:val="32"/>
        </w:rPr>
        <w:t>万、生活补助</w:t>
      </w:r>
      <w:r>
        <w:rPr>
          <w:rFonts w:eastAsia="方正仿宋_GBK" w:cs="Times New Roman" w:hint="eastAsia"/>
          <w:color w:val="000000"/>
          <w:sz w:val="32"/>
          <w:szCs w:val="32"/>
          <w:lang w:val="en-US" w:eastAsia="zh-CN"/>
        </w:rPr>
        <w:t>18.27</w:t>
      </w:r>
      <w:r>
        <w:rPr>
          <w:rFonts w:ascii="Times New Roman" w:eastAsia="方正仿宋_GBK" w:cs="Times New Roman" w:hAnsi="Times New Roman"/>
          <w:color w:val="000000"/>
          <w:sz w:val="32"/>
          <w:szCs w:val="32"/>
        </w:rPr>
        <w:t>万元、奖励金</w:t>
      </w:r>
      <w:r>
        <w:rPr>
          <w:rFonts w:eastAsia="方正仿宋_GBK" w:cs="Times New Roman" w:hint="eastAsia"/>
          <w:color w:val="000000"/>
          <w:sz w:val="32"/>
          <w:szCs w:val="32"/>
          <w:lang w:val="en-US" w:eastAsia="zh-CN"/>
        </w:rPr>
        <w:t>0</w:t>
      </w:r>
      <w:r>
        <w:rPr>
          <w:rFonts w:ascii="Times New Roman" w:eastAsia="方正仿宋_GBK" w:cs="Times New Roman" w:hAnsi="Times New Roman"/>
          <w:color w:val="000000"/>
          <w:sz w:val="32"/>
          <w:szCs w:val="32"/>
        </w:rPr>
        <w:t>万元。</w:t>
        <w:br/>
        <w:t>　</w:t>
      </w:r>
      <w:r>
        <w:rPr>
          <w:rFonts w:ascii="Times New Roman" w:eastAsia="方正仿宋_GBK" w:cs="Times New Roman" w:hAnsi="Times New Roman"/>
          <w:b/>
          <w:bCs/>
          <w:color w:val="000000"/>
          <w:sz w:val="32"/>
          <w:szCs w:val="32"/>
        </w:rPr>
        <w:t>　公用经费</w:t>
      </w:r>
      <w:r>
        <w:rPr>
          <w:rFonts w:eastAsia="方正仿宋_GBK" w:cs="Times New Roman" w:hint="eastAsia"/>
          <w:b/>
          <w:bCs/>
          <w:color w:val="000000"/>
          <w:sz w:val="32"/>
          <w:szCs w:val="32"/>
          <w:lang w:val="en-US" w:eastAsia="zh-CN"/>
        </w:rPr>
        <w:t>52.09</w:t>
      </w:r>
      <w:r>
        <w:rPr>
          <w:rFonts w:ascii="Times New Roman" w:eastAsia="方正仿宋_GBK" w:cs="Times New Roman" w:hAnsi="Times New Roman"/>
          <w:b/>
          <w:bCs/>
          <w:color w:val="000000"/>
          <w:sz w:val="32"/>
          <w:szCs w:val="32"/>
        </w:rPr>
        <w:t>万元</w:t>
      </w:r>
      <w:r>
        <w:rPr>
          <w:rFonts w:ascii="Times New Roman" w:eastAsia="方正仿宋_GBK" w:cs="Times New Roman" w:hAnsi="Times New Roman"/>
          <w:color w:val="000000"/>
          <w:sz w:val="32"/>
          <w:szCs w:val="32"/>
        </w:rPr>
        <w:t>，主要包括：办公费</w:t>
      </w:r>
      <w:r>
        <w:rPr>
          <w:rFonts w:eastAsia="方正仿宋_GBK" w:cs="Times New Roman" w:hint="eastAsia"/>
          <w:color w:val="000000"/>
          <w:sz w:val="32"/>
          <w:szCs w:val="32"/>
          <w:lang w:val="en-US" w:eastAsia="zh-CN"/>
        </w:rPr>
        <w:t>8.45</w:t>
      </w:r>
      <w:r>
        <w:rPr>
          <w:rFonts w:ascii="Times New Roman" w:eastAsia="方正仿宋_GBK" w:cs="Times New Roman" w:hAnsi="Times New Roman"/>
          <w:color w:val="000000"/>
          <w:sz w:val="32"/>
          <w:szCs w:val="32"/>
        </w:rPr>
        <w:t>万元、电费</w:t>
      </w:r>
      <w:r>
        <w:rPr>
          <w:rFonts w:eastAsia="方正仿宋_GBK" w:cs="Times New Roman" w:hint="eastAsia"/>
          <w:color w:val="000000"/>
          <w:sz w:val="32"/>
          <w:szCs w:val="32"/>
          <w:lang w:val="en-US" w:eastAsia="zh-CN"/>
        </w:rPr>
        <w:t>2</w:t>
      </w:r>
      <w:r>
        <w:rPr>
          <w:rFonts w:ascii="Times New Roman" w:eastAsia="方正仿宋_GBK" w:cs="Times New Roman" w:hAnsi="Times New Roman"/>
          <w:color w:val="000000"/>
          <w:sz w:val="32"/>
          <w:szCs w:val="32"/>
        </w:rPr>
        <w:t>万元、维修费</w:t>
      </w:r>
      <w:r>
        <w:rPr>
          <w:rFonts w:ascii="Times New Roman" w:eastAsia="方正仿宋_GBK" w:cs="Times New Roman" w:hAnsi="Times New Roman"/>
          <w:color w:val="000000"/>
          <w:sz w:val="32"/>
          <w:szCs w:val="32"/>
          <w:lang w:val="en-US" w:eastAsia="zh-CN"/>
        </w:rPr>
        <w:t>8</w:t>
      </w:r>
      <w:r>
        <w:rPr>
          <w:rFonts w:ascii="Times New Roman" w:eastAsia="方正仿宋_GBK" w:cs="Times New Roman" w:hAnsi="Times New Roman"/>
          <w:color w:val="000000"/>
          <w:sz w:val="32"/>
          <w:szCs w:val="32"/>
        </w:rPr>
        <w:t>万元、公车运行维护费</w:t>
      </w:r>
      <w:r>
        <w:rPr>
          <w:rFonts w:eastAsia="方正仿宋_GBK" w:cs="Times New Roman" w:hint="eastAsia"/>
          <w:color w:val="000000"/>
          <w:sz w:val="32"/>
          <w:szCs w:val="32"/>
          <w:lang w:val="en-US" w:eastAsia="zh-CN"/>
        </w:rPr>
        <w:t>6.79</w:t>
      </w:r>
      <w:r>
        <w:rPr>
          <w:rFonts w:ascii="Times New Roman" w:eastAsia="方正仿宋_GBK" w:cs="Times New Roman" w:hAnsi="Times New Roman"/>
          <w:color w:val="000000"/>
          <w:sz w:val="32"/>
          <w:szCs w:val="32"/>
        </w:rPr>
        <w:t>万元、印刷费</w:t>
      </w:r>
      <w:r>
        <w:rPr>
          <w:rFonts w:ascii="Times New Roman" w:eastAsia="方正仿宋_GBK" w:cs="Times New Roman" w:hAnsi="Times New Roman"/>
          <w:color w:val="000000"/>
          <w:sz w:val="32"/>
          <w:szCs w:val="32"/>
          <w:lang w:val="en-US" w:eastAsia="zh-CN"/>
        </w:rPr>
        <w:t>1</w:t>
      </w:r>
      <w:r>
        <w:rPr>
          <w:rFonts w:ascii="Times New Roman" w:eastAsia="方正仿宋_GBK" w:cs="Times New Roman" w:hAnsi="Times New Roman"/>
          <w:color w:val="000000"/>
          <w:sz w:val="32"/>
          <w:szCs w:val="32"/>
        </w:rPr>
        <w:t>万元、邮电费</w:t>
      </w:r>
      <w:r>
        <w:rPr>
          <w:rFonts w:eastAsia="方正仿宋_GBK" w:cs="Times New Roman" w:hint="eastAsia"/>
          <w:color w:val="000000"/>
          <w:sz w:val="32"/>
          <w:szCs w:val="32"/>
          <w:lang w:val="en-US" w:eastAsia="zh-CN"/>
        </w:rPr>
        <w:t>4</w:t>
      </w:r>
      <w:r>
        <w:rPr>
          <w:rFonts w:ascii="Times New Roman" w:eastAsia="方正仿宋_GBK" w:cs="Times New Roman" w:hAnsi="Times New Roman"/>
          <w:color w:val="000000"/>
          <w:sz w:val="32"/>
          <w:szCs w:val="32"/>
        </w:rPr>
        <w:t>万元、差旅费</w:t>
      </w:r>
      <w:r>
        <w:rPr>
          <w:rFonts w:eastAsia="方正仿宋_GBK" w:cs="Times New Roman" w:hint="eastAsia"/>
          <w:color w:val="000000"/>
          <w:sz w:val="32"/>
          <w:szCs w:val="32"/>
          <w:lang w:val="en-US" w:eastAsia="zh-CN"/>
        </w:rPr>
        <w:t>13.33</w:t>
      </w:r>
      <w:r>
        <w:rPr>
          <w:rFonts w:ascii="Times New Roman" w:eastAsia="方正仿宋_GBK" w:cs="Times New Roman" w:hAnsi="Times New Roman"/>
          <w:color w:val="000000"/>
          <w:sz w:val="32"/>
          <w:szCs w:val="32"/>
        </w:rPr>
        <w:t>万元、租赁费</w:t>
      </w:r>
      <w:r>
        <w:rPr>
          <w:rFonts w:eastAsia="方正仿宋_GBK" w:cs="Times New Roman" w:hint="eastAsia"/>
          <w:color w:val="000000"/>
          <w:sz w:val="32"/>
          <w:szCs w:val="32"/>
          <w:lang w:val="en-US" w:eastAsia="zh-CN"/>
        </w:rPr>
        <w:t>0</w:t>
      </w:r>
      <w:r>
        <w:rPr>
          <w:rFonts w:ascii="Times New Roman" w:eastAsia="方正仿宋_GBK" w:cs="Times New Roman" w:hAnsi="Times New Roman"/>
          <w:color w:val="000000"/>
          <w:sz w:val="32"/>
          <w:szCs w:val="32"/>
        </w:rPr>
        <w:t>万元、劳务费</w:t>
      </w:r>
      <w:r>
        <w:rPr>
          <w:rFonts w:eastAsia="方正仿宋_GBK" w:cs="Times New Roman" w:hint="eastAsia"/>
          <w:color w:val="000000"/>
          <w:sz w:val="32"/>
          <w:szCs w:val="32"/>
          <w:lang w:val="en-US" w:eastAsia="zh-CN"/>
        </w:rPr>
        <w:t>8.52</w:t>
      </w:r>
      <w:r>
        <w:rPr>
          <w:rFonts w:ascii="Times New Roman" w:eastAsia="方正仿宋_GBK" w:cs="Times New Roman" w:hAnsi="Times New Roman"/>
          <w:color w:val="000000"/>
          <w:sz w:val="32"/>
          <w:szCs w:val="32"/>
        </w:rPr>
        <w:t>万元等。</w:t>
      </w:r>
    </w:p>
    <w:p>
      <w:pPr>
        <w:pStyle w:val="26"/>
        <w:keepNext w:val="0"/>
        <w:keepLines w:val="0"/>
        <w:pageBreakBefore w:val="0"/>
        <w:widowControl w:val="0"/>
        <w:kinsoku/>
        <w:wordWrap/>
        <w:overflowPunct/>
        <w:topLinePunct w:val="0"/>
        <w:autoSpaceDE/>
        <w:autoSpaceDN/>
        <w:bidi w:val="0"/>
        <w:adjustRightInd/>
        <w:snapToGrid/>
        <w:textAlignment w:val="auto"/>
        <w:rPr>
          <w:rFonts w:ascii="Times New Roman" w:eastAsia="方正仿宋_GBK" w:cs="Times New Roman" w:hAnsi="Times New Roman"/>
          <w:b/>
          <w:bCs/>
        </w:rPr>
      </w:pPr>
      <w:r>
        <w:rPr>
          <w:rFonts w:ascii="Times New Roman" w:eastAsia="方正仿宋_GBK" w:cs="Times New Roman" w:hAnsi="Times New Roman"/>
          <w:b/>
          <w:bCs/>
          <w:color w:val="000000"/>
          <w:sz w:val="32"/>
          <w:szCs w:val="32"/>
        </w:rPr>
        <w:t>项目支出</w:t>
      </w:r>
      <w:r>
        <w:rPr>
          <w:rFonts w:eastAsia="方正仿宋_GBK" w:cs="Times New Roman" w:hint="eastAsia"/>
          <w:b/>
          <w:bCs/>
          <w:color w:val="000000"/>
          <w:sz w:val="32"/>
          <w:szCs w:val="32"/>
          <w:lang w:val="en-US" w:eastAsia="zh-CN"/>
        </w:rPr>
        <w:t>514.04</w:t>
      </w:r>
      <w:r>
        <w:rPr>
          <w:rFonts w:ascii="Times New Roman" w:eastAsia="方正仿宋_GBK" w:cs="Times New Roman" w:hAnsi="Times New Roman"/>
          <w:b/>
          <w:bCs/>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ascii="黑体" w:eastAsia="黑体" w:cs="黑体"/>
          <w:color w:val="000000"/>
          <w:kern w:val="2"/>
          <w:sz w:val="32"/>
          <w:szCs w:val="32"/>
          <w:lang w:val="en-US" w:eastAsia="zh-CN" w:bidi="ar-SA"/>
        </w:rPr>
      </w:pPr>
      <w:bookmarkStart w:id="58" w:name="_Toc15377215"/>
      <w:bookmarkStart w:id="59" w:name="_Toc23406"/>
      <w:bookmarkStart w:id="60" w:name="_Toc3548"/>
      <w:r>
        <w:rPr>
          <w:rFonts w:ascii="黑体" w:eastAsia="黑体" w:cs="黑体"/>
          <w:color w:val="000000"/>
          <w:kern w:val="2"/>
          <w:sz w:val="32"/>
          <w:szCs w:val="32"/>
          <w:lang w:val="en-US" w:eastAsia="zh-CN" w:bidi="ar-SA"/>
        </w:rPr>
        <w:t>七、“三公”经费财政拨款支出决算情况说明</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楷体" w:cs="Times New Roman" w:hAnsi="Times New Roman"/>
          <w:b/>
          <w:bCs/>
          <w:color w:val="000000"/>
          <w:kern w:val="2"/>
          <w:sz w:val="32"/>
          <w:szCs w:val="32"/>
          <w:lang w:val="en-US" w:eastAsia="zh-CN" w:bidi="ar-SA"/>
        </w:rPr>
      </w:pPr>
      <w:bookmarkStart w:id="61" w:name="_Toc15377216"/>
      <w:bookmarkStart w:id="62" w:name="_Toc20457"/>
      <w:r>
        <w:rPr>
          <w:rFonts w:ascii="Times New Roman" w:eastAsia="楷体" w:cs="Times New Roman" w:hAnsi="Times New Roman"/>
          <w:b/>
          <w:bCs/>
          <w:color w:val="000000"/>
          <w:kern w:val="2"/>
          <w:sz w:val="32"/>
          <w:szCs w:val="32"/>
          <w:lang w:val="en-US" w:eastAsia="zh-CN" w:bidi="ar-SA"/>
        </w:rPr>
        <w:t>（一）“三公”经费财政拨款支出决算总体情况说明</w:t>
      </w:r>
      <w:bookmarkEnd w:id="61"/>
      <w:bookmarkEnd w:id="62"/>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“三公”经费财政拨款支出决算为</w:t>
      </w:r>
      <w:r>
        <w:rPr>
          <w:rFonts w:eastAsia="方正仿宋_GBK" w:cs="Times New Roman" w:hint="eastAsia"/>
          <w:color w:val="000000"/>
          <w:sz w:val="32"/>
          <w:szCs w:val="32"/>
          <w:lang w:val="en-US" w:eastAsia="zh-CN"/>
        </w:rPr>
        <w:t>6.79</w:t>
      </w:r>
      <w:r>
        <w:rPr>
          <w:rFonts w:ascii="Times New Roman" w:eastAsia="方正仿宋_GBK" w:cs="Times New Roman" w:hAnsi="Times New Roman"/>
          <w:color w:val="000000"/>
          <w:sz w:val="32"/>
          <w:szCs w:val="32"/>
        </w:rPr>
        <w:t>万元，完成预算100%，决算数与预算数持平。</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楷体" w:cs="Times New Roman" w:hAnsi="Times New Roman"/>
          <w:b/>
          <w:bCs/>
          <w:color w:val="000000"/>
          <w:kern w:val="2"/>
          <w:sz w:val="32"/>
          <w:szCs w:val="32"/>
          <w:lang w:val="en-US" w:eastAsia="zh-CN" w:bidi="ar-SA"/>
        </w:rPr>
      </w:pPr>
      <w:bookmarkStart w:id="63" w:name="_Toc15377217"/>
      <w:bookmarkStart w:id="64" w:name="_Toc228"/>
      <w:r>
        <w:rPr>
          <w:rFonts w:ascii="Times New Roman" w:eastAsia="楷体" w:cs="Times New Roman" w:hAnsi="Times New Roman"/>
          <w:b/>
          <w:bCs/>
          <w:color w:val="000000"/>
          <w:kern w:val="2"/>
          <w:sz w:val="32"/>
          <w:szCs w:val="32"/>
          <w:lang w:val="en-US" w:eastAsia="zh-CN" w:bidi="ar-SA"/>
        </w:rPr>
        <w:t>（二）“三公”经费财政拨款支出决算具体情况说明</w:t>
      </w:r>
      <w:bookmarkEnd w:id="63"/>
      <w:bookmarkEnd w:id="64"/>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Times New Roman" w:eastAsia="方正仿宋_GBK" w:cs="Times New Roman" w:hAnsi="Times New Roman"/>
          <w:color w:val="000000"/>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“三公”经费财政拨款支出</w:t>
      </w:r>
      <w:r>
        <w:rPr>
          <w:rFonts w:ascii="Times New Roman" w:eastAsia="方正仿宋_GBK" w:cs="Times New Roman" w:hAnsi="Times New Roman"/>
          <w:sz w:val="32"/>
          <w:szCs w:val="32"/>
        </w:rPr>
        <w:t>决算</w:t>
      </w:r>
      <w:r>
        <w:rPr>
          <w:rFonts w:eastAsia="方正仿宋_GBK" w:cs="Times New Roman" w:hint="eastAsia"/>
          <w:color w:val="000000"/>
          <w:sz w:val="32"/>
          <w:szCs w:val="32"/>
          <w:lang w:val="en-US" w:eastAsia="zh-CN"/>
        </w:rPr>
        <w:t>6.79</w:t>
      </w:r>
      <w:r>
        <w:rPr>
          <w:rFonts w:ascii="Times New Roman" w:eastAsia="方正仿宋_GBK" w:cs="Times New Roman" w:hAnsi="Times New Roman"/>
          <w:sz w:val="32"/>
          <w:szCs w:val="32"/>
        </w:rPr>
        <w:t>万元</w:t>
      </w:r>
      <w:r>
        <w:rPr>
          <w:rFonts w:ascii="Times New Roman" w:eastAsia="方正仿宋_GBK" w:cs="Times New Roman" w:hAnsi="Times New Roman"/>
          <w:color w:val="000000"/>
          <w:sz w:val="32"/>
          <w:szCs w:val="32"/>
        </w:rPr>
        <w:t>，其中：公务用车购置及运行维护费支出决算</w:t>
      </w:r>
      <w:r>
        <w:rPr>
          <w:rFonts w:eastAsia="方正仿宋_GBK" w:cs="Times New Roman" w:hint="eastAsia"/>
          <w:color w:val="000000"/>
          <w:sz w:val="32"/>
          <w:szCs w:val="32"/>
          <w:lang w:val="en-US" w:eastAsia="zh-CN"/>
        </w:rPr>
        <w:t>6.79</w:t>
      </w:r>
      <w:r>
        <w:rPr>
          <w:rFonts w:ascii="Times New Roman" w:eastAsia="方正仿宋_GBK" w:cs="Times New Roman" w:hAnsi="Times New Roman"/>
          <w:color w:val="000000"/>
          <w:sz w:val="32"/>
          <w:szCs w:val="32"/>
        </w:rPr>
        <w:t>万元，占100%；</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方正仿宋_GBK" w:cs="Times New Roman" w:hAnsi="Times New Roman"/>
          <w:b/>
          <w:sz w:val="32"/>
          <w:szCs w:val="32"/>
          <w:lang w:eastAsia="zh-CN"/>
        </w:rPr>
      </w:pPr>
      <w:r>
        <w:rPr>
          <w:rFonts w:ascii="Times New Roman" w:eastAsia="方正仿宋_GBK" w:cs="Times New Roman" w:hAnsi="Times New Roman"/>
          <w:b/>
          <w:color w:val="000000"/>
          <w:sz w:val="32"/>
          <w:szCs w:val="32"/>
          <w:lang w:val="en-US" w:eastAsia="zh-CN"/>
        </w:rPr>
        <w:t>1.</w:t>
      </w:r>
      <w:r>
        <w:rPr>
          <w:rFonts w:ascii="Times New Roman" w:eastAsia="方正仿宋_GBK" w:cs="Times New Roman" w:hAnsi="Times New Roman"/>
          <w:b/>
          <w:color w:val="000000"/>
          <w:sz w:val="32"/>
          <w:szCs w:val="32"/>
        </w:rPr>
        <w:t>公务</w:t>
      </w:r>
      <w:r>
        <w:rPr>
          <w:rFonts w:ascii="Times New Roman" w:eastAsia="方正仿宋_GBK" w:cs="Times New Roman" w:hAnsi="Times New Roman"/>
          <w:b/>
          <w:sz w:val="32"/>
          <w:szCs w:val="32"/>
        </w:rPr>
        <w:t>用车</w:t>
      </w:r>
      <w:r>
        <w:rPr>
          <w:rFonts w:ascii="Times New Roman" w:eastAsia="方正仿宋_GBK" w:cs="Times New Roman" w:hAnsi="Times New Roman"/>
          <w:b/>
          <w:color w:val="000000"/>
          <w:sz w:val="32"/>
          <w:szCs w:val="32"/>
        </w:rPr>
        <w:t>购置及运行维护费支出</w:t>
      </w:r>
      <w:r>
        <w:rPr>
          <w:rFonts w:eastAsia="方正仿宋_GBK" w:cs="Times New Roman" w:hint="eastAsia"/>
          <w:color w:val="000000"/>
          <w:sz w:val="32"/>
          <w:szCs w:val="32"/>
          <w:lang w:val="en-US" w:eastAsia="zh-CN"/>
        </w:rPr>
        <w:t>6.79</w:t>
      </w:r>
      <w:r>
        <w:rPr>
          <w:rFonts w:ascii="Times New Roman" w:eastAsia="方正仿宋_GBK" w:cs="Times New Roman" w:hAnsi="Times New Roman"/>
          <w:color w:val="000000"/>
          <w:sz w:val="32"/>
          <w:szCs w:val="32"/>
        </w:rPr>
        <w:t>万元,</w:t>
      </w:r>
      <w:r>
        <w:rPr>
          <w:rStyle w:val="24"/>
          <w:rFonts w:ascii="Times New Roman" w:eastAsia="方正仿宋_GBK" w:cs="Times New Roman" w:hAnsi="Times New Roman"/>
          <w:b w:val="0"/>
          <w:bCs/>
          <w:color w:val="000000"/>
          <w:sz w:val="32"/>
          <w:szCs w:val="32"/>
        </w:rPr>
        <w:t>完成预算100%。</w:t>
      </w:r>
      <w:r>
        <w:rPr>
          <w:rFonts w:ascii="Times New Roman" w:eastAsia="方正仿宋_GBK" w:cs="Times New Roman" w:hAnsi="Times New Roman"/>
          <w:color w:val="000000"/>
          <w:sz w:val="32"/>
          <w:szCs w:val="32"/>
        </w:rPr>
        <w:t>公务用车购置及运行维护费支出决算比</w:t>
      </w:r>
      <w:r>
        <w:rPr>
          <w:rFonts w:eastAsia="方正仿宋_GBK" w:cs="Times New Roman" w:hint="eastAsia"/>
          <w:color w:val="000000"/>
          <w:sz w:val="32"/>
          <w:szCs w:val="32"/>
          <w:lang w:val="en-US" w:eastAsia="zh-CN"/>
        </w:rPr>
        <w:t>2023</w:t>
      </w:r>
      <w:r>
        <w:rPr>
          <w:rFonts w:ascii="Times New Roman" w:eastAsia="方正仿宋_GBK" w:cs="Times New Roman" w:hAnsi="Times New Roman"/>
          <w:color w:val="000000"/>
          <w:sz w:val="32"/>
          <w:szCs w:val="32"/>
        </w:rPr>
        <w:t>年下降</w:t>
      </w:r>
      <w:r>
        <w:rPr>
          <w:rFonts w:eastAsia="方正仿宋_GBK" w:cs="Times New Roman" w:hint="eastAsia"/>
          <w:color w:val="000000"/>
          <w:sz w:val="32"/>
          <w:szCs w:val="32"/>
          <w:lang w:val="en-US" w:eastAsia="zh-CN"/>
        </w:rPr>
        <w:t>0.32万</w:t>
      </w:r>
      <w:r>
        <w:rPr>
          <w:rFonts w:ascii="Times New Roman" w:eastAsia="方正仿宋_GBK" w:cs="Times New Roman" w:hAnsi="Times New Roman"/>
          <w:color w:val="000000"/>
          <w:sz w:val="32"/>
          <w:szCs w:val="32"/>
        </w:rPr>
        <w:t>元</w:t>
      </w:r>
      <w:r>
        <w:rPr>
          <w:rFonts w:ascii="Times New Roman" w:eastAsia="方正仿宋_GBK" w:cs="Times New Roman" w:hAnsi="Times New Roman"/>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color w:val="000000"/>
          <w:sz w:val="32"/>
          <w:szCs w:val="32"/>
        </w:rPr>
      </w:pPr>
      <w:r>
        <w:rPr>
          <w:rFonts w:ascii="Times New Roman" w:eastAsia="方正仿宋_GBK" w:cs="Times New Roman" w:hAnsi="Times New Roman"/>
          <w:b/>
          <w:color w:val="000000"/>
          <w:sz w:val="32"/>
          <w:szCs w:val="32"/>
          <w:lang w:val="en-US" w:eastAsia="zh-CN"/>
        </w:rPr>
        <w:t>2.</w:t>
      </w:r>
      <w:r>
        <w:rPr>
          <w:rFonts w:ascii="Times New Roman" w:eastAsia="方正仿宋_GBK" w:cs="Times New Roman" w:hAnsi="Times New Roman"/>
          <w:b/>
          <w:color w:val="000000"/>
          <w:sz w:val="32"/>
          <w:szCs w:val="32"/>
        </w:rPr>
        <w:t>公务用车运行维护费支出</w:t>
      </w:r>
      <w:r>
        <w:rPr>
          <w:rFonts w:eastAsia="方正仿宋_GBK" w:cs="Times New Roman" w:hint="eastAsia"/>
          <w:sz w:val="32"/>
          <w:szCs w:val="32"/>
          <w:lang w:val="en-US" w:eastAsia="zh-CN"/>
        </w:rPr>
        <w:t>6.79</w:t>
      </w:r>
      <w:r>
        <w:rPr>
          <w:rFonts w:ascii="Times New Roman" w:eastAsia="方正仿宋_GBK" w:cs="Times New Roman" w:hAnsi="Times New Roman"/>
          <w:sz w:val="32"/>
          <w:szCs w:val="32"/>
        </w:rPr>
        <w:t>万元。</w:t>
      </w:r>
      <w:r>
        <w:rPr>
          <w:rFonts w:ascii="Times New Roman" w:eastAsia="方正仿宋_GBK" w:cs="Times New Roman" w:hAnsi="Times New Roman"/>
          <w:color w:val="000000"/>
          <w:sz w:val="32"/>
          <w:szCs w:val="32"/>
        </w:rPr>
        <w:t>主要用我单位所需的公务用车燃料费、维修费、过路过桥费、保险费等支出。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ascii="黑体" w:eastAsia="黑体" w:cs="黑体"/>
          <w:color w:val="000000"/>
          <w:kern w:val="2"/>
          <w:sz w:val="32"/>
          <w:szCs w:val="32"/>
          <w:lang w:val="en-US" w:eastAsia="zh-CN" w:bidi="ar-SA"/>
        </w:rPr>
      </w:pPr>
      <w:bookmarkStart w:id="65" w:name="_Toc15377218"/>
      <w:bookmarkStart w:id="66" w:name="_Toc10384"/>
      <w:bookmarkStart w:id="67" w:name="_Toc14968"/>
      <w:r>
        <w:rPr>
          <w:rFonts w:ascii="黑体" w:eastAsia="黑体" w:cs="黑体"/>
          <w:color w:val="000000"/>
          <w:kern w:val="2"/>
          <w:sz w:val="32"/>
          <w:szCs w:val="32"/>
          <w:lang w:val="en-US" w:eastAsia="zh-CN" w:bidi="ar-SA"/>
        </w:rPr>
        <w:t>八、政府性基金预算支出决算情况说明</w:t>
      </w:r>
      <w:bookmarkEnd w:id="65"/>
      <w:bookmarkEnd w:id="66"/>
      <w:bookmarkEnd w:id="67"/>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政府性基金预算拨款支出0万元。</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ascii="黑体" w:eastAsia="黑体" w:cs="黑体"/>
          <w:color w:val="000000"/>
          <w:kern w:val="2"/>
          <w:sz w:val="32"/>
          <w:szCs w:val="32"/>
          <w:lang w:val="en-US" w:eastAsia="zh-CN" w:bidi="ar-SA"/>
        </w:rPr>
      </w:pPr>
      <w:bookmarkStart w:id="68" w:name="_Toc18955"/>
      <w:bookmarkStart w:id="69" w:name="_Toc15377219"/>
      <w:bookmarkStart w:id="70" w:name="_Toc21086"/>
      <w:r>
        <w:rPr>
          <w:rFonts w:ascii="黑体" w:eastAsia="黑体" w:cs="黑体" w:hint="eastAsia"/>
          <w:color w:val="000000"/>
          <w:kern w:val="2"/>
          <w:sz w:val="32"/>
          <w:szCs w:val="32"/>
          <w:lang w:val="en-US" w:eastAsia="zh-CN" w:bidi="ar-SA"/>
        </w:rPr>
        <w:t>九、</w:t>
      </w:r>
      <w:r>
        <w:rPr>
          <w:rFonts w:ascii="黑体" w:eastAsia="黑体" w:cs="黑体"/>
          <w:color w:val="000000"/>
          <w:kern w:val="2"/>
          <w:sz w:val="32"/>
          <w:szCs w:val="32"/>
          <w:lang w:val="en-US" w:eastAsia="zh-CN" w:bidi="ar-SA"/>
        </w:rPr>
        <w:t>国有资本经营预算支出决算情况说明</w:t>
      </w:r>
      <w:bookmarkEnd w:id="68"/>
      <w:bookmarkEnd w:id="69"/>
      <w:bookmarkEnd w:id="70"/>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rPr>
      </w:pPr>
      <w:r>
        <w:rPr>
          <w:rFonts w:eastAsia="方正仿宋_GBK" w:cs="Times New Roman" w:hint="eastAsia"/>
          <w:color w:val="000000"/>
          <w:sz w:val="32"/>
          <w:szCs w:val="32"/>
          <w:lang w:eastAsia="zh-CN"/>
        </w:rPr>
        <w:t>2024年</w:t>
      </w:r>
      <w:r>
        <w:rPr>
          <w:rFonts w:ascii="Times New Roman" w:eastAsia="方正仿宋_GBK" w:cs="Times New Roman" w:hAnsi="Times New Roman"/>
          <w:color w:val="000000"/>
          <w:sz w:val="32"/>
          <w:szCs w:val="32"/>
        </w:rPr>
        <w:t>国有资本经营预算拨款支出</w:t>
      </w:r>
      <w:r>
        <w:rPr>
          <w:rFonts w:eastAsia="方正仿宋_GBK" w:cs="Times New Roman" w:hint="eastAsia"/>
          <w:color w:val="000000"/>
          <w:sz w:val="32"/>
          <w:szCs w:val="32"/>
          <w:lang w:val="en-US" w:eastAsia="zh-CN"/>
        </w:rPr>
        <w:t>0.05</w:t>
      </w:r>
      <w:r>
        <w:rPr>
          <w:rFonts w:ascii="Times New Roman" w:eastAsia="方正仿宋_GBK" w:cs="Times New Roman" w:hAnsi="Times New Roman"/>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ascii="黑体" w:eastAsia="黑体" w:cs="黑体"/>
          <w:color w:val="000000"/>
          <w:kern w:val="2"/>
          <w:sz w:val="32"/>
          <w:szCs w:val="32"/>
          <w:lang w:val="en-US" w:eastAsia="zh-CN" w:bidi="ar-SA"/>
        </w:rPr>
      </w:pPr>
      <w:bookmarkStart w:id="71" w:name="_Toc32313"/>
      <w:bookmarkStart w:id="72" w:name="_Toc24608"/>
      <w:r>
        <w:rPr>
          <w:rFonts w:ascii="黑体" w:eastAsia="黑体" w:cs="黑体" w:hint="eastAsia"/>
          <w:color w:val="000000"/>
          <w:kern w:val="2"/>
          <w:sz w:val="32"/>
          <w:szCs w:val="32"/>
          <w:lang w:val="en-US" w:eastAsia="zh-CN" w:bidi="ar-SA"/>
        </w:rPr>
        <w:t>十、</w:t>
      </w:r>
      <w:r>
        <w:rPr>
          <w:rFonts w:ascii="黑体" w:eastAsia="黑体" w:cs="黑体"/>
          <w:color w:val="000000"/>
          <w:kern w:val="2"/>
          <w:sz w:val="32"/>
          <w:szCs w:val="32"/>
          <w:lang w:val="en-US" w:eastAsia="zh-CN" w:bidi="ar-SA"/>
        </w:rPr>
        <w:t>预算绩效情况说明</w:t>
      </w:r>
      <w:bookmarkEnd w:id="71"/>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2"/>
        <w:rPr>
          <w:rFonts w:ascii="Times New Roman" w:eastAsia="楷体" w:cs="Times New Roman" w:hAnsi="Times New Roman"/>
          <w:b/>
          <w:bCs/>
          <w:color w:val="000000"/>
          <w:kern w:val="2"/>
          <w:sz w:val="32"/>
          <w:szCs w:val="32"/>
          <w:lang w:val="en-US" w:eastAsia="zh-CN" w:bidi="ar-SA"/>
        </w:rPr>
      </w:pPr>
      <w:bookmarkStart w:id="73" w:name="_Toc7093"/>
      <w:bookmarkEnd w:id="72"/>
      <w:r>
        <w:rPr>
          <w:rFonts w:ascii="Times New Roman" w:eastAsia="楷体" w:cs="Times New Roman" w:hAnsi="Times New Roman" w:hint="eastAsia"/>
          <w:b/>
          <w:bCs/>
          <w:color w:val="000000"/>
          <w:kern w:val="2"/>
          <w:sz w:val="32"/>
          <w:szCs w:val="32"/>
          <w:lang w:val="en-US" w:eastAsia="zh-CN" w:bidi="ar-SA"/>
        </w:rPr>
        <w:t>（一）</w:t>
      </w:r>
      <w:r>
        <w:rPr>
          <w:rFonts w:ascii="Times New Roman" w:eastAsia="楷体" w:cs="Times New Roman" w:hAnsi="Times New Roman"/>
          <w:b/>
          <w:bCs/>
          <w:color w:val="000000"/>
          <w:kern w:val="2"/>
          <w:sz w:val="32"/>
          <w:szCs w:val="32"/>
          <w:lang w:val="en-US" w:eastAsia="zh-CN" w:bidi="ar-SA"/>
        </w:rPr>
        <w:t>预算绩效管理工作开展情况</w:t>
      </w:r>
      <w:bookmarkEnd w:id="73"/>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根据预算绩效管理要求，我单位在年初预算编制阶段，组织对项目开展了预算事前绩效评估，对2个项目编制了绩效目标，预算执行过程中，选取2个项目开展绩效监控，年终执行完毕后，对2个项目开展了绩效目标完成情况梳理填报。</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Times New Roman" w:eastAsia="仿宋_GB2312" w:cs="Times New Roman" w:hAnsi="Times New Roman"/>
          <w:sz w:val="32"/>
          <w:szCs w:val="32"/>
        </w:rPr>
      </w:pPr>
      <w:r>
        <w:rPr>
          <w:rFonts w:ascii="Times New Roman" w:eastAsia="方正仿宋_GBK" w:cs="Times New Roman" w:hAnsi="Times New Roman"/>
          <w:sz w:val="32"/>
          <w:szCs w:val="32"/>
        </w:rPr>
        <w:t>本部门按要求对</w:t>
      </w:r>
      <w:r>
        <w:rPr>
          <w:rFonts w:eastAsia="方正仿宋_GBK" w:cs="Times New Roman" w:hint="eastAsia"/>
          <w:sz w:val="32"/>
          <w:szCs w:val="32"/>
          <w:lang w:eastAsia="zh-CN"/>
        </w:rPr>
        <w:t>2024年</w:t>
      </w:r>
      <w:r>
        <w:rPr>
          <w:rFonts w:ascii="Times New Roman" w:eastAsia="方正仿宋_GBK" w:cs="Times New Roman" w:hAnsi="Times New Roman"/>
          <w:sz w:val="32"/>
          <w:szCs w:val="32"/>
        </w:rPr>
        <w:t>部门整体支出开展绩效自评，经全面综合评价，我单位预算支出绩效自评得</w:t>
      </w:r>
      <w:r>
        <w:rPr>
          <w:rFonts w:eastAsia="方正仿宋_GBK" w:cs="Times New Roman" w:hint="eastAsia"/>
          <w:sz w:val="32"/>
          <w:szCs w:val="32"/>
          <w:lang w:val="en-US" w:eastAsia="zh-CN"/>
        </w:rPr>
        <w:t>95</w:t>
      </w:r>
      <w:r>
        <w:rPr>
          <w:rFonts w:ascii="Times New Roman" w:eastAsia="方正仿宋_GBK" w:cs="Times New Roman" w:hAnsi="Times New Roman"/>
          <w:sz w:val="32"/>
          <w:szCs w:val="32"/>
        </w:rPr>
        <w:t xml:space="preserve"> </w:t>
      </w:r>
      <w:r>
        <w:rPr>
          <w:rFonts w:ascii="Times New Roman" w:eastAsia="方正仿宋_GBK" w:cs="Times New Roman" w:hAnsi="Times New Roman"/>
          <w:color w:val="000000"/>
          <w:sz w:val="32"/>
          <w:szCs w:val="32"/>
        </w:rPr>
        <w:t>分</w:t>
      </w:r>
      <w:r>
        <w:rPr>
          <w:rFonts w:ascii="Times New Roman" w:eastAsia="方正仿宋_GBK" w:cs="Times New Roman" w:hAnsi="Times New Roman"/>
          <w:sz w:val="32"/>
          <w:szCs w:val="32"/>
        </w:rPr>
        <w:t xml:space="preserve">（扣除我单位不存在的评价指标分值,总分为 </w:t>
      </w:r>
      <w:r>
        <w:rPr>
          <w:rFonts w:eastAsia="方正仿宋_GBK" w:cs="Times New Roman" w:hint="eastAsia"/>
          <w:sz w:val="32"/>
          <w:szCs w:val="32"/>
          <w:lang w:val="en-US" w:eastAsia="zh-CN"/>
        </w:rPr>
        <w:t>93</w:t>
      </w:r>
      <w:r>
        <w:rPr>
          <w:rFonts w:ascii="Times New Roman" w:eastAsia="方正仿宋_GBK" w:cs="Times New Roman" w:hAnsi="Times New Roman"/>
          <w:sz w:val="32"/>
          <w:szCs w:val="32"/>
        </w:rPr>
        <w:t>分）。我单位深入贯彻落实十九大关于“全面实施绩效管理”的要求，努力提升本单位绩效预算管理业务水平。主动公开绩效结果，加大资金使用效率，提升政府管理水平。及时告知各部门（科室）部门预算及项目支出进度。本单位还自行组织了2个项目绩效评价，从评价情况来看我单位年初预算项目基本按照绩效目标完成支付，有部分项目结转质保金在下年质保期后进行支付。</w:t>
      </w:r>
    </w:p>
    <w:p>
      <w:pPr>
        <w:keepNext w:val="0"/>
        <w:keepLines w:val="0"/>
        <w:pageBreakBefore w:val="0"/>
        <w:widowControl w:val="0"/>
        <w:tabs>
          <w:tab w:val="left" w:pos="0"/>
        </w:tabs>
        <w:kinsoku/>
        <w:wordWrap/>
        <w:overflowPunct/>
        <w:topLinePunct w:val="0"/>
        <w:autoSpaceDE/>
        <w:autoSpaceDN/>
        <w:bidi w:val="0"/>
        <w:adjustRightInd/>
        <w:snapToGrid/>
        <w:spacing w:line="580" w:lineRule="exact"/>
        <w:ind w:left="0" w:firstLineChars="200" w:firstLine="640"/>
        <w:jc w:val="left"/>
        <w:textAlignment w:val="auto"/>
        <w:outlineLvl w:val="2"/>
        <w:rPr>
          <w:rFonts w:ascii="Times New Roman" w:eastAsia="黑体" w:cs="Times New Roman" w:hAnsi="Times New Roman"/>
          <w:b/>
          <w:bCs/>
          <w:sz w:val="32"/>
          <w:szCs w:val="32"/>
        </w:rPr>
      </w:pPr>
      <w:bookmarkStart w:id="74" w:name="_Toc11526"/>
      <w:r>
        <w:rPr>
          <w:rFonts w:ascii="Times New Roman" w:eastAsia="楷体" w:cs="Times New Roman" w:hAnsi="Times New Roman" w:hint="eastAsia"/>
          <w:b/>
          <w:bCs/>
          <w:color w:val="000000"/>
          <w:kern w:val="2"/>
          <w:sz w:val="32"/>
          <w:szCs w:val="32"/>
          <w:lang w:val="en-US" w:eastAsia="zh-CN" w:bidi="ar-SA"/>
        </w:rPr>
        <w:t>（二）</w:t>
      </w:r>
      <w:r>
        <w:rPr>
          <w:rFonts w:ascii="Times New Roman" w:eastAsia="楷体" w:cs="Times New Roman" w:hAnsi="Times New Roman"/>
          <w:b/>
          <w:bCs/>
          <w:color w:val="000000"/>
          <w:kern w:val="2"/>
          <w:sz w:val="32"/>
          <w:szCs w:val="32"/>
          <w:lang w:val="en-US" w:eastAsia="zh-CN" w:bidi="ar-SA"/>
        </w:rPr>
        <w:t>项目绩效目标完成情况</w:t>
      </w:r>
      <w:bookmarkEnd w:id="74"/>
    </w:p>
    <w:p>
      <w:pPr>
        <w:keepNext w:val="0"/>
        <w:keepLines w:val="0"/>
        <w:pageBreakBefore w:val="0"/>
        <w:widowControl w:val="0"/>
        <w:tabs>
          <w:tab w:val="left" w:pos="0"/>
        </w:tabs>
        <w:kinsoku/>
        <w:wordWrap/>
        <w:overflowPunct/>
        <w:topLinePunct w:val="0"/>
        <w:autoSpaceDE/>
        <w:autoSpaceDN/>
        <w:bidi w:val="0"/>
        <w:adjustRightInd/>
        <w:snapToGrid/>
        <w:spacing w:line="580" w:lineRule="exact"/>
        <w:ind w:firstLineChars="200" w:firstLine="640"/>
        <w:jc w:val="lef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本部门在</w:t>
      </w:r>
      <w:r>
        <w:rPr>
          <w:rFonts w:eastAsia="方正仿宋_GBK" w:cs="Times New Roman" w:hint="eastAsia"/>
          <w:sz w:val="32"/>
          <w:szCs w:val="32"/>
          <w:lang w:eastAsia="zh-CN"/>
        </w:rPr>
        <w:t>2024年</w:t>
      </w:r>
      <w:r>
        <w:rPr>
          <w:rFonts w:ascii="Times New Roman" w:eastAsia="方正仿宋_GBK" w:cs="Times New Roman" w:hAnsi="Times New Roman"/>
          <w:sz w:val="32"/>
          <w:szCs w:val="32"/>
        </w:rPr>
        <w:t>度部门决算中反映“村干部生活补助202</w:t>
      </w:r>
      <w:r>
        <w:rPr>
          <w:rFonts w:eastAsia="方正仿宋_GBK" w:cs="Times New Roman" w:hint="eastAsia"/>
          <w:sz w:val="32"/>
          <w:szCs w:val="32"/>
          <w:lang w:val="en-US" w:eastAsia="zh-CN"/>
        </w:rPr>
        <w:t>4</w:t>
      </w:r>
      <w:r>
        <w:rPr>
          <w:rFonts w:ascii="Times New Roman" w:eastAsia="方正仿宋_GBK" w:cs="Times New Roman" w:hAnsi="Times New Roman"/>
          <w:sz w:val="32"/>
          <w:szCs w:val="32"/>
        </w:rPr>
        <w:t>”“ 三老干部补助”等2个项目绩效目标实际完成情况。</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1.“村干部生活补助202</w:t>
      </w:r>
      <w:r>
        <w:rPr>
          <w:rFonts w:eastAsia="方正仿宋_GBK" w:cs="Times New Roman" w:hint="eastAsia"/>
          <w:sz w:val="32"/>
          <w:szCs w:val="32"/>
          <w:lang w:val="en-US" w:eastAsia="zh-CN"/>
        </w:rPr>
        <w:t>4</w:t>
      </w:r>
      <w:r>
        <w:rPr>
          <w:rFonts w:ascii="Times New Roman" w:eastAsia="方正仿宋_GBK" w:cs="Times New Roman" w:hAnsi="Times New Roman"/>
          <w:sz w:val="32"/>
          <w:szCs w:val="32"/>
        </w:rPr>
        <w:t>”项目绩效目标完成情况综述。项目全年预算数</w:t>
      </w:r>
      <w:r>
        <w:rPr>
          <w:rFonts w:eastAsia="方正仿宋_GBK" w:cs="Times New Roman" w:hint="eastAsia"/>
          <w:sz w:val="32"/>
          <w:szCs w:val="32"/>
          <w:lang w:val="en-US" w:eastAsia="zh-CN"/>
        </w:rPr>
        <w:t>157.14</w:t>
      </w:r>
      <w:r>
        <w:rPr>
          <w:rFonts w:ascii="Times New Roman" w:eastAsia="方正仿宋_GBK" w:cs="Times New Roman" w:hAnsi="Times New Roman"/>
          <w:sz w:val="32"/>
          <w:szCs w:val="32"/>
        </w:rPr>
        <w:t>万元，执行数为</w:t>
      </w:r>
      <w:r>
        <w:rPr>
          <w:rFonts w:eastAsia="方正仿宋_GBK" w:cs="Times New Roman" w:hint="eastAsia"/>
          <w:sz w:val="32"/>
          <w:szCs w:val="32"/>
          <w:lang w:val="en-US" w:eastAsia="zh-CN"/>
        </w:rPr>
        <w:t>157.14</w:t>
      </w:r>
      <w:r>
        <w:rPr>
          <w:rFonts w:ascii="Times New Roman" w:eastAsia="方正仿宋_GBK" w:cs="Times New Roman" w:hAnsi="Times New Roman"/>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441"/>
        <w:gridCol w:w="1316"/>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31"/>
              <w:widowControl/>
              <w:ind w:leftChars="1310" w:left="4173" w:hangingChars="395" w:hanging="1422"/>
              <w:textAlignment w:val="center"/>
              <w:rPr>
                <w:rFonts w:ascii="Times New Roman" w:cs="Times New Roman" w:hAnsi="Times New Roman"/>
                <w:color w:val="000000"/>
                <w:sz w:val="36"/>
                <w:szCs w:val="36"/>
              </w:rPr>
            </w:pPr>
            <w:r>
              <w:rPr>
                <w:rFonts w:ascii="Times New Roman" w:eastAsia="黑体" w:cs="Times New Roman" w:hAnsi="Times New Roman"/>
                <w:bCs/>
                <w:color w:val="000000"/>
                <w:kern w:val="0"/>
                <w:sz w:val="36"/>
                <w:szCs w:val="36"/>
              </w:rPr>
              <w:t>项目支出绩效目标完成情况表</w:t>
            </w:r>
            <w:r>
              <w:rPr>
                <w:rFonts w:ascii="Times New Roman" w:cs="Times New Roman" w:hAnsi="Times New Roman"/>
                <w:b/>
                <w:bCs/>
                <w:color w:val="000000"/>
                <w:kern w:val="0"/>
                <w:sz w:val="36"/>
                <w:szCs w:val="36"/>
              </w:rPr>
              <w:br/>
            </w:r>
            <w:r>
              <w:rPr>
                <w:rFonts w:ascii="Times New Roman" w:cs="Times New Roman" w:hAnsi="Times New Roman"/>
                <w:color w:val="000000"/>
                <w:kern w:val="0"/>
                <w:sz w:val="36"/>
                <w:szCs w:val="36"/>
              </w:rPr>
              <w:t>(</w:t>
            </w:r>
            <w:r>
              <w:rPr>
                <w:rFonts w:cs="Times New Roman" w:hint="eastAsia"/>
                <w:color w:val="000000"/>
                <w:kern w:val="0"/>
                <w:sz w:val="36"/>
                <w:szCs w:val="36"/>
                <w:lang w:eastAsia="zh-CN"/>
              </w:rPr>
              <w:t>2024年</w:t>
            </w:r>
            <w:r>
              <w:rPr>
                <w:rFonts w:ascii="Times New Roman" w:cs="Times New Roman" w:hAnsi="Times New Roman"/>
                <w:color w:val="000000"/>
                <w:kern w:val="0"/>
                <w:sz w:val="36"/>
                <w:szCs w:val="36"/>
              </w:rPr>
              <w:t>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eastAsia="仿宋_GB2312" w:cs="Times New Roman" w:hAnsi="Times New Roman" w:hint="eastAsia"/>
                <w:color w:val="000000"/>
                <w:sz w:val="24"/>
                <w:lang w:val="en-US" w:eastAsia="zh-CN"/>
              </w:rPr>
            </w:pPr>
            <w:r>
              <w:rPr>
                <w:rFonts w:ascii="Times New Roman" w:eastAsia="仿宋_GB2312" w:cs="Times New Roman" w:hAnsi="Times New Roman"/>
                <w:sz w:val="32"/>
                <w:szCs w:val="32"/>
              </w:rPr>
              <w:t>村干部生活补助202</w:t>
            </w:r>
            <w:r>
              <w:rPr>
                <w:rFonts w:eastAsia="仿宋_GB2312" w:cs="Times New Roman" w:hint="eastAsia"/>
                <w:sz w:val="32"/>
                <w:szCs w:val="32"/>
                <w:lang w:val="en-US" w:eastAsia="zh-CN"/>
              </w:rPr>
              <w:t>4</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阿坝州金川县观音桥镇人民政府办公室</w:t>
            </w:r>
          </w:p>
        </w:tc>
      </w:tr>
      <w:tr>
        <w:trPr>
          <w:trHeight w:val="276"/>
        </w:trPr>
        <w:tc>
          <w:tcPr>
            <w:tcW w:w="44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预算执行情况(万元)</w:t>
            </w:r>
          </w:p>
        </w:tc>
        <w:tc>
          <w:tcPr>
            <w:tcW w:w="234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eastAsia="方正仿宋_GBK" w:cs="Times New Roman" w:hint="eastAsia"/>
                <w:sz w:val="32"/>
                <w:szCs w:val="32"/>
                <w:lang w:val="en-US" w:eastAsia="zh-CN"/>
              </w:rPr>
              <w:t>157.14</w:t>
            </w:r>
            <w:r>
              <w:rPr>
                <w:rFonts w:ascii="Times New Roman" w:eastAsia="仿宋_GB2312" w:cs="Times New Roman" w:hAnsi="Times New Roman"/>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eastAsia="方正仿宋_GBK" w:cs="Times New Roman" w:hint="eastAsia"/>
                <w:sz w:val="32"/>
                <w:szCs w:val="32"/>
                <w:lang w:val="en-US" w:eastAsia="zh-CN"/>
              </w:rPr>
              <w:t>157.14</w:t>
            </w:r>
            <w:r>
              <w:rPr>
                <w:rFonts w:ascii="Times New Roman" w:eastAsia="仿宋_GB2312" w:cs="Times New Roman" w:hAnsi="Times New Roman"/>
                <w:sz w:val="32"/>
                <w:szCs w:val="32"/>
              </w:rPr>
              <w:t>万元</w:t>
            </w:r>
          </w:p>
        </w:tc>
      </w:tr>
      <w:tr>
        <w:trPr>
          <w:trHeight w:val="276"/>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234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eastAsia="方正仿宋_GBK" w:cs="Times New Roman" w:hint="eastAsia"/>
                <w:sz w:val="32"/>
                <w:szCs w:val="32"/>
                <w:lang w:val="en-US" w:eastAsia="zh-CN"/>
              </w:rPr>
              <w:t>157.14</w:t>
            </w:r>
            <w:r>
              <w:rPr>
                <w:rFonts w:ascii="Times New Roman" w:eastAsia="仿宋_GB2312" w:cs="Times New Roman" w:hAnsi="Times New Roman"/>
                <w:sz w:val="32"/>
                <w:szCs w:val="32"/>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eastAsia="方正仿宋_GBK" w:cs="Times New Roman" w:hint="eastAsia"/>
                <w:sz w:val="32"/>
                <w:szCs w:val="32"/>
                <w:lang w:val="en-US" w:eastAsia="zh-CN"/>
              </w:rPr>
              <w:t>157.14</w:t>
            </w:r>
            <w:r>
              <w:rPr>
                <w:rFonts w:ascii="Times New Roman" w:eastAsia="仿宋_GB2312" w:cs="Times New Roman" w:hAnsi="Times New Roman"/>
                <w:sz w:val="32"/>
                <w:szCs w:val="32"/>
              </w:rPr>
              <w:t>万元</w:t>
            </w:r>
          </w:p>
        </w:tc>
      </w:tr>
      <w:tr>
        <w:trPr>
          <w:trHeight w:val="1062"/>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234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Times New Roman" w:cs="Times New Roman" w:hAnsi="Times New Roman"/>
                <w:color w:val="000000"/>
                <w:sz w:val="24"/>
              </w:rPr>
            </w:pPr>
          </w:p>
        </w:tc>
      </w:tr>
      <w:tr>
        <w:trPr>
          <w:trHeight w:val="276"/>
        </w:trPr>
        <w:tc>
          <w:tcPr>
            <w:tcW w:w="44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年度目标完成情况</w:t>
            </w:r>
          </w:p>
        </w:tc>
        <w:tc>
          <w:tcPr>
            <w:tcW w:w="4733"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实际完成目标</w:t>
            </w:r>
          </w:p>
        </w:tc>
      </w:tr>
      <w:tr>
        <w:trPr>
          <w:trHeight w:val="1174"/>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4733"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切实保障基层组织正常开展活动，提高基层组织引领发展，服务群众的能力和水平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基本实现</w:t>
            </w:r>
          </w:p>
        </w:tc>
      </w:tr>
      <w:tr>
        <w:trPr>
          <w:trHeight w:val="1042"/>
        </w:trPr>
        <w:tc>
          <w:tcPr>
            <w:tcW w:w="441"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绩效指标完成情况</w:t>
            </w: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实际完成指标值(包含数字及文字描述)</w:t>
            </w:r>
          </w:p>
        </w:tc>
      </w:tr>
      <w:tr>
        <w:trPr>
          <w:trHeight w:val="953"/>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村干部生活补助人数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等于</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lang w:val="en-US" w:eastAsia="zh-CN"/>
              </w:rPr>
              <w:t>56</w:t>
            </w:r>
            <w:r>
              <w:rPr>
                <w:rFonts w:ascii="Times New Roman" w:cs="Times New Roman" w:hAnsi="Times New Roman"/>
                <w:color w:val="000000"/>
                <w:sz w:val="24"/>
              </w:rPr>
              <w:t>人</w:t>
            </w:r>
          </w:p>
        </w:tc>
      </w:tr>
      <w:tr>
        <w:trPr>
          <w:trHeight w:val="1042"/>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经济效益指标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有利于村干部服务群众</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大于</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95%</w:t>
            </w:r>
          </w:p>
        </w:tc>
      </w:tr>
      <w:tr>
        <w:trPr>
          <w:trHeight w:val="1042"/>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增加对村干部的满意度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大于等于</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95%</w:t>
            </w:r>
          </w:p>
        </w:tc>
      </w:tr>
      <w:tr>
        <w:trPr>
          <w:trHeight w:val="1042"/>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kern w:val="0"/>
                <w:sz w:val="24"/>
              </w:rPr>
            </w:pP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r>
      <w:tr>
        <w:trPr>
          <w:trHeight w:val="1050"/>
        </w:trPr>
        <w:tc>
          <w:tcPr>
            <w:tcW w:w="441" w:type="dxa"/>
            <w:vMerge/>
            <w:tcBorders>
              <w:top w:val="single" w:sz="4" w:space="0" w:color="000000"/>
              <w:left w:val="single" w:sz="4" w:space="0" w:color="000000"/>
              <w:bottom w:val="single" w:sz="4" w:space="0" w:color="000000"/>
              <w:right w:val="single" w:sz="4" w:space="0" w:color="000000"/>
            </w:tcBorders>
            <w:noWrap/>
            <w:vAlign w:val="center"/>
          </w:tcPr>
          <w:p/>
        </w:tc>
        <w:tc>
          <w:tcPr>
            <w:tcW w:w="131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r>
    </w:tbl>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2.“三老干部补助”项目绩效目标完成情况综述。项目全年预算数</w:t>
      </w:r>
      <w:r>
        <w:rPr>
          <w:rFonts w:eastAsia="方正仿宋_GBK" w:cs="Times New Roman" w:hint="eastAsia"/>
          <w:sz w:val="32"/>
          <w:szCs w:val="32"/>
          <w:lang w:val="en-US" w:eastAsia="zh-CN"/>
        </w:rPr>
        <w:t>2.88</w:t>
      </w:r>
      <w:r>
        <w:rPr>
          <w:rFonts w:ascii="Times New Roman" w:eastAsia="方正仿宋_GBK" w:cs="Times New Roman" w:hAnsi="Times New Roman"/>
          <w:sz w:val="32"/>
          <w:szCs w:val="32"/>
        </w:rPr>
        <w:t>万元，执行数为</w:t>
      </w:r>
      <w:r>
        <w:rPr>
          <w:rFonts w:eastAsia="方正仿宋_GBK" w:cs="Times New Roman" w:hint="eastAsia"/>
          <w:sz w:val="32"/>
          <w:szCs w:val="32"/>
          <w:lang w:val="en-US" w:eastAsia="zh-CN"/>
        </w:rPr>
        <w:t>2.88</w:t>
      </w:r>
      <w:r>
        <w:rPr>
          <w:rFonts w:ascii="Times New Roman" w:eastAsia="方正仿宋_GBK" w:cs="Times New Roman" w:hAnsi="Times New Roman"/>
          <w:sz w:val="32"/>
          <w:szCs w:val="32"/>
        </w:rPr>
        <w:t>万元，完成预算的100%。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31"/>
              <w:widowControl/>
              <w:ind w:leftChars="1310" w:left="4173" w:hangingChars="395" w:hanging="1422"/>
              <w:textAlignment w:val="center"/>
              <w:rPr>
                <w:rFonts w:ascii="Times New Roman" w:cs="Times New Roman" w:hAnsi="Times New Roman"/>
                <w:color w:val="000000"/>
                <w:sz w:val="36"/>
                <w:szCs w:val="36"/>
              </w:rPr>
            </w:pPr>
            <w:r>
              <w:rPr>
                <w:rFonts w:ascii="Times New Roman" w:eastAsia="黑体" w:cs="Times New Roman" w:hAnsi="Times New Roman"/>
                <w:bCs/>
                <w:color w:val="000000"/>
                <w:kern w:val="0"/>
                <w:sz w:val="36"/>
                <w:szCs w:val="36"/>
              </w:rPr>
              <w:t>项目支出绩效目标完成情况表</w:t>
            </w:r>
            <w:r>
              <w:rPr>
                <w:rFonts w:ascii="Times New Roman" w:cs="Times New Roman" w:hAnsi="Times New Roman"/>
                <w:b/>
                <w:bCs/>
                <w:color w:val="000000"/>
                <w:kern w:val="0"/>
                <w:sz w:val="36"/>
                <w:szCs w:val="36"/>
              </w:rPr>
              <w:br/>
            </w:r>
            <w:r>
              <w:rPr>
                <w:rFonts w:ascii="Times New Roman" w:cs="Times New Roman" w:hAnsi="Times New Roman"/>
                <w:color w:val="000000"/>
                <w:kern w:val="0"/>
                <w:sz w:val="36"/>
                <w:szCs w:val="36"/>
              </w:rPr>
              <w:t>(</w:t>
            </w:r>
            <w:r>
              <w:rPr>
                <w:rFonts w:cs="Times New Roman" w:hint="eastAsia"/>
                <w:color w:val="000000"/>
                <w:kern w:val="0"/>
                <w:sz w:val="36"/>
                <w:szCs w:val="36"/>
                <w:lang w:eastAsia="zh-CN"/>
              </w:rPr>
              <w:t>2024年</w:t>
            </w:r>
            <w:r>
              <w:rPr>
                <w:rFonts w:ascii="Times New Roman" w:cs="Times New Roman" w:hAnsi="Times New Roman"/>
                <w:color w:val="000000"/>
                <w:kern w:val="0"/>
                <w:sz w:val="36"/>
                <w:szCs w:val="36"/>
              </w:rPr>
              <w:t>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eastAsia="仿宋_GB2312" w:cs="Times New Roman" w:hAnsi="Times New Roman"/>
                <w:sz w:val="32"/>
                <w:szCs w:val="32"/>
              </w:rPr>
              <w:t>三老干部补助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阿坝州金川县观音桥镇人民政府办公室</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cs="Times New Roman" w:hint="eastAsia"/>
                <w:color w:val="000000"/>
                <w:sz w:val="24"/>
                <w:lang w:val="en-US" w:eastAsia="zh-CN"/>
              </w:rPr>
              <w:t>2.88</w:t>
            </w:r>
            <w:r>
              <w:rPr>
                <w:rFonts w:ascii="Times New Roman" w:cs="Times New Roman" w:hAnsi="Times New Roman"/>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cs="Times New Roman" w:hint="eastAsia"/>
                <w:color w:val="000000"/>
                <w:sz w:val="24"/>
                <w:lang w:val="en-US" w:eastAsia="zh-CN"/>
              </w:rPr>
              <w:t>2.88</w:t>
            </w:r>
            <w:r>
              <w:rPr>
                <w:rFonts w:ascii="Times New Roman" w:cs="Times New Roman" w:hAnsi="Times New Roman"/>
                <w:color w:val="000000"/>
                <w:sz w:val="24"/>
              </w:rPr>
              <w:t>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cs="Times New Roman" w:hint="eastAsia"/>
                <w:color w:val="000000"/>
                <w:sz w:val="24"/>
                <w:lang w:val="en-US" w:eastAsia="zh-CN"/>
              </w:rPr>
              <w:t>2.88</w:t>
            </w:r>
            <w:r>
              <w:rPr>
                <w:rFonts w:ascii="Times New Roman" w:cs="Times New Roman" w:hAnsi="Times New Roman"/>
                <w:color w:val="000000"/>
                <w:sz w:val="24"/>
              </w:rPr>
              <w:t>万元</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cs="Times New Roman" w:hint="eastAsia"/>
                <w:color w:val="000000"/>
                <w:sz w:val="24"/>
                <w:lang w:val="en-US" w:eastAsia="zh-CN"/>
              </w:rPr>
              <w:t>2.88</w:t>
            </w:r>
            <w:r>
              <w:rPr>
                <w:rFonts w:ascii="Times New Roman" w:cs="Times New Roman" w:hAnsi="Times New Roman"/>
                <w:color w:val="000000"/>
                <w:sz w:val="24"/>
              </w:rPr>
              <w:t>万元</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Times New Roman" w:cs="Times New Roman" w:hAnsi="Times New Roman"/>
                <w:color w:val="000000"/>
                <w:sz w:val="24"/>
              </w:rPr>
            </w:pPr>
            <w:r>
              <w:rPr>
                <w:rFonts w:ascii="Times New Roman" w:cs="Times New Roman" w:hAnsi="Times New Roman"/>
                <w:color w:val="000000"/>
                <w:sz w:val="24"/>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Times New Roman" w:cs="Times New Roman" w:hAnsi="Times New Roman"/>
                <w:color w:val="000000"/>
                <w:sz w:val="24"/>
              </w:rPr>
            </w:pPr>
            <w:r>
              <w:rPr>
                <w:rFonts w:ascii="Times New Roman" w:cs="Times New Roman" w:hAnsi="Times New Roman"/>
                <w:color w:val="000000"/>
                <w:sz w:val="24"/>
              </w:rPr>
              <w:t>保障三老干部生活必要支出，有利夯实群众基础，提高服务水平</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产出指标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全镇三老干部发放人数</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等于</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lang w:val="en-US" w:eastAsia="zh-CN"/>
              </w:rPr>
              <w:t>6</w:t>
            </w:r>
            <w:r>
              <w:rPr>
                <w:rFonts w:ascii="Times New Roman" w:cs="Times New Roman" w:hAnsi="Times New Roman"/>
                <w:color w:val="000000"/>
                <w:sz w:val="24"/>
              </w:rPr>
              <w:t>人</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经济效益指标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改善三老干部生活条件</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大于</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b/>
                <w:bCs/>
                <w:color w:val="000000"/>
                <w:sz w:val="24"/>
              </w:rPr>
            </w:pPr>
            <w:r>
              <w:rPr>
                <w:rFonts w:ascii="Times New Roman" w:cs="Times New Roman" w:hAnsi="Times New Roman"/>
                <w:color w:val="000000"/>
                <w:sz w:val="24"/>
              </w:rPr>
              <w:t>95%</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三老干部满意度</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大于</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r>
              <w:rPr>
                <w:rFonts w:ascii="Times New Roman" w:cs="Times New Roman" w:hAnsi="Times New Roman"/>
                <w:color w:val="000000"/>
                <w:sz w:val="24"/>
              </w:rPr>
              <w:t>95%</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Times New Roman" w:cs="Times New Roman" w:hAnsi="Times New Roman"/>
                <w:color w:val="000000"/>
                <w:sz w:val="24"/>
              </w:rPr>
            </w:pPr>
          </w:p>
        </w:tc>
      </w:tr>
    </w:tbl>
    <w:p>
      <w:pPr>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Chars="200" w:firstLine="640"/>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本部门按要求对</w:t>
      </w:r>
      <w:r>
        <w:rPr>
          <w:rFonts w:eastAsia="方正仿宋_GBK" w:cs="Times New Roman" w:hint="eastAsia"/>
          <w:sz w:val="32"/>
          <w:szCs w:val="32"/>
          <w:lang w:eastAsia="zh-CN"/>
        </w:rPr>
        <w:t>2024年</w:t>
      </w:r>
      <w:r>
        <w:rPr>
          <w:rFonts w:ascii="Times New Roman" w:eastAsia="方正仿宋_GBK" w:cs="Times New Roman" w:hAnsi="Times New Roman"/>
          <w:sz w:val="32"/>
          <w:szCs w:val="32"/>
        </w:rPr>
        <w:t>部门整体支出绩效评价情况开展自评，《阿坝州人民政府办公室</w:t>
      </w:r>
      <w:r>
        <w:rPr>
          <w:rFonts w:eastAsia="方正仿宋_GBK" w:cs="Times New Roman" w:hint="eastAsia"/>
          <w:sz w:val="32"/>
          <w:szCs w:val="32"/>
          <w:lang w:eastAsia="zh-CN"/>
        </w:rPr>
        <w:t>2024年</w:t>
      </w:r>
      <w:r>
        <w:rPr>
          <w:rFonts w:ascii="Times New Roman" w:eastAsia="方正仿宋_GBK" w:cs="Times New Roman" w:hAnsi="Times New Roman"/>
          <w:sz w:val="32"/>
          <w:szCs w:val="32"/>
        </w:rPr>
        <w:t>部门预算整体支出绩效评价报告》见附件。</w:t>
      </w:r>
      <w:bookmarkStart w:id="75" w:name="_Toc15377221"/>
      <w:bookmarkStart w:id="76" w:name="_Toc11969"/>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1"/>
        <w:rPr>
          <w:rFonts w:ascii="黑体" w:eastAsia="黑体" w:cs="黑体"/>
          <w:color w:val="000000"/>
          <w:kern w:val="2"/>
          <w:sz w:val="32"/>
          <w:szCs w:val="32"/>
          <w:lang w:val="en-US" w:eastAsia="zh-CN" w:bidi="ar-SA"/>
        </w:rPr>
      </w:pPr>
      <w:bookmarkStart w:id="77" w:name="_Toc5364"/>
      <w:r>
        <w:rPr>
          <w:rFonts w:ascii="黑体" w:eastAsia="黑体" w:cs="黑体" w:hint="eastAsia"/>
          <w:color w:val="000000"/>
          <w:kern w:val="2"/>
          <w:sz w:val="32"/>
          <w:szCs w:val="32"/>
          <w:lang w:val="en-US" w:eastAsia="zh-CN" w:bidi="ar-SA"/>
        </w:rPr>
        <w:t>十一、</w:t>
      </w:r>
      <w:r>
        <w:rPr>
          <w:rFonts w:ascii="黑体" w:eastAsia="黑体" w:cs="黑体"/>
          <w:color w:val="000000"/>
          <w:kern w:val="2"/>
          <w:sz w:val="32"/>
          <w:szCs w:val="32"/>
          <w:lang w:val="en-US" w:eastAsia="zh-CN" w:bidi="ar-SA"/>
        </w:rPr>
        <w:t>其他重要事项的情况说明</w:t>
      </w:r>
      <w:bookmarkStart w:id="78" w:name="_Toc15377222"/>
      <w:bookmarkEnd w:id="75"/>
      <w:bookmarkEnd w:id="76"/>
      <w:bookmarkEnd w:id="77"/>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outlineLvl w:val="2"/>
        <w:rPr>
          <w:rFonts w:ascii="Times New Roman" w:eastAsia="楷体" w:cs="Times New Roman" w:hAnsi="Times New Roman"/>
          <w:b/>
          <w:bCs/>
          <w:color w:val="000000"/>
          <w:kern w:val="2"/>
          <w:sz w:val="32"/>
          <w:szCs w:val="32"/>
          <w:lang w:val="en-US" w:eastAsia="zh-CN" w:bidi="ar-SA"/>
        </w:rPr>
      </w:pPr>
      <w:bookmarkStart w:id="79" w:name="_Toc15860"/>
      <w:r>
        <w:rPr>
          <w:rFonts w:ascii="Times New Roman" w:eastAsia="楷体" w:cs="Times New Roman" w:hAnsi="Times New Roman"/>
          <w:b/>
          <w:bCs/>
          <w:color w:val="000000"/>
          <w:kern w:val="2"/>
          <w:sz w:val="32"/>
          <w:szCs w:val="32"/>
          <w:lang w:val="en-US" w:eastAsia="zh-CN" w:bidi="ar-SA"/>
        </w:rPr>
        <w:t>（一）机关运行经费支出情况</w:t>
      </w:r>
      <w:bookmarkEnd w:id="78"/>
      <w:bookmarkEnd w:id="79"/>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Fonts w:ascii="Times New Roman" w:eastAsia="仿宋_GB2312" w:cs="Times New Roman" w:hAnsi="Times New Roman"/>
          <w:sz w:val="32"/>
          <w:szCs w:val="32"/>
        </w:rPr>
      </w:pPr>
      <w:r>
        <w:rPr>
          <w:rFonts w:eastAsia="仿宋_GB2312" w:cs="Times New Roman" w:hint="eastAsia"/>
          <w:color w:val="000000"/>
          <w:sz w:val="32"/>
          <w:szCs w:val="32"/>
          <w:lang w:eastAsia="zh-CN"/>
        </w:rPr>
        <w:t>2024年</w:t>
      </w:r>
      <w:r>
        <w:rPr>
          <w:rFonts w:ascii="Times New Roman" w:eastAsia="仿宋_GB2312" w:cs="Times New Roman" w:hAnsi="Times New Roman"/>
          <w:color w:val="000000"/>
          <w:sz w:val="32"/>
          <w:szCs w:val="32"/>
        </w:rPr>
        <w:t>，观音桥镇人民政府运行经费支出</w:t>
      </w:r>
      <w:r>
        <w:rPr>
          <w:rFonts w:eastAsia="仿宋_GB2312" w:cs="Times New Roman" w:hint="eastAsia"/>
          <w:color w:val="000000"/>
          <w:sz w:val="32"/>
          <w:szCs w:val="32"/>
          <w:lang w:val="en-US" w:eastAsia="zh-CN"/>
        </w:rPr>
        <w:t>52.09</w:t>
      </w:r>
      <w:r>
        <w:rPr>
          <w:rFonts w:ascii="Times New Roman" w:eastAsia="仿宋_GB2312" w:cs="Times New Roman" w:hAnsi="Times New Roman"/>
          <w:color w:val="000000"/>
          <w:sz w:val="32"/>
          <w:szCs w:val="32"/>
        </w:rPr>
        <w:t>万元。</w:t>
      </w:r>
    </w:p>
    <w:p>
      <w:pPr>
        <w:keepNext w:val="0"/>
        <w:keepLines w:val="0"/>
        <w:pageBreakBefore w:val="0"/>
        <w:widowControl w:val="0"/>
        <w:tabs>
          <w:tab w:val="left" w:pos="0"/>
        </w:tabs>
        <w:kinsoku/>
        <w:wordWrap/>
        <w:overflowPunct/>
        <w:topLinePunct w:val="0"/>
        <w:autoSpaceDE/>
        <w:autoSpaceDN/>
        <w:bidi w:val="0"/>
        <w:adjustRightInd/>
        <w:snapToGrid/>
        <w:spacing w:line="580" w:lineRule="exact"/>
        <w:ind w:left="0" w:firstLineChars="200" w:firstLine="640"/>
        <w:jc w:val="left"/>
        <w:textAlignment w:val="auto"/>
        <w:outlineLvl w:val="2"/>
        <w:rPr>
          <w:rFonts w:ascii="Times New Roman" w:eastAsia="楷体" w:cs="Times New Roman" w:hAnsi="Times New Roman"/>
          <w:b/>
          <w:bCs/>
          <w:color w:val="000000"/>
          <w:kern w:val="2"/>
          <w:sz w:val="32"/>
          <w:szCs w:val="32"/>
          <w:lang w:val="en-US" w:eastAsia="zh-CN" w:bidi="ar-SA"/>
        </w:rPr>
      </w:pPr>
      <w:bookmarkStart w:id="80" w:name="_Toc15377224"/>
      <w:bookmarkStart w:id="81" w:name="_Toc17227"/>
      <w:r>
        <w:rPr>
          <w:rFonts w:ascii="Times New Roman" w:eastAsia="楷体" w:cs="Times New Roman" w:hAnsi="Times New Roman"/>
          <w:b/>
          <w:bCs/>
          <w:color w:val="000000"/>
          <w:kern w:val="2"/>
          <w:sz w:val="32"/>
          <w:szCs w:val="32"/>
          <w:lang w:val="en-US" w:eastAsia="zh-CN" w:bidi="ar-SA"/>
        </w:rPr>
        <w:t>（二）国有资产占有使用情况</w:t>
      </w:r>
      <w:bookmarkEnd w:id="80"/>
      <w:bookmarkEnd w:id="81"/>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截至</w:t>
      </w:r>
      <w:r>
        <w:rPr>
          <w:rFonts w:eastAsia="仿宋_GB2312" w:cs="Times New Roman" w:hint="eastAsia"/>
          <w:color w:val="000000"/>
          <w:sz w:val="32"/>
          <w:szCs w:val="32"/>
          <w:lang w:eastAsia="zh-CN"/>
        </w:rPr>
        <w:t>2024年</w:t>
      </w:r>
      <w:r>
        <w:rPr>
          <w:rFonts w:ascii="Times New Roman" w:eastAsia="仿宋_GB2312" w:cs="Times New Roman" w:hAnsi="Times New Roman"/>
          <w:color w:val="000000"/>
          <w:sz w:val="32"/>
          <w:szCs w:val="32"/>
        </w:rPr>
        <w:t>12月31日，共有车辆</w:t>
      </w:r>
      <w:r>
        <w:rPr>
          <w:rFonts w:eastAsia="仿宋_GB2312" w:cs="Times New Roman" w:hint="eastAsia"/>
          <w:color w:val="000000"/>
          <w:sz w:val="32"/>
          <w:szCs w:val="32"/>
          <w:lang w:val="en-US" w:eastAsia="zh-CN"/>
        </w:rPr>
        <w:t>5</w:t>
      </w:r>
      <w:r>
        <w:rPr>
          <w:rFonts w:ascii="Times New Roman" w:eastAsia="仿宋_GB2312" w:cs="Times New Roman" w:hAnsi="Times New Roman"/>
          <w:color w:val="000000"/>
          <w:sz w:val="32"/>
          <w:szCs w:val="32"/>
        </w:rPr>
        <w:t>辆，为日常工作及应急保障用车。</w:t>
      </w:r>
    </w:p>
    <w:p>
      <w:pPr>
        <w:keepNext w:val="0"/>
        <w:keepLines w:val="0"/>
        <w:pageBreakBefore w:val="0"/>
        <w:widowControl w:val="0"/>
        <w:tabs>
          <w:tab w:val="left" w:pos="0"/>
        </w:tabs>
        <w:kinsoku/>
        <w:wordWrap/>
        <w:overflowPunct/>
        <w:topLinePunct w:val="0"/>
        <w:autoSpaceDE/>
        <w:autoSpaceDN/>
        <w:bidi w:val="0"/>
        <w:adjustRightInd/>
        <w:snapToGrid/>
        <w:spacing w:line="580" w:lineRule="exact"/>
        <w:ind w:left="0" w:firstLineChars="200" w:firstLine="640"/>
        <w:jc w:val="left"/>
        <w:textAlignment w:val="auto"/>
        <w:outlineLvl w:val="2"/>
        <w:rPr>
          <w:rFonts w:ascii="Times New Roman" w:eastAsia="楷体" w:cs="Times New Roman" w:hAnsi="Times New Roman"/>
          <w:b/>
          <w:bCs/>
          <w:color w:val="000000"/>
          <w:kern w:val="2"/>
          <w:sz w:val="32"/>
          <w:szCs w:val="32"/>
          <w:lang w:val="en-US" w:eastAsia="zh-CN" w:bidi="ar-SA"/>
        </w:rPr>
      </w:pPr>
      <w:bookmarkStart w:id="82" w:name="_Toc2613"/>
      <w:r>
        <w:rPr>
          <w:rFonts w:ascii="Times New Roman" w:eastAsia="楷体" w:cs="Times New Roman" w:hAnsi="Times New Roman"/>
          <w:b/>
          <w:bCs/>
          <w:color w:val="000000"/>
          <w:kern w:val="2"/>
          <w:sz w:val="32"/>
          <w:szCs w:val="32"/>
          <w:lang w:val="en-US" w:eastAsia="zh-CN" w:bidi="ar-SA"/>
        </w:rPr>
        <w:t>（三）政府采购支出情况</w:t>
      </w:r>
      <w:bookmarkEnd w:id="82"/>
    </w:p>
    <w:p>
      <w:pPr>
        <w:keepNext w:val="0"/>
        <w:keepLines w:val="0"/>
        <w:pageBreakBefore w:val="0"/>
        <w:widowControl/>
        <w:kinsoku/>
        <w:wordWrap/>
        <w:overflowPunct/>
        <w:topLinePunct w:val="0"/>
        <w:autoSpaceDE/>
        <w:autoSpaceDN/>
        <w:bidi w:val="0"/>
        <w:adjustRightInd/>
        <w:snapToGrid/>
        <w:ind w:firstLineChars="200" w:firstLine="640"/>
        <w:jc w:val="left"/>
        <w:textAlignment w:val="auto"/>
        <w:rPr>
          <w:rFonts w:ascii="Times New Roman" w:eastAsia="方正仿宋_GBK" w:cs="Times New Roman" w:hAnsi="Times New Roman"/>
          <w:b w:val="0"/>
          <w:bCs/>
          <w:color w:val="000000"/>
          <w:sz w:val="32"/>
          <w:szCs w:val="32"/>
        </w:rPr>
      </w:pPr>
      <w:r>
        <w:rPr>
          <w:rFonts w:eastAsia="方正仿宋_GBK" w:cs="Times New Roman" w:hint="eastAsia"/>
          <w:b w:val="0"/>
          <w:bCs/>
          <w:color w:val="000000"/>
          <w:sz w:val="32"/>
          <w:szCs w:val="32"/>
          <w:lang w:eastAsia="zh-CN"/>
        </w:rPr>
        <w:t>2024年</w:t>
      </w:r>
      <w:r>
        <w:rPr>
          <w:rFonts w:ascii="Times New Roman" w:eastAsia="方正仿宋_GBK" w:cs="Times New Roman" w:hAnsi="Times New Roman"/>
          <w:b w:val="0"/>
          <w:bCs/>
          <w:color w:val="000000"/>
          <w:sz w:val="32"/>
          <w:szCs w:val="32"/>
        </w:rPr>
        <w:t xml:space="preserve">无政府采购 </w:t>
      </w:r>
    </w:p>
    <w:p>
      <w:pPr>
        <w:pStyle w:val="1"/>
        <w:keepNext/>
        <w:keepLines/>
        <w:pageBreakBefore w:val="0"/>
        <w:widowControl w:val="0"/>
        <w:kinsoku/>
        <w:wordWrap/>
        <w:overflowPunct/>
        <w:topLinePunct w:val="0"/>
        <w:autoSpaceDE/>
        <w:autoSpaceDN/>
        <w:bidi w:val="0"/>
        <w:adjustRightInd/>
        <w:snapToGrid/>
        <w:spacing w:line="578" w:lineRule="auto"/>
        <w:jc w:val="center"/>
        <w:textAlignment w:val="auto"/>
        <w:rPr>
          <w:rFonts w:ascii="Times New Roman" w:eastAsia="仿宋_GB2312" w:cs="Times New Roman" w:hAnsi="Times New Roman"/>
          <w:b/>
          <w:color w:val="000000"/>
          <w:sz w:val="32"/>
          <w:szCs w:val="32"/>
        </w:rPr>
      </w:pPr>
      <w:bookmarkStart w:id="83" w:name="_Toc26839"/>
      <w:r>
        <w:rPr>
          <w:rFonts w:ascii="Times New Roman" w:eastAsia="黑体" w:cs="Times New Roman" w:hAnsi="Times New Roman" w:hint="eastAsia"/>
          <w:b w:val="0"/>
          <w:lang w:val="en-US" w:eastAsia="zh-CN"/>
        </w:rPr>
        <w:t>第三部分 名词解释</w:t>
      </w:r>
      <w:bookmarkEnd w:id="83"/>
    </w:p>
    <w:p>
      <w:pPr>
        <w:pStyle w:val="30"/>
        <w:keepNext w:val="0"/>
        <w:keepLines w:val="0"/>
        <w:pageBreakBefore w:val="0"/>
        <w:widowControl w:val="0"/>
        <w:kinsoku/>
        <w:wordWrap/>
        <w:overflowPunct/>
        <w:topLinePunct w:val="0"/>
        <w:autoSpaceDE w:val="0"/>
        <w:autoSpaceDN w:val="0"/>
        <w:bidi w:val="0"/>
        <w:adjustRightInd w:val="0"/>
        <w:snapToGrid/>
        <w:spacing w:line="560" w:lineRule="exact"/>
        <w:ind w:firstLineChars="200" w:firstLine="640"/>
        <w:textAlignment w:val="auto"/>
        <w:outlineLvl w:val="9"/>
        <w:rPr>
          <w:rFonts w:ascii="Times New Roman" w:eastAsia="仿宋_GB2312" w:cs="Times New Roman" w:hAnsi="Times New Roman"/>
          <w:sz w:val="32"/>
          <w:szCs w:val="32"/>
        </w:rPr>
      </w:pPr>
      <w:r>
        <w:rPr>
          <w:rFonts w:ascii="Times New Roman" w:eastAsia="仿宋_GB2312" w:cs="Times New Roman" w:hAnsi="Times New Roman"/>
          <w:sz w:val="32"/>
          <w:szCs w:val="32"/>
        </w:rPr>
        <w:t>1.财政拨款收入：指单位从同级财政部门取得的财政预算资金。</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2.事业收入：指事业单位开展专业业务活动及辅助活动取得的收入。</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3.经营收入：指事业单位在专业业务活动及其辅助活动之外开展非独立核算经营活动取得的收入。</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4.其他收入：指单位取得的除上述收入以外的各项收入。主要是银行存款利息和伙食团缴费等。 </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 xml:space="preserve">5. 年初结转和结余：指以前年度尚未完成、结转到本年按有关规定继续使用的资金。 </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6.结余分配：指事业单位按照事业单位会计制度的规定从非财政补助结余中分配的事业基金和职工福利基金等。</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7、年末结转和结余：指单位按有关规定结转到下年或以后年度继续使用的资金。</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8.</w:t>
      </w:r>
      <w:r>
        <w:rPr>
          <w:rFonts w:ascii="Times New Roman" w:eastAsia="仿宋_GB2312" w:cs="Times New Roman" w:hAnsi="Times New Roman"/>
          <w:color w:val="000000"/>
          <w:kern w:val="0"/>
          <w:sz w:val="32"/>
          <w:szCs w:val="32"/>
        </w:rPr>
        <w:t>一般公共服务（类）政府办公厅（室）及相关机构事务（款）行政运行（项）：指行政单位的基本支出</w:t>
      </w:r>
      <w:r>
        <w:rPr>
          <w:rFonts w:ascii="Times New Roman" w:eastAsia="仿宋_GB2312" w:cs="Times New Roman" w:hAnsi="Times New Roman"/>
          <w:color w:val="000000"/>
          <w:sz w:val="32"/>
          <w:szCs w:val="32"/>
        </w:rPr>
        <w:t>。</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9.</w:t>
      </w:r>
      <w:r>
        <w:rPr>
          <w:rFonts w:ascii="Times New Roman" w:eastAsia="仿宋_GB2312" w:cs="Times New Roman" w:hAnsi="Times New Roman"/>
          <w:color w:val="000000"/>
          <w:kern w:val="0"/>
          <w:sz w:val="32"/>
          <w:szCs w:val="32"/>
        </w:rPr>
        <w:t>一般公共服务（类）政府办公厅（室）及相关机构事务（款）一般行政管理事务（项）：</w:t>
      </w:r>
      <w:r>
        <w:rPr>
          <w:rFonts w:ascii="Times New Roman" w:eastAsia="仿宋_GB2312" w:cs="Times New Roman" w:hAnsi="Times New Roman"/>
          <w:color w:val="000000"/>
          <w:sz w:val="32"/>
          <w:szCs w:val="32"/>
        </w:rPr>
        <w:t>指反映行政单位未单独设置顶级科目的其他项目支出。</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10.</w:t>
      </w:r>
      <w:r>
        <w:rPr>
          <w:rFonts w:ascii="Times New Roman" w:eastAsia="仿宋_GB2312" w:cs="Times New Roman" w:hAnsi="Times New Roman"/>
          <w:color w:val="000000"/>
          <w:kern w:val="0"/>
          <w:sz w:val="32"/>
          <w:szCs w:val="32"/>
        </w:rPr>
        <w:t>教育（类）其他教育支出（款）其他教育支出（项）：</w:t>
      </w:r>
      <w:r>
        <w:rPr>
          <w:rFonts w:ascii="Times New Roman" w:eastAsia="仿宋_GB2312" w:cs="Times New Roman" w:hAnsi="Times New Roman"/>
          <w:color w:val="000000"/>
          <w:sz w:val="32"/>
          <w:szCs w:val="32"/>
        </w:rPr>
        <w:t>除上诉项目以外用于教育管理事务方面的支出。</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11.</w:t>
      </w:r>
      <w:r>
        <w:rPr>
          <w:rFonts w:ascii="Times New Roman" w:eastAsia="仿宋_GB2312" w:cs="Times New Roman" w:hAnsi="Times New Roman"/>
          <w:color w:val="000000"/>
          <w:kern w:val="0"/>
          <w:sz w:val="32"/>
          <w:szCs w:val="32"/>
        </w:rPr>
        <w:t>社会保障和就业（类）行政事业单位离退休（款）机关事业单位基本养老保险缴费支出（项）：</w:t>
      </w:r>
      <w:r>
        <w:rPr>
          <w:rFonts w:ascii="Times New Roman" w:eastAsia="仿宋_GB2312" w:cs="Times New Roman" w:hAnsi="Times New Roman"/>
          <w:color w:val="000000"/>
          <w:sz w:val="32"/>
          <w:szCs w:val="32"/>
        </w:rPr>
        <w:t>指单位为职工缴纳的基本养老保险费。</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12.</w:t>
      </w:r>
      <w:r>
        <w:rPr>
          <w:rFonts w:ascii="Times New Roman" w:eastAsia="仿宋_GB2312" w:cs="Times New Roman" w:hAnsi="Times New Roman"/>
          <w:color w:val="000000"/>
          <w:kern w:val="0"/>
          <w:sz w:val="32"/>
          <w:szCs w:val="32"/>
        </w:rPr>
        <w:t>社会保障和就业（类）行政事业单位离退休（款）机关事业单位基本职业年金缴费支出（项）：</w:t>
      </w:r>
      <w:r>
        <w:rPr>
          <w:rFonts w:ascii="Times New Roman" w:eastAsia="仿宋_GB2312" w:cs="Times New Roman" w:hAnsi="Times New Roman"/>
          <w:color w:val="000000"/>
          <w:sz w:val="32"/>
          <w:szCs w:val="32"/>
        </w:rPr>
        <w:t>指单位为职工实际缴纳的职业年金。</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13.医疗卫生与计划生育（类）行政事业单位医疗（款）行政单位医疗（项）：指反映职工缴纳的基本医疗保险费。</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14.医疗卫生与计划生育（类）行政事业单位医疗（款）公务员医疗补助（项）：指按规定可享受公务员医疗补助单位为职工缴纳的公务员医疗补助费。</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15.住房保障（类）住房改革支出（款）住房公积金（项）：指单位按规定为职工缴纳的住房公积金。</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16.基本支出：指为保障机构正常运转、完成日常工作任务而发生的人员支出和公用支出。</w:t>
      </w:r>
    </w:p>
    <w:p>
      <w:pPr>
        <w:ind w:firstLineChars="200" w:firstLine="640"/>
        <w:rPr>
          <w:rFonts w:ascii="Times New Roman" w:eastAsia="仿宋_GB2312" w:cs="Times New Roman" w:hAnsi="Times New Roman"/>
          <w:color w:val="000000"/>
          <w:sz w:val="32"/>
          <w:szCs w:val="32"/>
        </w:rPr>
      </w:pPr>
      <w:r>
        <w:rPr>
          <w:rFonts w:ascii="Times New Roman" w:eastAsia="仿宋_GB2312" w:cs="Times New Roman" w:hAnsi="Times New Roman"/>
          <w:color w:val="000000"/>
          <w:sz w:val="32"/>
          <w:szCs w:val="32"/>
        </w:rPr>
        <w:t xml:space="preserve">17.项目支出：指在基本支出之外为完成特定行政任务和事业发展目标所发生的支出。 </w:t>
      </w:r>
    </w:p>
    <w:p>
      <w:pPr>
        <w:pStyle w:val="30"/>
        <w:spacing w:line="560" w:lineRule="exact"/>
        <w:ind w:firstLineChars="200" w:firstLine="640"/>
        <w:rPr>
          <w:rFonts w:ascii="Times New Roman" w:eastAsia="仿宋_GB2312" w:cs="Times New Roman" w:hAnsi="Times New Roman"/>
          <w:sz w:val="32"/>
          <w:szCs w:val="32"/>
        </w:rPr>
      </w:pPr>
      <w:r>
        <w:rPr>
          <w:rFonts w:ascii="Times New Roman" w:eastAsia="仿宋_GB2312" w:cs="Times New Roman" w:hAnsi="Times New Roman"/>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adjustRightInd w:val="0"/>
        <w:snapToGrid w:val="0"/>
        <w:spacing w:line="540" w:lineRule="exact"/>
        <w:ind w:firstLineChars="200" w:firstLine="64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rPr>
          <w:rFonts w:ascii="Times New Roman" w:eastAsia="仿宋_GB2312" w:cs="Times New Roman" w:hAnsi="Times New Roman"/>
          <w:sz w:val="32"/>
          <w:szCs w:val="32"/>
        </w:rPr>
      </w:pPr>
    </w:p>
    <w:p>
      <w:pPr>
        <w:pStyle w:val="1"/>
        <w:jc w:val="center"/>
        <w:rPr>
          <w:rFonts w:ascii="黑体" w:eastAsia="黑体" w:cs="黑体" w:hint="eastAsia"/>
          <w:b w:val="0"/>
          <w:sz w:val="44"/>
          <w:szCs w:val="44"/>
          <w:lang w:bidi="ar-SA"/>
        </w:rPr>
      </w:pPr>
      <w:bookmarkStart w:id="84" w:name="_Toc19011"/>
      <w:r>
        <w:rPr>
          <w:rFonts w:ascii="黑体" w:eastAsia="黑体" w:cs="黑体" w:hint="eastAsia"/>
          <w:b w:val="0"/>
          <w:sz w:val="44"/>
          <w:szCs w:val="44"/>
          <w:lang w:val="en-US" w:eastAsia="zh-CN" w:bidi="ar-SA"/>
        </w:rPr>
        <w:t xml:space="preserve">第四部分 </w:t>
      </w:r>
      <w:r>
        <w:rPr>
          <w:rFonts w:ascii="黑体" w:eastAsia="黑体" w:cs="黑体" w:hint="eastAsia"/>
          <w:b w:val="0"/>
          <w:sz w:val="44"/>
          <w:szCs w:val="44"/>
          <w:lang w:bidi="ar-SA"/>
        </w:rPr>
        <w:t>附件</w:t>
      </w:r>
      <w:bookmarkEnd w:id="84"/>
    </w:p>
    <w:p>
      <w:pPr>
        <w:rPr>
          <w:rFonts w:ascii="黑体" w:eastAsia="黑体" w:hint="eastAsia"/>
          <w:sz w:val="32"/>
          <w:szCs w:val="32"/>
        </w:rPr>
      </w:pPr>
      <w:r>
        <w:rPr>
          <w:rFonts w:ascii="黑体" w:eastAsia="黑体" w:hint="eastAsia"/>
          <w:sz w:val="32"/>
          <w:szCs w:val="32"/>
        </w:rPr>
        <w:t>附件1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eastAsia="方正小标宋简体" w:cs="Times New Roman" w:hint="eastAsia"/>
          <w:b w:val="0"/>
          <w:bCs/>
          <w:sz w:val="44"/>
          <w:szCs w:val="44"/>
          <w:shd w:val="clear" w:color="auto" w:fill="FFFFFF"/>
          <w:lang w:val="en-US" w:eastAsia="zh-CN"/>
          <w:highlight w:val="auto"/>
        </w:rPr>
      </w:pPr>
      <w:r>
        <w:rPr>
          <w:rFonts w:eastAsia="方正小标宋简体" w:cs="Times New Roman" w:hint="eastAsia"/>
          <w:b w:val="0"/>
          <w:bCs/>
          <w:sz w:val="44"/>
          <w:szCs w:val="44"/>
          <w:shd w:val="clear" w:color="auto" w:fill="FFFFFF"/>
          <w:lang w:val="en-US" w:eastAsia="zh-CN"/>
          <w:highlight w:val="auto"/>
        </w:rPr>
        <w:t>金川县观音桥镇人民政府</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eastAsia="方正小标宋简体" w:cs="Times New Roman" w:hAnsi="Times New Roman"/>
          <w:b w:val="0"/>
          <w:bCs/>
          <w:sz w:val="44"/>
          <w:szCs w:val="44"/>
          <w:shd w:val="clear" w:color="auto" w:fill="FFFFFF"/>
          <w:highlight w:val="auto"/>
        </w:rPr>
      </w:pPr>
      <w:r>
        <w:rPr>
          <w:rFonts w:ascii="Times New Roman" w:eastAsia="方正小标宋简体" w:cs="Times New Roman" w:hAnsi="Times New Roman"/>
          <w:b w:val="0"/>
          <w:bCs/>
          <w:sz w:val="44"/>
          <w:szCs w:val="44"/>
          <w:shd w:val="clear" w:color="auto" w:fill="FFFFFF"/>
          <w:lang w:val="en-US" w:eastAsia="zh-CN"/>
          <w:highlight w:val="auto"/>
        </w:rPr>
        <w:t>2024年</w:t>
      </w:r>
      <w:r>
        <w:rPr>
          <w:rFonts w:ascii="Times New Roman" w:eastAsia="方正小标宋简体" w:cs="Times New Roman" w:hAnsi="Times New Roman"/>
          <w:b w:val="0"/>
          <w:bCs/>
          <w:sz w:val="44"/>
          <w:szCs w:val="44"/>
          <w:shd w:val="clear" w:color="auto" w:fill="FFFFFF"/>
          <w:highlight w:val="auto"/>
        </w:rPr>
        <w:t>部门</w:t>
      </w:r>
      <w:r>
        <w:rPr>
          <w:rFonts w:ascii="Times New Roman" w:eastAsia="方正小标宋简体" w:cs="Times New Roman" w:hAnsi="Times New Roman"/>
          <w:b w:val="0"/>
          <w:bCs/>
          <w:sz w:val="44"/>
          <w:szCs w:val="44"/>
          <w:shd w:val="clear" w:color="auto" w:fill="FFFFFF"/>
          <w:lang w:eastAsia="zh-CN"/>
          <w:highlight w:val="auto"/>
        </w:rPr>
        <w:t>预算</w:t>
      </w:r>
      <w:r>
        <w:rPr>
          <w:rFonts w:ascii="Times New Roman" w:eastAsia="方正小标宋简体" w:cs="Times New Roman" w:hAnsi="Times New Roman"/>
          <w:b w:val="0"/>
          <w:bCs/>
          <w:sz w:val="44"/>
          <w:szCs w:val="44"/>
          <w:shd w:val="clear" w:color="auto" w:fill="FFFFFF"/>
          <w:highlight w:val="auto"/>
        </w:rPr>
        <w:t>绩效</w:t>
      </w:r>
      <w:r>
        <w:rPr>
          <w:rFonts w:eastAsia="方正小标宋简体" w:cs="Times New Roman" w:hint="eastAsia"/>
          <w:b w:val="0"/>
          <w:bCs/>
          <w:sz w:val="44"/>
          <w:szCs w:val="44"/>
          <w:shd w:val="clear" w:color="auto" w:fill="FFFFFF"/>
          <w:lang w:eastAsia="zh-CN"/>
          <w:highlight w:val="auto"/>
        </w:rPr>
        <w:t>自评</w:t>
      </w:r>
      <w:r>
        <w:rPr>
          <w:rFonts w:ascii="Times New Roman" w:eastAsia="方正小标宋简体" w:cs="Times New Roman" w:hAnsi="Times New Roman"/>
          <w:b w:val="0"/>
          <w:bCs/>
          <w:sz w:val="44"/>
          <w:szCs w:val="44"/>
          <w:shd w:val="clear" w:color="auto" w:fill="FFFFFF"/>
          <w:highlight w:val="auto"/>
        </w:rPr>
        <w:t>报告</w:t>
      </w:r>
    </w:p>
    <w:p>
      <w:pPr>
        <w:keepNext w:val="0"/>
        <w:keepLines w:val="0"/>
        <w:pageBreakBefore w:val="0"/>
        <w:widowControl w:val="0"/>
        <w:kinsoku/>
        <w:wordWrap/>
        <w:overflowPunct/>
        <w:topLinePunct w:val="0"/>
        <w:autoSpaceDE/>
        <w:autoSpaceDN/>
        <w:bidi w:val="0"/>
        <w:spacing w:line="560" w:lineRule="exact"/>
        <w:textAlignment w:val="auto"/>
        <w:rPr>
          <w:rFonts w:ascii="Times New Roman" w:eastAsia="方正仿宋_GBK" w:cs="Times New Roman" w:hAnsi="Times New Roman"/>
          <w:sz w:val="32"/>
          <w:szCs w:val="32"/>
        </w:rPr>
      </w:pPr>
      <w:r>
        <w:rPr>
          <w:rFonts w:ascii="Times New Roman" w:eastAsia="方正仿宋_GBK" w:cs="Times New Roman" w:hAnsi="Times New Roman"/>
          <w:sz w:val="32"/>
          <w:szCs w:val="32"/>
        </w:rPr>
        <w:t>金川县财政局:</w:t>
      </w:r>
    </w:p>
    <w:p>
      <w:pPr>
        <w:keepNext w:val="0"/>
        <w:keepLines w:val="0"/>
        <w:pageBreakBefore w:val="0"/>
        <w:widowControl/>
        <w:kinsoku/>
        <w:wordWrap/>
        <w:overflowPunct/>
        <w:topLinePunct w:val="0"/>
        <w:autoSpaceDE/>
        <w:autoSpaceDN/>
        <w:bidi w:val="0"/>
        <w:adjustRightInd w:val="0"/>
        <w:snapToGrid w:val="0"/>
        <w:spacing w:line="560" w:lineRule="exact"/>
        <w:ind w:firstLineChars="200" w:firstLine="640"/>
        <w:contextualSpacing/>
        <w:jc w:val="left"/>
        <w:textAlignment w:val="auto"/>
        <w:outlineLvl w:val="9"/>
      </w:pPr>
      <w:r>
        <w:rPr>
          <w:rFonts w:ascii="Times New Roman" w:eastAsia="方正仿宋_GBK" w:cs="Times New Roman" w:hAnsi="Times New Roman"/>
          <w:sz w:val="32"/>
          <w:szCs w:val="32"/>
        </w:rPr>
        <w:t>根据《金川县财政局关于</w:t>
      </w:r>
      <w:r>
        <w:rPr>
          <w:rFonts w:ascii="Times New Roman" w:eastAsia="方正仿宋_GBK" w:cs="Times New Roman" w:hAnsi="Times New Roman"/>
          <w:sz w:val="32"/>
          <w:szCs w:val="32"/>
          <w:lang w:val="en-US" w:eastAsia="zh-CN"/>
        </w:rPr>
        <w:t>2024年县级部门绩效自评工作</w:t>
      </w:r>
      <w:r>
        <w:rPr>
          <w:rFonts w:ascii="Times New Roman" w:eastAsia="方正仿宋_GBK" w:cs="Times New Roman" w:hAnsi="Times New Roman"/>
          <w:sz w:val="32"/>
          <w:szCs w:val="32"/>
        </w:rPr>
        <w:t>的通知》的通知(金财</w:t>
      </w:r>
      <w:r>
        <w:rPr>
          <w:rFonts w:ascii="Times New Roman" w:eastAsia="方正仿宋_GBK" w:cs="Times New Roman" w:hAnsi="Times New Roman"/>
          <w:sz w:val="32"/>
          <w:szCs w:val="32"/>
          <w:lang w:val="en-US" w:eastAsia="zh-CN"/>
        </w:rPr>
        <w:t>监绩</w:t>
      </w:r>
      <w:r>
        <w:rPr>
          <w:rFonts w:ascii="Times New Roman" w:eastAsia="方正仿宋_GBK" w:cs="Times New Roman" w:hAnsi="Times New Roman"/>
          <w:sz w:val="32"/>
          <w:szCs w:val="32"/>
        </w:rPr>
        <w:t>〔202</w:t>
      </w:r>
      <w:r>
        <w:rPr>
          <w:rFonts w:eastAsia="方正仿宋_GBK" w:cs="Times New Roman" w:hint="eastAsia"/>
          <w:sz w:val="32"/>
          <w:szCs w:val="32"/>
          <w:lang w:val="en-US" w:eastAsia="zh-CN"/>
        </w:rPr>
        <w:t>5</w:t>
      </w:r>
      <w:r>
        <w:rPr>
          <w:rFonts w:ascii="Times New Roman" w:eastAsia="方正仿宋_GBK" w:cs="Times New Roman" w:hAnsi="Times New Roman"/>
          <w:sz w:val="32"/>
          <w:szCs w:val="32"/>
        </w:rPr>
        <w:t>〕</w:t>
      </w:r>
      <w:r>
        <w:rPr>
          <w:rFonts w:ascii="Times New Roman" w:eastAsia="方正仿宋_GBK" w:cs="Times New Roman" w:hAnsi="Times New Roman"/>
          <w:sz w:val="32"/>
          <w:szCs w:val="32"/>
          <w:lang w:val="en-US" w:eastAsia="zh-CN"/>
        </w:rPr>
        <w:t>35</w:t>
      </w:r>
      <w:r>
        <w:rPr>
          <w:rFonts w:ascii="Times New Roman" w:eastAsia="方正仿宋_GBK" w:cs="Times New Roman" w:hAnsi="Times New Roman"/>
          <w:sz w:val="32"/>
          <w:szCs w:val="32"/>
        </w:rPr>
        <w:t>号)文件要求，我</w:t>
      </w:r>
      <w:r>
        <w:rPr>
          <w:rFonts w:ascii="Times New Roman" w:eastAsia="方正仿宋_GBK" w:cs="Times New Roman" w:hAnsi="Times New Roman"/>
          <w:sz w:val="32"/>
          <w:szCs w:val="32"/>
          <w:lang w:val="en-US" w:eastAsia="zh-CN"/>
        </w:rPr>
        <w:t>镇</w:t>
      </w:r>
      <w:r>
        <w:rPr>
          <w:rFonts w:ascii="Times New Roman" w:eastAsia="方正仿宋_GBK" w:cs="Times New Roman" w:hAnsi="Times New Roman"/>
          <w:sz w:val="32"/>
          <w:szCs w:val="32"/>
        </w:rPr>
        <w:t>高度重视，赓即对</w:t>
      </w:r>
      <w:r>
        <w:rPr>
          <w:rFonts w:ascii="Times New Roman" w:eastAsia="方正仿宋_GBK" w:cs="Times New Roman" w:hAnsi="Times New Roman"/>
          <w:sz w:val="32"/>
          <w:szCs w:val="32"/>
          <w:lang w:val="en-US" w:eastAsia="zh-CN"/>
        </w:rPr>
        <w:t>镇</w:t>
      </w:r>
      <w:r>
        <w:rPr>
          <w:rFonts w:ascii="Times New Roman" w:eastAsia="方正仿宋_GBK" w:cs="Times New Roman" w:hAnsi="Times New Roman"/>
          <w:sz w:val="32"/>
          <w:szCs w:val="32"/>
        </w:rPr>
        <w:t>机关</w:t>
      </w:r>
      <w:r>
        <w:rPr>
          <w:rFonts w:ascii="Times New Roman" w:eastAsia="方正仿宋_GBK" w:cs="Times New Roman" w:hAnsi="Times New Roman"/>
          <w:sz w:val="32"/>
          <w:szCs w:val="32"/>
          <w:lang w:eastAsia="zh-CN"/>
        </w:rPr>
        <w:t>20</w:t>
      </w:r>
      <w:r>
        <w:rPr>
          <w:rFonts w:ascii="Times New Roman" w:eastAsia="方正仿宋_GBK" w:cs="Times New Roman" w:hAnsi="Times New Roman"/>
          <w:sz w:val="32"/>
          <w:szCs w:val="32"/>
          <w:lang w:val="en-US" w:eastAsia="zh-CN"/>
        </w:rPr>
        <w:t>2</w:t>
      </w:r>
      <w:r>
        <w:rPr>
          <w:rFonts w:eastAsia="方正仿宋_GBK" w:cs="Times New Roman" w:hint="eastAsia"/>
          <w:sz w:val="32"/>
          <w:szCs w:val="32"/>
          <w:lang w:val="en-US" w:eastAsia="zh-CN"/>
        </w:rPr>
        <w:t>4</w:t>
      </w:r>
      <w:r>
        <w:rPr>
          <w:rFonts w:ascii="Times New Roman" w:eastAsia="方正仿宋_GBK" w:cs="Times New Roman" w:hAnsi="Times New Roman"/>
          <w:sz w:val="32"/>
          <w:szCs w:val="32"/>
          <w:lang w:eastAsia="zh-CN"/>
        </w:rPr>
        <w:t>年部门预算</w:t>
      </w:r>
      <w:r>
        <w:rPr>
          <w:rFonts w:ascii="Times New Roman" w:eastAsia="方正仿宋_GBK" w:cs="Times New Roman" w:hAnsi="Times New Roman"/>
          <w:sz w:val="32"/>
          <w:szCs w:val="32"/>
        </w:rPr>
        <w:t>绩效</w:t>
      </w:r>
      <w:r>
        <w:rPr>
          <w:rFonts w:ascii="Times New Roman" w:eastAsia="方正仿宋_GBK" w:cs="Times New Roman" w:hAnsi="Times New Roman"/>
          <w:sz w:val="32"/>
          <w:szCs w:val="32"/>
          <w:lang w:val="en-US" w:eastAsia="zh-CN"/>
        </w:rPr>
        <w:t>开展自评工作，</w:t>
      </w:r>
      <w:r>
        <w:rPr>
          <w:rFonts w:ascii="Times New Roman" w:eastAsia="方正仿宋_GBK" w:cs="Times New Roman" w:hAnsi="Times New Roman"/>
          <w:sz w:val="32"/>
          <w:szCs w:val="32"/>
          <w:lang w:eastAsia="zh-CN"/>
        </w:rPr>
        <w:t>评价</w:t>
      </w:r>
      <w:r>
        <w:rPr>
          <w:rFonts w:ascii="Times New Roman" w:eastAsia="方正仿宋_GBK" w:cs="Times New Roman" w:hAnsi="Times New Roman"/>
          <w:sz w:val="32"/>
          <w:szCs w:val="32"/>
        </w:rPr>
        <w:t>报告情况如下。</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cs="Times New Roman" w:hAnsi="Times New Roman"/>
          <w:szCs w:val="32"/>
        </w:rPr>
      </w:pPr>
      <w:r>
        <w:rPr>
          <w:rFonts w:ascii="Times New Roman" w:eastAsia="黑体" w:cs="Times New Roman" w:hAnsi="Times New Roman"/>
          <w:color w:val="000000"/>
          <w:kern w:val="0"/>
          <w:sz w:val="32"/>
          <w:szCs w:val="48"/>
          <w:shd w:val="clear" w:color="auto" w:fill="FFFFFF"/>
          <w:lang w:val="zh-CN"/>
          <w:highlight w:val="auto"/>
        </w:rPr>
        <w:t>一、部门（单位）基本情况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val="0"/>
          <w:bCs w:val="0"/>
          <w:color w:val="000000"/>
          <w:kern w:val="0"/>
          <w:sz w:val="32"/>
          <w:szCs w:val="48"/>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（一）机构组成</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en-US" w:eastAsia="zh-CN" w:bidi="ar-SA"/>
        </w:rPr>
      </w:pPr>
      <w:r>
        <w:rPr>
          <w:rFonts w:ascii="Times New Roman" w:eastAsia="方正仿宋_GBK" w:cs="Times New Roman" w:hAnsi="Times New Roman"/>
          <w:b w:val="0"/>
          <w:kern w:val="2"/>
          <w:sz w:val="32"/>
          <w:szCs w:val="32"/>
          <w:lang w:val="zh-CN" w:eastAsia="zh-CN" w:bidi="ar-SA"/>
        </w:rPr>
        <w:t>本部门预算单位</w:t>
      </w:r>
      <w:r>
        <w:rPr>
          <w:rFonts w:ascii="Times New Roman" w:eastAsia="方正仿宋_GBK" w:cs="Times New Roman" w:hAnsi="Times New Roman"/>
          <w:b w:val="0"/>
          <w:kern w:val="2"/>
          <w:sz w:val="32"/>
          <w:szCs w:val="32"/>
          <w:lang w:val="en-US" w:eastAsia="zh-CN" w:bidi="ar-SA"/>
        </w:rPr>
        <w:t>1</w:t>
      </w:r>
      <w:r>
        <w:rPr>
          <w:rFonts w:ascii="Times New Roman" w:eastAsia="方正仿宋_GBK" w:cs="Times New Roman" w:hAnsi="Times New Roman"/>
          <w:b w:val="0"/>
          <w:kern w:val="2"/>
          <w:sz w:val="32"/>
          <w:szCs w:val="32"/>
          <w:lang w:val="zh-CN" w:eastAsia="zh-CN" w:bidi="ar-SA"/>
        </w:rPr>
        <w:t>个，其中内设机构</w:t>
      </w:r>
      <w:r>
        <w:rPr>
          <w:rFonts w:ascii="Times New Roman" w:eastAsia="方正仿宋_GBK" w:cs="Times New Roman" w:hAnsi="Times New Roman"/>
          <w:b w:val="0"/>
          <w:kern w:val="2"/>
          <w:sz w:val="32"/>
          <w:szCs w:val="32"/>
          <w:lang w:val="en-US" w:eastAsia="zh-CN" w:bidi="ar-SA"/>
        </w:rPr>
        <w:t>4</w:t>
      </w:r>
      <w:r>
        <w:rPr>
          <w:rFonts w:ascii="Times New Roman" w:eastAsia="方正仿宋_GBK" w:cs="Times New Roman" w:hAnsi="Times New Roman"/>
          <w:b w:val="0"/>
          <w:kern w:val="2"/>
          <w:sz w:val="32"/>
          <w:szCs w:val="32"/>
          <w:lang w:val="zh-CN" w:eastAsia="zh-CN" w:bidi="ar-SA"/>
        </w:rPr>
        <w:t>个，分别是</w:t>
      </w:r>
      <w:r>
        <w:rPr>
          <w:rFonts w:ascii="Times New Roman" w:eastAsia="方正仿宋_GBK" w:cs="Times New Roman" w:hAnsi="Times New Roman"/>
          <w:b w:val="0"/>
          <w:kern w:val="2"/>
          <w:sz w:val="32"/>
          <w:szCs w:val="32"/>
          <w:lang w:val="en-US" w:eastAsia="zh-CN" w:bidi="ar-SA"/>
        </w:rPr>
        <w:t>观音桥镇人民政府</w:t>
      </w:r>
      <w:r>
        <w:rPr>
          <w:rFonts w:ascii="Times New Roman" w:eastAsia="方正仿宋_GBK" w:cs="Times New Roman" w:hAnsi="Times New Roman"/>
          <w:b w:val="0"/>
          <w:kern w:val="2"/>
          <w:sz w:val="32"/>
          <w:szCs w:val="32"/>
          <w:lang w:val="zh-CN" w:eastAsia="zh-CN" w:bidi="ar-SA"/>
        </w:rPr>
        <w:t>办公室、金川县</w:t>
      </w:r>
      <w:r>
        <w:rPr>
          <w:rFonts w:ascii="Times New Roman" w:eastAsia="方正仿宋_GBK" w:cs="Times New Roman" w:hAnsi="Times New Roman"/>
          <w:b w:val="0"/>
          <w:kern w:val="2"/>
          <w:sz w:val="32"/>
          <w:szCs w:val="32"/>
          <w:lang w:val="en-US" w:eastAsia="zh-CN" w:bidi="ar-SA"/>
        </w:rPr>
        <w:t>观音桥镇党委办公室</w:t>
      </w:r>
      <w:r>
        <w:rPr>
          <w:rFonts w:ascii="Times New Roman" w:eastAsia="方正仿宋_GBK" w:cs="Times New Roman" w:hAnsi="Times New Roman"/>
          <w:b w:val="0"/>
          <w:kern w:val="2"/>
          <w:sz w:val="32"/>
          <w:szCs w:val="32"/>
          <w:lang w:val="zh-CN" w:eastAsia="zh-CN" w:bidi="ar-SA"/>
        </w:rPr>
        <w:t>、金川县</w:t>
      </w:r>
      <w:r>
        <w:rPr>
          <w:rFonts w:ascii="Times New Roman" w:eastAsia="方正仿宋_GBK" w:cs="Times New Roman" w:hAnsi="Times New Roman"/>
          <w:b w:val="0"/>
          <w:kern w:val="2"/>
          <w:sz w:val="32"/>
          <w:szCs w:val="32"/>
          <w:lang w:val="en-US" w:eastAsia="zh-CN" w:bidi="ar-SA"/>
        </w:rPr>
        <w:t>人大办公室、观音桥镇综合服务中心</w:t>
      </w:r>
      <w:r>
        <w:rPr>
          <w:rFonts w:ascii="Times New Roman" w:eastAsia="方正仿宋_GBK" w:cs="Times New Roman" w:hAnsi="Times New Roman"/>
          <w:b w:val="0"/>
          <w:kern w:val="2"/>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hint="eastAsia"/>
          <w:b/>
          <w:bCs/>
          <w:color w:val="000000"/>
          <w:kern w:val="0"/>
          <w:sz w:val="32"/>
          <w:szCs w:val="48"/>
          <w:shd w:val="clear" w:color="auto" w:fill="FFFFFF"/>
          <w:lang w:val="zh-CN" w:eastAsia="zh-CN"/>
          <w:highlight w:val="auto"/>
        </w:rPr>
      </w:pP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hint="eastAsia"/>
          <w:b/>
          <w:bCs/>
          <w:color w:val="000000"/>
          <w:kern w:val="0"/>
          <w:sz w:val="32"/>
          <w:szCs w:val="48"/>
          <w:shd w:val="clear" w:color="auto" w:fill="FFFFFF"/>
          <w:lang w:val="en-US" w:eastAsia="zh-CN"/>
          <w:highlight w:val="auto"/>
        </w:rPr>
        <w:t>二</w:t>
      </w: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b/>
          <w:bCs/>
          <w:color w:val="000000"/>
          <w:kern w:val="0"/>
          <w:sz w:val="32"/>
          <w:szCs w:val="48"/>
          <w:shd w:val="clear" w:color="auto" w:fill="FFFFFF"/>
          <w:lang w:val="zh-CN"/>
          <w:highlight w:val="auto"/>
        </w:rPr>
        <w:t>机构职能</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en-US" w:eastAsia="zh-CN" w:bidi="ar-SA"/>
        </w:rPr>
        <w:t>1.</w:t>
      </w:r>
      <w:r>
        <w:rPr>
          <w:rFonts w:ascii="Times New Roman" w:eastAsia="方正仿宋_GBK" w:cs="Times New Roman" w:hAnsi="Times New Roman"/>
          <w:b w:val="0"/>
          <w:kern w:val="2"/>
          <w:sz w:val="32"/>
          <w:szCs w:val="32"/>
          <w:lang w:val="zh-CN" w:eastAsia="zh-CN" w:bidi="ar-SA"/>
        </w:rPr>
        <w:t xml:space="preserve">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en-US" w:eastAsia="zh-CN" w:bidi="ar-SA"/>
        </w:rPr>
        <w:t>2.</w:t>
      </w:r>
      <w:r>
        <w:rPr>
          <w:rFonts w:ascii="Times New Roman" w:eastAsia="方正仿宋_GBK" w:cs="Times New Roman" w:hAnsi="Times New Roman"/>
          <w:b w:val="0"/>
          <w:kern w:val="2"/>
          <w:sz w:val="32"/>
          <w:szCs w:val="32"/>
          <w:lang w:val="zh-CN" w:eastAsia="zh-CN" w:bidi="ar-SA"/>
        </w:rPr>
        <w:t>制定并组织实施村镇建设规划，部署重点工程建设，地方道路建设及公共设施，水利设施的管理，负责土地、林木、水等自然资源和生态环境的保护，做好护林防火工作。</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en-US" w:eastAsia="zh-CN" w:bidi="ar-SA"/>
        </w:rPr>
        <w:t>3.</w:t>
      </w:r>
      <w:r>
        <w:rPr>
          <w:rFonts w:ascii="Times New Roman" w:eastAsia="方正仿宋_GBK" w:cs="Times New Roman" w:hAnsi="Times New Roman"/>
          <w:b w:val="0"/>
          <w:kern w:val="2"/>
          <w:sz w:val="32"/>
          <w:szCs w:val="32"/>
          <w:lang w:val="zh-CN" w:eastAsia="zh-CN" w:bidi="ar-SA"/>
        </w:rPr>
        <w:t xml:space="preserve">负责本行政区域内的民政、计划生育、文化教育、卫生、体育等社会公益事业的综合性工作，维护一切经济单位和个人的正当经济权益，取缔非法经济活动，调解和处理民事纠纷，打击刑事犯罪维护社会稳定。 </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en-US" w:eastAsia="zh-CN" w:bidi="ar-SA"/>
        </w:rPr>
        <w:t>4.</w:t>
      </w:r>
      <w:r>
        <w:rPr>
          <w:rFonts w:ascii="Times New Roman" w:eastAsia="方正仿宋_GBK" w:cs="Times New Roman" w:hAnsi="Times New Roman"/>
          <w:b w:val="0"/>
          <w:kern w:val="2"/>
          <w:sz w:val="32"/>
          <w:szCs w:val="32"/>
          <w:lang w:val="zh-CN" w:eastAsia="zh-CN" w:bidi="ar-SA"/>
        </w:rPr>
        <w:t xml:space="preserve">按计划组织本级财政收入和地方税的征收，完成国家财政计划，不断培植税源，管好财政资金，增强财政实力。 </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zh-CN" w:eastAsia="zh-CN" w:bidi="ar-SA"/>
        </w:rPr>
        <w:t>5.抓好精神文明建设，丰富群众文化生活，提倡移风易俗，反对封建迷信，破除陈规陋习，树立社会主义新风尚。</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（三）人员概况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en-US" w:eastAsia="zh-CN" w:bidi="ar-SA"/>
        </w:rPr>
        <w:t>截至2024年末，金川县观音桥镇人民政府只有一个行政核算机构。</w:t>
      </w:r>
      <w:r>
        <w:rPr>
          <w:rFonts w:ascii="Times New Roman" w:eastAsia="方正仿宋_GBK" w:cs="Times New Roman" w:hAnsi="Times New Roman"/>
          <w:b w:val="0"/>
          <w:kern w:val="2"/>
          <w:sz w:val="32"/>
          <w:szCs w:val="32"/>
          <w:lang w:val="zh-CN" w:eastAsia="zh-CN" w:bidi="ar-SA"/>
        </w:rPr>
        <w:t>单位编制数</w:t>
      </w:r>
      <w:r>
        <w:rPr>
          <w:rFonts w:ascii="Times New Roman" w:eastAsia="方正仿宋_GBK" w:cs="Times New Roman" w:hAnsi="Times New Roman"/>
          <w:b w:val="0"/>
          <w:kern w:val="2"/>
          <w:sz w:val="32"/>
          <w:szCs w:val="32"/>
          <w:lang w:val="en-US" w:eastAsia="zh-CN" w:bidi="ar-SA"/>
        </w:rPr>
        <w:t>58</w:t>
      </w:r>
      <w:r>
        <w:rPr>
          <w:rFonts w:ascii="Times New Roman" w:eastAsia="方正仿宋_GBK" w:cs="Times New Roman" w:hAnsi="Times New Roman"/>
          <w:b w:val="0"/>
          <w:kern w:val="2"/>
          <w:sz w:val="32"/>
          <w:szCs w:val="32"/>
          <w:lang w:val="zh-CN" w:eastAsia="zh-CN" w:bidi="ar-SA"/>
        </w:rPr>
        <w:t>个，其中：公务员编制</w:t>
      </w:r>
      <w:r>
        <w:rPr>
          <w:rFonts w:ascii="Times New Roman" w:eastAsia="方正仿宋_GBK" w:cs="Times New Roman" w:hAnsi="Times New Roman"/>
          <w:b w:val="0"/>
          <w:kern w:val="2"/>
          <w:sz w:val="32"/>
          <w:szCs w:val="32"/>
          <w:lang w:val="en-US" w:eastAsia="zh-CN" w:bidi="ar-SA"/>
        </w:rPr>
        <w:t>32个</w:t>
      </w:r>
      <w:r>
        <w:rPr>
          <w:rFonts w:ascii="Times New Roman" w:eastAsia="方正仿宋_GBK" w:cs="Times New Roman" w:hAnsi="Times New Roman"/>
          <w:b w:val="0"/>
          <w:kern w:val="2"/>
          <w:sz w:val="32"/>
          <w:szCs w:val="32"/>
          <w:lang w:val="zh-CN" w:eastAsia="zh-CN" w:bidi="ar-SA"/>
        </w:rPr>
        <w:t>、行政工勤编制</w:t>
      </w:r>
      <w:r>
        <w:rPr>
          <w:rFonts w:ascii="Times New Roman" w:eastAsia="方正仿宋_GBK" w:cs="Times New Roman" w:hAnsi="Times New Roman"/>
          <w:b w:val="0"/>
          <w:kern w:val="2"/>
          <w:sz w:val="32"/>
          <w:szCs w:val="32"/>
          <w:lang w:val="en-US" w:eastAsia="zh-CN" w:bidi="ar-SA"/>
        </w:rPr>
        <w:t>4</w:t>
      </w:r>
      <w:r>
        <w:rPr>
          <w:rFonts w:ascii="Times New Roman" w:eastAsia="方正仿宋_GBK" w:cs="Times New Roman" w:hAnsi="Times New Roman"/>
          <w:b w:val="0"/>
          <w:kern w:val="2"/>
          <w:sz w:val="32"/>
          <w:szCs w:val="32"/>
          <w:lang w:val="zh-CN" w:eastAsia="zh-CN" w:bidi="ar-SA"/>
        </w:rPr>
        <w:t>个，</w:t>
      </w:r>
      <w:r>
        <w:rPr>
          <w:rFonts w:ascii="Times New Roman" w:eastAsia="方正仿宋_GBK" w:cs="Times New Roman" w:hAnsi="Times New Roman"/>
          <w:b w:val="0"/>
          <w:kern w:val="2"/>
          <w:sz w:val="32"/>
          <w:szCs w:val="32"/>
          <w:lang w:val="en-US" w:eastAsia="zh-CN" w:bidi="ar-SA"/>
        </w:rPr>
        <w:t>事业编制22名</w:t>
      </w:r>
      <w:r>
        <w:rPr>
          <w:rFonts w:ascii="Times New Roman" w:eastAsia="方正仿宋_GBK" w:cs="Times New Roman" w:hAnsi="Times New Roman"/>
          <w:b w:val="0"/>
          <w:kern w:val="2"/>
          <w:sz w:val="32"/>
          <w:szCs w:val="32"/>
          <w:lang w:val="zh-CN" w:eastAsia="zh-CN" w:bidi="ar-SA"/>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b w:val="0"/>
          <w:kern w:val="2"/>
          <w:sz w:val="32"/>
          <w:szCs w:val="32"/>
          <w:lang w:val="zh-CN" w:eastAsia="zh-CN" w:bidi="ar-SA"/>
        </w:rPr>
      </w:pPr>
      <w:r>
        <w:rPr>
          <w:rFonts w:ascii="Times New Roman" w:eastAsia="方正仿宋_GBK" w:cs="Times New Roman" w:hAnsi="Times New Roman"/>
          <w:b w:val="0"/>
          <w:kern w:val="2"/>
          <w:sz w:val="32"/>
          <w:szCs w:val="32"/>
          <w:lang w:val="zh-CN" w:eastAsia="zh-CN" w:bidi="ar-SA"/>
        </w:rPr>
        <w:t>截止20</w:t>
      </w:r>
      <w:r>
        <w:rPr>
          <w:rFonts w:ascii="Times New Roman" w:eastAsia="方正仿宋_GBK" w:cs="Times New Roman" w:hAnsi="Times New Roman"/>
          <w:b w:val="0"/>
          <w:kern w:val="2"/>
          <w:sz w:val="32"/>
          <w:szCs w:val="32"/>
          <w:lang w:val="en-US" w:eastAsia="zh-CN" w:bidi="ar-SA"/>
        </w:rPr>
        <w:t>24</w:t>
      </w:r>
      <w:r>
        <w:rPr>
          <w:rFonts w:ascii="Times New Roman" w:eastAsia="方正仿宋_GBK" w:cs="Times New Roman" w:hAnsi="Times New Roman"/>
          <w:b w:val="0"/>
          <w:kern w:val="2"/>
          <w:sz w:val="32"/>
          <w:szCs w:val="32"/>
          <w:lang w:val="zh-CN" w:eastAsia="zh-CN" w:bidi="ar-SA"/>
        </w:rPr>
        <w:t>年</w:t>
      </w:r>
      <w:r>
        <w:rPr>
          <w:rFonts w:ascii="Times New Roman" w:eastAsia="方正仿宋_GBK" w:cs="Times New Roman" w:hAnsi="Times New Roman"/>
          <w:b w:val="0"/>
          <w:kern w:val="2"/>
          <w:sz w:val="32"/>
          <w:szCs w:val="32"/>
          <w:lang w:val="en-US" w:eastAsia="zh-CN" w:bidi="ar-SA"/>
        </w:rPr>
        <w:t>12月</w:t>
      </w:r>
      <w:r>
        <w:rPr>
          <w:rFonts w:ascii="Times New Roman" w:eastAsia="方正仿宋_GBK" w:cs="Times New Roman" w:hAnsi="Times New Roman"/>
          <w:b w:val="0"/>
          <w:kern w:val="2"/>
          <w:sz w:val="32"/>
          <w:szCs w:val="32"/>
          <w:lang w:val="zh-CN" w:eastAsia="zh-CN" w:bidi="ar-SA"/>
        </w:rPr>
        <w:t>，单位实有人数</w:t>
      </w:r>
      <w:r>
        <w:rPr>
          <w:rFonts w:ascii="Times New Roman" w:eastAsia="方正仿宋_GBK" w:cs="Times New Roman" w:hAnsi="Times New Roman"/>
          <w:b w:val="0"/>
          <w:kern w:val="2"/>
          <w:sz w:val="32"/>
          <w:szCs w:val="32"/>
          <w:lang w:val="en-US" w:eastAsia="zh-CN" w:bidi="ar-SA"/>
        </w:rPr>
        <w:t>50</w:t>
      </w:r>
      <w:r>
        <w:rPr>
          <w:rFonts w:ascii="Times New Roman" w:eastAsia="方正仿宋_GBK" w:cs="Times New Roman" w:hAnsi="Times New Roman"/>
          <w:b w:val="0"/>
          <w:kern w:val="2"/>
          <w:sz w:val="32"/>
          <w:szCs w:val="32"/>
          <w:lang w:val="zh-CN" w:eastAsia="zh-CN" w:bidi="ar-SA"/>
        </w:rPr>
        <w:t>人，其中：在职</w:t>
      </w:r>
      <w:r>
        <w:rPr>
          <w:rFonts w:ascii="Times New Roman" w:eastAsia="方正仿宋_GBK" w:cs="Times New Roman" w:hAnsi="Times New Roman"/>
          <w:b w:val="0"/>
          <w:kern w:val="2"/>
          <w:sz w:val="32"/>
          <w:szCs w:val="32"/>
          <w:lang w:val="en-US" w:eastAsia="zh-CN" w:bidi="ar-SA"/>
        </w:rPr>
        <w:t>50</w:t>
      </w:r>
      <w:r>
        <w:rPr>
          <w:rFonts w:ascii="Times New Roman" w:eastAsia="方正仿宋_GBK" w:cs="Times New Roman" w:hAnsi="Times New Roman"/>
          <w:b w:val="0"/>
          <w:kern w:val="2"/>
          <w:sz w:val="32"/>
          <w:szCs w:val="32"/>
          <w:lang w:val="zh-CN" w:eastAsia="zh-CN" w:bidi="ar-SA"/>
        </w:rPr>
        <w:t>人（公务员</w:t>
      </w:r>
      <w:r>
        <w:rPr>
          <w:rFonts w:ascii="Times New Roman" w:eastAsia="方正仿宋_GBK" w:cs="Times New Roman" w:hAnsi="Times New Roman"/>
          <w:b w:val="0"/>
          <w:kern w:val="2"/>
          <w:sz w:val="32"/>
          <w:szCs w:val="32"/>
          <w:lang w:val="en-US" w:eastAsia="zh-CN" w:bidi="ar-SA"/>
        </w:rPr>
        <w:t>27个、</w:t>
      </w:r>
      <w:r>
        <w:rPr>
          <w:rFonts w:ascii="Times New Roman" w:eastAsia="方正仿宋_GBK" w:cs="Times New Roman" w:hAnsi="Times New Roman"/>
          <w:b w:val="0"/>
          <w:kern w:val="2"/>
          <w:sz w:val="32"/>
          <w:szCs w:val="32"/>
          <w:lang w:val="zh-CN" w:eastAsia="zh-CN" w:bidi="ar-SA"/>
        </w:rPr>
        <w:t>行政工勤</w:t>
      </w:r>
      <w:r>
        <w:rPr>
          <w:rFonts w:ascii="Times New Roman" w:eastAsia="方正仿宋_GBK" w:cs="Times New Roman" w:hAnsi="Times New Roman"/>
          <w:b w:val="0"/>
          <w:kern w:val="2"/>
          <w:sz w:val="32"/>
          <w:szCs w:val="32"/>
          <w:lang w:val="en-US" w:eastAsia="zh-CN" w:bidi="ar-SA"/>
        </w:rPr>
        <w:t>4</w:t>
      </w:r>
      <w:r>
        <w:rPr>
          <w:rFonts w:ascii="Times New Roman" w:eastAsia="方正仿宋_GBK" w:cs="Times New Roman" w:hAnsi="Times New Roman"/>
          <w:b w:val="0"/>
          <w:kern w:val="2"/>
          <w:sz w:val="32"/>
          <w:szCs w:val="32"/>
          <w:lang w:val="zh-CN" w:eastAsia="zh-CN" w:bidi="ar-SA"/>
        </w:rPr>
        <w:t>个，</w:t>
      </w:r>
      <w:r>
        <w:rPr>
          <w:rFonts w:ascii="Times New Roman" w:eastAsia="方正仿宋_GBK" w:cs="Times New Roman" w:hAnsi="Times New Roman"/>
          <w:b w:val="0"/>
          <w:kern w:val="2"/>
          <w:sz w:val="32"/>
          <w:szCs w:val="32"/>
          <w:lang w:val="en-US" w:eastAsia="zh-CN" w:bidi="ar-SA"/>
        </w:rPr>
        <w:t>事业19名</w:t>
      </w:r>
      <w:r>
        <w:rPr>
          <w:rFonts w:ascii="Times New Roman" w:eastAsia="方正仿宋_GBK" w:cs="Times New Roman" w:hAnsi="Times New Roman"/>
          <w:b w:val="0"/>
          <w:kern w:val="2"/>
          <w:sz w:val="32"/>
          <w:szCs w:val="32"/>
          <w:lang w:val="zh-CN" w:eastAsia="zh-CN" w:bidi="ar-SA"/>
        </w:rPr>
        <w:t>），退休</w:t>
      </w:r>
      <w:r>
        <w:rPr>
          <w:rFonts w:ascii="Times New Roman" w:eastAsia="方正仿宋_GBK" w:cs="Times New Roman" w:hAnsi="Times New Roman"/>
          <w:b w:val="0"/>
          <w:kern w:val="2"/>
          <w:sz w:val="32"/>
          <w:szCs w:val="32"/>
          <w:lang w:val="en-US" w:eastAsia="zh-CN" w:bidi="ar-SA"/>
        </w:rPr>
        <w:t>7</w:t>
      </w:r>
      <w:r>
        <w:rPr>
          <w:rFonts w:ascii="Times New Roman" w:eastAsia="方正仿宋_GBK" w:cs="Times New Roman" w:hAnsi="Times New Roman"/>
          <w:b w:val="0"/>
          <w:kern w:val="2"/>
          <w:sz w:val="32"/>
          <w:szCs w:val="32"/>
          <w:lang w:val="zh-CN" w:eastAsia="zh-CN" w:bidi="ar-SA"/>
        </w:rPr>
        <w:t>人，（退休人员工资转由社保部门发放）。</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48"/>
          <w:shd w:val="clear" w:color="auto" w:fill="FFFFFF"/>
          <w:lang w:val="zh-CN"/>
          <w:highlight w:val="auto"/>
        </w:rPr>
      </w:pPr>
      <w:r>
        <w:rPr>
          <w:rFonts w:ascii="Times New Roman" w:eastAsia="黑体" w:cs="Times New Roman" w:hAnsi="Times New Roman"/>
          <w:color w:val="000000"/>
          <w:kern w:val="0"/>
          <w:sz w:val="32"/>
          <w:szCs w:val="48"/>
          <w:shd w:val="clear" w:color="auto" w:fill="FFFFFF"/>
          <w:lang w:val="zh-CN"/>
          <w:highlight w:val="auto"/>
        </w:rPr>
        <w:t>二、</w:t>
      </w:r>
      <w:r>
        <w:rPr>
          <w:rFonts w:ascii="Times New Roman" w:eastAsia="黑体" w:cs="Times New Roman" w:hAnsi="Times New Roman"/>
          <w:color w:val="000000"/>
          <w:kern w:val="0"/>
          <w:sz w:val="32"/>
          <w:szCs w:val="48"/>
          <w:shd w:val="clear" w:color="auto" w:fill="FFFFFF"/>
          <w:lang w:val="zh-CN" w:eastAsia="zh-CN"/>
          <w:highlight w:val="auto"/>
        </w:rPr>
        <w:t>部门</w:t>
      </w:r>
      <w:r>
        <w:rPr>
          <w:rFonts w:ascii="Times New Roman" w:eastAsia="黑体" w:cs="Times New Roman" w:hAnsi="Times New Roman"/>
          <w:color w:val="000000"/>
          <w:kern w:val="0"/>
          <w:sz w:val="32"/>
          <w:szCs w:val="48"/>
          <w:shd w:val="clear" w:color="auto" w:fill="FFFFFF"/>
          <w:lang w:val="zh-CN"/>
          <w:highlight w:val="auto"/>
        </w:rPr>
        <w:t>资金收支情况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（一）收入情况</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方正仿宋_GBK" w:cs="Times New Roman" w:hAnsi="Times New Roman"/>
          <w:b/>
          <w:bCs/>
          <w:color w:val="000000"/>
          <w:kern w:val="0"/>
          <w:szCs w:val="32"/>
          <w:shd w:val="clear" w:color="auto" w:fill="FFFFFF"/>
          <w:lang w:val="en-US"/>
          <w:highlight w:val="auto"/>
        </w:rPr>
      </w:pPr>
      <w:r>
        <w:rPr>
          <w:rFonts w:ascii="Times New Roman" w:eastAsia="方正仿宋_GBK" w:cs="Times New Roman" w:hAnsi="Times New Roman"/>
          <w:color w:val="000000"/>
          <w:sz w:val="32"/>
          <w:szCs w:val="32"/>
          <w:lang w:eastAsia="zh-CN"/>
        </w:rPr>
        <w:t>2024年</w:t>
      </w:r>
      <w:r>
        <w:rPr>
          <w:rFonts w:ascii="Times New Roman" w:eastAsia="方正仿宋_GBK" w:cs="Times New Roman" w:hAnsi="Times New Roman"/>
          <w:color w:val="000000"/>
          <w:sz w:val="32"/>
          <w:szCs w:val="32"/>
        </w:rPr>
        <w:t>总收入</w:t>
      </w:r>
      <w:r>
        <w:rPr>
          <w:rFonts w:ascii="Times New Roman" w:eastAsia="方正仿宋_GBK" w:cs="Times New Roman" w:hAnsi="Times New Roman"/>
          <w:color w:val="000000"/>
          <w:spacing w:val="-2"/>
          <w:sz w:val="32"/>
          <w:szCs w:val="32"/>
          <w:lang w:val="en-US" w:eastAsia="zh-CN"/>
        </w:rPr>
        <w:t>1745.09</w:t>
      </w:r>
      <w:r>
        <w:rPr>
          <w:rFonts w:ascii="Times New Roman" w:eastAsia="方正仿宋_GBK" w:cs="Times New Roman" w:hAnsi="Times New Roman"/>
          <w:color w:val="000000"/>
          <w:sz w:val="32"/>
          <w:szCs w:val="32"/>
        </w:rPr>
        <w:t>万元，其中：一般公共预算财政拨款收入</w:t>
      </w:r>
      <w:r>
        <w:rPr>
          <w:rFonts w:ascii="Times New Roman" w:eastAsia="方正仿宋_GBK" w:cs="Times New Roman" w:hAnsi="Times New Roman"/>
          <w:color w:val="000000"/>
          <w:spacing w:val="-2"/>
          <w:sz w:val="32"/>
          <w:szCs w:val="32"/>
          <w:lang w:val="en-US" w:eastAsia="zh-CN"/>
        </w:rPr>
        <w:t>1745.04</w:t>
      </w:r>
      <w:r>
        <w:rPr>
          <w:rFonts w:ascii="Times New Roman" w:eastAsia="方正仿宋_GBK" w:cs="Times New Roman" w:hAnsi="Times New Roman"/>
          <w:color w:val="000000"/>
          <w:sz w:val="32"/>
          <w:szCs w:val="32"/>
        </w:rPr>
        <w:t>万元，占</w:t>
      </w:r>
      <w:r>
        <w:rPr>
          <w:rFonts w:ascii="Times New Roman" w:eastAsia="方正仿宋_GBK" w:cs="Times New Roman" w:hAnsi="Times New Roman"/>
          <w:color w:val="000000"/>
          <w:sz w:val="32"/>
          <w:szCs w:val="32"/>
          <w:lang w:val="en-US" w:eastAsia="zh-CN"/>
        </w:rPr>
        <w:t>99.997</w:t>
      </w:r>
      <w:r>
        <w:rPr>
          <w:rFonts w:ascii="Times New Roman" w:eastAsia="方正仿宋_GBK" w:cs="Times New Roman" w:hAnsi="Times New Roman"/>
          <w:color w:val="000000"/>
          <w:sz w:val="32"/>
          <w:szCs w:val="32"/>
        </w:rPr>
        <w:t>%；政府性基金预算财政拨款收入0万元，占0%；国有资本经营预算财政拨款收入</w:t>
      </w:r>
      <w:r>
        <w:rPr>
          <w:rFonts w:ascii="Times New Roman" w:eastAsia="方正仿宋_GBK" w:cs="Times New Roman" w:hAnsi="Times New Roman"/>
          <w:color w:val="000000"/>
          <w:sz w:val="32"/>
          <w:szCs w:val="32"/>
          <w:lang w:val="en-US" w:eastAsia="zh-CN"/>
        </w:rPr>
        <w:t>0.05</w:t>
      </w:r>
      <w:r>
        <w:rPr>
          <w:rFonts w:ascii="Times New Roman" w:eastAsia="方正仿宋_GBK" w:cs="Times New Roman" w:hAnsi="Times New Roman"/>
          <w:color w:val="000000"/>
          <w:sz w:val="32"/>
          <w:szCs w:val="32"/>
        </w:rPr>
        <w:t>万元，占0</w:t>
      </w:r>
      <w:r>
        <w:rPr>
          <w:rFonts w:ascii="Times New Roman" w:eastAsia="方正仿宋_GBK" w:cs="Times New Roman" w:hAnsi="Times New Roman"/>
          <w:color w:val="000000"/>
          <w:sz w:val="32"/>
          <w:szCs w:val="32"/>
          <w:lang w:val="en-US" w:eastAsia="zh-CN"/>
        </w:rPr>
        <w:t>.003</w:t>
      </w:r>
      <w:r>
        <w:rPr>
          <w:rFonts w:ascii="Times New Roman" w:eastAsia="方正仿宋_GBK" w:cs="Times New Roman" w:hAnsi="Times New Roman"/>
          <w:color w:val="000000"/>
          <w:sz w:val="32"/>
          <w:szCs w:val="32"/>
        </w:rPr>
        <w:t>%；事业收入0万元，占0%；经营收入0万元，占0%；附属单位上缴收入0万元，占0%；其他收入0万元，占0%。</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hint="eastAsia"/>
          <w:b/>
          <w:bCs/>
          <w:color w:val="000000"/>
          <w:kern w:val="0"/>
          <w:sz w:val="32"/>
          <w:szCs w:val="48"/>
          <w:shd w:val="clear" w:color="auto" w:fill="FFFFFF"/>
          <w:lang w:val="en-US" w:eastAsia="zh-CN"/>
          <w:highlight w:val="auto"/>
        </w:rPr>
        <w:t>二</w:t>
      </w: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b/>
          <w:bCs/>
          <w:color w:val="000000"/>
          <w:kern w:val="0"/>
          <w:sz w:val="32"/>
          <w:szCs w:val="48"/>
          <w:shd w:val="clear" w:color="auto" w:fill="FFFFFF"/>
          <w:lang w:val="zh-CN"/>
          <w:highlight w:val="auto"/>
        </w:rPr>
        <w:t>支出情况</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lang w:val="zh-CN"/>
        </w:rPr>
      </w:pPr>
      <w:r>
        <w:rPr>
          <w:rFonts w:ascii="Times New Roman" w:eastAsia="方正仿宋_GBK" w:cs="Times New Roman" w:hAnsi="Times New Roman"/>
          <w:color w:val="000000"/>
          <w:sz w:val="32"/>
          <w:szCs w:val="32"/>
          <w:lang w:eastAsia="zh-CN"/>
        </w:rPr>
        <w:t>2024年</w:t>
      </w:r>
      <w:r>
        <w:rPr>
          <w:rFonts w:ascii="Times New Roman" w:eastAsia="方正仿宋_GBK" w:cs="Times New Roman" w:hAnsi="Times New Roman"/>
          <w:color w:val="000000"/>
          <w:sz w:val="32"/>
          <w:szCs w:val="32"/>
        </w:rPr>
        <w:t>本年总支出</w:t>
      </w:r>
      <w:r>
        <w:rPr>
          <w:rFonts w:ascii="Times New Roman" w:eastAsia="方正仿宋_GBK" w:cs="Times New Roman" w:hAnsi="Times New Roman"/>
          <w:color w:val="000000"/>
          <w:spacing w:val="-2"/>
          <w:sz w:val="32"/>
          <w:szCs w:val="32"/>
          <w:lang w:val="en-US" w:eastAsia="zh-CN"/>
        </w:rPr>
        <w:t>1745.09</w:t>
      </w:r>
      <w:r>
        <w:rPr>
          <w:rFonts w:ascii="Times New Roman" w:eastAsia="方正仿宋_GBK" w:cs="Times New Roman" w:hAnsi="Times New Roman"/>
          <w:color w:val="000000"/>
          <w:sz w:val="32"/>
          <w:szCs w:val="32"/>
        </w:rPr>
        <w:t>万元，其中：基本支出</w:t>
      </w:r>
      <w:r>
        <w:rPr>
          <w:rFonts w:ascii="Times New Roman" w:eastAsia="方正仿宋_GBK" w:cs="Times New Roman" w:hAnsi="Times New Roman"/>
          <w:color w:val="000000"/>
          <w:spacing w:val="-2"/>
          <w:sz w:val="32"/>
          <w:szCs w:val="32"/>
          <w:lang w:val="en-US" w:eastAsia="zh-CN"/>
        </w:rPr>
        <w:t>1231.05</w:t>
      </w:r>
      <w:r>
        <w:rPr>
          <w:rFonts w:ascii="Times New Roman" w:eastAsia="方正仿宋_GBK" w:cs="Times New Roman" w:hAnsi="Times New Roman"/>
          <w:color w:val="000000"/>
          <w:sz w:val="32"/>
          <w:szCs w:val="32"/>
        </w:rPr>
        <w:t>万元，占</w:t>
      </w:r>
      <w:r>
        <w:rPr>
          <w:rFonts w:ascii="Times New Roman" w:eastAsia="方正仿宋_GBK" w:cs="Times New Roman" w:hAnsi="Times New Roman"/>
          <w:color w:val="000000"/>
          <w:sz w:val="32"/>
          <w:szCs w:val="32"/>
          <w:lang w:val="en-US" w:eastAsia="zh-CN"/>
        </w:rPr>
        <w:t>70.54</w:t>
      </w:r>
      <w:r>
        <w:rPr>
          <w:rFonts w:ascii="Times New Roman" w:eastAsia="方正仿宋_GBK" w:cs="Times New Roman" w:hAnsi="Times New Roman"/>
          <w:color w:val="000000"/>
          <w:sz w:val="32"/>
          <w:szCs w:val="32"/>
        </w:rPr>
        <w:t>%；项目支出</w:t>
      </w:r>
      <w:r>
        <w:rPr>
          <w:rFonts w:ascii="Times New Roman" w:eastAsia="方正仿宋_GBK" w:cs="Times New Roman" w:hAnsi="Times New Roman"/>
          <w:color w:val="000000"/>
          <w:sz w:val="32"/>
          <w:szCs w:val="32"/>
          <w:lang w:val="en-US" w:eastAsia="zh-CN"/>
        </w:rPr>
        <w:t>514.04</w:t>
      </w:r>
      <w:r>
        <w:rPr>
          <w:rFonts w:ascii="Times New Roman" w:eastAsia="方正仿宋_GBK" w:cs="Times New Roman" w:hAnsi="Times New Roman"/>
          <w:color w:val="000000"/>
          <w:sz w:val="32"/>
          <w:szCs w:val="32"/>
        </w:rPr>
        <w:t>万元，占</w:t>
      </w:r>
      <w:r>
        <w:rPr>
          <w:rFonts w:ascii="Times New Roman" w:eastAsia="方正仿宋_GBK" w:cs="Times New Roman" w:hAnsi="Times New Roman"/>
          <w:color w:val="000000"/>
          <w:sz w:val="32"/>
          <w:szCs w:val="32"/>
          <w:lang w:val="en-US" w:eastAsia="zh-CN"/>
        </w:rPr>
        <w:t>29.46</w:t>
      </w:r>
      <w:r>
        <w:rPr>
          <w:rFonts w:ascii="Times New Roman" w:eastAsia="方正仿宋_GBK" w:cs="Times New Roman" w:hAnsi="Times New Roman"/>
          <w:color w:val="000000"/>
          <w:sz w:val="32"/>
          <w:szCs w:val="32"/>
        </w:rPr>
        <w:t>%；上缴上级支出0万元，占0%；经营支出0万元，占0%；对附属单位补助支出0万元，占0%。</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szCs w:val="32"/>
          <w:lang w:eastAsia="zh-CN"/>
        </w:rPr>
      </w:pP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hint="eastAsia"/>
          <w:b/>
          <w:bCs/>
          <w:color w:val="000000"/>
          <w:kern w:val="0"/>
          <w:sz w:val="32"/>
          <w:szCs w:val="48"/>
          <w:shd w:val="clear" w:color="auto" w:fill="FFFFFF"/>
          <w:lang w:val="en-US" w:eastAsia="zh-CN"/>
          <w:highlight w:val="auto"/>
        </w:rPr>
        <w:t>三</w:t>
      </w: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b/>
          <w:bCs/>
          <w:color w:val="000000"/>
          <w:kern w:val="0"/>
          <w:sz w:val="32"/>
          <w:szCs w:val="48"/>
          <w:shd w:val="clear" w:color="auto" w:fill="FFFFFF"/>
          <w:lang w:val="zh-CN"/>
          <w:highlight w:val="auto"/>
        </w:rPr>
        <w:t>结余分配和结转结余情况</w:t>
      </w:r>
      <w:r>
        <w:rPr>
          <w:rFonts w:ascii="Times New Roman" w:eastAsia="楷体_GB2312" w:cs="Times New Roman" w:hAnsi="Times New Roman"/>
          <w:b/>
          <w:bCs/>
          <w:color w:val="000000"/>
          <w:kern w:val="0"/>
          <w:sz w:val="32"/>
          <w:szCs w:val="48"/>
          <w:shd w:val="clear" w:color="auto" w:fill="FFFFFF"/>
          <w:lang w:val="zh-CN" w:eastAsia="zh-CN"/>
          <w:highlight w:val="auto"/>
        </w:rPr>
        <w:t>。</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仿宋_GB2312" w:cs="Times New Roman" w:hAnsi="Times New Roman"/>
          <w:b w:val="0"/>
          <w:bCs w:val="0"/>
          <w:color w:val="000000"/>
          <w:kern w:val="0"/>
          <w:szCs w:val="32"/>
          <w:shd w:val="clear" w:color="auto" w:fill="FFFFFF"/>
          <w:lang w:val="zh-CN" w:eastAsia="zh-CN"/>
          <w:highlight w:val="auto"/>
        </w:rPr>
      </w:pPr>
      <w:r>
        <w:rPr>
          <w:rFonts w:ascii="Times New Roman" w:eastAsia="方正仿宋_GBK" w:cs="Times New Roman" w:hAnsi="Times New Roman"/>
          <w:sz w:val="32"/>
          <w:szCs w:val="32"/>
          <w:lang w:val="en-US" w:eastAsia="zh-CN"/>
        </w:rPr>
        <w:t>本单位2024年决算报表无结转结余情况。</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48"/>
          <w:shd w:val="clear" w:color="auto" w:fill="FFFFFF"/>
          <w:lang w:val="zh-CN"/>
          <w:highlight w:val="auto"/>
        </w:rPr>
      </w:pPr>
      <w:r>
        <w:rPr>
          <w:rFonts w:ascii="Times New Roman" w:eastAsia="黑体" w:cs="Times New Roman" w:hAnsi="Times New Roman"/>
          <w:color w:val="000000"/>
          <w:kern w:val="0"/>
          <w:sz w:val="32"/>
          <w:szCs w:val="48"/>
          <w:shd w:val="clear" w:color="auto" w:fill="FFFFFF"/>
          <w:lang w:val="zh-CN"/>
          <w:highlight w:val="auto"/>
        </w:rPr>
        <w:t>三、部门</w:t>
      </w:r>
      <w:r>
        <w:rPr>
          <w:rFonts w:ascii="Times New Roman" w:eastAsia="黑体" w:cs="Times New Roman" w:hAnsi="Times New Roman"/>
          <w:color w:val="000000"/>
          <w:kern w:val="0"/>
          <w:sz w:val="32"/>
          <w:szCs w:val="48"/>
          <w:shd w:val="clear" w:color="auto" w:fill="FFFFFF"/>
          <w:lang w:val="zh-CN" w:eastAsia="zh-CN"/>
          <w:highlight w:val="auto"/>
        </w:rPr>
        <w:t>预算</w:t>
      </w:r>
      <w:r>
        <w:rPr>
          <w:rFonts w:ascii="Times New Roman" w:eastAsia="黑体" w:cs="Times New Roman" w:hAnsi="Times New Roman"/>
          <w:color w:val="000000"/>
          <w:kern w:val="0"/>
          <w:sz w:val="32"/>
          <w:szCs w:val="48"/>
          <w:shd w:val="clear" w:color="auto" w:fill="FFFFFF"/>
          <w:lang w:val="zh-CN"/>
          <w:highlight w:val="auto"/>
        </w:rPr>
        <w:t>绩效</w:t>
      </w:r>
      <w:r>
        <w:rPr>
          <w:rFonts w:ascii="Times New Roman" w:eastAsia="黑体" w:cs="Times New Roman" w:hAnsi="Times New Roman"/>
          <w:color w:val="000000"/>
          <w:kern w:val="0"/>
          <w:sz w:val="32"/>
          <w:szCs w:val="48"/>
          <w:shd w:val="clear" w:color="auto" w:fill="FFFFFF"/>
          <w:lang w:val="zh-CN" w:eastAsia="zh-CN"/>
          <w:highlight w:val="auto"/>
        </w:rPr>
        <w:t>分析</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Cs w:val="32"/>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（一）部门预算总体绩效分析</w:t>
      </w:r>
    </w:p>
    <w:p>
      <w:pPr>
        <w:keepNext w:val="0"/>
        <w:keepLines w:val="0"/>
        <w:pageBreakBefore w:val="0"/>
        <w:widowControl w:val="0"/>
        <w:kinsoku/>
        <w:wordWrap/>
        <w:overflowPunct/>
        <w:topLinePunct w:val="0"/>
        <w:autoSpaceDE/>
        <w:autoSpaceDN/>
        <w:bidi w:val="0"/>
        <w:adjustRightInd/>
        <w:snapToGrid/>
        <w:spacing w:line="600" w:lineRule="exact"/>
        <w:ind w:firstLine="641"/>
        <w:textAlignment w:val="auto"/>
        <w:rPr>
          <w:rFonts w:ascii="Times New Roman" w:eastAsia="方正仿宋_GBK" w:cs="Times New Roman" w:hAnsi="Times New Roman"/>
          <w:color w:val="000000"/>
          <w:sz w:val="32"/>
          <w:szCs w:val="32"/>
          <w:lang w:val="zh-CN" w:eastAsia="zh-CN"/>
        </w:rPr>
      </w:pPr>
      <w:r>
        <w:rPr>
          <w:rFonts w:ascii="Times New Roman" w:eastAsia="方正仿宋_GBK" w:cs="Times New Roman" w:hAnsi="Times New Roman"/>
          <w:color w:val="000000"/>
          <w:sz w:val="32"/>
          <w:szCs w:val="32"/>
          <w:lang w:val="zh-CN" w:eastAsia="zh-CN"/>
        </w:rPr>
        <w:t>我镇按照规定完全履行职责，整体评价良好，服务对象基本满意从预算执行来情况看，预算资金覆盖我镇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b w:val="0"/>
          <w:bCs w:val="0"/>
          <w:sz w:val="32"/>
          <w:szCs w:val="32"/>
          <w:lang w:val="zh-CN" w:eastAsia="zh-CN"/>
        </w:rPr>
      </w:pPr>
      <w:r>
        <w:rPr>
          <w:rFonts w:ascii="Times New Roman" w:eastAsia="方正仿宋_GBK" w:cs="Times New Roman" w:hAnsi="Times New Roman"/>
          <w:b w:val="0"/>
          <w:bCs w:val="0"/>
          <w:sz w:val="32"/>
          <w:szCs w:val="32"/>
          <w:lang w:val="en-US" w:eastAsia="zh-CN"/>
        </w:rPr>
        <w:t>1.</w:t>
      </w:r>
      <w:r>
        <w:rPr>
          <w:rFonts w:ascii="Times New Roman" w:eastAsia="方正仿宋_GBK" w:cs="Times New Roman" w:hAnsi="Times New Roman"/>
          <w:b w:val="0"/>
          <w:bCs w:val="0"/>
          <w:sz w:val="32"/>
          <w:szCs w:val="32"/>
          <w:lang w:val="zh-CN" w:eastAsia="zh-CN"/>
        </w:rPr>
        <w:t>履职效能。</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zh-CN" w:eastAsia="zh-CN"/>
        </w:rPr>
        <w:t>数量指标履职效果</w:t>
      </w:r>
      <w:r>
        <w:rPr>
          <w:rFonts w:ascii="Times New Roman" w:eastAsia="方正仿宋_GBK" w:cs="Times New Roman" w:hAnsi="Times New Roman"/>
          <w:sz w:val="32"/>
          <w:szCs w:val="32"/>
          <w:lang w:val="en-US" w:eastAsia="zh-CN"/>
        </w:rPr>
        <w:t>:严格控制数量确保无遗漏无浪费，厉行节约</w:t>
      </w:r>
      <w:r>
        <w:rPr>
          <w:rFonts w:ascii="Times New Roman" w:eastAsia="方正仿宋_GBK" w:cs="Times New Roman" w:hAnsi="Times New Roman"/>
          <w:sz w:val="32"/>
          <w:szCs w:val="32"/>
          <w:lang w:val="zh-CN" w:eastAsia="zh-CN"/>
        </w:rPr>
        <w:t>。</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zh-CN" w:eastAsia="zh-CN"/>
        </w:rPr>
        <w:t>质量指标履职效果：</w:t>
      </w:r>
      <w:r>
        <w:rPr>
          <w:rFonts w:ascii="Times New Roman" w:eastAsia="方正仿宋_GBK" w:cs="Times New Roman" w:hAnsi="Times New Roman"/>
          <w:sz w:val="32"/>
          <w:szCs w:val="32"/>
          <w:lang w:val="en-US" w:eastAsia="zh-CN"/>
        </w:rPr>
        <w:t>严格把控质量关，确保与采购文件相匹配。</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社会效益指标履职效果：确保每一项采购项目都能实现单位职能，提高社会效益，促进社会发展。</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服务对象满意度指标履职效果：以高质量、高标准、高要求实施采购项目，确保受益对象满意度。</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en-US" w:eastAsia="zh-CN"/>
        </w:rPr>
        <w:t>经济成本指标履职效果：经过专业评估，以合理的经济成本实现项目价值。</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2.</w:t>
      </w:r>
      <w:r>
        <w:rPr>
          <w:rFonts w:ascii="Times New Roman" w:eastAsia="方正仿宋_GBK" w:cs="Times New Roman" w:hAnsi="Times New Roman"/>
          <w:sz w:val="32"/>
          <w:szCs w:val="32"/>
          <w:lang w:val="zh-CN" w:eastAsia="zh-CN"/>
        </w:rPr>
        <w:t>预算管理。</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zh-CN" w:eastAsia="zh-CN"/>
        </w:rPr>
        <w:t>严格按照县级部门预算编制通知和有关要求，按时完成基础库、项目库报送工作，按时完成202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年预算编制工作，并按时提交部门预算草案。预算编制全面、科学。202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年实际支出和部门决算一致，绩效目标填报及年末结余结转都是严格按照县财政局的要求认真完成，不存在违规违纪使用资金的情况并按时完成202</w:t>
      </w:r>
      <w:r>
        <w:rPr>
          <w:rFonts w:ascii="Times New Roman" w:eastAsia="方正仿宋_GBK" w:cs="Times New Roman" w:hAnsi="Times New Roman"/>
          <w:sz w:val="32"/>
          <w:szCs w:val="32"/>
          <w:lang w:val="en-US" w:eastAsia="zh-CN"/>
        </w:rPr>
        <w:t>5</w:t>
      </w:r>
      <w:r>
        <w:rPr>
          <w:rFonts w:ascii="Times New Roman" w:eastAsia="方正仿宋_GBK" w:cs="Times New Roman" w:hAnsi="Times New Roman"/>
          <w:sz w:val="32"/>
          <w:szCs w:val="32"/>
          <w:lang w:val="zh-CN" w:eastAsia="zh-CN"/>
        </w:rPr>
        <w:t>年预算编制工作，及时提交了部门预算草案。</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3.</w:t>
      </w:r>
      <w:r>
        <w:rPr>
          <w:rFonts w:ascii="Times New Roman" w:eastAsia="方正仿宋_GBK" w:cs="Times New Roman" w:hAnsi="Times New Roman"/>
          <w:sz w:val="32"/>
          <w:szCs w:val="32"/>
          <w:lang w:val="zh-CN" w:eastAsia="zh-CN"/>
        </w:rPr>
        <w:t>财务管理。</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zh-CN" w:eastAsia="zh-CN"/>
        </w:rPr>
        <w:t>根据相关要求，单位使用预算资金基本符合相关的预算财务管理制度。我镇在财政批复后</w:t>
      </w:r>
      <w:r>
        <w:rPr>
          <w:rFonts w:ascii="Times New Roman" w:eastAsia="方正仿宋_GBK" w:cs="Times New Roman" w:hAnsi="Times New Roman"/>
          <w:sz w:val="32"/>
          <w:szCs w:val="32"/>
          <w:lang w:val="en-US" w:eastAsia="zh-CN"/>
        </w:rPr>
        <w:t>20日内在指定网站公开预决算信息。按照相关要求进行绩效自我评价，按要求及时上报，对发现的问题提出整改措施，并整改落实到位。</w:t>
      </w:r>
      <w:r>
        <w:rPr>
          <w:rFonts w:ascii="Times New Roman" w:eastAsia="方正仿宋_GBK" w:cs="Times New Roman" w:hAnsi="Times New Roman"/>
          <w:sz w:val="32"/>
          <w:szCs w:val="32"/>
          <w:lang w:val="zh-CN" w:eastAsia="zh-CN"/>
        </w:rPr>
        <w:t>绩效评价及依法接受财政监督情况等。</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资产管理。</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sz w:val="32"/>
          <w:szCs w:val="32"/>
          <w:lang w:val="zh-CN" w:eastAsia="zh-CN"/>
        </w:rPr>
        <w:t>我镇</w:t>
      </w:r>
      <w:r>
        <w:rPr>
          <w:rFonts w:ascii="Times New Roman" w:eastAsia="方正仿宋_GBK" w:cs="Times New Roman" w:hAnsi="Times New Roman"/>
          <w:sz w:val="32"/>
          <w:szCs w:val="32"/>
          <w:lang w:val="en-US" w:eastAsia="zh-CN"/>
        </w:rPr>
        <w:t>2024年所有国有资产纳入</w:t>
      </w:r>
      <w:r>
        <w:rPr>
          <w:rFonts w:ascii="Times New Roman" w:eastAsia="方正仿宋_GBK" w:cs="Times New Roman" w:hAnsi="Times New Roman"/>
          <w:sz w:val="32"/>
          <w:szCs w:val="32"/>
          <w:lang w:val="zh-CN" w:eastAsia="zh-CN"/>
        </w:rPr>
        <w:t>资产管理系统，及时准确上报并做好资产的管理工作，</w:t>
      </w:r>
      <w:r>
        <w:rPr>
          <w:rFonts w:ascii="Times New Roman" w:eastAsia="方正仿宋_GBK" w:cs="Times New Roman" w:hAnsi="Times New Roman"/>
          <w:sz w:val="32"/>
          <w:szCs w:val="32"/>
          <w:lang w:val="en-US" w:eastAsia="zh-CN"/>
        </w:rPr>
        <w:t>无闲置资产。</w:t>
      </w:r>
    </w:p>
    <w:p>
      <w:pPr>
        <w:keepNext w:val="0"/>
        <w:keepLines w:val="0"/>
        <w:pageBreakBefore w:val="0"/>
        <w:widowControl w:val="0"/>
        <w:kinsoku/>
        <w:wordWrap/>
        <w:overflowPunct/>
        <w:topLinePunct w:val="0"/>
        <w:autoSpaceDE/>
        <w:autoSpaceDN/>
        <w:bidi w:val="0"/>
        <w:snapToGrid w:val="0"/>
        <w:spacing w:line="560" w:lineRule="exact"/>
        <w:ind w:left="0"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5.</w:t>
      </w:r>
      <w:r>
        <w:rPr>
          <w:rFonts w:ascii="Times New Roman" w:eastAsia="方正仿宋_GBK" w:cs="Times New Roman" w:hAnsi="Times New Roman"/>
          <w:sz w:val="32"/>
          <w:szCs w:val="32"/>
          <w:lang w:val="zh-CN" w:eastAsia="zh-CN"/>
        </w:rPr>
        <w:t>采购管理。</w:t>
      </w:r>
    </w:p>
    <w:p>
      <w:pPr>
        <w:keepNext w:val="0"/>
        <w:keepLines w:val="0"/>
        <w:pageBreakBefore w:val="0"/>
        <w:widowControl w:val="0"/>
        <w:kinsoku/>
        <w:wordWrap/>
        <w:overflowPunct/>
        <w:topLinePunct w:val="0"/>
        <w:autoSpaceDE/>
        <w:autoSpaceDN/>
        <w:bidi w:val="0"/>
        <w:snapToGrid w:val="0"/>
        <w:spacing w:line="560" w:lineRule="exact"/>
        <w:ind w:left="0" w:firstLineChars="200" w:firstLine="640"/>
        <w:textAlignment w:val="auto"/>
        <w:rPr>
          <w:rFonts w:ascii="Times New Roman" w:eastAsia="仿宋_GB2312" w:cs="Times New Roman" w:hAnsi="Times New Roman"/>
          <w:lang w:val="zh-CN"/>
        </w:rPr>
      </w:pPr>
      <w:r>
        <w:rPr>
          <w:rFonts w:ascii="Times New Roman" w:eastAsia="方正仿宋_GBK" w:cs="Times New Roman" w:hAnsi="Times New Roman"/>
          <w:sz w:val="32"/>
          <w:szCs w:val="32"/>
          <w:lang w:val="en-US" w:eastAsia="zh-CN"/>
        </w:rPr>
        <w:t>为保障单位正常运转，实现机构只能，根据实际需求按照程序实施政府采购</w:t>
      </w:r>
      <w:r>
        <w:rPr>
          <w:rFonts w:ascii="Times New Roman" w:eastAsia="方正仿宋_GBK" w:cs="Times New Roman" w:hAnsi="Times New Roman"/>
          <w:sz w:val="32"/>
          <w:szCs w:val="32"/>
          <w:lang w:val="zh-CN" w:eastAsia="zh-CN"/>
        </w:rPr>
        <w:t>、采购</w:t>
      </w:r>
      <w:r>
        <w:rPr>
          <w:rFonts w:ascii="Times New Roman" w:eastAsia="方正仿宋_GBK" w:cs="Times New Roman" w:hAnsi="Times New Roman"/>
          <w:sz w:val="32"/>
          <w:szCs w:val="32"/>
          <w:lang w:val="en-US" w:eastAsia="zh-CN"/>
        </w:rPr>
        <w:t>项目</w:t>
      </w:r>
      <w:r>
        <w:rPr>
          <w:rFonts w:ascii="Times New Roman" w:eastAsia="方正仿宋_GBK" w:cs="Times New Roman" w:hAnsi="Times New Roman"/>
          <w:sz w:val="32"/>
          <w:szCs w:val="32"/>
          <w:lang w:val="zh-CN" w:eastAsia="zh-CN"/>
        </w:rPr>
        <w:t>执行率</w:t>
      </w:r>
      <w:r>
        <w:rPr>
          <w:rFonts w:ascii="Times New Roman" w:eastAsia="方正仿宋_GBK" w:cs="Times New Roman" w:hAnsi="Times New Roman"/>
          <w:sz w:val="32"/>
          <w:szCs w:val="32"/>
          <w:lang w:val="en-US" w:eastAsia="zh-CN"/>
        </w:rPr>
        <w:t>达100%，采购结果与预期目标相匹配，通过科学合理的评价方法和标准，提高采购质量和效益</w:t>
      </w:r>
      <w:r>
        <w:rPr>
          <w:rFonts w:ascii="Times New Roman" w:eastAsia="方正仿宋_GBK" w:cs="Times New Roman" w:hAnsi="Times New Roman"/>
          <w:sz w:val="32"/>
          <w:szCs w:val="32"/>
          <w:lang w:val="zh-CN" w:eastAsia="zh-CN"/>
        </w:rPr>
        <w:t>。</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en-US" w:eastAsia="zh-CN"/>
          <w:highlight w:val="auto"/>
        </w:rPr>
      </w:pP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hint="eastAsia"/>
          <w:b/>
          <w:bCs/>
          <w:color w:val="000000"/>
          <w:kern w:val="0"/>
          <w:sz w:val="32"/>
          <w:szCs w:val="48"/>
          <w:shd w:val="clear" w:color="auto" w:fill="FFFFFF"/>
          <w:lang w:val="en-US" w:eastAsia="zh-CN"/>
          <w:highlight w:val="auto"/>
        </w:rPr>
        <w:t>二</w:t>
      </w: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b/>
          <w:bCs/>
          <w:color w:val="000000"/>
          <w:kern w:val="0"/>
          <w:sz w:val="32"/>
          <w:szCs w:val="48"/>
          <w:shd w:val="clear" w:color="auto" w:fill="FFFFFF"/>
          <w:lang w:val="zh-CN"/>
          <w:highlight w:val="auto"/>
        </w:rPr>
        <w:t>部门预算项目绩效分析</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en-US" w:eastAsia="zh-CN"/>
          <w:highlight w:val="auto"/>
        </w:rPr>
      </w:pPr>
      <w:r>
        <w:rPr>
          <w:rFonts w:ascii="Times New Roman" w:eastAsia="方正仿宋_GBK" w:cs="Times New Roman" w:hAnsi="Times New Roman"/>
          <w:color w:val="000000"/>
          <w:kern w:val="0"/>
          <w:sz w:val="32"/>
          <w:szCs w:val="32"/>
          <w:shd w:val="clear" w:color="auto" w:fill="FFFFFF"/>
          <w:lang w:val="zh-CN" w:eastAsia="zh-CN"/>
          <w:highlight w:val="auto"/>
        </w:rPr>
        <w:t>填报以下数据，</w:t>
      </w:r>
      <w:r>
        <w:rPr>
          <w:rFonts w:ascii="Times New Roman" w:eastAsia="方正仿宋_GBK" w:cs="Times New Roman" w:hAnsi="Times New Roman"/>
          <w:color w:val="000000"/>
          <w:kern w:val="0"/>
          <w:sz w:val="32"/>
          <w:szCs w:val="32"/>
          <w:shd w:val="clear" w:color="auto" w:fill="FFFFFF"/>
          <w:lang w:val="zh-CN"/>
          <w:highlight w:val="auto"/>
        </w:rPr>
        <w:t>并根据部门预算绩效评价指标体系“项目绩效”涉及二、三级指标进行逐项绩效分析并评分，依次包括项目</w:t>
      </w:r>
      <w:r>
        <w:rPr>
          <w:rFonts w:ascii="Times New Roman" w:eastAsia="方正仿宋_GBK" w:cs="Times New Roman" w:hAnsi="Times New Roman"/>
          <w:color w:val="000000"/>
          <w:kern w:val="0"/>
          <w:sz w:val="32"/>
          <w:szCs w:val="32"/>
          <w:shd w:val="clear" w:color="auto" w:fill="FFFFFF"/>
          <w:lang w:val="en-US" w:eastAsia="zh-CN"/>
          <w:highlight w:val="auto"/>
        </w:rPr>
        <w:t>决策、项目执行、目标实现等情况。</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zh-CN" w:eastAsia="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常年项目绩效分析。</w:t>
      </w:r>
      <w:r>
        <w:rPr>
          <w:rFonts w:ascii="Times New Roman" w:eastAsia="方正仿宋_GBK" w:cs="Times New Roman" w:hAnsi="Times New Roman"/>
          <w:color w:val="000000"/>
          <w:kern w:val="0"/>
          <w:sz w:val="32"/>
          <w:szCs w:val="32"/>
          <w:shd w:val="clear" w:color="auto" w:fill="FFFFFF"/>
          <w:lang w:val="zh-CN" w:eastAsia="zh-CN"/>
          <w:highlight w:val="auto"/>
        </w:rPr>
        <w:t>该类项目总数</w:t>
      </w:r>
      <w:r>
        <w:rPr>
          <w:rFonts w:ascii="Times New Roman" w:eastAsia="方正仿宋_GBK" w:cs="Times New Roman" w:hAnsi="Times New Roman"/>
          <w:color w:val="000000"/>
          <w:kern w:val="0"/>
          <w:sz w:val="32"/>
          <w:szCs w:val="32"/>
          <w:shd w:val="clear" w:color="auto" w:fill="FFFFFF"/>
          <w:lang w:val="en-US" w:eastAsia="zh-CN"/>
          <w:highlight w:val="auto"/>
        </w:rPr>
        <w:t>77</w:t>
      </w:r>
      <w:r>
        <w:rPr>
          <w:rFonts w:ascii="Times New Roman" w:eastAsia="方正仿宋_GBK" w:cs="Times New Roman" w:hAnsi="Times New Roman"/>
          <w:color w:val="000000"/>
          <w:kern w:val="0"/>
          <w:sz w:val="32"/>
          <w:szCs w:val="32"/>
          <w:shd w:val="clear" w:color="auto" w:fill="FFFFFF"/>
          <w:lang w:val="zh-CN" w:eastAsia="zh-CN"/>
          <w:highlight w:val="auto"/>
        </w:rPr>
        <w:t>个，涉及预算总金额</w:t>
      </w:r>
      <w:r>
        <w:rPr>
          <w:rFonts w:ascii="Times New Roman" w:eastAsia="方正仿宋_GBK" w:cs="Times New Roman" w:hAnsi="Times New Roman"/>
          <w:color w:val="000000"/>
          <w:kern w:val="0"/>
          <w:sz w:val="32"/>
          <w:szCs w:val="32"/>
          <w:shd w:val="clear" w:color="auto" w:fill="FFFFFF"/>
          <w:lang w:val="en-US" w:eastAsia="zh-CN"/>
          <w:highlight w:val="auto"/>
        </w:rPr>
        <w:t>1231.05</w:t>
      </w:r>
      <w:r>
        <w:rPr>
          <w:rFonts w:ascii="Times New Roman" w:eastAsia="方正仿宋_GBK" w:cs="Times New Roman" w:hAnsi="Times New Roman"/>
          <w:color w:val="000000"/>
          <w:kern w:val="0"/>
          <w:sz w:val="32"/>
          <w:szCs w:val="32"/>
          <w:shd w:val="clear" w:color="auto" w:fill="FFFFFF"/>
          <w:lang w:val="zh-CN" w:eastAsia="zh-CN"/>
          <w:highlight w:val="auto"/>
        </w:rPr>
        <w:t>万元，</w:t>
      </w:r>
      <w:r>
        <w:rPr>
          <w:rFonts w:ascii="Times New Roman" w:eastAsia="方正仿宋_GBK" w:cs="Times New Roman" w:hAnsi="Times New Roman"/>
          <w:color w:val="000000"/>
          <w:kern w:val="0"/>
          <w:sz w:val="32"/>
          <w:szCs w:val="32"/>
          <w:shd w:val="clear" w:color="auto" w:fill="FFFFFF"/>
          <w:lang w:val="zh-CN"/>
          <w:highlight w:val="auto"/>
        </w:rPr>
        <w:t>1</w:t>
      </w:r>
      <w:r>
        <w:rPr>
          <w:rFonts w:ascii="Times New Roman" w:eastAsia="方正仿宋_GBK" w:cs="Times New Roman" w:hAnsi="Times New Roman"/>
          <w:color w:val="000000"/>
          <w:kern w:val="0"/>
          <w:sz w:val="32"/>
          <w:szCs w:val="32"/>
          <w:shd w:val="clear" w:color="auto" w:fill="FFFFFF"/>
          <w:lang w:val="zh-CN" w:eastAsia="zh-CN"/>
          <w:highlight w:val="auto"/>
        </w:rPr>
        <w:t>—</w:t>
      </w:r>
      <w:r>
        <w:rPr>
          <w:rFonts w:ascii="Times New Roman" w:eastAsia="方正仿宋_GBK" w:cs="Times New Roman" w:hAnsi="Times New Roman"/>
          <w:color w:val="000000"/>
          <w:kern w:val="0"/>
          <w:sz w:val="32"/>
          <w:szCs w:val="32"/>
          <w:shd w:val="clear" w:color="auto" w:fill="FFFFFF"/>
          <w:lang w:val="zh-CN"/>
          <w:highlight w:val="auto"/>
        </w:rPr>
        <w:t>1</w:t>
      </w:r>
      <w:r>
        <w:rPr>
          <w:rFonts w:ascii="Times New Roman" w:eastAsia="方正仿宋_GBK" w:cs="Times New Roman" w:hAnsi="Times New Roman"/>
          <w:color w:val="000000"/>
          <w:kern w:val="0"/>
          <w:sz w:val="32"/>
          <w:szCs w:val="32"/>
          <w:shd w:val="clear" w:color="auto" w:fill="FFFFFF"/>
          <w:lang w:val="en-US" w:eastAsia="zh-CN"/>
          <w:highlight w:val="auto"/>
        </w:rPr>
        <w:t>2</w:t>
      </w:r>
      <w:r>
        <w:rPr>
          <w:rFonts w:ascii="Times New Roman" w:eastAsia="方正仿宋_GBK" w:cs="Times New Roman" w:hAnsi="Times New Roman"/>
          <w:color w:val="000000"/>
          <w:kern w:val="0"/>
          <w:sz w:val="32"/>
          <w:szCs w:val="32"/>
          <w:shd w:val="clear" w:color="auto" w:fill="FFFFFF"/>
          <w:lang w:val="zh-CN"/>
          <w:highlight w:val="auto"/>
        </w:rPr>
        <w:t>月预算执行总体进度为</w:t>
      </w:r>
      <w:r>
        <w:rPr>
          <w:rFonts w:ascii="Times New Roman" w:eastAsia="方正仿宋_GBK" w:cs="Times New Roman" w:hAnsi="Times New Roman"/>
          <w:color w:val="000000"/>
          <w:kern w:val="0"/>
          <w:sz w:val="32"/>
          <w:szCs w:val="32"/>
          <w:shd w:val="clear" w:color="auto" w:fill="FFFFFF"/>
          <w:lang w:val="en-US" w:eastAsia="zh-CN"/>
          <w:highlight w:val="auto"/>
        </w:rPr>
        <w:t>100</w:t>
      </w:r>
      <w:r>
        <w:rPr>
          <w:rFonts w:ascii="Times New Roman" w:eastAsia="方正仿宋_GBK" w:cs="Times New Roman" w:hAnsi="Times New Roman"/>
          <w:color w:val="000000"/>
          <w:kern w:val="0"/>
          <w:sz w:val="32"/>
          <w:szCs w:val="32"/>
          <w:shd w:val="clear" w:color="auto" w:fill="FFFFFF"/>
          <w:lang w:val="zh-CN"/>
          <w:highlight w:val="auto"/>
        </w:rPr>
        <w:t>%，其中：</w:t>
      </w:r>
      <w:r>
        <w:rPr>
          <w:rFonts w:ascii="Times New Roman" w:eastAsia="方正仿宋_GBK" w:cs="Times New Roman" w:hAnsi="Times New Roman"/>
          <w:color w:val="000000"/>
          <w:kern w:val="0"/>
          <w:sz w:val="32"/>
          <w:szCs w:val="32"/>
          <w:shd w:val="clear" w:color="auto" w:fill="FFFFFF"/>
          <w:lang w:val="zh-CN" w:eastAsia="zh-CN"/>
          <w:highlight w:val="auto"/>
        </w:rPr>
        <w:t>预算结余率大于</w:t>
      </w:r>
      <w:r>
        <w:rPr>
          <w:rFonts w:ascii="Times New Roman" w:eastAsia="方正仿宋_GBK" w:cs="Times New Roman" w:hAnsi="Times New Roman"/>
          <w:color w:val="000000"/>
          <w:kern w:val="0"/>
          <w:sz w:val="32"/>
          <w:szCs w:val="32"/>
          <w:shd w:val="clear" w:color="auto" w:fill="FFFFFF"/>
          <w:lang w:val="en-US" w:eastAsia="zh-CN"/>
          <w:highlight w:val="auto"/>
        </w:rPr>
        <w:t>10%</w:t>
      </w:r>
      <w:r>
        <w:rPr>
          <w:rFonts w:ascii="Times New Roman" w:eastAsia="方正仿宋_GBK" w:cs="Times New Roman" w:hAnsi="Times New Roman"/>
          <w:color w:val="000000"/>
          <w:kern w:val="0"/>
          <w:sz w:val="32"/>
          <w:szCs w:val="32"/>
          <w:shd w:val="clear" w:color="auto" w:fill="FFFFFF"/>
          <w:lang w:val="zh-CN" w:eastAsia="zh-CN"/>
          <w:highlight w:val="auto"/>
        </w:rPr>
        <w:t>的项目共计</w:t>
      </w:r>
      <w:r>
        <w:rPr>
          <w:rFonts w:ascii="Times New Roman" w:eastAsia="方正仿宋_GBK" w:cs="Times New Roman" w:hAnsi="Times New Roman"/>
          <w:color w:val="000000"/>
          <w:kern w:val="0"/>
          <w:sz w:val="32"/>
          <w:szCs w:val="32"/>
          <w:shd w:val="clear" w:color="auto" w:fill="FFFFFF"/>
          <w:lang w:val="en-US" w:eastAsia="zh-CN"/>
          <w:highlight w:val="auto"/>
        </w:rPr>
        <w:t>0</w:t>
      </w:r>
      <w:r>
        <w:rPr>
          <w:rFonts w:ascii="Times New Roman" w:eastAsia="方正仿宋_GBK" w:cs="Times New Roman" w:hAnsi="Times New Roman"/>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zh-CN" w:eastAsia="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阶段（含一次性）项目绩效分析。</w:t>
      </w:r>
      <w:r>
        <w:rPr>
          <w:rFonts w:ascii="Times New Roman" w:eastAsia="方正仿宋_GBK" w:cs="Times New Roman" w:hAnsi="Times New Roman"/>
          <w:color w:val="000000"/>
          <w:kern w:val="0"/>
          <w:sz w:val="32"/>
          <w:szCs w:val="32"/>
          <w:shd w:val="clear" w:color="auto" w:fill="FFFFFF"/>
          <w:lang w:val="zh-CN" w:eastAsia="zh-CN"/>
          <w:highlight w:val="auto"/>
        </w:rPr>
        <w:t>该类项目总数</w:t>
      </w:r>
      <w:r>
        <w:rPr>
          <w:rFonts w:ascii="Times New Roman" w:eastAsia="方正仿宋_GBK" w:cs="Times New Roman" w:hAnsi="Times New Roman"/>
          <w:color w:val="000000"/>
          <w:kern w:val="0"/>
          <w:sz w:val="32"/>
          <w:szCs w:val="32"/>
          <w:shd w:val="clear" w:color="auto" w:fill="FFFFFF"/>
          <w:lang w:val="en-US" w:eastAsia="zh-CN"/>
          <w:highlight w:val="auto"/>
        </w:rPr>
        <w:t>16</w:t>
      </w:r>
      <w:r>
        <w:rPr>
          <w:rFonts w:ascii="Times New Roman" w:eastAsia="方正仿宋_GBK" w:cs="Times New Roman" w:hAnsi="Times New Roman"/>
          <w:color w:val="000000"/>
          <w:kern w:val="0"/>
          <w:sz w:val="32"/>
          <w:szCs w:val="32"/>
          <w:shd w:val="clear" w:color="auto" w:fill="FFFFFF"/>
          <w:lang w:val="zh-CN" w:eastAsia="zh-CN"/>
          <w:highlight w:val="auto"/>
        </w:rPr>
        <w:t>个，涉及预算总金额</w:t>
      </w:r>
      <w:r>
        <w:rPr>
          <w:rFonts w:ascii="Times New Roman" w:eastAsia="方正仿宋_GBK" w:cs="Times New Roman" w:hAnsi="Times New Roman"/>
          <w:color w:val="000000"/>
          <w:sz w:val="32"/>
          <w:szCs w:val="32"/>
          <w:lang w:val="en-US" w:eastAsia="zh-CN"/>
        </w:rPr>
        <w:t>514.04</w:t>
      </w:r>
      <w:r>
        <w:rPr>
          <w:rFonts w:ascii="Times New Roman" w:eastAsia="方正仿宋_GBK" w:cs="Times New Roman" w:hAnsi="Times New Roman"/>
          <w:color w:val="000000"/>
          <w:kern w:val="0"/>
          <w:sz w:val="32"/>
          <w:szCs w:val="32"/>
          <w:shd w:val="clear" w:color="auto" w:fill="FFFFFF"/>
          <w:lang w:val="zh-CN" w:eastAsia="zh-CN"/>
          <w:highlight w:val="auto"/>
        </w:rPr>
        <w:t>万元，</w:t>
      </w:r>
      <w:r>
        <w:rPr>
          <w:rFonts w:ascii="Times New Roman" w:eastAsia="方正仿宋_GBK" w:cs="Times New Roman" w:hAnsi="Times New Roman"/>
          <w:color w:val="000000"/>
          <w:kern w:val="0"/>
          <w:sz w:val="32"/>
          <w:szCs w:val="32"/>
          <w:shd w:val="clear" w:color="auto" w:fill="FFFFFF"/>
          <w:lang w:val="zh-CN"/>
          <w:highlight w:val="auto"/>
        </w:rPr>
        <w:t>1</w:t>
      </w:r>
      <w:r>
        <w:rPr>
          <w:rFonts w:ascii="Times New Roman" w:eastAsia="方正仿宋_GBK" w:cs="Times New Roman" w:hAnsi="Times New Roman"/>
          <w:color w:val="000000"/>
          <w:kern w:val="0"/>
          <w:sz w:val="32"/>
          <w:szCs w:val="32"/>
          <w:shd w:val="clear" w:color="auto" w:fill="FFFFFF"/>
          <w:lang w:val="zh-CN" w:eastAsia="zh-CN"/>
          <w:highlight w:val="auto"/>
        </w:rPr>
        <w:t>—</w:t>
      </w:r>
      <w:r>
        <w:rPr>
          <w:rFonts w:ascii="Times New Roman" w:eastAsia="方正仿宋_GBK" w:cs="Times New Roman" w:hAnsi="Times New Roman"/>
          <w:color w:val="000000"/>
          <w:kern w:val="0"/>
          <w:sz w:val="32"/>
          <w:szCs w:val="32"/>
          <w:shd w:val="clear" w:color="auto" w:fill="FFFFFF"/>
          <w:lang w:val="zh-CN"/>
          <w:highlight w:val="auto"/>
        </w:rPr>
        <w:t>1</w:t>
      </w:r>
      <w:r>
        <w:rPr>
          <w:rFonts w:ascii="Times New Roman" w:eastAsia="方正仿宋_GBK" w:cs="Times New Roman" w:hAnsi="Times New Roman"/>
          <w:color w:val="000000"/>
          <w:kern w:val="0"/>
          <w:sz w:val="32"/>
          <w:szCs w:val="32"/>
          <w:shd w:val="clear" w:color="auto" w:fill="FFFFFF"/>
          <w:lang w:val="en-US" w:eastAsia="zh-CN"/>
          <w:highlight w:val="auto"/>
        </w:rPr>
        <w:t>2</w:t>
      </w:r>
      <w:r>
        <w:rPr>
          <w:rFonts w:ascii="Times New Roman" w:eastAsia="方正仿宋_GBK" w:cs="Times New Roman" w:hAnsi="Times New Roman"/>
          <w:color w:val="000000"/>
          <w:kern w:val="0"/>
          <w:sz w:val="32"/>
          <w:szCs w:val="32"/>
          <w:shd w:val="clear" w:color="auto" w:fill="FFFFFF"/>
          <w:lang w:val="zh-CN"/>
          <w:highlight w:val="auto"/>
        </w:rPr>
        <w:t>月预算执行总体进度为</w:t>
      </w:r>
      <w:r>
        <w:rPr>
          <w:rFonts w:ascii="Times New Roman" w:eastAsia="方正仿宋_GBK" w:cs="Times New Roman" w:hAnsi="Times New Roman"/>
          <w:color w:val="000000"/>
          <w:kern w:val="0"/>
          <w:sz w:val="32"/>
          <w:szCs w:val="32"/>
          <w:shd w:val="clear" w:color="auto" w:fill="FFFFFF"/>
          <w:lang w:val="en-US" w:eastAsia="zh-CN"/>
          <w:highlight w:val="auto"/>
        </w:rPr>
        <w:t xml:space="preserve"> 99</w:t>
      </w:r>
      <w:r>
        <w:rPr>
          <w:rFonts w:ascii="Times New Roman" w:eastAsia="方正仿宋_GBK" w:cs="Times New Roman" w:hAnsi="Times New Roman"/>
          <w:color w:val="000000"/>
          <w:kern w:val="0"/>
          <w:sz w:val="32"/>
          <w:szCs w:val="32"/>
          <w:shd w:val="clear" w:color="auto" w:fill="FFFFFF"/>
          <w:lang w:val="zh-CN"/>
          <w:highlight w:val="auto"/>
        </w:rPr>
        <w:t>%，其中：</w:t>
      </w:r>
      <w:r>
        <w:rPr>
          <w:rFonts w:ascii="Times New Roman" w:eastAsia="方正仿宋_GBK" w:cs="Times New Roman" w:hAnsi="Times New Roman"/>
          <w:color w:val="000000"/>
          <w:kern w:val="0"/>
          <w:sz w:val="32"/>
          <w:szCs w:val="32"/>
          <w:shd w:val="clear" w:color="auto" w:fill="FFFFFF"/>
          <w:lang w:val="zh-CN" w:eastAsia="zh-CN"/>
          <w:highlight w:val="auto"/>
        </w:rPr>
        <w:t>预算结余率大于</w:t>
      </w:r>
      <w:r>
        <w:rPr>
          <w:rFonts w:ascii="Times New Roman" w:eastAsia="方正仿宋_GBK" w:cs="Times New Roman" w:hAnsi="Times New Roman"/>
          <w:color w:val="000000"/>
          <w:kern w:val="0"/>
          <w:sz w:val="32"/>
          <w:szCs w:val="32"/>
          <w:shd w:val="clear" w:color="auto" w:fill="FFFFFF"/>
          <w:lang w:val="en-US" w:eastAsia="zh-CN"/>
          <w:highlight w:val="auto"/>
        </w:rPr>
        <w:t>10%</w:t>
      </w:r>
      <w:r>
        <w:rPr>
          <w:rFonts w:ascii="Times New Roman" w:eastAsia="方正仿宋_GBK" w:cs="Times New Roman" w:hAnsi="Times New Roman"/>
          <w:color w:val="000000"/>
          <w:kern w:val="0"/>
          <w:sz w:val="32"/>
          <w:szCs w:val="32"/>
          <w:shd w:val="clear" w:color="auto" w:fill="FFFFFF"/>
          <w:lang w:val="zh-CN" w:eastAsia="zh-CN"/>
          <w:highlight w:val="auto"/>
        </w:rPr>
        <w:t>的项目共计</w:t>
      </w:r>
      <w:r>
        <w:rPr>
          <w:rFonts w:ascii="Times New Roman" w:eastAsia="方正仿宋_GBK" w:cs="Times New Roman" w:hAnsi="Times New Roman"/>
          <w:color w:val="000000"/>
          <w:kern w:val="0"/>
          <w:sz w:val="32"/>
          <w:szCs w:val="32"/>
          <w:shd w:val="clear" w:color="auto" w:fill="FFFFFF"/>
          <w:lang w:val="en-US" w:eastAsia="zh-CN"/>
          <w:highlight w:val="auto"/>
        </w:rPr>
        <w:t>0</w:t>
      </w:r>
      <w:r>
        <w:rPr>
          <w:rFonts w:ascii="Times New Roman" w:eastAsia="方正仿宋_GBK" w:cs="Times New Roman" w:hAnsi="Times New Roman"/>
          <w:color w:val="000000"/>
          <w:kern w:val="0"/>
          <w:sz w:val="32"/>
          <w:szCs w:val="32"/>
          <w:shd w:val="clear" w:color="auto" w:fill="FFFFFF"/>
          <w:lang w:val="zh-CN" w:eastAsia="zh-CN"/>
          <w:highlight w:val="auto"/>
        </w:rPr>
        <w:t>个。</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420"/>
        <w:contextualSpacing/>
        <w:jc w:val="left"/>
        <w:textAlignment w:val="auto"/>
        <w:outlineLvl w:val="9"/>
        <w:rPr>
          <w:rFonts w:ascii="Times New Roman" w:eastAsia="仿宋_GB2312" w:cs="Times New Roman" w:hAnsi="Times New Roman"/>
          <w:color w:val="000000"/>
          <w:kern w:val="0"/>
          <w:szCs w:val="32"/>
          <w:shd w:val="clear" w:color="auto" w:fill="FFFFFF"/>
          <w:lang w:val="en-US" w:eastAsia="zh-CN"/>
          <w:highlight w:val="auto"/>
        </w:rPr>
      </w:pP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1.</w:t>
      </w:r>
      <w:r>
        <w:rPr>
          <w:rFonts w:ascii="Times New Roman" w:eastAsia="方正仿宋_GBK" w:cs="Times New Roman" w:hAnsi="Times New Roman"/>
          <w:color w:val="000000"/>
          <w:kern w:val="0"/>
          <w:sz w:val="32"/>
          <w:szCs w:val="32"/>
          <w:shd w:val="clear" w:color="auto" w:fill="FFFFFF"/>
          <w:lang w:val="zh-CN"/>
          <w:highlight w:val="auto"/>
        </w:rPr>
        <w:t>项目决策。</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en-US" w:eastAsia="zh-CN"/>
        </w:rPr>
        <w:t>本单位</w:t>
      </w:r>
      <w:r>
        <w:rPr>
          <w:rFonts w:ascii="Times New Roman" w:eastAsia="方正仿宋_GBK" w:cs="Times New Roman" w:hAnsi="Times New Roman"/>
          <w:sz w:val="32"/>
          <w:szCs w:val="32"/>
          <w:lang w:val="zh-CN" w:eastAsia="zh-CN"/>
        </w:rPr>
        <w:t>预算项目设立</w:t>
      </w:r>
      <w:r>
        <w:rPr>
          <w:rFonts w:ascii="Times New Roman" w:eastAsia="方正仿宋_GBK" w:cs="Times New Roman" w:hAnsi="Times New Roman"/>
          <w:sz w:val="32"/>
          <w:szCs w:val="32"/>
          <w:lang w:val="en-US" w:eastAsia="zh-CN"/>
        </w:rPr>
        <w:t>都</w:t>
      </w:r>
      <w:r>
        <w:rPr>
          <w:rFonts w:ascii="Times New Roman" w:eastAsia="方正仿宋_GBK" w:cs="Times New Roman" w:hAnsi="Times New Roman"/>
          <w:sz w:val="32"/>
          <w:szCs w:val="32"/>
          <w:lang w:val="zh-CN" w:eastAsia="zh-CN"/>
        </w:rPr>
        <w:t>按规定履行评估论证、按程序申报、预算项目绩效目标与计划期内的任务量、预算安排的资金量匹配情况，绩效目标设置科学合理、规范完整、量化细化、预算匹配、预算项目在规定时间</w:t>
      </w:r>
      <w:r>
        <w:rPr>
          <w:rFonts w:ascii="Times New Roman" w:eastAsia="方正仿宋_GBK" w:cs="Times New Roman" w:hAnsi="Times New Roman"/>
          <w:sz w:val="32"/>
          <w:szCs w:val="32"/>
          <w:lang w:val="en-US" w:eastAsia="zh-CN"/>
        </w:rPr>
        <w:t>内</w:t>
      </w:r>
      <w:r>
        <w:rPr>
          <w:rFonts w:ascii="Times New Roman" w:eastAsia="方正仿宋_GBK" w:cs="Times New Roman" w:hAnsi="Times New Roman"/>
          <w:sz w:val="32"/>
          <w:szCs w:val="32"/>
          <w:lang w:val="zh-CN" w:eastAsia="zh-CN"/>
        </w:rPr>
        <w:t>完成项目入库，明确绩效目标，控制支行成本，提高项目发挥作用。</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2.项目执行</w:t>
      </w:r>
      <w:r>
        <w:rPr>
          <w:rFonts w:ascii="Times New Roman" w:eastAsia="方正仿宋_GBK" w:cs="Times New Roman" w:hAnsi="Times New Roman"/>
          <w:color w:val="000000"/>
          <w:kern w:val="0"/>
          <w:sz w:val="32"/>
          <w:szCs w:val="32"/>
          <w:shd w:val="clear" w:color="auto" w:fill="FFFFFF"/>
          <w:lang w:val="zh-CN"/>
          <w:highlight w:val="auto"/>
        </w:rPr>
        <w:t>。</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zh-CN" w:eastAsia="zh-CN"/>
        </w:rPr>
        <w:t>预算项目实际列支内容与绩效目标设置方向相符、预算项目采取对应调整措施，</w:t>
      </w:r>
      <w:r>
        <w:rPr>
          <w:rFonts w:ascii="Times New Roman" w:eastAsia="方正仿宋_GBK" w:cs="Times New Roman" w:hAnsi="Times New Roman"/>
          <w:sz w:val="32"/>
          <w:szCs w:val="32"/>
          <w:lang w:val="en-US" w:eastAsia="zh-CN"/>
        </w:rPr>
        <w:t>按程序调整</w:t>
      </w:r>
      <w:r>
        <w:rPr>
          <w:rFonts w:ascii="Times New Roman" w:eastAsia="方正仿宋_GBK" w:cs="Times New Roman" w:hAnsi="Times New Roman"/>
          <w:sz w:val="32"/>
          <w:szCs w:val="32"/>
          <w:lang w:val="zh-CN" w:eastAsia="zh-CN"/>
        </w:rPr>
        <w:t>、预算项目</w:t>
      </w:r>
      <w:r>
        <w:rPr>
          <w:rFonts w:ascii="Times New Roman" w:eastAsia="方正仿宋_GBK" w:cs="Times New Roman" w:hAnsi="Times New Roman"/>
          <w:sz w:val="32"/>
          <w:szCs w:val="32"/>
          <w:lang w:val="en-US" w:eastAsia="zh-CN"/>
        </w:rPr>
        <w:t>按照文件时间节点有序推进，按时完成并</w:t>
      </w:r>
      <w:r>
        <w:rPr>
          <w:rFonts w:ascii="Times New Roman" w:eastAsia="方正仿宋_GBK" w:cs="Times New Roman" w:hAnsi="Times New Roman"/>
          <w:sz w:val="32"/>
          <w:szCs w:val="32"/>
          <w:lang w:val="zh-CN" w:eastAsia="zh-CN"/>
        </w:rPr>
        <w:t>根据财政局统一要求编制了我镇整体绩效目标报告及项目整体绩效目标表，并报县财政局。</w:t>
      </w:r>
    </w:p>
    <w:p>
      <w:pPr>
        <w:keepNext w:val="0"/>
        <w:keepLines w:val="0"/>
        <w:pageBreakBefore w:val="0"/>
        <w:widowControl w:val="0"/>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方正仿宋_GBK" w:cs="Times New Roman" w:hAnsi="Times New Roman"/>
          <w:color w:val="000000"/>
          <w:kern w:val="0"/>
          <w:sz w:val="32"/>
          <w:szCs w:val="32"/>
          <w:shd w:val="clear" w:color="auto" w:fill="FFFFFF"/>
          <w:lang w:val="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3.</w:t>
      </w:r>
      <w:r>
        <w:rPr>
          <w:rFonts w:ascii="Times New Roman" w:eastAsia="方正仿宋_GBK" w:cs="Times New Roman" w:hAnsi="Times New Roman"/>
          <w:color w:val="000000"/>
          <w:kern w:val="0"/>
          <w:sz w:val="32"/>
          <w:szCs w:val="32"/>
          <w:shd w:val="clear" w:color="auto" w:fill="FFFFFF"/>
          <w:lang w:val="zh-CN"/>
          <w:highlight w:val="auto"/>
        </w:rPr>
        <w:t>目标实现。</w:t>
      </w:r>
    </w:p>
    <w:p>
      <w:pPr>
        <w:keepNext w:val="0"/>
        <w:keepLines w:val="0"/>
        <w:pageBreakBefore w:val="0"/>
        <w:widowControl w:val="0"/>
        <w:kinsoku/>
        <w:wordWrap/>
        <w:overflowPunct/>
        <w:topLinePunct w:val="0"/>
        <w:autoSpaceDE/>
        <w:autoSpaceDN/>
        <w:bidi w:val="0"/>
        <w:snapToGrid w:val="0"/>
        <w:spacing w:line="560" w:lineRule="exact"/>
        <w:ind w:firstLineChars="200" w:firstLine="640"/>
        <w:textAlignment w:val="auto"/>
        <w:rPr>
          <w:rFonts w:ascii="Times New Roman" w:eastAsia="方正仿宋_GBK" w:cs="Times New Roman" w:hAnsi="Times New Roman"/>
          <w:color w:val="000000"/>
          <w:kern w:val="0"/>
          <w:sz w:val="32"/>
          <w:szCs w:val="32"/>
          <w:shd w:val="clear" w:color="auto" w:fill="FFFFFF"/>
          <w:lang w:val="zh-CN"/>
          <w:highlight w:val="auto"/>
        </w:rPr>
      </w:pPr>
      <w:r>
        <w:rPr>
          <w:rFonts w:ascii="Times New Roman" w:eastAsia="方正仿宋_GBK" w:cs="Times New Roman" w:hAnsi="Times New Roman"/>
          <w:sz w:val="32"/>
          <w:szCs w:val="32"/>
          <w:lang w:val="zh-CN" w:eastAsia="zh-CN"/>
        </w:rPr>
        <w:t>根据预算绩效管理要求，我镇在年初预算编制阶段，组织对项目开展了预算事前绩效评估，本部门按要求对202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年部门整体支出开展绩效自评，我镇深入贯彻落实</w:t>
      </w:r>
      <w:r>
        <w:rPr>
          <w:rFonts w:ascii="Times New Roman" w:eastAsia="方正仿宋_GBK" w:cs="Times New Roman" w:hAnsi="Times New Roman"/>
          <w:sz w:val="32"/>
          <w:szCs w:val="32"/>
          <w:lang w:val="en-US" w:eastAsia="zh-CN"/>
        </w:rPr>
        <w:t>二十</w:t>
      </w:r>
      <w:r>
        <w:rPr>
          <w:rFonts w:ascii="Times New Roman" w:eastAsia="方正仿宋_GBK" w:cs="Times New Roman" w:hAnsi="Times New Roman"/>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hint="eastAsia"/>
          <w:b/>
          <w:bCs/>
          <w:color w:val="000000"/>
          <w:kern w:val="0"/>
          <w:sz w:val="32"/>
          <w:szCs w:val="48"/>
          <w:shd w:val="clear" w:color="auto" w:fill="FFFFFF"/>
          <w:lang w:val="en-US" w:eastAsia="zh-CN"/>
          <w:highlight w:val="auto"/>
        </w:rPr>
        <w:t>三</w:t>
      </w:r>
      <w:r>
        <w:rPr>
          <w:rFonts w:ascii="Times New Roman" w:eastAsia="楷体_GB2312" w:cs="Times New Roman" w:hAnsi="Times New Roman" w:hint="eastAsia"/>
          <w:b/>
          <w:bCs/>
          <w:color w:val="000000"/>
          <w:kern w:val="0"/>
          <w:sz w:val="32"/>
          <w:szCs w:val="48"/>
          <w:shd w:val="clear" w:color="auto" w:fill="FFFFFF"/>
          <w:lang w:val="zh-CN"/>
          <w:highlight w:val="auto"/>
        </w:rPr>
        <w:t>）</w:t>
      </w:r>
      <w:r>
        <w:rPr>
          <w:rFonts w:ascii="Times New Roman" w:eastAsia="楷体_GB2312" w:cs="Times New Roman" w:hAnsi="Times New Roman"/>
          <w:b/>
          <w:bCs/>
          <w:color w:val="000000"/>
          <w:kern w:val="0"/>
          <w:sz w:val="32"/>
          <w:szCs w:val="48"/>
          <w:shd w:val="clear" w:color="auto" w:fill="FFFFFF"/>
          <w:lang w:val="zh-CN"/>
          <w:highlight w:val="auto"/>
        </w:rPr>
        <w:t>绩效结果应用情况</w:t>
      </w:r>
    </w:p>
    <w:p>
      <w:pPr>
        <w:keepNext w:val="0"/>
        <w:keepLines w:val="0"/>
        <w:pageBreakBefore w:val="0"/>
        <w:widowControl w:val="0"/>
        <w:kinsoku/>
        <w:overflowPunct/>
        <w:autoSpaceDE/>
        <w:autoSpaceDN/>
        <w:bidi w:val="0"/>
        <w:spacing w:line="560" w:lineRule="exact"/>
        <w:ind w:firstLineChars="200" w:firstLine="640"/>
        <w:textAlignment w:val="auto"/>
        <w:rPr>
          <w:rFonts w:ascii="Times New Roman" w:eastAsia="方正仿宋_GBK" w:cs="Times New Roman" w:hAnsi="Times New Roman"/>
          <w:sz w:val="32"/>
          <w:szCs w:val="32"/>
          <w:lang w:val="en-US"/>
        </w:rPr>
      </w:pPr>
      <w:r>
        <w:rPr>
          <w:rFonts w:ascii="Times New Roman" w:eastAsia="方正仿宋_GBK" w:cs="Times New Roman" w:hAnsi="Times New Roman"/>
          <w:sz w:val="32"/>
          <w:szCs w:val="32"/>
          <w:lang w:val="zh-CN" w:eastAsia="zh-CN"/>
        </w:rPr>
        <w:t>根据预算绩效管理要求，我镇在年初预算编制阶段，组织对项目开展了预算事前绩效评估，本部门按要求对202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年部门整体支出开展绩效自评，我镇深入贯彻落实</w:t>
      </w:r>
      <w:r>
        <w:rPr>
          <w:rFonts w:ascii="Times New Roman" w:eastAsia="方正仿宋_GBK" w:cs="Times New Roman" w:hAnsi="Times New Roman"/>
          <w:sz w:val="32"/>
          <w:szCs w:val="32"/>
          <w:lang w:val="en-US" w:eastAsia="zh-CN"/>
        </w:rPr>
        <w:t>二十</w:t>
      </w:r>
      <w:r>
        <w:rPr>
          <w:rFonts w:ascii="Times New Roman" w:eastAsia="方正仿宋_GBK" w:cs="Times New Roman" w:hAnsi="Times New Roman"/>
          <w:sz w:val="32"/>
          <w:szCs w:val="32"/>
          <w:lang w:val="zh-CN" w:eastAsia="zh-CN"/>
        </w:rPr>
        <w:t>大关于“全面实施绩效管理”的要求，努力提升本单位绩效预算管理业务水平。主动公开绩效结果，加大资金使用效率，提升政府管理水平。及时告知各部门（科室）部门预算及项目支出进度。</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黑体" w:cs="Times New Roman" w:hAnsi="Times New Roman"/>
          <w:color w:val="000000"/>
          <w:kern w:val="0"/>
          <w:sz w:val="32"/>
          <w:szCs w:val="48"/>
          <w:shd w:val="clear" w:color="auto" w:fill="FFFFFF"/>
          <w:lang w:val="zh-CN"/>
          <w:highlight w:val="auto"/>
        </w:rPr>
      </w:pPr>
      <w:r>
        <w:rPr>
          <w:rFonts w:ascii="Times New Roman" w:eastAsia="黑体" w:cs="Times New Roman" w:hAnsi="Times New Roman"/>
          <w:color w:val="000000"/>
          <w:kern w:val="0"/>
          <w:sz w:val="32"/>
          <w:szCs w:val="48"/>
          <w:shd w:val="clear" w:color="auto" w:fill="FFFFFF"/>
          <w:lang w:val="zh-CN" w:eastAsia="zh-CN"/>
          <w:highlight w:val="auto"/>
        </w:rPr>
        <w:t>四、</w:t>
      </w:r>
      <w:r>
        <w:rPr>
          <w:rFonts w:ascii="Times New Roman" w:eastAsia="黑体" w:cs="Times New Roman" w:hAnsi="Times New Roman"/>
          <w:color w:val="000000"/>
          <w:kern w:val="0"/>
          <w:sz w:val="32"/>
          <w:szCs w:val="48"/>
          <w:shd w:val="clear" w:color="auto" w:fill="FFFFFF"/>
          <w:lang w:val="zh-CN"/>
          <w:highlight w:val="auto"/>
        </w:rPr>
        <w:t>评价结论及建议</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（一）评价结论</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方正仿宋_GBK" w:cs="Times New Roman" w:hAnsi="Times New Roman"/>
          <w:sz w:val="32"/>
          <w:szCs w:val="32"/>
          <w:lang w:val="zh-CN" w:eastAsia="zh-CN"/>
        </w:rPr>
      </w:pPr>
      <w:r>
        <w:rPr>
          <w:rFonts w:ascii="Times New Roman" w:eastAsia="方正仿宋_GBK" w:cs="Times New Roman" w:hAnsi="Times New Roman"/>
          <w:sz w:val="32"/>
          <w:szCs w:val="32"/>
          <w:lang w:val="zh-CN" w:eastAsia="zh-CN"/>
        </w:rPr>
        <w:t>我镇对202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年度整体支出情况开展自评，得分</w:t>
      </w:r>
      <w:r>
        <w:rPr>
          <w:rFonts w:ascii="Times New Roman" w:eastAsia="方正仿宋_GBK" w:cs="Times New Roman" w:hAnsi="Times New Roman"/>
          <w:sz w:val="32"/>
          <w:szCs w:val="32"/>
          <w:lang w:val="en-US" w:eastAsia="zh-CN"/>
        </w:rPr>
        <w:t>86</w:t>
      </w:r>
      <w:r>
        <w:rPr>
          <w:rFonts w:ascii="Times New Roman" w:eastAsia="方正仿宋_GBK" w:cs="Times New Roman" w:hAnsi="Times New Roman"/>
          <w:sz w:val="32"/>
          <w:szCs w:val="32"/>
          <w:lang w:val="zh-CN" w:eastAsia="zh-CN"/>
        </w:rPr>
        <w:t>分。从总体性分析评价，全年整体支出较优，实现了年初绩效目标。从结构性分析评价，一般公共预算基本支出完成预算的</w:t>
      </w:r>
      <w:r>
        <w:rPr>
          <w:rFonts w:ascii="Times New Roman" w:eastAsia="方正仿宋_GBK" w:cs="Times New Roman" w:hAnsi="Times New Roman"/>
          <w:sz w:val="32"/>
          <w:szCs w:val="32"/>
          <w:lang w:val="en-US" w:eastAsia="zh-CN"/>
        </w:rPr>
        <w:t>100</w:t>
      </w:r>
      <w:r>
        <w:rPr>
          <w:rFonts w:ascii="Times New Roman" w:eastAsia="方正仿宋_GBK" w:cs="Times New Roman" w:hAnsi="Times New Roman"/>
          <w:sz w:val="32"/>
          <w:szCs w:val="32"/>
          <w:lang w:val="zh-CN" w:eastAsia="zh-CN"/>
        </w:rPr>
        <w:t>%，绩效目标实际实现程度与预期目标的偏离度为持平，整体绩效管理合理合规；一般公共预算项目支出完成预算的</w:t>
      </w:r>
      <w:r>
        <w:rPr>
          <w:rFonts w:ascii="Times New Roman" w:eastAsia="方正仿宋_GBK" w:cs="Times New Roman" w:hAnsi="Times New Roman"/>
          <w:sz w:val="32"/>
          <w:szCs w:val="32"/>
          <w:lang w:val="en-US" w:eastAsia="zh-CN"/>
        </w:rPr>
        <w:t>100</w:t>
      </w:r>
      <w:r>
        <w:rPr>
          <w:rFonts w:ascii="Times New Roman" w:eastAsia="方正仿宋_GBK" w:cs="Times New Roman" w:hAnsi="Times New Roman"/>
          <w:sz w:val="32"/>
          <w:szCs w:val="32"/>
          <w:lang w:val="zh-CN" w:eastAsia="zh-CN"/>
        </w:rPr>
        <w:t>%，绩效目标实际实现程度与预期目标的偏离度为持平，整体绩效管理合理合规。202</w:t>
      </w:r>
      <w:r>
        <w:rPr>
          <w:rFonts w:ascii="Times New Roman" w:eastAsia="方正仿宋_GBK" w:cs="Times New Roman" w:hAnsi="Times New Roman"/>
          <w:sz w:val="32"/>
          <w:szCs w:val="32"/>
          <w:lang w:val="en-US" w:eastAsia="zh-CN"/>
        </w:rPr>
        <w:t>4</w:t>
      </w:r>
      <w:r>
        <w:rPr>
          <w:rFonts w:ascii="Times New Roman" w:eastAsia="方正仿宋_GBK" w:cs="Times New Roman" w:hAnsi="Times New Roman"/>
          <w:sz w:val="32"/>
          <w:szCs w:val="32"/>
          <w:lang w:val="zh-CN" w:eastAsia="zh-CN"/>
        </w:rPr>
        <w:t>年度整体支出绩效评价优好，无违纪违规问题，预算编制、预算执行、完成结果等均达到既定目标管理。</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highlight w:val="auto"/>
        </w:rPr>
      </w:pPr>
      <w:r>
        <w:rPr>
          <w:rFonts w:ascii="Times New Roman" w:eastAsia="楷体_GB2312" w:cs="Times New Roman" w:hAnsi="Times New Roman"/>
          <w:b/>
          <w:bCs/>
          <w:color w:val="000000"/>
          <w:kern w:val="0"/>
          <w:sz w:val="32"/>
          <w:szCs w:val="48"/>
          <w:shd w:val="clear" w:color="auto" w:fill="FFFFFF"/>
          <w:lang w:val="zh-CN"/>
          <w:highlight w:val="auto"/>
        </w:rPr>
        <w:t>（二）存在问题</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方正仿宋_GBK" w:cs="Times New Roman" w:hAnsi="Times New Roman"/>
          <w:sz w:val="32"/>
          <w:szCs w:val="32"/>
          <w:lang w:val="zh-CN" w:eastAsia="zh-CN"/>
        </w:rPr>
      </w:pPr>
      <w:r>
        <w:rPr>
          <w:rFonts w:ascii="Times New Roman" w:eastAsia="方正仿宋_GBK" w:cs="Times New Roman" w:hAnsi="Times New Roman" w:hint="eastAsia"/>
          <w:sz w:val="32"/>
          <w:szCs w:val="32"/>
          <w:lang w:val="zh-CN" w:eastAsia="zh-CN"/>
        </w:rPr>
        <w:t>个别人员经费和公用经费测算标准及套用公式不够科学精准，部分经济科目在预算执行中存在较早亮红灯，预算经费支出进度较快。</w:t>
      </w:r>
    </w:p>
    <w:p>
      <w:pPr>
        <w:keepNext w:val="0"/>
        <w:keepLines w:val="0"/>
        <w:pageBreakBefore w:val="0"/>
        <w:widowControl/>
        <w:kinsoku/>
        <w:wordWrap/>
        <w:overflowPunct/>
        <w:topLinePunct w:val="0"/>
        <w:autoSpaceDE/>
        <w:autoSpaceDN/>
        <w:bidi w:val="0"/>
        <w:adjustRightInd w:val="0"/>
        <w:snapToGrid w:val="0"/>
        <w:spacing w:line="578" w:lineRule="exact"/>
        <w:ind w:left="0" w:firstLineChars="200" w:firstLine="640"/>
        <w:contextualSpacing/>
        <w:jc w:val="left"/>
        <w:textAlignment w:val="auto"/>
        <w:outlineLvl w:val="9"/>
        <w:rPr>
          <w:rFonts w:ascii="Times New Roman" w:eastAsia="楷体_GB2312" w:cs="Times New Roman" w:hAnsi="Times New Roman"/>
          <w:b/>
          <w:bCs/>
          <w:color w:val="000000"/>
          <w:kern w:val="0"/>
          <w:sz w:val="32"/>
          <w:szCs w:val="48"/>
          <w:shd w:val="clear" w:color="auto" w:fill="FFFFFF"/>
          <w:lang w:val="zh-CN" w:eastAsia="zh-CN"/>
          <w:highlight w:val="auto"/>
        </w:rPr>
      </w:pPr>
      <w:r>
        <w:rPr>
          <w:rFonts w:ascii="Times New Roman" w:eastAsia="楷体_GB2312" w:cs="Times New Roman" w:hAnsi="Times New Roman"/>
          <w:b/>
          <w:bCs/>
          <w:color w:val="000000"/>
          <w:kern w:val="0"/>
          <w:sz w:val="32"/>
          <w:szCs w:val="48"/>
          <w:shd w:val="clear" w:color="auto" w:fill="FFFFFF"/>
          <w:lang w:val="zh-CN" w:eastAsia="zh-CN"/>
          <w:highlight w:val="auto"/>
        </w:rPr>
        <w:t>（三）改进建议</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方正仿宋_GBK" w:cs="Times New Roman" w:hAnsi="Times New Roman" w:hint="eastAsia"/>
          <w:sz w:val="32"/>
          <w:szCs w:val="32"/>
          <w:lang w:val="zh-CN" w:eastAsia="zh-CN"/>
        </w:rPr>
      </w:pPr>
      <w:r>
        <w:rPr>
          <w:rFonts w:ascii="Times New Roman" w:eastAsia="方正仿宋_GBK" w:cs="Times New Roman" w:hAnsi="Times New Roman" w:hint="eastAsia"/>
          <w:sz w:val="32"/>
          <w:szCs w:val="32"/>
          <w:lang w:val="zh-CN" w:eastAsia="zh-CN"/>
        </w:rPr>
        <w:t>我镇将积极对接财政部门作出技术调整，优化预算测算标准，科学审批年度预算汇编，使资金真正能够因地制宜，发挥实效。进一步做好预算编制前提调研准备工作，根据实际需要积极评估测算，尽量减少减轻资金闲置或低使用率现象，启用预算执行绩效监控机制，及时提示项目管理部门按照绩效目标开展实施。</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方正仿宋_GBK" w:cs="Times New Roman" w:hAnsi="Times New Roman" w:hint="eastAsia"/>
          <w:sz w:val="32"/>
          <w:szCs w:val="32"/>
          <w:lang w:val="zh-CN" w:eastAsia="zh-CN"/>
        </w:rPr>
      </w:pPr>
    </w:p>
    <w:p>
      <w:pPr>
        <w:keepNext w:val="0"/>
        <w:keepLines w:val="0"/>
        <w:pageBreakBefore w:val="0"/>
        <w:widowControl w:val="0"/>
        <w:kinsoku/>
        <w:wordWrap/>
        <w:overflowPunct/>
        <w:topLinePunct w:val="0"/>
        <w:autoSpaceDE/>
        <w:autoSpaceDN/>
        <w:bidi w:val="0"/>
        <w:spacing w:line="578" w:lineRule="exact"/>
        <w:ind w:firstLineChars="200" w:firstLine="640"/>
        <w:textAlignment w:val="auto"/>
        <w:rPr>
          <w:rFonts w:ascii="Times New Roman" w:eastAsia="方正仿宋_GBK" w:cs="Times New Roman" w:hAnsi="Times New Roman"/>
          <w:strike w:val="0"/>
          <w:dstrike w:val="0"/>
          <w:sz w:val="32"/>
          <w:szCs w:val="32"/>
          <w:u w:val="none"/>
          <w:lang w:val="en-US" w:eastAsia="zh-CN"/>
        </w:rPr>
      </w:pPr>
      <w:r>
        <w:rPr>
          <w:rFonts w:ascii="Times New Roman" w:eastAsia="方正仿宋_GBK" w:cs="Times New Roman" w:hAnsi="Times New Roman"/>
          <w:color w:val="000000"/>
          <w:kern w:val="0"/>
          <w:sz w:val="32"/>
          <w:szCs w:val="32"/>
          <w:shd w:val="clear" w:color="auto" w:fill="FFFFFF"/>
          <w:lang w:val="en-US" w:eastAsia="zh-CN"/>
          <w:highlight w:val="auto"/>
        </w:rPr>
        <w:t>附表：1.</w:t>
      </w:r>
      <w:r>
        <w:rPr>
          <w:rFonts w:ascii="Times New Roman" w:eastAsia="方正仿宋_GBK" w:cs="Times New Roman" w:hAnsi="Times New Roman"/>
          <w:strike w:val="0"/>
          <w:dstrike w:val="0"/>
          <w:sz w:val="32"/>
          <w:szCs w:val="32"/>
          <w:u w:val="none"/>
          <w:lang w:val="en-US" w:eastAsia="zh-CN"/>
        </w:rPr>
        <w:t>部门预算绩效自评打分表</w:t>
      </w:r>
    </w:p>
    <w:p>
      <w:pPr>
        <w:keepNext w:val="0"/>
        <w:keepLines w:val="0"/>
        <w:pageBreakBefore w:val="0"/>
        <w:widowControl w:val="0"/>
        <w:kinsoku/>
        <w:wordWrap/>
        <w:overflowPunct/>
        <w:topLinePunct w:val="0"/>
        <w:autoSpaceDE/>
        <w:autoSpaceDN/>
        <w:bidi w:val="0"/>
        <w:spacing w:line="578" w:lineRule="exact"/>
        <w:ind w:left="0" w:firstLineChars="500" w:firstLine="1600"/>
        <w:textAlignment w:val="auto"/>
        <w:rPr>
          <w:rFonts w:ascii="Times New Roman" w:eastAsia="方正仿宋_GBK" w:cs="Times New Roman" w:hAnsi="Times New Roman"/>
          <w:color w:val="000000"/>
          <w:kern w:val="0"/>
          <w:sz w:val="32"/>
          <w:szCs w:val="32"/>
          <w:shd w:val="clear" w:color="auto" w:fill="FFFFFF"/>
          <w:lang w:val="en-US" w:eastAsia="zh-CN"/>
          <w:highlight w:val="auto"/>
        </w:rPr>
      </w:pPr>
      <w:r>
        <w:rPr>
          <w:rFonts w:ascii="Times New Roman" w:eastAsia="方正仿宋_GBK" w:cs="Times New Roman" w:hAnsi="Times New Roman" w:hint="eastAsia"/>
          <w:color w:val="000000"/>
          <w:kern w:val="0"/>
          <w:sz w:val="32"/>
          <w:szCs w:val="32"/>
          <w:shd w:val="clear" w:color="auto" w:fill="FFFFFF"/>
          <w:lang w:val="en-US" w:eastAsia="zh-CN"/>
          <w:highlight w:val="auto"/>
        </w:rPr>
        <w:t>2.</w:t>
      </w:r>
      <w:r>
        <w:rPr>
          <w:rFonts w:ascii="Times New Roman" w:eastAsia="方正仿宋_GBK" w:cs="Times New Roman" w:hAnsi="Times New Roman"/>
          <w:color w:val="000000"/>
          <w:kern w:val="0"/>
          <w:sz w:val="32"/>
          <w:szCs w:val="32"/>
          <w:shd w:val="clear" w:color="auto" w:fill="FFFFFF"/>
          <w:lang w:val="en-US" w:eastAsia="zh-CN"/>
          <w:highlight w:val="auto"/>
        </w:rPr>
        <w:t>部门整体绩效目标完成情况自评表</w:t>
      </w:r>
    </w:p>
    <w:p>
      <w:pPr>
        <w:keepNext w:val="0"/>
        <w:keepLines w:val="0"/>
        <w:pageBreakBefore w:val="0"/>
        <w:widowControl w:val="0"/>
        <w:kinsoku/>
        <w:wordWrap/>
        <w:overflowPunct/>
        <w:topLinePunct w:val="0"/>
        <w:autoSpaceDE/>
        <w:autoSpaceDN/>
        <w:bidi w:val="0"/>
        <w:spacing w:line="578" w:lineRule="exact"/>
        <w:jc w:val="both"/>
        <w:textAlignment w:val="auto"/>
        <w:rPr>
          <w:rFonts w:ascii="Times New Roman" w:eastAsia="方正仿宋_GBK" w:cs="Times New Roman" w:hAnsi="Times New Roman"/>
          <w:color w:val="000000"/>
          <w:kern w:val="0"/>
          <w:sz w:val="32"/>
          <w:szCs w:val="32"/>
          <w:shd w:val="clear" w:color="auto" w:fill="FFFFFF"/>
          <w:lang w:val="en-US" w:eastAsia="zh-CN"/>
          <w:highlight w:val="auto"/>
        </w:rPr>
      </w:pPr>
    </w:p>
    <w:p>
      <w:pPr>
        <w:keepNext w:val="0"/>
        <w:keepLines w:val="0"/>
        <w:pageBreakBefore w:val="0"/>
        <w:widowControl w:val="0"/>
        <w:kinsoku/>
        <w:wordWrap/>
        <w:overflowPunct/>
        <w:topLinePunct w:val="0"/>
        <w:autoSpaceDE/>
        <w:autoSpaceDN/>
        <w:bidi w:val="0"/>
        <w:spacing w:line="578" w:lineRule="exact"/>
        <w:jc w:val="right"/>
        <w:textAlignment w:val="auto"/>
        <w:rPr>
          <w:rFonts w:ascii="方正仿宋_GBK" w:eastAsia="方正仿宋_GBK" w:cs="方正仿宋_GBK" w:hint="eastAsia"/>
          <w:color w:val="000000"/>
          <w:kern w:val="0"/>
          <w:sz w:val="32"/>
          <w:szCs w:val="32"/>
          <w:shd w:val="clear" w:color="auto" w:fill="FFFFFF"/>
          <w:lang w:val="en-US" w:eastAsia="zh-CN"/>
          <w:highlight w:val="auto"/>
        </w:rPr>
      </w:pPr>
      <w:r>
        <w:rPr>
          <w:rFonts w:ascii="Times New Roman" w:eastAsia="方正仿宋_GBK" w:cs="Times New Roman" w:hAnsi="Times New Roman"/>
          <w:color w:val="000000"/>
          <w:kern w:val="0"/>
          <w:sz w:val="32"/>
          <w:szCs w:val="32"/>
          <w:shd w:val="clear" w:color="auto" w:fill="FFFFFF"/>
          <w:lang w:val="en-US" w:eastAsia="zh-CN"/>
          <w:highlight w:val="auto"/>
        </w:rPr>
        <w:t xml:space="preserve">                        金川县观音桥镇人民政府                                2025年</w:t>
      </w:r>
      <w:r>
        <w:rPr>
          <w:rFonts w:ascii="Times New Roman" w:eastAsia="方正仿宋_GBK" w:cs="Times New Roman" w:hAnsi="Times New Roman"/>
          <w:color w:val="000000"/>
          <w:kern w:val="0"/>
          <w:sz w:val="32"/>
          <w:szCs w:val="32"/>
          <w:shd w:val="clear" w:color="auto" w:fill="FFFFFF"/>
          <w:lang w:val="en-US" w:eastAsia="zh-CN"/>
          <w:highlight w:val="auto"/>
        </w:rPr>
        <w:t>8</w:t>
      </w:r>
      <w:r>
        <w:rPr>
          <w:rFonts w:ascii="Times New Roman" w:eastAsia="方正仿宋_GBK" w:cs="Times New Roman" w:hAnsi="Times New Roman"/>
          <w:color w:val="000000"/>
          <w:kern w:val="0"/>
          <w:sz w:val="32"/>
          <w:szCs w:val="32"/>
          <w:shd w:val="clear" w:color="auto" w:fill="FFFFFF"/>
          <w:lang w:val="en-US" w:eastAsia="zh-CN"/>
          <w:highlight w:val="auto"/>
        </w:rPr>
        <w:t>月</w:t>
      </w:r>
      <w:r>
        <w:rPr>
          <w:rFonts w:ascii="Times New Roman" w:eastAsia="方正仿宋_GBK" w:cs="Times New Roman" w:hAnsi="Times New Roman"/>
          <w:color w:val="000000"/>
          <w:kern w:val="0"/>
          <w:sz w:val="32"/>
          <w:szCs w:val="32"/>
          <w:shd w:val="clear" w:color="auto" w:fill="FFFFFF"/>
          <w:lang w:val="en-US" w:eastAsia="zh-CN"/>
          <w:highlight w:val="auto"/>
        </w:rPr>
        <w:t>1</w:t>
      </w:r>
      <w:r>
        <w:rPr>
          <w:rFonts w:ascii="Times New Roman" w:eastAsia="方正仿宋_GBK" w:cs="Times New Roman" w:hAnsi="Times New Roman"/>
          <w:color w:val="000000"/>
          <w:kern w:val="0"/>
          <w:sz w:val="32"/>
          <w:szCs w:val="32"/>
          <w:shd w:val="clear" w:color="auto" w:fill="FFFFFF"/>
          <w:lang w:val="en-US" w:eastAsia="zh-CN"/>
          <w:highlight w:val="auto"/>
        </w:rPr>
        <w:t>9日</w:t>
      </w:r>
    </w:p>
    <w:p>
      <w:pPr>
        <w:keepNext w:val="0"/>
        <w:keepLines w:val="0"/>
        <w:pageBreakBefore w:val="0"/>
        <w:widowControl/>
        <w:kinsoku/>
        <w:wordWrap/>
        <w:overflowPunct/>
        <w:topLinePunct w:val="0"/>
        <w:autoSpaceDE/>
        <w:autoSpaceDN/>
        <w:bidi w:val="0"/>
        <w:adjustRightInd w:val="0"/>
        <w:snapToGrid w:val="0"/>
        <w:spacing w:line="578" w:lineRule="exact"/>
        <w:ind w:firstLineChars="200" w:firstLine="640"/>
        <w:contextualSpacing/>
        <w:jc w:val="left"/>
        <w:textAlignment w:val="auto"/>
        <w:outlineLvl w:val="9"/>
        <w:rPr>
          <w:rFonts w:ascii="Times New Roman" w:eastAsia="方正仿宋_GBK" w:cs="Times New Roman" w:hAnsi="Times New Roman" w:hint="eastAsia"/>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keepNext w:val="0"/>
        <w:keepLines w:val="0"/>
        <w:pageBreakBefore w:val="0"/>
        <w:widowControl w:val="0"/>
        <w:kinsoku/>
        <w:wordWrap/>
        <w:overflowPunct/>
        <w:topLinePunct w:val="0"/>
        <w:autoSpaceDE/>
        <w:autoSpaceDN/>
        <w:bidi w:val="0"/>
        <w:spacing w:line="578" w:lineRule="exact"/>
        <w:jc w:val="both"/>
        <w:textAlignment w:val="auto"/>
        <w:rPr>
          <w:rFonts w:ascii="Times New Roman" w:eastAsia="黑体" w:cs="Times New Roman" w:hAnsi="Times New Roman" w:hint="eastAsia"/>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1</w:t>
      </w:r>
    </w:p>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方正小标宋简体" w:cs="Times New Roman" w:hAnsi="Times New Roman" w:hint="eastAsia"/>
          <w:i w:val="0"/>
          <w:color w:val="000000"/>
          <w:kern w:val="0"/>
          <w:sz w:val="44"/>
          <w:szCs w:val="44"/>
          <w:u w:val="none"/>
          <w:lang w:val="en-US" w:eastAsia="zh-CN"/>
        </w:rPr>
      </w:pPr>
      <w:r>
        <w:rPr>
          <w:rFonts w:ascii="Times New Roman" w:eastAsia="方正小标宋简体" w:cs="Times New Roman" w:hAnsi="Times New Roman" w:hint="eastAsia"/>
          <w:i w:val="0"/>
          <w:color w:val="000000"/>
          <w:kern w:val="0"/>
          <w:sz w:val="44"/>
          <w:szCs w:val="44"/>
          <w:u w:val="none"/>
          <w:lang w:val="en-US" w:eastAsia="zh-CN"/>
        </w:rPr>
        <w:t>部门预算绩效自评打分表</w:t>
      </w:r>
    </w:p>
    <w:tbl>
      <w:tblPr>
        <w:jc w:val="center"/>
        <w:tblW w:w="10819"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trPr>
          <w:trHeight w:val="23"/>
        </w:trPr>
        <w:tc>
          <w:tcPr>
            <w:tcW w:w="4851"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i w:val="0"/>
                <w:color w:val="000000"/>
                <w:sz w:val="24"/>
                <w:szCs w:val="24"/>
                <w:u w:val="none"/>
              </w:rPr>
            </w:pPr>
            <w:r>
              <w:rPr>
                <w:rFonts w:ascii="黑体" w:eastAsia="黑体" w:cs="黑体" w:hint="eastAsia"/>
                <w:i w:val="0"/>
                <w:color w:val="000000"/>
                <w:kern w:val="0"/>
                <w:sz w:val="24"/>
                <w:szCs w:val="24"/>
                <w:u w:val="none"/>
                <w:lang w:val="en-US" w:eastAsia="zh-CN"/>
              </w:rPr>
              <w:t>绩效评价指标指标分值</w:t>
            </w:r>
          </w:p>
        </w:tc>
        <w:tc>
          <w:tcPr>
            <w:tcW w:w="473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指标解释</w:t>
            </w:r>
          </w:p>
        </w:tc>
        <w:tc>
          <w:tcPr>
            <w:tcW w:w="756"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自评得分</w:t>
            </w:r>
          </w:p>
        </w:tc>
        <w:tc>
          <w:tcPr>
            <w:tcW w:w="478"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kern w:val="0"/>
                <w:sz w:val="24"/>
                <w:szCs w:val="24"/>
                <w:u w:val="none"/>
                <w:lang w:val="en-US" w:eastAsia="zh-CN"/>
              </w:rPr>
            </w:pPr>
            <w:r>
              <w:rPr>
                <w:rFonts w:ascii="黑体" w:eastAsia="黑体" w:cs="黑体" w:hint="eastAsia"/>
                <w:i w:val="0"/>
                <w:color w:val="000000"/>
                <w:kern w:val="0"/>
                <w:sz w:val="24"/>
                <w:szCs w:val="24"/>
                <w:u w:val="none"/>
                <w:lang w:val="en-US" w:eastAsia="zh-CN"/>
              </w:rPr>
              <w:t>备注</w:t>
            </w:r>
          </w:p>
        </w:tc>
      </w:tr>
      <w:tr>
        <w:trPr>
          <w:trHeight w:val="23"/>
        </w:trPr>
        <w:tc>
          <w:tcPr>
            <w:tcW w:w="1004"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一级指标</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二级指标</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eastAsia="黑体" w:cs="黑体" w:hint="eastAsia"/>
                <w:i w:val="0"/>
                <w:color w:val="000000"/>
                <w:sz w:val="24"/>
                <w:szCs w:val="24"/>
                <w:u w:val="none"/>
              </w:rPr>
            </w:pPr>
            <w:r>
              <w:rPr>
                <w:rFonts w:ascii="黑体" w:eastAsia="黑体" w:cs="黑体" w:hint="eastAsia"/>
                <w:i w:val="0"/>
                <w:color w:val="000000"/>
                <w:kern w:val="0"/>
                <w:sz w:val="24"/>
                <w:szCs w:val="24"/>
                <w:u w:val="none"/>
                <w:lang w:val="en-US" w:eastAsia="zh-CN"/>
              </w:rPr>
              <w:t>指标</w:t>
              <w:br/>
              <w:t>分值</w:t>
            </w:r>
          </w:p>
        </w:tc>
        <w:tc>
          <w:tcPr>
            <w:tcW w:w="473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56" w:type="dxa"/>
            <w:vMerge/>
            <w:tcBorders>
              <w:top w:val="nil"/>
              <w:left w:val="single" w:sz="4" w:space="0" w:color="000000"/>
              <w:bottom w:val="single" w:sz="4" w:space="0" w:color="000000"/>
              <w:right w:val="single" w:sz="4" w:space="0" w:color="000000"/>
            </w:tcBorders>
            <w:shd w:val="clear" w:color="auto" w:fill="auto"/>
            <w:noWrap/>
            <w:vAlign w:val="center"/>
          </w:tcPr>
          <w:p/>
        </w:tc>
        <w:tc>
          <w:tcPr>
            <w:tcW w:w="478" w:type="dxa"/>
            <w:vMerge/>
            <w:tcBorders>
              <w:top w:val="nil"/>
              <w:left w:val="single" w:sz="4" w:space="0" w:color="000000"/>
              <w:bottom w:val="single" w:sz="4" w:space="0" w:color="000000"/>
              <w:right w:val="single" w:sz="4" w:space="0" w:color="000000"/>
            </w:tcBorders>
            <w:shd w:val="clear" w:color="auto" w:fill="auto"/>
            <w:noWrap/>
            <w:vAlign w:val="center"/>
          </w:tc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履职效能</w:t>
              <w:br/>
              <w:t>（15分）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数量履职效果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部门整体绩效目标中选定3-5个核心职能目标，反映该项职能目标完成效果情况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nil"/>
              <w:left w:val="single" w:sz="4" w:space="0" w:color="000000"/>
              <w:bottom w:val="nil"/>
              <w:right w:val="single" w:sz="4" w:space="0" w:color="000000"/>
            </w:tcBorders>
            <w:shd w:val="clear" w:color="auto" w:fill="auto"/>
            <w:noWrap/>
            <w:vAlign w:val="center"/>
          </w:tcPr>
          <w:p/>
        </w:tc>
        <w:tc>
          <w:tcPr>
            <w:tcW w:w="1462" w:type="dxa"/>
            <w:vMerge/>
            <w:tcBorders>
              <w:top w:val="nil"/>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质量履职效果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nil"/>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nil"/>
              <w:left w:val="single" w:sz="4" w:space="0" w:color="000000"/>
              <w:bottom w:val="nil"/>
              <w:right w:val="single" w:sz="4" w:space="0" w:color="000000"/>
            </w:tcBorders>
            <w:shd w:val="clear" w:color="auto" w:fill="auto"/>
            <w:noWrap/>
            <w:vAlign w:val="center"/>
          </w:tcPr>
          <w:p/>
        </w:tc>
        <w:tc>
          <w:tcPr>
            <w:tcW w:w="1462" w:type="dxa"/>
            <w:vMerge/>
            <w:tcBorders>
              <w:top w:val="nil"/>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社会履职效果</w:t>
            </w:r>
          </w:p>
        </w:tc>
        <w:tc>
          <w:tcPr>
            <w:tcW w:w="720"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34" w:type="dxa"/>
            <w:vMerge/>
            <w:tcBorders>
              <w:top w:val="nil"/>
              <w:left w:val="single" w:sz="4" w:space="0" w:color="000000"/>
              <w:bottom w:val="single" w:sz="4" w:space="0" w:color="000000"/>
              <w:right w:val="single" w:sz="4" w:space="0" w:color="000000"/>
            </w:tcBorders>
            <w:shd w:val="clear" w:color="auto" w:fill="auto"/>
            <w:noWrap/>
            <w:vAlign w:val="center"/>
          </w:tcP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预算管理</w:t>
              <w:br/>
              <w:t>（25分）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预算编制质量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8</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部门是否严格按要求编制年初部门预算，年初预算编制的科学性和准确性</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7</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单位收入统筹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部门统筹自有收入程度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支出执行进度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6</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部门1至6月、1至10月预算执行情况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5</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预算年终结余</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部门整体年终预算结余情况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严控一般性支出</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5</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部门严控“三公”经费、会议、培训、差旅、办节办展、办公设备购置、信息网络及软件购置更新、课题经费等8项一般性支出情况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财务管理</w:t>
              <w:br/>
              <w:t>（10分）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财务管理制度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部门财务管理制度建立情况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财务岗位设置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2</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部门财务岗位设置是否符合相关财务管理制度要求</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资金使用规范</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部门资金使用是否符合相关财务管理制度规定</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人均资产变化率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部门人均资产变化情况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资产利用率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部门资产超最低使用年限情况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总体绩效</w:t>
              <w:br/>
              <w:t>（65分）</w:t>
            </w:r>
          </w:p>
        </w:tc>
        <w:tc>
          <w:tcPr>
            <w:tcW w:w="14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资产管理</w:t>
              <w:br/>
              <w:t>（9分）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资产盘活率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部门闲置一年以上的资产盘活情况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2</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采购管理</w:t>
              <w:br/>
              <w:t>（6分）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支持中小企业发展</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部门是否严格执行政府采购促进中小企业发展相关管理办法</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采购执行率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部门政府采购项目资金支付比例情况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项目绩效</w:t>
              <w:br/>
              <w:t>（35分）</w:t>
            </w: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项目决策</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决策程序</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部门预算项目设立是否按规定履行评估论证、申报程序</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目标设置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部门预算项目绩效目标与计划期内的任务量、预算安排的资金量匹配情况，绩效目标设置是否科学合理、规范完整、量化细化、预算匹配</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项目入库</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部门预算项目是否在规定时间完成项目入库</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项目执行</w:t>
              <w:br/>
              <w:t>（12分）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执行同向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部门预算项目实际列支内容是否与绩效目标设置方向相符</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项目调整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部门预算项目是否采取对应调整措施</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nil"/>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执行结果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部门预算项目预算执行情况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目标实现</w:t>
              <w:br/>
              <w:t>（11分）</w:t>
            </w: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目标完成</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部门预算项目绩效目标数量指标完成情况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目标偏离</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4</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部门预算项目绩效目标数量指标实现程度与预期目标的偏离情况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46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66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实现效果</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3</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部门预算项目绩效目标效益指标实施效果</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3</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r>
        <w:trPr>
          <w:trHeight w:val="23"/>
        </w:trPr>
        <w:tc>
          <w:tcPr>
            <w:tcW w:w="100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b/>
                <w:i w:val="0"/>
                <w:color w:val="000000"/>
                <w:sz w:val="24"/>
                <w:szCs w:val="24"/>
                <w:u w:val="none"/>
              </w:rPr>
            </w:pPr>
            <w:r>
              <w:rPr>
                <w:rFonts w:ascii="宋体" w:eastAsia="宋体" w:cs="宋体" w:hint="eastAsia"/>
                <w:b/>
                <w:i w:val="0"/>
                <w:color w:val="000000"/>
                <w:kern w:val="0"/>
                <w:sz w:val="24"/>
                <w:szCs w:val="24"/>
                <w:u w:val="none"/>
                <w:lang w:val="en-US" w:eastAsia="zh-CN"/>
              </w:rPr>
              <w:t>扣分项</w:t>
              <w:br/>
              <w:t>（10分）</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被评价部门配合度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w:t>
            </w:r>
          </w:p>
        </w:tc>
        <w:tc>
          <w:tcPr>
            <w:tcW w:w="47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sz w:val="24"/>
                <w:szCs w:val="24"/>
                <w:u w:val="none"/>
              </w:rPr>
            </w:pPr>
            <w:r>
              <w:rPr>
                <w:rFonts w:ascii="宋体" w:eastAsia="宋体" w:cs="宋体" w:hint="eastAsia"/>
                <w:i w:val="0"/>
                <w:color w:val="000000"/>
                <w:kern w:val="0"/>
                <w:sz w:val="24"/>
                <w:szCs w:val="24"/>
                <w:u w:val="none"/>
                <w:lang w:val="en-US" w:eastAsia="zh-CN"/>
              </w:rPr>
              <w:t>被评价对象工作配合情况</w:t>
            </w:r>
          </w:p>
        </w:tc>
        <w:tc>
          <w:tcPr>
            <w:tcW w:w="7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i w:val="0"/>
                <w:color w:val="000000"/>
                <w:kern w:val="0"/>
                <w:sz w:val="24"/>
                <w:szCs w:val="24"/>
                <w:u w:val="none"/>
                <w:lang w:val="en-US" w:eastAsia="zh-CN"/>
              </w:rPr>
            </w:pPr>
            <w:r>
              <w:rPr>
                <w:rFonts w:ascii="宋体" w:eastAsia="宋体" w:cs="宋体" w:hint="eastAsia"/>
                <w:i w:val="0"/>
                <w:color w:val="000000"/>
                <w:kern w:val="0"/>
                <w:sz w:val="24"/>
                <w:szCs w:val="24"/>
                <w:u w:val="none"/>
                <w:lang w:val="en-US" w:eastAsia="zh-CN"/>
              </w:rPr>
              <w:t>-4</w:t>
            </w:r>
          </w:p>
        </w:tc>
        <w:tc>
          <w:tcPr>
            <w:tcW w:w="4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宋体" w:eastAsia="宋体" w:cs="宋体" w:hint="eastAsia"/>
                <w:i w:val="0"/>
                <w:color w:val="000000"/>
                <w:kern w:val="0"/>
                <w:sz w:val="24"/>
                <w:szCs w:val="24"/>
                <w:u w:val="none"/>
                <w:lang w:val="en-US" w:eastAsia="zh-CN"/>
              </w:rPr>
            </w:pPr>
          </w:p>
        </w:tc>
      </w:tr>
    </w:tbl>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p>
    <w:p>
      <w:pPr>
        <w:keepNext w:val="0"/>
        <w:keepLines w:val="0"/>
        <w:pageBreakBefore w:val="0"/>
        <w:widowControl w:val="0"/>
        <w:kinsoku/>
        <w:wordWrap/>
        <w:overflowPunct/>
        <w:topLinePunct w:val="0"/>
        <w:autoSpaceDE/>
        <w:autoSpaceDN/>
        <w:bidi w:val="0"/>
        <w:spacing w:line="578" w:lineRule="exact"/>
        <w:jc w:val="left"/>
        <w:textAlignment w:val="auto"/>
        <w:rPr>
          <w:rFonts w:ascii="Times New Roman" w:eastAsia="黑体" w:cs="Times New Roman" w:hAnsi="Times New Roman"/>
          <w:kern w:val="2"/>
          <w:sz w:val="32"/>
          <w:szCs w:val="24"/>
          <w:lang w:val="en-US" w:eastAsia="zh-CN" w:bidi="ar-SA"/>
          <w:highlight w:val="auto"/>
        </w:rPr>
      </w:pPr>
      <w:r>
        <w:rPr>
          <w:rFonts w:ascii="Times New Roman" w:eastAsia="黑体" w:cs="Times New Roman" w:hAnsi="Times New Roman"/>
          <w:kern w:val="2"/>
          <w:sz w:val="32"/>
          <w:szCs w:val="24"/>
          <w:lang w:val="en-US" w:eastAsia="zh-CN" w:bidi="ar-SA"/>
          <w:highlight w:val="auto"/>
        </w:rPr>
        <w:t>附表</w:t>
      </w:r>
      <w:r>
        <w:rPr>
          <w:rFonts w:ascii="Times New Roman" w:eastAsia="黑体" w:cs="Times New Roman" w:hAnsi="Times New Roman" w:hint="eastAsia"/>
          <w:kern w:val="2"/>
          <w:sz w:val="32"/>
          <w:szCs w:val="24"/>
          <w:lang w:val="en-US" w:eastAsia="zh-CN" w:bidi="ar-SA"/>
          <w:highlight w:val="auto"/>
        </w:rPr>
        <w:t>2</w:t>
      </w:r>
    </w:p>
    <w:tbl>
      <w:tblPr>
        <w:jc w:val="center"/>
        <w:tblW w:w="10560"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290"/>
        <w:gridCol w:w="1058"/>
        <w:gridCol w:w="926"/>
        <w:gridCol w:w="1113"/>
      </w:tblGrid>
      <w:tr>
        <w:trPr>
          <w:trHeight w:hRule="exact" w:val="762"/>
        </w:trPr>
        <w:tc>
          <w:tcPr>
            <w:tcW w:w="1056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ascii="Times New Roman" w:eastAsia="黑体" w:cs="Times New Roman" w:hAnsi="Times New Roman"/>
                <w:i w:val="0"/>
                <w:color w:val="000000"/>
                <w:sz w:val="28"/>
                <w:szCs w:val="28"/>
                <w:u w:val="none"/>
              </w:rPr>
            </w:pPr>
            <w:r>
              <w:rPr>
                <w:rFonts w:ascii="Times New Roman" w:eastAsia="方正小标宋简体" w:cs="Times New Roman" w:hAnsi="Times New Roman"/>
                <w:i w:val="0"/>
                <w:color w:val="000000"/>
                <w:kern w:val="0"/>
                <w:sz w:val="44"/>
                <w:szCs w:val="44"/>
                <w:u w:val="none"/>
                <w:lang w:val="en-US" w:eastAsia="zh-CN"/>
              </w:rPr>
              <w:t>部门整体绩效目标完成情况自评表</w:t>
            </w:r>
          </w:p>
        </w:tc>
      </w:tr>
      <w:tr>
        <w:trPr>
          <w:trHeight w:val="23"/>
        </w:trPr>
        <w:tc>
          <w:tcPr>
            <w:tcW w:w="10560" w:type="dxa"/>
            <w:gridSpan w:val="9"/>
            <w:tcBorders>
              <w:top w:val="nil"/>
              <w:left w:val="nil"/>
              <w:bottom w:val="nil"/>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8"/>
                <w:szCs w:val="28"/>
                <w:u w:val="none"/>
              </w:rPr>
            </w:pPr>
            <w:r>
              <w:rPr>
                <w:rFonts w:ascii="Times New Roman" w:eastAsia="宋体" w:cs="Times New Roman" w:hAnsi="Times New Roman"/>
                <w:i w:val="0"/>
                <w:color w:val="000000"/>
                <w:kern w:val="0"/>
                <w:sz w:val="28"/>
                <w:szCs w:val="28"/>
                <w:u w:val="none"/>
                <w:lang w:val="en-US" w:eastAsia="zh-CN"/>
              </w:rPr>
              <w:t>（202</w:t>
            </w:r>
            <w:r>
              <w:rPr>
                <w:rFonts w:eastAsia="宋体" w:cs="Times New Roman" w:hint="eastAsia"/>
                <w:i w:val="0"/>
                <w:color w:val="000000"/>
                <w:kern w:val="0"/>
                <w:sz w:val="28"/>
                <w:szCs w:val="28"/>
                <w:u w:val="none"/>
                <w:lang w:val="en-US" w:eastAsia="zh-CN"/>
              </w:rPr>
              <w:t>4</w:t>
            </w:r>
            <w:r>
              <w:rPr>
                <w:rFonts w:ascii="Times New Roman" w:eastAsia="宋体" w:cs="Times New Roman" w:hAnsi="Times New Roman"/>
                <w:i w:val="0"/>
                <w:color w:val="000000"/>
                <w:kern w:val="0"/>
                <w:sz w:val="28"/>
                <w:szCs w:val="28"/>
                <w:u w:val="none"/>
                <w:lang w:val="en-US" w:eastAsia="zh-CN"/>
              </w:rPr>
              <w:t>年度）</w:t>
            </w:r>
          </w:p>
        </w:tc>
      </w:tr>
      <w:tr>
        <w:trPr>
          <w:trHeight w:val="23"/>
        </w:trPr>
        <w:tc>
          <w:tcPr>
            <w:tcW w:w="10560" w:type="dxa"/>
            <w:gridSpan w:val="9"/>
            <w:tcBorders>
              <w:top w:val="nil"/>
              <w:left w:val="nil"/>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ascii="Times New Roman" w:eastAsia="宋体" w:cs="Times New Roman" w:hAnsi="Times New Roman"/>
                <w:i w:val="0"/>
                <w:color w:val="000000"/>
                <w:sz w:val="21"/>
                <w:szCs w:val="21"/>
                <w:u w:val="none"/>
              </w:rPr>
            </w:pPr>
            <w:r>
              <w:rPr>
                <w:rFonts w:ascii="Times New Roman" w:eastAsia="宋体" w:cs="Times New Roman" w:hAnsi="Times New Roman"/>
                <w:i w:val="0"/>
                <w:color w:val="000000"/>
                <w:kern w:val="0"/>
                <w:sz w:val="21"/>
                <w:szCs w:val="21"/>
                <w:u w:val="none"/>
                <w:lang w:val="en-US" w:eastAsia="zh-CN"/>
              </w:rPr>
              <w:t>单位：万元</w:t>
            </w:r>
          </w:p>
        </w:tc>
      </w:tr>
      <w:tr>
        <w:trPr>
          <w:trHeight w:val="23"/>
        </w:trPr>
        <w:tc>
          <w:tcPr>
            <w:tcW w:w="3929"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部门名称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303-观音桥镇</w:t>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年度部门整体支出预算</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资金总额</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财政拨款</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其他资金</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1377</w:t>
            </w:r>
            <w:r>
              <w:rPr>
                <w:rFonts w:eastAsia="宋体" w:cs="Times New Roman" w:hint="eastAsia"/>
                <w:i w:val="0"/>
                <w:color w:val="000000"/>
                <w:sz w:val="24"/>
                <w:szCs w:val="24"/>
                <w:u w:val="none"/>
                <w:lang w:val="en-US" w:eastAsia="zh-CN"/>
              </w:rPr>
              <w:t>.</w:t>
            </w:r>
            <w:r>
              <w:rPr>
                <w:rFonts w:ascii="Times New Roman" w:eastAsia="宋体" w:cs="Times New Roman" w:hAnsi="Times New Roman"/>
                <w:i w:val="0"/>
                <w:color w:val="000000"/>
                <w:sz w:val="24"/>
                <w:szCs w:val="24"/>
                <w:u w:val="none"/>
              </w:rPr>
              <w:t>45</w:t>
            </w:r>
          </w:p>
        </w:tc>
        <w:tc>
          <w:tcPr>
            <w:tcW w:w="22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1289</w:t>
            </w:r>
            <w:r>
              <w:rPr>
                <w:rFonts w:eastAsia="宋体" w:cs="Times New Roman" w:hint="eastAsia"/>
                <w:i w:val="0"/>
                <w:color w:val="000000"/>
                <w:sz w:val="24"/>
                <w:szCs w:val="24"/>
                <w:u w:val="none"/>
                <w:lang w:val="en-US" w:eastAsia="zh-CN"/>
              </w:rPr>
              <w:t>.</w:t>
            </w:r>
            <w:r>
              <w:rPr>
                <w:rFonts w:ascii="Times New Roman" w:eastAsia="宋体" w:cs="Times New Roman" w:hAnsi="Times New Roman"/>
                <w:i w:val="0"/>
                <w:color w:val="000000"/>
                <w:sz w:val="24"/>
                <w:szCs w:val="24"/>
                <w:u w:val="none"/>
              </w:rPr>
              <w:t>45</w:t>
            </w:r>
          </w:p>
        </w:tc>
        <w:tc>
          <w:tcPr>
            <w:tcW w:w="4387"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88</w:t>
            </w:r>
          </w:p>
        </w:tc>
      </w:tr>
      <w:tr>
        <w:trPr>
          <w:trHeight w:val="23"/>
        </w:trPr>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目标</w:t>
            </w:r>
          </w:p>
        </w:tc>
        <w:tc>
          <w:tcPr>
            <w:tcW w:w="9251"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tabs>
                <w:tab w:val="left" w:pos="833"/>
              </w:tabs>
              <w:kinsoku/>
              <w:wordWrap/>
              <w:overflowPunct/>
              <w:topLinePunct w:val="0"/>
              <w:autoSpaceDE/>
              <w:autoSpaceDN/>
              <w:bidi w:val="0"/>
              <w:adjustRightInd/>
              <w:snapToGrid/>
              <w:spacing w:line="300" w:lineRule="exact"/>
              <w:ind w:firstLineChars="200" w:firstLine="480"/>
              <w:jc w:val="left"/>
              <w:textAlignment w:val="center"/>
              <w:outlineLvl w:val="9"/>
              <w:rPr>
                <w:rFonts w:ascii="Times New Roman" w:eastAsia="宋体" w:cs="Times New Roman" w:hAnsi="Times New Roman" w:hint="eastAsia"/>
                <w:i w:val="0"/>
                <w:color w:val="000000"/>
                <w:sz w:val="24"/>
                <w:szCs w:val="24"/>
                <w:u w:val="none"/>
                <w:lang w:eastAsia="zh-CN"/>
              </w:rPr>
            </w:pPr>
            <w:r>
              <w:rPr>
                <w:rFonts w:eastAsia="宋体" w:cs="Times New Roman" w:hint="eastAsia"/>
                <w:i w:val="0"/>
                <w:color w:val="000000"/>
                <w:sz w:val="24"/>
                <w:szCs w:val="24"/>
                <w:u w:val="none"/>
                <w:lang w:eastAsia="zh-CN"/>
              </w:rPr>
              <w:t>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tab/>
              <w:tab/>
              <w:tab/>
              <w:tab/>
              <w:tab/>
              <w:tab/>
              <w:tab/>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w:t>
            </w: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任务名称</w:t>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主要内容</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行政机构工作职责</w:t>
              <w:tab/>
              <w:tab/>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ind w:firstLineChars="200" w:firstLine="440"/>
              <w:jc w:val="left"/>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2"/>
                <w:szCs w:val="22"/>
                <w:u w:val="none"/>
              </w:rPr>
              <w:t>宣传落实好党的路线、方针、政策和国家的法律、法规，极高、培育村民委员会自制能力。检查和督促党的方针政策及重要工作计划的贯彻实施情况，负责起草党委、政府文件及各种文稿，负责做好重大问题归口报告，认真做好上情下达、下情上达；负责来文来电办理，及时、准确、保密；负责贯彻执行党和国家及省、市、县关于扶贫开发工作方针、政策和法律、法规；研究制定和草拟镇扶贫开发中长期规划和年度计划，并组织实施；负责组织和管理镇财政收入和支出；编制年度预决算，执行镇人代会批准的财政预算，对镇财力进行综合平衡；配合上级财政及有关部门组织项目实施及相关工作；负责管理镇行政事业单位和其他组织的预算外资金；负责管理镇政府债务、管理镇资产；加强财务管理，提高理财水平，建立严格的财务管理制度，量财办事，勤俭节约，做好政府后勤工作；坚持“以人为本、从严理财”的原则，规范财务管理制度。宣传党和政府的方针、政策和法律、法规，做好群众的思想工作；落实上级有关群众工作的部署，负责本镇群众工作的综合管理、协调服务工作，解决群众诉求；做好人民调解工作，防止民间纠纷激化；协助政法部门加强对外来人口的管理，严厉打击各种犯罪活动，维护社会稳定；开展信访和群众工作调查研究，贯彻执行有关社会治安综合治理的法律、法规和方针、政策。负责本辖区内土地出让、村居民建房手续的初核上报工作；负责配合上级部门搞好辖区内各村（居）委土地利用总体规划；协同村（社区）搞好本辖区内的土地纠纷的调处工作；负责上级主管部门开展辖区内的市政建设等基础设施工作；负责配合协调上级部门搞好本区域内涉及的征地拆迁和安置工作；协同上级部门搞好经济适用房、廉租房等的统计、核实、上报工作；负责配合、协调上级部门搞好城镇建设的其他相关工作。</w:t>
            </w:r>
            <w:r>
              <w:rPr>
                <w:rFonts w:ascii="Times New Roman" w:eastAsia="宋体" w:cs="Times New Roman" w:hAnsi="Times New Roman"/>
                <w:i w:val="0"/>
                <w:color w:val="000000"/>
                <w:sz w:val="24"/>
                <w:szCs w:val="24"/>
                <w:u w:val="none"/>
              </w:rPr>
              <w:tab/>
              <w:tab/>
              <w:tab/>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事业机构主要职责</w:t>
              <w:tab/>
              <w:tab/>
            </w:r>
          </w:p>
        </w:tc>
        <w:tc>
          <w:tcPr>
            <w:tcW w:w="6631"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firstLineChars="200" w:firstLine="440"/>
              <w:jc w:val="left"/>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2"/>
                <w:szCs w:val="22"/>
                <w:u w:val="none"/>
              </w:rPr>
              <w:t>做好关系转移、联络接待、困难帮扶、信息采集、情况反映、立功喜报、悬挂光荣牌和“八一”、春节等重要节日及重大变故走访慰问等具体事务</w:t>
            </w:r>
            <w:r>
              <w:rPr>
                <w:rFonts w:ascii="Times New Roman" w:eastAsia="宋体" w:cs="Times New Roman" w:hAnsi="Times New Roman"/>
                <w:i w:val="0"/>
                <w:color w:val="000000"/>
                <w:sz w:val="24"/>
                <w:szCs w:val="24"/>
                <w:u w:val="none"/>
              </w:rPr>
              <w:tab/>
              <w:tab/>
              <w:tab/>
            </w:r>
          </w:p>
        </w:tc>
      </w:tr>
      <w:tr>
        <w:trPr>
          <w:trHeight w:val="23"/>
        </w:trPr>
        <w:tc>
          <w:tcPr>
            <w:tcW w:w="13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w:t>
            </w: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一级指标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二级指标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三级指标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性质</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绩效指标值</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绩效度量单位</w:t>
            </w:r>
          </w:p>
        </w:tc>
        <w:tc>
          <w:tcPr>
            <w:tcW w:w="926" w:type="dxa"/>
            <w:tcBorders>
              <w:top w:val="single" w:sz="4" w:space="0" w:color="000000"/>
              <w:left w:val="single" w:sz="4" w:space="0" w:color="000000"/>
              <w:bottom w:val="single" w:sz="4" w:space="0" w:color="000000"/>
              <w:right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权重</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指标值</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产出指标</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数量指标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科目调整次数</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次</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nil"/>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2</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人员经费足额保障率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ind w:firstLine="383"/>
              <w:jc w:val="both"/>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质量指标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预算编制准确率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时效指标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按时发放率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效益指标</w:t>
            </w:r>
          </w:p>
        </w:tc>
        <w:tc>
          <w:tcPr>
            <w:tcW w:w="1273" w:type="dxa"/>
            <w:vMerge w:val="restart"/>
            <w:tcBorders>
              <w:top w:val="single" w:sz="4" w:space="0" w:color="000000"/>
              <w:left w:val="single" w:sz="4" w:space="0" w:color="000000"/>
              <w:bottom w:val="nil"/>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eastAsia="宋体" w:cs="Times New Roman" w:hint="eastAsia"/>
                <w:i w:val="0"/>
                <w:color w:val="000000"/>
                <w:kern w:val="0"/>
                <w:sz w:val="24"/>
                <w:szCs w:val="24"/>
                <w:u w:val="none"/>
                <w:lang w:val="en-US" w:eastAsia="zh-CN"/>
              </w:rPr>
              <w:t>经济</w:t>
            </w:r>
            <w:r>
              <w:rPr>
                <w:rFonts w:ascii="Times New Roman" w:eastAsia="宋体" w:cs="Times New Roman" w:hAnsi="Times New Roman"/>
                <w:i w:val="0"/>
                <w:color w:val="000000"/>
                <w:kern w:val="0"/>
                <w:sz w:val="24"/>
                <w:szCs w:val="24"/>
                <w:u w:val="none"/>
                <w:lang w:val="en-US" w:eastAsia="zh-CN"/>
              </w:rPr>
              <w:t>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kern w:val="0"/>
                <w:sz w:val="24"/>
                <w:szCs w:val="24"/>
                <w:u w:val="none"/>
                <w:lang w:val="en-US" w:eastAsia="zh-CN"/>
              </w:rPr>
            </w:pPr>
            <w:r>
              <w:rPr>
                <w:rFonts w:ascii="Times New Roman" w:eastAsia="宋体" w:cs="Times New Roman" w:hAnsi="Times New Roman"/>
                <w:i w:val="0"/>
                <w:color w:val="000000"/>
                <w:kern w:val="0"/>
                <w:sz w:val="24"/>
                <w:szCs w:val="24"/>
                <w:u w:val="none"/>
                <w:lang w:val="en-US" w:eastAsia="zh-CN"/>
              </w:rPr>
              <w:t>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outlineLvl w:val="9"/>
              <w:rPr>
                <w:rFonts w:ascii="Times New Roman" w:eastAsia="宋体" w:cs="Times New Roman" w:hAnsi="Times New Roman"/>
                <w:i w:val="0"/>
                <w:color w:val="000000"/>
                <w:sz w:val="24"/>
                <w:szCs w:val="24"/>
                <w:u w:val="none"/>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三公经费控制率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nil"/>
              <w:left w:val="single" w:sz="4" w:space="0" w:color="000000"/>
              <w:bottom w:val="nil"/>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预算结余率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5</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15</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1</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273" w:type="dxa"/>
            <w:vMerge/>
            <w:tcBorders>
              <w:top w:val="nil"/>
              <w:left w:val="single" w:sz="4" w:space="0" w:color="000000"/>
              <w:bottom w:val="single" w:sz="4" w:space="0" w:color="000000"/>
              <w:right w:val="single" w:sz="4" w:space="0" w:color="000000"/>
            </w:tcBorders>
            <w:shd w:val="clear" w:color="auto" w:fill="auto"/>
            <w:noWrap/>
            <w:vAlign w:val="center"/>
          </w:tcP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运转保障率</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100</w:t>
            </w:r>
          </w:p>
        </w:tc>
      </w:tr>
      <w:tr>
        <w:trPr>
          <w:trHeight w:val="23"/>
        </w:trPr>
        <w:tc>
          <w:tcPr>
            <w:tcW w:w="1309"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134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2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kern w:val="0"/>
                <w:sz w:val="24"/>
                <w:szCs w:val="24"/>
                <w:u w:val="none"/>
                <w:lang w:val="en-US" w:eastAsia="zh-CN"/>
              </w:rPr>
              <w:t>满意度指标</w:t>
            </w:r>
          </w:p>
        </w:tc>
        <w:tc>
          <w:tcPr>
            <w:tcW w:w="110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both"/>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人民群众满意度</w:t>
            </w:r>
          </w:p>
        </w:tc>
        <w:tc>
          <w:tcPr>
            <w:tcW w:w="1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rPr>
            </w:pPr>
            <w:r>
              <w:rPr>
                <w:rFonts w:ascii="Times New Roman" w:eastAsia="宋体" w:cs="Times New Roman" w:hAnsi="Times New Roman"/>
                <w:i w:val="0"/>
                <w:color w:val="000000"/>
                <w:sz w:val="24"/>
                <w:szCs w:val="24"/>
                <w:u w:val="none"/>
              </w:rPr>
              <w:t>≥</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99</w:t>
            </w:r>
          </w:p>
        </w:tc>
        <w:tc>
          <w:tcPr>
            <w:tcW w:w="10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hint="eastAsia"/>
                <w:i w:val="0"/>
                <w:color w:val="000000"/>
                <w:sz w:val="24"/>
                <w:szCs w:val="24"/>
                <w:u w:val="none"/>
                <w:lang w:val="en-US" w:eastAsia="zh-CN"/>
              </w:rPr>
            </w:pPr>
            <w:r>
              <w:rPr>
                <w:rFonts w:eastAsia="宋体" w:cs="Times New Roman" w:hint="eastAsia"/>
                <w:i w:val="0"/>
                <w:color w:val="000000"/>
                <w:sz w:val="24"/>
                <w:szCs w:val="24"/>
                <w:u w:val="none"/>
                <w:lang w:val="en-US" w:eastAsia="zh-CN"/>
              </w:rPr>
              <w:t>%</w:t>
            </w:r>
          </w:p>
        </w:tc>
        <w:tc>
          <w:tcPr>
            <w:tcW w:w="9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ascii="Times New Roman" w:eastAsia="宋体" w:cs="Times New Roman" w:hAnsi="Times New Roman"/>
                <w:i w:val="0"/>
                <w:color w:val="000000"/>
                <w:sz w:val="24"/>
                <w:szCs w:val="24"/>
                <w:u w:val="none"/>
                <w:lang w:val="en-US" w:eastAsia="zh-CN"/>
              </w:rPr>
            </w:pPr>
            <w:r>
              <w:rPr>
                <w:rFonts w:eastAsia="宋体" w:cs="Times New Roman" w:hint="eastAsia"/>
                <w:i w:val="0"/>
                <w:color w:val="000000"/>
                <w:sz w:val="24"/>
                <w:szCs w:val="24"/>
                <w:u w:val="none"/>
                <w:lang w:val="en-US" w:eastAsia="zh-CN"/>
              </w:rPr>
              <w:t>99</w:t>
            </w:r>
          </w:p>
        </w:tc>
      </w:tr>
    </w:tbl>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rPr>
          <w:rFonts w:ascii="黑体" w:eastAsia="黑体"/>
          <w:sz w:val="32"/>
          <w:szCs w:val="32"/>
          <w:lang w:val="en-US" w:eastAsia="zh-CN"/>
        </w:rPr>
      </w:pPr>
    </w:p>
    <w:p>
      <w:pPr>
        <w:pStyle w:val="1"/>
        <w:jc w:val="center"/>
        <w:rPr>
          <w:rFonts w:ascii="黑体" w:eastAsia="黑体" w:cs="黑体" w:hint="eastAsia"/>
          <w:b w:val="0"/>
          <w:sz w:val="44"/>
          <w:szCs w:val="44"/>
          <w:lang w:val="en-US" w:eastAsia="zh-CN" w:bidi="ar-SA"/>
        </w:rPr>
      </w:pPr>
      <w:bookmarkStart w:id="85" w:name="_Toc10165"/>
      <w:r>
        <w:rPr>
          <w:rFonts w:ascii="黑体" w:eastAsia="黑体" w:cs="黑体" w:hint="eastAsia"/>
          <w:b w:val="0"/>
          <w:sz w:val="44"/>
          <w:szCs w:val="44"/>
          <w:lang w:val="en-US" w:eastAsia="zh-CN" w:bidi="ar-SA"/>
        </w:rPr>
        <w:t>第五部分 附表</w:t>
      </w:r>
      <w:bookmarkStart w:id="86" w:name="_Toc15396619"/>
      <w:bookmarkEnd w:id="85"/>
    </w:p>
    <w:p>
      <w:pPr>
        <w:pStyle w:val="22"/>
        <w:tabs>
          <w:tab w:val="right" w:leader="dot" w:pos="8296"/>
        </w:tabs>
        <w:adjustRightInd w:val="0"/>
        <w:snapToGrid w:val="0"/>
        <w:spacing w:line="560" w:lineRule="exact"/>
        <w:jc w:val="left"/>
        <w:rPr>
          <w:rFonts w:eastAsia="仿宋_GB2312" w:cs="仿宋_GB2312"/>
          <w:sz w:val="32"/>
          <w:szCs w:val="32"/>
        </w:rPr>
      </w:pPr>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一、收入支出决算总表</w:t>
      </w:r>
      <w:bookmarkEnd w:id="86"/>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87" w:name="_Toc15396620"/>
      <w:r>
        <w:rPr>
          <w:rFonts w:ascii="Times New Roman" w:eastAsia="方正仿宋_GBK" w:cs="Times New Roman" w:hAnsi="Times New Roman"/>
          <w:sz w:val="32"/>
          <w:szCs w:val="32"/>
        </w:rPr>
        <w:t>二、收入决算表</w:t>
      </w:r>
      <w:bookmarkEnd w:id="87"/>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88" w:name="_Toc15396621"/>
      <w:r>
        <w:rPr>
          <w:rFonts w:ascii="Times New Roman" w:eastAsia="方正仿宋_GBK" w:cs="Times New Roman" w:hAnsi="Times New Roman"/>
          <w:sz w:val="32"/>
          <w:szCs w:val="32"/>
        </w:rPr>
        <w:t>三、支出决算表</w:t>
      </w:r>
      <w:bookmarkEnd w:id="88"/>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89" w:name="_Toc15396622"/>
      <w:r>
        <w:rPr>
          <w:rFonts w:ascii="Times New Roman" w:eastAsia="方正仿宋_GBK" w:cs="Times New Roman" w:hAnsi="Times New Roman"/>
          <w:sz w:val="32"/>
          <w:szCs w:val="32"/>
        </w:rPr>
        <w:t>四、财政拨款收入支出决算总表</w:t>
      </w:r>
      <w:bookmarkEnd w:id="89"/>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0" w:name="_Toc15396623"/>
      <w:r>
        <w:rPr>
          <w:rFonts w:ascii="Times New Roman" w:eastAsia="方正仿宋_GBK" w:cs="Times New Roman" w:hAnsi="Times New Roman"/>
          <w:sz w:val="32"/>
          <w:szCs w:val="32"/>
        </w:rPr>
        <w:t>五、财政拨款支出决算明细表</w:t>
      </w:r>
      <w:bookmarkStart w:id="91" w:name="_Toc15396624"/>
      <w:bookmarkEnd w:id="90"/>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r>
        <w:rPr>
          <w:rFonts w:ascii="Times New Roman" w:eastAsia="方正仿宋_GBK" w:cs="Times New Roman" w:hAnsi="Times New Roman"/>
          <w:sz w:val="32"/>
          <w:szCs w:val="32"/>
        </w:rPr>
        <w:t>六、一般公共预算财政拨款支出决算表</w:t>
      </w:r>
      <w:bookmarkEnd w:id="91"/>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2" w:name="_Toc15396625"/>
      <w:r>
        <w:rPr>
          <w:rFonts w:ascii="Times New Roman" w:eastAsia="方正仿宋_GBK" w:cs="Times New Roman" w:hAnsi="Times New Roman"/>
          <w:sz w:val="32"/>
          <w:szCs w:val="32"/>
        </w:rPr>
        <w:t>七、一般公共预算财政拨款支出决算明细表</w:t>
      </w:r>
      <w:bookmarkEnd w:id="92"/>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3" w:name="_Toc15396626"/>
      <w:r>
        <w:rPr>
          <w:rFonts w:ascii="Times New Roman" w:eastAsia="方正仿宋_GBK" w:cs="Times New Roman" w:hAnsi="Times New Roman"/>
          <w:sz w:val="32"/>
          <w:szCs w:val="32"/>
        </w:rPr>
        <w:t>八、一般公共预算财政拨款基本支出决算表</w:t>
      </w:r>
      <w:bookmarkEnd w:id="93"/>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4" w:name="_Toc15396627"/>
      <w:r>
        <w:rPr>
          <w:rFonts w:ascii="Times New Roman" w:eastAsia="方正仿宋_GBK" w:cs="Times New Roman" w:hAnsi="Times New Roman"/>
          <w:sz w:val="32"/>
          <w:szCs w:val="32"/>
        </w:rPr>
        <w:t>九、一般公共预算财政拨款项目支出决算表</w:t>
      </w:r>
      <w:bookmarkEnd w:id="94"/>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5" w:name="_Toc15396628"/>
      <w:r>
        <w:rPr>
          <w:rFonts w:ascii="Times New Roman" w:eastAsia="方正仿宋_GBK" w:cs="Times New Roman" w:hAnsi="Times New Roman"/>
          <w:sz w:val="32"/>
          <w:szCs w:val="32"/>
        </w:rPr>
        <w:t>十、</w:t>
      </w:r>
      <w:bookmarkEnd w:id="95"/>
      <w:r>
        <w:rPr>
          <w:rFonts w:ascii="Times New Roman" w:eastAsia="方正仿宋_GBK" w:cs="Times New Roman" w:hAnsi="Times New Roman"/>
          <w:sz w:val="32"/>
          <w:szCs w:val="32"/>
        </w:rPr>
        <w:t>政府性基金预算财政拨款收入支出决算表</w:t>
      </w:r>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6" w:name="_Toc15396629"/>
      <w:r>
        <w:rPr>
          <w:rFonts w:ascii="Times New Roman" w:eastAsia="方正仿宋_GBK" w:cs="Times New Roman" w:hAnsi="Times New Roman"/>
          <w:sz w:val="32"/>
          <w:szCs w:val="32"/>
        </w:rPr>
        <w:t>十一、</w:t>
      </w:r>
      <w:bookmarkEnd w:id="96"/>
      <w:r>
        <w:rPr>
          <w:rFonts w:ascii="Times New Roman" w:eastAsia="方正仿宋_GBK" w:cs="Times New Roman" w:hAnsi="Times New Roman"/>
          <w:sz w:val="32"/>
          <w:szCs w:val="32"/>
        </w:rPr>
        <w:t>国有资本经营预算财政拨款收入支出决算表</w:t>
      </w:r>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7" w:name="_Toc15396630"/>
      <w:r>
        <w:rPr>
          <w:rFonts w:ascii="Times New Roman" w:eastAsia="方正仿宋_GBK" w:cs="Times New Roman" w:hAnsi="Times New Roman"/>
          <w:sz w:val="32"/>
          <w:szCs w:val="32"/>
        </w:rPr>
        <w:t>十二、</w:t>
      </w:r>
      <w:bookmarkEnd w:id="97"/>
      <w:r>
        <w:rPr>
          <w:rFonts w:ascii="Times New Roman" w:eastAsia="方正仿宋_GBK" w:cs="Times New Roman" w:hAnsi="Times New Roman"/>
          <w:sz w:val="32"/>
          <w:szCs w:val="32"/>
        </w:rPr>
        <w:t>国有资本经营预算财政拨款支出决算表</w:t>
      </w:r>
    </w:p>
    <w:p>
      <w:pPr>
        <w:pStyle w:val="22"/>
        <w:tabs>
          <w:tab w:val="right" w:leader="dot" w:pos="8296"/>
        </w:tabs>
        <w:adjustRightInd w:val="0"/>
        <w:snapToGrid w:val="0"/>
        <w:spacing w:line="560" w:lineRule="exact"/>
        <w:jc w:val="left"/>
        <w:rPr>
          <w:rFonts w:ascii="Times New Roman" w:eastAsia="方正仿宋_GBK" w:cs="Times New Roman" w:hAnsi="Times New Roman"/>
          <w:sz w:val="32"/>
          <w:szCs w:val="32"/>
        </w:rPr>
      </w:pPr>
      <w:bookmarkStart w:id="98" w:name="_Toc15396631"/>
      <w:r>
        <w:rPr>
          <w:rFonts w:ascii="Times New Roman" w:eastAsia="方正仿宋_GBK" w:cs="Times New Roman" w:hAnsi="Times New Roman"/>
          <w:sz w:val="32"/>
          <w:szCs w:val="32"/>
        </w:rPr>
        <w:t>十三、</w:t>
      </w:r>
      <w:bookmarkEnd w:id="98"/>
      <w:r>
        <w:rPr>
          <w:rFonts w:ascii="Times New Roman" w:eastAsia="方正仿宋_GBK" w:cs="Times New Roman" w:hAnsi="Times New Roman"/>
          <w:sz w:val="32"/>
          <w:szCs w:val="32"/>
        </w:rPr>
        <w:t>财政拨款“三公”经费支出决算表</w:t>
      </w:r>
    </w:p>
    <w:p>
      <w:pPr>
        <w:rPr>
          <w:rFonts w:ascii="黑体" w:eastAsia="黑体"/>
          <w:sz w:val="32"/>
          <w:szCs w:val="32"/>
          <w:lang w:val="en-US" w:eastAsia="zh-CN"/>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Times New Roman">
    <w:altName w:val="AR PL UKai CN"/>
    <w:panose1 w:val="02020603050405020304"/>
    <w:charset w:val="86"/>
    <w:family w:val="auto"/>
    <w:pitch w:val="variable"/>
    <w:sig w:usb0="E0002EFF" w:usb1="C000785B" w:usb2="00000009" w:usb3="00000000" w:csb0="400001FF" w:csb1="FFFF0000"/>
  </w:font>
  <w:font w:name="宋体">
    <w:altName w:val="方正书宋_GBK"/>
    <w:panose1 w:val="02010600030101010101"/>
    <w:charset w:val="7A"/>
    <w:family w:val="auto"/>
    <w:pitch w:val="variable"/>
    <w:sig w:usb0="00000203" w:usb1="288F0000" w:usb2="0000000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altName w:val="仿宋_GB2312"/>
    <w:panose1 w:val="02010609060101010101"/>
    <w:charset w:val="86"/>
    <w:family w:val="modern"/>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Cambria">
    <w:altName w:val="DejaVu Sans"/>
    <w:panose1 w:val="02040503050406030204"/>
    <w:charset w:val="00"/>
    <w:family w:val="roman"/>
    <w:pitch w:val="variable"/>
    <w:sig w:usb0="E00006FF" w:usb1="420024FF" w:usb2="02000000" w:usb3="00000000" w:csb0="2000019F" w:csb1="00000000"/>
  </w:font>
  <w:font w:name="Calibri">
    <w:altName w:val="DejaVu Sans"/>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825701960"/>
      <w:docPartList>
        <w:docPartGallery w:val="Quick Parts"/>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18</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5"/>
  </w:compat>
  <w:docVars>
    <w:docVar w:name="commondata" w:val="eyJoZGlkIjoiYzYwMDE5OWM3NDVmZmIwNWYxOWQwNGM1NmI5MGM3Y2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Normal (Web)"/>
    <w:basedOn w:val="0"/>
    <w:pPr>
      <w:widowControl/>
      <w:spacing w:beforeAutospacing="1" w:afterAutospacing="1"/>
      <w:jc w:val="left"/>
    </w:pPr>
    <w:rPr>
      <w:rFonts w:ascii="宋体"/>
      <w:kern w:val="0"/>
      <w:sz w:val="24"/>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100" w:beforeAutospacing="1" w:after="100"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33">
    <w:name w:val="WPSOffice手动目录 1"/>
    <w:rPr>
      <w:rFonts w:ascii="Times New Roman" w:eastAsia="宋体" w:cs="Times New Roman" w:hAnsi="Times New Roman"/>
      <w:sz w:val="20"/>
      <w:szCs w:val="20"/>
    </w:rPr>
  </w:style>
  <w:style w:type="paragraph" w:customStyle="1" w:styleId="34">
    <w:name w:val="WPSOffice手动目录 2"/>
    <w:pPr>
      <w:ind w:leftChars="200" w:left="200"/>
    </w:pPr>
    <w:rPr>
      <w:rFonts w:ascii="Times New Roman" w:eastAsia="宋体" w:cs="Times New Roman" w:hAnsi="Times New Roman"/>
      <w:sz w:val="20"/>
      <w:szCs w:val="20"/>
    </w:rPr>
  </w:style>
  <w:style w:type="paragraph" w:customStyle="1" w:styleId="35">
    <w:name w:val="WPSOffice手动目录 3"/>
    <w:pPr>
      <w:ind w:leftChars="400" w:left="400"/>
    </w:pPr>
    <w:rPr>
      <w:rFonts w:ascii="Times New Roman" w:eastAsia="宋体" w:cs="Times New Roman" w:hAnsi="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styles" Target="styles.xml"/><Relationship Id="rId1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22523"/>
          <c:y val="0.2401951"/>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2024年</c:v>
                </c:pt>
                <c:pt idx="1">
                  <c:v>2023年</c:v>
                </c:pt>
              </c:strCache>
            </c:strRef>
          </c:cat>
          <c:val>
            <c:numRef>
              <c:f>'Sheet1'!$B$2:$B$3</c:f>
              <c:numCache>
                <c:formatCode>General</c:formatCode>
                <c:ptCount val="2"/>
                <c:pt idx="0">
                  <c:v>1745.09</c:v>
                </c:pt>
                <c:pt idx="1">
                  <c:v>1743.83</c:v>
                </c:pt>
              </c:numCache>
            </c:numRef>
          </c:val>
        </c:ser>
        <c:ser>
          <c:idx val="1"/>
          <c:order val="1"/>
          <c:tx>
            <c:strRef>
              <c:f>'Sheet1'!$C$1</c:f>
              <c:strCache>
                <c:ptCount val="1"/>
                <c:pt idx="0">
                  <c:v>总支出</c:v>
                </c:pt>
              </c:strCache>
            </c:strRef>
          </c:tx>
          <c:spPr>
            <a:solidFill>
              <a:srgbClr val="C0504D">
                <a:alpha val="85000"/>
              </a:srgbClr>
            </a:solidFill>
            <a:ln w="6350">
              <a:solidFill>
                <a:srgbClr val="FFFFFF"/>
              </a:solidFill>
              <a:prstDash val="solid"/>
            </a:ln>
          </c:spPr>
          <c:invertIfNegative val="0"/>
          <c:dLbls>
            <c:spPr>
              <a:noFill/>
              <a:ln>
                <a:noFill/>
              </a:ln>
            </c:spPr>
            <c:txPr>
              <a:bodyPr vert="horz"/>
              <a:lstStyle/>
              <a:p>
                <a:pPr>
                  <a:defRPr sz="900" b="1" i="0" u="none" strike="noStrike" baseline="0">
                    <a:solidFill>
                      <a:srgbClr val="FFFFFF"/>
                    </a:solidFill>
                    <a:latin typeface="AR PL UKai CN"/>
                    <a:ea typeface="AR PL UKai CN"/>
                    <a:cs typeface="Lucida Sans"/>
                  </a:defRPr>
                </a:pPr>
                <a:endParaRPr lang="zh-CN"/>
              </a:p>
            </c:txPr>
            <c:numFmt formatCode="General" sourceLinked="1"/>
            <c:dLblPos val="inEnd"/>
            <c:showLegendKey val="0"/>
            <c:showVal val="1"/>
            <c:showCatName val="0"/>
            <c:showSerName val="0"/>
            <c:showPercent val="0"/>
            <c:showBubbleSize val="0"/>
            <c:showLeaderLines val="0"/>
          </c:dLbls>
          <c:cat>
            <c:strRef>
              <c:f>'Sheet1'!$A$2:$A$3</c:f>
              <c:strCache>
                <c:ptCount val="2"/>
                <c:pt idx="0">
                  <c:v>2024年</c:v>
                </c:pt>
                <c:pt idx="1">
                  <c:v>2023年</c:v>
                </c:pt>
              </c:strCache>
            </c:strRef>
          </c:cat>
          <c:val>
            <c:numRef>
              <c:f>'Sheet1'!$C$2:$C$3</c:f>
              <c:numCache>
                <c:formatCode>General</c:formatCode>
                <c:ptCount val="2"/>
                <c:pt idx="0">
                  <c:v>1745.09</c:v>
                </c:pt>
                <c:pt idx="1">
                  <c:v>1743.83</c:v>
                </c:pt>
              </c:numCache>
            </c:numRef>
          </c:val>
        </c:ser>
        <c:gapWidth val="65"/>
        <c:axId val="0"/>
        <c:axId val="1"/>
      </c:barChart>
      <c:catAx>
        <c:axId val="0"/>
        <c:scaling>
          <c:orientation val="minMax"/>
        </c:scaling>
        <c:delete val="0"/>
        <c:axPos val="b"/>
        <c:numFmt formatCode="General" sourceLinked="1"/>
        <c:majorTickMark val="none"/>
        <c:minorTickMark val="none"/>
        <c:tickLblPos val="nextTo"/>
        <c:spPr>
          <a:ln w="19050">
            <a:solidFill>
              <a:srgbClr val="404040"/>
            </a:solidFill>
            <a:prstDash val="solid"/>
          </a:ln>
        </c:spPr>
        <c:txPr>
          <a:bodyPr/>
          <a:lstStyle/>
          <a:p>
            <a:pPr>
              <a:defRPr sz="900" b="0" i="0" u="none" strike="noStrike" cap="all" baseline="0">
                <a:solidFill>
                  <a:srgbClr val="40404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1"/>
        <c:axPos val="l"/>
        <c:majorGridlines>
          <c:spPr>
            <a:ln w="6350">
              <a:solidFill>
                <a:srgbClr val="868686"/>
              </a:solidFill>
              <a:prstDash val="solid"/>
            </a:ln>
          </c:spPr>
        </c:majorGridlines>
        <c:numFmt formatCode="General" sourceLinked="1"/>
        <c:majorTickMark val="none"/>
        <c:minorTickMark val="none"/>
        <c:tickLblPos val="none"/>
        <c:txPr>
          <a:bodyPr/>
          <a:lstStyle/>
          <a:p>
            <a:pPr>
              <a:defRPr sz="900" b="0" i="0" u="none" strike="noStrike" baseline="0">
                <a:solidFill>
                  <a:srgbClr val="404040"/>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AR PL UKai CN"/>
                <a:ea typeface="AR PL UKai CN"/>
                <a:cs typeface="Lucida Sans"/>
              </a:defRPr>
            </a:pPr>
            <a:r>
              <a:rPr lang="zh-CN"/>
              <a:t>收入决算结构图</a:t>
            </a:r>
          </a:p>
        </c:rich>
      </c:tx>
      <c:layout/>
      <c:overlay val="0"/>
      <c:spPr>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1"/>
              <c:layout>
                <c:manualLayout>
                  <c:x val="-0.19236249"/>
                  <c:y val="0.0065429453"/>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tx>
                <c:rich>
                  <a:bodyPr vert="horz"/>
                  <a:lstStyle/>
                  <a:p>
                    <a:pPr>
                      <a:defRPr sz="1000" b="0" i="0" u="none" strike="noStrike" baseline="0">
                        <a:solidFill>
                          <a:srgbClr val="000000"/>
                        </a:solidFill>
                        <a:latin typeface="AR PL UKai CN"/>
                        <a:ea typeface="AR PL UKai CN"/>
                        <a:cs typeface="Lucida Sans"/>
                      </a:defRPr>
                    </a:pPr>
                    <a:r>
                      <a:rPr lang="zh-CN"/>
                      <a:t>99.997%</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 (2)'!$A$2:$A$3</c:f>
              <c:strCache>
                <c:ptCount val="2"/>
                <c:pt idx="0">
                  <c:v>一般公共预算财政拨款收入</c:v>
                </c:pt>
                <c:pt idx="1">
                  <c:v>国有资本经营预算财政拨款收入</c:v>
                </c:pt>
              </c:strCache>
            </c:strRef>
          </c:cat>
          <c:val>
            <c:numRef>
              <c:f>'Sheet1 (2)'!$B$2:$B$3</c:f>
              <c:numCache>
                <c:formatCode>General</c:formatCode>
                <c:ptCount val="2"/>
                <c:pt idx="0">
                  <c:v>1745.04</c:v>
                </c:pt>
                <c:pt idx="1">
                  <c:v>0.05</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支出决算结构图</a:t>
            </a:r>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1"/>
            <c:showCatName val="0"/>
            <c:showSerName val="0"/>
            <c:showPercent val="1"/>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1231.05</c:v>
                </c:pt>
                <c:pt idx="1">
                  <c:v>514.04</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(4)'!$A$2</c:f>
              <c:strCache>
                <c:ptCount val="1"/>
                <c:pt idx="0">
                  <c:v>2024年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1745.04</c:v>
                </c:pt>
                <c:pt idx="1">
                  <c:v>1745.04</c:v>
                </c:pt>
              </c:numCache>
            </c:numRef>
          </c:val>
        </c:ser>
        <c:ser>
          <c:idx val="1"/>
          <c:order val="1"/>
          <c:tx>
            <c:strRef>
              <c:f>'Sheet1 (4)'!$A$3</c:f>
              <c:strCache>
                <c:ptCount val="1"/>
                <c:pt idx="0">
                  <c:v>2023年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1743.83</c:v>
                </c:pt>
                <c:pt idx="1">
                  <c:v>1743.83</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b="1" i="0" u="none" strike="noStrike" baseline="0">
                <a:solidFill>
                  <a:srgbClr val="1F497D"/>
                </a:solidFill>
                <a:latin typeface="AR PL UKai CN"/>
                <a:ea typeface="AR PL UKai CN"/>
                <a:cs typeface="Lucida Sans"/>
              </a:defRPr>
            </a:pPr>
            <a:r>
              <a:rPr lang="zh-CN"/>
              <a:t>系列 1</a:t>
            </a:r>
          </a:p>
        </c:rich>
      </c:tx>
      <c:layout/>
      <c:overlay val="0"/>
      <c:spPr>
        <a:noFill/>
        <a:ln>
          <a:noFill/>
        </a:ln>
      </c:spPr>
    </c:title>
    <c:autoTitleDeleted val="0"/>
    <c:plotArea>
      <c:layout/>
      <c:pieChart>
        <c:varyColors val="1"/>
        <c:ser>
          <c:idx val="0"/>
          <c:order val="0"/>
          <c:tx>
            <c:strRef>
              <c:f>'Sheet1 (5)'!$B$1</c:f>
              <c:strCache>
                <c:ptCount val="1"/>
                <c:pt idx="0">
                  <c:v>系列 1</c:v>
                </c:pt>
              </c:strCache>
            </c:strRef>
          </c:tx>
          <c:spPr>
            <a:ln>
              <a:noFill/>
            </a:ln>
          </c:spPr>
          <c:explosion val="118"/>
          <c:dPt>
            <c:idx val="0"/>
            <c:bubble3D val="0"/>
            <c:spPr>
              <a:gradFill rotWithShape="1">
                <a:gsLst>
                  <a:gs pos="0">
                    <a:srgbClr val="1A6174">
                      <a:alpha val="100000"/>
                    </a:srgbClr>
                  </a:gs>
                  <a:gs pos="80000">
                    <a:srgbClr val="258199">
                      <a:alpha val="100000"/>
                    </a:srgbClr>
                  </a:gs>
                  <a:gs pos="100000">
                    <a:srgbClr val="23839C">
                      <a:alpha val="100000"/>
                    </a:srgbClr>
                  </a:gs>
                </a:gsLst>
                <a:lin ang="16200000" scaled="1"/>
              </a:gradFill>
              <a:ln>
                <a:noFill/>
              </a:ln>
              <a:effectLst>
                <a:outerShdw dist="35921" dir="2700000" algn="br">
                  <a:srgbClr val="000000"/>
                </a:outerShdw>
              </a:effectLst>
            </c:spPr>
          </c:dPt>
          <c:dPt>
            <c:idx val="1"/>
            <c:bubble3D val="0"/>
            <c:spPr>
              <a:gradFill rotWithShape="1">
                <a:gsLst>
                  <a:gs pos="0">
                    <a:srgbClr val="207288">
                      <a:alpha val="100000"/>
                    </a:srgbClr>
                  </a:gs>
                  <a:gs pos="80000">
                    <a:srgbClr val="2D96B3">
                      <a:alpha val="100000"/>
                    </a:srgbClr>
                  </a:gs>
                  <a:gs pos="100000">
                    <a:srgbClr val="2B99B6">
                      <a:alpha val="100000"/>
                    </a:srgbClr>
                  </a:gs>
                </a:gsLst>
                <a:lin ang="16200000" scaled="1"/>
              </a:gradFill>
              <a:ln>
                <a:noFill/>
              </a:ln>
              <a:effectLst>
                <a:outerShdw dist="35921" dir="2700000" algn="br">
                  <a:srgbClr val="000000"/>
                </a:outerShdw>
              </a:effectLst>
            </c:spPr>
          </c:dPt>
          <c:dPt>
            <c:idx val="2"/>
            <c:bubble3D val="0"/>
            <c:spPr>
              <a:gradFill rotWithShape="1">
                <a:gsLst>
                  <a:gs pos="0">
                    <a:srgbClr val="258099">
                      <a:alpha val="100000"/>
                    </a:srgbClr>
                  </a:gs>
                  <a:gs pos="80000">
                    <a:srgbClr val="34A9C8">
                      <a:alpha val="100000"/>
                    </a:srgbClr>
                  </a:gs>
                  <a:gs pos="100000">
                    <a:srgbClr val="31ABCC">
                      <a:alpha val="100000"/>
                    </a:srgbClr>
                  </a:gs>
                </a:gsLst>
                <a:lin ang="16200000" scaled="1"/>
              </a:gradFill>
              <a:ln>
                <a:noFill/>
              </a:ln>
              <a:effectLst>
                <a:outerShdw dist="35921" dir="2700000" algn="br">
                  <a:srgbClr val="000000"/>
                </a:outerShdw>
              </a:effectLst>
            </c:spPr>
          </c:dPt>
          <c:dPt>
            <c:idx val="3"/>
            <c:bubble3D val="0"/>
            <c:spPr>
              <a:gradFill rotWithShape="1">
                <a:gsLst>
                  <a:gs pos="0">
                    <a:srgbClr val="478CA2">
                      <a:alpha val="100000"/>
                    </a:srgbClr>
                  </a:gs>
                  <a:gs pos="80000">
                    <a:srgbClr val="5FB8D4">
                      <a:alpha val="100000"/>
                    </a:srgbClr>
                  </a:gs>
                  <a:gs pos="100000">
                    <a:srgbClr val="5DBAD7">
                      <a:alpha val="100000"/>
                    </a:srgbClr>
                  </a:gs>
                </a:gsLst>
                <a:lin ang="16200000" scaled="1"/>
              </a:gradFill>
              <a:ln>
                <a:noFill/>
              </a:ln>
              <a:effectLst>
                <a:outerShdw dist="35921" dir="2700000" algn="br">
                  <a:srgbClr val="000000"/>
                </a:outerShdw>
              </a:effectLst>
            </c:spPr>
          </c:dPt>
          <c:dPt>
            <c:idx val="4"/>
            <c:bubble3D val="0"/>
            <c:spPr>
              <a:gradFill rotWithShape="1">
                <a:gsLst>
                  <a:gs pos="0">
                    <a:srgbClr val="6F98A7">
                      <a:alpha val="100000"/>
                    </a:srgbClr>
                  </a:gs>
                  <a:gs pos="80000">
                    <a:srgbClr val="92C7DB">
                      <a:alpha val="100000"/>
                    </a:srgbClr>
                  </a:gs>
                  <a:gs pos="100000">
                    <a:srgbClr val="91C9DD">
                      <a:alpha val="100000"/>
                    </a:srgbClr>
                  </a:gs>
                </a:gsLst>
                <a:lin ang="16200000" scaled="1"/>
              </a:gradFill>
              <a:ln>
                <a:noFill/>
              </a:ln>
              <a:effectLst>
                <a:outerShdw dist="35921" dir="2700000" algn="br">
                  <a:srgbClr val="000000"/>
                </a:outerShdw>
              </a:effectLst>
            </c:spPr>
          </c:dPt>
          <c:dPt>
            <c:idx val="5"/>
            <c:bubble3D val="0"/>
            <c:spPr>
              <a:gradFill rotWithShape="1">
                <a:gsLst>
                  <a:gs pos="0">
                    <a:srgbClr val="8BA4AD">
                      <a:alpha val="100000"/>
                    </a:srgbClr>
                  </a:gs>
                  <a:gs pos="80000">
                    <a:srgbClr val="B6D6E3">
                      <a:alpha val="100000"/>
                    </a:srgbClr>
                  </a:gs>
                  <a:gs pos="100000">
                    <a:srgbClr val="B6D7E5">
                      <a:alpha val="100000"/>
                    </a:srgbClr>
                  </a:gs>
                </a:gsLst>
                <a:lin ang="16200000" scaled="1"/>
              </a:gradFill>
              <a:ln>
                <a:noFill/>
              </a:ln>
              <a:effectLst>
                <a:outerShdw dist="35921" dir="2700000" algn="br">
                  <a:srgbClr val="000000"/>
                </a:outerShdw>
              </a:effectLst>
            </c:spPr>
          </c:dPt>
          <c:dLbls>
            <c:spPr>
              <a:noFill/>
              <a:ln>
                <a:noFill/>
              </a:ln>
            </c:spPr>
            <c:txPr>
              <a:bodyPr vert="horz"/>
              <a:lstStyle/>
              <a:p>
                <a:pPr>
                  <a:defRPr sz="900" b="0" i="0" u="none" strike="noStrike" baseline="0">
                    <a:solidFill>
                      <a:srgbClr val="1F497D"/>
                    </a:solidFill>
                    <a:latin typeface="AR PL UKai CN"/>
                    <a:ea typeface="AR PL UKai CN"/>
                    <a:cs typeface="Lucida Sans"/>
                  </a:defRPr>
                </a:pPr>
                <a:endParaRPr lang="zh-CN"/>
              </a:p>
            </c:txPr>
            <c:numFmt formatCode="0%" sourceLinked="0"/>
            <c:dLbl>
              <c:idx val="0"/>
              <c:spPr>
                <a:noFill/>
                <a:ln>
                  <a:noFill/>
                </a:ln>
              </c:spPr>
              <c:txPr>
                <a:bodyPr vert="horz"/>
                <a:lstStyle/>
                <a:p>
                  <a:pPr>
                    <a:defRPr sz="900" b="0" i="0" u="none" strike="noStrike" baseline="0">
                      <a:solidFill>
                        <a:srgbClr val="1F497D"/>
                      </a:solidFill>
                      <a:latin typeface="AR PL UKai CN"/>
                      <a:ea typeface="AR PL UKai CN"/>
                      <a:cs typeface="Lucida Sans"/>
                    </a:defRPr>
                  </a:pPr>
                  <a:endParaRPr lang="zh-CN"/>
                </a:p>
              </c:txPr>
              <c:dLblPos val="inEnd"/>
              <c:tx>
                <c:rich>
                  <a:bodyPr vert="horz"/>
                  <a:lstStyle/>
                  <a:p>
                    <a:pPr>
                      <a:defRPr sz="900" b="0" i="0" u="none" strike="noStrike" baseline="0">
                        <a:solidFill>
                          <a:srgbClr val="1F497D"/>
                        </a:solidFill>
                        <a:latin typeface="AR PL UKai CN"/>
                        <a:ea typeface="AR PL UKai CN"/>
                        <a:cs typeface="Lucida Sans"/>
                      </a:defRPr>
                    </a:pPr>
                    <a:r>
                      <a:rPr lang="zh-CN" sz="900" b="0" i="0" u="none" strike="noStrike" baseline="0">
                        <a:solidFill>
                          <a:srgbClr val="1F497D"/>
                        </a:solidFill>
                        <a:latin typeface="AR PL UKai CN"/>
                        <a:ea typeface="AR PL UKai CN"/>
                        <a:cs typeface="Lucida Sans"/>
                      </a:rPr>
                      <a:t>34.47</a:t>
                    </a:r>
                    <a:r>
                      <a:rPr lang="zh-CN" sz="900" b="0" i="0" u="none" strike="noStrike" baseline="0">
                        <a:solidFill>
                          <a:srgbClr val="1F497D"/>
                        </a:solidFill>
                        <a:latin typeface="AR PL UKai CN"/>
                        <a:ea typeface="AR PL UKai CN"/>
                        <a:cs typeface="Lucida Sans"/>
                      </a:rPr>
                      <a:t>%</a:t>
                    </a:r>
                  </a:p>
                </c:rich>
              </c:tx>
              <c:showLegendKey val="0"/>
              <c:showVal val="0"/>
              <c:showCatName val="0"/>
              <c:showSerName val="0"/>
              <c:showPercent val="1"/>
              <c:showBubbleSize val="0"/>
            </c:dLbl>
            <c:dLbl>
              <c:idx val="2"/>
              <c:spPr>
                <a:noFill/>
                <a:ln>
                  <a:noFill/>
                </a:ln>
              </c:spPr>
              <c:txPr>
                <a:bodyPr vert="horz"/>
                <a:lstStyle/>
                <a:p>
                  <a:pPr>
                    <a:defRPr sz="900" b="0" i="0" u="none" strike="noStrike" baseline="0">
                      <a:solidFill>
                        <a:srgbClr val="1F497D"/>
                      </a:solidFill>
                      <a:latin typeface="AR PL UKai CN"/>
                      <a:ea typeface="AR PL UKai CN"/>
                      <a:cs typeface="Lucida Sans"/>
                    </a:defRPr>
                  </a:pPr>
                  <a:endParaRPr lang="zh-CN"/>
                </a:p>
              </c:txPr>
              <c:dLblPos val="inEnd"/>
              <c:tx>
                <c:rich>
                  <a:bodyPr vert="horz"/>
                  <a:lstStyle/>
                  <a:p>
                    <a:pPr>
                      <a:defRPr sz="900" b="0" i="0" u="none" strike="noStrike" baseline="0">
                        <a:solidFill>
                          <a:srgbClr val="1F497D"/>
                        </a:solidFill>
                        <a:latin typeface="AR PL UKai CN"/>
                        <a:ea typeface="AR PL UKai CN"/>
                        <a:cs typeface="Lucida Sans"/>
                      </a:defRPr>
                    </a:pPr>
                    <a:r>
                      <a:rPr lang="zh-CN" sz="900" b="0" i="0" u="none" strike="noStrike" baseline="0">
                        <a:solidFill>
                          <a:srgbClr val="1F497D"/>
                        </a:solidFill>
                        <a:latin typeface="AR PL UKai CN"/>
                        <a:ea typeface="AR PL UKai CN"/>
                        <a:cs typeface="Lucida Sans"/>
                      </a:rPr>
                      <a:t>40.14</a:t>
                    </a:r>
                    <a:r>
                      <a:rPr lang="zh-CN" sz="900" b="0" i="0" u="none" strike="noStrike" baseline="0">
                        <a:solidFill>
                          <a:srgbClr val="1F497D"/>
                        </a:solidFill>
                        <a:latin typeface="AR PL UKai CN"/>
                        <a:ea typeface="AR PL UKai CN"/>
                        <a:cs typeface="Lucida Sans"/>
                      </a:rPr>
                      <a:t>%</a:t>
                    </a:r>
                  </a:p>
                </c:rich>
              </c:tx>
              <c:showLegendKey val="0"/>
              <c:showVal val="0"/>
              <c:showCatName val="0"/>
              <c:showSerName val="0"/>
              <c:showPercent val="1"/>
              <c:showBubbleSize val="0"/>
            </c:dLbl>
            <c:dLblPos val="inEnd"/>
            <c:showLegendKey val="0"/>
            <c:showVal val="0"/>
            <c:showCatName val="0"/>
            <c:showSerName val="0"/>
            <c:showPercent val="1"/>
            <c:showBubbleSize val="0"/>
            <c:showLeaderLines val="1"/>
          </c:dLbls>
          <c:cat>
            <c:strRef>
              <c:f>'Sheet1 (5)'!$A$2:$A$7</c:f>
              <c:strCache>
                <c:ptCount val="6"/>
                <c:pt idx="0">
                  <c:v>一般公共服务</c:v>
                </c:pt>
                <c:pt idx="1">
                  <c:v>社会保障和就业</c:v>
                </c:pt>
                <c:pt idx="2">
                  <c:v>农林水支出</c:v>
                </c:pt>
                <c:pt idx="3">
                  <c:v>住房保障支出</c:v>
                </c:pt>
                <c:pt idx="4">
                  <c:v>卫生健康支出</c:v>
                </c:pt>
                <c:pt idx="5">
                  <c:v>其他支出</c:v>
                </c:pt>
              </c:strCache>
            </c:strRef>
          </c:cat>
          <c:val>
            <c:numRef>
              <c:f>'Sheet1 (5)'!$B$2:$B$7</c:f>
              <c:numCache>
                <c:formatCode>0.00_ </c:formatCode>
                <c:ptCount val="6"/>
                <c:pt idx="0">
                  <c:v>601.56</c:v>
                </c:pt>
                <c:pt idx="1">
                  <c:v>156.99</c:v>
                </c:pt>
                <c:pt idx="2">
                  <c:v>700.37</c:v>
                </c:pt>
                <c:pt idx="3">
                  <c:v>92.21</c:v>
                </c:pt>
                <c:pt idx="4">
                  <c:v>67.9</c:v>
                </c:pt>
                <c:pt idx="5">
                  <c:v>0.0</c:v>
                </c:pt>
              </c:numCache>
            </c:numRef>
          </c:val>
        </c:ser>
        <c:ser>
          <c:idx val="1"/>
          <c:order val="1"/>
          <c:spPr>
            <a:ln>
              <a:noFill/>
            </a:ln>
          </c:spPr>
          <c:explosion val="118"/>
          <c:dPt>
            <c:idx val="0"/>
            <c:invertIfNegative val="0"/>
            <c:bubble3D val="0"/>
            <c:spPr>
              <a:ln>
                <a:noFill/>
              </a:ln>
              <a:effectLst>
                <a:outerShdw dist="35921" dir="2700000" algn="br">
                  <a:srgbClr val="000000"/>
                </a:outerShdw>
              </a:effectLst>
            </c:spPr>
          </c:dPt>
          <c:dLbls>
            <c:spPr>
              <a:noFill/>
              <a:ln>
                <a:noFill/>
              </a:ln>
            </c:spPr>
            <c:txPr>
              <a:bodyPr vert="horz"/>
              <a:lstStyle/>
              <a:p>
                <a:pPr>
                  <a:defRPr sz="900" b="0" i="0" u="none" strike="noStrike" baseline="0">
                    <a:solidFill>
                      <a:srgbClr val="1F497D"/>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(5)'!$A$2:$A$7</c:f>
              <c:strCache>
                <c:ptCount val="6"/>
                <c:pt idx="0">
                  <c:v>一般公共服务</c:v>
                </c:pt>
                <c:pt idx="1">
                  <c:v>社会保障和就业</c:v>
                </c:pt>
                <c:pt idx="2">
                  <c:v>农林水支出</c:v>
                </c:pt>
                <c:pt idx="3">
                  <c:v>住房保障支出</c:v>
                </c:pt>
                <c:pt idx="4">
                  <c:v>卫生健康支出</c:v>
                </c:pt>
                <c:pt idx="5">
                  <c:v>其他支出</c:v>
                </c:pt>
              </c:strCache>
            </c:strRef>
          </c:cat>
          <c:val>
            <c:numRef>
              <c:f/>
              <c:numCache>
                <c:formatCode>General</c:formatCode>
                <c:ptCount val="1"/>
                <c:pt idx="0">
                  <c:v>1.0</c:v>
                </c:pt>
              </c:numCache>
            </c:numRef>
          </c:val>
        </c:ser>
        <c:ser>
          <c:idx val="2"/>
          <c:order val="2"/>
          <c:spPr>
            <a:ln>
              <a:noFill/>
            </a:ln>
          </c:spPr>
          <c:explosion val="118"/>
          <c:dPt>
            <c:idx val="0"/>
            <c:invertIfNegative val="0"/>
            <c:bubble3D val="0"/>
            <c:spPr>
              <a:ln>
                <a:noFill/>
              </a:ln>
              <a:effectLst>
                <a:outerShdw dist="35921" dir="2700000" algn="br">
                  <a:srgbClr val="000000"/>
                </a:outerShdw>
              </a:effectLst>
            </c:spPr>
          </c:dPt>
          <c:dLbls>
            <c:spPr>
              <a:noFill/>
              <a:ln>
                <a:noFill/>
              </a:ln>
            </c:spPr>
            <c:txPr>
              <a:bodyPr vert="horz"/>
              <a:lstStyle/>
              <a:p>
                <a:pPr>
                  <a:defRPr sz="900" b="0" i="0" u="none" strike="noStrike" baseline="0">
                    <a:solidFill>
                      <a:srgbClr val="1F497D"/>
                    </a:solidFill>
                    <a:latin typeface="AR PL UKai CN"/>
                    <a:ea typeface="AR PL UKai CN"/>
                    <a:cs typeface="Lucida Sans"/>
                  </a:defRPr>
                </a:pPr>
                <a:endParaRPr lang="zh-CN"/>
              </a:p>
            </c:txPr>
            <c:numFmt formatCode="0%" sourceLinked="0"/>
            <c:dLblPos val="inEnd"/>
            <c:showLegendKey val="0"/>
            <c:showVal val="0"/>
            <c:showCatName val="0"/>
            <c:showSerName val="0"/>
            <c:showPercent val="1"/>
            <c:showBubbleSize val="0"/>
            <c:showLeaderLines val="1"/>
          </c:dLbls>
          <c:cat>
            <c:strRef>
              <c:f>'Sheet1 (5)'!$A$2:$A$7</c:f>
              <c:strCache>
                <c:ptCount val="6"/>
                <c:pt idx="0">
                  <c:v>一般公共服务</c:v>
                </c:pt>
                <c:pt idx="1">
                  <c:v>社会保障和就业</c:v>
                </c:pt>
                <c:pt idx="2">
                  <c:v>农林水支出</c:v>
                </c:pt>
                <c:pt idx="3">
                  <c:v>住房保障支出</c:v>
                </c:pt>
                <c:pt idx="4">
                  <c:v>卫生健康支出</c:v>
                </c:pt>
                <c:pt idx="5">
                  <c:v>其他支出</c:v>
                </c:pt>
              </c:strCache>
            </c:strRef>
          </c:cat>
          <c:val>
            <c:numRef>
              <c:f/>
              <c:numCache>
                <c:formatCode>General</c:formatCode>
                <c:ptCount val="1"/>
                <c:pt idx="0">
                  <c:v>1.0</c:v>
                </c:pt>
              </c:numCache>
            </c:numRef>
          </c:val>
        </c:ser>
        <c:firstSliceAng val="0"/>
      </c:pieChart>
      <c:spPr>
        <a:noFill/>
        <a:ln>
          <a:noFill/>
        </a:ln>
      </c:spPr>
    </c:plotArea>
    <c:legend>
      <c:legendPos val="r"/>
      <c:layout/>
      <c:overlay val="0"/>
      <c:spPr>
        <a:noFill/>
        <a:ln>
          <a:noFill/>
        </a:ln>
      </c:spPr>
      <c:txPr>
        <a:bodyPr/>
        <a:lstStyle/>
        <a:p>
          <a:pPr>
            <a:defRPr sz="900" b="0" i="0" u="none" strike="noStrike" baseline="0">
              <a:solidFill>
                <a:srgbClr val="1F497D"/>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4E3F4"/>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3</TotalTime>
  <Application>Yozo_Office27021597764231179</Application>
  <Pages>29</Pages>
  <Words>10576</Words>
  <Characters>11414</Characters>
  <Lines>952</Lines>
  <Paragraphs>508</Paragraphs>
  <CharactersWithSpaces>11728</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2</cp:revision>
  <cp:lastPrinted>2020-09-29T10:36:00Z</cp:lastPrinted>
  <dcterms:created xsi:type="dcterms:W3CDTF">2023-02-16T10:37:00Z</dcterms:created>
  <dcterms:modified xsi:type="dcterms:W3CDTF">2025-08-27T02:41:54Z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2052-12.1.0.22529</vt:lpwstr>
  </property>
  <property fmtid="{D5CDD505-2E9C-101B-9397-08002B2CF9AE}" pid="3" name="ICV">
    <vt:lpwstr>DE2A796D38F84D02BFA095C39BDF5E24</vt:lpwstr>
  </property>
  <property fmtid="{D5CDD505-2E9C-101B-9397-08002B2CF9AE}" pid="4" name="KSOTemplateDocerSaveRecord">
    <vt:lpwstr>eyJoZGlkIjoiYzYwMDE5OWM3NDVmZmIwNWYxOWQwNGM1NmI5MGM3Y2IiLCJ1c2VySWQiOiIzNDExNjQxNjEifQ==</vt:lpwstr>
  </property>
</Properties>
</file>