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2024年观音桥镇人民政府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2024年，我单位部门预算1377.45万元 ，均严格按绩效管理要求实现项目绩效目标管理，其中重点项目预算5个，现将情况说明如下：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完成了2024年本级部门预算整体绩效目标申报和5个项目预算绩效目标申报，并编报5个项目预算事前绩效评估报告。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在县委、县政府和镇党委的坚强领导下，镇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镇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三是坚定贯彻总体国家安全观，旗帜鲜明开展反分维稳斗争，扫黑除恶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专项斗争强力推进，“天网”“雪亮”工程拓展延伸，平安防线牢不可破，“两项”改革调整优化4个村。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重点项目1：观音桥镇人民政府办公室日常公用经费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镇8个村的公务运行维护费7万元/年/村，共计56万元；党建费2万元/年/村，共计16万元；办公费2万元/年/村，共计16万元。以上合计88万元（大写：捌拾捌万元整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重点项目3：观音桥镇党委办公室日常公用经费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重点项目4：观音桥镇人大办公室日常公用经费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重点项目5：观音桥镇综合服务中心日常公用经费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YzYwMDE5OWM3NDVmZmIwNWYxOWQwNGM1NmI5MGM3Y2I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Yozo_Office27021597764231179</Application>
  <Pages>3</Pages>
  <Words>1288</Words>
  <Characters>1308</Characters>
  <Lines>63</Lines>
  <Paragraphs>26</Paragraphs>
  <CharactersWithSpaces>1310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2024-03-13T08:11:12Z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222057C75E184545AD83FAD063ED70B3_13</vt:lpwstr>
  </property>
</Properties>
</file>