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val="0"/>
        <w:spacing w:line="800" w:lineRule="exact"/>
        <w:jc w:val="center"/>
        <w:rPr>
          <w:rFonts w:ascii="方正小标宋简体" w:eastAsia="方正小标宋简体" w:cs="Times New Roman" w:hint="eastAsia"/>
          <w:kern w:val="2"/>
          <w:sz w:val="72"/>
          <w:szCs w:val="72"/>
          <w:lang w:bidi="ar-SA"/>
        </w:rPr>
      </w:pPr>
    </w:p>
    <w:p>
      <w:pPr>
        <w:widowControl w:val="0"/>
        <w:spacing w:line="800" w:lineRule="exact"/>
        <w:jc w:val="center"/>
        <w:rPr>
          <w:rFonts w:ascii="方正小标宋简体" w:eastAsia="方正小标宋简体" w:cs="Times New Roman" w:hint="eastAsia"/>
          <w:kern w:val="2"/>
          <w:sz w:val="72"/>
          <w:szCs w:val="72"/>
          <w:lang w:bidi="ar-SA"/>
        </w:rPr>
      </w:pPr>
    </w:p>
    <w:p>
      <w:pPr>
        <w:widowControl w:val="0"/>
        <w:spacing w:line="800" w:lineRule="exact"/>
        <w:jc w:val="center"/>
        <w:rPr>
          <w:rFonts w:ascii="方正小标宋简体" w:eastAsia="方正小标宋简体" w:cs="Times New Roman" w:hint="eastAsia"/>
          <w:kern w:val="2"/>
          <w:sz w:val="72"/>
          <w:szCs w:val="72"/>
          <w:lang w:bidi="ar-SA"/>
        </w:rPr>
      </w:pPr>
    </w:p>
    <w:p>
      <w:pPr>
        <w:widowControl w:val="0"/>
        <w:spacing w:line="800" w:lineRule="exact"/>
        <w:jc w:val="center"/>
        <w:rPr>
          <w:rFonts w:ascii="方正小标宋简体" w:eastAsia="方正小标宋简体" w:cs="Times New Roman" w:hint="eastAsia"/>
          <w:kern w:val="2"/>
          <w:sz w:val="72"/>
          <w:szCs w:val="72"/>
          <w:lang w:bidi="ar-SA"/>
        </w:rPr>
      </w:pPr>
      <w:r>
        <w:rPr>
          <w:rFonts w:ascii="方正小标宋简体" w:eastAsia="方正小标宋简体" w:cs="Times New Roman" w:hint="eastAsia"/>
          <w:kern w:val="2"/>
          <w:sz w:val="72"/>
          <w:szCs w:val="72"/>
          <w:lang w:bidi="ar-SA"/>
        </w:rPr>
        <w:t>2022年度</w:t>
      </w:r>
    </w:p>
    <w:p>
      <w:pPr>
        <w:widowControl w:val="0"/>
        <w:spacing w:line="800" w:lineRule="exact"/>
        <w:jc w:val="center"/>
        <w:outlineLvl w:val="0"/>
        <w:rPr>
          <w:rFonts w:ascii="方正小标宋简体" w:eastAsia="方正小标宋简体" w:cs="Times New Roman" w:hint="eastAsia"/>
          <w:kern w:val="2"/>
          <w:sz w:val="72"/>
          <w:szCs w:val="72"/>
          <w:lang w:bidi="ar-SA"/>
        </w:rPr>
      </w:pPr>
      <w:bookmarkStart w:id="0" w:name="_Toc4891"/>
      <w:r>
        <w:rPr>
          <w:rFonts w:ascii="方正小标宋简体" w:eastAsia="方正小标宋简体" w:cs="Times New Roman" w:hint="eastAsia"/>
          <w:kern w:val="2"/>
          <w:sz w:val="72"/>
          <w:szCs w:val="72"/>
          <w:lang w:bidi="ar-SA"/>
        </w:rPr>
        <w:t>阿坝州金川县观音桥镇</w:t>
      </w:r>
      <w:r>
        <w:rPr>
          <w:rFonts w:ascii="方正小标宋简体" w:eastAsia="方正小标宋简体" w:cs="Times New Roman" w:hint="eastAsia"/>
          <w:kern w:val="2"/>
          <w:sz w:val="72"/>
          <w:szCs w:val="72"/>
          <w:lang w:val="en-US" w:eastAsia="zh-CN" w:bidi="ar-SA"/>
        </w:rPr>
        <w:t>人</w:t>
      </w:r>
      <w:r>
        <w:rPr>
          <w:rFonts w:ascii="方正小标宋简体" w:eastAsia="方正小标宋简体" w:cs="Times New Roman" w:hint="eastAsia"/>
          <w:kern w:val="2"/>
          <w:sz w:val="72"/>
          <w:szCs w:val="72"/>
          <w:lang w:bidi="ar-SA"/>
        </w:rPr>
        <w:t>民政府部门决算</w:t>
      </w:r>
      <w:bookmarkEnd w:id="0"/>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left"/>
        <w:rPr>
          <w:shd w:val="clear" w:color="auto" w:fill="FFFFFF"/>
        </w:rPr>
      </w:pPr>
      <w:r>
        <w:rPr>
          <w:shd w:val="clear" w:color="auto" w:fill="FFFFFF"/>
        </w:rPr>
        <w:t> </w:t>
      </w:r>
    </w:p>
    <w:p>
      <w:pPr>
        <w:pStyle w:val="24"/>
        <w:keepNext w:val="0"/>
        <w:keepLines w:val="0"/>
        <w:widowControl/>
        <w:suppressLineNumbers w:val="0"/>
        <w:spacing w:before="0" w:beforeAutospacing="0"/>
        <w:ind w:left="0"/>
        <w:jc w:val="left"/>
        <w:rPr>
          <w:shd w:val="clear" w:color="auto" w:fill="FFFFFF"/>
        </w:rPr>
      </w:pPr>
    </w:p>
    <w:p>
      <w:pPr>
        <w:pStyle w:val="24"/>
        <w:keepNext w:val="0"/>
        <w:keepLines w:val="0"/>
        <w:widowControl/>
        <w:suppressLineNumbers w:val="0"/>
        <w:spacing w:before="0" w:beforeAutospacing="0"/>
        <w:ind w:left="0"/>
        <w:jc w:val="left"/>
      </w:pPr>
    </w:p>
    <w:p>
      <w:pPr>
        <w:pStyle w:val="24"/>
        <w:keepNext w:val="0"/>
        <w:keepLines w:val="0"/>
        <w:widowControl/>
        <w:suppressLineNumbers w:val="0"/>
        <w:spacing w:before="0" w:beforeAutospacing="0"/>
        <w:ind w:left="0"/>
        <w:jc w:val="center"/>
      </w:pPr>
      <w:r>
        <w:rPr>
          <w:shd w:val="clear" w:color="auto" w:fill="FFFFFF"/>
        </w:rPr>
        <w:t> </w:t>
      </w:r>
    </w:p>
    <w:p>
      <w:pPr>
        <w:pStyle w:val="24"/>
        <w:keepNext w:val="0"/>
        <w:keepLines w:val="0"/>
        <w:widowControl/>
        <w:suppressLineNumbers w:val="0"/>
        <w:spacing w:before="0" w:beforeAutospacing="0"/>
        <w:ind w:left="0"/>
        <w:jc w:val="center"/>
      </w:pPr>
      <w:r>
        <w:rPr>
          <w:shd w:val="clear" w:color="auto" w:fill="FFFFFF"/>
        </w:rPr>
        <w:t> </w:t>
      </w:r>
    </w:p>
    <w:sdt>
      <w:sdtPr>
        <w:rPr>
          <w:rFonts w:ascii="宋体" w:eastAsia="宋体" w:cs="宋体"/>
          <w:kern w:val="0"/>
          <w:sz w:val="21"/>
          <w:szCs w:val="24"/>
          <w:lang w:val="en-US" w:eastAsia="zh-CN"/>
        </w:rPr>
        <w:id w:val="-840126737"/>
        <w15:color w:val="DBDBDB"/>
        <w:docPartObj>
          <w:docPartGallery w:val="Table of Contents"/>
          <w:docPartUnique/>
        </w:docPartObj>
      </w:sdtPr>
      <w:sdtEndPr>
        <w:rPr>
          <w:b/>
        </w:rPr>
      </w:sdtEndPr>
      <w:sdtContent>
        <w:p>
          <w:pPr>
            <w:spacing w:before="0" w:after="0" w:line="240" w:lineRule="auto"/>
            <w:ind w:left="0" w:right="0" w:firstLine="0"/>
            <w:jc w:val="center"/>
          </w:pPr>
          <w:r>
            <w:rPr>
              <w:rFonts w:ascii="方正黑体_GBK" w:eastAsia="方正黑体_GBK" w:cs="方正黑体_GBK" w:hint="eastAsia"/>
              <w:sz w:val="52"/>
              <w:szCs w:val="72"/>
            </w:rPr>
            <w:t>目录</w:t>
          </w:r>
        </w:p>
        <w:p>
          <w:pPr>
            <w:pStyle w:val="28"/>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_Toc4891 </w:instrText>
          </w:r>
          <w:r>
            <w:rPr>
              <w:b/>
            </w:rPr>
            <w:fldChar w:fldCharType="separate"/>
          </w:r>
          <w:r>
            <w:rPr>
              <w:rFonts w:ascii="方正小标宋简体" w:eastAsia="方正小标宋简体" w:cs="Times New Roman" w:hint="eastAsia"/>
              <w:b/>
              <w:kern w:val="2"/>
              <w:szCs w:val="72"/>
              <w:lang w:bidi="ar-SA"/>
            </w:rPr>
            <w:t>阿坝州金川县观音桥镇</w:t>
          </w:r>
          <w:r>
            <w:rPr>
              <w:rFonts w:ascii="方正小标宋简体" w:eastAsia="方正小标宋简体" w:cs="Times New Roman"/>
              <w:b/>
              <w:kern w:val="2"/>
              <w:szCs w:val="72"/>
              <w:lang w:bidi="ar-SA"/>
            </w:rPr>
            <w:t>人民政府</w:t>
          </w:r>
          <w:r>
            <w:rPr>
              <w:rFonts w:ascii="方正小标宋简体" w:eastAsia="方正小标宋简体" w:cs="Times New Roman" w:hint="eastAsia"/>
              <w:b/>
              <w:kern w:val="2"/>
              <w:szCs w:val="72"/>
              <w:lang w:bidi="ar-SA"/>
            </w:rPr>
            <w:t>门决算</w:t>
          </w:r>
          <w:r>
            <w:rPr>
              <w:b/>
            </w:rPr>
            <w:tab/>
          </w:r>
          <w:r>
            <w:rPr>
              <w:b/>
            </w:rPr>
            <w:fldChar w:fldCharType="begin"/>
          </w:r>
          <w:r>
            <w:rPr>
              <w:b/>
            </w:rPr>
            <w:instrText xml:space="preserve"> PAGEREF _Toc4891 \h </w:instrText>
          </w:r>
          <w:r>
            <w:rPr>
              <w:b/>
            </w:rPr>
            <w:fldChar w:fldCharType="separate"/>
          </w:r>
          <w:r>
            <w:rPr>
              <w:b/>
            </w:rPr>
            <w:t>1</w:t>
          </w:r>
          <w:r>
            <w:rPr>
              <w:b/>
            </w:rPr>
            <w:fldChar w:fldCharType="end"/>
          </w:r>
          <w:r>
            <w:rPr>
              <w:b/>
            </w:rPr>
            <w:fldChar w:fldCharType="end"/>
          </w:r>
        </w:p>
        <w:p>
          <w:pPr>
            <w:pStyle w:val="28"/>
            <w:tabs>
              <w:tab w:val="right" w:leader="dot" w:pos="8306"/>
            </w:tabs>
            <w:rPr>
              <w:b/>
            </w:rPr>
          </w:pPr>
          <w:r>
            <w:rPr>
              <w:b/>
            </w:rPr>
            <w:fldChar w:fldCharType="begin"/>
          </w:r>
          <w:r>
            <w:rPr>
              <w:b/>
            </w:rPr>
            <w:instrText xml:space="preserve"> HYPERLINK \l _Toc15005 </w:instrText>
          </w:r>
          <w:r>
            <w:rPr>
              <w:b/>
            </w:rPr>
            <w:fldChar w:fldCharType="separate"/>
          </w:r>
          <w:r>
            <w:rPr>
              <w:rFonts w:ascii="方正小标宋简体" w:eastAsia="方正小标宋简体" w:cs="Times New Roman" w:hint="eastAsia"/>
              <w:b/>
              <w:szCs w:val="44"/>
              <w:lang w:bidi="ar-SA"/>
            </w:rPr>
            <w:t>第一部分 部门概况</w:t>
          </w:r>
          <w:r>
            <w:rPr>
              <w:b/>
            </w:rPr>
            <w:tab/>
          </w:r>
          <w:r>
            <w:rPr>
              <w:b/>
            </w:rPr>
            <w:fldChar w:fldCharType="begin"/>
          </w:r>
          <w:r>
            <w:rPr>
              <w:b/>
            </w:rPr>
            <w:instrText xml:space="preserve"> PAGEREF _Toc15005 \h </w:instrText>
          </w:r>
          <w:r>
            <w:rPr>
              <w:b/>
            </w:rPr>
            <w:fldChar w:fldCharType="separate"/>
          </w:r>
          <w:r>
            <w:rPr>
              <w:b/>
            </w:rPr>
            <w:t>3</w:t>
          </w:r>
          <w:r>
            <w:rPr>
              <w:b/>
            </w:rPr>
            <w:fldChar w:fldCharType="end"/>
          </w:r>
          <w:r>
            <w:rPr>
              <w:b/>
            </w:rPr>
            <w:fldChar w:fldCharType="end"/>
          </w:r>
        </w:p>
        <w:p>
          <w:pPr>
            <w:pStyle w:val="29"/>
            <w:tabs>
              <w:tab w:val="right" w:leader="dot" w:pos="8306"/>
            </w:tabs>
          </w:pPr>
          <w:r>
            <w:fldChar w:fldCharType="begin"/>
          </w:r>
          <w:r>
            <w:instrText xml:space="preserve"> HYPERLINK \l _Toc6501 </w:instrText>
          </w:r>
          <w:r>
            <w:fldChar w:fldCharType="separate"/>
          </w:r>
          <w:r>
            <w:rPr>
              <w:rFonts w:ascii="黑体" w:eastAsia="黑体" w:cs="Times New Roman" w:hint="eastAsia"/>
              <w:kern w:val="2"/>
              <w:szCs w:val="32"/>
              <w:lang w:bidi="ar-SA"/>
            </w:rPr>
            <w:t>一、基本职能及主要工作</w:t>
          </w:r>
          <w:r>
            <w:tab/>
          </w:r>
          <w:r>
            <w:fldChar w:fldCharType="begin"/>
          </w:r>
          <w:r>
            <w:instrText xml:space="preserve"> PAGEREF _Toc6501 \h </w:instrText>
          </w:r>
          <w:r>
            <w:fldChar w:fldCharType="separate"/>
          </w:r>
          <w:r>
            <w:t>3</w:t>
          </w:r>
          <w:r>
            <w:fldChar w:fldCharType="end"/>
          </w:r>
          <w:r>
            <w:fldChar w:fldCharType="end"/>
          </w:r>
        </w:p>
        <w:p>
          <w:pPr>
            <w:pStyle w:val="29"/>
            <w:tabs>
              <w:tab w:val="right" w:leader="dot" w:pos="8306"/>
            </w:tabs>
          </w:pPr>
          <w:r>
            <w:fldChar w:fldCharType="begin"/>
          </w:r>
          <w:r>
            <w:instrText xml:space="preserve"> HYPERLINK \l _Toc20307 </w:instrText>
          </w:r>
          <w:r>
            <w:fldChar w:fldCharType="separate"/>
          </w:r>
          <w:r>
            <w:rPr>
              <w:rFonts w:ascii="黑体" w:eastAsia="黑体" w:cs="Times New Roman" w:hint="eastAsia"/>
              <w:kern w:val="2"/>
              <w:szCs w:val="32"/>
              <w:lang w:bidi="ar-SA"/>
            </w:rPr>
            <w:t>二、机构设置</w:t>
          </w:r>
          <w:r>
            <w:tab/>
          </w:r>
          <w:r>
            <w:fldChar w:fldCharType="begin"/>
          </w:r>
          <w:r>
            <w:instrText xml:space="preserve"> PAGEREF _Toc20307 \h </w:instrText>
          </w:r>
          <w:r>
            <w:fldChar w:fldCharType="separate"/>
          </w:r>
          <w:r>
            <w:t>4</w:t>
          </w:r>
          <w:r>
            <w:fldChar w:fldCharType="end"/>
          </w:r>
          <w:r>
            <w:fldChar w:fldCharType="end"/>
          </w:r>
        </w:p>
        <w:p>
          <w:pPr>
            <w:pStyle w:val="28"/>
            <w:tabs>
              <w:tab w:val="right" w:leader="dot" w:pos="8306"/>
            </w:tabs>
            <w:rPr>
              <w:b/>
            </w:rPr>
          </w:pPr>
          <w:r>
            <w:rPr>
              <w:b/>
            </w:rPr>
            <w:fldChar w:fldCharType="begin"/>
          </w:r>
          <w:r>
            <w:rPr>
              <w:b/>
            </w:rPr>
            <w:instrText xml:space="preserve"> HYPERLINK \l _Toc45 </w:instrText>
          </w:r>
          <w:r>
            <w:rPr>
              <w:b/>
            </w:rPr>
            <w:fldChar w:fldCharType="separate"/>
          </w:r>
          <w:r>
            <w:rPr>
              <w:rFonts w:ascii="方正小标宋简体" w:eastAsia="方正小标宋简体" w:cs="Times New Roman" w:hint="eastAsia"/>
              <w:b/>
              <w:szCs w:val="44"/>
              <w:lang w:bidi="ar-SA"/>
            </w:rPr>
            <w:t>第二部分 2022年度部门决算情况说明</w:t>
          </w:r>
          <w:r>
            <w:rPr>
              <w:b/>
            </w:rPr>
            <w:tab/>
          </w:r>
          <w:r>
            <w:rPr>
              <w:b/>
            </w:rPr>
            <w:fldChar w:fldCharType="begin"/>
          </w:r>
          <w:r>
            <w:rPr>
              <w:b/>
            </w:rPr>
            <w:instrText xml:space="preserve"> PAGEREF _Toc45 \h </w:instrText>
          </w:r>
          <w:r>
            <w:rPr>
              <w:b/>
            </w:rPr>
            <w:fldChar w:fldCharType="separate"/>
          </w:r>
          <w:r>
            <w:rPr>
              <w:b/>
            </w:rPr>
            <w:t>5</w:t>
          </w:r>
          <w:r>
            <w:rPr>
              <w:b/>
            </w:rPr>
            <w:fldChar w:fldCharType="end"/>
          </w:r>
          <w:r>
            <w:rPr>
              <w:b/>
            </w:rPr>
            <w:fldChar w:fldCharType="end"/>
          </w:r>
        </w:p>
        <w:p>
          <w:pPr>
            <w:pStyle w:val="29"/>
            <w:tabs>
              <w:tab w:val="right" w:leader="dot" w:pos="8306"/>
            </w:tabs>
          </w:pPr>
          <w:r>
            <w:fldChar w:fldCharType="begin"/>
          </w:r>
          <w:r>
            <w:instrText xml:space="preserve"> HYPERLINK \l _Toc22878 </w:instrText>
          </w:r>
          <w:r>
            <w:fldChar w:fldCharType="separate"/>
          </w:r>
          <w:r>
            <w:rPr>
              <w:rFonts w:ascii="黑体" w:eastAsia="黑体" w:cs="Times New Roman" w:hint="eastAsia"/>
              <w:kern w:val="2"/>
              <w:szCs w:val="32"/>
              <w:lang w:bidi="ar-SA"/>
            </w:rPr>
            <w:t>一、收入支出决算总体情况说明</w:t>
          </w:r>
          <w:r>
            <w:tab/>
          </w:r>
          <w:r>
            <w:fldChar w:fldCharType="begin"/>
          </w:r>
          <w:r>
            <w:instrText xml:space="preserve"> PAGEREF _Toc22878 \h </w:instrText>
          </w:r>
          <w:r>
            <w:fldChar w:fldCharType="separate"/>
          </w:r>
          <w:r>
            <w:t>5</w:t>
          </w:r>
          <w:r>
            <w:fldChar w:fldCharType="end"/>
          </w:r>
          <w:r>
            <w:fldChar w:fldCharType="end"/>
          </w:r>
        </w:p>
        <w:p>
          <w:pPr>
            <w:pStyle w:val="29"/>
            <w:tabs>
              <w:tab w:val="right" w:leader="dot" w:pos="8306"/>
            </w:tabs>
          </w:pPr>
          <w:r>
            <w:fldChar w:fldCharType="begin"/>
          </w:r>
          <w:r>
            <w:instrText xml:space="preserve"> HYPERLINK \l _Toc8059 </w:instrText>
          </w:r>
          <w:r>
            <w:fldChar w:fldCharType="separate"/>
          </w:r>
          <w:r>
            <w:rPr>
              <w:rFonts w:ascii="黑体" w:eastAsia="黑体" w:cs="Times New Roman" w:hint="eastAsia"/>
              <w:kern w:val="2"/>
              <w:szCs w:val="32"/>
              <w:lang w:val="en-US" w:eastAsia="zh-CN" w:bidi="ar-SA"/>
            </w:rPr>
            <w:t>二、收入决算情况说明</w:t>
          </w:r>
          <w:r>
            <w:tab/>
          </w:r>
          <w:r>
            <w:fldChar w:fldCharType="begin"/>
          </w:r>
          <w:r>
            <w:instrText xml:space="preserve"> PAGEREF _Toc8059 \h </w:instrText>
          </w:r>
          <w:r>
            <w:fldChar w:fldCharType="separate"/>
          </w:r>
          <w:r>
            <w:t>5</w:t>
          </w:r>
          <w:r>
            <w:fldChar w:fldCharType="end"/>
          </w:r>
          <w:r>
            <w:fldChar w:fldCharType="end"/>
          </w:r>
        </w:p>
        <w:p>
          <w:pPr>
            <w:pStyle w:val="29"/>
            <w:tabs>
              <w:tab w:val="right" w:leader="dot" w:pos="8306"/>
            </w:tabs>
          </w:pPr>
          <w:r>
            <w:fldChar w:fldCharType="begin"/>
          </w:r>
          <w:r>
            <w:instrText xml:space="preserve"> HYPERLINK \l _Toc22857 </w:instrText>
          </w:r>
          <w:r>
            <w:fldChar w:fldCharType="separate"/>
          </w:r>
          <w:r>
            <w:rPr>
              <w:rFonts w:ascii="黑体" w:eastAsia="黑体" w:cs="Times New Roman" w:hint="eastAsia"/>
              <w:bCs/>
              <w:kern w:val="2"/>
              <w:szCs w:val="32"/>
              <w:lang w:val="en-US" w:eastAsia="zh-CN" w:bidi="ar-SA"/>
            </w:rPr>
            <w:t>三、支出决算情况说明</w:t>
          </w:r>
          <w:r>
            <w:tab/>
          </w:r>
          <w:r>
            <w:fldChar w:fldCharType="begin"/>
          </w:r>
          <w:r>
            <w:instrText xml:space="preserve"> PAGEREF _Toc22857 \h </w:instrText>
          </w:r>
          <w:r>
            <w:fldChar w:fldCharType="separate"/>
          </w:r>
          <w:r>
            <w:t>6</w:t>
          </w:r>
          <w:r>
            <w:fldChar w:fldCharType="end"/>
          </w:r>
          <w:r>
            <w:fldChar w:fldCharType="end"/>
          </w:r>
        </w:p>
        <w:p>
          <w:pPr>
            <w:pStyle w:val="29"/>
            <w:tabs>
              <w:tab w:val="right" w:leader="dot" w:pos="8306"/>
            </w:tabs>
          </w:pPr>
          <w:r>
            <w:fldChar w:fldCharType="begin"/>
          </w:r>
          <w:r>
            <w:instrText xml:space="preserve"> HYPERLINK \l _Toc17377 </w:instrText>
          </w:r>
          <w:r>
            <w:fldChar w:fldCharType="separate"/>
          </w:r>
          <w:r>
            <w:rPr>
              <w:rFonts w:ascii="黑体" w:eastAsia="黑体" w:cs="Times New Roman" w:hint="eastAsia"/>
              <w:bCs/>
              <w:kern w:val="2"/>
              <w:szCs w:val="32"/>
              <w:lang w:val="en-US" w:eastAsia="zh-CN" w:bidi="ar-SA"/>
            </w:rPr>
            <w:t>四、财政拨款收入支出决算总体情况说明</w:t>
          </w:r>
          <w:r>
            <w:tab/>
          </w:r>
          <w:r>
            <w:fldChar w:fldCharType="begin"/>
          </w:r>
          <w:r>
            <w:instrText xml:space="preserve"> PAGEREF _Toc17377 \h </w:instrText>
          </w:r>
          <w:r>
            <w:fldChar w:fldCharType="separate"/>
          </w:r>
          <w:r>
            <w:t>7</w:t>
          </w:r>
          <w:r>
            <w:fldChar w:fldCharType="end"/>
          </w:r>
          <w:r>
            <w:fldChar w:fldCharType="end"/>
          </w:r>
        </w:p>
        <w:p>
          <w:pPr>
            <w:pStyle w:val="29"/>
            <w:tabs>
              <w:tab w:val="right" w:leader="dot" w:pos="8306"/>
            </w:tabs>
          </w:pPr>
          <w:r>
            <w:fldChar w:fldCharType="begin"/>
          </w:r>
          <w:r>
            <w:instrText xml:space="preserve"> HYPERLINK \l _Toc18113 </w:instrText>
          </w:r>
          <w:r>
            <w:fldChar w:fldCharType="separate"/>
          </w:r>
          <w:r>
            <w:rPr>
              <w:rFonts w:ascii="黑体" w:eastAsia="黑体" w:cs="Times New Roman" w:hint="eastAsia"/>
              <w:bCs/>
              <w:kern w:val="2"/>
              <w:szCs w:val="32"/>
              <w:lang w:val="en-US" w:eastAsia="zh-CN" w:bidi="ar-SA"/>
            </w:rPr>
            <w:t>五、一般公共预算财政拨款支出决算情况说明</w:t>
          </w:r>
          <w:r>
            <w:tab/>
          </w:r>
          <w:r>
            <w:fldChar w:fldCharType="begin"/>
          </w:r>
          <w:r>
            <w:instrText xml:space="preserve"> PAGEREF _Toc18113 \h </w:instrText>
          </w:r>
          <w:r>
            <w:fldChar w:fldCharType="separate"/>
          </w:r>
          <w:r>
            <w:t>8</w:t>
          </w:r>
          <w:r>
            <w:fldChar w:fldCharType="end"/>
          </w:r>
          <w:r>
            <w:fldChar w:fldCharType="end"/>
          </w:r>
        </w:p>
        <w:p>
          <w:pPr>
            <w:pStyle w:val="29"/>
            <w:tabs>
              <w:tab w:val="right" w:leader="dot" w:pos="8306"/>
            </w:tabs>
          </w:pPr>
          <w:r>
            <w:fldChar w:fldCharType="begin"/>
          </w:r>
          <w:r>
            <w:instrText xml:space="preserve"> HYPERLINK \l _Toc5659 </w:instrText>
          </w:r>
          <w:r>
            <w:fldChar w:fldCharType="separate"/>
          </w:r>
          <w:r>
            <w:rPr>
              <w:rFonts w:ascii="黑体" w:eastAsia="黑体" w:cs="Times New Roman" w:hint="eastAsia"/>
              <w:bCs/>
              <w:kern w:val="2"/>
              <w:szCs w:val="32"/>
              <w:lang w:val="en-US" w:eastAsia="zh-CN" w:bidi="ar-SA"/>
            </w:rPr>
            <w:t>六、一般公共预算财政拨款基本支出决算情况说明</w:t>
          </w:r>
          <w:r>
            <w:rPr>
              <w:rFonts w:ascii="黑体" w:eastAsia="黑体" w:cs="Times New Roman" w:hint="eastAsia"/>
              <w:kern w:val="2"/>
              <w:szCs w:val="32"/>
              <w:lang w:val="en-US" w:eastAsia="zh-CN" w:bidi="ar-SA"/>
            </w:rPr>
            <w:t>  </w:t>
          </w:r>
          <w:r>
            <w:rPr>
              <w:shd w:val="clear" w:color="auto" w:fill="FFFFFF"/>
            </w:rPr>
            <w:t> </w:t>
          </w:r>
          <w:r>
            <w:tab/>
          </w:r>
          <w:r>
            <w:fldChar w:fldCharType="begin"/>
          </w:r>
          <w:r>
            <w:instrText xml:space="preserve"> PAGEREF _Toc5659 \h </w:instrText>
          </w:r>
          <w:r>
            <w:fldChar w:fldCharType="separate"/>
          </w:r>
          <w:r>
            <w:t>11</w:t>
          </w:r>
          <w:r>
            <w:fldChar w:fldCharType="end"/>
          </w:r>
          <w:r>
            <w:fldChar w:fldCharType="end"/>
          </w:r>
        </w:p>
        <w:p>
          <w:pPr>
            <w:pStyle w:val="29"/>
            <w:tabs>
              <w:tab w:val="right" w:leader="dot" w:pos="8306"/>
            </w:tabs>
          </w:pPr>
          <w:r>
            <w:fldChar w:fldCharType="begin"/>
          </w:r>
          <w:r>
            <w:instrText xml:space="preserve"> HYPERLINK \l _Toc79 </w:instrText>
          </w:r>
          <w:r>
            <w:fldChar w:fldCharType="separate"/>
          </w:r>
          <w:r>
            <w:rPr>
              <w:rFonts w:ascii="黑体" w:eastAsia="黑体" w:cs="Times New Roman" w:hint="eastAsia"/>
              <w:bCs/>
              <w:kern w:val="2"/>
              <w:szCs w:val="32"/>
              <w:lang w:val="en-US" w:eastAsia="zh-CN" w:bidi="ar-SA"/>
            </w:rPr>
            <w:t>七、“三公”经费财政拨款支出决算情况说明</w:t>
          </w:r>
          <w:r>
            <w:tab/>
          </w:r>
          <w:r>
            <w:fldChar w:fldCharType="begin"/>
          </w:r>
          <w:r>
            <w:instrText xml:space="preserve"> PAGEREF _Toc79 \h </w:instrText>
          </w:r>
          <w:r>
            <w:fldChar w:fldCharType="separate"/>
          </w:r>
          <w:r>
            <w:t>12</w:t>
          </w:r>
          <w:r>
            <w:fldChar w:fldCharType="end"/>
          </w:r>
          <w:r>
            <w:fldChar w:fldCharType="end"/>
          </w:r>
        </w:p>
        <w:p>
          <w:pPr>
            <w:pStyle w:val="29"/>
            <w:tabs>
              <w:tab w:val="right" w:leader="dot" w:pos="8306"/>
            </w:tabs>
          </w:pPr>
          <w:r>
            <w:fldChar w:fldCharType="begin"/>
          </w:r>
          <w:r>
            <w:instrText xml:space="preserve"> HYPERLINK \l _Toc22622 </w:instrText>
          </w:r>
          <w:r>
            <w:fldChar w:fldCharType="separate"/>
          </w:r>
          <w:r>
            <w:rPr>
              <w:rFonts w:ascii="黑体" w:eastAsia="黑体" w:cs="Times New Roman" w:hint="eastAsia"/>
              <w:bCs/>
              <w:kern w:val="2"/>
              <w:szCs w:val="32"/>
              <w:lang w:val="en-US" w:eastAsia="zh-CN" w:bidi="ar-SA"/>
            </w:rPr>
            <w:t>八、政府性基金预算支出决算情况说明</w:t>
          </w:r>
          <w:r>
            <w:tab/>
          </w:r>
          <w:r>
            <w:fldChar w:fldCharType="begin"/>
          </w:r>
          <w:r>
            <w:instrText xml:space="preserve"> PAGEREF _Toc22622 \h </w:instrText>
          </w:r>
          <w:r>
            <w:fldChar w:fldCharType="separate"/>
          </w:r>
          <w:r>
            <w:t>13</w:t>
          </w:r>
          <w:r>
            <w:fldChar w:fldCharType="end"/>
          </w:r>
          <w:r>
            <w:fldChar w:fldCharType="end"/>
          </w:r>
        </w:p>
        <w:p>
          <w:pPr>
            <w:pStyle w:val="29"/>
            <w:tabs>
              <w:tab w:val="right" w:leader="dot" w:pos="8306"/>
            </w:tabs>
          </w:pPr>
          <w:r>
            <w:fldChar w:fldCharType="begin"/>
          </w:r>
          <w:r>
            <w:instrText xml:space="preserve"> HYPERLINK \l _Toc28123 </w:instrText>
          </w:r>
          <w:r>
            <w:fldChar w:fldCharType="separate"/>
          </w:r>
          <w:r>
            <w:rPr>
              <w:rFonts w:ascii="黑体" w:eastAsia="黑体" w:cs="Times New Roman" w:hint="eastAsia"/>
              <w:bCs/>
              <w:kern w:val="2"/>
              <w:szCs w:val="32"/>
              <w:lang w:val="en-US" w:eastAsia="zh-CN" w:bidi="ar-SA"/>
            </w:rPr>
            <w:t>九、国有资本经营预算支出决算情况说明</w:t>
          </w:r>
          <w:r>
            <w:tab/>
          </w:r>
          <w:r>
            <w:fldChar w:fldCharType="begin"/>
          </w:r>
          <w:r>
            <w:instrText xml:space="preserve"> PAGEREF _Toc28123 \h </w:instrText>
          </w:r>
          <w:r>
            <w:fldChar w:fldCharType="separate"/>
          </w:r>
          <w:r>
            <w:t>13</w:t>
          </w:r>
          <w:r>
            <w:fldChar w:fldCharType="end"/>
          </w:r>
          <w:r>
            <w:fldChar w:fldCharType="end"/>
          </w:r>
        </w:p>
        <w:p>
          <w:pPr>
            <w:pStyle w:val="29"/>
            <w:tabs>
              <w:tab w:val="right" w:leader="dot" w:pos="8306"/>
            </w:tabs>
          </w:pPr>
          <w:r>
            <w:fldChar w:fldCharType="begin"/>
          </w:r>
          <w:r>
            <w:instrText xml:space="preserve"> HYPERLINK \l _Toc28502 </w:instrText>
          </w:r>
          <w:r>
            <w:fldChar w:fldCharType="separate"/>
          </w:r>
          <w:r>
            <w:rPr>
              <w:rFonts w:ascii="黑体" w:eastAsia="黑体" w:cs="Times New Roman" w:hint="eastAsia"/>
              <w:bCs/>
              <w:kern w:val="2"/>
              <w:szCs w:val="32"/>
              <w:lang w:val="en-US" w:eastAsia="zh-CN" w:bidi="ar-SA"/>
            </w:rPr>
            <w:t>十、其他重要事项的情况说明</w:t>
          </w:r>
          <w:r>
            <w:tab/>
          </w:r>
          <w:r>
            <w:fldChar w:fldCharType="begin"/>
          </w:r>
          <w:r>
            <w:instrText xml:space="preserve"> PAGEREF _Toc28502 \h </w:instrText>
          </w:r>
          <w:r>
            <w:fldChar w:fldCharType="separate"/>
          </w:r>
          <w:r>
            <w:t>14</w:t>
          </w:r>
          <w:r>
            <w:fldChar w:fldCharType="end"/>
          </w:r>
          <w:r>
            <w:fldChar w:fldCharType="end"/>
          </w:r>
        </w:p>
        <w:p>
          <w:pPr>
            <w:pStyle w:val="28"/>
            <w:tabs>
              <w:tab w:val="right" w:leader="dot" w:pos="8306"/>
            </w:tabs>
            <w:rPr>
              <w:b/>
            </w:rPr>
          </w:pPr>
          <w:r>
            <w:rPr>
              <w:b/>
            </w:rPr>
            <w:fldChar w:fldCharType="begin"/>
          </w:r>
          <w:r>
            <w:rPr>
              <w:b/>
            </w:rPr>
            <w:instrText xml:space="preserve"> HYPERLINK \l _Toc5182 </w:instrText>
          </w:r>
          <w:r>
            <w:rPr>
              <w:b/>
            </w:rPr>
            <w:fldChar w:fldCharType="separate"/>
          </w:r>
          <w:r>
            <w:rPr>
              <w:rFonts w:ascii="方正小标宋简体" w:eastAsia="方正小标宋简体" w:cs="Times New Roman" w:hint="eastAsia"/>
              <w:b/>
              <w:szCs w:val="44"/>
              <w:lang w:bidi="ar-SA"/>
            </w:rPr>
            <w:t>第三部分 名词解释</w:t>
          </w:r>
          <w:r>
            <w:rPr>
              <w:b/>
            </w:rPr>
            <w:tab/>
          </w:r>
          <w:r>
            <w:rPr>
              <w:b/>
            </w:rPr>
            <w:fldChar w:fldCharType="begin"/>
          </w:r>
          <w:r>
            <w:rPr>
              <w:b/>
            </w:rPr>
            <w:instrText xml:space="preserve"> PAGEREF _Toc5182 \h </w:instrText>
          </w:r>
          <w:r>
            <w:rPr>
              <w:b/>
            </w:rPr>
            <w:fldChar w:fldCharType="separate"/>
          </w:r>
          <w:r>
            <w:rPr>
              <w:b/>
            </w:rPr>
            <w:t>15</w:t>
          </w:r>
          <w:r>
            <w:rPr>
              <w:b/>
            </w:rPr>
            <w:fldChar w:fldCharType="end"/>
          </w:r>
          <w:r>
            <w:rPr>
              <w:b/>
            </w:rPr>
            <w:fldChar w:fldCharType="end"/>
          </w:r>
        </w:p>
        <w:p>
          <w:pPr>
            <w:pStyle w:val="28"/>
            <w:tabs>
              <w:tab w:val="right" w:leader="dot" w:pos="8306"/>
            </w:tabs>
            <w:rPr>
              <w:b/>
            </w:rPr>
          </w:pPr>
          <w:r>
            <w:rPr>
              <w:b/>
            </w:rPr>
            <w:fldChar w:fldCharType="begin"/>
          </w:r>
          <w:r>
            <w:rPr>
              <w:b/>
            </w:rPr>
            <w:instrText xml:space="preserve"> HYPERLINK \l _Toc7146 </w:instrText>
          </w:r>
          <w:r>
            <w:rPr>
              <w:b/>
            </w:rPr>
            <w:fldChar w:fldCharType="separate"/>
          </w:r>
          <w:r>
            <w:rPr>
              <w:rFonts w:ascii="方正小标宋简体" w:eastAsia="方正小标宋简体" w:cs="Times New Roman" w:hint="eastAsia"/>
              <w:b/>
              <w:szCs w:val="44"/>
              <w:lang w:val="en-US" w:eastAsia="zh-CN" w:bidi="ar-SA"/>
            </w:rPr>
            <w:t>第四部分 附件</w:t>
          </w:r>
          <w:r>
            <w:rPr>
              <w:b/>
            </w:rPr>
            <w:tab/>
          </w:r>
          <w:r>
            <w:rPr>
              <w:b/>
            </w:rPr>
            <w:fldChar w:fldCharType="begin"/>
          </w:r>
          <w:r>
            <w:rPr>
              <w:b/>
            </w:rPr>
            <w:instrText xml:space="preserve"> PAGEREF _Toc7146 \h </w:instrText>
          </w:r>
          <w:r>
            <w:rPr>
              <w:b/>
            </w:rPr>
            <w:fldChar w:fldCharType="separate"/>
          </w:r>
          <w:r>
            <w:rPr>
              <w:b/>
            </w:rPr>
            <w:t>18</w:t>
          </w:r>
          <w:r>
            <w:rPr>
              <w:b/>
            </w:rPr>
            <w:fldChar w:fldCharType="end"/>
          </w:r>
          <w:r>
            <w:rPr>
              <w:b/>
            </w:rPr>
            <w:fldChar w:fldCharType="end"/>
          </w:r>
        </w:p>
        <w:p>
          <w:pPr>
            <w:pStyle w:val="29"/>
            <w:tabs>
              <w:tab w:val="right" w:leader="dot" w:pos="8306"/>
            </w:tabs>
          </w:pPr>
          <w:r>
            <w:fldChar w:fldCharType="begin"/>
          </w:r>
          <w:r>
            <w:instrText xml:space="preserve"> HYPERLINK \l _Toc2671 </w:instrText>
          </w:r>
          <w:r>
            <w:fldChar w:fldCharType="separate"/>
          </w:r>
          <w:r>
            <w:rPr>
              <w:shd w:val="clear" w:color="auto" w:fill="FFFFFF"/>
            </w:rPr>
            <w:t>附件</w:t>
          </w:r>
          <w:r>
            <w:tab/>
          </w:r>
          <w:r>
            <w:fldChar w:fldCharType="begin"/>
          </w:r>
          <w:r>
            <w:instrText xml:space="preserve"> PAGEREF _Toc2671 \h </w:instrText>
          </w:r>
          <w:r>
            <w:fldChar w:fldCharType="separate"/>
          </w:r>
          <w:r>
            <w:t>18</w:t>
          </w:r>
          <w:r>
            <w:fldChar w:fldCharType="end"/>
          </w:r>
          <w:r>
            <w:fldChar w:fldCharType="end"/>
          </w:r>
        </w:p>
        <w:p>
          <w:pPr>
            <w:pStyle w:val="29"/>
            <w:tabs>
              <w:tab w:val="right" w:leader="dot" w:pos="8306"/>
            </w:tabs>
          </w:pPr>
          <w:r>
            <w:fldChar w:fldCharType="begin"/>
          </w:r>
          <w:r>
            <w:instrText xml:space="preserve"> HYPERLINK \l _Toc13366 </w:instrText>
          </w:r>
          <w:r>
            <w:fldChar w:fldCharType="separate"/>
          </w:r>
          <w:r>
            <w:rPr>
              <w:rFonts w:ascii="方正黑体_GBK" w:eastAsia="方正黑体_GBK" w:cs="方正黑体_GBK" w:hint="eastAsia"/>
              <w:bCs/>
              <w:kern w:val="2"/>
              <w:szCs w:val="32"/>
              <w:lang w:val="en-US" w:eastAsia="zh-CN" w:bidi="ar-SA"/>
            </w:rPr>
            <w:t>一、部门（单位）概况</w:t>
          </w:r>
          <w:r>
            <w:tab/>
          </w:r>
          <w:r>
            <w:fldChar w:fldCharType="begin"/>
          </w:r>
          <w:r>
            <w:instrText xml:space="preserve"> PAGEREF _Toc13366 \h </w:instrText>
          </w:r>
          <w:r>
            <w:fldChar w:fldCharType="separate"/>
          </w:r>
          <w:r>
            <w:t>18</w:t>
          </w:r>
          <w:r>
            <w:fldChar w:fldCharType="end"/>
          </w:r>
          <w:r>
            <w:fldChar w:fldCharType="end"/>
          </w:r>
        </w:p>
        <w:p>
          <w:pPr>
            <w:pStyle w:val="29"/>
            <w:tabs>
              <w:tab w:val="right" w:leader="dot" w:pos="8306"/>
            </w:tabs>
          </w:pPr>
          <w:r>
            <w:fldChar w:fldCharType="begin"/>
          </w:r>
          <w:r>
            <w:instrText xml:space="preserve"> HYPERLINK \l _Toc1295 </w:instrText>
          </w:r>
          <w:r>
            <w:fldChar w:fldCharType="separate"/>
          </w:r>
          <w:r>
            <w:rPr>
              <w:rFonts w:ascii="方正黑体_GBK" w:eastAsia="方正黑体_GBK" w:cs="方正黑体_GBK" w:hint="eastAsia"/>
              <w:bCs/>
              <w:kern w:val="2"/>
              <w:szCs w:val="32"/>
              <w:lang w:val="en-US" w:eastAsia="zh-CN" w:bidi="ar-SA"/>
            </w:rPr>
            <w:t>二、部门财政资金收支情况</w:t>
          </w:r>
          <w:r>
            <w:tab/>
          </w:r>
          <w:r>
            <w:fldChar w:fldCharType="begin"/>
          </w:r>
          <w:r>
            <w:instrText xml:space="preserve"> PAGEREF _Toc1295 \h </w:instrText>
          </w:r>
          <w:r>
            <w:fldChar w:fldCharType="separate"/>
          </w:r>
          <w:r>
            <w:t>19</w:t>
          </w:r>
          <w:r>
            <w:fldChar w:fldCharType="end"/>
          </w:r>
          <w:r>
            <w:fldChar w:fldCharType="end"/>
          </w:r>
        </w:p>
        <w:p>
          <w:pPr>
            <w:pStyle w:val="29"/>
            <w:tabs>
              <w:tab w:val="right" w:leader="dot" w:pos="8306"/>
            </w:tabs>
          </w:pPr>
          <w:r>
            <w:fldChar w:fldCharType="begin"/>
          </w:r>
          <w:r>
            <w:instrText xml:space="preserve"> HYPERLINK \l _Toc23912 </w:instrText>
          </w:r>
          <w:r>
            <w:fldChar w:fldCharType="separate"/>
          </w:r>
          <w:r>
            <w:rPr>
              <w:rFonts w:ascii="方正黑体_GBK" w:eastAsia="方正黑体_GBK" w:cs="方正黑体_GBK" w:hint="eastAsia"/>
              <w:bCs/>
              <w:kern w:val="2"/>
              <w:szCs w:val="32"/>
              <w:lang w:val="en-US" w:eastAsia="zh-CN" w:bidi="ar-SA"/>
            </w:rPr>
            <w:t>三、部门整体预算绩效管理情况</w:t>
          </w:r>
          <w:r>
            <w:tab/>
          </w:r>
          <w:r>
            <w:fldChar w:fldCharType="begin"/>
          </w:r>
          <w:r>
            <w:instrText xml:space="preserve"> PAGEREF _Toc23912 \h </w:instrText>
          </w:r>
          <w:r>
            <w:fldChar w:fldCharType="separate"/>
          </w:r>
          <w:r>
            <w:t>20</w:t>
          </w:r>
          <w:r>
            <w:fldChar w:fldCharType="end"/>
          </w:r>
          <w:r>
            <w:fldChar w:fldCharType="end"/>
          </w:r>
        </w:p>
        <w:p>
          <w:pPr>
            <w:pStyle w:val="29"/>
            <w:tabs>
              <w:tab w:val="right" w:leader="dot" w:pos="8306"/>
            </w:tabs>
          </w:pPr>
          <w:r>
            <w:fldChar w:fldCharType="begin"/>
          </w:r>
          <w:r>
            <w:instrText xml:space="preserve"> HYPERLINK \l _Toc4961 </w:instrText>
          </w:r>
          <w:r>
            <w:fldChar w:fldCharType="separate"/>
          </w:r>
          <w:r>
            <w:rPr>
              <w:rFonts w:ascii="方正黑体_GBK" w:eastAsia="方正黑体_GBK" w:cs="方正黑体_GBK" w:hint="eastAsia"/>
              <w:bCs/>
              <w:kern w:val="2"/>
              <w:szCs w:val="32"/>
              <w:lang w:val="en-US" w:eastAsia="zh-CN" w:bidi="ar-SA"/>
            </w:rPr>
            <w:t>四、评价结论及建议</w:t>
          </w:r>
          <w:r>
            <w:tab/>
          </w:r>
          <w:r>
            <w:fldChar w:fldCharType="begin"/>
          </w:r>
          <w:r>
            <w:instrText xml:space="preserve"> PAGEREF _Toc4961 \h </w:instrText>
          </w:r>
          <w:r>
            <w:fldChar w:fldCharType="separate"/>
          </w:r>
          <w:r>
            <w:t>21</w:t>
          </w:r>
          <w:r>
            <w:fldChar w:fldCharType="end"/>
          </w:r>
          <w:r>
            <w:fldChar w:fldCharType="end"/>
          </w:r>
        </w:p>
        <w:p>
          <w:pPr>
            <w:pStyle w:val="28"/>
            <w:tabs>
              <w:tab w:val="right" w:leader="dot" w:pos="8306"/>
            </w:tabs>
            <w:rPr>
              <w:b/>
            </w:rPr>
          </w:pPr>
          <w:r>
            <w:rPr>
              <w:b/>
            </w:rPr>
            <w:fldChar w:fldCharType="begin"/>
          </w:r>
          <w:r>
            <w:rPr>
              <w:b/>
            </w:rPr>
            <w:instrText xml:space="preserve"> HYPERLINK \l _Toc5466 </w:instrText>
          </w:r>
          <w:r>
            <w:rPr>
              <w:b/>
            </w:rPr>
            <w:fldChar w:fldCharType="separate"/>
          </w:r>
          <w:r>
            <w:rPr>
              <w:rFonts w:ascii="方正小标宋简体" w:eastAsia="方正小标宋简体" w:cs="Times New Roman" w:hint="eastAsia"/>
              <w:b/>
              <w:szCs w:val="44"/>
              <w:lang w:val="en-US" w:eastAsia="zh-CN" w:bidi="ar-SA"/>
            </w:rPr>
            <w:t>第五部分 附表</w:t>
          </w:r>
          <w:r>
            <w:rPr>
              <w:b/>
            </w:rPr>
            <w:tab/>
          </w:r>
          <w:r>
            <w:rPr>
              <w:b/>
            </w:rPr>
            <w:fldChar w:fldCharType="begin"/>
          </w:r>
          <w:r>
            <w:rPr>
              <w:b/>
            </w:rPr>
            <w:instrText xml:space="preserve"> PAGEREF _Toc5466 \h </w:instrText>
          </w:r>
          <w:r>
            <w:rPr>
              <w:b/>
            </w:rPr>
            <w:fldChar w:fldCharType="separate"/>
          </w:r>
          <w:r>
            <w:rPr>
              <w:b/>
            </w:rPr>
            <w:t>23</w:t>
          </w:r>
          <w:r>
            <w:rPr>
              <w:b/>
            </w:rPr>
            <w:fldChar w:fldCharType="end"/>
          </w:r>
          <w:r>
            <w:rPr>
              <w:b/>
            </w:rPr>
            <w:fldChar w:fldCharType="end"/>
          </w:r>
        </w:p>
        <w:p>
          <w:pPr>
            <w:pStyle w:val="29"/>
            <w:tabs>
              <w:tab w:val="right" w:leader="dot" w:pos="8306"/>
            </w:tabs>
          </w:pPr>
          <w:r>
            <w:fldChar w:fldCharType="begin"/>
          </w:r>
          <w:r>
            <w:instrText xml:space="preserve"> HYPERLINK \l _Toc16624 </w:instrText>
          </w:r>
          <w:r>
            <w:fldChar w:fldCharType="separate"/>
          </w:r>
          <w:r>
            <w:rPr>
              <w:rFonts w:ascii="黑体" w:eastAsia="黑体" w:cs="Times New Roman" w:hint="eastAsia"/>
              <w:bCs/>
              <w:kern w:val="2"/>
              <w:szCs w:val="32"/>
              <w:lang w:val="en-US" w:eastAsia="zh-CN" w:bidi="ar-SA"/>
            </w:rPr>
            <w:t>一、收入支出决算总表</w:t>
          </w:r>
          <w:r>
            <w:tab/>
          </w:r>
          <w:r>
            <w:fldChar w:fldCharType="begin"/>
          </w:r>
          <w:r>
            <w:instrText xml:space="preserve"> PAGEREF _Toc16624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_Toc4638 </w:instrText>
          </w:r>
          <w:r>
            <w:fldChar w:fldCharType="separate"/>
          </w:r>
          <w:r>
            <w:rPr>
              <w:rFonts w:ascii="黑体" w:eastAsia="黑体" w:cs="Times New Roman" w:hint="eastAsia"/>
              <w:bCs/>
              <w:kern w:val="2"/>
              <w:szCs w:val="32"/>
              <w:lang w:val="en-US" w:eastAsia="zh-CN" w:bidi="ar-SA"/>
            </w:rPr>
            <w:t>二、收入决算表</w:t>
          </w:r>
          <w:r>
            <w:tab/>
          </w:r>
          <w:r>
            <w:fldChar w:fldCharType="begin"/>
          </w:r>
          <w:r>
            <w:instrText xml:space="preserve"> PAGEREF _Toc4638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_Toc10606 </w:instrText>
          </w:r>
          <w:r>
            <w:fldChar w:fldCharType="separate"/>
          </w:r>
          <w:r>
            <w:rPr>
              <w:rFonts w:ascii="黑体" w:eastAsia="黑体" w:cs="Times New Roman" w:hint="eastAsia"/>
              <w:bCs/>
              <w:kern w:val="2"/>
              <w:szCs w:val="32"/>
              <w:lang w:val="en-US" w:eastAsia="zh-CN" w:bidi="ar-SA"/>
            </w:rPr>
            <w:t>三、支出决算表</w:t>
          </w:r>
          <w:r>
            <w:tab/>
          </w:r>
          <w:r>
            <w:fldChar w:fldCharType="begin"/>
          </w:r>
          <w:r>
            <w:instrText xml:space="preserve"> PAGEREF _Toc10606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_Toc28384 </w:instrText>
          </w:r>
          <w:r>
            <w:fldChar w:fldCharType="separate"/>
          </w:r>
          <w:r>
            <w:rPr>
              <w:rFonts w:ascii="黑体" w:eastAsia="黑体" w:cs="Times New Roman" w:hint="eastAsia"/>
              <w:bCs/>
              <w:kern w:val="2"/>
              <w:szCs w:val="32"/>
              <w:lang w:val="en-US" w:eastAsia="zh-CN" w:bidi="ar-SA"/>
            </w:rPr>
            <w:t>四、财政拨款收入支出决算总表</w:t>
          </w:r>
          <w:r>
            <w:tab/>
          </w:r>
          <w:r>
            <w:fldChar w:fldCharType="begin"/>
          </w:r>
          <w:r>
            <w:instrText xml:space="preserve"> PAGEREF _Toc28384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_Toc14487 </w:instrText>
          </w:r>
          <w:r>
            <w:fldChar w:fldCharType="separate"/>
          </w:r>
          <w:r>
            <w:rPr>
              <w:rFonts w:ascii="黑体" w:eastAsia="黑体" w:cs="Times New Roman" w:hint="eastAsia"/>
              <w:bCs/>
              <w:kern w:val="2"/>
              <w:szCs w:val="32"/>
              <w:lang w:val="en-US" w:eastAsia="zh-CN" w:bidi="ar-SA"/>
            </w:rPr>
            <w:t>五、财政拨款支出决算明细表</w:t>
          </w:r>
          <w:r>
            <w:tab/>
          </w:r>
          <w:r>
            <w:fldChar w:fldCharType="begin"/>
          </w:r>
          <w:r>
            <w:instrText xml:space="preserve"> PAGEREF _Toc14487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_Toc6332 </w:instrText>
          </w:r>
          <w:r>
            <w:fldChar w:fldCharType="separate"/>
          </w:r>
          <w:r>
            <w:rPr>
              <w:rFonts w:ascii="黑体" w:eastAsia="黑体" w:cs="Times New Roman" w:hint="eastAsia"/>
              <w:bCs/>
              <w:kern w:val="2"/>
              <w:szCs w:val="32"/>
              <w:lang w:val="en-US" w:eastAsia="zh-CN" w:bidi="ar-SA"/>
            </w:rPr>
            <w:t>六、一般公共预算财政拨款支出决算表</w:t>
          </w:r>
          <w:r>
            <w:tab/>
          </w:r>
          <w:r>
            <w:fldChar w:fldCharType="begin"/>
          </w:r>
          <w:r>
            <w:instrText xml:space="preserve"> PAGEREF _Toc6332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_Toc24091 </w:instrText>
          </w:r>
          <w:r>
            <w:fldChar w:fldCharType="separate"/>
          </w:r>
          <w:r>
            <w:rPr>
              <w:rFonts w:ascii="黑体" w:eastAsia="黑体" w:cs="Times New Roman" w:hint="eastAsia"/>
              <w:bCs/>
              <w:kern w:val="2"/>
              <w:szCs w:val="32"/>
              <w:lang w:val="en-US" w:eastAsia="zh-CN" w:bidi="ar-SA"/>
            </w:rPr>
            <w:t>七、一般公共预算财政拨款支出决算明细表</w:t>
          </w:r>
          <w:r>
            <w:tab/>
          </w:r>
          <w:r>
            <w:fldChar w:fldCharType="begin"/>
          </w:r>
          <w:r>
            <w:instrText xml:space="preserve"> PAGEREF _Toc24091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_Toc17288 </w:instrText>
          </w:r>
          <w:r>
            <w:fldChar w:fldCharType="separate"/>
          </w:r>
          <w:r>
            <w:rPr>
              <w:rFonts w:ascii="黑体" w:eastAsia="黑体" w:cs="Times New Roman" w:hint="eastAsia"/>
              <w:bCs/>
              <w:kern w:val="2"/>
              <w:szCs w:val="32"/>
              <w:lang w:val="en-US" w:eastAsia="zh-CN" w:bidi="ar-SA"/>
            </w:rPr>
            <w:t>八、一般公共预算财政拨款基本支出决算表</w:t>
          </w:r>
          <w:r>
            <w:tab/>
          </w:r>
          <w:r>
            <w:fldChar w:fldCharType="begin"/>
          </w:r>
          <w:r>
            <w:instrText xml:space="preserve"> PAGEREF _Toc17288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_Toc32215 </w:instrText>
          </w:r>
          <w:r>
            <w:fldChar w:fldCharType="separate"/>
          </w:r>
          <w:r>
            <w:rPr>
              <w:rFonts w:ascii="黑体" w:eastAsia="黑体" w:cs="Times New Roman" w:hint="eastAsia"/>
              <w:bCs/>
              <w:kern w:val="2"/>
              <w:szCs w:val="32"/>
              <w:lang w:val="en-US" w:eastAsia="zh-CN" w:bidi="ar-SA"/>
            </w:rPr>
            <w:t>九、一般公共预算财政拨款项目支出决算表</w:t>
          </w:r>
          <w:r>
            <w:tab/>
          </w:r>
          <w:r>
            <w:fldChar w:fldCharType="begin"/>
          </w:r>
          <w:r>
            <w:instrText xml:space="preserve"> PAGEREF _Toc32215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_Toc11674 </w:instrText>
          </w:r>
          <w:r>
            <w:fldChar w:fldCharType="separate"/>
          </w:r>
          <w:r>
            <w:rPr>
              <w:rFonts w:ascii="黑体" w:eastAsia="黑体" w:cs="Times New Roman" w:hint="eastAsia"/>
              <w:bCs/>
              <w:kern w:val="2"/>
              <w:szCs w:val="32"/>
              <w:lang w:val="en-US" w:eastAsia="zh-CN" w:bidi="ar-SA"/>
            </w:rPr>
            <w:t>十、政府性基金预算财政拨款收入支出决算表</w:t>
          </w:r>
          <w:r>
            <w:tab/>
          </w:r>
          <w:r>
            <w:fldChar w:fldCharType="begin"/>
          </w:r>
          <w:r>
            <w:instrText xml:space="preserve"> PAGEREF _Toc11674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_Toc26347 </w:instrText>
          </w:r>
          <w:r>
            <w:fldChar w:fldCharType="separate"/>
          </w:r>
          <w:r>
            <w:rPr>
              <w:rFonts w:ascii="黑体" w:eastAsia="黑体" w:cs="Times New Roman" w:hint="eastAsia"/>
              <w:bCs/>
              <w:kern w:val="2"/>
              <w:szCs w:val="32"/>
              <w:lang w:val="en-US" w:eastAsia="zh-CN" w:bidi="ar-SA"/>
            </w:rPr>
            <w:t>十一、国有资本经营预算财政拨款收入支出决算表</w:t>
          </w:r>
          <w:r>
            <w:tab/>
          </w:r>
          <w:r>
            <w:fldChar w:fldCharType="begin"/>
          </w:r>
          <w:r>
            <w:instrText xml:space="preserve"> PAGEREF _Toc26347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_Toc29461 </w:instrText>
          </w:r>
          <w:r>
            <w:fldChar w:fldCharType="separate"/>
          </w:r>
          <w:r>
            <w:rPr>
              <w:rFonts w:ascii="黑体" w:eastAsia="黑体" w:cs="Times New Roman" w:hint="eastAsia"/>
              <w:bCs/>
              <w:kern w:val="2"/>
              <w:szCs w:val="32"/>
              <w:lang w:val="en-US" w:eastAsia="zh-CN" w:bidi="ar-SA"/>
            </w:rPr>
            <w:t>十二、国有资本经营预算财政拨款支出决算表</w:t>
          </w:r>
          <w:r>
            <w:tab/>
          </w:r>
          <w:r>
            <w:fldChar w:fldCharType="begin"/>
          </w:r>
          <w:r>
            <w:instrText xml:space="preserve"> PAGEREF _Toc29461 \h </w:instrText>
          </w:r>
          <w:r>
            <w:fldChar w:fldCharType="separate"/>
          </w:r>
          <w:r>
            <w:t>23</w:t>
          </w:r>
          <w:r>
            <w:fldChar w:fldCharType="end"/>
          </w:r>
          <w:r>
            <w:fldChar w:fldCharType="end"/>
          </w:r>
        </w:p>
        <w:p>
          <w:pPr>
            <w:pStyle w:val="29"/>
            <w:tabs>
              <w:tab w:val="right" w:leader="dot" w:pos="8306"/>
            </w:tabs>
          </w:pPr>
          <w:r>
            <w:fldChar w:fldCharType="begin"/>
          </w:r>
          <w:r>
            <w:instrText xml:space="preserve"> HYPERLINK \l _Toc12401 </w:instrText>
          </w:r>
          <w:r>
            <w:fldChar w:fldCharType="separate"/>
          </w:r>
          <w:r>
            <w:rPr>
              <w:rFonts w:ascii="黑体" w:eastAsia="黑体" w:cs="Times New Roman" w:hint="eastAsia"/>
              <w:bCs/>
              <w:kern w:val="2"/>
              <w:szCs w:val="32"/>
              <w:lang w:val="en-US" w:eastAsia="zh-CN" w:bidi="ar-SA"/>
            </w:rPr>
            <w:t>十三、财政拨款“三公”经费支出决算表</w:t>
          </w:r>
          <w:r>
            <w:tab/>
          </w:r>
          <w:r>
            <w:fldChar w:fldCharType="begin"/>
          </w:r>
          <w:r>
            <w:instrText xml:space="preserve"> PAGEREF _Toc12401 \h </w:instrText>
          </w:r>
          <w:r>
            <w:fldChar w:fldCharType="separate"/>
          </w:r>
          <w:r>
            <w:t>23</w:t>
          </w:r>
          <w:r>
            <w:fldChar w:fldCharType="end"/>
          </w:r>
          <w:r>
            <w:fldChar w:fldCharType="end"/>
          </w:r>
        </w:p>
        <w:p>
          <w:pPr>
            <w:rPr>
              <w:b/>
            </w:rPr>
          </w:pPr>
          <w:r>
            <w:rPr>
              <w:b/>
            </w:rPr>
            <w:fldChar w:fldCharType="end"/>
          </w:r>
        </w:p>
        <w:bookmarkStart w:id="1" w:name="_Toc15005" w:displacedByCustomXml="next"/>
      </w:sdtContent>
    </w:sdt>
    <w:p>
      <w:pPr>
        <w:rPr>
          <w:rFonts w:hint="eastAsia"/>
          <w:b/>
        </w:rPr>
      </w:pPr>
    </w:p>
    <w:p>
      <w:pPr>
        <w:pStyle w:val="1"/>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firstLineChars="500" w:firstLine="2200"/>
        <w:jc w:val="both"/>
        <w:textAlignment w:val="auto"/>
        <w:outlineLvl w:val="0"/>
        <w:rPr>
          <w:rFonts w:ascii="方正小标宋简体" w:eastAsia="方正小标宋简体" w:cs="Times New Roman" w:hint="eastAsia"/>
          <w:b w:val="0"/>
          <w:color w:val="000000"/>
          <w:sz w:val="44"/>
          <w:szCs w:val="44"/>
          <w:lang w:bidi="ar-SA"/>
        </w:rPr>
      </w:pPr>
    </w:p>
    <w:p>
      <w:pPr>
        <w:pStyle w:val="1"/>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firstLineChars="500" w:firstLine="2200"/>
        <w:jc w:val="both"/>
        <w:textAlignment w:val="auto"/>
        <w:outlineLvl w:val="0"/>
        <w:rPr>
          <w:rFonts w:ascii="方正小标宋简体" w:eastAsia="方正小标宋简体" w:cs="Times New Roman" w:hint="eastAsia"/>
          <w:b w:val="0"/>
          <w:color w:val="000000"/>
          <w:sz w:val="44"/>
          <w:szCs w:val="44"/>
          <w:lang w:bidi="ar-SA"/>
        </w:rPr>
      </w:pPr>
      <w:r>
        <w:rPr>
          <w:rFonts w:ascii="方正小标宋简体" w:eastAsia="方正小标宋简体" w:cs="Times New Roman" w:hint="eastAsia"/>
          <w:b w:val="0"/>
          <w:color w:val="000000"/>
          <w:sz w:val="44"/>
          <w:szCs w:val="44"/>
          <w:lang w:bidi="ar-SA"/>
        </w:rPr>
        <w:t>第一部分 部门概况</w:t>
      </w:r>
      <w:bookmarkEnd w:id="1"/>
    </w:p>
    <w:p>
      <w:pPr>
        <w:pStyle w:val="24"/>
        <w:keepNext w:val="0"/>
        <w:keepLines w:val="0"/>
        <w:widowControl/>
        <w:suppressLineNumbers w:val="0"/>
        <w:spacing w:before="0" w:beforeAutospacing="0"/>
        <w:ind w:left="0"/>
        <w:jc w:val="left"/>
      </w:pPr>
      <w:r>
        <w:rPr>
          <w:shd w:val="clear" w:color="auto" w:fill="FFFFFF"/>
        </w:rPr>
        <w:t> </w:t>
      </w:r>
    </w:p>
    <w:p>
      <w:pPr>
        <w:pStyle w:val="2"/>
        <w:keepNext/>
        <w:keepLines/>
        <w:pageBreakBefore w:val="0"/>
        <w:widowControl w:val="0"/>
        <w:kinsoku/>
        <w:wordWrap/>
        <w:overflowPunct/>
        <w:topLinePunct w:val="0"/>
        <w:autoSpaceDE/>
        <w:autoSpaceDN/>
        <w:bidi w:val="0"/>
        <w:adjustRightInd w:val="0"/>
        <w:snapToGrid w:val="0"/>
        <w:spacing w:before="0" w:beforeAutospacing="0" w:after="0" w:afterAutospacing="0" w:line="560" w:lineRule="exact"/>
        <w:jc w:val="both"/>
        <w:textAlignment w:val="auto"/>
        <w:outlineLvl w:val="1"/>
        <w:rPr>
          <w:rFonts w:ascii="黑体" w:eastAsia="黑体" w:cs="Times New Roman" w:hint="eastAsia"/>
          <w:b w:val="0"/>
          <w:color w:val="000000"/>
          <w:kern w:val="2"/>
          <w:sz w:val="32"/>
          <w:szCs w:val="32"/>
          <w:lang w:bidi="ar-SA"/>
        </w:rPr>
      </w:pPr>
      <w:bookmarkStart w:id="2" w:name="_Toc6501"/>
      <w:r>
        <w:rPr>
          <w:rFonts w:ascii="黑体" w:eastAsia="黑体" w:cs="Times New Roman" w:hint="eastAsia"/>
          <w:b w:val="0"/>
          <w:color w:val="000000"/>
          <w:kern w:val="2"/>
          <w:sz w:val="32"/>
          <w:szCs w:val="32"/>
          <w:lang w:bidi="ar-SA"/>
        </w:rPr>
        <w:t>一、基本职能及主要工作</w:t>
      </w:r>
      <w:bookmarkEnd w:id="2"/>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bookmarkStart w:id="3" w:name="_Toc79163603"/>
      <w:bookmarkStart w:id="4" w:name="_Toc24415"/>
      <w:bookmarkStart w:id="5" w:name="_Toc15378445"/>
      <w:bookmarkStart w:id="6" w:name="_Toc15377198"/>
      <w:r>
        <w:rPr>
          <w:rFonts w:ascii="仿宋" w:eastAsia="仿宋" w:hint="eastAsia"/>
          <w:b/>
          <w:bCs/>
          <w:color w:val="000000"/>
          <w:sz w:val="32"/>
          <w:szCs w:val="32"/>
        </w:rPr>
        <w:t>（一）主要职能。</w:t>
      </w:r>
      <w:bookmarkEnd w:id="3"/>
      <w:bookmarkEnd w:id="4"/>
    </w:p>
    <w:p>
      <w:pPr>
        <w:spacing w:line="560" w:lineRule="exact"/>
        <w:ind w:firstLineChars="200" w:firstLine="640"/>
        <w:rPr>
          <w:rFonts w:ascii="仿宋" w:eastAsia="仿宋" w:cs="Times New Roman" w:hint="eastAsia"/>
          <w:color w:val="000000"/>
          <w:sz w:val="32"/>
          <w:szCs w:val="32"/>
        </w:rPr>
      </w:pPr>
      <w:bookmarkStart w:id="7" w:name="_Toc3563"/>
      <w:bookmarkStart w:id="8" w:name="_Toc6261"/>
      <w:bookmarkStart w:id="9" w:name="_Toc25547"/>
      <w:bookmarkStart w:id="10" w:name="_Toc3332"/>
      <w:bookmarkStart w:id="11" w:name="_Toc5611"/>
      <w:bookmarkStart w:id="12" w:name="_Toc18446"/>
      <w:bookmarkStart w:id="13" w:name="_Toc79163604"/>
      <w:bookmarkStart w:id="14" w:name="_Toc15378446"/>
      <w:bookmarkStart w:id="15" w:name="_Toc15377199"/>
      <w:bookmarkEnd w:id="5"/>
      <w:bookmarkEnd w:id="6"/>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bookmarkEnd w:id="7"/>
      <w:bookmarkEnd w:id="8"/>
      <w:bookmarkEnd w:id="9"/>
      <w:bookmarkEnd w:id="10"/>
      <w:bookmarkEnd w:id="11"/>
      <w:bookmarkEnd w:id="12"/>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bookmarkStart w:id="16" w:name="_Toc27488"/>
      <w:r>
        <w:rPr>
          <w:rFonts w:ascii="仿宋" w:eastAsia="仿宋" w:hint="eastAsia"/>
          <w:b/>
          <w:bCs/>
          <w:color w:val="000000"/>
          <w:sz w:val="32"/>
          <w:szCs w:val="32"/>
        </w:rPr>
        <w:t>（二）202</w:t>
      </w:r>
      <w:r>
        <w:rPr>
          <w:rFonts w:ascii="仿宋" w:eastAsia="仿宋" w:hint="eastAsia"/>
          <w:b/>
          <w:bCs/>
          <w:color w:val="000000"/>
          <w:sz w:val="32"/>
          <w:szCs w:val="32"/>
          <w:lang w:val="en-US" w:eastAsia="zh-CN"/>
        </w:rPr>
        <w:t>2</w:t>
      </w:r>
      <w:r>
        <w:rPr>
          <w:rFonts w:ascii="仿宋" w:eastAsia="仿宋" w:hint="eastAsia"/>
          <w:b/>
          <w:bCs/>
          <w:color w:val="000000"/>
          <w:sz w:val="32"/>
          <w:szCs w:val="32"/>
        </w:rPr>
        <w:t>年重点工作完成情况。</w:t>
      </w:r>
      <w:bookmarkEnd w:id="13"/>
      <w:bookmarkEnd w:id="14"/>
      <w:bookmarkEnd w:id="15"/>
      <w:bookmarkEnd w:id="16"/>
    </w:p>
    <w:p>
      <w:pPr>
        <w:spacing w:line="560" w:lineRule="exact"/>
        <w:ind w:firstLineChars="200" w:firstLine="640"/>
        <w:rPr>
          <w:rFonts w:ascii="仿宋" w:eastAsia="仿宋" w:cs="Times New Roman"/>
          <w:color w:val="000000"/>
          <w:sz w:val="32"/>
          <w:szCs w:val="32"/>
        </w:rPr>
      </w:pPr>
      <w:r>
        <w:rPr>
          <w:rFonts w:ascii="仿宋" w:eastAsia="仿宋" w:cs="Times New Roman" w:hint="eastAsia"/>
          <w:color w:val="000000"/>
          <w:sz w:val="32"/>
          <w:szCs w:val="32"/>
        </w:rPr>
        <w:t>202</w:t>
      </w:r>
      <w:r>
        <w:rPr>
          <w:rFonts w:ascii="仿宋" w:eastAsia="仿宋" w:cs="Times New Roman" w:hint="eastAsia"/>
          <w:color w:val="000000"/>
          <w:sz w:val="32"/>
          <w:szCs w:val="32"/>
          <w:lang w:val="en-US" w:eastAsia="zh-CN"/>
        </w:rPr>
        <w:t>2</w:t>
      </w:r>
      <w:r>
        <w:rPr>
          <w:rFonts w:ascii="仿宋" w:eastAsia="仿宋" w:cs="Times New Roman" w:hint="eastAsia"/>
          <w:color w:val="000000"/>
          <w:sz w:val="32"/>
          <w:szCs w:val="32"/>
        </w:rPr>
        <w:t>年是我镇发展进程中极为困难、充满挑战的一年，也是奋发有为、满载收获的一年。一年来，全镇面临着护林防火、地灾防范等重重困难带来的挑战，始终坚持以习近平新时代中国特色社会主义思想为指引，坚持稳中求进工作总基调,以脱贫攻坚、环境整治、文明创建、党的建设、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 w:eastAsia="仿宋" w:cs="Times New Roman" w:hint="eastAsia"/>
          <w:color w:val="000000"/>
          <w:sz w:val="32"/>
          <w:szCs w:val="32"/>
          <w:lang w:eastAsia="zh-CN"/>
        </w:rPr>
      </w:pPr>
      <w:r>
        <w:rPr>
          <w:rFonts w:ascii="仿宋" w:eastAsia="仿宋" w:cs="Times New Roman" w:hint="eastAsia"/>
          <w:color w:val="000000"/>
          <w:sz w:val="32"/>
          <w:szCs w:val="32"/>
        </w:rPr>
        <w:t>在冲击和危机面前，我们逆势求变、稳中求进，保住了势头、促进了发展</w:t>
      </w:r>
      <w:r>
        <w:rPr>
          <w:rFonts w:ascii="仿宋" w:eastAsia="仿宋" w:cs="Times New Roman" w:hint="eastAsia"/>
          <w:color w:val="000000"/>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ind w:left="0" w:firstLineChars="200" w:firstLine="640"/>
        <w:jc w:val="left"/>
        <w:textAlignment w:val="auto"/>
        <w:outlineLvl w:val="9"/>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奏好“振兴曲”，农业发展纵深延续。自乡村振兴战略实施以来，全镇始终坚持党管农村工作、农业农村优先发展，坚持农民主体地位、因地制宜的工作原则，全力推进观音桥镇“面子”、“里子”工程的大提升。以产业振兴为支撑，壮大镇域经济。</w:t>
      </w:r>
    </w:p>
    <w:p>
      <w:pPr>
        <w:pStyle w:val="2"/>
        <w:keepNext/>
        <w:keepLines/>
        <w:pageBreakBefore w:val="0"/>
        <w:widowControl w:val="0"/>
        <w:kinsoku/>
        <w:wordWrap/>
        <w:overflowPunct/>
        <w:topLinePunct w:val="0"/>
        <w:autoSpaceDE/>
        <w:autoSpaceDN/>
        <w:bidi w:val="0"/>
        <w:adjustRightInd w:val="0"/>
        <w:snapToGrid w:val="0"/>
        <w:spacing w:before="0" w:beforeAutospacing="0" w:after="0" w:afterAutospacing="0" w:line="560" w:lineRule="exact"/>
        <w:jc w:val="both"/>
        <w:textAlignment w:val="auto"/>
        <w:outlineLvl w:val="1"/>
        <w:rPr>
          <w:rFonts w:ascii="黑体" w:eastAsia="黑体" w:cs="Times New Roman" w:hint="eastAsia"/>
          <w:b w:val="0"/>
          <w:color w:val="000000"/>
          <w:kern w:val="2"/>
          <w:sz w:val="32"/>
          <w:szCs w:val="32"/>
          <w:lang w:bidi="ar-SA"/>
        </w:rPr>
      </w:pPr>
      <w:bookmarkStart w:id="17" w:name="_Toc20307"/>
      <w:r>
        <w:rPr>
          <w:rFonts w:ascii="黑体" w:eastAsia="黑体" w:cs="Times New Roman" w:hint="eastAsia"/>
          <w:b w:val="0"/>
          <w:color w:val="000000"/>
          <w:kern w:val="2"/>
          <w:sz w:val="32"/>
          <w:szCs w:val="32"/>
          <w:lang w:bidi="ar-SA"/>
        </w:rPr>
        <w:t>二、机构设置</w:t>
      </w:r>
      <w:bookmarkEnd w:id="17"/>
    </w:p>
    <w:p>
      <w:pPr>
        <w:pStyle w:val="24"/>
        <w:keepNext w:val="0"/>
        <w:keepLines w:val="0"/>
        <w:widowControl/>
        <w:suppressLineNumbers w:val="0"/>
        <w:spacing w:before="0" w:beforeAutospacing="0"/>
        <w:ind w:left="0" w:firstLineChars="100" w:firstLine="32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阿坝州金川县观音桥镇人民政府下属二级单位4个，其中行政单位3个，参照公务员法管理的事业单位0个，其他事业单位1个。</w:t>
      </w:r>
    </w:p>
    <w:p>
      <w:pPr>
        <w:pStyle w:val="24"/>
        <w:keepNext w:val="0"/>
        <w:keepLines w:val="0"/>
        <w:widowControl/>
        <w:suppressLineNumbers w:val="0"/>
        <w:spacing w:before="0" w:beforeAutospacing="0"/>
        <w:ind w:left="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纳入阿坝州金川县观音桥镇人民政府2022年度部门决算编制范围的二级预算单位包括：</w:t>
      </w:r>
    </w:p>
    <w:p>
      <w:pPr>
        <w:keepNext w:val="0"/>
        <w:keepLines w:val="0"/>
        <w:widowControl/>
        <w:numPr>
          <w:ilvl w:val="0"/>
          <w:numId w:val="1"/>
        </w:numPr>
        <w:suppressLineNumbers w:val="0"/>
        <w:spacing w:before="0" w:beforeAutospacing="0" w:after="0" w:afterAutospacing="1"/>
        <w:ind w:left="720" w:hanging="36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观音桥镇人民政府办公室</w:t>
      </w:r>
    </w:p>
    <w:p>
      <w:pPr>
        <w:keepNext w:val="0"/>
        <w:keepLines w:val="0"/>
        <w:widowControl/>
        <w:numPr>
          <w:ilvl w:val="0"/>
          <w:numId w:val="1"/>
        </w:numPr>
        <w:suppressLineNumbers w:val="0"/>
        <w:spacing w:before="0" w:beforeAutospacing="0" w:after="0" w:afterAutospacing="1"/>
        <w:ind w:left="720" w:hanging="36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观音桥镇党委办公室</w:t>
      </w:r>
    </w:p>
    <w:p>
      <w:pPr>
        <w:keepNext w:val="0"/>
        <w:keepLines w:val="0"/>
        <w:widowControl/>
        <w:numPr>
          <w:ilvl w:val="0"/>
          <w:numId w:val="1"/>
        </w:numPr>
        <w:suppressLineNumbers w:val="0"/>
        <w:spacing w:before="0" w:beforeAutospacing="0" w:after="0" w:afterAutospacing="1"/>
        <w:ind w:left="720" w:hanging="36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观音桥镇人大办公室</w:t>
      </w:r>
    </w:p>
    <w:p>
      <w:pPr>
        <w:keepNext w:val="0"/>
        <w:keepLines w:val="0"/>
        <w:widowControl/>
        <w:numPr>
          <w:ilvl w:val="0"/>
          <w:numId w:val="1"/>
        </w:numPr>
        <w:suppressLineNumbers w:val="0"/>
        <w:spacing w:before="0" w:beforeAutospacing="0" w:after="0" w:afterAutospacing="1"/>
        <w:ind w:left="720" w:hanging="360"/>
        <w:jc w:val="left"/>
        <w:rPr>
          <w:rFonts w:ascii="仿宋" w:eastAsia="仿宋" w:cs="Times New Roman" w:hint="eastAsia"/>
          <w:b w:val="0"/>
          <w:bCs w:val="0"/>
          <w:color w:val="000000"/>
          <w:kern w:val="0"/>
          <w:sz w:val="32"/>
          <w:szCs w:val="32"/>
          <w:lang w:val="en-US" w:eastAsia="zh-CN"/>
        </w:rPr>
      </w:pPr>
      <w:r>
        <w:rPr>
          <w:rFonts w:ascii="仿宋" w:eastAsia="仿宋" w:cs="Times New Roman" w:hint="eastAsia"/>
          <w:b w:val="0"/>
          <w:bCs w:val="0"/>
          <w:color w:val="000000"/>
          <w:kern w:val="0"/>
          <w:sz w:val="32"/>
          <w:szCs w:val="32"/>
          <w:lang w:val="en-US" w:eastAsia="zh-CN"/>
        </w:rPr>
        <w:t>观音桥镇综合服务中心</w:t>
      </w:r>
    </w:p>
    <w:p>
      <w:pPr>
        <w:pStyle w:val="24"/>
        <w:keepNext w:val="0"/>
        <w:keepLines w:val="0"/>
        <w:widowControl/>
        <w:suppressLineNumbers w:val="0"/>
        <w:spacing w:before="0" w:beforeAutospacing="0"/>
        <w:ind w:left="0"/>
        <w:jc w:val="left"/>
        <w:rPr>
          <w:shd w:val="clear" w:color="auto" w:fill="FFFFFF"/>
        </w:rPr>
      </w:pPr>
      <w:r>
        <w:rPr>
          <w:shd w:val="clear" w:color="auto" w:fill="FFFFFF"/>
        </w:rPr>
        <w:t> </w:t>
      </w:r>
    </w:p>
    <w:p>
      <w:pPr>
        <w:pStyle w:val="1"/>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jc w:val="center"/>
        <w:textAlignment w:val="auto"/>
        <w:outlineLvl w:val="0"/>
        <w:rPr>
          <w:rFonts w:ascii="方正小标宋简体" w:eastAsia="方正小标宋简体" w:cs="Times New Roman" w:hint="eastAsia"/>
          <w:b w:val="0"/>
          <w:color w:val="000000"/>
          <w:sz w:val="44"/>
          <w:szCs w:val="44"/>
          <w:lang w:bidi="ar-SA"/>
        </w:rPr>
      </w:pPr>
      <w:bookmarkStart w:id="18" w:name="_Toc45"/>
      <w:r>
        <w:rPr>
          <w:rFonts w:ascii="方正小标宋简体" w:eastAsia="方正小标宋简体" w:cs="Times New Roman" w:hint="eastAsia"/>
          <w:b w:val="0"/>
          <w:color w:val="000000"/>
          <w:sz w:val="44"/>
          <w:szCs w:val="44"/>
          <w:lang w:bidi="ar-SA"/>
        </w:rPr>
        <w:t>第二部分 2022年度部门决算情况说明</w:t>
      </w:r>
      <w:bookmarkEnd w:id="18"/>
    </w:p>
    <w:p>
      <w:pPr>
        <w:pStyle w:val="24"/>
        <w:keepNext w:val="0"/>
        <w:keepLines w:val="0"/>
        <w:widowControl/>
        <w:suppressLineNumbers w:val="0"/>
        <w:spacing w:before="0" w:beforeAutospacing="0"/>
        <w:ind w:left="0"/>
        <w:jc w:val="left"/>
      </w:pPr>
      <w:r>
        <w:rPr>
          <w:shd w:val="clear" w:color="auto" w:fill="FFFFFF"/>
        </w:rPr>
        <w:t> </w:t>
      </w:r>
    </w:p>
    <w:p>
      <w:pPr>
        <w:pStyle w:val="2"/>
        <w:keepNext/>
        <w:keepLines/>
        <w:pageBreakBefore w:val="0"/>
        <w:widowControl w:val="0"/>
        <w:kinsoku/>
        <w:wordWrap/>
        <w:overflowPunct/>
        <w:topLinePunct w:val="0"/>
        <w:autoSpaceDE/>
        <w:autoSpaceDN/>
        <w:bidi w:val="0"/>
        <w:adjustRightInd w:val="0"/>
        <w:snapToGrid w:val="0"/>
        <w:spacing w:before="0" w:beforeAutospacing="0" w:after="0" w:afterAutospacing="0" w:line="560" w:lineRule="exact"/>
        <w:jc w:val="both"/>
        <w:textAlignment w:val="auto"/>
        <w:outlineLvl w:val="1"/>
        <w:rPr>
          <w:rFonts w:ascii="黑体" w:eastAsia="黑体" w:cs="Times New Roman" w:hint="eastAsia"/>
          <w:b w:val="0"/>
          <w:color w:val="000000"/>
          <w:kern w:val="2"/>
          <w:sz w:val="32"/>
          <w:szCs w:val="32"/>
          <w:lang w:bidi="ar-SA"/>
        </w:rPr>
      </w:pPr>
      <w:bookmarkStart w:id="19" w:name="_Toc22878"/>
      <w:r>
        <w:rPr>
          <w:rFonts w:ascii="黑体" w:eastAsia="黑体" w:cs="Times New Roman" w:hint="eastAsia"/>
          <w:b w:val="0"/>
          <w:color w:val="000000"/>
          <w:kern w:val="2"/>
          <w:sz w:val="32"/>
          <w:szCs w:val="32"/>
          <w:lang w:bidi="ar-SA"/>
        </w:rPr>
        <w:t>一、收入支出决算总体情况说明</w:t>
      </w:r>
      <w:bookmarkEnd w:id="19"/>
    </w:p>
    <w:p>
      <w:pPr>
        <w:pStyle w:val="24"/>
        <w:keepNext w:val="0"/>
        <w:keepLines w:val="0"/>
        <w:widowControl/>
        <w:suppressLineNumbers w:val="0"/>
        <w:spacing w:before="0" w:beforeAutospacing="0"/>
        <w:ind w:left="0" w:firstLineChars="200" w:firstLine="640"/>
        <w:jc w:val="left"/>
        <w:rPr>
          <w:rFonts w:ascii="仿宋" w:eastAsia="仿宋" w:cs="Times New Roman"/>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2022年度收、支总计1,447.49万元。与2021年相比，收、支总计各减少416.26万元，减少22.33%。主要变动原因是2022年项目减少。</w:t>
      </w:r>
    </w:p>
    <w:p>
      <w:pPr>
        <w:pStyle w:val="24"/>
        <w:keepNext w:val="0"/>
        <w:keepLines w:val="0"/>
        <w:widowControl/>
        <w:suppressLineNumbers w:val="0"/>
        <w:spacing w:before="0" w:beforeAutospacing="0"/>
        <w:ind w:left="0"/>
        <w:jc w:val="left"/>
        <w:rPr>
          <w:rFonts w:eastAsia="宋体" w:hint="eastAsia"/>
          <w:shd w:val="clear" w:color="auto" w:fill="FFFFFF"/>
          <w:lang w:eastAsia="zh-CN"/>
        </w:rPr>
      </w:pPr>
      <w:r>
        <w:rPr>
          <w:rFonts w:eastAsia="宋体" w:hint="eastAsia"/>
          <w:shd w:val="clear" w:color="auto" w:fill="FFFFFF"/>
          <w:lang w:eastAsia="zh-CN"/>
        </w:rPr>
        <w:drawing>
          <wp:inline distT="0" distB="0" distL="114300" distR="114300">
            <wp:extent cx="5212715" cy="2524760"/>
            <wp:effectExtent l="0" t="0" r="0" b="0"/>
            <wp:docPr id="4" name="图表 1"/>
            <wp:cNvGraphicFramePr>
              <a:graphicFrameLocks noChangeAspect="0"/>
            </wp:cNvGraphicFramePr>
            <a:graphic>
              <a:graphicData uri="http://schemas.openxmlformats.org/drawingml/2006/chart">
                <c:chart xmlns:c="http://schemas.openxmlformats.org/drawingml/2006/chart" r:id="rId3"/>
              </a:graphicData>
            </a:graphic>
          </wp:inline>
        </w:drawing>
      </w:r>
    </w:p>
    <w:p>
      <w:pPr>
        <w:pStyle w:val="24"/>
        <w:keepNext w:val="0"/>
        <w:keepLines w:val="0"/>
        <w:widowControl/>
        <w:suppressLineNumbers w:val="0"/>
        <w:spacing w:before="0" w:beforeAutospacing="0"/>
        <w:ind w:left="0"/>
        <w:jc w:val="left"/>
      </w:pPr>
      <w:r>
        <w:rPr>
          <w:shd w:val="clear" w:color="auto" w:fill="FFFFFF"/>
        </w:rPr>
        <w:t>（图1：收、支决算总计变动情况图）（柱状图）</w:t>
      </w:r>
    </w:p>
    <w:p>
      <w:pPr>
        <w:pStyle w:val="24"/>
        <w:keepNext w:val="0"/>
        <w:keepLines w:val="0"/>
        <w:widowControl/>
        <w:suppressLineNumbers w:val="0"/>
        <w:spacing w:before="0" w:beforeAutospacing="0"/>
        <w:ind w:left="0"/>
        <w:jc w:val="left"/>
      </w:pPr>
      <w:r>
        <w:rPr>
          <w:shd w:val="clear" w:color="auto" w:fill="FFFFFF"/>
        </w:rPr>
        <w:t> </w:t>
      </w:r>
    </w:p>
    <w:p>
      <w:pPr>
        <w:pStyle w:val="2"/>
        <w:keepNext/>
        <w:keepLines/>
        <w:widowControl w:val="0"/>
        <w:adjustRightInd w:val="0"/>
        <w:snapToGrid w:val="0"/>
        <w:spacing w:before="0" w:beforeAutospacing="0" w:after="0" w:afterAutospacing="0" w:line="560" w:lineRule="exact"/>
        <w:jc w:val="both"/>
        <w:outlineLvl w:val="1"/>
        <w:rPr>
          <w:rFonts w:ascii="黑体" w:eastAsia="黑体" w:cs="Times New Roman" w:hint="eastAsia"/>
          <w:b w:val="0"/>
          <w:color w:val="000000"/>
          <w:kern w:val="2"/>
          <w:sz w:val="32"/>
          <w:szCs w:val="32"/>
          <w:lang w:val="en-US" w:eastAsia="zh-CN" w:bidi="ar-SA"/>
        </w:rPr>
      </w:pPr>
      <w:bookmarkStart w:id="20" w:name="_Toc8059"/>
      <w:r>
        <w:rPr>
          <w:rFonts w:ascii="黑体" w:eastAsia="黑体" w:cs="Times New Roman" w:hint="eastAsia"/>
          <w:b w:val="0"/>
          <w:color w:val="000000"/>
          <w:kern w:val="2"/>
          <w:sz w:val="32"/>
          <w:szCs w:val="32"/>
          <w:lang w:val="en-US" w:eastAsia="zh-CN" w:bidi="ar-SA"/>
        </w:rPr>
        <w:t>二、收入决算情况说明</w:t>
      </w:r>
      <w:bookmarkEnd w:id="20"/>
    </w:p>
    <w:p>
      <w:pPr>
        <w:pStyle w:val="24"/>
        <w:keepNext w:val="0"/>
        <w:keepLines w:val="0"/>
        <w:widowControl/>
        <w:suppressLineNumbers w:val="0"/>
        <w:spacing w:before="0" w:beforeAutospacing="0"/>
        <w:ind w:left="0" w:firstLineChars="200" w:firstLine="64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2022年本年收入合计1,447.49万元，其中：一般公共预算财政拨款收入1,447.49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24"/>
        <w:keepNext w:val="0"/>
        <w:keepLines w:val="0"/>
        <w:widowControl/>
        <w:suppressLineNumbers w:val="0"/>
        <w:spacing w:before="0" w:beforeAutospacing="0"/>
        <w:ind w:left="0"/>
        <w:jc w:val="left"/>
        <w:rPr>
          <w:rStyle w:val="25"/>
          <w:rFonts w:eastAsia="宋体" w:hint="eastAsia"/>
          <w:shd w:val="clear" w:color="auto" w:fill="FFFFFF"/>
          <w:lang w:eastAsia="zh-CN"/>
        </w:rPr>
      </w:pPr>
      <w:r>
        <w:rPr>
          <w:rStyle w:val="25"/>
          <w:rFonts w:eastAsia="宋体" w:hint="eastAsia"/>
          <w:shd w:val="clear" w:color="auto" w:fill="FFFFFF"/>
          <w:lang w:eastAsia="zh-CN"/>
        </w:rPr>
        <w:drawing>
          <wp:inline distT="0" distB="0" distL="114300" distR="114300">
            <wp:extent cx="5546090" cy="2439034"/>
            <wp:effectExtent l="0" t="0" r="0" b="0"/>
            <wp:docPr id="5"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4"/>
        <w:keepNext w:val="0"/>
        <w:keepLines w:val="0"/>
        <w:widowControl/>
        <w:suppressLineNumbers w:val="0"/>
        <w:spacing w:before="0" w:beforeAutospacing="0"/>
        <w:ind w:left="0"/>
        <w:jc w:val="left"/>
      </w:pPr>
      <w:r>
        <w:rPr>
          <w:shd w:val="clear" w:color="auto" w:fill="FFFFFF"/>
        </w:rPr>
        <w:t> （图2：收入决算结构图）（饼状图）</w:t>
      </w:r>
    </w:p>
    <w:p>
      <w:pPr>
        <w:pStyle w:val="24"/>
        <w:keepNext w:val="0"/>
        <w:keepLines w:val="0"/>
        <w:widowControl/>
        <w:suppressLineNumbers w:val="0"/>
        <w:spacing w:before="0" w:beforeAutospacing="0"/>
        <w:ind w:left="0"/>
        <w:jc w:val="left"/>
      </w:pPr>
      <w:r>
        <w:rPr>
          <w:shd w:val="clear" w:color="auto" w:fill="FFFFFF"/>
        </w:rPr>
        <w:t> </w:t>
      </w:r>
    </w:p>
    <w:p>
      <w:pPr>
        <w:pStyle w:val="26"/>
        <w:spacing w:line="560" w:lineRule="exact"/>
        <w:ind w:left="0" w:firstLineChars="0" w:firstLine="0"/>
        <w:outlineLvl w:val="1"/>
        <w:rPr>
          <w:rFonts w:ascii="黑体" w:eastAsia="黑体" w:cs="Times New Roman" w:hint="eastAsia"/>
          <w:b w:val="0"/>
          <w:bCs/>
          <w:color w:val="000000"/>
          <w:kern w:val="2"/>
          <w:sz w:val="32"/>
          <w:szCs w:val="32"/>
          <w:lang w:val="en-US" w:eastAsia="zh-CN" w:bidi="ar-SA"/>
        </w:rPr>
      </w:pPr>
      <w:bookmarkStart w:id="21" w:name="_Toc22857"/>
      <w:r>
        <w:rPr>
          <w:rFonts w:ascii="黑体" w:eastAsia="黑体" w:cs="Times New Roman" w:hint="eastAsia"/>
          <w:b w:val="0"/>
          <w:bCs/>
          <w:color w:val="000000"/>
          <w:kern w:val="2"/>
          <w:sz w:val="32"/>
          <w:szCs w:val="32"/>
          <w:lang w:val="en-US" w:eastAsia="zh-CN" w:bidi="ar-SA"/>
        </w:rPr>
        <w:t>三、支出决算情况说明</w:t>
      </w:r>
      <w:bookmarkEnd w:id="21"/>
    </w:p>
    <w:p>
      <w:pPr>
        <w:pStyle w:val="24"/>
        <w:keepNext w:val="0"/>
        <w:keepLines w:val="0"/>
        <w:widowControl/>
        <w:suppressLineNumbers w:val="0"/>
        <w:spacing w:before="0" w:beforeAutospacing="0"/>
        <w:ind w:left="0" w:firstLineChars="200" w:firstLine="64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2022年本年支出合计1,447.49万元，其中：基本支出1,141.57万元，占78.87%；项目支出305.92万元，占21.13%；上缴上级支出0.00万元，占0.00%；经营支出0.00万元，占经营支出0.00万元，占 0.00%；对附属单位补助支出0.00万元，占0.00%。</w:t>
      </w:r>
    </w:p>
    <w:p>
      <w:pPr>
        <w:pStyle w:val="24"/>
        <w:keepNext w:val="0"/>
        <w:keepLines w:val="0"/>
        <w:widowControl/>
        <w:suppressLineNumbers w:val="0"/>
        <w:spacing w:before="0" w:beforeAutospacing="0"/>
        <w:ind w:left="0"/>
        <w:jc w:val="left"/>
        <w:rPr>
          <w:rFonts w:eastAsia="宋体" w:hint="eastAsia"/>
          <w:lang w:eastAsia="zh-CN"/>
        </w:rPr>
      </w:pPr>
      <w:r>
        <w:rPr>
          <w:shd w:val="clear" w:color="auto" w:fill="FFFFFF"/>
        </w:rPr>
        <w:t> </w:t>
      </w:r>
      <w:r>
        <w:rPr>
          <w:rFonts w:eastAsia="宋体" w:hint="eastAsia"/>
          <w:lang w:eastAsia="zh-CN"/>
        </w:rPr>
        <w:drawing>
          <wp:inline distT="0" distB="0" distL="114300" distR="114300">
            <wp:extent cx="5497830" cy="2294889"/>
            <wp:effectExtent l="0" t="0" r="0" b="0"/>
            <wp:docPr id="6" name="图表 3"/>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4"/>
        <w:keepNext w:val="0"/>
        <w:keepLines w:val="0"/>
        <w:widowControl/>
        <w:suppressLineNumbers w:val="0"/>
        <w:spacing w:before="0" w:beforeAutospacing="0"/>
        <w:ind w:left="0"/>
        <w:jc w:val="left"/>
      </w:pPr>
      <w:r>
        <w:rPr>
          <w:shd w:val="clear" w:color="auto" w:fill="FFFFFF"/>
        </w:rPr>
        <w:t>（图3：支出决算结构图）（饼状图）</w:t>
      </w:r>
    </w:p>
    <w:p>
      <w:pPr>
        <w:pStyle w:val="24"/>
        <w:keepNext w:val="0"/>
        <w:keepLines w:val="0"/>
        <w:widowControl/>
        <w:suppressLineNumbers w:val="0"/>
        <w:spacing w:before="0" w:beforeAutospacing="0"/>
        <w:ind w:left="0"/>
        <w:jc w:val="left"/>
      </w:pPr>
      <w:r>
        <w:rPr>
          <w:shd w:val="clear" w:color="auto" w:fill="FFFFFF"/>
        </w:rPr>
        <w:t>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color w:val="000000"/>
          <w:kern w:val="2"/>
          <w:sz w:val="32"/>
          <w:szCs w:val="32"/>
          <w:lang w:bidi="ar-SA"/>
        </w:rPr>
      </w:pPr>
      <w:bookmarkStart w:id="22" w:name="_Toc17377"/>
      <w:r>
        <w:rPr>
          <w:rFonts w:ascii="黑体" w:eastAsia="黑体" w:cs="Times New Roman" w:hint="eastAsia"/>
          <w:b w:val="0"/>
          <w:bCs/>
          <w:color w:val="000000"/>
          <w:kern w:val="2"/>
          <w:sz w:val="32"/>
          <w:szCs w:val="32"/>
          <w:lang w:val="en-US" w:eastAsia="zh-CN" w:bidi="ar-SA"/>
        </w:rPr>
        <w:t>四、财政拨款收入支出决算总体情况说明</w:t>
      </w:r>
      <w:bookmarkEnd w:id="22"/>
    </w:p>
    <w:p>
      <w:pPr>
        <w:pStyle w:val="24"/>
        <w:keepNext w:val="0"/>
        <w:keepLines w:val="0"/>
        <w:widowControl/>
        <w:suppressLineNumbers w:val="0"/>
        <w:spacing w:before="0" w:beforeAutospacing="0"/>
        <w:ind w:left="0" w:firstLineChars="200" w:firstLine="64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2022年财政拨款收、支总计1,447.49万元。与2021年相比，财政拨款收、支总计各减少416.26万元，减少22.33%。主要变动原因是项目减少。</w:t>
      </w:r>
    </w:p>
    <w:p>
      <w:pPr>
        <w:pStyle w:val="24"/>
        <w:keepNext w:val="0"/>
        <w:keepLines w:val="0"/>
        <w:widowControl/>
        <w:suppressLineNumbers w:val="0"/>
        <w:spacing w:before="0" w:beforeAutospacing="0"/>
        <w:ind w:left="0"/>
        <w:jc w:val="left"/>
        <w:rPr>
          <w:rStyle w:val="25"/>
          <w:rFonts w:eastAsia="宋体" w:hint="eastAsia"/>
          <w:shd w:val="clear" w:color="auto" w:fill="FFFFFF"/>
          <w:lang w:eastAsia="zh-CN"/>
        </w:rPr>
      </w:pPr>
      <w:r>
        <w:rPr>
          <w:rStyle w:val="25"/>
          <w:rFonts w:eastAsia="宋体" w:hint="eastAsia"/>
          <w:shd w:val="clear" w:color="auto" w:fill="FFFFFF"/>
          <w:lang w:eastAsia="zh-CN"/>
        </w:rPr>
        <w:drawing>
          <wp:inline distT="0" distB="0" distL="114300" distR="114300">
            <wp:extent cx="5374640" cy="2000885"/>
            <wp:effectExtent l="0" t="0" r="0" b="0"/>
            <wp:docPr id="7" name="图表 4"/>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24"/>
        <w:keepNext w:val="0"/>
        <w:keepLines w:val="0"/>
        <w:widowControl/>
        <w:suppressLineNumbers w:val="0"/>
        <w:spacing w:before="0" w:beforeAutospacing="0"/>
        <w:ind w:left="0"/>
        <w:jc w:val="left"/>
        <w:rPr>
          <w:shd w:val="clear" w:color="auto" w:fill="FFFFFF"/>
        </w:rPr>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（图4：财政拨款收、支决算总计变动情况）（柱状图）</w:t>
      </w:r>
    </w:p>
    <w:p>
      <w:pPr>
        <w:pStyle w:val="24"/>
        <w:keepNext w:val="0"/>
        <w:keepLines w:val="0"/>
        <w:widowControl/>
        <w:suppressLineNumbers w:val="0"/>
        <w:spacing w:before="0" w:beforeAutospacing="0"/>
        <w:ind w:left="0"/>
        <w:jc w:val="left"/>
      </w:pPr>
      <w:r>
        <w:rPr>
          <w:shd w:val="clear" w:color="auto" w:fill="FFFFFF"/>
        </w:rPr>
        <w:t>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23" w:name="_Toc18113"/>
      <w:r>
        <w:rPr>
          <w:rFonts w:ascii="黑体" w:eastAsia="黑体" w:cs="Times New Roman" w:hint="eastAsia"/>
          <w:b w:val="0"/>
          <w:bCs/>
          <w:color w:val="000000"/>
          <w:kern w:val="2"/>
          <w:sz w:val="32"/>
          <w:szCs w:val="32"/>
          <w:lang w:val="en-US" w:eastAsia="zh-CN" w:bidi="ar-SA"/>
        </w:rPr>
        <w:t>五、一般公共预算财政拨款支出决算情况说明</w:t>
      </w:r>
      <w:bookmarkEnd w:id="23"/>
    </w:p>
    <w:p>
      <w:pPr>
        <w:widowControl w:val="0"/>
        <w:spacing w:line="560" w:lineRule="exact"/>
        <w:jc w:val="both"/>
        <w:outlineLvl w:val="2"/>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（一）一般公共预算财政拨款支出决算总体情况</w:t>
      </w:r>
    </w:p>
    <w:p>
      <w:pPr>
        <w:pStyle w:val="24"/>
        <w:keepNext w:val="0"/>
        <w:keepLines w:val="0"/>
        <w:widowControl/>
        <w:suppressLineNumbers w:val="0"/>
        <w:spacing w:before="0" w:beforeAutospacing="0"/>
        <w:ind w:left="0" w:firstLineChars="200" w:firstLine="640"/>
        <w:jc w:val="left"/>
        <w:rPr>
          <w:rFonts w:ascii="仿宋" w:eastAsia="仿宋" w:cs="Times New Roman" w:hint="eastAsia"/>
          <w:color w:val="000000"/>
          <w:kern w:val="2"/>
          <w:sz w:val="32"/>
          <w:szCs w:val="32"/>
          <w:lang w:val="en-US" w:eastAsia="zh-CN" w:bidi="ar-SA"/>
        </w:rPr>
      </w:pPr>
      <w:r>
        <w:rPr>
          <w:rFonts w:ascii="仿宋" w:eastAsia="仿宋" w:cs="Times New Roman" w:hint="eastAsia"/>
          <w:color w:val="000000"/>
          <w:kern w:val="2"/>
          <w:sz w:val="32"/>
          <w:szCs w:val="32"/>
          <w:lang w:val="en-US" w:eastAsia="zh-CN" w:bidi="ar-SA"/>
        </w:rPr>
        <w:t>2022年一般公共预算财政拨款支出1,447.49万元，占本年支出合计的100.00%。与2021年相比，一般公共预算财政拨款支出减少416.26万元，减少22.33%。主要变动原因是项目减少。</w:t>
      </w:r>
    </w:p>
    <w:p>
      <w:pPr>
        <w:pStyle w:val="24"/>
        <w:keepNext w:val="0"/>
        <w:keepLines w:val="0"/>
        <w:widowControl/>
        <w:suppressLineNumbers w:val="0"/>
        <w:spacing w:before="0" w:beforeAutospacing="0"/>
        <w:ind w:left="0"/>
        <w:jc w:val="left"/>
        <w:rPr>
          <w:rFonts w:hint="eastAsia"/>
          <w:shd w:val="clear" w:color="auto" w:fill="FFFFFF"/>
          <w:lang w:val="en-US" w:eastAsia="zh-CN"/>
        </w:rPr>
      </w:pPr>
      <w:r>
        <w:rPr>
          <w:rFonts w:hint="eastAsia"/>
          <w:shd w:val="clear" w:color="auto" w:fill="FFFFFF"/>
          <w:lang w:val="en-US" w:eastAsia="zh-CN"/>
        </w:rPr>
        <w:drawing>
          <wp:inline distT="0" distB="0" distL="114300" distR="114300">
            <wp:extent cx="5432425" cy="1981200"/>
            <wp:effectExtent l="0" t="0" r="0" b="0"/>
            <wp:docPr id="8" name="图表 5"/>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（图5：一般公共预算财政拨款支出决算变动情况）（柱状图）</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left"/>
        <w:rPr>
          <w:rFonts w:ascii="仿宋" w:eastAsia="仿宋" w:cs="Times New Roman" w:hint="eastAsia"/>
          <w:b/>
          <w:color w:val="000000"/>
          <w:kern w:val="2"/>
          <w:sz w:val="32"/>
          <w:szCs w:val="32"/>
          <w:lang w:val="en-US" w:eastAsia="zh-CN" w:bidi="ar-SA"/>
        </w:rPr>
      </w:pPr>
      <w:r>
        <w:rPr>
          <w:rFonts w:ascii="仿宋" w:eastAsia="仿宋" w:cs="Times New Roman" w:hint="eastAsia"/>
          <w:b/>
          <w:color w:val="000000"/>
          <w:kern w:val="2"/>
          <w:sz w:val="32"/>
          <w:szCs w:val="32"/>
          <w:lang w:val="en-US" w:eastAsia="zh-CN" w:bidi="ar-SA"/>
        </w:rPr>
        <w:t>（二）一般公共预算财政拨款支出决算结构情况</w:t>
      </w:r>
    </w:p>
    <w:p>
      <w:pPr>
        <w:pStyle w:val="24"/>
        <w:keepNext w:val="0"/>
        <w:keepLines w:val="0"/>
        <w:widowControl/>
        <w:suppressLineNumbers w:val="0"/>
        <w:spacing w:before="0" w:beforeAutospacing="0"/>
        <w:ind w:left="0" w:firstLineChars="200" w:firstLine="640"/>
        <w:jc w:val="left"/>
        <w:rPr>
          <w:rFonts w:ascii="仿宋" w:eastAsia="仿宋" w:cs="Times New Roman"/>
          <w:color w:val="000000"/>
          <w:kern w:val="2"/>
          <w:sz w:val="32"/>
          <w:szCs w:val="32"/>
          <w:lang w:val="en-US" w:eastAsia="zh-CN" w:bidi="ar-SA"/>
        </w:rPr>
      </w:pPr>
      <w:r>
        <w:rPr>
          <w:rFonts w:ascii="仿宋" w:eastAsia="仿宋" w:cs="Times New Roman"/>
          <w:color w:val="000000"/>
          <w:kern w:val="2"/>
          <w:sz w:val="32"/>
          <w:szCs w:val="32"/>
          <w:lang w:val="en-US" w:eastAsia="zh-CN" w:bidi="ar-SA"/>
        </w:rPr>
        <w:t>2022年</w:t>
      </w:r>
      <w:r>
        <w:rPr>
          <w:rFonts w:ascii="仿宋" w:eastAsia="仿宋" w:cs="Times New Roman"/>
          <w:b/>
          <w:bCs/>
          <w:color w:val="000000"/>
          <w:kern w:val="2"/>
          <w:sz w:val="32"/>
          <w:szCs w:val="32"/>
          <w:lang w:val="en-US" w:eastAsia="zh-CN" w:bidi="ar-SA"/>
        </w:rPr>
        <w:t>一般公共预算财政拨款</w:t>
      </w:r>
      <w:r>
        <w:rPr>
          <w:rFonts w:ascii="仿宋" w:eastAsia="仿宋" w:cs="Times New Roman"/>
          <w:color w:val="000000"/>
          <w:kern w:val="2"/>
          <w:sz w:val="32"/>
          <w:szCs w:val="32"/>
          <w:lang w:val="en-US" w:eastAsia="zh-CN" w:bidi="ar-SA"/>
        </w:rPr>
        <w:t>支出1,447.49万元，主要用于以下方面:</w:t>
      </w:r>
      <w:r>
        <w:rPr>
          <w:rFonts w:ascii="仿宋" w:eastAsia="仿宋" w:cs="Times New Roman"/>
          <w:b/>
          <w:bCs/>
          <w:color w:val="000000"/>
          <w:kern w:val="2"/>
          <w:sz w:val="32"/>
          <w:szCs w:val="32"/>
          <w:lang w:val="en-US" w:eastAsia="zh-CN" w:bidi="ar-SA"/>
        </w:rPr>
        <w:t>一般公共服务（类）</w:t>
      </w:r>
      <w:r>
        <w:rPr>
          <w:rFonts w:ascii="仿宋" w:eastAsia="仿宋" w:cs="Times New Roman"/>
          <w:color w:val="000000"/>
          <w:kern w:val="2"/>
          <w:sz w:val="32"/>
          <w:szCs w:val="32"/>
          <w:lang w:val="en-US" w:eastAsia="zh-CN" w:bidi="ar-SA"/>
        </w:rPr>
        <w:t>支出556.58万元，占38.45%；</w:t>
      </w:r>
      <w:r>
        <w:rPr>
          <w:rFonts w:ascii="仿宋" w:eastAsia="仿宋" w:cs="Times New Roman"/>
          <w:b/>
          <w:bCs/>
          <w:color w:val="000000"/>
          <w:kern w:val="2"/>
          <w:sz w:val="32"/>
          <w:szCs w:val="32"/>
          <w:lang w:val="en-US" w:eastAsia="zh-CN" w:bidi="ar-SA"/>
        </w:rPr>
        <w:t>教育支出（类）</w:t>
      </w:r>
      <w:r>
        <w:rPr>
          <w:rFonts w:ascii="仿宋" w:eastAsia="仿宋" w:cs="Times New Roman"/>
          <w:color w:val="000000"/>
          <w:kern w:val="2"/>
          <w:sz w:val="32"/>
          <w:szCs w:val="32"/>
          <w:lang w:val="en-US" w:eastAsia="zh-CN" w:bidi="ar-SA"/>
        </w:rPr>
        <w:t>0.00万元，占0.00%；</w:t>
      </w:r>
      <w:r>
        <w:rPr>
          <w:rFonts w:ascii="仿宋" w:eastAsia="仿宋" w:cs="Times New Roman"/>
          <w:b/>
          <w:bCs/>
          <w:color w:val="000000"/>
          <w:kern w:val="2"/>
          <w:sz w:val="32"/>
          <w:szCs w:val="32"/>
          <w:lang w:val="en-US" w:eastAsia="zh-CN" w:bidi="ar-SA"/>
        </w:rPr>
        <w:t>科学技术（类）</w:t>
      </w:r>
      <w:r>
        <w:rPr>
          <w:rFonts w:ascii="仿宋" w:eastAsia="仿宋" w:cs="Times New Roman"/>
          <w:color w:val="000000"/>
          <w:kern w:val="2"/>
          <w:sz w:val="32"/>
          <w:szCs w:val="32"/>
          <w:lang w:val="en-US" w:eastAsia="zh-CN" w:bidi="ar-SA"/>
        </w:rPr>
        <w:t>支出0.00万元，占0.00%；</w:t>
      </w:r>
      <w:r>
        <w:rPr>
          <w:rFonts w:ascii="仿宋" w:eastAsia="仿宋" w:cs="Times New Roman"/>
          <w:b/>
          <w:bCs/>
          <w:color w:val="000000"/>
          <w:kern w:val="2"/>
          <w:sz w:val="32"/>
          <w:szCs w:val="32"/>
          <w:lang w:val="en-US" w:eastAsia="zh-CN" w:bidi="ar-SA"/>
        </w:rPr>
        <w:t>文化旅游体育与传媒（类）</w:t>
      </w:r>
      <w:r>
        <w:rPr>
          <w:rFonts w:ascii="仿宋" w:eastAsia="仿宋" w:cs="Times New Roman"/>
          <w:color w:val="000000"/>
          <w:kern w:val="2"/>
          <w:sz w:val="32"/>
          <w:szCs w:val="32"/>
          <w:lang w:val="en-US" w:eastAsia="zh-CN" w:bidi="ar-SA"/>
        </w:rPr>
        <w:t>支出0.00万元，占0.00%；</w:t>
      </w:r>
      <w:r>
        <w:rPr>
          <w:rFonts w:ascii="仿宋" w:eastAsia="仿宋" w:cs="Times New Roman"/>
          <w:b/>
          <w:bCs/>
          <w:color w:val="000000"/>
          <w:kern w:val="2"/>
          <w:sz w:val="32"/>
          <w:szCs w:val="32"/>
          <w:lang w:val="en-US" w:eastAsia="zh-CN" w:bidi="ar-SA"/>
        </w:rPr>
        <w:t>社会保障和就业（类）</w:t>
      </w:r>
      <w:r>
        <w:rPr>
          <w:rFonts w:ascii="仿宋" w:eastAsia="仿宋" w:cs="Times New Roman"/>
          <w:color w:val="000000"/>
          <w:kern w:val="2"/>
          <w:sz w:val="32"/>
          <w:szCs w:val="32"/>
          <w:lang w:val="en-US" w:eastAsia="zh-CN" w:bidi="ar-SA"/>
        </w:rPr>
        <w:t>支出162.20万元，占11.21%；</w:t>
      </w:r>
      <w:r>
        <w:rPr>
          <w:rFonts w:ascii="仿宋" w:eastAsia="仿宋" w:cs="Times New Roman"/>
          <w:b/>
          <w:bCs/>
          <w:color w:val="000000"/>
          <w:kern w:val="2"/>
          <w:sz w:val="32"/>
          <w:szCs w:val="32"/>
          <w:lang w:val="en-US" w:eastAsia="zh-CN" w:bidi="ar-SA"/>
        </w:rPr>
        <w:t>卫生健康</w:t>
      </w:r>
      <w:r>
        <w:rPr>
          <w:rFonts w:ascii="仿宋" w:eastAsia="仿宋" w:cs="Times New Roman" w:hint="eastAsia"/>
          <w:b/>
          <w:bCs/>
          <w:color w:val="000000"/>
          <w:kern w:val="2"/>
          <w:sz w:val="32"/>
          <w:szCs w:val="32"/>
          <w:lang w:val="en-US" w:eastAsia="zh-CN" w:bidi="ar-SA"/>
        </w:rPr>
        <w:t>（类）</w:t>
      </w:r>
      <w:r>
        <w:rPr>
          <w:rFonts w:ascii="仿宋" w:eastAsia="仿宋" w:cs="Times New Roman"/>
          <w:color w:val="000000"/>
          <w:kern w:val="2"/>
          <w:sz w:val="32"/>
          <w:szCs w:val="32"/>
          <w:lang w:val="en-US" w:eastAsia="zh-CN" w:bidi="ar-SA"/>
        </w:rPr>
        <w:t>支出64.21万元，占4.44%；</w:t>
      </w:r>
      <w:r>
        <w:rPr>
          <w:rFonts w:ascii="仿宋" w:eastAsia="仿宋" w:cs="Times New Roman"/>
          <w:b/>
          <w:bCs/>
          <w:color w:val="000000"/>
          <w:kern w:val="2"/>
          <w:sz w:val="32"/>
          <w:szCs w:val="32"/>
          <w:lang w:val="en-US" w:eastAsia="zh-CN" w:bidi="ar-SA"/>
        </w:rPr>
        <w:t>住房保障</w:t>
      </w:r>
      <w:r>
        <w:rPr>
          <w:rFonts w:ascii="仿宋" w:eastAsia="仿宋" w:cs="Times New Roman" w:hint="eastAsia"/>
          <w:b/>
          <w:bCs/>
          <w:color w:val="000000"/>
          <w:kern w:val="2"/>
          <w:sz w:val="32"/>
          <w:szCs w:val="32"/>
          <w:lang w:val="en-US" w:eastAsia="zh-CN" w:bidi="ar-SA"/>
        </w:rPr>
        <w:t>（类）</w:t>
      </w:r>
      <w:r>
        <w:rPr>
          <w:rFonts w:ascii="仿宋" w:eastAsia="仿宋" w:cs="Times New Roman"/>
          <w:color w:val="000000"/>
          <w:kern w:val="2"/>
          <w:sz w:val="32"/>
          <w:szCs w:val="32"/>
          <w:lang w:val="en-US" w:eastAsia="zh-CN" w:bidi="ar-SA"/>
        </w:rPr>
        <w:t>支出72.35万元，占5.00%；</w:t>
      </w:r>
      <w:r>
        <w:rPr>
          <w:rFonts w:ascii="仿宋" w:eastAsia="仿宋" w:cs="Times New Roman" w:hint="eastAsia"/>
          <w:b/>
          <w:bCs/>
          <w:color w:val="000000"/>
          <w:kern w:val="2"/>
          <w:sz w:val="32"/>
          <w:szCs w:val="32"/>
          <w:lang w:val="en-US" w:eastAsia="zh-CN" w:bidi="ar-SA"/>
        </w:rPr>
        <w:t>农林水（类）</w:t>
      </w:r>
      <w:r>
        <w:rPr>
          <w:rFonts w:ascii="仿宋" w:eastAsia="仿宋" w:cs="Times New Roman" w:hint="eastAsia"/>
          <w:color w:val="000000"/>
          <w:kern w:val="2"/>
          <w:sz w:val="32"/>
          <w:szCs w:val="32"/>
          <w:lang w:val="en-US" w:eastAsia="zh-CN" w:bidi="ar-SA"/>
        </w:rPr>
        <w:t>支出588.79万元，占40.68%</w:t>
      </w:r>
      <w:r>
        <w:rPr>
          <w:rFonts w:ascii="仿宋" w:eastAsia="仿宋" w:cs="Times New Roman"/>
          <w:color w:val="000000"/>
          <w:kern w:val="2"/>
          <w:sz w:val="32"/>
          <w:szCs w:val="32"/>
          <w:lang w:val="en-US" w:eastAsia="zh-CN" w:bidi="ar-SA"/>
        </w:rPr>
        <w:t>。</w:t>
      </w:r>
    </w:p>
    <w:p>
      <w:pPr>
        <w:pStyle w:val="24"/>
        <w:keepNext w:val="0"/>
        <w:keepLines w:val="0"/>
        <w:widowControl/>
        <w:suppressLineNumbers w:val="0"/>
        <w:spacing w:before="0" w:beforeAutospacing="0"/>
        <w:ind w:left="0"/>
        <w:jc w:val="left"/>
      </w:pPr>
      <w:r>
        <w:rPr>
          <w:shd w:val="clear" w:color="auto" w:fill="FFFFFF"/>
        </w:rPr>
        <w:drawing>
          <wp:inline distT="0" distB="0" distL="114300" distR="114300">
            <wp:extent cx="5688965" cy="2162175"/>
            <wp:effectExtent l="0" t="0" r="0" b="0"/>
            <wp:docPr id="9" name="图表 6"/>
            <wp:cNvGraphicFramePr>
              <a:graphicFrameLocks noChangeAspect="0"/>
            </wp:cNvGraphicFramePr>
            <a:graphic>
              <a:graphicData uri="http://schemas.openxmlformats.org/drawingml/2006/chart">
                <c:chart xmlns:c="http://schemas.openxmlformats.org/drawingml/2006/chart" r:id="rId8"/>
              </a:graphicData>
            </a:graphic>
          </wp:inline>
        </w:drawing>
      </w: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（图6：一般公共预算财政拨款支出决算结构）（饼状图）</w:t>
      </w:r>
    </w:p>
    <w:p>
      <w:pPr>
        <w:pStyle w:val="24"/>
        <w:keepNext w:val="0"/>
        <w:keepLines w:val="0"/>
        <w:widowControl/>
        <w:suppressLineNumbers w:val="0"/>
        <w:spacing w:before="0" w:beforeAutospacing="0"/>
        <w:ind w:left="0"/>
        <w:jc w:val="left"/>
      </w:pPr>
      <w:r>
        <w:rPr>
          <w:shd w:val="clear" w:color="auto" w:fill="FFFFFF"/>
        </w:rPr>
        <w:t> </w:t>
      </w:r>
    </w:p>
    <w:p>
      <w:pPr>
        <w:widowControl w:val="0"/>
        <w:spacing w:line="560" w:lineRule="exact"/>
        <w:jc w:val="both"/>
        <w:outlineLvl w:val="2"/>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（三）一般公共预算财政拨款支出决算具体情况</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b/>
          <w:bCs/>
          <w:kern w:val="2"/>
          <w:sz w:val="32"/>
          <w:szCs w:val="32"/>
          <w:lang w:val="en-US" w:eastAsia="zh-CN" w:bidi="ar-SA"/>
        </w:rPr>
      </w:pPr>
      <w:r>
        <w:rPr>
          <w:rFonts w:ascii="仿宋_GB2312" w:eastAsia="仿宋_GB2312" w:cs="Times New Roman" w:hint="eastAsia"/>
          <w:b/>
          <w:bCs/>
          <w:kern w:val="2"/>
          <w:sz w:val="32"/>
          <w:szCs w:val="32"/>
          <w:lang w:val="en-US" w:eastAsia="zh-CN" w:bidi="ar-SA"/>
        </w:rPr>
        <w:t>2022年一般公共预算支出决算数为1,447.49，完成预算100.00%。其中：</w:t>
      </w:r>
    </w:p>
    <w:p>
      <w:pPr>
        <w:spacing w:line="600" w:lineRule="exact"/>
        <w:ind w:firstLineChars="200" w:firstLine="640"/>
        <w:rPr>
          <w:rStyle w:val="25"/>
          <w:rFonts w:ascii="仿宋" w:eastAsia="仿宋" w:hint="eastAsia"/>
          <w:b w:val="0"/>
          <w:bCs/>
          <w:color w:val="000000"/>
          <w:sz w:val="32"/>
          <w:szCs w:val="32"/>
          <w:lang w:eastAsia="zh-CN"/>
        </w:rPr>
      </w:pPr>
      <w:r>
        <w:rPr>
          <w:rStyle w:val="25"/>
          <w:rFonts w:ascii="仿宋" w:eastAsia="仿宋" w:hint="eastAsia"/>
          <w:bCs/>
          <w:color w:val="000000"/>
          <w:sz w:val="32"/>
          <w:szCs w:val="32"/>
        </w:rPr>
        <w:t>1.一般公共服务（类）人大事务（款）行政运行（项）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18.55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lang w:eastAsia="zh-CN"/>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一般公共服务（类）政府办公厅（室）及相关机构事务（款）一般行政管理事务（项）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455.59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lang w:val="en-US" w:eastAsia="zh-CN"/>
        </w:rPr>
        <w:t>3.</w:t>
      </w:r>
      <w:r>
        <w:rPr>
          <w:rStyle w:val="25"/>
          <w:rFonts w:ascii="仿宋" w:eastAsia="仿宋" w:hint="eastAsia"/>
          <w:bCs/>
          <w:color w:val="000000"/>
          <w:sz w:val="32"/>
          <w:szCs w:val="32"/>
        </w:rPr>
        <w:t>一般公共服务（类）党委办公厅（室）及相关机构事务（款）行政运行（项）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82.44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lang w:val="en-US" w:eastAsia="zh-CN"/>
        </w:rPr>
        <w:t>4.</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民政管理事务</w:t>
      </w:r>
      <w:r>
        <w:rPr>
          <w:rStyle w:val="25"/>
          <w:rFonts w:ascii="仿宋" w:eastAsia="仿宋" w:hint="eastAsia"/>
          <w:bCs/>
          <w:color w:val="000000"/>
          <w:sz w:val="32"/>
          <w:szCs w:val="32"/>
        </w:rPr>
        <w:t>（款）  基层政权建设和社区治理（项）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5.</w:t>
      </w:r>
      <w:r>
        <w:rPr>
          <w:rStyle w:val="25"/>
          <w:rFonts w:ascii="仿宋" w:eastAsia="仿宋" w:hint="eastAsia"/>
          <w:bCs/>
          <w:color w:val="000000"/>
          <w:sz w:val="32"/>
          <w:szCs w:val="32"/>
        </w:rPr>
        <w:t>社会保障和就业（类）行政事业单位</w:t>
      </w:r>
      <w:r>
        <w:rPr>
          <w:rStyle w:val="25"/>
          <w:rFonts w:ascii="仿宋" w:eastAsia="仿宋" w:hint="eastAsia"/>
          <w:bCs/>
          <w:color w:val="000000"/>
          <w:sz w:val="32"/>
          <w:szCs w:val="32"/>
          <w:lang w:val="en-US" w:eastAsia="zh-CN"/>
        </w:rPr>
        <w:t>养老支出</w:t>
      </w:r>
      <w:r>
        <w:rPr>
          <w:rStyle w:val="25"/>
          <w:rFonts w:ascii="仿宋" w:eastAsia="仿宋" w:hint="eastAsia"/>
          <w:bCs/>
          <w:color w:val="000000"/>
          <w:sz w:val="32"/>
          <w:szCs w:val="32"/>
        </w:rPr>
        <w:t>（款）机关事业单位基本职业年金缴费支出（项）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38.64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6.</w:t>
      </w:r>
      <w:r>
        <w:rPr>
          <w:rStyle w:val="25"/>
          <w:rFonts w:ascii="仿宋" w:eastAsia="仿宋" w:hint="eastAsia"/>
          <w:bCs/>
          <w:color w:val="000000"/>
          <w:sz w:val="32"/>
          <w:szCs w:val="32"/>
        </w:rPr>
        <w:t>社会保障和就业（类）行政事业单位</w:t>
      </w:r>
      <w:r>
        <w:rPr>
          <w:rStyle w:val="25"/>
          <w:rFonts w:ascii="仿宋" w:eastAsia="仿宋" w:hint="eastAsia"/>
          <w:bCs/>
          <w:color w:val="000000"/>
          <w:sz w:val="32"/>
          <w:szCs w:val="32"/>
          <w:lang w:val="en-US" w:eastAsia="zh-CN"/>
        </w:rPr>
        <w:t>养老支出</w:t>
      </w:r>
      <w:r>
        <w:rPr>
          <w:rStyle w:val="25"/>
          <w:rFonts w:ascii="仿宋" w:eastAsia="仿宋" w:hint="eastAsia"/>
          <w:bCs/>
          <w:color w:val="000000"/>
          <w:sz w:val="32"/>
          <w:szCs w:val="32"/>
        </w:rPr>
        <w:t>（款）机关事业单位</w:t>
      </w:r>
      <w:r>
        <w:rPr>
          <w:rStyle w:val="25"/>
          <w:rFonts w:ascii="仿宋" w:eastAsia="仿宋" w:hint="eastAsia"/>
          <w:bCs/>
          <w:color w:val="000000"/>
          <w:sz w:val="32"/>
          <w:szCs w:val="32"/>
          <w:lang w:val="en-US" w:eastAsia="zh-CN"/>
        </w:rPr>
        <w:t>基本养老保险费</w:t>
      </w:r>
      <w:r>
        <w:rPr>
          <w:rStyle w:val="25"/>
          <w:rFonts w:ascii="仿宋" w:eastAsia="仿宋" w:hint="eastAsia"/>
          <w:bCs/>
          <w:color w:val="000000"/>
          <w:sz w:val="32"/>
          <w:szCs w:val="32"/>
        </w:rPr>
        <w:t>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77.29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lang w:val="en-US" w:eastAsia="zh-CN"/>
        </w:rPr>
        <w:t>7.</w:t>
      </w:r>
      <w:r>
        <w:rPr>
          <w:rStyle w:val="25"/>
          <w:rFonts w:ascii="仿宋" w:eastAsia="仿宋" w:hint="eastAsia"/>
          <w:bCs/>
          <w:color w:val="000000"/>
          <w:sz w:val="32"/>
          <w:szCs w:val="32"/>
        </w:rPr>
        <w:t>卫生健康支出（类）</w:t>
      </w:r>
      <w:r>
        <w:rPr>
          <w:rStyle w:val="25"/>
          <w:rFonts w:ascii="仿宋" w:eastAsia="仿宋" w:hint="eastAsia"/>
          <w:bCs/>
          <w:color w:val="000000"/>
          <w:sz w:val="32"/>
          <w:szCs w:val="32"/>
          <w:lang w:val="en-US" w:eastAsia="zh-CN"/>
        </w:rPr>
        <w:t>公共卫生</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突发公共卫生事件应急处理</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rPr>
        <w:t>8.卫生健康支出（类）行政事业单位医疗（款）</w:t>
      </w:r>
      <w:r>
        <w:rPr>
          <w:rStyle w:val="25"/>
          <w:rFonts w:ascii="仿宋" w:eastAsia="仿宋" w:hint="eastAsia"/>
          <w:bCs/>
          <w:color w:val="000000"/>
          <w:sz w:val="32"/>
          <w:szCs w:val="32"/>
          <w:lang w:val="en-US" w:eastAsia="zh-CN"/>
        </w:rPr>
        <w:t>行政单位医疗</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19.64</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9</w:t>
      </w:r>
      <w:r>
        <w:rPr>
          <w:rStyle w:val="25"/>
          <w:rFonts w:ascii="仿宋" w:eastAsia="仿宋" w:hint="eastAsia"/>
          <w:bCs/>
          <w:color w:val="000000"/>
          <w:sz w:val="32"/>
          <w:szCs w:val="32"/>
        </w:rPr>
        <w:t>.卫生健康支出（类）行政事业单位医疗（款）</w:t>
      </w:r>
      <w:r>
        <w:rPr>
          <w:rStyle w:val="25"/>
          <w:rFonts w:ascii="仿宋" w:eastAsia="仿宋" w:hint="eastAsia"/>
          <w:bCs/>
          <w:color w:val="000000"/>
          <w:sz w:val="32"/>
          <w:szCs w:val="32"/>
          <w:lang w:val="en-US" w:eastAsia="zh-CN"/>
        </w:rPr>
        <w:t>事业单位医疗</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19.62</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lang w:val="en-US" w:eastAsia="zh-CN"/>
        </w:rPr>
        <w:t>10</w:t>
      </w:r>
      <w:r>
        <w:rPr>
          <w:rStyle w:val="25"/>
          <w:rFonts w:ascii="仿宋" w:eastAsia="仿宋" w:hint="eastAsia"/>
          <w:bCs/>
          <w:color w:val="000000"/>
          <w:sz w:val="32"/>
          <w:szCs w:val="32"/>
        </w:rPr>
        <w:t>.卫生健康支出（类）行政事业单位医疗（款）</w:t>
      </w:r>
      <w:r>
        <w:rPr>
          <w:rStyle w:val="25"/>
          <w:rFonts w:ascii="仿宋" w:eastAsia="仿宋" w:hint="eastAsia"/>
          <w:bCs/>
          <w:color w:val="000000"/>
          <w:sz w:val="32"/>
          <w:szCs w:val="32"/>
          <w:lang w:val="en-US" w:eastAsia="zh-CN"/>
        </w:rPr>
        <w:t>公务员医疗补助</w:t>
      </w:r>
      <w:r>
        <w:rPr>
          <w:rStyle w:val="25"/>
          <w:rFonts w:ascii="仿宋" w:eastAsia="仿宋" w:hint="eastAsia"/>
          <w:bCs/>
          <w:color w:val="000000"/>
          <w:sz w:val="32"/>
          <w:szCs w:val="32"/>
        </w:rPr>
        <w:t>（项）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6.09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pStyle w:val="15"/>
      </w:pP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lang w:val="en-US" w:eastAsia="zh-CN"/>
        </w:rPr>
        <w:t>11</w:t>
      </w:r>
      <w:r>
        <w:rPr>
          <w:rStyle w:val="25"/>
          <w:rFonts w:ascii="仿宋" w:eastAsia="仿宋" w:hint="eastAsia"/>
          <w:bCs/>
          <w:color w:val="000000"/>
          <w:sz w:val="32"/>
          <w:szCs w:val="32"/>
        </w:rPr>
        <w:t>.住房保障（类）住房改革支出（款）住房公积金（项）：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72.35</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lang w:val="en-US" w:eastAsia="zh-CN"/>
        </w:rPr>
        <w:t>12</w:t>
      </w:r>
      <w:r>
        <w:rPr>
          <w:rStyle w:val="25"/>
          <w:rFonts w:ascii="仿宋" w:eastAsia="仿宋" w:hint="eastAsia"/>
          <w:bCs/>
          <w:color w:val="000000"/>
          <w:sz w:val="32"/>
          <w:szCs w:val="32"/>
        </w:rPr>
        <w:t>.农林水支出(类)农业农村（款）事业运行（项）</w:t>
        <w:tab/>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347.49</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3</w:t>
      </w:r>
      <w:r>
        <w:rPr>
          <w:rStyle w:val="25"/>
          <w:rFonts w:ascii="仿宋" w:eastAsia="仿宋" w:hint="eastAsia"/>
          <w:bCs/>
          <w:color w:val="000000"/>
          <w:sz w:val="32"/>
          <w:szCs w:val="32"/>
        </w:rPr>
        <w:t>.农林水支出(类)农村综合改革（款）对村民委员会和村党支部的补助（项）：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241.30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tabs>
          <w:tab w:val="right" w:pos="7663"/>
        </w:tabs>
        <w:spacing w:line="600" w:lineRule="exact"/>
        <w:ind w:firstLineChars="200" w:firstLine="640"/>
        <w:rPr>
          <w:rStyle w:val="25"/>
          <w:rFonts w:ascii="仿宋" w:eastAsia="仿宋" w:hint="eastAsia"/>
          <w:b w:val="0"/>
          <w:bCs/>
          <w:color w:val="000000"/>
          <w:sz w:val="32"/>
          <w:szCs w:val="32"/>
        </w:rPr>
      </w:pPr>
      <w:r>
        <w:rPr>
          <w:rStyle w:val="25"/>
          <w:rFonts w:ascii="仿宋" w:eastAsia="仿宋" w:hint="eastAsia"/>
          <w:bCs/>
          <w:color w:val="000000"/>
          <w:sz w:val="32"/>
          <w:szCs w:val="32"/>
        </w:rPr>
        <w:t>1</w:t>
      </w:r>
      <w:r>
        <w:rPr>
          <w:rStyle w:val="25"/>
          <w:rFonts w:ascii="仿宋" w:eastAsia="仿宋" w:hint="eastAsia"/>
          <w:bCs/>
          <w:color w:val="000000"/>
          <w:sz w:val="32"/>
          <w:szCs w:val="32"/>
          <w:lang w:val="en-US" w:eastAsia="zh-CN"/>
        </w:rPr>
        <w:t>4</w:t>
      </w:r>
      <w:r>
        <w:rPr>
          <w:rStyle w:val="25"/>
          <w:rFonts w:ascii="仿宋" w:eastAsia="仿宋" w:hint="eastAsia"/>
          <w:bCs/>
          <w:color w:val="000000"/>
          <w:sz w:val="32"/>
          <w:szCs w:val="32"/>
        </w:rPr>
        <w:t>.其他支出（类）其他支出（款）其他支出（项）：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3.36</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pageBreakBefore w:val="0"/>
        <w:widowControl/>
        <w:suppressLineNumbers w:val="0"/>
        <w:kinsoku/>
        <w:wordWrap/>
        <w:overflowPunct/>
        <w:topLinePunct w:val="0"/>
        <w:autoSpaceDE/>
        <w:autoSpaceDN/>
        <w:bidi w:val="0"/>
        <w:adjustRightInd/>
        <w:snapToGrid/>
        <w:spacing w:before="0" w:beforeAutospacing="0"/>
        <w:ind w:left="0"/>
        <w:jc w:val="left"/>
        <w:textAlignment w:val="auto"/>
        <w:outlineLvl w:val="1"/>
      </w:pPr>
      <w:bookmarkStart w:id="24" w:name="_Toc5659"/>
      <w:r>
        <w:rPr>
          <w:rFonts w:ascii="黑体" w:eastAsia="黑体" w:cs="Times New Roman" w:hint="eastAsia"/>
          <w:b w:val="0"/>
          <w:bCs/>
          <w:color w:val="000000"/>
          <w:kern w:val="2"/>
          <w:sz w:val="32"/>
          <w:szCs w:val="32"/>
          <w:lang w:val="en-US" w:eastAsia="zh-CN" w:bidi="ar-SA"/>
        </w:rPr>
        <w:t>六、一般公共预算财政拨款基本支出决算情况说明</w:t>
      </w:r>
      <w:r>
        <w:rPr>
          <w:rFonts w:ascii="黑体" w:eastAsia="黑体" w:cs="Times New Roman" w:hint="eastAsia"/>
          <w:color w:val="000000"/>
          <w:kern w:val="2"/>
          <w:sz w:val="32"/>
          <w:szCs w:val="32"/>
          <w:lang w:val="en-US" w:eastAsia="zh-CN" w:bidi="ar-SA"/>
        </w:rPr>
        <w:t>  </w:t>
      </w:r>
      <w:r>
        <w:rPr>
          <w:shd w:val="clear" w:color="auto" w:fill="FFFFFF"/>
        </w:rPr>
        <w:t> </w:t>
      </w:r>
      <w:bookmarkEnd w:id="24"/>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2022年一般公共预算财政拨款基本支出1,141.57万元，其中：</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人员经费1,040.25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24"/>
        <w:keepNext w:val="0"/>
        <w:keepLines w:val="0"/>
        <w:widowControl/>
        <w:suppressLineNumbers w:val="0"/>
        <w:spacing w:before="0" w:beforeAutospacing="0"/>
        <w:ind w:left="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　　公用经费101.32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4"/>
        <w:keepNext w:val="0"/>
        <w:keepLines w:val="0"/>
        <w:widowControl/>
        <w:suppressLineNumbers w:val="0"/>
        <w:spacing w:before="0" w:beforeAutospacing="0"/>
        <w:ind w:left="0"/>
        <w:jc w:val="left"/>
      </w:pPr>
    </w:p>
    <w:p>
      <w:pPr>
        <w:pStyle w:val="24"/>
        <w:keepNext w:val="0"/>
        <w:keepLines w:val="0"/>
        <w:widowControl/>
        <w:suppressLineNumbers w:val="0"/>
        <w:spacing w:before="0" w:beforeAutospacing="0"/>
        <w:ind w:left="0"/>
        <w:jc w:val="left"/>
      </w:pPr>
      <w:r>
        <w:rPr>
          <w:shd w:val="clear" w:color="auto" w:fill="FFFFFF"/>
        </w:rPr>
        <w:t>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color w:val="000000"/>
          <w:kern w:val="2"/>
          <w:sz w:val="32"/>
          <w:szCs w:val="32"/>
          <w:lang w:bidi="ar-SA"/>
        </w:rPr>
      </w:pPr>
      <w:bookmarkStart w:id="25" w:name="_Toc79"/>
      <w:r>
        <w:rPr>
          <w:rFonts w:ascii="黑体" w:eastAsia="黑体" w:cs="Times New Roman" w:hint="eastAsia"/>
          <w:b w:val="0"/>
          <w:bCs/>
          <w:color w:val="000000"/>
          <w:kern w:val="2"/>
          <w:sz w:val="32"/>
          <w:szCs w:val="32"/>
          <w:lang w:val="en-US" w:eastAsia="zh-CN" w:bidi="ar-SA"/>
        </w:rPr>
        <w:t>七、“三公”经费财政拨款支出决算情况说明</w:t>
      </w:r>
      <w:bookmarkEnd w:id="25"/>
    </w:p>
    <w:p>
      <w:pPr>
        <w:widowControl w:val="0"/>
        <w:spacing w:line="560" w:lineRule="exact"/>
        <w:jc w:val="both"/>
        <w:outlineLvl w:val="2"/>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（一）“三公”经费财政拨款支出决算总体情况说明</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2022年“三公”经费财政拨款支出决算为7.11万元，完成预算100.00%，决算数与预算数持平。</w:t>
      </w:r>
    </w:p>
    <w:p>
      <w:pPr>
        <w:pStyle w:val="24"/>
        <w:keepNext w:val="0"/>
        <w:keepLines w:val="0"/>
        <w:widowControl/>
        <w:suppressLineNumbers w:val="0"/>
        <w:spacing w:before="0" w:beforeAutospacing="0"/>
        <w:ind w:left="0"/>
        <w:jc w:val="left"/>
        <w:rPr>
          <w:rFonts w:ascii="仿宋" w:eastAsia="仿宋" w:cs="Times New Roman" w:hint="eastAsia"/>
          <w:b/>
          <w:color w:val="000000"/>
          <w:kern w:val="2"/>
          <w:sz w:val="32"/>
          <w:szCs w:val="32"/>
          <w:lang w:val="en-US" w:eastAsia="zh-CN" w:bidi="ar-SA"/>
        </w:rPr>
      </w:pPr>
      <w:r>
        <w:rPr>
          <w:rStyle w:val="25"/>
          <w:shd w:val="clear" w:color="auto" w:fill="FFFFFF"/>
        </w:rPr>
        <w:t>（</w:t>
      </w:r>
      <w:r>
        <w:rPr>
          <w:rFonts w:ascii="仿宋" w:eastAsia="仿宋" w:cs="Times New Roman" w:hint="eastAsia"/>
          <w:b/>
          <w:color w:val="000000"/>
          <w:kern w:val="2"/>
          <w:sz w:val="32"/>
          <w:szCs w:val="32"/>
          <w:lang w:val="en-US" w:eastAsia="zh-CN" w:bidi="ar-SA"/>
        </w:rPr>
        <w:t>二）“三公”经费财政拨款支出决算具体情况说明</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2022年“三公”经费财政拨款支出决算中，因公出国（境）费支出决算0.00万元，占0.00%；公务用车购置及运行维护费支出决算7.11万元，占100.00%；公务接待费支出决算0.00万元，占0.00%。具体情况如下：</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drawing>
          <wp:inline distT="0" distB="0" distL="114300" distR="114300">
            <wp:extent cx="5126990" cy="1885950"/>
            <wp:effectExtent l="0" t="0" r="0" b="0"/>
            <wp:docPr id="10" name="图表 7"/>
            <wp:cNvGraphicFramePr>
              <a:graphicFrameLocks noChangeAspect="0"/>
            </wp:cNvGraphicFramePr>
            <a:graphic>
              <a:graphicData uri="http://schemas.openxmlformats.org/drawingml/2006/chart">
                <c:chart xmlns:c="http://schemas.openxmlformats.org/drawingml/2006/chart" r:id="rId9"/>
              </a:graphicData>
            </a:graphic>
          </wp:inline>
        </w:drawing>
      </w:r>
    </w:p>
    <w:p>
      <w:pPr>
        <w:pStyle w:val="24"/>
        <w:keepNext w:val="0"/>
        <w:keepLines w:val="0"/>
        <w:widowControl/>
        <w:suppressLineNumbers w:val="0"/>
        <w:spacing w:before="0" w:beforeAutospacing="0"/>
        <w:ind w:left="0"/>
        <w:jc w:val="left"/>
      </w:pPr>
      <w:r>
        <w:rPr>
          <w:shd w:val="clear" w:color="auto" w:fill="FFFFFF"/>
        </w:rPr>
        <w:t>（图7：“三公”经费财政拨款支出结构）（饼状图）</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1.</w:t>
      </w:r>
      <w:r>
        <w:rPr>
          <w:rFonts w:ascii="仿宋_GB2312" w:eastAsia="仿宋_GB2312" w:cs="Times New Roman" w:hint="eastAsia"/>
          <w:b/>
          <w:bCs/>
          <w:color w:val="000000"/>
          <w:kern w:val="2"/>
          <w:sz w:val="32"/>
          <w:szCs w:val="32"/>
          <w:lang w:val="en-US" w:eastAsia="zh-CN" w:bidi="ar-SA"/>
        </w:rPr>
        <w:t>因公出国（境）经费支出</w:t>
      </w:r>
      <w:r>
        <w:rPr>
          <w:rFonts w:ascii="仿宋_GB2312" w:eastAsia="仿宋_GB2312" w:cs="Times New Roman" w:hint="eastAsia"/>
          <w:color w:val="000000"/>
          <w:kern w:val="2"/>
          <w:sz w:val="32"/>
          <w:szCs w:val="32"/>
          <w:lang w:val="en-US" w:eastAsia="zh-CN" w:bidi="ar-SA"/>
        </w:rPr>
        <w:t>0.00万元，完成预算0.00%。全年安排因公出国（境）团组0次，出国（境）0人。因公出国（境）支出决算比2021年增加0.00万元，增长0.00%。</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2.公务用车购置及运行维护费支出7.11万元,完成预算100.00%。公务用车购置及运行维护费支出决算比2021年增加0万元，增长0.00%。</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其中：</w:t>
      </w:r>
      <w:r>
        <w:rPr>
          <w:rFonts w:ascii="仿宋_GB2312" w:eastAsia="仿宋_GB2312" w:cs="Times New Roman" w:hint="eastAsia"/>
          <w:b/>
          <w:bCs/>
          <w:color w:val="000000"/>
          <w:kern w:val="2"/>
          <w:sz w:val="32"/>
          <w:szCs w:val="32"/>
          <w:lang w:val="en-US" w:eastAsia="zh-CN" w:bidi="ar-SA"/>
        </w:rPr>
        <w:t>公务用车购置支出</w:t>
      </w:r>
      <w:r>
        <w:rPr>
          <w:rFonts w:ascii="仿宋_GB2312" w:eastAsia="仿宋_GB2312" w:cs="Times New Roman" w:hint="eastAsia"/>
          <w:color w:val="000000"/>
          <w:kern w:val="2"/>
          <w:sz w:val="32"/>
          <w:szCs w:val="32"/>
          <w:lang w:val="en-US" w:eastAsia="zh-CN" w:bidi="ar-SA"/>
        </w:rPr>
        <w:t>0.00万元。全年按规定更新购置公务用车0辆，截至2022年12月底，单位共有公务用车4辆，其中：轿车2辆、越野车2辆、载客汽车0辆。</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b/>
          <w:bCs/>
          <w:color w:val="000000"/>
          <w:kern w:val="2"/>
          <w:sz w:val="32"/>
          <w:szCs w:val="32"/>
          <w:lang w:val="en-US" w:eastAsia="zh-CN" w:bidi="ar-SA"/>
        </w:rPr>
        <w:t>公务用车运行维护费支出</w:t>
      </w:r>
      <w:r>
        <w:rPr>
          <w:rFonts w:ascii="仿宋_GB2312" w:eastAsia="仿宋_GB2312" w:cs="Times New Roman" w:hint="eastAsia"/>
          <w:color w:val="000000"/>
          <w:kern w:val="2"/>
          <w:sz w:val="32"/>
          <w:szCs w:val="32"/>
          <w:lang w:val="en-US" w:eastAsia="zh-CN" w:bidi="ar-SA"/>
        </w:rPr>
        <w:t>7.11万元。主要用于公务用车燃料费、维修费、过路过桥费、保险费等支出。</w:t>
      </w:r>
    </w:p>
    <w:p>
      <w:pPr>
        <w:pStyle w:val="24"/>
        <w:keepNext w:val="0"/>
        <w:keepLines w:val="0"/>
        <w:widowControl/>
        <w:numPr>
          <w:ilvl w:val="0"/>
          <w:numId w:val="2"/>
        </w:numPr>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公务接待费支出0.00万元。</w:t>
      </w:r>
    </w:p>
    <w:p>
      <w:pPr>
        <w:pStyle w:val="24"/>
        <w:keepNext w:val="0"/>
        <w:keepLines w:val="0"/>
        <w:widowControl/>
        <w:numPr>
          <w:ilvl w:val="0"/>
          <w:numId w:val="2"/>
        </w:numPr>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国内公务接待支出0.00万元。</w:t>
      </w:r>
    </w:p>
    <w:p>
      <w:pPr>
        <w:pStyle w:val="24"/>
        <w:keepNext w:val="0"/>
        <w:keepLines w:val="0"/>
        <w:widowControl/>
        <w:numPr>
          <w:ilvl w:val="0"/>
          <w:numId w:val="2"/>
        </w:numPr>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外事接待支出0.00万元。</w:t>
      </w:r>
    </w:p>
    <w:p>
      <w:pPr>
        <w:pStyle w:val="24"/>
        <w:keepNext w:val="0"/>
        <w:keepLines w:val="0"/>
        <w:widowControl/>
        <w:suppressLineNumbers w:val="0"/>
        <w:spacing w:before="0" w:beforeAutospacing="0"/>
        <w:ind w:left="0"/>
        <w:jc w:val="left"/>
      </w:pPr>
      <w:r>
        <w:rPr>
          <w:shd w:val="clear" w:color="auto" w:fill="FFFFFF"/>
        </w:rPr>
        <w:t> </w:t>
      </w:r>
    </w:p>
    <w:p>
      <w:pPr>
        <w:widowControl w:val="0"/>
        <w:spacing w:line="560" w:lineRule="exact"/>
        <w:jc w:val="both"/>
        <w:outlineLvl w:val="9"/>
        <w:rPr>
          <w:rFonts w:ascii="黑体" w:eastAsia="黑体" w:cs="Times New Roman" w:hint="eastAsia"/>
          <w:color w:val="000000"/>
          <w:kern w:val="2"/>
          <w:sz w:val="32"/>
          <w:szCs w:val="32"/>
          <w:lang w:bidi="ar-SA"/>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26" w:name="_Toc22622"/>
      <w:r>
        <w:rPr>
          <w:rFonts w:ascii="黑体" w:eastAsia="黑体" w:cs="Times New Roman" w:hint="eastAsia"/>
          <w:b w:val="0"/>
          <w:bCs/>
          <w:color w:val="000000"/>
          <w:kern w:val="2"/>
          <w:sz w:val="32"/>
          <w:szCs w:val="32"/>
          <w:lang w:val="en-US" w:eastAsia="zh-CN" w:bidi="ar-SA"/>
        </w:rPr>
        <w:t>八、政府性基金预算支出决算情况说明</w:t>
      </w:r>
      <w:bookmarkEnd w:id="26"/>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2022年政府性基金预算财政拨款支出0.00万元。</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27" w:name="_Toc28123"/>
      <w:r>
        <w:rPr>
          <w:rFonts w:ascii="黑体" w:eastAsia="黑体" w:cs="Times New Roman" w:hint="eastAsia"/>
          <w:b w:val="0"/>
          <w:bCs/>
          <w:color w:val="000000"/>
          <w:kern w:val="2"/>
          <w:sz w:val="32"/>
          <w:szCs w:val="32"/>
          <w:lang w:val="en-US" w:eastAsia="zh-CN" w:bidi="ar-SA"/>
        </w:rPr>
        <w:t>九、国有资本经营预算支出决算情况说明</w:t>
      </w:r>
      <w:bookmarkEnd w:id="27"/>
    </w:p>
    <w:p>
      <w:pPr>
        <w:pStyle w:val="24"/>
        <w:keepNext w:val="0"/>
        <w:keepLines w:val="0"/>
        <w:widowControl/>
        <w:suppressLineNumbers w:val="0"/>
        <w:spacing w:before="0" w:beforeAutospacing="0"/>
        <w:ind w:left="0" w:righ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2022年国有资本经营预算财政拨款支出0.00万元。</w:t>
      </w:r>
    </w:p>
    <w:p>
      <w:pPr>
        <w:pStyle w:val="24"/>
        <w:keepNext w:val="0"/>
        <w:keepLines w:val="0"/>
        <w:widowControl/>
        <w:suppressLineNumbers w:val="0"/>
        <w:spacing w:before="0" w:beforeAutospacing="0"/>
        <w:ind w:left="0"/>
        <w:jc w:val="center"/>
      </w:pPr>
      <w:r>
        <w:rPr>
          <w:shd w:val="clear" w:color="auto" w:fill="FFFFFF"/>
        </w:rPr>
        <w:t> </w:t>
      </w:r>
    </w:p>
    <w:p>
      <w:pPr>
        <w:widowControl w:val="0"/>
        <w:spacing w:line="560" w:lineRule="exact"/>
        <w:jc w:val="both"/>
        <w:outlineLvl w:val="9"/>
        <w:rPr>
          <w:rFonts w:ascii="黑体" w:eastAsia="黑体" w:cs="Times New Roman" w:hint="eastAsia"/>
          <w:color w:val="000000"/>
          <w:kern w:val="2"/>
          <w:sz w:val="32"/>
          <w:szCs w:val="32"/>
          <w:lang w:bidi="ar-SA"/>
        </w:rPr>
      </w:pPr>
    </w:p>
    <w:p>
      <w:pPr>
        <w:widowControl w:val="0"/>
        <w:spacing w:line="560" w:lineRule="exact"/>
        <w:jc w:val="both"/>
        <w:outlineLvl w:val="9"/>
        <w:rPr>
          <w:rFonts w:ascii="黑体" w:eastAsia="黑体" w:cs="Times New Roman" w:hint="eastAsia"/>
          <w:color w:val="000000"/>
          <w:kern w:val="2"/>
          <w:sz w:val="32"/>
          <w:szCs w:val="32"/>
          <w:lang w:bidi="ar-SA"/>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28" w:name="_Toc28502"/>
      <w:r>
        <w:rPr>
          <w:rFonts w:ascii="黑体" w:eastAsia="黑体" w:cs="Times New Roman" w:hint="eastAsia"/>
          <w:b w:val="0"/>
          <w:bCs/>
          <w:color w:val="000000"/>
          <w:kern w:val="2"/>
          <w:sz w:val="32"/>
          <w:szCs w:val="32"/>
          <w:lang w:val="en-US" w:eastAsia="zh-CN" w:bidi="ar-SA"/>
        </w:rPr>
        <w:t>十、其他重要事项的情况说明</w:t>
      </w:r>
      <w:bookmarkEnd w:id="28"/>
    </w:p>
    <w:p>
      <w:pPr>
        <w:widowControl w:val="0"/>
        <w:spacing w:line="560" w:lineRule="exact"/>
        <w:jc w:val="both"/>
        <w:outlineLvl w:val="2"/>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（一）机关运行经费支出情况</w:t>
      </w:r>
    </w:p>
    <w:p>
      <w:pPr>
        <w:pStyle w:val="24"/>
        <w:keepNext w:val="0"/>
        <w:keepLines w:val="0"/>
        <w:widowControl/>
        <w:suppressLineNumbers w:val="0"/>
        <w:spacing w:before="0" w:beforeAutospacing="0"/>
        <w:ind w:left="0" w:firstLineChars="200" w:firstLine="640"/>
        <w:jc w:val="left"/>
        <w:rPr>
          <w:rFonts w:ascii="仿宋_GB2312" w:eastAsia="仿宋_GB2312" w:cs="Times New Roman"/>
          <w:color w:val="auto"/>
          <w:kern w:val="2"/>
          <w:sz w:val="32"/>
          <w:szCs w:val="32"/>
          <w:lang w:val="en-US" w:eastAsia="zh-CN" w:bidi="ar-SA"/>
        </w:rPr>
      </w:pPr>
      <w:r>
        <w:rPr>
          <w:rFonts w:ascii="仿宋_GB2312" w:eastAsia="仿宋_GB2312" w:cs="Times New Roman" w:hint="eastAsia"/>
          <w:color w:val="000000"/>
          <w:kern w:val="2"/>
          <w:sz w:val="32"/>
          <w:szCs w:val="32"/>
          <w:lang w:val="en-US" w:eastAsia="zh-CN" w:bidi="ar-SA"/>
        </w:rPr>
        <w:t>2022年，阿坝州金川县观音桥镇人民政府机关运行经费支出83.28万元，比2021年增加83.28万元，</w:t>
      </w:r>
      <w:r>
        <w:rPr>
          <w:rFonts w:ascii="仿宋_GB2312" w:eastAsia="仿宋_GB2312" w:cs="Times New Roman" w:hint="eastAsia"/>
          <w:color w:val="auto"/>
          <w:kern w:val="2"/>
          <w:sz w:val="32"/>
          <w:szCs w:val="32"/>
          <w:lang w:val="en-US" w:eastAsia="zh-CN" w:bidi="ar-SA"/>
        </w:rPr>
        <w:t>主要原因是2022年我单位对职工宿舍及市政基础设施进行维修。</w:t>
      </w:r>
    </w:p>
    <w:p>
      <w:pPr>
        <w:pStyle w:val="24"/>
        <w:keepNext w:val="0"/>
        <w:keepLines w:val="0"/>
        <w:widowControl/>
        <w:suppressLineNumbers w:val="0"/>
        <w:spacing w:before="0" w:beforeAutospacing="0"/>
        <w:jc w:val="left"/>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（二）政府采购支出情况</w:t>
      </w:r>
    </w:p>
    <w:p>
      <w:pPr>
        <w:pStyle w:val="24"/>
        <w:keepNext w:val="0"/>
        <w:keepLines w:val="0"/>
        <w:widowControl/>
        <w:suppressLineNumbers w:val="0"/>
        <w:spacing w:before="0" w:beforeAutospacing="0"/>
        <w:ind w:firstLineChars="200" w:firstLine="640"/>
        <w:jc w:val="left"/>
        <w:rPr>
          <w:rFonts w:ascii="仿宋_GB2312" w:eastAsia="仿宋_GB2312" w:cs="Times New Roman" w:hint="eastAsia"/>
          <w:color w:val="000000"/>
          <w:sz w:val="32"/>
          <w:szCs w:val="32"/>
          <w:lang w:val="en-US" w:eastAsia="zh-CN"/>
        </w:rPr>
      </w:pPr>
      <w:r>
        <w:rPr>
          <w:rFonts w:ascii="仿宋_GB2312" w:eastAsia="仿宋_GB2312" w:cs="Times New Roman" w:hint="eastAsia"/>
          <w:color w:val="000000"/>
          <w:sz w:val="32"/>
          <w:szCs w:val="32"/>
        </w:rPr>
        <w:t>202</w:t>
      </w:r>
      <w:r>
        <w:rPr>
          <w:rFonts w:ascii="仿宋_GB2312" w:eastAsia="仿宋_GB2312" w:cs="Times New Roman" w:hint="eastAsia"/>
          <w:color w:val="000000"/>
          <w:sz w:val="32"/>
          <w:szCs w:val="32"/>
          <w:lang w:val="en-US" w:eastAsia="zh-CN"/>
        </w:rPr>
        <w:t>2</w:t>
      </w:r>
      <w:r>
        <w:rPr>
          <w:rFonts w:ascii="仿宋_GB2312" w:eastAsia="仿宋_GB2312" w:cs="Times New Roman" w:hint="eastAsia"/>
          <w:color w:val="000000"/>
          <w:sz w:val="32"/>
          <w:szCs w:val="32"/>
        </w:rPr>
        <w:t>年</w:t>
      </w:r>
      <w:r>
        <w:rPr>
          <w:rFonts w:ascii="仿宋_GB2312" w:eastAsia="仿宋_GB2312" w:cs="Times New Roman" w:hint="eastAsia"/>
          <w:color w:val="000000"/>
          <w:sz w:val="32"/>
          <w:szCs w:val="32"/>
          <w:lang w:val="en-US" w:eastAsia="zh-CN"/>
        </w:rPr>
        <w:t>无政府采购</w:t>
      </w:r>
    </w:p>
    <w:p>
      <w:pPr>
        <w:pStyle w:val="24"/>
        <w:keepNext w:val="0"/>
        <w:keepLines w:val="0"/>
        <w:widowControl/>
        <w:suppressLineNumbers w:val="0"/>
        <w:spacing w:before="0" w:beforeAutospacing="0"/>
        <w:ind w:left="0"/>
        <w:jc w:val="left"/>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（三）国有资产占有使用情况</w:t>
      </w:r>
    </w:p>
    <w:p>
      <w:pPr>
        <w:pStyle w:val="24"/>
        <w:keepNext w:val="0"/>
        <w:keepLines w:val="0"/>
        <w:widowControl/>
        <w:suppressLineNumbers w:val="0"/>
        <w:spacing w:before="0" w:beforeAutospacing="0"/>
        <w:ind w:left="0" w:firstLineChars="200" w:firstLine="640"/>
        <w:jc w:val="left"/>
        <w:rPr>
          <w:rFonts w:ascii="仿宋_GB2312" w:eastAsia="仿宋_GB2312" w:cs="Times New Roman"/>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截至2022年12月31日，阿坝州金川县观音桥镇人民政府共有车辆4辆，其中：主要领导干部用车0辆、机要通信用车0辆、应急保障用车4辆、其他用车0辆。</w:t>
      </w:r>
    </w:p>
    <w:p>
      <w:pPr>
        <w:widowControl w:val="0"/>
        <w:spacing w:line="560" w:lineRule="exact"/>
        <w:jc w:val="both"/>
        <w:outlineLvl w:val="2"/>
        <w:rPr>
          <w:rFonts w:ascii="仿宋" w:eastAsia="仿宋" w:cs="Times New Roman" w:hint="eastAsia"/>
          <w:b/>
          <w:color w:val="000000"/>
          <w:kern w:val="2"/>
          <w:sz w:val="32"/>
          <w:szCs w:val="32"/>
          <w:lang w:bidi="ar-SA"/>
        </w:rPr>
      </w:pPr>
      <w:r>
        <w:rPr>
          <w:rFonts w:ascii="仿宋" w:eastAsia="仿宋" w:cs="Times New Roman" w:hint="eastAsia"/>
          <w:b/>
          <w:color w:val="000000"/>
          <w:kern w:val="2"/>
          <w:sz w:val="32"/>
          <w:szCs w:val="32"/>
          <w:lang w:bidi="ar-SA"/>
        </w:rPr>
        <w:t>（四）预算绩效管理情况</w:t>
      </w:r>
    </w:p>
    <w:p>
      <w:pPr>
        <w:pStyle w:val="24"/>
        <w:keepNext w:val="0"/>
        <w:keepLines w:val="0"/>
        <w:widowControl/>
        <w:suppressLineNumbers w:val="0"/>
        <w:spacing w:before="0" w:beforeAutospacing="0"/>
        <w:ind w:left="0" w:firstLineChars="200" w:firstLine="640"/>
        <w:jc w:val="left"/>
        <w:rPr>
          <w:rFonts w:ascii="仿宋_GB2312" w:eastAsia="仿宋_GB2312" w:cs="Times New Roman"/>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根据预算绩效管理要求，本部门在2022年度预算编制阶段，项目数为0。</w:t>
      </w:r>
    </w:p>
    <w:p>
      <w:pPr>
        <w:pStyle w:val="24"/>
        <w:keepNext w:val="0"/>
        <w:keepLines w:val="0"/>
        <w:widowControl/>
        <w:suppressLineNumbers w:val="0"/>
        <w:spacing w:before="0" w:beforeAutospacing="0"/>
        <w:ind w:left="0" w:firstLineChars="200" w:firstLine="640"/>
        <w:jc w:val="left"/>
        <w:rPr>
          <w:rFonts w:ascii="仿宋_GB2312" w:eastAsia="仿宋_GB2312" w:cs="Times New Roman" w:hint="eastAsia"/>
          <w:color w:val="000000"/>
          <w:kern w:val="2"/>
          <w:sz w:val="32"/>
          <w:szCs w:val="32"/>
          <w:lang w:val="en-US" w:eastAsia="zh-CN" w:bidi="ar-SA"/>
        </w:rPr>
      </w:pPr>
      <w:r>
        <w:rPr>
          <w:rFonts w:ascii="仿宋_GB2312" w:eastAsia="仿宋_GB2312" w:cs="Times New Roman" w:hint="eastAsia"/>
          <w:color w:val="000000"/>
          <w:kern w:val="2"/>
          <w:sz w:val="32"/>
          <w:szCs w:val="32"/>
          <w:lang w:val="en-US" w:eastAsia="zh-CN" w:bidi="ar-SA"/>
        </w:rPr>
        <w:t>组织对2022年度一般公共预算、政府性基金预算、国有资本经营预算、社会保险基金预算以及资本资产、债券资金等全面开展绩效自评，形成金川县观音桥镇人民政府部门整体绩效自评报告，其中，金川县观音桥镇人民政府部门整体绩效自评得分为82分，绩效自评综述：</w:t>
      </w:r>
      <w:r>
        <w:rPr>
          <w:rFonts w:ascii="仿宋_GB2312" w:eastAsia="仿宋_GB2312" w:cs="仿宋_GB2312" w:hint="eastAsia"/>
          <w:sz w:val="32"/>
          <w:szCs w:val="32"/>
          <w:lang w:bidi="ar-SA"/>
        </w:rPr>
        <w:t>我单位深入贯彻落实</w:t>
      </w:r>
      <w:r>
        <w:rPr>
          <w:rFonts w:ascii="仿宋_GB2312" w:eastAsia="仿宋_GB2312" w:cs="仿宋_GB2312"/>
          <w:sz w:val="32"/>
          <w:szCs w:val="32"/>
          <w:lang w:bidi="ar-SA"/>
        </w:rPr>
        <w:t>党的</w:t>
      </w:r>
      <w:bookmarkStart w:id="29" w:name="_GoBack"/>
      <w:bookmarkEnd w:id="29"/>
      <w:r>
        <w:rPr>
          <w:rFonts w:ascii="仿宋_GB2312" w:eastAsia="仿宋_GB2312" w:cs="仿宋_GB2312" w:hint="eastAsia"/>
          <w:sz w:val="32"/>
          <w:szCs w:val="32"/>
          <w:lang w:bidi="ar-SA"/>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Times New Roman" w:hint="eastAsia"/>
          <w:color w:val="000000"/>
          <w:kern w:val="2"/>
          <w:sz w:val="32"/>
          <w:szCs w:val="32"/>
          <w:lang w:val="en-US" w:eastAsia="zh-CN" w:bidi="ar-SA"/>
        </w:rPr>
        <w:t>；绩效自评报告详见附件。</w:t>
      </w:r>
    </w:p>
    <w:p>
      <w:pPr>
        <w:pStyle w:val="24"/>
        <w:keepNext w:val="0"/>
        <w:keepLines w:val="0"/>
        <w:widowControl/>
        <w:suppressLineNumbers w:val="0"/>
        <w:spacing w:before="0" w:beforeAutospacing="0"/>
        <w:ind w:left="0"/>
        <w:jc w:val="left"/>
      </w:pPr>
      <w:r>
        <w:rPr>
          <w:shd w:val="clear" w:color="auto" w:fill="FFFFFF"/>
        </w:rPr>
        <w:t> </w:t>
      </w:r>
    </w:p>
    <w:p>
      <w:pPr>
        <w:pStyle w:val="1"/>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jc w:val="center"/>
        <w:textAlignment w:val="auto"/>
        <w:outlineLvl w:val="0"/>
        <w:rPr>
          <w:rFonts w:ascii="方正小标宋简体" w:eastAsia="方正小标宋简体" w:cs="Times New Roman" w:hint="eastAsia"/>
          <w:b w:val="0"/>
          <w:color w:val="000000"/>
          <w:sz w:val="44"/>
          <w:szCs w:val="44"/>
          <w:lang w:bidi="ar-SA"/>
        </w:rPr>
      </w:pPr>
      <w:bookmarkStart w:id="30" w:name="_Toc5182"/>
      <w:r>
        <w:rPr>
          <w:rFonts w:ascii="方正小标宋简体" w:eastAsia="方正小标宋简体" w:cs="Times New Roman" w:hint="eastAsia"/>
          <w:b w:val="0"/>
          <w:color w:val="000000"/>
          <w:sz w:val="44"/>
          <w:szCs w:val="44"/>
          <w:lang w:bidi="ar-SA"/>
        </w:rPr>
        <w:t>第三部分 名词解释</w:t>
      </w:r>
      <w:bookmarkEnd w:id="30"/>
    </w:p>
    <w:p>
      <w:pPr>
        <w:pStyle w:val="24"/>
        <w:keepNext w:val="0"/>
        <w:keepLines w:val="0"/>
        <w:widowControl/>
        <w:suppressLineNumbers w:val="0"/>
        <w:spacing w:before="0" w:beforeAutospacing="0"/>
        <w:ind w:left="0"/>
        <w:jc w:val="left"/>
      </w:pPr>
      <w:r>
        <w:rPr>
          <w:shd w:val="clear" w:color="auto" w:fill="FFFFFF"/>
        </w:rPr>
        <w:t> </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1.财政拨款收入：指单位从同级财政部门取得的财政预算资金。</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.其他收入：指单位取得的除上述收入以外的各项收入。</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3</w:t>
      </w:r>
      <w:r>
        <w:rPr>
          <w:rFonts w:ascii="仿宋_GB2312" w:eastAsia="仿宋_GB2312" w:hint="eastAsia"/>
          <w:sz w:val="32"/>
          <w:szCs w:val="32"/>
        </w:rPr>
        <w:t xml:space="preserve">.使用非财政拨款结余：指事业单位使用以前年度积累的非财政拨款结余弥补当年收支差额的金额。 </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 xml:space="preserve">.年初结转和结余：指以前年度尚未完成、结转到本年按有关规定继续使用的资金。 </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.结余分配：指事业单位按照会计制度规定缴纳的所得税、提取的专用结余以及转入非财政拨款结余的金额等。</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hint="eastAsia"/>
          <w:color w:val="000000"/>
          <w:sz w:val="32"/>
          <w:szCs w:val="32"/>
        </w:rPr>
        <w:t xml:space="preserve">.项目支出：指在基本支出之外为完成特定行政任务和事业发展目标所发生的支出。 </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15</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16</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1"/>
        <w:keepNext/>
        <w:keepLines/>
        <w:pageBreakBefore w:val="0"/>
        <w:widowControl w:val="0"/>
        <w:kinsoku/>
        <w:wordWrap/>
        <w:overflowPunct/>
        <w:topLinePunct w:val="0"/>
        <w:autoSpaceDE/>
        <w:autoSpaceDN/>
        <w:bidi w:val="0"/>
        <w:adjustRightInd/>
        <w:snapToGrid/>
        <w:spacing w:before="0" w:beforeAutospacing="0" w:after="0" w:afterAutospacing="0" w:line="560" w:lineRule="exact"/>
        <w:ind w:left="0"/>
        <w:jc w:val="center"/>
        <w:textAlignment w:val="auto"/>
        <w:outlineLvl w:val="0"/>
        <w:rPr>
          <w:rFonts w:ascii="方正小标宋简体" w:eastAsia="方正小标宋简体" w:cs="Times New Roman" w:hint="eastAsia"/>
          <w:b w:val="0"/>
          <w:color w:val="000000"/>
          <w:sz w:val="44"/>
          <w:szCs w:val="44"/>
          <w:lang w:bidi="ar-SA"/>
        </w:rPr>
      </w:pPr>
      <w:bookmarkStart w:id="31" w:name="_Toc7146"/>
      <w:r>
        <w:rPr>
          <w:rFonts w:ascii="方正小标宋简体" w:eastAsia="方正小标宋简体" w:cs="Times New Roman" w:hint="eastAsia"/>
          <w:b w:val="0"/>
          <w:color w:val="000000"/>
          <w:sz w:val="44"/>
          <w:szCs w:val="44"/>
          <w:lang w:val="en-US" w:eastAsia="zh-CN" w:bidi="ar-SA"/>
        </w:rPr>
        <w:t>第四部分 附件</w:t>
      </w:r>
      <w:bookmarkEnd w:id="31"/>
    </w:p>
    <w:p>
      <w:pPr>
        <w:pStyle w:val="24"/>
        <w:keepNext w:val="0"/>
        <w:keepLines w:val="0"/>
        <w:widowControl/>
        <w:suppressLineNumbers w:val="0"/>
        <w:spacing w:before="0" w:beforeAutospacing="0"/>
        <w:ind w:left="0"/>
        <w:jc w:val="left"/>
        <w:outlineLvl w:val="1"/>
      </w:pPr>
      <w:bookmarkStart w:id="32" w:name="_Toc2671"/>
      <w:r>
        <w:rPr>
          <w:shd w:val="clear" w:color="auto" w:fill="FFFFFF"/>
        </w:rPr>
        <w:t>附件</w:t>
      </w:r>
      <w:bookmarkEnd w:id="32"/>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rPr>
      </w:pPr>
      <w:r>
        <w:rPr>
          <w:rFonts w:ascii="方正小标宋_GBK" w:eastAsia="方正小标宋_GBK" w:cs="方正小标宋_GBK" w:hint="eastAsia"/>
          <w:sz w:val="44"/>
          <w:szCs w:val="44"/>
        </w:rPr>
        <w:t>202</w:t>
      </w:r>
      <w:r>
        <w:rPr>
          <w:rFonts w:ascii="方正小标宋_GBK" w:eastAsia="方正小标宋_GBK" w:cs="方正小标宋_GBK" w:hint="eastAsia"/>
          <w:sz w:val="44"/>
          <w:szCs w:val="44"/>
          <w:lang w:val="en-US" w:eastAsia="zh-CN"/>
        </w:rPr>
        <w:t>3</w:t>
      </w:r>
      <w:r>
        <w:rPr>
          <w:rFonts w:ascii="方正小标宋_GBK" w:eastAsia="方正小标宋_GBK" w:cs="方正小标宋_GBK" w:hint="eastAsia"/>
          <w:sz w:val="44"/>
          <w:szCs w:val="44"/>
        </w:rPr>
        <w:t>年</w:t>
      </w:r>
      <w:r>
        <w:rPr>
          <w:rFonts w:ascii="方正小标宋_GBK" w:eastAsia="方正小标宋_GBK" w:cs="方正小标宋_GBK" w:hint="eastAsia"/>
          <w:sz w:val="44"/>
          <w:szCs w:val="44"/>
          <w:lang w:val="en-US" w:eastAsia="zh-CN"/>
        </w:rPr>
        <w:t>金川县观音桥镇</w:t>
      </w:r>
      <w:r>
        <w:rPr>
          <w:rFonts w:ascii="方正小标宋_GBK" w:eastAsia="方正小标宋_GBK" w:cs="方正小标宋_GBK" w:hint="eastAsia"/>
          <w:sz w:val="44"/>
          <w:szCs w:val="44"/>
        </w:rPr>
        <w:t>整体支出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val="en-US"/>
        </w:rPr>
      </w:pPr>
      <w:r>
        <w:rPr>
          <w:rFonts w:ascii="方正小标宋_GBK" w:eastAsia="方正小标宋_GBK" w:cs="方正小标宋_GBK" w:hint="eastAsia"/>
          <w:sz w:val="44"/>
          <w:szCs w:val="44"/>
        </w:rPr>
        <w:t>绩效评价报告</w:t>
      </w:r>
    </w:p>
    <w:p>
      <w:pPr>
        <w:widowControl w:val="0"/>
        <w:spacing w:line="560" w:lineRule="exact"/>
        <w:jc w:val="both"/>
        <w:outlineLvl w:val="1"/>
        <w:rPr>
          <w:rFonts w:ascii="方正黑体_GBK" w:eastAsia="方正黑体_GBK" w:cs="方正黑体_GBK" w:hint="eastAsia"/>
          <w:b w:val="0"/>
          <w:bCs/>
          <w:color w:val="000000"/>
          <w:kern w:val="2"/>
          <w:sz w:val="32"/>
          <w:szCs w:val="32"/>
          <w:lang w:val="en-US" w:eastAsia="zh-CN" w:bidi="ar-SA"/>
        </w:rPr>
      </w:pPr>
      <w:bookmarkStart w:id="33" w:name="_Toc13366"/>
      <w:r>
        <w:rPr>
          <w:rFonts w:ascii="方正黑体_GBK" w:eastAsia="方正黑体_GBK" w:cs="方正黑体_GBK" w:hint="eastAsia"/>
          <w:b w:val="0"/>
          <w:bCs/>
          <w:color w:val="000000"/>
          <w:kern w:val="2"/>
          <w:sz w:val="32"/>
          <w:szCs w:val="32"/>
          <w:lang w:val="en-US" w:eastAsia="zh-CN" w:bidi="ar-SA"/>
        </w:rPr>
        <w:t>一、部门（单位）概况</w:t>
      </w:r>
      <w:bookmarkEnd w:id="33"/>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（一）机构组成。</w:t>
      </w:r>
    </w:p>
    <w:p>
      <w:pPr>
        <w:ind w:firstLineChars="200" w:firstLine="640"/>
        <w:rPr>
          <w:rFonts w:ascii="仿宋_GB2312" w:eastAsia="仿宋_GB2312" w:cs="仿宋_GB2312" w:hint="eastAsia"/>
          <w:color w:val="000000"/>
          <w:sz w:val="31"/>
          <w:szCs w:val="31"/>
        </w:rPr>
      </w:pPr>
      <w:r>
        <w:rPr>
          <w:rFonts w:ascii="仿宋_GB2312" w:eastAsia="仿宋_GB2312" w:hint="eastAsia"/>
          <w:color w:val="000000"/>
          <w:sz w:val="32"/>
          <w:szCs w:val="32"/>
        </w:rPr>
        <w:t>根据《</w:t>
      </w:r>
      <w:r>
        <w:rPr>
          <w:rFonts w:ascii="仿宋_GB2312" w:eastAsia="仿宋_GB2312" w:hint="eastAsia"/>
          <w:color w:val="000000"/>
          <w:sz w:val="32"/>
          <w:szCs w:val="32"/>
          <w:lang w:val="en-US" w:eastAsia="zh-CN"/>
        </w:rPr>
        <w:t>金川县</w:t>
      </w:r>
      <w:r>
        <w:rPr>
          <w:rFonts w:ascii="仿宋_GB2312" w:eastAsia="仿宋_GB2312" w:hint="eastAsia"/>
          <w:color w:val="000000"/>
          <w:sz w:val="32"/>
          <w:szCs w:val="32"/>
        </w:rPr>
        <w:t>财政局关于开展</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年</w:t>
      </w:r>
      <w:r>
        <w:rPr>
          <w:rFonts w:ascii="仿宋_GB2312" w:eastAsia="仿宋_GB2312" w:hint="eastAsia"/>
          <w:color w:val="000000"/>
          <w:sz w:val="32"/>
          <w:szCs w:val="32"/>
          <w:lang w:val="en-US" w:eastAsia="zh-CN"/>
        </w:rPr>
        <w:t>部门、政策和项目</w:t>
      </w:r>
      <w:r>
        <w:rPr>
          <w:rFonts w:ascii="仿宋_GB2312" w:eastAsia="仿宋_GB2312" w:hint="eastAsia"/>
          <w:color w:val="000000"/>
          <w:sz w:val="32"/>
          <w:szCs w:val="32"/>
        </w:rPr>
        <w:t>支出绩效评价工作的通知》（阿州财</w:t>
      </w:r>
      <w:r>
        <w:rPr>
          <w:rFonts w:ascii="仿宋_GB2312" w:eastAsia="仿宋_GB2312" w:hint="eastAsia"/>
          <w:color w:val="000000"/>
          <w:sz w:val="32"/>
          <w:szCs w:val="32"/>
          <w:lang w:val="en-US" w:eastAsia="zh-CN"/>
        </w:rPr>
        <w:t>金</w:t>
      </w:r>
      <w:r>
        <w:rPr>
          <w:rFonts w:ascii="仿宋_GB2312" w:eastAsia="仿宋_GB2312" w:hint="eastAsia"/>
          <w:color w:val="000000"/>
          <w:sz w:val="32"/>
          <w:szCs w:val="32"/>
        </w:rPr>
        <w:t>监绩〔</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号）文件精神，组建金川县</w:t>
      </w:r>
      <w:r>
        <w:rPr>
          <w:rFonts w:ascii="仿宋_GB2312" w:eastAsia="仿宋_GB2312" w:hint="eastAsia"/>
          <w:color w:val="000000"/>
          <w:sz w:val="32"/>
          <w:szCs w:val="32"/>
          <w:lang w:val="en-US" w:eastAsia="zh-CN"/>
        </w:rPr>
        <w:t>观音桥镇人民政府</w:t>
      </w:r>
      <w:r>
        <w:rPr>
          <w:rFonts w:ascii="仿宋_GB2312" w:eastAsia="仿宋_GB2312" w:hint="eastAsia"/>
          <w:color w:val="000000"/>
          <w:sz w:val="32"/>
          <w:szCs w:val="32"/>
        </w:rPr>
        <w:t>，下设</w:t>
      </w:r>
      <w:r>
        <w:rPr>
          <w:rFonts w:ascii="仿宋_GB2312" w:eastAsia="仿宋_GB2312" w:hint="eastAsia"/>
          <w:color w:val="000000"/>
          <w:sz w:val="32"/>
          <w:szCs w:val="32"/>
          <w:lang w:val="en-US" w:eastAsia="zh-CN"/>
        </w:rPr>
        <w:t>四个部门，分别为观音桥镇政府办公室、观音桥镇党委办公室、观音桥镇人大办公室、观音桥镇综合服务中心。</w:t>
      </w:r>
    </w:p>
    <w:p>
      <w:pPr>
        <w:pStyle w:val="23"/>
        <w:keepNext w:val="0"/>
        <w:keepLines w:val="0"/>
        <w:widowControl/>
        <w:numPr>
          <w:ilvl w:val="0"/>
          <w:numId w:val="3"/>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机构职能。</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1.执行本级人民代表大会的决议和上级国家行政机关的决定和命令，发布决定和命令；</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2.执行本行政区域内的经济社会发展计划，预算，管理本行政区域内的经济，教育，科学，文化，卫生，体育事业和财政，民政，公安，司法行政，计划生育等行政工作;</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3.保护社会主义的全民所有财产和劳动群众的集体所有的财产，保护公民私人所有的合法财产，维护社会秩序，保障公民的人生权利，民主权利和其他权利；</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4.保护各种经济组织的合法权益；</w:t>
      </w:r>
    </w:p>
    <w:p>
      <w:pPr>
        <w:keepNext w:val="0"/>
        <w:keepLines w:val="0"/>
        <w:widowControl/>
        <w:suppressLineNumbers w:val="0"/>
        <w:ind w:firstLineChars="200" w:firstLine="640"/>
        <w:jc w:val="left"/>
        <w:rPr>
          <w:rFonts w:ascii="仿宋_GB2312" w:eastAsia="仿宋_GB2312" w:cs="Arial" w:hint="eastAsia"/>
          <w:color w:val="000000"/>
          <w:kern w:val="2"/>
          <w:sz w:val="32"/>
          <w:szCs w:val="32"/>
          <w:lang w:val="en-US" w:eastAsia="zh-CN" w:bidi="ar-SA"/>
        </w:rPr>
      </w:pPr>
      <w:r>
        <w:rPr>
          <w:rFonts w:ascii="仿宋_GB2312" w:eastAsia="仿宋_GB2312" w:cs="Arial" w:hint="eastAsia"/>
          <w:color w:val="000000"/>
          <w:kern w:val="2"/>
          <w:sz w:val="32"/>
          <w:szCs w:val="32"/>
          <w:lang w:val="en-US" w:eastAsia="zh-CN" w:bidi="ar-SA"/>
        </w:rPr>
        <w:t>5.保障少数民族的权利和尊重少数民族的风俗习惯；</w:t>
      </w:r>
    </w:p>
    <w:p>
      <w:pPr>
        <w:keepNext w:val="0"/>
        <w:keepLines w:val="0"/>
        <w:widowControl/>
        <w:suppressLineNumbers w:val="0"/>
        <w:ind w:firstLineChars="200" w:firstLine="640"/>
        <w:jc w:val="left"/>
        <w:rPr>
          <w:rFonts w:ascii="仿宋_GB2312" w:eastAsia="仿宋_GB2312" w:cs="仿宋_GB2312" w:hint="eastAsia"/>
          <w:color w:val="000000"/>
          <w:sz w:val="31"/>
          <w:szCs w:val="31"/>
        </w:rPr>
      </w:pPr>
      <w:r>
        <w:rPr>
          <w:rFonts w:ascii="仿宋_GB2312" w:eastAsia="仿宋_GB2312" w:cs="Arial" w:hint="eastAsia"/>
          <w:color w:val="000000"/>
          <w:kern w:val="2"/>
          <w:sz w:val="32"/>
          <w:szCs w:val="32"/>
          <w:lang w:val="en-US" w:eastAsia="zh-CN" w:bidi="ar-SA"/>
        </w:rPr>
        <w:t>6.办理上级人民政府交办的其他事项</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（三）人员概况。</w:t>
      </w:r>
    </w:p>
    <w:p>
      <w:pPr>
        <w:snapToGrid w:val="0"/>
        <w:spacing w:line="360" w:lineRule="auto"/>
        <w:ind w:firstLineChars="200" w:firstLine="640"/>
        <w:rPr>
          <w:rFonts w:ascii="仿宋_GB2312" w:eastAsia="仿宋_GB2312"/>
          <w:sz w:val="32"/>
          <w:szCs w:val="32"/>
        </w:rPr>
      </w:pPr>
      <w:r>
        <w:rPr>
          <w:rFonts w:ascii="仿宋_GB2312" w:eastAsia="仿宋_GB2312" w:hint="eastAsia"/>
          <w:color w:val="000000"/>
          <w:sz w:val="32"/>
          <w:szCs w:val="32"/>
        </w:rPr>
        <w:t>金川县</w:t>
      </w:r>
      <w:r>
        <w:rPr>
          <w:rFonts w:ascii="仿宋_GB2312" w:eastAsia="仿宋_GB2312" w:hint="eastAsia"/>
          <w:color w:val="000000"/>
          <w:sz w:val="32"/>
          <w:szCs w:val="32"/>
          <w:lang w:val="en-US" w:eastAsia="zh-CN"/>
        </w:rPr>
        <w:t>观音桥镇</w:t>
      </w:r>
      <w:r>
        <w:rPr>
          <w:rFonts w:ascii="仿宋_GB2312" w:eastAsia="仿宋_GB2312" w:hint="eastAsia"/>
          <w:color w:val="000000"/>
          <w:sz w:val="32"/>
          <w:szCs w:val="32"/>
        </w:rPr>
        <w:t>属于财政补助的一级预算机关单位，执行的是行政会计制度，编制人数为</w:t>
      </w:r>
      <w:r>
        <w:rPr>
          <w:rFonts w:ascii="仿宋_GB2312" w:eastAsia="仿宋_GB2312" w:hint="eastAsia"/>
          <w:color w:val="000000"/>
          <w:sz w:val="32"/>
          <w:szCs w:val="32"/>
          <w:lang w:val="en-US" w:eastAsia="zh-CN"/>
        </w:rPr>
        <w:t>49个</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其中：</w:t>
      </w:r>
      <w:r>
        <w:rPr>
          <w:rFonts w:ascii="仿宋_GB2312" w:eastAsia="仿宋_GB2312" w:hint="eastAsia"/>
          <w:sz w:val="32"/>
          <w:szCs w:val="32"/>
          <w:lang w:val="en-US" w:eastAsia="zh-CN"/>
        </w:rPr>
        <w:t>公务员</w:t>
      </w:r>
      <w:r>
        <w:rPr>
          <w:rFonts w:ascii="仿宋_GB2312" w:eastAsia="仿宋_GB2312" w:hint="eastAsia"/>
          <w:sz w:val="32"/>
          <w:szCs w:val="32"/>
        </w:rPr>
        <w:t>编制</w:t>
      </w:r>
      <w:r>
        <w:rPr>
          <w:rFonts w:ascii="仿宋_GB2312" w:eastAsia="仿宋_GB2312" w:hint="eastAsia"/>
          <w:sz w:val="32"/>
          <w:szCs w:val="32"/>
          <w:lang w:val="en-US" w:eastAsia="zh-CN"/>
        </w:rPr>
        <w:t>27个</w:t>
      </w:r>
      <w:r>
        <w:rPr>
          <w:rFonts w:ascii="仿宋_GB2312" w:eastAsia="仿宋_GB2312" w:hint="eastAsia"/>
          <w:sz w:val="32"/>
          <w:szCs w:val="32"/>
        </w:rPr>
        <w:t>，</w:t>
      </w:r>
      <w:r>
        <w:rPr>
          <w:rFonts w:ascii="仿宋_GB2312" w:eastAsia="仿宋_GB2312" w:hint="eastAsia"/>
          <w:sz w:val="32"/>
          <w:szCs w:val="32"/>
          <w:lang w:val="en-US" w:eastAsia="zh-CN"/>
        </w:rPr>
        <w:t>机关</w:t>
      </w:r>
      <w:r>
        <w:rPr>
          <w:rFonts w:ascii="仿宋_GB2312" w:eastAsia="仿宋_GB2312" w:hint="eastAsia"/>
          <w:sz w:val="32"/>
          <w:szCs w:val="32"/>
        </w:rPr>
        <w:t>工勤编制</w:t>
      </w:r>
      <w:r>
        <w:rPr>
          <w:rFonts w:ascii="仿宋_GB2312" w:eastAsia="仿宋_GB2312" w:hint="eastAsia"/>
          <w:sz w:val="32"/>
          <w:szCs w:val="32"/>
          <w:lang w:val="en-US" w:eastAsia="zh-CN"/>
        </w:rPr>
        <w:t>2个</w:t>
      </w:r>
      <w:r>
        <w:rPr>
          <w:rFonts w:ascii="仿宋_GB2312" w:eastAsia="仿宋_GB2312" w:hint="eastAsia"/>
          <w:sz w:val="32"/>
          <w:szCs w:val="32"/>
        </w:rPr>
        <w:t>、事业</w:t>
      </w:r>
      <w:r>
        <w:rPr>
          <w:rFonts w:ascii="仿宋_GB2312" w:eastAsia="仿宋_GB2312" w:hint="eastAsia"/>
          <w:bCs/>
          <w:sz w:val="32"/>
          <w:szCs w:val="32"/>
        </w:rPr>
        <w:t>编制</w:t>
      </w:r>
      <w:r>
        <w:rPr>
          <w:rFonts w:ascii="仿宋_GB2312" w:eastAsia="仿宋_GB2312" w:hint="eastAsia"/>
          <w:bCs/>
          <w:sz w:val="32"/>
          <w:szCs w:val="32"/>
          <w:lang w:val="en-US" w:eastAsia="zh-CN"/>
        </w:rPr>
        <w:t>20个</w:t>
      </w:r>
      <w:r>
        <w:rPr>
          <w:rFonts w:ascii="仿宋_GB2312" w:eastAsia="仿宋_GB2312" w:hint="eastAsia"/>
          <w:sz w:val="32"/>
          <w:szCs w:val="32"/>
        </w:rPr>
        <w:t>。</w:t>
      </w:r>
    </w:p>
    <w:p>
      <w:pPr>
        <w:snapToGrid w:val="0"/>
        <w:spacing w:line="360" w:lineRule="auto"/>
        <w:ind w:firstLineChars="200" w:firstLine="640"/>
        <w:rPr>
          <w:rFonts w:ascii="仿宋_GB2312" w:eastAsia="仿宋_GB2312" w:cs="仿宋_GB2312" w:hint="eastAsia"/>
          <w:color w:val="000000"/>
          <w:sz w:val="31"/>
          <w:szCs w:val="31"/>
        </w:rPr>
      </w:pPr>
      <w:r>
        <w:rPr>
          <w:rFonts w:ascii="仿宋_GB2312" w:eastAsia="仿宋_GB2312" w:hint="eastAsia"/>
          <w:sz w:val="32"/>
          <w:szCs w:val="32"/>
        </w:rPr>
        <w:t>我</w:t>
      </w:r>
      <w:r>
        <w:rPr>
          <w:rFonts w:ascii="仿宋_GB2312" w:eastAsia="仿宋_GB2312" w:hint="eastAsia"/>
          <w:sz w:val="32"/>
          <w:szCs w:val="32"/>
          <w:lang w:val="en-US" w:eastAsia="zh-CN"/>
        </w:rPr>
        <w:t>镇</w:t>
      </w:r>
      <w:r>
        <w:rPr>
          <w:rFonts w:ascii="仿宋_GB2312" w:eastAsia="仿宋_GB2312" w:hint="eastAsia"/>
          <w:sz w:val="32"/>
          <w:szCs w:val="32"/>
          <w:lang w:eastAsia="zh-CN"/>
        </w:rPr>
        <w:t>202</w:t>
      </w:r>
      <w:r>
        <w:rPr>
          <w:rFonts w:ascii="仿宋_GB2312" w:eastAsia="仿宋_GB2312" w:hint="eastAsia"/>
          <w:sz w:val="32"/>
          <w:szCs w:val="32"/>
          <w:lang w:val="en-US" w:eastAsia="zh-CN"/>
        </w:rPr>
        <w:t>2</w:t>
      </w:r>
      <w:r>
        <w:rPr>
          <w:rFonts w:ascii="仿宋_GB2312" w:eastAsia="仿宋_GB2312" w:hint="eastAsia"/>
          <w:sz w:val="32"/>
          <w:szCs w:val="32"/>
        </w:rPr>
        <w:t>年年末在职</w:t>
      </w:r>
      <w:r>
        <w:rPr>
          <w:rFonts w:ascii="仿宋_GB2312" w:eastAsia="仿宋_GB2312" w:hint="eastAsia"/>
          <w:sz w:val="32"/>
          <w:szCs w:val="32"/>
          <w:lang w:val="en-US" w:eastAsia="zh-CN"/>
        </w:rPr>
        <w:t>49</w:t>
      </w:r>
      <w:r>
        <w:rPr>
          <w:rFonts w:ascii="仿宋_GB2312" w:eastAsia="仿宋_GB2312" w:hint="eastAsia"/>
          <w:sz w:val="32"/>
          <w:szCs w:val="32"/>
        </w:rPr>
        <w:t>人，</w:t>
      </w:r>
      <w:r>
        <w:rPr>
          <w:rFonts w:ascii="仿宋_GB2312" w:eastAsia="仿宋_GB2312" w:hint="eastAsia"/>
          <w:sz w:val="32"/>
          <w:szCs w:val="32"/>
          <w:lang w:val="en-US" w:eastAsia="zh-CN"/>
        </w:rPr>
        <w:t>其</w:t>
      </w:r>
      <w:r>
        <w:rPr>
          <w:rFonts w:ascii="仿宋_GB2312" w:eastAsia="仿宋_GB2312" w:hint="eastAsia"/>
          <w:sz w:val="32"/>
          <w:szCs w:val="32"/>
        </w:rPr>
        <w:t>中</w:t>
      </w:r>
      <w:r>
        <w:rPr>
          <w:rFonts w:ascii="仿宋_GB2312" w:eastAsia="仿宋_GB2312" w:hint="eastAsia"/>
          <w:sz w:val="32"/>
          <w:szCs w:val="32"/>
          <w:lang w:eastAsia="zh-CN"/>
        </w:rPr>
        <w:t>：</w:t>
      </w:r>
      <w:r>
        <w:rPr>
          <w:rFonts w:ascii="仿宋_GB2312" w:eastAsia="仿宋_GB2312" w:hint="eastAsia"/>
          <w:sz w:val="32"/>
          <w:szCs w:val="32"/>
          <w:lang w:val="en-US" w:eastAsia="zh-CN"/>
        </w:rPr>
        <w:t>公务员27人</w:t>
      </w:r>
      <w:r>
        <w:rPr>
          <w:rFonts w:ascii="仿宋_GB2312" w:eastAsia="仿宋_GB2312" w:hint="eastAsia"/>
          <w:sz w:val="32"/>
          <w:szCs w:val="32"/>
        </w:rPr>
        <w:t>，</w:t>
      </w:r>
      <w:r>
        <w:rPr>
          <w:rFonts w:ascii="仿宋_GB2312" w:eastAsia="仿宋_GB2312" w:hint="eastAsia"/>
          <w:sz w:val="32"/>
          <w:szCs w:val="32"/>
          <w:lang w:val="en-US" w:eastAsia="zh-CN"/>
        </w:rPr>
        <w:t>机关</w:t>
      </w:r>
      <w:r>
        <w:rPr>
          <w:rFonts w:ascii="仿宋_GB2312" w:eastAsia="仿宋_GB2312" w:hint="eastAsia"/>
          <w:sz w:val="32"/>
          <w:szCs w:val="32"/>
        </w:rPr>
        <w:t>工勤</w:t>
      </w:r>
      <w:r>
        <w:rPr>
          <w:rFonts w:ascii="仿宋_GB2312" w:eastAsia="仿宋_GB2312" w:hint="eastAsia"/>
          <w:sz w:val="32"/>
          <w:szCs w:val="32"/>
          <w:lang w:val="en-US" w:eastAsia="zh-CN"/>
        </w:rPr>
        <w:t>2人</w:t>
      </w:r>
      <w:r>
        <w:rPr>
          <w:rFonts w:ascii="仿宋_GB2312" w:eastAsia="仿宋_GB2312" w:hint="eastAsia"/>
          <w:sz w:val="32"/>
          <w:szCs w:val="32"/>
        </w:rPr>
        <w:t>、</w:t>
      </w:r>
      <w:r>
        <w:rPr>
          <w:rFonts w:ascii="仿宋_GB2312" w:eastAsia="仿宋_GB2312" w:hint="eastAsia"/>
          <w:sz w:val="32"/>
          <w:szCs w:val="32"/>
          <w:lang w:val="en-US" w:eastAsia="zh-CN"/>
        </w:rPr>
        <w:t>其他</w:t>
      </w:r>
      <w:r>
        <w:rPr>
          <w:rFonts w:ascii="仿宋_GB2312" w:eastAsia="仿宋_GB2312" w:hint="eastAsia"/>
          <w:sz w:val="32"/>
          <w:szCs w:val="32"/>
        </w:rPr>
        <w:t>事业</w:t>
      </w:r>
      <w:r>
        <w:rPr>
          <w:rFonts w:ascii="仿宋_GB2312" w:eastAsia="仿宋_GB2312" w:hint="eastAsia"/>
          <w:bCs/>
          <w:sz w:val="32"/>
          <w:szCs w:val="32"/>
          <w:lang w:val="en-US" w:eastAsia="zh-CN"/>
        </w:rPr>
        <w:t>20人，</w:t>
      </w:r>
      <w:r>
        <w:rPr>
          <w:rFonts w:ascii="仿宋_GB2312" w:eastAsia="仿宋_GB2312" w:hint="eastAsia"/>
          <w:color w:val="000000"/>
          <w:sz w:val="32"/>
          <w:szCs w:val="32"/>
        </w:rPr>
        <w:t>退休人数</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人，遗嘱</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人。</w:t>
      </w:r>
    </w:p>
    <w:p>
      <w:pPr>
        <w:widowControl w:val="0"/>
        <w:spacing w:line="560" w:lineRule="exact"/>
        <w:jc w:val="both"/>
        <w:outlineLvl w:val="1"/>
        <w:rPr>
          <w:rFonts w:ascii="方正黑体_GBK" w:eastAsia="方正黑体_GBK" w:cs="方正黑体_GBK" w:hint="eastAsia"/>
          <w:b w:val="0"/>
          <w:bCs/>
          <w:color w:val="000000"/>
          <w:kern w:val="2"/>
          <w:sz w:val="32"/>
          <w:szCs w:val="32"/>
          <w:lang w:val="en-US" w:eastAsia="zh-CN" w:bidi="ar-SA"/>
        </w:rPr>
      </w:pPr>
      <w:bookmarkStart w:id="34" w:name="_Toc1295"/>
      <w:r>
        <w:rPr>
          <w:rFonts w:ascii="方正黑体_GBK" w:eastAsia="方正黑体_GBK" w:cs="方正黑体_GBK" w:hint="eastAsia"/>
          <w:b w:val="0"/>
          <w:bCs/>
          <w:color w:val="000000"/>
          <w:kern w:val="2"/>
          <w:sz w:val="32"/>
          <w:szCs w:val="32"/>
          <w:lang w:val="en-US" w:eastAsia="zh-CN" w:bidi="ar-SA"/>
        </w:rPr>
        <w:t>二、部门财政资金收支情况</w:t>
      </w:r>
      <w:bookmarkEnd w:id="34"/>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snapToGrid w:val="0"/>
        <w:spacing w:line="360" w:lineRule="auto"/>
        <w:ind w:firstLineChars="200" w:firstLine="640"/>
        <w:rPr>
          <w:rFonts w:ascii="仿宋_GB2312" w:eastAsia="仿宋_GB2312" w:hint="eastAsia"/>
          <w:sz w:val="32"/>
          <w:szCs w:val="32"/>
        </w:rPr>
      </w:pPr>
      <w:bookmarkStart w:id="35" w:name="_Toc22912"/>
      <w:r>
        <w:rPr>
          <w:rFonts w:ascii="仿宋_GB2312" w:eastAsia="仿宋_GB2312" w:hint="eastAsia"/>
          <w:sz w:val="32"/>
          <w:szCs w:val="32"/>
          <w:lang w:eastAsia="zh-CN"/>
        </w:rPr>
        <w:t>2022</w:t>
      </w:r>
      <w:r>
        <w:rPr>
          <w:rFonts w:ascii="仿宋_GB2312" w:eastAsia="仿宋_GB2312" w:hint="eastAsia"/>
          <w:sz w:val="32"/>
          <w:szCs w:val="32"/>
        </w:rPr>
        <w:t>年总收入</w:t>
      </w:r>
      <w:r>
        <w:rPr>
          <w:rFonts w:ascii="仿宋_GB2312" w:eastAsia="仿宋_GB2312" w:hint="eastAsia"/>
          <w:sz w:val="32"/>
          <w:szCs w:val="32"/>
          <w:lang w:val="en-US" w:eastAsia="zh-CN"/>
        </w:rPr>
        <w:t>946.96</w:t>
      </w:r>
      <w:r>
        <w:rPr>
          <w:rFonts w:ascii="仿宋_GB2312" w:eastAsia="仿宋_GB2312" w:hint="eastAsia"/>
          <w:sz w:val="32"/>
          <w:szCs w:val="32"/>
        </w:rPr>
        <w:t>万元，其中：一般公共预算财政拨款收入</w:t>
      </w:r>
      <w:r>
        <w:rPr>
          <w:rFonts w:ascii="仿宋_GB2312" w:eastAsia="仿宋_GB2312" w:hint="eastAsia"/>
          <w:sz w:val="32"/>
          <w:szCs w:val="32"/>
          <w:lang w:val="en-US" w:eastAsia="zh-CN"/>
        </w:rPr>
        <w:t>946.96</w:t>
      </w:r>
      <w:r>
        <w:rPr>
          <w:rFonts w:ascii="仿宋_GB2312" w:eastAsia="仿宋_GB2312" w:hint="eastAsia"/>
          <w:sz w:val="32"/>
          <w:szCs w:val="32"/>
        </w:rPr>
        <w:t>万元，占100%；政府性基金预算财政拨款收入0万元，占0%；国有资本经营预算财政拨款收入0万元，占0%；事业收入0万元，占0%；经营收入0万元，占0%；附属单位上缴收入0万元，占0%；其他收入0万元，占0%。</w:t>
      </w:r>
      <w:bookmarkEnd w:id="35"/>
    </w:p>
    <w:p>
      <w:pPr>
        <w:pStyle w:val="23"/>
        <w:keepNext w:val="0"/>
        <w:keepLines w:val="0"/>
        <w:widowControl/>
        <w:numPr>
          <w:ilvl w:val="0"/>
          <w:numId w:val="3"/>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snapToGrid w:val="0"/>
        <w:spacing w:line="360" w:lineRule="auto"/>
        <w:ind w:firstLineChars="200" w:firstLine="640"/>
        <w:rPr>
          <w:rFonts w:ascii="仿宋_GB2312" w:eastAsia="仿宋_GB2312" w:hint="eastAsia"/>
          <w:sz w:val="32"/>
          <w:szCs w:val="32"/>
        </w:rPr>
      </w:pPr>
      <w:r>
        <w:rPr>
          <w:rFonts w:ascii="仿宋_GB2312" w:eastAsia="仿宋_GB2312" w:hint="eastAsia"/>
          <w:sz w:val="32"/>
          <w:szCs w:val="32"/>
          <w:lang w:eastAsia="zh-CN"/>
        </w:rPr>
        <w:t>2022</w:t>
      </w:r>
      <w:r>
        <w:rPr>
          <w:rFonts w:ascii="仿宋_GB2312" w:eastAsia="仿宋_GB2312" w:hint="eastAsia"/>
          <w:sz w:val="32"/>
          <w:szCs w:val="32"/>
        </w:rPr>
        <w:t>年一般公共预算财政拨款支出</w:t>
      </w:r>
      <w:r>
        <w:rPr>
          <w:rFonts w:ascii="仿宋_GB2312" w:eastAsia="仿宋_GB2312" w:hint="eastAsia"/>
          <w:sz w:val="32"/>
          <w:szCs w:val="32"/>
          <w:lang w:val="en-US" w:eastAsia="zh-CN"/>
        </w:rPr>
        <w:t>1447.48</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其中：基本支出</w:t>
      </w:r>
      <w:r>
        <w:rPr>
          <w:rFonts w:ascii="仿宋_GB2312" w:eastAsia="仿宋_GB2312" w:hint="eastAsia"/>
          <w:sz w:val="32"/>
          <w:szCs w:val="32"/>
          <w:lang w:val="en-US" w:eastAsia="zh-CN"/>
        </w:rPr>
        <w:t>1141.56</w:t>
      </w:r>
      <w:r>
        <w:rPr>
          <w:rFonts w:ascii="仿宋_GB2312" w:eastAsia="仿宋_GB2312" w:hint="eastAsia"/>
          <w:sz w:val="32"/>
          <w:szCs w:val="32"/>
        </w:rPr>
        <w:t>万元，基本支出中人员经费支出为</w:t>
      </w:r>
      <w:r>
        <w:rPr>
          <w:rFonts w:ascii="仿宋_GB2312" w:eastAsia="仿宋_GB2312" w:hint="eastAsia"/>
          <w:sz w:val="32"/>
          <w:szCs w:val="32"/>
          <w:lang w:val="en-US" w:eastAsia="zh-CN"/>
        </w:rPr>
        <w:t>915.04</w:t>
      </w:r>
      <w:r>
        <w:rPr>
          <w:rFonts w:ascii="仿宋_GB2312" w:eastAsia="仿宋_GB2312" w:hint="eastAsia"/>
          <w:sz w:val="32"/>
          <w:szCs w:val="32"/>
        </w:rPr>
        <w:t>万元，主要包括：基本工资</w:t>
      </w:r>
      <w:r>
        <w:rPr>
          <w:rFonts w:ascii="仿宋_GB2312" w:eastAsia="仿宋_GB2312" w:hint="eastAsia"/>
          <w:sz w:val="32"/>
          <w:szCs w:val="32"/>
          <w:lang w:val="en-US" w:eastAsia="zh-CN"/>
        </w:rPr>
        <w:t>185.98</w:t>
      </w:r>
      <w:r>
        <w:rPr>
          <w:rFonts w:ascii="仿宋_GB2312" w:eastAsia="仿宋_GB2312" w:hint="eastAsia"/>
          <w:sz w:val="32"/>
          <w:szCs w:val="32"/>
        </w:rPr>
        <w:t>万元、津贴补贴</w:t>
      </w:r>
      <w:r>
        <w:rPr>
          <w:rFonts w:ascii="仿宋_GB2312" w:eastAsia="仿宋_GB2312" w:hint="eastAsia"/>
          <w:sz w:val="32"/>
          <w:szCs w:val="32"/>
          <w:lang w:val="en-US" w:eastAsia="zh-CN"/>
        </w:rPr>
        <w:t>242.69</w:t>
      </w:r>
      <w:r>
        <w:rPr>
          <w:rFonts w:ascii="仿宋_GB2312" w:eastAsia="仿宋_GB2312" w:hint="eastAsia"/>
          <w:sz w:val="32"/>
          <w:szCs w:val="32"/>
        </w:rPr>
        <w:t>万元、奖金</w:t>
      </w:r>
      <w:r>
        <w:rPr>
          <w:rFonts w:ascii="仿宋_GB2312" w:eastAsia="仿宋_GB2312" w:hint="eastAsia"/>
          <w:sz w:val="32"/>
          <w:szCs w:val="32"/>
          <w:lang w:val="en-US" w:eastAsia="zh-CN"/>
        </w:rPr>
        <w:t>174.46</w:t>
      </w:r>
      <w:r>
        <w:rPr>
          <w:rFonts w:ascii="仿宋_GB2312" w:eastAsia="仿宋_GB2312" w:hint="eastAsia"/>
          <w:sz w:val="32"/>
          <w:szCs w:val="32"/>
        </w:rPr>
        <w:t>万元、绩效工资</w:t>
      </w:r>
      <w:r>
        <w:rPr>
          <w:rFonts w:ascii="仿宋_GB2312" w:eastAsia="仿宋_GB2312" w:hint="eastAsia"/>
          <w:sz w:val="32"/>
          <w:szCs w:val="32"/>
          <w:lang w:val="en-US" w:eastAsia="zh-CN"/>
        </w:rPr>
        <w:t>64.64</w:t>
      </w:r>
      <w:r>
        <w:rPr>
          <w:rFonts w:ascii="仿宋_GB2312" w:eastAsia="仿宋_GB2312" w:hint="eastAsia"/>
          <w:sz w:val="32"/>
          <w:szCs w:val="32"/>
        </w:rPr>
        <w:t>万元、机关事业单位基本养老保险缴费</w:t>
      </w:r>
      <w:r>
        <w:rPr>
          <w:rFonts w:ascii="仿宋_GB2312" w:eastAsia="仿宋_GB2312" w:hint="eastAsia"/>
          <w:sz w:val="32"/>
          <w:szCs w:val="32"/>
          <w:lang w:val="en-US" w:eastAsia="zh-CN"/>
        </w:rPr>
        <w:t>77.28</w:t>
      </w:r>
      <w:r>
        <w:rPr>
          <w:rFonts w:ascii="仿宋_GB2312" w:eastAsia="仿宋_GB2312" w:hint="eastAsia"/>
          <w:sz w:val="32"/>
          <w:szCs w:val="32"/>
        </w:rPr>
        <w:t>万元、职业年金缴费</w:t>
      </w:r>
      <w:r>
        <w:rPr>
          <w:rFonts w:ascii="仿宋_GB2312" w:eastAsia="仿宋_GB2312" w:hint="eastAsia"/>
          <w:sz w:val="32"/>
          <w:szCs w:val="32"/>
          <w:lang w:val="en-US" w:eastAsia="zh-CN"/>
        </w:rPr>
        <w:t>38.64</w:t>
      </w:r>
      <w:r>
        <w:rPr>
          <w:rFonts w:ascii="仿宋_GB2312" w:eastAsia="仿宋_GB2312" w:hint="eastAsia"/>
          <w:sz w:val="32"/>
          <w:szCs w:val="32"/>
        </w:rPr>
        <w:t>万元、其他社会保障缴费</w:t>
      </w:r>
      <w:r>
        <w:rPr>
          <w:rFonts w:ascii="仿宋_GB2312" w:eastAsia="仿宋_GB2312" w:hint="eastAsia"/>
          <w:sz w:val="32"/>
          <w:szCs w:val="32"/>
          <w:lang w:val="en-US" w:eastAsia="zh-CN"/>
        </w:rPr>
        <w:t>13.6</w:t>
      </w:r>
      <w:r>
        <w:rPr>
          <w:rFonts w:ascii="仿宋_GB2312" w:eastAsia="仿宋_GB2312" w:hint="eastAsia"/>
          <w:sz w:val="32"/>
          <w:szCs w:val="32"/>
        </w:rPr>
        <w:t>万元、住房公积金</w:t>
      </w:r>
      <w:r>
        <w:rPr>
          <w:rFonts w:ascii="仿宋_GB2312" w:eastAsia="仿宋_GB2312" w:hint="eastAsia"/>
          <w:sz w:val="32"/>
          <w:szCs w:val="32"/>
          <w:lang w:val="en-US" w:eastAsia="zh-CN"/>
        </w:rPr>
        <w:t>72.34</w:t>
      </w:r>
      <w:r>
        <w:rPr>
          <w:rFonts w:ascii="仿宋_GB2312" w:eastAsia="仿宋_GB2312" w:hint="eastAsia"/>
          <w:sz w:val="32"/>
          <w:szCs w:val="32"/>
        </w:rPr>
        <w:t>万元、职工基本医疗保险缴费</w:t>
      </w:r>
      <w:r>
        <w:rPr>
          <w:rFonts w:ascii="仿宋_GB2312" w:eastAsia="仿宋_GB2312" w:hint="eastAsia"/>
          <w:sz w:val="32"/>
          <w:szCs w:val="32"/>
          <w:lang w:val="en-US" w:eastAsia="zh-CN"/>
        </w:rPr>
        <w:t>39.26</w:t>
      </w:r>
      <w:r>
        <w:rPr>
          <w:rFonts w:ascii="仿宋_GB2312" w:eastAsia="仿宋_GB2312" w:hint="eastAsia"/>
          <w:sz w:val="32"/>
          <w:szCs w:val="32"/>
        </w:rPr>
        <w:t>万元、公务员医疗补助</w:t>
      </w:r>
      <w:r>
        <w:rPr>
          <w:rFonts w:ascii="仿宋_GB2312" w:eastAsia="仿宋_GB2312" w:hint="eastAsia"/>
          <w:sz w:val="32"/>
          <w:szCs w:val="32"/>
          <w:lang w:val="en-US" w:eastAsia="zh-CN"/>
        </w:rPr>
        <w:t>6.08</w:t>
      </w:r>
      <w:r>
        <w:rPr>
          <w:rFonts w:ascii="仿宋_GB2312" w:eastAsia="仿宋_GB2312" w:hint="eastAsia"/>
          <w:sz w:val="32"/>
          <w:szCs w:val="32"/>
        </w:rPr>
        <w:t>万元、生活补助</w:t>
      </w:r>
      <w:r>
        <w:rPr>
          <w:rFonts w:ascii="仿宋_GB2312" w:eastAsia="仿宋_GB2312" w:hint="eastAsia"/>
          <w:sz w:val="32"/>
          <w:szCs w:val="32"/>
          <w:lang w:val="en-US" w:eastAsia="zh-CN"/>
        </w:rPr>
        <w:t>14.2</w:t>
      </w:r>
      <w:r>
        <w:rPr>
          <w:rFonts w:ascii="仿宋_GB2312" w:eastAsia="仿宋_GB2312" w:hint="eastAsia"/>
          <w:sz w:val="32"/>
          <w:szCs w:val="32"/>
        </w:rPr>
        <w:t>万元、奖励金</w:t>
      </w:r>
      <w:r>
        <w:rPr>
          <w:rFonts w:ascii="仿宋_GB2312" w:eastAsia="仿宋_GB2312" w:hint="eastAsia"/>
          <w:sz w:val="32"/>
          <w:szCs w:val="32"/>
          <w:lang w:val="en-US" w:eastAsia="zh-CN"/>
        </w:rPr>
        <w:t>111</w:t>
      </w:r>
      <w:r>
        <w:rPr>
          <w:rFonts w:ascii="仿宋_GB2312" w:eastAsia="仿宋_GB2312" w:hint="eastAsia"/>
          <w:sz w:val="32"/>
          <w:szCs w:val="32"/>
        </w:rPr>
        <w:t>万元。</w:t>
      </w:r>
    </w:p>
    <w:p>
      <w:pPr>
        <w:snapToGrid w:val="0"/>
        <w:spacing w:line="360" w:lineRule="auto"/>
        <w:ind w:firstLineChars="200" w:firstLine="640"/>
        <w:rPr>
          <w:rFonts w:ascii="仿宋_GB2312" w:eastAsia="仿宋_GB2312" w:hint="eastAsia"/>
          <w:sz w:val="32"/>
          <w:szCs w:val="32"/>
        </w:rPr>
      </w:pPr>
      <w:r>
        <w:rPr>
          <w:rFonts w:ascii="仿宋_GB2312" w:eastAsia="仿宋_GB2312" w:hint="eastAsia"/>
          <w:sz w:val="32"/>
          <w:szCs w:val="32"/>
        </w:rPr>
        <w:t>公用经费支出为</w:t>
      </w:r>
      <w:r>
        <w:rPr>
          <w:rFonts w:ascii="仿宋_GB2312" w:eastAsia="仿宋_GB2312" w:hint="eastAsia"/>
          <w:sz w:val="32"/>
          <w:szCs w:val="32"/>
          <w:lang w:val="en-US" w:eastAsia="zh-CN"/>
        </w:rPr>
        <w:t>101.31</w:t>
      </w:r>
      <w:r>
        <w:rPr>
          <w:rFonts w:ascii="仿宋_GB2312" w:eastAsia="仿宋_GB2312" w:hint="eastAsia"/>
          <w:sz w:val="32"/>
          <w:szCs w:val="32"/>
        </w:rPr>
        <w:t>万元，主要包括：办公费</w:t>
      </w:r>
      <w:r>
        <w:rPr>
          <w:rFonts w:ascii="仿宋_GB2312" w:eastAsia="仿宋_GB2312" w:hint="eastAsia"/>
          <w:sz w:val="32"/>
          <w:szCs w:val="32"/>
          <w:lang w:val="en-US" w:eastAsia="zh-CN"/>
        </w:rPr>
        <w:t>6.55</w:t>
      </w:r>
      <w:r>
        <w:rPr>
          <w:rFonts w:ascii="仿宋_GB2312" w:eastAsia="仿宋_GB2312" w:hint="eastAsia"/>
          <w:sz w:val="32"/>
          <w:szCs w:val="32"/>
        </w:rPr>
        <w:t>万元、印刷费</w:t>
      </w:r>
      <w:r>
        <w:rPr>
          <w:rFonts w:ascii="仿宋_GB2312" w:eastAsia="仿宋_GB2312" w:hint="eastAsia"/>
          <w:sz w:val="32"/>
          <w:szCs w:val="32"/>
          <w:lang w:val="en-US" w:eastAsia="zh-CN"/>
        </w:rPr>
        <w:t>4.99</w:t>
      </w:r>
      <w:r>
        <w:rPr>
          <w:rFonts w:ascii="仿宋_GB2312" w:eastAsia="仿宋_GB2312" w:hint="eastAsia"/>
          <w:sz w:val="32"/>
          <w:szCs w:val="32"/>
        </w:rPr>
        <w:t>万元、</w:t>
      </w:r>
      <w:r>
        <w:rPr>
          <w:rFonts w:ascii="仿宋_GB2312" w:eastAsia="仿宋_GB2312" w:hint="eastAsia"/>
          <w:sz w:val="32"/>
          <w:szCs w:val="32"/>
          <w:lang w:val="en-US" w:eastAsia="zh-CN"/>
        </w:rPr>
        <w:t>手续费0.023万元、</w:t>
      </w:r>
      <w:r>
        <w:rPr>
          <w:rFonts w:ascii="仿宋_GB2312" w:eastAsia="仿宋_GB2312" w:hint="eastAsia"/>
          <w:sz w:val="32"/>
          <w:szCs w:val="32"/>
        </w:rPr>
        <w:t>电费</w:t>
      </w:r>
      <w:r>
        <w:rPr>
          <w:rFonts w:ascii="仿宋_GB2312" w:eastAsia="仿宋_GB2312" w:hint="eastAsia"/>
          <w:sz w:val="32"/>
          <w:szCs w:val="32"/>
          <w:lang w:val="en-US" w:eastAsia="zh-CN"/>
        </w:rPr>
        <w:t>6.1</w:t>
      </w:r>
      <w:r>
        <w:rPr>
          <w:rFonts w:ascii="仿宋_GB2312" w:eastAsia="仿宋_GB2312" w:hint="eastAsia"/>
          <w:sz w:val="32"/>
          <w:szCs w:val="32"/>
        </w:rPr>
        <w:t>万元、邮电费</w:t>
      </w:r>
      <w:r>
        <w:rPr>
          <w:rFonts w:ascii="仿宋_GB2312" w:eastAsia="仿宋_GB2312" w:hint="eastAsia"/>
          <w:sz w:val="32"/>
          <w:szCs w:val="32"/>
          <w:lang w:val="en-US" w:eastAsia="zh-CN"/>
        </w:rPr>
        <w:t>4</w:t>
      </w:r>
      <w:r>
        <w:rPr>
          <w:rFonts w:ascii="仿宋_GB2312" w:eastAsia="仿宋_GB2312" w:hint="eastAsia"/>
          <w:sz w:val="32"/>
          <w:szCs w:val="32"/>
        </w:rPr>
        <w:t>万元、差旅费</w:t>
      </w:r>
      <w:r>
        <w:rPr>
          <w:rFonts w:ascii="仿宋_GB2312" w:eastAsia="仿宋_GB2312" w:hint="eastAsia"/>
          <w:sz w:val="32"/>
          <w:szCs w:val="32"/>
          <w:lang w:val="en-US" w:eastAsia="zh-CN"/>
        </w:rPr>
        <w:t>13.47</w:t>
      </w:r>
      <w:r>
        <w:rPr>
          <w:rFonts w:ascii="仿宋_GB2312" w:eastAsia="仿宋_GB2312" w:hint="eastAsia"/>
          <w:sz w:val="32"/>
          <w:szCs w:val="32"/>
        </w:rPr>
        <w:t>万元、劳务费</w:t>
      </w:r>
      <w:r>
        <w:rPr>
          <w:rFonts w:ascii="仿宋_GB2312" w:eastAsia="仿宋_GB2312" w:hint="eastAsia"/>
          <w:sz w:val="32"/>
          <w:szCs w:val="32"/>
          <w:lang w:val="en-US" w:eastAsia="zh-CN"/>
        </w:rPr>
        <w:t>7.44</w:t>
      </w:r>
      <w:r>
        <w:rPr>
          <w:rFonts w:ascii="仿宋_GB2312" w:eastAsia="仿宋_GB2312" w:hint="eastAsia"/>
          <w:sz w:val="32"/>
          <w:szCs w:val="32"/>
        </w:rPr>
        <w:t>万元、</w:t>
      </w:r>
      <w:r>
        <w:rPr>
          <w:rFonts w:ascii="仿宋_GB2312" w:eastAsia="仿宋_GB2312" w:hint="eastAsia"/>
          <w:sz w:val="32"/>
          <w:szCs w:val="32"/>
          <w:lang w:eastAsia="zh-CN"/>
        </w:rPr>
        <w:t>委托业务费</w:t>
      </w:r>
      <w:r>
        <w:rPr>
          <w:rFonts w:ascii="仿宋_GB2312" w:eastAsia="仿宋_GB2312" w:hint="eastAsia"/>
          <w:sz w:val="32"/>
          <w:szCs w:val="32"/>
          <w:lang w:val="en-US" w:eastAsia="zh-CN"/>
        </w:rPr>
        <w:t>0万元、</w:t>
      </w:r>
      <w:r>
        <w:rPr>
          <w:rFonts w:ascii="仿宋_GB2312" w:eastAsia="仿宋_GB2312" w:hint="eastAsia"/>
          <w:sz w:val="32"/>
          <w:szCs w:val="32"/>
        </w:rPr>
        <w:t>公务用车运行维护费</w:t>
      </w:r>
      <w:r>
        <w:rPr>
          <w:rFonts w:ascii="仿宋_GB2312" w:eastAsia="仿宋_GB2312" w:hint="eastAsia"/>
          <w:sz w:val="32"/>
          <w:szCs w:val="32"/>
          <w:lang w:val="en-US" w:eastAsia="zh-CN"/>
        </w:rPr>
        <w:t>7.11</w:t>
      </w:r>
      <w:r>
        <w:rPr>
          <w:rFonts w:ascii="仿宋_GB2312" w:eastAsia="仿宋_GB2312" w:hint="eastAsia"/>
          <w:sz w:val="32"/>
          <w:szCs w:val="32"/>
        </w:rPr>
        <w:t>万元。</w:t>
      </w:r>
    </w:p>
    <w:p>
      <w:pPr>
        <w:snapToGrid w:val="0"/>
        <w:spacing w:line="360" w:lineRule="auto"/>
        <w:ind w:firstLineChars="200" w:firstLine="640"/>
        <w:rPr>
          <w:rFonts w:ascii="仿宋_GB2312" w:eastAsia="仿宋_GB2312" w:cs="仿宋_GB2312" w:hint="eastAsia"/>
          <w:color w:val="000000"/>
          <w:sz w:val="31"/>
          <w:szCs w:val="31"/>
        </w:rPr>
      </w:pPr>
      <w:r>
        <w:rPr>
          <w:rFonts w:ascii="仿宋_GB2312" w:eastAsia="仿宋_GB2312" w:hint="eastAsia"/>
          <w:sz w:val="32"/>
          <w:szCs w:val="32"/>
        </w:rPr>
        <w:t>项目支出</w:t>
      </w:r>
      <w:r>
        <w:rPr>
          <w:rFonts w:ascii="仿宋_GB2312" w:eastAsia="仿宋_GB2312" w:hint="eastAsia"/>
          <w:sz w:val="32"/>
          <w:szCs w:val="32"/>
          <w:lang w:val="en-US" w:eastAsia="zh-CN"/>
        </w:rPr>
        <w:t>305.92</w:t>
      </w:r>
      <w:r>
        <w:rPr>
          <w:rFonts w:ascii="仿宋_GB2312" w:eastAsia="仿宋_GB2312" w:hint="eastAsia"/>
          <w:sz w:val="32"/>
          <w:szCs w:val="32"/>
        </w:rPr>
        <w:t>万元，主要包括：人大会议费</w:t>
      </w:r>
      <w:r>
        <w:rPr>
          <w:rFonts w:ascii="仿宋_GB2312" w:eastAsia="仿宋_GB2312" w:hint="eastAsia"/>
          <w:sz w:val="32"/>
          <w:szCs w:val="32"/>
          <w:lang w:val="en-US" w:eastAsia="zh-CN"/>
        </w:rPr>
        <w:t>0</w:t>
      </w:r>
      <w:r>
        <w:rPr>
          <w:rFonts w:ascii="仿宋_GB2312" w:eastAsia="仿宋_GB2312" w:hint="eastAsia"/>
          <w:sz w:val="32"/>
          <w:szCs w:val="32"/>
        </w:rPr>
        <w:t>万元，对村干部生活补助支出</w:t>
      </w:r>
      <w:r>
        <w:rPr>
          <w:rFonts w:ascii="仿宋_GB2312" w:eastAsia="仿宋_GB2312" w:hint="eastAsia"/>
          <w:sz w:val="32"/>
          <w:szCs w:val="32"/>
          <w:lang w:val="en-US" w:eastAsia="zh-CN"/>
        </w:rPr>
        <w:t>161.65</w:t>
      </w:r>
      <w:r>
        <w:rPr>
          <w:rFonts w:ascii="仿宋_GB2312" w:eastAsia="仿宋_GB2312" w:hint="eastAsia"/>
          <w:sz w:val="32"/>
          <w:szCs w:val="32"/>
        </w:rPr>
        <w:t>万元，村级维护费办公费</w:t>
      </w:r>
      <w:r>
        <w:rPr>
          <w:rFonts w:ascii="仿宋_GB2312" w:eastAsia="仿宋_GB2312" w:hint="eastAsia"/>
          <w:sz w:val="32"/>
          <w:szCs w:val="32"/>
          <w:lang w:val="en-US" w:eastAsia="zh-CN"/>
        </w:rPr>
        <w:t>70.8</w:t>
      </w:r>
      <w:r>
        <w:rPr>
          <w:rFonts w:ascii="仿宋_GB2312" w:eastAsia="仿宋_GB2312" w:hint="eastAsia"/>
          <w:sz w:val="32"/>
          <w:szCs w:val="32"/>
        </w:rPr>
        <w:t>万元，突发公共卫生事件应急处理</w:t>
      </w:r>
      <w:r>
        <w:rPr>
          <w:rFonts w:ascii="仿宋_GB2312" w:eastAsia="仿宋_GB2312" w:hint="eastAsia"/>
          <w:sz w:val="32"/>
          <w:szCs w:val="32"/>
          <w:lang w:val="en-US" w:eastAsia="zh-CN"/>
        </w:rPr>
        <w:t>支出0万元。</w:t>
      </w:r>
    </w:p>
    <w:p>
      <w:pPr>
        <w:widowControl w:val="0"/>
        <w:spacing w:line="560" w:lineRule="exact"/>
        <w:jc w:val="both"/>
        <w:outlineLvl w:val="1"/>
        <w:rPr>
          <w:rFonts w:ascii="方正黑体_GBK" w:eastAsia="方正黑体_GBK" w:cs="方正黑体_GBK" w:hint="eastAsia"/>
          <w:b w:val="0"/>
          <w:bCs/>
          <w:color w:val="000000"/>
          <w:kern w:val="2"/>
          <w:sz w:val="32"/>
          <w:szCs w:val="32"/>
          <w:lang w:val="en-US" w:eastAsia="zh-CN" w:bidi="ar-SA"/>
        </w:rPr>
      </w:pPr>
      <w:bookmarkStart w:id="36" w:name="_Toc23912"/>
      <w:r>
        <w:rPr>
          <w:rFonts w:ascii="方正黑体_GBK" w:eastAsia="方正黑体_GBK" w:cs="方正黑体_GBK" w:hint="eastAsia"/>
          <w:b w:val="0"/>
          <w:bCs/>
          <w:color w:val="000000"/>
          <w:kern w:val="2"/>
          <w:sz w:val="32"/>
          <w:szCs w:val="32"/>
          <w:lang w:val="en-US" w:eastAsia="zh-CN" w:bidi="ar-SA"/>
        </w:rPr>
        <w:t>三、部门整体预算绩效管理情况</w:t>
      </w:r>
      <w:bookmarkEnd w:id="36"/>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pPr>
      <w:r>
        <w:rPr>
          <w:rFonts w:ascii="仿宋_GB2312" w:eastAsia="仿宋_GB2312" w:cs="仿宋_GB2312" w:hint="eastAsia"/>
          <w:color w:val="000000"/>
          <w:sz w:val="31"/>
          <w:szCs w:val="31"/>
        </w:rPr>
        <w:t>（一）部门预算管理。</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Arial" w:hint="eastAsia"/>
          <w:kern w:val="2"/>
          <w:sz w:val="32"/>
          <w:szCs w:val="32"/>
          <w:lang w:val="en-US" w:eastAsia="zh-CN" w:bidi="ar-SA"/>
        </w:rPr>
      </w:pPr>
      <w:r>
        <w:rPr>
          <w:rFonts w:ascii="仿宋_GB2312" w:eastAsia="仿宋_GB2312" w:cs="Arial" w:hint="eastAsia"/>
          <w:kern w:val="2"/>
          <w:sz w:val="32"/>
          <w:szCs w:val="32"/>
          <w:lang w:val="en-US" w:eastAsia="zh-CN" w:bidi="ar-SA"/>
        </w:rPr>
        <w:t>一是预算编制。严格按照财政部门预算编制通知明确的范围、标准等编制部门预算；人员和公用支出预算按定员定额标准编制，项目支出预算真实；按规定开展项目评审；没有事业收入、事业单位经营收入、其他收入等单位自有资金收入；编制结转资金与上年部门决算数据衔接；上报预算履行集体决策程序。</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_GB2312" w:eastAsia="仿宋_GB2312" w:cs="Arial" w:hint="eastAsia"/>
          <w:kern w:val="2"/>
          <w:sz w:val="32"/>
          <w:szCs w:val="32"/>
          <w:lang w:val="en-US" w:eastAsia="zh-CN" w:bidi="ar-SA"/>
        </w:rPr>
      </w:pPr>
      <w:r>
        <w:rPr>
          <w:rFonts w:ascii="仿宋_GB2312" w:eastAsia="仿宋_GB2312" w:cs="Arial" w:hint="eastAsia"/>
          <w:kern w:val="2"/>
          <w:sz w:val="32"/>
          <w:szCs w:val="32"/>
          <w:lang w:val="en-US" w:eastAsia="zh-CN" w:bidi="ar-SA"/>
        </w:rPr>
        <w:t>二是预算执行。没有行政事业性收费、罚没收入、国有资源（资产）有偿使用收入等非税收入；不存在无预算、超预算、超标准、超范围列支人员经费、公用经费和项目经费情况；不存在违规发放工资、奖金、津贴补贴等问题；贯彻落实预算执行管理有关规定，按财政部门监管要求规范预算执行；分配专项资金履行集体决策程序；按规定履行预算调剂程序。</w:t>
      </w:r>
    </w:p>
    <w:p>
      <w:pPr>
        <w:widowControl w:val="0"/>
        <w:spacing w:line="560" w:lineRule="exact"/>
        <w:jc w:val="both"/>
        <w:outlineLvl w:val="1"/>
        <w:rPr>
          <w:rFonts w:ascii="方正黑体_GBK" w:eastAsia="方正黑体_GBK" w:cs="方正黑体_GBK" w:hint="eastAsia"/>
          <w:b w:val="0"/>
          <w:bCs/>
          <w:color w:val="000000"/>
          <w:kern w:val="2"/>
          <w:sz w:val="32"/>
          <w:szCs w:val="32"/>
          <w:lang w:val="en-US" w:eastAsia="zh-CN" w:bidi="ar-SA"/>
        </w:rPr>
      </w:pPr>
      <w:bookmarkStart w:id="37" w:name="_Toc4961"/>
      <w:r>
        <w:rPr>
          <w:rFonts w:ascii="方正黑体_GBK" w:eastAsia="方正黑体_GBK" w:cs="方正黑体_GBK" w:hint="eastAsia"/>
          <w:b w:val="0"/>
          <w:bCs/>
          <w:color w:val="000000"/>
          <w:kern w:val="2"/>
          <w:sz w:val="32"/>
          <w:szCs w:val="32"/>
          <w:lang w:val="en-US" w:eastAsia="zh-CN" w:bidi="ar-SA"/>
        </w:rPr>
        <w:t>四、评价结论及建议</w:t>
      </w:r>
      <w:bookmarkEnd w:id="37"/>
    </w:p>
    <w:p>
      <w:pPr>
        <w:widowControl/>
        <w:adjustRightInd w:val="0"/>
        <w:snapToGrid w:val="0"/>
        <w:spacing w:line="480" w:lineRule="exact"/>
        <w:ind w:firstLine="720"/>
        <w:jc w:val="left"/>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（一）评价结论</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我单位严格执行支出绩效评价，自评打分9</w:t>
      </w:r>
      <w:r>
        <w:rPr>
          <w:rFonts w:ascii="仿宋_GB2312" w:eastAsia="仿宋_GB2312" w:cs="Arial" w:hint="eastAsia"/>
          <w:kern w:val="2"/>
          <w:sz w:val="32"/>
          <w:szCs w:val="32"/>
          <w:lang w:val="en-US" w:eastAsia="zh-CN" w:bidi="ar-SA"/>
        </w:rPr>
        <w:t>5</w:t>
      </w:r>
      <w:r>
        <w:rPr>
          <w:rFonts w:ascii="仿宋_GB2312" w:eastAsia="仿宋_GB2312" w:cs="Arial" w:hint="eastAsia"/>
          <w:kern w:val="2"/>
          <w:sz w:val="32"/>
          <w:szCs w:val="32"/>
          <w:lang w:val="zh-CN" w:eastAsia="zh-CN" w:bidi="ar-SA"/>
        </w:rPr>
        <w:t>分，部门整体绩效运行良好。。</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我单位无收费项目，无其他行政事业性收费，故无预算外资金。</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我单位严格按照《行政单位会计制度》、《行政单位财务规则》财政部等有关规定执行，所有经费开支都坚持做到了“经手人提供原始凭证、填制相关单据，相关人员证明，财务初审，分管</w:t>
      </w:r>
      <w:r>
        <w:rPr>
          <w:rFonts w:ascii="仿宋_GB2312" w:eastAsia="仿宋_GB2312" w:cs="Arial" w:hint="eastAsia"/>
          <w:kern w:val="2"/>
          <w:sz w:val="32"/>
          <w:szCs w:val="32"/>
          <w:lang w:val="en-US" w:eastAsia="zh-CN" w:bidi="ar-SA"/>
        </w:rPr>
        <w:t>领导</w:t>
      </w:r>
      <w:r>
        <w:rPr>
          <w:rFonts w:ascii="仿宋_GB2312" w:eastAsia="仿宋_GB2312" w:cs="Arial" w:hint="eastAsia"/>
          <w:kern w:val="2"/>
          <w:sz w:val="32"/>
          <w:szCs w:val="32"/>
          <w:lang w:val="zh-CN" w:eastAsia="zh-CN" w:bidi="ar-SA"/>
        </w:rPr>
        <w:t>复审，</w:t>
      </w:r>
      <w:r>
        <w:rPr>
          <w:rFonts w:ascii="仿宋_GB2312" w:eastAsia="仿宋_GB2312" w:cs="Arial" w:hint="eastAsia"/>
          <w:kern w:val="2"/>
          <w:sz w:val="32"/>
          <w:szCs w:val="32"/>
          <w:lang w:val="en-US" w:eastAsia="zh-CN" w:bidi="ar-SA"/>
        </w:rPr>
        <w:t>镇长</w:t>
      </w:r>
      <w:r>
        <w:rPr>
          <w:rFonts w:ascii="仿宋_GB2312" w:eastAsia="仿宋_GB2312" w:cs="Arial" w:hint="eastAsia"/>
          <w:kern w:val="2"/>
          <w:sz w:val="32"/>
          <w:szCs w:val="32"/>
          <w:lang w:val="zh-CN" w:eastAsia="zh-CN" w:bidi="ar-SA"/>
        </w:rPr>
        <w:t>终审”的签字制度。大额开支提交</w:t>
      </w:r>
      <w:r>
        <w:rPr>
          <w:rFonts w:ascii="仿宋_GB2312" w:eastAsia="仿宋_GB2312" w:cs="Arial" w:hint="eastAsia"/>
          <w:kern w:val="2"/>
          <w:sz w:val="32"/>
          <w:szCs w:val="32"/>
          <w:lang w:val="en-US" w:eastAsia="zh-CN" w:bidi="ar-SA"/>
        </w:rPr>
        <w:t>镇</w:t>
      </w:r>
      <w:r>
        <w:rPr>
          <w:rFonts w:ascii="仿宋_GB2312" w:eastAsia="仿宋_GB2312" w:cs="Arial" w:hint="eastAsia"/>
          <w:kern w:val="2"/>
          <w:sz w:val="32"/>
          <w:szCs w:val="32"/>
          <w:lang w:val="zh-CN" w:eastAsia="zh-CN" w:bidi="ar-SA"/>
        </w:rPr>
        <w:t>党组集体研究决定。</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（二）存在问题。</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en-US" w:eastAsia="zh-CN" w:bidi="ar-SA"/>
        </w:rPr>
        <w:t>人员专业性需加强，</w:t>
      </w:r>
      <w:r>
        <w:rPr>
          <w:rFonts w:ascii="仿宋_GB2312" w:eastAsia="仿宋_GB2312" w:cs="Arial" w:hint="eastAsia"/>
          <w:kern w:val="2"/>
          <w:sz w:val="32"/>
          <w:szCs w:val="32"/>
          <w:lang w:val="zh-CN" w:eastAsia="zh-CN" w:bidi="ar-SA"/>
        </w:rPr>
        <w:t>预算编制还需进一步细化，需要加强内部控制制度的执行。</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（三）改进建议。</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 xml:space="preserve">1、遵循先有预算、后有支出的原则，加强财务管理和内部控制监督制度。严禁超预算和无预算安排支出，严格开支范围和标准，严格支出报销审核，不报销任何超范围、超标准的费用。 </w:t>
      </w:r>
    </w:p>
    <w:p>
      <w:pPr>
        <w:ind w:firstLineChars="200" w:firstLine="640"/>
        <w:rPr>
          <w:rFonts w:ascii="仿宋_GB2312" w:eastAsia="仿宋_GB2312" w:cs="Arial" w:hint="eastAsia"/>
          <w:kern w:val="2"/>
          <w:sz w:val="32"/>
          <w:szCs w:val="32"/>
          <w:lang w:val="zh-CN" w:eastAsia="zh-CN" w:bidi="ar-SA"/>
        </w:rPr>
      </w:pPr>
      <w:r>
        <w:rPr>
          <w:rFonts w:ascii="仿宋_GB2312" w:eastAsia="仿宋_GB2312" w:cs="Arial" w:hint="eastAsia"/>
          <w:kern w:val="2"/>
          <w:sz w:val="32"/>
          <w:szCs w:val="32"/>
          <w:lang w:val="zh-CN" w:eastAsia="zh-CN" w:bidi="ar-SA"/>
        </w:rPr>
        <w:t>2、严格控制“三公”经费。认真贯彻落实中央、省委省政府和县委县政府相关规定，严格“三公”经费支出的审核和审批，合理压缩“三公”经费支出。</w:t>
      </w:r>
    </w:p>
    <w:p>
      <w:pPr>
        <w:ind w:firstLineChars="100" w:firstLine="320"/>
        <w:rPr>
          <w:rFonts w:ascii="仿宋_GB2312" w:eastAsia="仿宋_GB2312" w:cs="Arial" w:hint="eastAsia"/>
          <w:kern w:val="2"/>
          <w:sz w:val="32"/>
          <w:szCs w:val="32"/>
          <w:lang w:val="en-US" w:eastAsia="zh-CN" w:bidi="ar-SA"/>
        </w:rPr>
      </w:pP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left"/>
      </w:pPr>
      <w:r>
        <w:rPr>
          <w:shd w:val="clear" w:color="auto" w:fill="FFFFFF"/>
        </w:rPr>
        <w:t> </w:t>
      </w: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widowControl w:val="0"/>
        <w:spacing w:line="560" w:lineRule="exact"/>
        <w:jc w:val="both"/>
        <w:outlineLvl w:val="9"/>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24"/>
        <w:keepNext w:val="0"/>
        <w:keepLines w:val="0"/>
        <w:widowControl/>
        <w:suppressLineNumbers w:val="0"/>
        <w:spacing w:before="0" w:beforeAutospacing="0"/>
        <w:ind w:left="0"/>
        <w:jc w:val="center"/>
        <w:rPr>
          <w:rStyle w:val="25"/>
          <w:sz w:val="39"/>
          <w:szCs w:val="39"/>
          <w:shd w:val="clear" w:color="auto" w:fill="FFFFFF"/>
        </w:rPr>
      </w:pPr>
    </w:p>
    <w:p>
      <w:pPr>
        <w:pStyle w:val="1"/>
        <w:keepNext/>
        <w:keepLines/>
        <w:pageBreakBefore w:val="0"/>
        <w:widowControl w:val="0"/>
        <w:numPr>
          <w:ilvl w:val="0"/>
          <w:numId w:val="4"/>
        </w:numPr>
        <w:kinsoku/>
        <w:wordWrap/>
        <w:overflowPunct/>
        <w:topLinePunct w:val="0"/>
        <w:autoSpaceDE/>
        <w:autoSpaceDN/>
        <w:bidi w:val="0"/>
        <w:adjustRightInd/>
        <w:snapToGrid/>
        <w:spacing w:before="0" w:beforeAutospacing="0" w:after="0" w:afterAutospacing="0" w:line="560" w:lineRule="exact"/>
        <w:ind w:left="0"/>
        <w:jc w:val="center"/>
        <w:textAlignment w:val="auto"/>
        <w:outlineLvl w:val="0"/>
        <w:rPr>
          <w:rFonts w:ascii="方正小标宋简体" w:eastAsia="方正小标宋简体" w:cs="Times New Roman" w:hint="eastAsia"/>
          <w:b w:val="0"/>
          <w:color w:val="000000"/>
          <w:sz w:val="44"/>
          <w:szCs w:val="44"/>
          <w:lang w:val="en-US" w:eastAsia="zh-CN" w:bidi="ar-SA"/>
        </w:rPr>
      </w:pPr>
      <w:bookmarkStart w:id="38" w:name="_Toc5466"/>
      <w:r>
        <w:rPr>
          <w:rFonts w:ascii="方正小标宋简体" w:eastAsia="方正小标宋简体" w:cs="Times New Roman" w:hint="eastAsia"/>
          <w:b w:val="0"/>
          <w:color w:val="000000"/>
          <w:sz w:val="44"/>
          <w:szCs w:val="44"/>
          <w:lang w:val="en-US" w:eastAsia="zh-CN" w:bidi="ar-SA"/>
        </w:rPr>
        <w:t>附表</w:t>
      </w:r>
      <w:bookmarkEnd w:id="38"/>
    </w:p>
    <w:p>
      <w:pPr>
        <w:rPr>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39" w:name="_Toc16624"/>
      <w:r>
        <w:rPr>
          <w:rFonts w:ascii="黑体" w:eastAsia="黑体" w:cs="Times New Roman" w:hint="eastAsia"/>
          <w:b w:val="0"/>
          <w:bCs/>
          <w:color w:val="000000"/>
          <w:kern w:val="2"/>
          <w:sz w:val="32"/>
          <w:szCs w:val="32"/>
          <w:lang w:val="en-US" w:eastAsia="zh-CN" w:bidi="ar-SA"/>
        </w:rPr>
        <w:t>一、收入支出决算总表</w:t>
      </w:r>
      <w:bookmarkEnd w:id="39"/>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0" w:name="_Toc4638"/>
      <w:r>
        <w:rPr>
          <w:rFonts w:ascii="黑体" w:eastAsia="黑体" w:cs="Times New Roman" w:hint="eastAsia"/>
          <w:b w:val="0"/>
          <w:bCs/>
          <w:color w:val="000000"/>
          <w:kern w:val="2"/>
          <w:sz w:val="32"/>
          <w:szCs w:val="32"/>
          <w:lang w:val="en-US" w:eastAsia="zh-CN" w:bidi="ar-SA"/>
        </w:rPr>
        <w:t>二、收入决算表</w:t>
      </w:r>
      <w:bookmarkEnd w:id="4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1" w:name="_Toc10606"/>
      <w:r>
        <w:rPr>
          <w:rFonts w:ascii="黑体" w:eastAsia="黑体" w:cs="Times New Roman" w:hint="eastAsia"/>
          <w:b w:val="0"/>
          <w:bCs/>
          <w:color w:val="000000"/>
          <w:kern w:val="2"/>
          <w:sz w:val="32"/>
          <w:szCs w:val="32"/>
          <w:lang w:val="en-US" w:eastAsia="zh-CN" w:bidi="ar-SA"/>
        </w:rPr>
        <w:t>三、支出决算表</w:t>
      </w:r>
      <w:bookmarkEnd w:id="41"/>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2" w:name="_Toc28384"/>
      <w:r>
        <w:rPr>
          <w:rFonts w:ascii="黑体" w:eastAsia="黑体" w:cs="Times New Roman" w:hint="eastAsia"/>
          <w:b w:val="0"/>
          <w:bCs/>
          <w:color w:val="000000"/>
          <w:kern w:val="2"/>
          <w:sz w:val="32"/>
          <w:szCs w:val="32"/>
          <w:lang w:val="en-US" w:eastAsia="zh-CN" w:bidi="ar-SA"/>
        </w:rPr>
        <w:t>四、财政拨款收入支出决算总表</w:t>
      </w:r>
      <w:bookmarkEnd w:id="42"/>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3" w:name="_Toc14487"/>
      <w:r>
        <w:rPr>
          <w:rFonts w:ascii="黑体" w:eastAsia="黑体" w:cs="Times New Roman" w:hint="eastAsia"/>
          <w:b w:val="0"/>
          <w:bCs/>
          <w:color w:val="000000"/>
          <w:kern w:val="2"/>
          <w:sz w:val="32"/>
          <w:szCs w:val="32"/>
          <w:lang w:val="en-US" w:eastAsia="zh-CN" w:bidi="ar-SA"/>
        </w:rPr>
        <w:t>五、财政拨款支出决算明细表</w:t>
      </w:r>
      <w:bookmarkEnd w:id="43"/>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4" w:name="_Toc6332"/>
      <w:r>
        <w:rPr>
          <w:rFonts w:ascii="黑体" w:eastAsia="黑体" w:cs="Times New Roman" w:hint="eastAsia"/>
          <w:b w:val="0"/>
          <w:bCs/>
          <w:color w:val="000000"/>
          <w:kern w:val="2"/>
          <w:sz w:val="32"/>
          <w:szCs w:val="32"/>
          <w:lang w:val="en-US" w:eastAsia="zh-CN" w:bidi="ar-SA"/>
        </w:rPr>
        <w:t>六、一般公共预算财政拨款支出决算表</w:t>
      </w:r>
      <w:bookmarkEnd w:id="44"/>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5" w:name="_Toc24091"/>
      <w:r>
        <w:rPr>
          <w:rFonts w:ascii="黑体" w:eastAsia="黑体" w:cs="Times New Roman" w:hint="eastAsia"/>
          <w:b w:val="0"/>
          <w:bCs/>
          <w:color w:val="000000"/>
          <w:kern w:val="2"/>
          <w:sz w:val="32"/>
          <w:szCs w:val="32"/>
          <w:lang w:val="en-US" w:eastAsia="zh-CN" w:bidi="ar-SA"/>
        </w:rPr>
        <w:t>七、一般公共预算财政拨款支出决算明细表</w:t>
      </w:r>
      <w:bookmarkEnd w:id="45"/>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6" w:name="_Toc17288"/>
      <w:r>
        <w:rPr>
          <w:rFonts w:ascii="黑体" w:eastAsia="黑体" w:cs="Times New Roman" w:hint="eastAsia"/>
          <w:b w:val="0"/>
          <w:bCs/>
          <w:color w:val="000000"/>
          <w:kern w:val="2"/>
          <w:sz w:val="32"/>
          <w:szCs w:val="32"/>
          <w:lang w:val="en-US" w:eastAsia="zh-CN" w:bidi="ar-SA"/>
        </w:rPr>
        <w:t>八、一般公共预算财政拨款基本支出决算表</w:t>
      </w:r>
      <w:bookmarkEnd w:id="46"/>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7" w:name="_Toc32215"/>
      <w:r>
        <w:rPr>
          <w:rFonts w:ascii="黑体" w:eastAsia="黑体" w:cs="Times New Roman" w:hint="eastAsia"/>
          <w:b w:val="0"/>
          <w:bCs/>
          <w:color w:val="000000"/>
          <w:kern w:val="2"/>
          <w:sz w:val="32"/>
          <w:szCs w:val="32"/>
          <w:lang w:val="en-US" w:eastAsia="zh-CN" w:bidi="ar-SA"/>
        </w:rPr>
        <w:t>九、一般公共预算财政拨款项目支出决算表</w:t>
      </w:r>
      <w:bookmarkEnd w:id="47"/>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8" w:name="_Toc11674"/>
      <w:r>
        <w:rPr>
          <w:rFonts w:ascii="黑体" w:eastAsia="黑体" w:cs="Times New Roman" w:hint="eastAsia"/>
          <w:b w:val="0"/>
          <w:bCs/>
          <w:color w:val="000000"/>
          <w:kern w:val="2"/>
          <w:sz w:val="32"/>
          <w:szCs w:val="32"/>
          <w:lang w:val="en-US" w:eastAsia="zh-CN" w:bidi="ar-SA"/>
        </w:rPr>
        <w:t>十、政府性基金预算财政拨款收入支出决算表</w:t>
      </w:r>
      <w:bookmarkEnd w:id="48"/>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49" w:name="_Toc26347"/>
      <w:r>
        <w:rPr>
          <w:rFonts w:ascii="黑体" w:eastAsia="黑体" w:cs="Times New Roman" w:hint="eastAsia"/>
          <w:b w:val="0"/>
          <w:bCs/>
          <w:color w:val="000000"/>
          <w:kern w:val="2"/>
          <w:sz w:val="32"/>
          <w:szCs w:val="32"/>
          <w:lang w:val="en-US" w:eastAsia="zh-CN" w:bidi="ar-SA"/>
        </w:rPr>
        <w:t>十一、国有资本经营预算财政拨款收入支出决算表</w:t>
      </w:r>
      <w:bookmarkEnd w:id="49"/>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50" w:name="_Toc29461"/>
      <w:r>
        <w:rPr>
          <w:rFonts w:ascii="黑体" w:eastAsia="黑体" w:cs="Times New Roman" w:hint="eastAsia"/>
          <w:b w:val="0"/>
          <w:bCs/>
          <w:color w:val="000000"/>
          <w:kern w:val="2"/>
          <w:sz w:val="32"/>
          <w:szCs w:val="32"/>
          <w:lang w:val="en-US" w:eastAsia="zh-CN" w:bidi="ar-SA"/>
        </w:rPr>
        <w:t>十二、国有资本经营预算财政拨款支出决算表</w:t>
      </w:r>
      <w:bookmarkEnd w:id="5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1"/>
        <w:rPr>
          <w:rFonts w:ascii="黑体" w:eastAsia="黑体" w:cs="Times New Roman" w:hint="eastAsia"/>
          <w:b w:val="0"/>
          <w:bCs/>
          <w:color w:val="000000"/>
          <w:kern w:val="2"/>
          <w:sz w:val="32"/>
          <w:szCs w:val="32"/>
          <w:lang w:val="en-US" w:eastAsia="zh-CN" w:bidi="ar-SA"/>
        </w:rPr>
      </w:pPr>
      <w:bookmarkStart w:id="51" w:name="_Toc12401"/>
      <w:r>
        <w:rPr>
          <w:rFonts w:ascii="黑体" w:eastAsia="黑体" w:cs="Times New Roman" w:hint="eastAsia"/>
          <w:b w:val="0"/>
          <w:bCs/>
          <w:color w:val="000000"/>
          <w:kern w:val="2"/>
          <w:sz w:val="32"/>
          <w:szCs w:val="32"/>
          <w:lang w:val="en-US" w:eastAsia="zh-CN" w:bidi="ar-SA"/>
        </w:rPr>
        <w:t>十三、财政拨款“三公”经费支出决算表</w:t>
      </w:r>
      <w:bookmarkEnd w:id="51"/>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Times New Roman">
    <w:panose1 w:val="02020603050405020304"/>
    <w:charset w:val="01"/>
    <w:family w:val="auto"/>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方正黑体_GBK">
    <w:panose1 w:val="03000509000000000000"/>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仿宋">
    <w:panose1 w:val="02010609060101010101"/>
    <w:charset w:val="86"/>
    <w:family w:val="auto"/>
    <w:pitch w:val="variable"/>
    <w:sig w:usb0="800002BF" w:usb1="38CF7CFA" w:usb2="00000016" w:usb3="00000000" w:csb0="00040001" w:csb1="00000000"/>
  </w:font>
  <w:font w:name="仿宋_GB2312">
    <w:panose1 w:val="02010609030101010101"/>
    <w:charset w:val="86"/>
    <w:family w:val="auto"/>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0</wp:posOffset>
              </wp:positionV>
              <wp:extent cx="114300" cy="148018"/>
              <wp:effectExtent l="0" t="0" r="0" b="0"/>
              <wp:wrapNone/>
              <wp:docPr id="1" name="文本框 8"/>
              <wp:cNvGraphicFramePr>
                <a:graphicFrameLocks noChangeAspect="0"/>
              </wp:cNvGraphicFramePr>
              <a:graphic>
                <a:graphicData uri="http://schemas.microsoft.com/office/word/2010/wordprocessingShape">
                  <wps:wsp>
                    <wps:cNvSpPr/>
                    <wps:spPr>
                      <a:xfrm rot="0">
                        <a:off x="0" y="0"/>
                        <a:ext cx="114300" cy="148018"/>
                      </a:xfrm>
                      <a:prstGeom prst="rect"/>
                      <a:noFill/>
                      <a:ln w="6350" cmpd="sng" cap="flat">
                        <a:noFill/>
                        <a:prstDash val="solid"/>
                        <a:round/>
                      </a:ln>
                    </wps:spPr>
                    <wps:txbx id="2">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9.0pt;height:11.655035pt;z-index:3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9"/>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D1C29ED"/>
    <w:multiLevelType w:val="multilevel"/>
    <w:tmpl w:val="8D1C29ED"/>
    <w:lvl w:ilvl="0">
      <w:start w:val="1"/>
      <w:numFmt w:val="decimal"/>
      <w:lvlRestart w:val="0"/>
      <w:lvlText w:val="%1."/>
      <w:lvlJc w:val="left"/>
      <w:pPr>
        <w:ind w:left="720" w:hanging="360"/>
      </w:pPr>
      <w:rPr>
        <w:sz w:val="24"/>
        <w:szCs w:val="24"/>
      </w:rPr>
    </w:lvl>
    <w:lvl w:ilvl="1">
      <w:start w:val="1"/>
      <w:numFmt w:val="decimal"/>
      <w:lvlText w:val="%2."/>
      <w:lvlJc w:val="left"/>
      <w:pPr>
        <w:ind w:left="1440" w:hanging="360"/>
      </w:pPr>
      <w:rPr>
        <w:sz w:val="24"/>
        <w:szCs w:val="24"/>
      </w:rPr>
    </w:lvl>
    <w:lvl w:ilvl="2">
      <w:start w:val="1"/>
      <w:numFmt w:val="decimal"/>
      <w:lvlText w:val="%3."/>
      <w:lvlJc w:val="left"/>
      <w:pPr>
        <w:ind w:left="2160" w:hanging="360"/>
      </w:pPr>
      <w:rPr>
        <w:sz w:val="24"/>
        <w:szCs w:val="24"/>
      </w:rPr>
    </w:lvl>
    <w:lvl w:ilvl="3">
      <w:start w:val="1"/>
      <w:numFmt w:val="decimal"/>
      <w:lvlText w:val="%4."/>
      <w:lvlJc w:val="left"/>
      <w:pPr>
        <w:ind w:left="2880" w:hanging="360"/>
      </w:pPr>
      <w:rPr>
        <w:sz w:val="24"/>
        <w:szCs w:val="24"/>
      </w:rPr>
    </w:lvl>
    <w:lvl w:ilvl="4">
      <w:start w:val="1"/>
      <w:numFmt w:val="decimal"/>
      <w:lvlText w:val="%5."/>
      <w:lvlJc w:val="left"/>
      <w:pPr>
        <w:ind w:left="3600" w:hanging="360"/>
      </w:pPr>
      <w:rPr>
        <w:sz w:val="24"/>
        <w:szCs w:val="24"/>
      </w:rPr>
    </w:lvl>
    <w:lvl w:ilvl="5">
      <w:start w:val="1"/>
      <w:numFmt w:val="decimal"/>
      <w:lvlText w:val="%6."/>
      <w:lvlJc w:val="left"/>
      <w:pPr>
        <w:ind w:left="4320" w:hanging="360"/>
      </w:pPr>
      <w:rPr>
        <w:sz w:val="24"/>
        <w:szCs w:val="24"/>
      </w:rPr>
    </w:lvl>
    <w:lvl w:ilvl="6">
      <w:start w:val="1"/>
      <w:numFmt w:val="decimal"/>
      <w:lvlText w:val="%7."/>
      <w:lvlJc w:val="left"/>
      <w:pPr>
        <w:ind w:left="5040" w:hanging="360"/>
      </w:pPr>
      <w:rPr>
        <w:sz w:val="24"/>
        <w:szCs w:val="24"/>
      </w:rPr>
    </w:lvl>
    <w:lvl w:ilvl="7">
      <w:start w:val="1"/>
      <w:numFmt w:val="decimal"/>
      <w:lvlText w:val="%8."/>
      <w:lvlJc w:val="left"/>
      <w:pPr>
        <w:ind w:left="5760" w:hanging="360"/>
      </w:pPr>
      <w:rPr>
        <w:sz w:val="24"/>
        <w:szCs w:val="24"/>
      </w:rPr>
    </w:lvl>
    <w:lvl w:ilvl="8">
      <w:start w:val="1"/>
      <w:numFmt w:val="decimal"/>
      <w:lvlText w:val="%9."/>
      <w:lvlJc w:val="left"/>
      <w:pPr>
        <w:ind w:left="6480" w:hanging="360"/>
      </w:pPr>
      <w:rPr>
        <w:sz w:val="24"/>
        <w:szCs w:val="24"/>
      </w:rPr>
    </w:lvl>
  </w:abstractNum>
  <w:abstractNum w:abstractNumId="1">
    <w:nsid w:val="9B9D384D"/>
    <w:multiLevelType w:val="singleLevel"/>
    <w:tmpl w:val="9B9D384D"/>
    <w:lvl w:ilvl="0">
      <w:start w:val="3"/>
      <w:numFmt w:val="decimal"/>
      <w:lvlRestart w:val="0"/>
      <w:lvlText w:val="%1."/>
      <w:lvlJc w:val="left"/>
      <w:pPr>
        <w:ind w:left="0" w:hanging="0"/>
      </w:pPr>
    </w:lvl>
  </w:abstractNum>
  <w:abstractNum w:abstractNumId="2">
    <w:nsid w:val="AC838808"/>
    <w:multiLevelType w:val="singleLevel"/>
    <w:tmpl w:val="AC838808"/>
    <w:lvl w:ilvl="0">
      <w:start w:val="2"/>
      <w:numFmt w:val="chineseCounting"/>
      <w:lvlRestart w:val="0"/>
      <w:suff w:val="nothing"/>
      <w:lvlText w:val="（%1）"/>
      <w:lvlJc w:val="left"/>
      <w:pPr>
        <w:ind w:left="0" w:hanging="0"/>
      </w:pPr>
      <w:rPr>
        <w:rFonts w:hint="eastAsia"/>
      </w:rPr>
    </w:lvl>
  </w:abstractNum>
  <w:abstractNum w:abstractNumId="3">
    <w:nsid w:val="BFFF24EA"/>
    <w:multiLevelType w:val="singleLevel"/>
    <w:tmpl w:val="BFFF24EA"/>
    <w:lvl w:ilvl="0">
      <w:start w:val="5"/>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2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OTk5ODEyNmVkYWE4NjQ0ODE3MGI4ZmIzZmEyYTRlM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jc w:val="left"/>
    </w:pPr>
    <w:rPr>
      <w:rFonts w:ascii="宋体" w:eastAsia="宋体" w:cs="宋体"/>
      <w:kern w:val="0"/>
      <w:sz w:val="24"/>
      <w:szCs w:val="24"/>
      <w:lang w:val="en-US" w:eastAsia="zh-CN"/>
    </w:rPr>
  </w:style>
  <w:style w:type="paragraph" w:styleId="1">
    <w:name w:val="heading 1"/>
    <w:basedOn w:val="0"/>
    <w:next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next w:val="17"/>
    <w:pPr>
      <w:widowControl w:val="0"/>
      <w:spacing w:beforeLines="30" w:before="30"/>
      <w:jc w:val="both"/>
    </w:pPr>
    <w:rPr>
      <w:rFonts w:ascii="仿宋_GB2312" w:eastAsia="仿宋_GB2312" w:cs="Times New Roman"/>
      <w:kern w:val="0"/>
      <w:sz w:val="24"/>
      <w:szCs w:val="20"/>
      <w:lang w:val="zh-CN" w:eastAsia="zh-CN" w:bidi="ar-SA"/>
    </w:rPr>
  </w:style>
  <w:style w:type="paragraph" w:styleId="17">
    <w:name w:val="toc 1"/>
    <w:next w:val="0"/>
    <w:pPr>
      <w:widowControl w:val="0"/>
      <w:spacing w:before="120" w:after="120"/>
      <w:jc w:val="left"/>
    </w:pPr>
    <w:rPr>
      <w:rFonts w:ascii="Calibri" w:eastAsia="Calibri" w:cs="Times New Roman" w:hAnsi="Calibri"/>
      <w:b/>
      <w:bCs/>
      <w:caps/>
      <w:smallCaps w:val="0"/>
      <w:kern w:val="2"/>
      <w:sz w:val="20"/>
      <w:szCs w:val="20"/>
      <w:lang w:val="en-US" w:eastAsia="zh-CN" w:bidi="ar-SA"/>
    </w:rPr>
  </w:style>
  <w:style w:type="paragraph" w:styleId="18">
    <w:name w:val="toc 5"/>
    <w:basedOn w:val="0"/>
    <w:next w:val="0"/>
    <w:pPr>
      <w:ind w:left="1680"/>
    </w:pPr>
  </w:style>
  <w:style w:type="paragraph" w:styleId="19">
    <w:name w:val="footer"/>
    <w:basedOn w:val="0"/>
    <w:pPr>
      <w:tabs>
        <w:tab w:val="center" w:pos="4153"/>
        <w:tab w:val="right" w:pos="8306"/>
      </w:tabs>
      <w:snapToGrid w:val="0"/>
      <w:jc w:val="left"/>
    </w:pPr>
    <w:rPr>
      <w:sz w:val="18"/>
    </w:rPr>
  </w:style>
  <w:style w:type="paragraph" w:styleId="20">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1">
    <w:name w:val="toc 4"/>
    <w:basedOn w:val="0"/>
    <w:next w:val="0"/>
    <w:pPr>
      <w:ind w:left="1260"/>
    </w:pPr>
  </w:style>
  <w:style w:type="paragraph" w:styleId="22">
    <w:name w:val="toc 2"/>
    <w:next w:val="0"/>
    <w:pPr>
      <w:widowControl w:val="0"/>
      <w:ind w:left="210"/>
      <w:jc w:val="left"/>
    </w:pPr>
    <w:rPr>
      <w:rFonts w:ascii="Calibri" w:eastAsia="Calibri" w:cs="Times New Roman" w:hAnsi="Calibri"/>
      <w:caps w:val="0"/>
      <w:smallCaps/>
      <w:kern w:val="2"/>
      <w:sz w:val="20"/>
      <w:szCs w:val="20"/>
      <w:lang w:val="en-US" w:eastAsia="zh-CN" w:bidi="ar-SA"/>
    </w:r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pPr>
      <w:spacing w:before="0" w:beforeAutospacing="1" w:after="0" w:afterAutospacing="1"/>
      <w:ind w:left="0" w:right="0"/>
      <w:jc w:val="left"/>
    </w:pPr>
    <w:rPr>
      <w:kern w:val="0"/>
      <w:sz w:val="24"/>
      <w:lang w:val="en-US" w:eastAsia="zh-CN"/>
    </w:rPr>
  </w:style>
  <w:style w:type="character" w:styleId="25">
    <w:name w:val="Strong"/>
    <w:basedOn w:val="10"/>
    <w:rPr>
      <w:b/>
    </w:rPr>
  </w:style>
  <w:style w:type="paragraph" w:customStyle="1" w:styleId="26">
    <w:name w:val="列表段落1"/>
    <w:next w:val="2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Default"/>
    <w:next w:val="18"/>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WPSOffice手动目录 1"/>
    <w:rPr>
      <w:rFonts w:ascii="Times New Roman" w:eastAsia="宋体" w:cs="Times New Roman" w:hAnsi="Times New Roman"/>
      <w:sz w:val="20"/>
      <w:szCs w:val="20"/>
    </w:rPr>
  </w:style>
  <w:style w:type="paragraph" w:customStyle="1" w:styleId="29">
    <w:name w:val="WPSOffice手动目录 2"/>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800" b="1" i="0" u="none" strike="noStrike" baseline="0">
                <a:solidFill>
                  <a:srgbClr val="404040"/>
                </a:solidFill>
                <a:latin typeface="Times New Roman"/>
                <a:ea typeface="宋体"/>
                <a:cs typeface="Arial"/>
              </a:rPr>
              <a:t>图</a:t>
            </a:r>
            <a:r>
              <a:rPr lang="zh-CN" sz="1800" b="1" i="0" u="none" strike="noStrike" baseline="0">
                <a:solidFill>
                  <a:srgbClr val="404040"/>
                </a:solidFill>
                <a:latin typeface="Times New Roman"/>
                <a:ea typeface="宋体"/>
                <a:cs typeface="Arial"/>
              </a:rPr>
              <a:t>1</a:t>
            </a:r>
          </a:p>
        </c:rich>
      </c:tx>
      <c:layout/>
      <c:overlay val="0"/>
      <c:spPr>
        <a:noFill/>
        <a:ln>
          <a:noFill/>
        </a:ln>
      </c:spPr>
    </c:title>
    <c:autoTitleDeleted val="1"/>
    <c:plotArea>
      <c:layout>
        <c:manualLayout>
          <c:layoutTarget val="inner"/>
          <c:xMode val="edge"/>
          <c:yMode val="edge"/>
          <c:x val="0.05595"/>
          <c:y val="0.1325"/>
          <c:w val="0.910925"/>
          <c:h val="0.71606666"/>
        </c:manualLayout>
      </c:layout>
      <c:barChart>
        <c:barDir val="col"/>
        <c:grouping val="clustered"/>
        <c:varyColors val="0"/>
        <c:ser>
          <c:idx val="0"/>
          <c:order val="0"/>
          <c:tx>
            <c:strRef>
              <c:f>'Sheet1'!$B$1</c:f>
              <c:strCache>
                <c:ptCount val="1"/>
                <c:pt idx="0">
                  <c:v>收入</c:v>
                </c:pt>
              </c:strCache>
            </c:strRef>
          </c:tx>
          <c:spPr>
            <a:solidFill>
              <a:srgbClr val="5B9BD5">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'Sheet1'!$A$2:$A$5</c:f>
              <c:strCache>
                <c:ptCount val="4"/>
                <c:pt idx="0">
                  <c:v>2021年</c:v>
                </c:pt>
                <c:pt idx="1">
                  <c:v>2022年</c:v>
                </c:pt>
              </c:strCache>
            </c:strRef>
          </c:cat>
          <c:val>
            <c:numRef>
              <c:f>'Sheet1'!$B$2:$B$5</c:f>
              <c:numCache>
                <c:formatCode>General</c:formatCode>
                <c:ptCount val="4"/>
                <c:pt idx="0">
                  <c:v>1863.75</c:v>
                </c:pt>
                <c:pt idx="1">
                  <c:v>1447.49</c:v>
                </c:pt>
              </c:numCache>
            </c:numRef>
          </c:val>
        </c:ser>
        <c:ser>
          <c:idx val="1"/>
          <c:order val="1"/>
          <c:tx>
            <c:strRef>
              <c:f>'Sheet1'!$C$1</c:f>
              <c:strCache>
                <c:ptCount val="1"/>
                <c:pt idx="0">
                  <c:v>支出</c:v>
                </c:pt>
              </c:strCache>
            </c:strRef>
          </c:tx>
          <c:spPr>
            <a:solidFill>
              <a:srgbClr val="ED7D31">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dLblPos val="in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'Sheet1'!$A$2:$A$5</c:f>
              <c:strCache>
                <c:ptCount val="4"/>
                <c:pt idx="0">
                  <c:v>2021年</c:v>
                </c:pt>
                <c:pt idx="1">
                  <c:v>2022年</c:v>
                </c:pt>
              </c:strCache>
            </c:strRef>
          </c:cat>
          <c:val>
            <c:numRef>
              <c:f>'Sheet1'!$C$2:$C$5</c:f>
              <c:numCache>
                <c:formatCode>General</c:formatCode>
                <c:ptCount val="4"/>
                <c:pt idx="0">
                  <c:v>1863.75</c:v>
                </c:pt>
                <c:pt idx="1">
                  <c:v>1447.49</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868686"/>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1" i="0" u="none" strike="noStrike" cap="all" baseline="0">
                <a:solidFill>
                  <a:srgbClr val="595959"/>
                </a:solidFill>
                <a:latin typeface="Times New Roman"/>
                <a:ea typeface="宋体"/>
                <a:cs typeface="Arial"/>
              </a:rPr>
              <a:t>图</a:t>
            </a:r>
            <a:r>
              <a:rPr lang="zh-CN" sz="1400" b="1" i="0" u="none" strike="noStrike" cap="all" baseline="0">
                <a:solidFill>
                  <a:srgbClr val="595959"/>
                </a:solidFill>
                <a:latin typeface="Times New Roman"/>
                <a:ea typeface="宋体"/>
                <a:cs typeface="Arial"/>
              </a:rPr>
              <a:t>2</a:t>
            </a:r>
          </a:p>
        </c:rich>
      </c:tx>
      <c:layout>
        <c:manualLayout>
          <c:xMode val="edge"/>
          <c:yMode val="edge"/>
          <c:x val="0.48258793"/>
          <c:y val="0.030620933"/>
        </c:manualLayout>
      </c:layout>
      <c:overlay val="0"/>
      <c:spPr>
        <a:noFill/>
        <a:ln>
          <a:noFill/>
        </a:ln>
      </c:spPr>
    </c:title>
    <c:autoTitleDeleted val="1"/>
    <c:plotArea>
      <c:layout/>
      <c:pieChart>
        <c:varyColors val="1"/>
        <c:ser>
          <c:idx val="0"/>
          <c:order val="0"/>
          <c:tx>
            <c:strRef>
              <c:f>'Sheet1 (2)'!$B$1</c:f>
              <c:strCache>
                <c:ptCount val="1"/>
                <c:pt idx="0">
                  <c:v>销售额</c:v>
                </c:pt>
              </c:strCache>
            </c:strRef>
          </c:tx>
          <c:spPr>
            <a:ln>
              <a:noFill/>
            </a:ln>
          </c:spPr>
          <c:dPt>
            <c:idx val="0"/>
            <c:bubble3D val="0"/>
            <c:spPr>
              <a:solidFill>
                <a:srgbClr val="5B9BD5"/>
              </a:solidFill>
              <a:ln>
                <a:noFill/>
              </a:ln>
            </c:spPr>
          </c:dPt>
          <c:dPt>
            <c:idx val="1"/>
            <c:bubble3D val="0"/>
            <c:spPr>
              <a:solidFill>
                <a:srgbClr val="ED7D31"/>
              </a:solidFill>
              <a:ln>
                <a:noFill/>
              </a:ln>
            </c:spPr>
          </c:dPt>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0%" sourceLinked="0"/>
            <c:dLbl>
              <c:idx val="0"/>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dLblPos val="inEnd"/>
              <c:showLegendKey val="0"/>
              <c:showVal val="1"/>
              <c:showCatName val="0"/>
              <c:showSerName val="0"/>
              <c:showPercent val="0"/>
              <c:showBubbleSize val="0"/>
            </c:dLbl>
            <c:dLblPos val="inEnd"/>
            <c:showLegendKey val="0"/>
            <c:showVal val="0"/>
            <c:showCatName val="0"/>
            <c:showSerName val="0"/>
            <c:showPercent val="1"/>
            <c:showBubbleSize val="0"/>
            <c:showLeaderLines val="1"/>
          </c:dLbls>
          <c:cat>
            <c:strRef>
              <c:f>'Sheet1 (2)'!$A$2:$A$3</c:f>
              <c:strCache>
                <c:ptCount val="2"/>
                <c:pt idx="0">
                  <c:v>一般公共预算财政拨款收入</c:v>
                </c:pt>
                <c:pt idx="1">
                  <c:v>其他</c:v>
                </c:pt>
              </c:strCache>
            </c:strRef>
          </c:cat>
          <c:val>
            <c:numRef>
              <c:f>'Sheet1 (2)'!$B$2:$B$3</c:f>
              <c:numCache>
                <c:formatCode>General</c:formatCode>
                <c:ptCount val="2"/>
                <c:pt idx="0">
                  <c:v>100.0</c:v>
                </c:pt>
                <c:pt idx="1">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800" b="1" i="0" u="none" strike="noStrike" baseline="0">
                <a:solidFill>
                  <a:srgbClr val="595959"/>
                </a:solidFill>
                <a:latin typeface="Times New Roman"/>
                <a:ea typeface="宋体"/>
                <a:cs typeface="Arial"/>
              </a:rPr>
              <a:t>图</a:t>
            </a:r>
            <a:r>
              <a:rPr lang="zh-CN" sz="1800" b="1" i="0" u="none" strike="noStrike" baseline="0">
                <a:solidFill>
                  <a:srgbClr val="595959"/>
                </a:solidFill>
                <a:latin typeface="Times New Roman"/>
                <a:ea typeface="宋体"/>
                <a:cs typeface="Arial"/>
              </a:rPr>
              <a:t>3</a:t>
            </a:r>
          </a:p>
        </c:rich>
      </c:tx>
      <c:layout/>
      <c:overlay val="0"/>
      <c:spPr>
        <a:noFill/>
        <a:ln>
          <a:noFill/>
        </a:ln>
      </c:spPr>
    </c:title>
    <c:autoTitleDeleted val="1"/>
    <c:plotArea>
      <c:layout/>
      <c:pieChart>
        <c:varyColors val="1"/>
        <c:ser>
          <c:idx val="0"/>
          <c:order val="0"/>
          <c:tx>
            <c:strRef>
              <c:f>'Sheet1 (3)'!$B$1</c:f>
              <c:strCache>
                <c:ptCount val="1"/>
                <c:pt idx="0">
                  <c:v>销售额</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Lbls>
            <c:spPr>
              <a:noFill/>
              <a:ln>
                <a:noFill/>
              </a:ln>
            </c:spPr>
            <c:txPr>
              <a:bodyPr vert="horz"/>
              <a:lstStyle/>
              <a:p>
                <a:pPr>
                  <a:defRPr sz="900" b="1" i="0" u="none" strike="noStrike" baseline="0">
                    <a:solidFill>
                      <a:srgbClr val="FFFFFF"/>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1141.57</c:v>
                </c:pt>
                <c:pt idx="1">
                  <c:v>305.92</c:v>
                </c:pt>
              </c:numCache>
            </c:numRef>
          </c:val>
        </c:ser>
        <c:firstSliceAng val="0"/>
      </c:pieChart>
      <c:spPr>
        <a:noFill/>
        <a:ln>
          <a:noFill/>
        </a:ln>
      </c:spPr>
    </c:plotArea>
    <c:legend>
      <c:legendPos val="b"/>
      <c:layout/>
      <c:overlay val="0"/>
      <c:spPr>
        <a:solidFill>
          <a:srgbClr val="FFFFFF">
            <a:alpha val="78000"/>
          </a:srgbClr>
        </a:solid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pattFill prst="dkDnDiag">
      <a:fgClr>
        <a:srgbClr val="F2F2F2"/>
      </a:fgClr>
      <a:bgClr>
        <a:srgbClr val="FFFFFF"/>
      </a:bgClr>
    </a:patt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1" i="0" u="none" strike="noStrike" baseline="0">
                <a:solidFill>
                  <a:srgbClr val="595959"/>
                </a:solidFill>
                <a:latin typeface="Times New Roman"/>
                <a:ea typeface="宋体"/>
                <a:cs typeface="Arial"/>
              </a:rPr>
              <a:t>图</a:t>
            </a:r>
            <a:r>
              <a:rPr lang="zh-CN" sz="1400" b="1" i="0" u="none" strike="noStrike" baseline="0">
                <a:solidFill>
                  <a:srgbClr val="595959"/>
                </a:solidFill>
                <a:latin typeface="Times New Roman"/>
                <a:ea typeface="宋体"/>
                <a:cs typeface="Arial"/>
              </a:rPr>
              <a:t>4</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2021年</c:v>
                </c:pt>
              </c:strCache>
            </c:strRef>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(4)'!$A$2:$A$5</c:f>
              <c:strCache>
                <c:ptCount val="4"/>
                <c:pt idx="0">
                  <c:v>财政拨款收入</c:v>
                </c:pt>
                <c:pt idx="1">
                  <c:v>财政拨款支出</c:v>
                </c:pt>
              </c:strCache>
            </c:strRef>
          </c:cat>
          <c:val>
            <c:numRef>
              <c:f>'Sheet1 (4)'!$B$2:$B$5</c:f>
              <c:numCache>
                <c:formatCode>General</c:formatCode>
                <c:ptCount val="4"/>
                <c:pt idx="0">
                  <c:v>1863.75</c:v>
                </c:pt>
                <c:pt idx="1">
                  <c:v>1863.75</c:v>
                </c:pt>
              </c:numCache>
            </c:numRef>
          </c:val>
        </c:ser>
        <c:ser>
          <c:idx val="1"/>
          <c:order val="1"/>
          <c:tx>
            <c:strRef>
              <c:f>'Sheet1 (4)'!$C$1</c:f>
              <c:strCache>
                <c:ptCount val="1"/>
                <c:pt idx="0">
                  <c:v>2022年</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(4)'!$A$2:$A$5</c:f>
              <c:strCache>
                <c:ptCount val="4"/>
                <c:pt idx="0">
                  <c:v>财政拨款收入</c:v>
                </c:pt>
                <c:pt idx="1">
                  <c:v>财政拨款支出</c:v>
                </c:pt>
              </c:strCache>
            </c:strRef>
          </c:cat>
          <c:val>
            <c:numRef>
              <c:f>'Sheet1 (4)'!$C$2:$C$5</c:f>
              <c:numCache>
                <c:formatCode>General</c:formatCode>
                <c:ptCount val="4"/>
                <c:pt idx="0">
                  <c:v>1447.49</c:v>
                </c:pt>
                <c:pt idx="1">
                  <c:v>1447.49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图</a:t>
            </a:r>
            <a:r>
              <a:rPr lang="zh-CN" sz="1400" b="0" i="0" u="none" strike="noStrike" baseline="0">
                <a:solidFill>
                  <a:srgbClr val="595959"/>
                </a:solidFill>
                <a:latin typeface="Times New Roman"/>
                <a:ea typeface="宋体"/>
                <a:cs typeface="Arial"/>
              </a:rPr>
              <a:t>5</a:t>
            </a:r>
          </a:p>
        </c:rich>
      </c:tx>
      <c:layout/>
      <c:overlay val="0"/>
      <c:spPr>
        <a:noFill/>
        <a:ln>
          <a:noFill/>
        </a:ln>
      </c:spPr>
    </c:title>
    <c:autoTitleDeleted val="1"/>
    <c:plotArea>
      <c:layout/>
      <c:barChart>
        <c:barDir val="col"/>
        <c:grouping val="clustered"/>
        <c:varyColors val="0"/>
        <c:ser>
          <c:idx val="0"/>
          <c:order val="0"/>
          <c:tx>
            <c:strRef>
              <c:f>'Sheet1 (5)'!$B$1</c:f>
              <c:strCache>
                <c:ptCount val="1"/>
                <c:pt idx="0">
                  <c:v>一般公共预算财政拨款支出</c:v>
                </c:pt>
              </c:strCache>
            </c:strRef>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2021年</c:v>
                </c:pt>
                <c:pt idx="1">
                  <c:v>2022年</c:v>
                </c:pt>
              </c:strCache>
            </c:strRef>
          </c:cat>
          <c:val>
            <c:numRef>
              <c:f>'Sheet1 (5)'!$B$2:$B$5</c:f>
              <c:numCache>
                <c:formatCode>General</c:formatCode>
                <c:ptCount val="4"/>
                <c:pt idx="0">
                  <c:v>1863.75</c:v>
                </c:pt>
                <c:pt idx="1">
                  <c:v>1447.49</c:v>
                </c:pt>
              </c:numCache>
            </c:numRef>
          </c:val>
        </c:ser>
        <c:ser>
          <c:idx val="1"/>
          <c:order val="1"/>
          <c:tx>
            <c:strRef>
              <c:f>'Sheet1 (5)'!$C$1</c:f>
              <c:strCache>
                <c:ptCount val="1"/>
                <c:pt idx="0">
                  <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2021年</c:v>
                </c:pt>
                <c:pt idx="1">
                  <c:v>2022年</c:v>
                </c:pt>
              </c:strCache>
            </c:strRef>
          </c:cat>
          <c:val>
            <c:numRef>
              <c:f>'Sheet1 (5)'!$C$2:$C$5</c:f>
              <c:numCache>
                <c:formatCode>General</c:formatCode>
                <c:ptCount val="4"/>
              </c:numCache>
            </c:numRef>
          </c:val>
        </c:ser>
        <c:ser>
          <c:idx val="2"/>
          <c:order val="2"/>
          <c:tx>
            <c:strRef>
              <c:f>'Sheet1 (5)'!$D$1</c:f>
              <c:strCache>
                <c:ptCount val="1"/>
                <c:pt idx="0">
                  <c:v/>
                </c:pt>
              </c:strCache>
            </c:strRef>
          </c:tx>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(5)'!$A$2:$A$5</c:f>
              <c:strCache>
                <c:ptCount val="4"/>
                <c:pt idx="0">
                  <c:v>2021年</c:v>
                </c:pt>
                <c:pt idx="1">
                  <c:v>2022年</c:v>
                </c:pt>
              </c:strCache>
            </c:strRef>
          </c:cat>
          <c:val>
            <c:numRef>
              <c:f>'Sheet1 (5)'!$D$2:$D$5</c:f>
              <c:numCache>
                <c:formatCode>General</c:formatCode>
                <c:ptCount val="4"/>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Entry>
        <c:idx val="1"/>
        <c:delete val="1"/>
      </c:legendEntry>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800" b="1" i="0" u="none" strike="noStrike" baseline="0">
                <a:solidFill>
                  <a:srgbClr val="404040"/>
                </a:solidFill>
                <a:latin typeface="Times New Roman"/>
                <a:ea typeface="宋体"/>
                <a:cs typeface="Arial"/>
              </a:rPr>
              <a:t>图</a:t>
            </a:r>
            <a:r>
              <a:rPr lang="zh-CN" sz="1800" b="1" i="0" u="none" strike="noStrike" baseline="0">
                <a:solidFill>
                  <a:srgbClr val="404040"/>
                </a:solidFill>
                <a:latin typeface="Times New Roman"/>
                <a:ea typeface="宋体"/>
                <a:cs typeface="Arial"/>
              </a:rPr>
              <a:t>6</a:t>
            </a:r>
          </a:p>
        </c:rich>
      </c:tx>
      <c:layout/>
      <c:overlay val="0"/>
      <c:spPr>
        <a:noFill/>
        <a:ln>
          <a:noFill/>
        </a:ln>
      </c:spPr>
    </c:title>
    <c:autoTitleDeleted val="1"/>
    <c:plotArea>
      <c:layout/>
      <c:pieChart>
        <c:varyColors val="1"/>
        <c:ser>
          <c:idx val="0"/>
          <c:order val="0"/>
          <c:tx>
            <c:strRef>
              <c:f>'Sheet1 (6)'!$B$1</c:f>
              <c:strCache>
                <c:ptCount val="1"/>
                <c:pt idx="0">
                  <c:v>销售额</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Pt>
            <c:idx val="2"/>
            <c:bubble3D val="0"/>
            <c:spPr>
              <a:solidFill>
                <a:srgbClr val="A5A5A5"/>
              </a:solidFill>
              <a:ln>
                <a:noFill/>
              </a:ln>
              <a:effectLst>
                <a:outerShdw dist="35921" dir="2700000" algn="br">
                  <a:srgbClr val="000000"/>
                </a:outerShdw>
              </a:effectLst>
            </c:spPr>
          </c:dPt>
          <c:dPt>
            <c:idx val="3"/>
            <c:bubble3D val="0"/>
            <c:spPr>
              <a:solidFill>
                <a:srgbClr val="FFC000"/>
              </a:solidFill>
              <a:ln>
                <a:noFill/>
              </a:ln>
              <a:effectLst>
                <a:outerShdw dist="35921" dir="2700000" algn="br">
                  <a:srgbClr val="000000"/>
                </a:outerShdw>
              </a:effectLst>
            </c:spPr>
          </c:dPt>
          <c:dPt>
            <c:idx val="4"/>
            <c:bubble3D val="0"/>
            <c:spPr>
              <a:solidFill>
                <a:srgbClr val="4472C4"/>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Times New Roman"/>
                    <a:ea typeface="宋体"/>
                    <a:cs typeface="Arial"/>
                  </a:defRPr>
                </a:pPr>
                <a:endParaRPr lang="zh-CN"/>
              </a:p>
            </c:txPr>
            <c:numFmt formatCode="0%" sourceLinked="0"/>
            <c:dLblPos val="ctr"/>
            <c:showLegendKey val="0"/>
            <c:showVal val="0"/>
            <c:showCatName val="0"/>
            <c:showSerName val="0"/>
            <c:showPercent val="1"/>
            <c:showBubbleSize val="0"/>
            <c:showLeaderLines val="1"/>
          </c:dLbls>
          <c:cat>
            <c:strRef>
              <c:f>'Sheet1 (6)'!$A$2:$A$6</c:f>
              <c:strCache>
                <c:ptCount val="5"/>
                <c:pt idx="0">
                  <c:v>一般公共服务</c:v>
                </c:pt>
                <c:pt idx="1">
                  <c:v>社会保障和就业</c:v>
                </c:pt>
                <c:pt idx="2">
                  <c:v>卫生健康</c:v>
                </c:pt>
                <c:pt idx="3">
                  <c:v>农林水支出</c:v>
                </c:pt>
                <c:pt idx="4">
                  <c:v>住房保障支出</c:v>
                </c:pt>
              </c:strCache>
            </c:strRef>
          </c:cat>
          <c:val>
            <c:numRef>
              <c:f>'Sheet1 (6)'!$B$2:$B$6</c:f>
              <c:numCache>
                <c:formatCode>General</c:formatCode>
                <c:ptCount val="5"/>
                <c:pt idx="0">
                  <c:v>556.58</c:v>
                </c:pt>
                <c:pt idx="1">
                  <c:v>162.2</c:v>
                </c:pt>
                <c:pt idx="2">
                  <c:v>64.21</c:v>
                </c:pt>
                <c:pt idx="3">
                  <c:v>588.79</c:v>
                </c:pt>
                <c:pt idx="4">
                  <c:v>72.35</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Arial"/>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1" i="0" u="none" strike="noStrike" baseline="0">
                <a:solidFill>
                  <a:srgbClr val="595959"/>
                </a:solidFill>
                <a:latin typeface="Times New Roman"/>
                <a:ea typeface="宋体"/>
                <a:cs typeface="Arial"/>
              </a:rPr>
              <a:t>图</a:t>
            </a:r>
            <a:r>
              <a:rPr lang="zh-CN" sz="1400" b="1" i="0" u="none" strike="noStrike" baseline="0">
                <a:solidFill>
                  <a:srgbClr val="595959"/>
                </a:solidFill>
                <a:latin typeface="Times New Roman"/>
                <a:ea typeface="宋体"/>
                <a:cs typeface="Arial"/>
              </a:rPr>
              <a:t>7</a:t>
            </a:r>
          </a:p>
        </c:rich>
      </c:tx>
      <c:layout/>
      <c:overlay val="0"/>
      <c:spPr>
        <a:noFill/>
        <a:ln>
          <a:noFill/>
        </a:ln>
      </c:spPr>
    </c:title>
    <c:autoTitleDeleted val="1"/>
    <c:plotArea>
      <c:layout/>
      <c:pieChart>
        <c:varyColors val="1"/>
        <c:ser>
          <c:idx val="0"/>
          <c:order val="0"/>
          <c:tx>
            <c:strRef>
              <c:f>'Sheet1 (7)'!$B$1</c:f>
              <c:strCache>
                <c:ptCount val="1"/>
                <c:pt idx="0">
                  <c:v>销售额</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General" sourceLinked="1"/>
            <c:showLegendKey val="0"/>
            <c:showVal val="1"/>
            <c:showCatName val="0"/>
            <c:showSerName val="0"/>
            <c:showPercent val="0"/>
            <c:showBubbleSize val="0"/>
            <c:showLeaderLines val="1"/>
          </c:dLbls>
          <c:cat>
            <c:strRef>
              <c:f>'Sheet1 (7)'!$A$2:$A$5</c:f>
              <c:strCache>
                <c:ptCount val="4"/>
                <c:pt idx="0">
                  <c:v>因公出国（境）费</c:v>
                </c:pt>
                <c:pt idx="1">
                  <c:v>公务用车购置及运行维护费</c:v>
                </c:pt>
                <c:pt idx="2">
                  <c:v>公务接待费</c:v>
                </c:pt>
              </c:strCache>
            </c:strRef>
          </c:cat>
          <c:val>
            <c:numRef>
              <c:f>'Sheet1 (7)'!$B$2:$B$5</c:f>
              <c:numCache>
                <c:formatCode>General</c:formatCode>
                <c:ptCount val="4"/>
                <c:pt idx="0">
                  <c:v>0.0</c:v>
                </c:pt>
                <c:pt idx="1">
                  <c:v>7.11</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Entry>
        <c:idx val="3"/>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23</Pages>
  <Words>7282</Words>
  <Characters>8083</Characters>
  <Lines>458</Lines>
  <Paragraphs>192</Paragraphs>
  <CharactersWithSpaces>8193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2023-08-29T01:16:00Z</dcterms:created>
  <dcterms:modified xsi:type="dcterms:W3CDTF">2023-08-30T03:30:51Z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E128B70D57B2448697622997B6BE3B9A</vt:lpwstr>
  </property>
</Properties>
</file>