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193"/>
      <w:bookmarkStart w:id="2" w:name="_Toc15378441"/>
      <w:bookmarkStart w:id="3" w:name="_Toc5808"/>
      <w:bookmarkStart w:id="4" w:name="_Toc15396475"/>
      <w:bookmarkStart w:id="5" w:name="_Toc3749"/>
      <w:bookmarkStart w:id="6" w:name="_Toc9383"/>
      <w:bookmarkStart w:id="7" w:name="_Toc15377425"/>
      <w:bookmarkStart w:id="8" w:name="_Toc12095"/>
      <w:bookmarkStart w:id="9" w:name="_Toc15396597"/>
      <w:bookmarkStart w:id="10" w:name="_Toc31923"/>
      <w:r>
        <w:rPr>
          <w:rFonts w:ascii="黑体" w:eastAsia="黑体"/>
          <w:color w:val="000000"/>
          <w:sz w:val="72"/>
          <w:szCs w:val="72"/>
        </w:rPr>
        <w:t>2020</w:t>
      </w:r>
      <w:r>
        <w:rPr>
          <w:rFonts w:hint="eastAsia" w:ascii="方正小标宋简体" w:eastAsia="方正小标宋简体"/>
          <w:color w:val="000000"/>
          <w:sz w:val="72"/>
          <w:szCs w:val="72"/>
        </w:rPr>
        <w:t>年度</w:t>
      </w:r>
      <w:bookmarkEnd w:id="1"/>
      <w:bookmarkEnd w:id="2"/>
      <w:bookmarkEnd w:id="3"/>
      <w:bookmarkEnd w:id="4"/>
      <w:bookmarkEnd w:id="5"/>
      <w:bookmarkEnd w:id="6"/>
      <w:bookmarkEnd w:id="7"/>
      <w:bookmarkEnd w:id="8"/>
      <w:bookmarkEnd w:id="9"/>
      <w:bookmarkEnd w:id="10"/>
    </w:p>
    <w:bookmarkEnd w:id="0"/>
    <w:p>
      <w:pPr>
        <w:adjustRightInd w:val="0"/>
        <w:snapToGrid w:val="0"/>
        <w:spacing w:line="360" w:lineRule="auto"/>
        <w:jc w:val="center"/>
        <w:outlineLvl w:val="0"/>
        <w:rPr>
          <w:rFonts w:ascii="方正小标宋简体" w:eastAsia="方正小标宋简体"/>
          <w:color w:val="000000"/>
          <w:sz w:val="72"/>
          <w:szCs w:val="72"/>
        </w:rPr>
      </w:pPr>
      <w:bookmarkStart w:id="11" w:name="_Toc15377194"/>
      <w:bookmarkStart w:id="12" w:name="_Toc15396598"/>
      <w:bookmarkStart w:id="13" w:name="_Toc15306268"/>
      <w:bookmarkStart w:id="14" w:name="_Toc11376"/>
      <w:bookmarkStart w:id="15" w:name="_Toc10367"/>
      <w:bookmarkStart w:id="16" w:name="_Toc15377426"/>
      <w:bookmarkStart w:id="17" w:name="_Toc25993"/>
      <w:bookmarkStart w:id="18" w:name="_Toc31507"/>
      <w:bookmarkStart w:id="19" w:name="_Toc15396476"/>
      <w:bookmarkStart w:id="20" w:name="_Toc15378442"/>
      <w:bookmarkStart w:id="21" w:name="_Toc8046"/>
      <w:r>
        <w:rPr>
          <w:rFonts w:hint="eastAsia" w:ascii="方正小标宋简体" w:eastAsia="方正小标宋简体"/>
          <w:color w:val="000000"/>
          <w:sz w:val="72"/>
          <w:szCs w:val="72"/>
        </w:rPr>
        <w:t>金川县观音桥镇人民政府乡镇部门决算</w:t>
      </w:r>
      <w:bookmarkEnd w:id="11"/>
      <w:bookmarkEnd w:id="12"/>
      <w:bookmarkEnd w:id="13"/>
      <w:bookmarkEnd w:id="14"/>
      <w:bookmarkEnd w:id="15"/>
      <w:bookmarkEnd w:id="16"/>
      <w:bookmarkEnd w:id="17"/>
      <w:bookmarkEnd w:id="18"/>
      <w:bookmarkEnd w:id="19"/>
      <w:bookmarkEnd w:id="20"/>
      <w:bookmarkEnd w:id="2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pStyle w:val="11"/>
        <w:jc w:val="center"/>
        <w:rPr>
          <w:rFonts w:ascii="仿宋" w:hAnsi="Times New Roman" w:eastAsia="仿宋" w:cs="Times New Roman"/>
          <w:color w:val="000000"/>
          <w:kern w:val="2"/>
          <w:sz w:val="28"/>
          <w:szCs w:val="28"/>
          <w:lang w:val="en-US" w:eastAsia="zh-CN" w:bidi="ar-SA"/>
        </w:rPr>
      </w:pPr>
      <w:r>
        <w:rPr>
          <w:rFonts w:hint="eastAsia" w:ascii="黑体" w:eastAsia="黑体"/>
          <w:color w:val="000000"/>
        </w:rPr>
        <w:t>公开时间：（2021年8月3日）</w:t>
      </w: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tabs>
          <w:tab w:val="right" w:leader="dot" w:pos="8306"/>
          <w:tab w:val="clear" w:pos="8296"/>
        </w:tabs>
        <w:jc w:val="both"/>
        <w:rPr>
          <w:sz w:val="28"/>
          <w:szCs w:val="28"/>
        </w:rPr>
      </w:pPr>
      <w:r>
        <w:rPr>
          <w:color w:val="000000"/>
          <w:sz w:val="28"/>
          <w:szCs w:val="28"/>
        </w:rPr>
        <w:fldChar w:fldCharType="begin"/>
      </w:r>
      <w:r>
        <w:rPr>
          <w:sz w:val="28"/>
          <w:szCs w:val="28"/>
        </w:rPr>
        <w:instrText xml:space="preserve"> HYPERLINK \l _Toc15465 </w:instrText>
      </w:r>
      <w:r>
        <w:rPr>
          <w:sz w:val="28"/>
          <w:szCs w:val="28"/>
        </w:rPr>
        <w:fldChar w:fldCharType="separate"/>
      </w:r>
      <w:r>
        <w:rPr>
          <w:rFonts w:hint="eastAsia" w:ascii="黑体" w:eastAsia="黑体"/>
          <w:sz w:val="28"/>
          <w:szCs w:val="28"/>
        </w:rPr>
        <w:t xml:space="preserve">第一部分 </w:t>
      </w:r>
      <w:r>
        <w:rPr>
          <w:rFonts w:hint="eastAsia" w:ascii="黑体" w:eastAsia="黑体"/>
          <w:bCs w:val="0"/>
          <w:sz w:val="28"/>
          <w:szCs w:val="28"/>
        </w:rPr>
        <w:t>部门概况</w:t>
      </w:r>
      <w:r>
        <w:rPr>
          <w:sz w:val="28"/>
          <w:szCs w:val="28"/>
        </w:rPr>
        <w:tab/>
      </w:r>
      <w:r>
        <w:rPr>
          <w:sz w:val="28"/>
          <w:szCs w:val="28"/>
        </w:rPr>
        <w:fldChar w:fldCharType="begin"/>
      </w:r>
      <w:r>
        <w:rPr>
          <w:sz w:val="28"/>
          <w:szCs w:val="28"/>
        </w:rPr>
        <w:instrText xml:space="preserve"> PAGEREF _Toc15465 </w:instrText>
      </w:r>
      <w:r>
        <w:rPr>
          <w:sz w:val="28"/>
          <w:szCs w:val="28"/>
        </w:rPr>
        <w:fldChar w:fldCharType="separate"/>
      </w:r>
      <w:r>
        <w:rPr>
          <w:sz w:val="28"/>
          <w:szCs w:val="28"/>
        </w:rPr>
        <w:t>3</w:t>
      </w:r>
      <w:r>
        <w:rPr>
          <w:sz w:val="28"/>
          <w:szCs w:val="28"/>
        </w:rPr>
        <w:fldChar w:fldCharType="end"/>
      </w:r>
      <w:r>
        <w:rPr>
          <w:color w:val="000000"/>
          <w:sz w:val="28"/>
          <w:szCs w:val="28"/>
        </w:rPr>
        <w:fldChar w:fldCharType="end"/>
      </w:r>
    </w:p>
    <w:p>
      <w:pPr>
        <w:pStyle w:val="12"/>
        <w:tabs>
          <w:tab w:val="right" w:leader="dot" w:pos="8306"/>
          <w:tab w:val="clear" w:pos="8296"/>
        </w:tabs>
        <w:rPr>
          <w:sz w:val="28"/>
          <w:szCs w:val="28"/>
        </w:rPr>
      </w:pPr>
      <w:r>
        <w:rPr>
          <w:color w:val="000000"/>
          <w:sz w:val="28"/>
          <w:szCs w:val="28"/>
        </w:rPr>
        <w:fldChar w:fldCharType="begin"/>
      </w:r>
      <w:r>
        <w:rPr>
          <w:sz w:val="28"/>
          <w:szCs w:val="28"/>
        </w:rPr>
        <w:instrText xml:space="preserve"> HYPERLINK \l _Toc20260 </w:instrText>
      </w:r>
      <w:r>
        <w:rPr>
          <w:sz w:val="28"/>
          <w:szCs w:val="28"/>
        </w:rPr>
        <w:fldChar w:fldCharType="separate"/>
      </w:r>
      <w:r>
        <w:rPr>
          <w:rFonts w:hint="eastAsia" w:ascii="黑体" w:eastAsia="黑体"/>
          <w:sz w:val="28"/>
          <w:szCs w:val="28"/>
        </w:rPr>
        <w:t>一、基</w:t>
      </w:r>
      <w:r>
        <w:rPr>
          <w:rFonts w:hint="eastAsia" w:ascii="黑体" w:eastAsia="黑体"/>
          <w:bCs w:val="0"/>
          <w:sz w:val="28"/>
          <w:szCs w:val="28"/>
        </w:rPr>
        <w:t>本职能及主要工作</w:t>
      </w:r>
      <w:r>
        <w:rPr>
          <w:sz w:val="28"/>
          <w:szCs w:val="28"/>
        </w:rPr>
        <w:tab/>
      </w:r>
      <w:r>
        <w:rPr>
          <w:sz w:val="28"/>
          <w:szCs w:val="28"/>
        </w:rPr>
        <w:fldChar w:fldCharType="begin"/>
      </w:r>
      <w:r>
        <w:rPr>
          <w:sz w:val="28"/>
          <w:szCs w:val="28"/>
        </w:rPr>
        <w:instrText xml:space="preserve"> PAGEREF _Toc20260 </w:instrText>
      </w:r>
      <w:r>
        <w:rPr>
          <w:sz w:val="28"/>
          <w:szCs w:val="28"/>
        </w:rPr>
        <w:fldChar w:fldCharType="separate"/>
      </w:r>
      <w:r>
        <w:rPr>
          <w:sz w:val="28"/>
          <w:szCs w:val="28"/>
        </w:rPr>
        <w:t>3</w:t>
      </w:r>
      <w:r>
        <w:rPr>
          <w:sz w:val="28"/>
          <w:szCs w:val="28"/>
        </w:rPr>
        <w:fldChar w:fldCharType="end"/>
      </w:r>
      <w:r>
        <w:rPr>
          <w:color w:val="000000"/>
          <w:sz w:val="28"/>
          <w:szCs w:val="28"/>
        </w:rPr>
        <w:fldChar w:fldCharType="end"/>
      </w:r>
    </w:p>
    <w:p>
      <w:pPr>
        <w:pStyle w:val="12"/>
        <w:tabs>
          <w:tab w:val="right" w:leader="dot" w:pos="8306"/>
          <w:tab w:val="clear" w:pos="8296"/>
        </w:tabs>
        <w:rPr>
          <w:sz w:val="28"/>
          <w:szCs w:val="28"/>
        </w:rPr>
      </w:pPr>
      <w:r>
        <w:rPr>
          <w:color w:val="000000"/>
          <w:sz w:val="28"/>
          <w:szCs w:val="28"/>
        </w:rPr>
        <w:fldChar w:fldCharType="begin"/>
      </w:r>
      <w:r>
        <w:rPr>
          <w:sz w:val="28"/>
          <w:szCs w:val="28"/>
        </w:rPr>
        <w:instrText xml:space="preserve"> HYPERLINK \l _Toc11875 </w:instrText>
      </w:r>
      <w:r>
        <w:rPr>
          <w:sz w:val="28"/>
          <w:szCs w:val="28"/>
        </w:rPr>
        <w:fldChar w:fldCharType="separate"/>
      </w:r>
      <w:r>
        <w:rPr>
          <w:rFonts w:hint="eastAsia" w:ascii="楷体" w:eastAsia="楷体" w:cs="楷体"/>
          <w:sz w:val="28"/>
          <w:szCs w:val="28"/>
        </w:rPr>
        <w:t>（一）主要职能</w:t>
      </w:r>
      <w:r>
        <w:rPr>
          <w:sz w:val="28"/>
          <w:szCs w:val="28"/>
        </w:rPr>
        <w:tab/>
      </w:r>
      <w:r>
        <w:rPr>
          <w:sz w:val="28"/>
          <w:szCs w:val="28"/>
        </w:rPr>
        <w:fldChar w:fldCharType="begin"/>
      </w:r>
      <w:r>
        <w:rPr>
          <w:sz w:val="28"/>
          <w:szCs w:val="28"/>
        </w:rPr>
        <w:instrText xml:space="preserve"> PAGEREF _Toc11875 </w:instrText>
      </w:r>
      <w:r>
        <w:rPr>
          <w:sz w:val="28"/>
          <w:szCs w:val="28"/>
        </w:rPr>
        <w:fldChar w:fldCharType="separate"/>
      </w:r>
      <w:r>
        <w:rPr>
          <w:sz w:val="28"/>
          <w:szCs w:val="28"/>
        </w:rPr>
        <w:t>3</w:t>
      </w:r>
      <w:r>
        <w:rPr>
          <w:sz w:val="28"/>
          <w:szCs w:val="28"/>
        </w:rPr>
        <w:fldChar w:fldCharType="end"/>
      </w:r>
      <w:r>
        <w:rPr>
          <w:color w:val="000000"/>
          <w:sz w:val="28"/>
          <w:szCs w:val="28"/>
        </w:rPr>
        <w:fldChar w:fldCharType="end"/>
      </w:r>
    </w:p>
    <w:p>
      <w:pPr>
        <w:pStyle w:val="12"/>
        <w:tabs>
          <w:tab w:val="right" w:leader="dot" w:pos="8306"/>
          <w:tab w:val="clear" w:pos="8296"/>
        </w:tabs>
        <w:rPr>
          <w:sz w:val="28"/>
          <w:szCs w:val="28"/>
        </w:rPr>
      </w:pPr>
      <w:r>
        <w:rPr>
          <w:color w:val="000000"/>
          <w:sz w:val="28"/>
          <w:szCs w:val="28"/>
        </w:rPr>
        <w:fldChar w:fldCharType="begin"/>
      </w:r>
      <w:r>
        <w:rPr>
          <w:sz w:val="28"/>
          <w:szCs w:val="28"/>
        </w:rPr>
        <w:instrText xml:space="preserve"> HYPERLINK \l _Toc29688 </w:instrText>
      </w:r>
      <w:r>
        <w:rPr>
          <w:sz w:val="28"/>
          <w:szCs w:val="28"/>
        </w:rPr>
        <w:fldChar w:fldCharType="separate"/>
      </w:r>
      <w:r>
        <w:rPr>
          <w:rFonts w:hint="eastAsia" w:ascii="楷体" w:eastAsia="楷体" w:cs="楷体"/>
          <w:sz w:val="28"/>
          <w:szCs w:val="28"/>
        </w:rPr>
        <w:t>（二）</w:t>
      </w:r>
      <w:r>
        <w:rPr>
          <w:rFonts w:ascii="楷体" w:eastAsia="楷体" w:cs="楷体"/>
          <w:sz w:val="28"/>
          <w:szCs w:val="28"/>
        </w:rPr>
        <w:t>2020</w:t>
      </w:r>
      <w:r>
        <w:rPr>
          <w:rFonts w:hint="eastAsia" w:ascii="楷体" w:eastAsia="楷体" w:cs="楷体"/>
          <w:sz w:val="28"/>
          <w:szCs w:val="28"/>
        </w:rPr>
        <w:t>年重点工作完成情况</w:t>
      </w:r>
      <w:r>
        <w:rPr>
          <w:sz w:val="28"/>
          <w:szCs w:val="28"/>
        </w:rPr>
        <w:tab/>
      </w:r>
      <w:r>
        <w:rPr>
          <w:sz w:val="28"/>
          <w:szCs w:val="28"/>
        </w:rPr>
        <w:fldChar w:fldCharType="begin"/>
      </w:r>
      <w:r>
        <w:rPr>
          <w:sz w:val="28"/>
          <w:szCs w:val="28"/>
        </w:rPr>
        <w:instrText xml:space="preserve"> PAGEREF _Toc29688 </w:instrText>
      </w:r>
      <w:r>
        <w:rPr>
          <w:sz w:val="28"/>
          <w:szCs w:val="28"/>
        </w:rPr>
        <w:fldChar w:fldCharType="separate"/>
      </w:r>
      <w:r>
        <w:rPr>
          <w:sz w:val="28"/>
          <w:szCs w:val="28"/>
        </w:rPr>
        <w:t>3</w:t>
      </w:r>
      <w:r>
        <w:rPr>
          <w:sz w:val="28"/>
          <w:szCs w:val="28"/>
        </w:rPr>
        <w:fldChar w:fldCharType="end"/>
      </w:r>
      <w:r>
        <w:rPr>
          <w:color w:val="000000"/>
          <w:sz w:val="28"/>
          <w:szCs w:val="28"/>
        </w:rPr>
        <w:fldChar w:fldCharType="end"/>
      </w:r>
    </w:p>
    <w:p>
      <w:pPr>
        <w:pStyle w:val="12"/>
        <w:tabs>
          <w:tab w:val="right" w:leader="dot" w:pos="8306"/>
          <w:tab w:val="clear" w:pos="8296"/>
        </w:tabs>
        <w:rPr>
          <w:sz w:val="28"/>
          <w:szCs w:val="28"/>
        </w:rPr>
      </w:pPr>
      <w:r>
        <w:rPr>
          <w:color w:val="000000"/>
          <w:sz w:val="28"/>
          <w:szCs w:val="28"/>
        </w:rPr>
        <w:fldChar w:fldCharType="begin"/>
      </w:r>
      <w:r>
        <w:rPr>
          <w:sz w:val="28"/>
          <w:szCs w:val="28"/>
        </w:rPr>
        <w:instrText xml:space="preserve"> HYPERLINK \l _Toc3779 </w:instrText>
      </w:r>
      <w:r>
        <w:rPr>
          <w:sz w:val="28"/>
          <w:szCs w:val="28"/>
        </w:rPr>
        <w:fldChar w:fldCharType="separate"/>
      </w:r>
      <w:r>
        <w:rPr>
          <w:rFonts w:hint="eastAsia" w:ascii="黑体" w:eastAsia="黑体"/>
          <w:bCs w:val="0"/>
          <w:sz w:val="28"/>
          <w:szCs w:val="28"/>
        </w:rPr>
        <w:t>二、机构设置</w:t>
      </w:r>
      <w:r>
        <w:rPr>
          <w:sz w:val="28"/>
          <w:szCs w:val="28"/>
        </w:rPr>
        <w:tab/>
      </w:r>
      <w:r>
        <w:rPr>
          <w:sz w:val="28"/>
          <w:szCs w:val="28"/>
        </w:rPr>
        <w:fldChar w:fldCharType="begin"/>
      </w:r>
      <w:r>
        <w:rPr>
          <w:sz w:val="28"/>
          <w:szCs w:val="28"/>
        </w:rPr>
        <w:instrText xml:space="preserve"> PAGEREF _Toc3779 </w:instrText>
      </w:r>
      <w:r>
        <w:rPr>
          <w:sz w:val="28"/>
          <w:szCs w:val="28"/>
        </w:rPr>
        <w:fldChar w:fldCharType="separate"/>
      </w:r>
      <w:r>
        <w:rPr>
          <w:sz w:val="28"/>
          <w:szCs w:val="28"/>
        </w:rPr>
        <w:t>4</w:t>
      </w:r>
      <w:r>
        <w:rPr>
          <w:sz w:val="28"/>
          <w:szCs w:val="28"/>
        </w:rPr>
        <w:fldChar w:fldCharType="end"/>
      </w:r>
      <w:r>
        <w:rPr>
          <w:color w:val="000000"/>
          <w:sz w:val="28"/>
          <w:szCs w:val="28"/>
        </w:rPr>
        <w:fldChar w:fldCharType="end"/>
      </w:r>
    </w:p>
    <w:p>
      <w:pPr>
        <w:pStyle w:val="11"/>
        <w:tabs>
          <w:tab w:val="right" w:leader="dot" w:pos="8306"/>
          <w:tab w:val="clear" w:pos="8296"/>
        </w:tabs>
        <w:rPr>
          <w:sz w:val="28"/>
          <w:szCs w:val="28"/>
        </w:rPr>
      </w:pPr>
      <w:r>
        <w:rPr>
          <w:color w:val="000000"/>
          <w:sz w:val="28"/>
          <w:szCs w:val="28"/>
        </w:rPr>
        <w:fldChar w:fldCharType="begin"/>
      </w:r>
      <w:r>
        <w:rPr>
          <w:sz w:val="28"/>
          <w:szCs w:val="28"/>
        </w:rPr>
        <w:instrText xml:space="preserve"> HYPERLINK \l _Toc1757 </w:instrText>
      </w:r>
      <w:r>
        <w:rPr>
          <w:sz w:val="28"/>
          <w:szCs w:val="28"/>
        </w:rPr>
        <w:fldChar w:fldCharType="separate"/>
      </w:r>
      <w:r>
        <w:rPr>
          <w:rFonts w:hint="eastAsia" w:ascii="黑体" w:eastAsia="黑体"/>
          <w:sz w:val="28"/>
          <w:szCs w:val="28"/>
        </w:rPr>
        <w:t xml:space="preserve">第二部分 </w:t>
      </w:r>
      <w:r>
        <w:rPr>
          <w:rFonts w:ascii="黑体" w:eastAsia="黑体"/>
          <w:bCs w:val="0"/>
          <w:sz w:val="28"/>
          <w:szCs w:val="28"/>
        </w:rPr>
        <w:t>2020</w:t>
      </w:r>
      <w:r>
        <w:rPr>
          <w:rFonts w:hint="eastAsia" w:ascii="黑体" w:eastAsia="黑体"/>
          <w:bCs w:val="0"/>
          <w:sz w:val="28"/>
          <w:szCs w:val="28"/>
        </w:rPr>
        <w:t>年度部门决算情况说明</w:t>
      </w:r>
      <w:r>
        <w:rPr>
          <w:sz w:val="28"/>
          <w:szCs w:val="28"/>
        </w:rPr>
        <w:tab/>
      </w:r>
      <w:r>
        <w:rPr>
          <w:sz w:val="28"/>
          <w:szCs w:val="28"/>
        </w:rPr>
        <w:fldChar w:fldCharType="begin"/>
      </w:r>
      <w:r>
        <w:rPr>
          <w:sz w:val="28"/>
          <w:szCs w:val="28"/>
        </w:rPr>
        <w:instrText xml:space="preserve"> PAGEREF _Toc1757 </w:instrText>
      </w:r>
      <w:r>
        <w:rPr>
          <w:sz w:val="28"/>
          <w:szCs w:val="28"/>
        </w:rPr>
        <w:fldChar w:fldCharType="separate"/>
      </w:r>
      <w:r>
        <w:rPr>
          <w:sz w:val="28"/>
          <w:szCs w:val="28"/>
        </w:rPr>
        <w:t>5</w:t>
      </w:r>
      <w:r>
        <w:rPr>
          <w:sz w:val="28"/>
          <w:szCs w:val="28"/>
        </w:rPr>
        <w:fldChar w:fldCharType="end"/>
      </w:r>
      <w:r>
        <w:rPr>
          <w:color w:val="000000"/>
          <w:sz w:val="28"/>
          <w:szCs w:val="28"/>
        </w:rPr>
        <w:fldChar w:fldCharType="end"/>
      </w:r>
    </w:p>
    <w:p>
      <w:pPr>
        <w:pStyle w:val="12"/>
        <w:tabs>
          <w:tab w:val="right" w:leader="dot" w:pos="8306"/>
          <w:tab w:val="clear" w:pos="8296"/>
        </w:tabs>
        <w:rPr>
          <w:sz w:val="28"/>
          <w:szCs w:val="28"/>
        </w:rPr>
      </w:pPr>
      <w:r>
        <w:rPr>
          <w:color w:val="000000"/>
          <w:sz w:val="28"/>
          <w:szCs w:val="28"/>
        </w:rPr>
        <w:fldChar w:fldCharType="begin"/>
      </w:r>
      <w:r>
        <w:rPr>
          <w:sz w:val="28"/>
          <w:szCs w:val="28"/>
        </w:rPr>
        <w:instrText xml:space="preserve"> HYPERLINK \l _Toc24269 </w:instrText>
      </w:r>
      <w:r>
        <w:rPr>
          <w:sz w:val="28"/>
          <w:szCs w:val="28"/>
        </w:rPr>
        <w:fldChar w:fldCharType="separate"/>
      </w:r>
      <w:r>
        <w:rPr>
          <w:rFonts w:hint="default" w:ascii="黑体" w:eastAsia="黑体"/>
          <w:sz w:val="28"/>
          <w:szCs w:val="28"/>
        </w:rPr>
        <w:t xml:space="preserve">一、 </w:t>
      </w:r>
      <w:r>
        <w:rPr>
          <w:rFonts w:hint="eastAsia" w:ascii="黑体" w:eastAsia="黑体"/>
          <w:sz w:val="28"/>
          <w:szCs w:val="28"/>
        </w:rPr>
        <w:t>收入支出决算总体情况说明</w:t>
      </w:r>
      <w:r>
        <w:rPr>
          <w:sz w:val="28"/>
          <w:szCs w:val="28"/>
        </w:rPr>
        <w:tab/>
      </w:r>
      <w:r>
        <w:rPr>
          <w:sz w:val="28"/>
          <w:szCs w:val="28"/>
        </w:rPr>
        <w:fldChar w:fldCharType="begin"/>
      </w:r>
      <w:r>
        <w:rPr>
          <w:sz w:val="28"/>
          <w:szCs w:val="28"/>
        </w:rPr>
        <w:instrText xml:space="preserve"> PAGEREF _Toc24269 </w:instrText>
      </w:r>
      <w:r>
        <w:rPr>
          <w:sz w:val="28"/>
          <w:szCs w:val="28"/>
        </w:rPr>
        <w:fldChar w:fldCharType="separate"/>
      </w:r>
      <w:r>
        <w:rPr>
          <w:sz w:val="28"/>
          <w:szCs w:val="28"/>
        </w:rPr>
        <w:t>5</w:t>
      </w:r>
      <w:r>
        <w:rPr>
          <w:sz w:val="28"/>
          <w:szCs w:val="28"/>
        </w:rPr>
        <w:fldChar w:fldCharType="end"/>
      </w:r>
      <w:r>
        <w:rPr>
          <w:color w:val="000000"/>
          <w:sz w:val="28"/>
          <w:szCs w:val="28"/>
        </w:rPr>
        <w:fldChar w:fldCharType="end"/>
      </w:r>
    </w:p>
    <w:p>
      <w:pPr>
        <w:pStyle w:val="12"/>
        <w:tabs>
          <w:tab w:val="right" w:leader="dot" w:pos="8306"/>
          <w:tab w:val="clear" w:pos="8296"/>
        </w:tabs>
        <w:rPr>
          <w:sz w:val="28"/>
          <w:szCs w:val="28"/>
        </w:rPr>
      </w:pPr>
      <w:r>
        <w:rPr>
          <w:color w:val="000000"/>
          <w:sz w:val="28"/>
          <w:szCs w:val="28"/>
        </w:rPr>
        <w:fldChar w:fldCharType="begin"/>
      </w:r>
      <w:r>
        <w:rPr>
          <w:sz w:val="28"/>
          <w:szCs w:val="28"/>
        </w:rPr>
        <w:instrText xml:space="preserve"> HYPERLINK \l _Toc2350 </w:instrText>
      </w:r>
      <w:r>
        <w:rPr>
          <w:sz w:val="28"/>
          <w:szCs w:val="28"/>
        </w:rPr>
        <w:fldChar w:fldCharType="separate"/>
      </w:r>
      <w:r>
        <w:rPr>
          <w:rFonts w:hint="eastAsia" w:ascii="黑体" w:eastAsia="黑体"/>
          <w:sz w:val="28"/>
          <w:szCs w:val="28"/>
        </w:rPr>
        <w:t>二、收入决算情况说明</w:t>
      </w:r>
      <w:r>
        <w:rPr>
          <w:sz w:val="28"/>
          <w:szCs w:val="28"/>
        </w:rPr>
        <w:tab/>
      </w:r>
      <w:r>
        <w:rPr>
          <w:sz w:val="28"/>
          <w:szCs w:val="28"/>
        </w:rPr>
        <w:fldChar w:fldCharType="begin"/>
      </w:r>
      <w:r>
        <w:rPr>
          <w:sz w:val="28"/>
          <w:szCs w:val="28"/>
        </w:rPr>
        <w:instrText xml:space="preserve"> PAGEREF _Toc2350 </w:instrText>
      </w:r>
      <w:r>
        <w:rPr>
          <w:sz w:val="28"/>
          <w:szCs w:val="28"/>
        </w:rPr>
        <w:fldChar w:fldCharType="separate"/>
      </w:r>
      <w:r>
        <w:rPr>
          <w:sz w:val="28"/>
          <w:szCs w:val="28"/>
        </w:rPr>
        <w:t>5</w:t>
      </w:r>
      <w:r>
        <w:rPr>
          <w:sz w:val="28"/>
          <w:szCs w:val="28"/>
        </w:rPr>
        <w:fldChar w:fldCharType="end"/>
      </w:r>
      <w:r>
        <w:rPr>
          <w:color w:val="000000"/>
          <w:sz w:val="28"/>
          <w:szCs w:val="28"/>
        </w:rPr>
        <w:fldChar w:fldCharType="end"/>
      </w:r>
    </w:p>
    <w:p>
      <w:pPr>
        <w:pStyle w:val="12"/>
        <w:tabs>
          <w:tab w:val="right" w:leader="dot" w:pos="8306"/>
          <w:tab w:val="clear" w:pos="8296"/>
        </w:tabs>
        <w:rPr>
          <w:sz w:val="28"/>
          <w:szCs w:val="28"/>
        </w:rPr>
      </w:pPr>
      <w:r>
        <w:rPr>
          <w:color w:val="000000"/>
          <w:sz w:val="28"/>
          <w:szCs w:val="28"/>
        </w:rPr>
        <w:fldChar w:fldCharType="begin"/>
      </w:r>
      <w:r>
        <w:rPr>
          <w:sz w:val="28"/>
          <w:szCs w:val="28"/>
        </w:rPr>
        <w:instrText xml:space="preserve"> HYPERLINK \l _Toc32450 </w:instrText>
      </w:r>
      <w:r>
        <w:rPr>
          <w:sz w:val="28"/>
          <w:szCs w:val="28"/>
        </w:rPr>
        <w:fldChar w:fldCharType="separate"/>
      </w:r>
      <w:r>
        <w:rPr>
          <w:rFonts w:hint="eastAsia" w:ascii="黑体" w:eastAsia="黑体"/>
          <w:sz w:val="28"/>
          <w:szCs w:val="28"/>
        </w:rPr>
        <w:t>三、支出决算情况说明</w:t>
      </w:r>
      <w:r>
        <w:rPr>
          <w:sz w:val="28"/>
          <w:szCs w:val="28"/>
        </w:rPr>
        <w:tab/>
      </w:r>
      <w:r>
        <w:rPr>
          <w:sz w:val="28"/>
          <w:szCs w:val="28"/>
        </w:rPr>
        <w:fldChar w:fldCharType="begin"/>
      </w:r>
      <w:r>
        <w:rPr>
          <w:sz w:val="28"/>
          <w:szCs w:val="28"/>
        </w:rPr>
        <w:instrText xml:space="preserve"> PAGEREF _Toc32450 </w:instrText>
      </w:r>
      <w:r>
        <w:rPr>
          <w:sz w:val="28"/>
          <w:szCs w:val="28"/>
        </w:rPr>
        <w:fldChar w:fldCharType="separate"/>
      </w:r>
      <w:r>
        <w:rPr>
          <w:sz w:val="28"/>
          <w:szCs w:val="28"/>
        </w:rPr>
        <w:t>6</w:t>
      </w:r>
      <w:r>
        <w:rPr>
          <w:sz w:val="28"/>
          <w:szCs w:val="28"/>
        </w:rPr>
        <w:fldChar w:fldCharType="end"/>
      </w:r>
      <w:r>
        <w:rPr>
          <w:color w:val="000000"/>
          <w:sz w:val="28"/>
          <w:szCs w:val="28"/>
        </w:rPr>
        <w:fldChar w:fldCharType="end"/>
      </w:r>
    </w:p>
    <w:p>
      <w:pPr>
        <w:pStyle w:val="12"/>
        <w:tabs>
          <w:tab w:val="right" w:leader="dot" w:pos="8306"/>
          <w:tab w:val="clear" w:pos="8296"/>
        </w:tabs>
        <w:rPr>
          <w:sz w:val="28"/>
          <w:szCs w:val="28"/>
        </w:rPr>
      </w:pPr>
      <w:r>
        <w:rPr>
          <w:color w:val="000000"/>
          <w:sz w:val="28"/>
          <w:szCs w:val="28"/>
        </w:rPr>
        <w:fldChar w:fldCharType="begin"/>
      </w:r>
      <w:r>
        <w:rPr>
          <w:sz w:val="28"/>
          <w:szCs w:val="28"/>
        </w:rPr>
        <w:instrText xml:space="preserve"> HYPERLINK \l _Toc27007 </w:instrText>
      </w:r>
      <w:r>
        <w:rPr>
          <w:sz w:val="28"/>
          <w:szCs w:val="28"/>
        </w:rPr>
        <w:fldChar w:fldCharType="separate"/>
      </w:r>
      <w:r>
        <w:rPr>
          <w:rFonts w:hint="eastAsia" w:ascii="黑体" w:eastAsia="黑体"/>
          <w:sz w:val="28"/>
          <w:szCs w:val="28"/>
        </w:rPr>
        <w:t>四、财政拨款收入支出决算总体情况说明</w:t>
      </w:r>
      <w:r>
        <w:rPr>
          <w:sz w:val="28"/>
          <w:szCs w:val="28"/>
        </w:rPr>
        <w:tab/>
      </w:r>
      <w:r>
        <w:rPr>
          <w:sz w:val="28"/>
          <w:szCs w:val="28"/>
        </w:rPr>
        <w:fldChar w:fldCharType="begin"/>
      </w:r>
      <w:r>
        <w:rPr>
          <w:sz w:val="28"/>
          <w:szCs w:val="28"/>
        </w:rPr>
        <w:instrText xml:space="preserve"> PAGEREF _Toc27007 </w:instrText>
      </w:r>
      <w:r>
        <w:rPr>
          <w:sz w:val="28"/>
          <w:szCs w:val="28"/>
        </w:rPr>
        <w:fldChar w:fldCharType="separate"/>
      </w:r>
      <w:r>
        <w:rPr>
          <w:sz w:val="28"/>
          <w:szCs w:val="28"/>
        </w:rPr>
        <w:t>6</w:t>
      </w:r>
      <w:r>
        <w:rPr>
          <w:sz w:val="28"/>
          <w:szCs w:val="28"/>
        </w:rPr>
        <w:fldChar w:fldCharType="end"/>
      </w:r>
      <w:r>
        <w:rPr>
          <w:color w:val="000000"/>
          <w:sz w:val="28"/>
          <w:szCs w:val="28"/>
        </w:rPr>
        <w:fldChar w:fldCharType="end"/>
      </w:r>
    </w:p>
    <w:p>
      <w:pPr>
        <w:pStyle w:val="12"/>
        <w:tabs>
          <w:tab w:val="right" w:leader="dot" w:pos="8306"/>
          <w:tab w:val="clear" w:pos="8296"/>
        </w:tabs>
        <w:rPr>
          <w:sz w:val="28"/>
          <w:szCs w:val="28"/>
        </w:rPr>
      </w:pPr>
      <w:r>
        <w:rPr>
          <w:color w:val="000000"/>
          <w:sz w:val="28"/>
          <w:szCs w:val="28"/>
        </w:rPr>
        <w:fldChar w:fldCharType="begin"/>
      </w:r>
      <w:r>
        <w:rPr>
          <w:sz w:val="28"/>
          <w:szCs w:val="28"/>
        </w:rPr>
        <w:instrText xml:space="preserve"> HYPERLINK \l _Toc571 </w:instrText>
      </w:r>
      <w:r>
        <w:rPr>
          <w:sz w:val="28"/>
          <w:szCs w:val="28"/>
        </w:rPr>
        <w:fldChar w:fldCharType="separate"/>
      </w:r>
      <w:r>
        <w:rPr>
          <w:rFonts w:hint="eastAsia" w:ascii="黑体" w:eastAsia="黑体"/>
          <w:sz w:val="28"/>
          <w:szCs w:val="28"/>
        </w:rPr>
        <w:t>五、一般公共预算财政拨款支出决算情况说明</w:t>
      </w:r>
      <w:r>
        <w:rPr>
          <w:sz w:val="28"/>
          <w:szCs w:val="28"/>
        </w:rPr>
        <w:tab/>
      </w:r>
      <w:r>
        <w:rPr>
          <w:sz w:val="28"/>
          <w:szCs w:val="28"/>
        </w:rPr>
        <w:fldChar w:fldCharType="begin"/>
      </w:r>
      <w:r>
        <w:rPr>
          <w:sz w:val="28"/>
          <w:szCs w:val="28"/>
        </w:rPr>
        <w:instrText xml:space="preserve"> PAGEREF _Toc571 </w:instrText>
      </w:r>
      <w:r>
        <w:rPr>
          <w:sz w:val="28"/>
          <w:szCs w:val="28"/>
        </w:rPr>
        <w:fldChar w:fldCharType="separate"/>
      </w:r>
      <w:r>
        <w:rPr>
          <w:sz w:val="28"/>
          <w:szCs w:val="28"/>
        </w:rPr>
        <w:t>7</w:t>
      </w:r>
      <w:r>
        <w:rPr>
          <w:sz w:val="28"/>
          <w:szCs w:val="28"/>
        </w:rPr>
        <w:fldChar w:fldCharType="end"/>
      </w:r>
      <w:r>
        <w:rPr>
          <w:color w:val="000000"/>
          <w:sz w:val="28"/>
          <w:szCs w:val="28"/>
        </w:rPr>
        <w:fldChar w:fldCharType="end"/>
      </w:r>
    </w:p>
    <w:p>
      <w:pPr>
        <w:pStyle w:val="12"/>
        <w:tabs>
          <w:tab w:val="right" w:leader="dot" w:pos="8306"/>
          <w:tab w:val="clear" w:pos="8296"/>
        </w:tabs>
        <w:rPr>
          <w:sz w:val="28"/>
          <w:szCs w:val="28"/>
        </w:rPr>
      </w:pPr>
      <w:r>
        <w:rPr>
          <w:color w:val="000000"/>
          <w:sz w:val="28"/>
          <w:szCs w:val="28"/>
        </w:rPr>
        <w:fldChar w:fldCharType="begin"/>
      </w:r>
      <w:r>
        <w:rPr>
          <w:sz w:val="28"/>
          <w:szCs w:val="28"/>
        </w:rPr>
        <w:instrText xml:space="preserve"> HYPERLINK \l _Toc21339 </w:instrText>
      </w:r>
      <w:r>
        <w:rPr>
          <w:sz w:val="28"/>
          <w:szCs w:val="28"/>
        </w:rPr>
        <w:fldChar w:fldCharType="separate"/>
      </w:r>
      <w:r>
        <w:rPr>
          <w:rFonts w:hint="eastAsia" w:ascii="黑体" w:eastAsia="黑体"/>
          <w:sz w:val="28"/>
          <w:szCs w:val="28"/>
        </w:rPr>
        <w:t>六、一般公共预算财政拨款基本支出决算情况说明</w:t>
      </w:r>
      <w:r>
        <w:rPr>
          <w:sz w:val="28"/>
          <w:szCs w:val="28"/>
        </w:rPr>
        <w:tab/>
      </w:r>
      <w:r>
        <w:rPr>
          <w:sz w:val="28"/>
          <w:szCs w:val="28"/>
        </w:rPr>
        <w:fldChar w:fldCharType="begin"/>
      </w:r>
      <w:r>
        <w:rPr>
          <w:sz w:val="28"/>
          <w:szCs w:val="28"/>
        </w:rPr>
        <w:instrText xml:space="preserve"> PAGEREF _Toc21339 </w:instrText>
      </w:r>
      <w:r>
        <w:rPr>
          <w:sz w:val="28"/>
          <w:szCs w:val="28"/>
        </w:rPr>
        <w:fldChar w:fldCharType="separate"/>
      </w:r>
      <w:r>
        <w:rPr>
          <w:sz w:val="28"/>
          <w:szCs w:val="28"/>
        </w:rPr>
        <w:t>10</w:t>
      </w:r>
      <w:r>
        <w:rPr>
          <w:sz w:val="28"/>
          <w:szCs w:val="28"/>
        </w:rPr>
        <w:fldChar w:fldCharType="end"/>
      </w:r>
      <w:r>
        <w:rPr>
          <w:color w:val="000000"/>
          <w:sz w:val="28"/>
          <w:szCs w:val="28"/>
        </w:rPr>
        <w:fldChar w:fldCharType="end"/>
      </w:r>
    </w:p>
    <w:p>
      <w:pPr>
        <w:pStyle w:val="12"/>
        <w:tabs>
          <w:tab w:val="right" w:leader="dot" w:pos="8306"/>
          <w:tab w:val="clear" w:pos="8296"/>
        </w:tabs>
        <w:rPr>
          <w:sz w:val="28"/>
          <w:szCs w:val="28"/>
        </w:rPr>
      </w:pPr>
      <w:r>
        <w:rPr>
          <w:color w:val="000000"/>
          <w:sz w:val="28"/>
          <w:szCs w:val="28"/>
        </w:rPr>
        <w:fldChar w:fldCharType="begin"/>
      </w:r>
      <w:r>
        <w:rPr>
          <w:sz w:val="28"/>
          <w:szCs w:val="28"/>
        </w:rPr>
        <w:instrText xml:space="preserve"> HYPERLINK \l _Toc23406 </w:instrText>
      </w:r>
      <w:r>
        <w:rPr>
          <w:sz w:val="28"/>
          <w:szCs w:val="28"/>
        </w:rPr>
        <w:fldChar w:fldCharType="separate"/>
      </w:r>
      <w:r>
        <w:rPr>
          <w:rFonts w:hint="eastAsia" w:ascii="黑体" w:eastAsia="黑体"/>
          <w:sz w:val="28"/>
          <w:szCs w:val="28"/>
        </w:rPr>
        <w:t>七、“三公”经费财政拨款支出决算情况说明</w:t>
      </w:r>
      <w:r>
        <w:rPr>
          <w:sz w:val="28"/>
          <w:szCs w:val="28"/>
        </w:rPr>
        <w:tab/>
      </w:r>
      <w:r>
        <w:rPr>
          <w:sz w:val="28"/>
          <w:szCs w:val="28"/>
        </w:rPr>
        <w:fldChar w:fldCharType="begin"/>
      </w:r>
      <w:r>
        <w:rPr>
          <w:sz w:val="28"/>
          <w:szCs w:val="28"/>
        </w:rPr>
        <w:instrText xml:space="preserve"> PAGEREF _Toc23406 </w:instrText>
      </w:r>
      <w:r>
        <w:rPr>
          <w:sz w:val="28"/>
          <w:szCs w:val="28"/>
        </w:rPr>
        <w:fldChar w:fldCharType="separate"/>
      </w:r>
      <w:r>
        <w:rPr>
          <w:sz w:val="28"/>
          <w:szCs w:val="28"/>
        </w:rPr>
        <w:t>11</w:t>
      </w:r>
      <w:r>
        <w:rPr>
          <w:sz w:val="28"/>
          <w:szCs w:val="28"/>
        </w:rPr>
        <w:fldChar w:fldCharType="end"/>
      </w:r>
      <w:r>
        <w:rPr>
          <w:color w:val="000000"/>
          <w:sz w:val="28"/>
          <w:szCs w:val="28"/>
        </w:rPr>
        <w:fldChar w:fldCharType="end"/>
      </w:r>
    </w:p>
    <w:p>
      <w:pPr>
        <w:pStyle w:val="12"/>
        <w:tabs>
          <w:tab w:val="right" w:leader="dot" w:pos="8306"/>
          <w:tab w:val="clear" w:pos="8296"/>
        </w:tabs>
        <w:rPr>
          <w:sz w:val="28"/>
          <w:szCs w:val="28"/>
        </w:rPr>
      </w:pPr>
      <w:r>
        <w:rPr>
          <w:color w:val="000000"/>
          <w:sz w:val="28"/>
          <w:szCs w:val="28"/>
        </w:rPr>
        <w:fldChar w:fldCharType="begin"/>
      </w:r>
      <w:r>
        <w:rPr>
          <w:sz w:val="28"/>
          <w:szCs w:val="28"/>
        </w:rPr>
        <w:instrText xml:space="preserve"> HYPERLINK \l _Toc10384 </w:instrText>
      </w:r>
      <w:r>
        <w:rPr>
          <w:sz w:val="28"/>
          <w:szCs w:val="28"/>
        </w:rPr>
        <w:fldChar w:fldCharType="separate"/>
      </w:r>
      <w:r>
        <w:rPr>
          <w:rFonts w:hint="eastAsia" w:ascii="黑体" w:eastAsia="黑体"/>
          <w:sz w:val="28"/>
          <w:szCs w:val="28"/>
        </w:rPr>
        <w:t>八、政府性基金预算支出决算情况说明</w:t>
      </w:r>
      <w:r>
        <w:rPr>
          <w:sz w:val="28"/>
          <w:szCs w:val="28"/>
        </w:rPr>
        <w:tab/>
      </w:r>
      <w:r>
        <w:rPr>
          <w:sz w:val="28"/>
          <w:szCs w:val="28"/>
        </w:rPr>
        <w:fldChar w:fldCharType="begin"/>
      </w:r>
      <w:r>
        <w:rPr>
          <w:sz w:val="28"/>
          <w:szCs w:val="28"/>
        </w:rPr>
        <w:instrText xml:space="preserve"> PAGEREF _Toc10384 </w:instrText>
      </w:r>
      <w:r>
        <w:rPr>
          <w:sz w:val="28"/>
          <w:szCs w:val="28"/>
        </w:rPr>
        <w:fldChar w:fldCharType="separate"/>
      </w:r>
      <w:r>
        <w:rPr>
          <w:sz w:val="28"/>
          <w:szCs w:val="28"/>
        </w:rPr>
        <w:t>12</w:t>
      </w:r>
      <w:r>
        <w:rPr>
          <w:sz w:val="28"/>
          <w:szCs w:val="28"/>
        </w:rPr>
        <w:fldChar w:fldCharType="end"/>
      </w:r>
      <w:r>
        <w:rPr>
          <w:color w:val="000000"/>
          <w:sz w:val="28"/>
          <w:szCs w:val="28"/>
        </w:rPr>
        <w:fldChar w:fldCharType="end"/>
      </w:r>
    </w:p>
    <w:p>
      <w:pPr>
        <w:pStyle w:val="12"/>
        <w:tabs>
          <w:tab w:val="right" w:leader="dot" w:pos="8306"/>
          <w:tab w:val="clear" w:pos="8296"/>
        </w:tabs>
        <w:rPr>
          <w:sz w:val="28"/>
          <w:szCs w:val="28"/>
        </w:rPr>
      </w:pPr>
      <w:r>
        <w:rPr>
          <w:color w:val="000000"/>
          <w:sz w:val="28"/>
          <w:szCs w:val="28"/>
        </w:rPr>
        <w:fldChar w:fldCharType="begin"/>
      </w:r>
      <w:r>
        <w:rPr>
          <w:sz w:val="28"/>
          <w:szCs w:val="28"/>
        </w:rPr>
        <w:instrText xml:space="preserve"> HYPERLINK \l _Toc18955 </w:instrText>
      </w:r>
      <w:r>
        <w:rPr>
          <w:sz w:val="28"/>
          <w:szCs w:val="28"/>
        </w:rPr>
        <w:fldChar w:fldCharType="separate"/>
      </w:r>
      <w:r>
        <w:rPr>
          <w:rFonts w:hint="eastAsia" w:ascii="黑体" w:eastAsia="黑体"/>
          <w:sz w:val="28"/>
          <w:szCs w:val="28"/>
        </w:rPr>
        <w:t>九、 国有资本经营预算支出决算情况说明</w:t>
      </w:r>
      <w:r>
        <w:rPr>
          <w:sz w:val="28"/>
          <w:szCs w:val="28"/>
        </w:rPr>
        <w:tab/>
      </w:r>
      <w:r>
        <w:rPr>
          <w:sz w:val="28"/>
          <w:szCs w:val="28"/>
        </w:rPr>
        <w:fldChar w:fldCharType="begin"/>
      </w:r>
      <w:r>
        <w:rPr>
          <w:sz w:val="28"/>
          <w:szCs w:val="28"/>
        </w:rPr>
        <w:instrText xml:space="preserve"> PAGEREF _Toc18955 </w:instrText>
      </w:r>
      <w:r>
        <w:rPr>
          <w:sz w:val="28"/>
          <w:szCs w:val="28"/>
        </w:rPr>
        <w:fldChar w:fldCharType="separate"/>
      </w:r>
      <w:r>
        <w:rPr>
          <w:sz w:val="28"/>
          <w:szCs w:val="28"/>
        </w:rPr>
        <w:t>12</w:t>
      </w:r>
      <w:r>
        <w:rPr>
          <w:sz w:val="28"/>
          <w:szCs w:val="28"/>
        </w:rPr>
        <w:fldChar w:fldCharType="end"/>
      </w:r>
      <w:r>
        <w:rPr>
          <w:color w:val="000000"/>
          <w:sz w:val="28"/>
          <w:szCs w:val="28"/>
        </w:rPr>
        <w:fldChar w:fldCharType="end"/>
      </w:r>
    </w:p>
    <w:p>
      <w:pPr>
        <w:pStyle w:val="12"/>
        <w:tabs>
          <w:tab w:val="right" w:leader="dot" w:pos="8306"/>
          <w:tab w:val="clear" w:pos="8296"/>
        </w:tabs>
        <w:rPr>
          <w:sz w:val="28"/>
          <w:szCs w:val="28"/>
        </w:rPr>
      </w:pPr>
      <w:r>
        <w:rPr>
          <w:color w:val="000000"/>
          <w:sz w:val="28"/>
          <w:szCs w:val="28"/>
        </w:rPr>
        <w:fldChar w:fldCharType="begin"/>
      </w:r>
      <w:r>
        <w:rPr>
          <w:sz w:val="28"/>
          <w:szCs w:val="28"/>
        </w:rPr>
        <w:instrText xml:space="preserve"> HYPERLINK \l _Toc24608 </w:instrText>
      </w:r>
      <w:r>
        <w:rPr>
          <w:sz w:val="28"/>
          <w:szCs w:val="28"/>
        </w:rPr>
        <w:fldChar w:fldCharType="separate"/>
      </w:r>
      <w:r>
        <w:rPr>
          <w:rFonts w:hint="default" w:ascii="黑体" w:eastAsia="黑体"/>
          <w:sz w:val="28"/>
          <w:szCs w:val="28"/>
        </w:rPr>
        <w:t xml:space="preserve">十、 </w:t>
      </w:r>
      <w:r>
        <w:rPr>
          <w:rFonts w:hint="eastAsia" w:ascii="黑体" w:eastAsia="黑体"/>
          <w:sz w:val="28"/>
          <w:szCs w:val="28"/>
        </w:rPr>
        <w:t>预算绩效情况说明</w:t>
      </w:r>
      <w:r>
        <w:rPr>
          <w:sz w:val="28"/>
          <w:szCs w:val="28"/>
        </w:rPr>
        <w:tab/>
      </w:r>
      <w:r>
        <w:rPr>
          <w:sz w:val="28"/>
          <w:szCs w:val="28"/>
        </w:rPr>
        <w:fldChar w:fldCharType="begin"/>
      </w:r>
      <w:r>
        <w:rPr>
          <w:sz w:val="28"/>
          <w:szCs w:val="28"/>
        </w:rPr>
        <w:instrText xml:space="preserve"> PAGEREF _Toc24608 </w:instrText>
      </w:r>
      <w:r>
        <w:rPr>
          <w:sz w:val="28"/>
          <w:szCs w:val="28"/>
        </w:rPr>
        <w:fldChar w:fldCharType="separate"/>
      </w:r>
      <w:r>
        <w:rPr>
          <w:sz w:val="28"/>
          <w:szCs w:val="28"/>
        </w:rPr>
        <w:t>12</w:t>
      </w:r>
      <w:r>
        <w:rPr>
          <w:sz w:val="28"/>
          <w:szCs w:val="28"/>
        </w:rPr>
        <w:fldChar w:fldCharType="end"/>
      </w:r>
      <w:r>
        <w:rPr>
          <w:color w:val="000000"/>
          <w:sz w:val="28"/>
          <w:szCs w:val="28"/>
        </w:rPr>
        <w:fldChar w:fldCharType="end"/>
      </w:r>
    </w:p>
    <w:p>
      <w:pPr>
        <w:pStyle w:val="12"/>
        <w:tabs>
          <w:tab w:val="right" w:leader="dot" w:pos="8306"/>
          <w:tab w:val="clear" w:pos="8296"/>
        </w:tabs>
        <w:rPr>
          <w:sz w:val="28"/>
          <w:szCs w:val="28"/>
        </w:rPr>
      </w:pPr>
      <w:r>
        <w:rPr>
          <w:color w:val="000000"/>
          <w:sz w:val="28"/>
          <w:szCs w:val="28"/>
        </w:rPr>
        <w:fldChar w:fldCharType="begin"/>
      </w:r>
      <w:r>
        <w:rPr>
          <w:sz w:val="28"/>
          <w:szCs w:val="28"/>
        </w:rPr>
        <w:instrText xml:space="preserve"> HYPERLINK \l _Toc11969 </w:instrText>
      </w:r>
      <w:r>
        <w:rPr>
          <w:sz w:val="28"/>
          <w:szCs w:val="28"/>
        </w:rPr>
        <w:fldChar w:fldCharType="separate"/>
      </w:r>
      <w:r>
        <w:rPr>
          <w:rFonts w:hint="eastAsia" w:ascii="黑体" w:eastAsia="黑体"/>
          <w:sz w:val="28"/>
          <w:szCs w:val="28"/>
        </w:rPr>
        <w:t>十一、其他重要事项的情况说明</w:t>
      </w:r>
      <w:r>
        <w:rPr>
          <w:sz w:val="28"/>
          <w:szCs w:val="28"/>
        </w:rPr>
        <w:tab/>
      </w:r>
      <w:r>
        <w:rPr>
          <w:sz w:val="28"/>
          <w:szCs w:val="28"/>
        </w:rPr>
        <w:fldChar w:fldCharType="begin"/>
      </w:r>
      <w:r>
        <w:rPr>
          <w:sz w:val="28"/>
          <w:szCs w:val="28"/>
        </w:rPr>
        <w:instrText xml:space="preserve"> PAGEREF _Toc11969 </w:instrText>
      </w:r>
      <w:r>
        <w:rPr>
          <w:sz w:val="28"/>
          <w:szCs w:val="28"/>
        </w:rPr>
        <w:fldChar w:fldCharType="separate"/>
      </w:r>
      <w:r>
        <w:rPr>
          <w:sz w:val="28"/>
          <w:szCs w:val="28"/>
        </w:rPr>
        <w:t>20</w:t>
      </w:r>
      <w:r>
        <w:rPr>
          <w:sz w:val="28"/>
          <w:szCs w:val="28"/>
        </w:rPr>
        <w:fldChar w:fldCharType="end"/>
      </w:r>
      <w:r>
        <w:rPr>
          <w:color w:val="000000"/>
          <w:sz w:val="28"/>
          <w:szCs w:val="28"/>
        </w:rPr>
        <w:fldChar w:fldCharType="end"/>
      </w:r>
    </w:p>
    <w:p>
      <w:pPr>
        <w:pStyle w:val="11"/>
        <w:tabs>
          <w:tab w:val="right" w:leader="dot" w:pos="8306"/>
          <w:tab w:val="clear" w:pos="8296"/>
        </w:tabs>
        <w:rPr>
          <w:sz w:val="28"/>
          <w:szCs w:val="28"/>
        </w:rPr>
      </w:pPr>
      <w:r>
        <w:rPr>
          <w:color w:val="000000"/>
          <w:sz w:val="28"/>
          <w:szCs w:val="28"/>
        </w:rPr>
        <w:fldChar w:fldCharType="begin"/>
      </w:r>
      <w:r>
        <w:rPr>
          <w:sz w:val="28"/>
          <w:szCs w:val="28"/>
        </w:rPr>
        <w:instrText xml:space="preserve"> HYPERLINK \l _Toc20207 </w:instrText>
      </w:r>
      <w:r>
        <w:rPr>
          <w:sz w:val="28"/>
          <w:szCs w:val="28"/>
        </w:rPr>
        <w:fldChar w:fldCharType="separate"/>
      </w:r>
      <w:r>
        <w:rPr>
          <w:rFonts w:hint="eastAsia" w:ascii="黑体" w:eastAsia="黑体"/>
          <w:sz w:val="28"/>
          <w:szCs w:val="28"/>
        </w:rPr>
        <w:t>第三部分 名词解释</w:t>
      </w:r>
      <w:r>
        <w:rPr>
          <w:sz w:val="28"/>
          <w:szCs w:val="28"/>
        </w:rPr>
        <w:tab/>
      </w:r>
      <w:r>
        <w:rPr>
          <w:sz w:val="28"/>
          <w:szCs w:val="28"/>
        </w:rPr>
        <w:fldChar w:fldCharType="begin"/>
      </w:r>
      <w:r>
        <w:rPr>
          <w:sz w:val="28"/>
          <w:szCs w:val="28"/>
        </w:rPr>
        <w:instrText xml:space="preserve"> PAGEREF _Toc20207 </w:instrText>
      </w:r>
      <w:r>
        <w:rPr>
          <w:sz w:val="28"/>
          <w:szCs w:val="28"/>
        </w:rPr>
        <w:fldChar w:fldCharType="separate"/>
      </w:r>
      <w:r>
        <w:rPr>
          <w:sz w:val="28"/>
          <w:szCs w:val="28"/>
        </w:rPr>
        <w:t>20</w:t>
      </w:r>
      <w:r>
        <w:rPr>
          <w:sz w:val="28"/>
          <w:szCs w:val="28"/>
        </w:rPr>
        <w:fldChar w:fldCharType="end"/>
      </w:r>
      <w:r>
        <w:rPr>
          <w:color w:val="000000"/>
          <w:sz w:val="28"/>
          <w:szCs w:val="28"/>
        </w:rPr>
        <w:fldChar w:fldCharType="end"/>
      </w:r>
    </w:p>
    <w:p>
      <w:pPr>
        <w:pStyle w:val="11"/>
        <w:tabs>
          <w:tab w:val="right" w:leader="dot" w:pos="8306"/>
          <w:tab w:val="clear" w:pos="8296"/>
        </w:tabs>
        <w:rPr>
          <w:sz w:val="28"/>
          <w:szCs w:val="28"/>
        </w:rPr>
      </w:pPr>
      <w:r>
        <w:rPr>
          <w:color w:val="000000"/>
          <w:sz w:val="28"/>
          <w:szCs w:val="28"/>
        </w:rPr>
        <w:fldChar w:fldCharType="begin"/>
      </w:r>
      <w:r>
        <w:rPr>
          <w:sz w:val="28"/>
          <w:szCs w:val="28"/>
        </w:rPr>
        <w:instrText xml:space="preserve"> HYPERLINK \l _Toc20006 </w:instrText>
      </w:r>
      <w:r>
        <w:rPr>
          <w:sz w:val="28"/>
          <w:szCs w:val="28"/>
        </w:rPr>
        <w:fldChar w:fldCharType="separate"/>
      </w:r>
      <w:r>
        <w:rPr>
          <w:rFonts w:hint="eastAsia" w:ascii="黑体" w:eastAsia="黑体"/>
          <w:sz w:val="28"/>
          <w:szCs w:val="28"/>
        </w:rPr>
        <w:t xml:space="preserve">第四部分 </w:t>
      </w:r>
      <w:r>
        <w:rPr>
          <w:rFonts w:hint="eastAsia" w:ascii="黑体" w:eastAsia="黑体"/>
          <w:sz w:val="28"/>
          <w:szCs w:val="28"/>
          <w:lang w:val="en-US" w:eastAsia="zh-CN"/>
        </w:rPr>
        <w:t>2020年及</w:t>
      </w:r>
      <w:r>
        <w:rPr>
          <w:rFonts w:hint="eastAsia" w:ascii="黑体" w:eastAsia="黑体"/>
          <w:sz w:val="28"/>
          <w:szCs w:val="28"/>
        </w:rPr>
        <w:t>20</w:t>
      </w:r>
      <w:r>
        <w:rPr>
          <w:rFonts w:hint="eastAsia" w:ascii="黑体" w:eastAsia="黑体"/>
          <w:sz w:val="28"/>
          <w:szCs w:val="28"/>
          <w:lang w:val="en-US" w:eastAsia="zh-CN"/>
        </w:rPr>
        <w:t>21</w:t>
      </w:r>
      <w:r>
        <w:rPr>
          <w:rFonts w:hint="eastAsia" w:ascii="黑体" w:eastAsia="黑体"/>
          <w:sz w:val="28"/>
          <w:szCs w:val="28"/>
        </w:rPr>
        <w:t>年</w:t>
      </w:r>
      <w:r>
        <w:rPr>
          <w:rFonts w:hint="eastAsia" w:ascii="黑体" w:eastAsia="黑体"/>
          <w:sz w:val="28"/>
          <w:szCs w:val="28"/>
          <w:lang w:val="en-US" w:eastAsia="zh-CN"/>
        </w:rPr>
        <w:t>1-6月</w:t>
      </w:r>
      <w:r>
        <w:rPr>
          <w:rFonts w:hint="eastAsia" w:ascii="黑体" w:eastAsia="黑体"/>
          <w:sz w:val="28"/>
          <w:szCs w:val="28"/>
        </w:rPr>
        <w:t>部门整体支出绩效评价报告</w:t>
      </w:r>
      <w:r>
        <w:rPr>
          <w:sz w:val="28"/>
          <w:szCs w:val="28"/>
        </w:rPr>
        <w:tab/>
      </w:r>
      <w:r>
        <w:rPr>
          <w:sz w:val="28"/>
          <w:szCs w:val="28"/>
        </w:rPr>
        <w:fldChar w:fldCharType="begin"/>
      </w:r>
      <w:r>
        <w:rPr>
          <w:sz w:val="28"/>
          <w:szCs w:val="28"/>
        </w:rPr>
        <w:instrText xml:space="preserve"> PAGEREF _Toc20006 </w:instrText>
      </w:r>
      <w:r>
        <w:rPr>
          <w:sz w:val="28"/>
          <w:szCs w:val="28"/>
        </w:rPr>
        <w:fldChar w:fldCharType="separate"/>
      </w:r>
      <w:r>
        <w:rPr>
          <w:sz w:val="28"/>
          <w:szCs w:val="28"/>
        </w:rPr>
        <w:t>22</w:t>
      </w:r>
      <w:r>
        <w:rPr>
          <w:sz w:val="28"/>
          <w:szCs w:val="28"/>
        </w:rPr>
        <w:fldChar w:fldCharType="end"/>
      </w:r>
      <w:r>
        <w:rPr>
          <w:color w:val="000000"/>
          <w:sz w:val="28"/>
          <w:szCs w:val="28"/>
        </w:rPr>
        <w:fldChar w:fldCharType="end"/>
      </w:r>
    </w:p>
    <w:p>
      <w:pPr>
        <w:pStyle w:val="11"/>
        <w:tabs>
          <w:tab w:val="right" w:leader="dot" w:pos="8306"/>
          <w:tab w:val="clear" w:pos="8296"/>
        </w:tabs>
        <w:jc w:val="both"/>
      </w:pPr>
      <w:r>
        <w:rPr>
          <w:color w:val="000000"/>
        </w:rPr>
        <w:fldChar w:fldCharType="end"/>
      </w:r>
      <w:bookmarkStart w:id="22" w:name="_Toc15377196"/>
    </w:p>
    <w:p>
      <w:pPr>
        <w:pStyle w:val="3"/>
        <w:jc w:val="center"/>
        <w:rPr>
          <w:rFonts w:ascii="黑体" w:eastAsia="黑体"/>
          <w:color w:val="000000"/>
          <w:sz w:val="32"/>
          <w:szCs w:val="32"/>
        </w:rPr>
      </w:pPr>
      <w:bookmarkStart w:id="23" w:name="_Toc15465"/>
      <w:r>
        <w:rPr>
          <w:rFonts w:hint="eastAsia" w:ascii="黑体" w:eastAsia="黑体"/>
          <w:b w:val="0"/>
        </w:rPr>
        <w:t xml:space="preserve">第一部分 </w:t>
      </w:r>
      <w:r>
        <w:rPr>
          <w:rStyle w:val="18"/>
          <w:rFonts w:hint="eastAsia" w:ascii="黑体" w:eastAsia="黑体"/>
          <w:b w:val="0"/>
          <w:bCs w:val="0"/>
        </w:rPr>
        <w:t>部门概况</w:t>
      </w:r>
      <w:bookmarkEnd w:id="22"/>
      <w:bookmarkEnd w:id="23"/>
    </w:p>
    <w:p>
      <w:pPr>
        <w:pStyle w:val="4"/>
        <w:spacing w:before="0" w:after="0" w:line="240" w:lineRule="auto"/>
        <w:ind w:left="640" w:hanging="640" w:hangingChars="200"/>
        <w:rPr>
          <w:rStyle w:val="19"/>
          <w:rFonts w:ascii="黑体" w:eastAsia="黑体"/>
          <w:b w:val="0"/>
          <w:bCs w:val="0"/>
        </w:rPr>
      </w:pPr>
      <w:bookmarkStart w:id="24" w:name="_Toc15377197"/>
      <w:bookmarkStart w:id="25" w:name="_Toc20260"/>
      <w:r>
        <w:rPr>
          <w:rFonts w:hint="eastAsia" w:ascii="黑体" w:eastAsia="黑体"/>
          <w:b w:val="0"/>
          <w:color w:val="000000"/>
        </w:rPr>
        <w:t>一、基</w:t>
      </w:r>
      <w:r>
        <w:rPr>
          <w:rStyle w:val="19"/>
          <w:rFonts w:hint="eastAsia" w:ascii="黑体" w:eastAsia="黑体"/>
          <w:b w:val="0"/>
          <w:bCs w:val="0"/>
        </w:rPr>
        <w:t>本职能及主要工作</w:t>
      </w:r>
      <w:bookmarkEnd w:id="24"/>
      <w:bookmarkEnd w:id="25"/>
      <w:bookmarkStart w:id="26" w:name="_Toc15377198"/>
      <w:bookmarkStart w:id="27" w:name="_Toc15378445"/>
    </w:p>
    <w:p>
      <w:pPr>
        <w:pStyle w:val="4"/>
        <w:spacing w:before="0" w:after="0" w:line="240" w:lineRule="auto"/>
        <w:ind w:left="642" w:leftChars="153" w:hanging="321" w:hangingChars="100"/>
        <w:rPr>
          <w:rFonts w:ascii="楷体" w:eastAsia="楷体" w:cs="楷体"/>
          <w:color w:val="000000"/>
        </w:rPr>
      </w:pPr>
      <w:bookmarkStart w:id="28" w:name="_Toc11875"/>
      <w:r>
        <w:rPr>
          <w:rFonts w:hint="eastAsia" w:ascii="楷体" w:eastAsia="楷体" w:cs="楷体"/>
          <w:color w:val="000000"/>
        </w:rPr>
        <w:t>（一）主要职能</w:t>
      </w:r>
      <w:bookmarkEnd w:id="26"/>
      <w:bookmarkEnd w:id="27"/>
      <w:bookmarkEnd w:id="28"/>
      <w:bookmarkStart w:id="29" w:name="_Toc15377199"/>
      <w:bookmarkStart w:id="30" w:name="_Toc15378446"/>
    </w:p>
    <w:p>
      <w:pPr>
        <w:snapToGrid w:val="0"/>
        <w:spacing w:line="360" w:lineRule="auto"/>
        <w:ind w:firstLine="640" w:firstLineChars="200"/>
        <w:outlineLvl w:val="1"/>
        <w:rPr>
          <w:rFonts w:ascii="仿宋_GB2312" w:hAnsi="仿宋" w:eastAsia="仿宋_GB2312" w:cs="仿宋_GB2312"/>
          <w:sz w:val="32"/>
          <w:szCs w:val="32"/>
        </w:rPr>
      </w:pPr>
      <w:bookmarkStart w:id="31" w:name="_Toc25547"/>
      <w:bookmarkStart w:id="32" w:name="_Toc5611"/>
      <w:bookmarkStart w:id="33" w:name="_Toc6261"/>
      <w:bookmarkStart w:id="34" w:name="_Toc18446"/>
      <w:bookmarkStart w:id="35" w:name="_Toc3563"/>
      <w:bookmarkStart w:id="36" w:name="_Toc3332"/>
      <w:r>
        <w:rPr>
          <w:rFonts w:hint="eastAsia" w:ascii="仿宋_GB2312" w:eastAsia="仿宋_GB2312"/>
          <w:kern w:val="0"/>
          <w:sz w:val="32"/>
          <w:szCs w:val="32"/>
        </w:rPr>
        <w:t>2020年在县委、县政府的正确领导下，在县级有关部门及其他兄弟乡镇的大力支持和帮助下，在镇党委的正确带领下，</w:t>
      </w:r>
      <w:r>
        <w:rPr>
          <w:rFonts w:hint="eastAsia" w:ascii="仿宋_GB2312" w:hAnsi="仿宋" w:eastAsia="仿宋_GB2312" w:cs="仿宋_GB2312"/>
          <w:sz w:val="32"/>
          <w:szCs w:val="32"/>
        </w:rPr>
        <w:t>贯彻执行党和国家关于预算、税收、行政事业单位国有资产、财务、会计等法律、法规、规章和方针、政策。根据我镇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观音桥镇发展的新局面。</w:t>
      </w:r>
      <w:bookmarkEnd w:id="31"/>
      <w:bookmarkEnd w:id="32"/>
      <w:bookmarkEnd w:id="33"/>
      <w:bookmarkEnd w:id="34"/>
      <w:bookmarkEnd w:id="35"/>
      <w:bookmarkEnd w:id="36"/>
    </w:p>
    <w:p>
      <w:pPr>
        <w:pStyle w:val="4"/>
        <w:spacing w:before="0" w:after="0" w:line="240" w:lineRule="auto"/>
        <w:ind w:firstLine="321" w:firstLineChars="100"/>
        <w:rPr>
          <w:rFonts w:ascii="楷体" w:eastAsia="楷体" w:cs="楷体"/>
          <w:color w:val="000000"/>
        </w:rPr>
      </w:pPr>
      <w:bookmarkStart w:id="37" w:name="_Toc29688"/>
      <w:r>
        <w:rPr>
          <w:rFonts w:hint="eastAsia" w:ascii="楷体" w:eastAsia="楷体" w:cs="楷体"/>
          <w:color w:val="000000"/>
        </w:rPr>
        <w:t>（二）</w:t>
      </w:r>
      <w:r>
        <w:rPr>
          <w:rFonts w:ascii="楷体" w:eastAsia="楷体" w:cs="楷体"/>
          <w:color w:val="000000"/>
        </w:rPr>
        <w:t>2020</w:t>
      </w:r>
      <w:r>
        <w:rPr>
          <w:rFonts w:hint="eastAsia" w:ascii="楷体" w:eastAsia="楷体" w:cs="楷体"/>
          <w:color w:val="000000"/>
        </w:rPr>
        <w:t>年重点工作完成情况</w:t>
      </w:r>
      <w:bookmarkEnd w:id="29"/>
      <w:bookmarkEnd w:id="30"/>
      <w:bookmarkEnd w:id="37"/>
    </w:p>
    <w:p>
      <w:pPr>
        <w:pStyle w:val="13"/>
        <w:shd w:val="clear" w:color="auto" w:fill="FFFFFF"/>
        <w:spacing w:line="560" w:lineRule="exact"/>
        <w:ind w:firstLine="720"/>
        <w:rPr>
          <w:rFonts w:hint="default" w:ascii="仿宋_GB2312" w:hAnsi="仿宋" w:eastAsia="仿宋_GB2312" w:cs="仿宋_GB2312"/>
          <w:sz w:val="32"/>
          <w:szCs w:val="32"/>
          <w:shd w:val="clear" w:color="auto" w:fill="FFFFFF"/>
        </w:rPr>
      </w:pPr>
      <w:bookmarkStart w:id="38" w:name="_Toc15377200"/>
      <w:r>
        <w:rPr>
          <w:rFonts w:ascii="仿宋_GB2312" w:hAnsi="仿宋" w:eastAsia="仿宋_GB2312" w:cs="仿宋_GB2312"/>
          <w:sz w:val="32"/>
          <w:szCs w:val="32"/>
          <w:shd w:val="clear" w:color="auto" w:fill="FFFFFF"/>
        </w:rPr>
        <w:t>2020年是我镇发展进程中极为困难、充满挑战的一年，也是奋发有为、满载收获的一年。一年来，全镇面临着疫情防控、护林防火、地灾防范等重重困难带来的挑战，始终坚持以习近平新时代中国特色社会主义思想为指引，坚持稳中求进工作总基调,以脱贫攻坚、环境整治、文明创建、党的建设、疫情防控、防汛救灾等重点任务为抓手,重精准、补短板，主动适应社会经济发展新常态,解决了一个又一个发展难题,圆满完成了各项年度目标任务，交出了一份上级认可、社会肯定、群众满意的答卷。</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一、在冲击和危机面前，我们逆势求变、稳中求进，保住了势头、促进了发展</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坚奋进之志、谋创业之策”面临具有极强扩散性的新冠肺炎疫情与多点频发的灾情，为确保全乡经济稳步推进，一年来，按照“目标不减、任务不减、严守实效关、把准质量关”的工作宗旨，不等不靠、主动出击，科学谋划发展大局，围绕经济建设、脱贫攻坚、项目投资、水电移民等重大工作因时因地开展复工复产。</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 xml:space="preserve">奏好“振兴曲”，农业发展纵深延续。自乡村振兴战略实施以来，全镇始终坚持党管农村工作、农业农村优先发展，坚持农民主体地位、因地制宜的工作原则，全力推进观音桥镇“面子”、“里子”工程的大提升。以产业振兴为支撑，壮大镇域经济。 </w:t>
      </w:r>
    </w:p>
    <w:p>
      <w:pPr>
        <w:spacing w:line="578" w:lineRule="exact"/>
        <w:ind w:firstLine="640" w:firstLineChars="200"/>
        <w:rPr>
          <w:rStyle w:val="19"/>
          <w:b w:val="0"/>
          <w:bCs w:val="0"/>
        </w:rPr>
      </w:pPr>
      <w:bookmarkStart w:id="39" w:name="_Toc3779"/>
      <w:r>
        <w:rPr>
          <w:rStyle w:val="19"/>
          <w:rFonts w:hint="eastAsia" w:ascii="黑体" w:eastAsia="黑体"/>
          <w:b w:val="0"/>
          <w:bCs w:val="0"/>
        </w:rPr>
        <w:t>二、机构设置</w:t>
      </w:r>
      <w:bookmarkEnd w:id="38"/>
    </w:p>
    <w:bookmarkEnd w:id="39"/>
    <w:p>
      <w:pPr>
        <w:snapToGrid w:val="0"/>
        <w:spacing w:line="520" w:lineRule="exact"/>
        <w:ind w:firstLine="640" w:firstLineChars="200"/>
        <w:rPr>
          <w:rFonts w:ascii="仿宋_GB2312" w:hAnsi="仿宋_GB2312" w:eastAsia="仿宋_GB2312" w:cs="仿宋_GB2312"/>
          <w:bCs/>
          <w:sz w:val="32"/>
        </w:rPr>
      </w:pPr>
      <w:bookmarkStart w:id="40" w:name="_Toc15377204"/>
      <w:r>
        <w:rPr>
          <w:rFonts w:hint="eastAsia" w:ascii="仿宋_GB2312" w:hAnsi="仿宋_GB2312" w:eastAsia="仿宋_GB2312" w:cs="仿宋_GB2312"/>
          <w:bCs/>
          <w:sz w:val="32"/>
        </w:rPr>
        <w:t>我镇20</w:t>
      </w:r>
      <w:r>
        <w:rPr>
          <w:rFonts w:ascii="仿宋_GB2312" w:hAnsi="仿宋_GB2312" w:eastAsia="仿宋_GB2312" w:cs="仿宋_GB2312"/>
          <w:bCs/>
          <w:sz w:val="32"/>
        </w:rPr>
        <w:t>20</w:t>
      </w:r>
      <w:r>
        <w:rPr>
          <w:rFonts w:hint="eastAsia" w:ascii="仿宋_GB2312" w:hAnsi="仿宋_GB2312" w:eastAsia="仿宋_GB2312" w:cs="仿宋_GB2312"/>
          <w:bCs/>
          <w:sz w:val="32"/>
        </w:rPr>
        <w:t>年有2个机构，较上年无变动。20</w:t>
      </w:r>
      <w:r>
        <w:rPr>
          <w:rFonts w:ascii="仿宋_GB2312" w:hAnsi="仿宋_GB2312" w:eastAsia="仿宋_GB2312" w:cs="仿宋_GB2312"/>
          <w:bCs/>
          <w:sz w:val="32"/>
        </w:rPr>
        <w:t>20</w:t>
      </w:r>
      <w:r>
        <w:rPr>
          <w:rFonts w:hint="eastAsia" w:ascii="仿宋_GB2312" w:hAnsi="仿宋_GB2312" w:eastAsia="仿宋_GB2312" w:cs="仿宋_GB2312"/>
          <w:bCs/>
          <w:sz w:val="32"/>
        </w:rPr>
        <w:t>年年初在职28人（行政人员21人，其中：行政工勤1人；事业人员6人）。</w:t>
      </w:r>
    </w:p>
    <w:p>
      <w:pPr>
        <w:snapToGrid w:val="0"/>
        <w:spacing w:line="360" w:lineRule="auto"/>
        <w:ind w:firstLine="640" w:firstLineChars="200"/>
        <w:rPr>
          <w:rFonts w:ascii="仿宋_GB2312" w:hAnsi="仿宋" w:eastAsia="仿宋_GB2312"/>
          <w:sz w:val="32"/>
          <w:szCs w:val="32"/>
        </w:rPr>
      </w:pPr>
      <w:r>
        <w:rPr>
          <w:rFonts w:hint="eastAsia" w:ascii="仿宋_GB2312" w:hAnsi="仿宋_GB2312" w:eastAsia="仿宋_GB2312" w:cs="仿宋_GB2312"/>
          <w:bCs/>
          <w:sz w:val="32"/>
        </w:rPr>
        <w:t>20</w:t>
      </w:r>
      <w:r>
        <w:rPr>
          <w:rFonts w:ascii="仿宋_GB2312" w:hAnsi="仿宋_GB2312" w:eastAsia="仿宋_GB2312" w:cs="仿宋_GB2312"/>
          <w:bCs/>
          <w:sz w:val="32"/>
        </w:rPr>
        <w:t>20</w:t>
      </w:r>
      <w:r>
        <w:rPr>
          <w:rFonts w:hint="eastAsia" w:ascii="仿宋_GB2312" w:hAnsi="仿宋_GB2312" w:eastAsia="仿宋_GB2312" w:cs="仿宋_GB2312"/>
          <w:bCs/>
          <w:sz w:val="32"/>
        </w:rPr>
        <w:t>年年末在职53人（行政人员27人，其中：行政工勤2人；事业人员24人）。</w:t>
      </w:r>
    </w:p>
    <w:p>
      <w:pPr>
        <w:pStyle w:val="3"/>
        <w:ind w:right="440"/>
        <w:jc w:val="right"/>
      </w:pPr>
      <w:bookmarkStart w:id="41" w:name="_Toc1757"/>
      <w:r>
        <w:rPr>
          <w:rFonts w:hint="eastAsia" w:ascii="黑体" w:eastAsia="黑体"/>
          <w:b w:val="0"/>
          <w:color w:val="000000"/>
        </w:rPr>
        <w:t>第二部分</w:t>
      </w:r>
      <w:r>
        <w:rPr>
          <w:rFonts w:hint="eastAsia" w:ascii="黑体" w:eastAsia="黑体"/>
          <w:color w:val="000000"/>
        </w:rPr>
        <w:t xml:space="preserve"> </w:t>
      </w:r>
      <w:r>
        <w:rPr>
          <w:rStyle w:val="18"/>
          <w:rFonts w:ascii="黑体" w:eastAsia="黑体"/>
          <w:b w:val="0"/>
          <w:bCs w:val="0"/>
        </w:rPr>
        <w:t>2020</w:t>
      </w:r>
      <w:r>
        <w:rPr>
          <w:rStyle w:val="18"/>
          <w:rFonts w:hint="eastAsia" w:ascii="黑体" w:eastAsia="黑体"/>
          <w:b w:val="0"/>
          <w:bCs w:val="0"/>
        </w:rPr>
        <w:t>年度部门决算情况说明</w:t>
      </w:r>
      <w:bookmarkEnd w:id="40"/>
      <w:bookmarkEnd w:id="41"/>
    </w:p>
    <w:p>
      <w:pPr>
        <w:pStyle w:val="24"/>
        <w:numPr>
          <w:ilvl w:val="0"/>
          <w:numId w:val="1"/>
        </w:numPr>
        <w:ind w:left="0" w:firstLine="0" w:firstLineChars="0"/>
        <w:outlineLvl w:val="1"/>
        <w:rPr>
          <w:rStyle w:val="19"/>
          <w:rFonts w:ascii="黑体" w:eastAsia="黑体"/>
          <w:b w:val="0"/>
        </w:rPr>
      </w:pPr>
      <w:bookmarkStart w:id="42" w:name="_Toc15377205"/>
      <w:bookmarkStart w:id="43" w:name="_Toc24269"/>
      <w:r>
        <w:rPr>
          <w:rFonts w:hint="eastAsia" w:ascii="黑体" w:eastAsia="黑体"/>
          <w:color w:val="000000"/>
          <w:sz w:val="32"/>
          <w:szCs w:val="32"/>
        </w:rPr>
        <w:t>收</w:t>
      </w:r>
      <w:r>
        <w:rPr>
          <w:rStyle w:val="19"/>
          <w:rFonts w:hint="eastAsia" w:ascii="黑体" w:eastAsia="黑体"/>
          <w:b w:val="0"/>
        </w:rPr>
        <w:t>入支出决算总体情况说明</w:t>
      </w:r>
      <w:bookmarkEnd w:id="42"/>
      <w:bookmarkEnd w:id="43"/>
    </w:p>
    <w:p>
      <w:pPr>
        <w:snapToGrid w:val="0"/>
        <w:spacing w:line="520" w:lineRule="exact"/>
        <w:ind w:firstLine="632" w:firstLineChars="200"/>
        <w:rPr>
          <w:rFonts w:ascii="仿宋_GB2312" w:eastAsia="仿宋_GB2312"/>
          <w:color w:val="000000"/>
          <w:spacing w:val="-2"/>
          <w:sz w:val="32"/>
          <w:szCs w:val="32"/>
        </w:rPr>
      </w:pPr>
      <w:r>
        <w:rPr>
          <w:rFonts w:ascii="仿宋_GB2312" w:eastAsia="仿宋_GB2312"/>
          <w:color w:val="000000"/>
          <w:spacing w:val="-2"/>
          <w:sz w:val="32"/>
          <w:szCs w:val="32"/>
        </w:rPr>
        <w:t>2020</w:t>
      </w:r>
      <w:r>
        <w:rPr>
          <w:rFonts w:hint="eastAsia" w:ascii="仿宋_GB2312" w:eastAsia="仿宋_GB2312"/>
          <w:color w:val="000000"/>
          <w:spacing w:val="-2"/>
          <w:sz w:val="32"/>
          <w:szCs w:val="32"/>
        </w:rPr>
        <w:t>年度总收入1253.42万元，较上年收入增加493.24万元，增加64.88%。增加的主要原因是撤乡并镇后</w:t>
      </w:r>
      <w:r>
        <w:rPr>
          <w:rFonts w:ascii="仿宋_GB2312" w:eastAsia="仿宋_GB2312"/>
          <w:color w:val="000000"/>
          <w:spacing w:val="-2"/>
          <w:sz w:val="32"/>
          <w:szCs w:val="32"/>
        </w:rPr>
        <w:t>2020</w:t>
      </w:r>
      <w:r>
        <w:rPr>
          <w:rFonts w:hint="eastAsia" w:ascii="仿宋_GB2312" w:eastAsia="仿宋_GB2312"/>
          <w:color w:val="000000"/>
          <w:spacing w:val="-2"/>
          <w:sz w:val="32"/>
          <w:szCs w:val="32"/>
        </w:rPr>
        <w:t>年人员增加，工资变动等方面。</w:t>
      </w:r>
    </w:p>
    <w:p>
      <w:pPr>
        <w:snapToGrid w:val="0"/>
        <w:spacing w:line="520" w:lineRule="exact"/>
        <w:ind w:firstLine="632" w:firstLineChars="200"/>
        <w:rPr>
          <w:rFonts w:ascii="仿宋" w:eastAsia="仿宋"/>
          <w:sz w:val="32"/>
          <w:szCs w:val="32"/>
        </w:rPr>
      </w:pPr>
      <w:r>
        <w:rPr>
          <w:rFonts w:ascii="仿宋_GB2312" w:eastAsia="仿宋_GB2312"/>
          <w:spacing w:val="-2"/>
          <w:sz w:val="32"/>
          <w:szCs w:val="32"/>
        </w:rPr>
        <w:t>2020</w:t>
      </w:r>
      <w:r>
        <w:rPr>
          <w:rFonts w:hint="eastAsia" w:ascii="仿宋_GB2312" w:eastAsia="仿宋_GB2312"/>
          <w:spacing w:val="-2"/>
          <w:sz w:val="32"/>
          <w:szCs w:val="32"/>
        </w:rPr>
        <w:t>年总支出1213.62万元，较上年支出增加647.86万元，增加114.51%。主要原因一是撤乡并镇后当年部门预算安排项目经费较上年有所增加；二是撤乡并镇后</w:t>
      </w:r>
      <w:r>
        <w:rPr>
          <w:rFonts w:ascii="仿宋_GB2312" w:eastAsia="仿宋_GB2312"/>
          <w:spacing w:val="-2"/>
          <w:sz w:val="32"/>
          <w:szCs w:val="32"/>
        </w:rPr>
        <w:t>2020</w:t>
      </w:r>
      <w:r>
        <w:rPr>
          <w:rFonts w:hint="eastAsia" w:ascii="仿宋_GB2312" w:eastAsia="仿宋_GB2312"/>
          <w:spacing w:val="-2"/>
          <w:sz w:val="32"/>
          <w:szCs w:val="32"/>
        </w:rPr>
        <w:t>年人员增加相关经费支出增加。</w:t>
      </w:r>
    </w:p>
    <w:p>
      <w:pPr>
        <w:spacing w:line="600" w:lineRule="exact"/>
        <w:ind w:firstLine="640" w:firstLineChars="200"/>
        <w:outlineLvl w:val="1"/>
        <w:rPr>
          <w:rFonts w:ascii="黑体" w:eastAsia="黑体"/>
          <w:color w:val="000000"/>
          <w:sz w:val="32"/>
          <w:szCs w:val="32"/>
        </w:rPr>
      </w:pPr>
      <w:bookmarkStart w:id="44" w:name="_Toc2350"/>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314960</wp:posOffset>
            </wp:positionH>
            <wp:positionV relativeFrom="paragraph">
              <wp:posOffset>45720</wp:posOffset>
            </wp:positionV>
            <wp:extent cx="5080000" cy="2582545"/>
            <wp:effectExtent l="4445" t="4445" r="8255" b="1651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45" w:name="_Toc15377206"/>
      <w:r>
        <w:rPr>
          <w:rFonts w:hint="eastAsia" w:ascii="黑体" w:eastAsia="黑体"/>
          <w:color w:val="000000"/>
          <w:sz w:val="32"/>
          <w:szCs w:val="32"/>
        </w:rPr>
        <w:t>二、收入决算情况说明</w:t>
      </w:r>
      <w:bookmarkEnd w:id="44"/>
      <w:bookmarkEnd w:id="45"/>
    </w:p>
    <w:p>
      <w:pPr>
        <w:spacing w:line="600" w:lineRule="exact"/>
        <w:ind w:firstLine="640" w:firstLineChars="200"/>
        <w:outlineLvl w:val="1"/>
        <w:rPr>
          <w:rFonts w:ascii="仿宋" w:eastAsia="仿宋"/>
          <w:color w:val="000000"/>
          <w:sz w:val="32"/>
          <w:szCs w:val="32"/>
        </w:rPr>
      </w:pPr>
      <w:bookmarkStart w:id="46" w:name="_Toc19067"/>
      <w:bookmarkStart w:id="47" w:name="_Toc23212"/>
      <w:bookmarkStart w:id="48" w:name="_Toc6522"/>
      <w:bookmarkStart w:id="49" w:name="_Toc28166"/>
      <w:bookmarkStart w:id="50" w:name="_Toc4019"/>
      <w:r>
        <w:rPr>
          <w:rFonts w:ascii="仿宋" w:eastAsia="仿宋"/>
          <w:color w:val="000000"/>
          <w:sz w:val="32"/>
          <w:szCs w:val="32"/>
        </w:rPr>
        <w:t>2020</w:t>
      </w:r>
      <w:r>
        <w:rPr>
          <w:rFonts w:hint="eastAsia" w:ascii="仿宋" w:eastAsia="仿宋"/>
          <w:color w:val="000000"/>
          <w:sz w:val="32"/>
          <w:szCs w:val="32"/>
        </w:rPr>
        <w:t>年总收入1253.42万元，其中：一般公共预算财政拨款收入1253.42万元，占100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bookmarkEnd w:id="46"/>
      <w:bookmarkEnd w:id="47"/>
      <w:bookmarkEnd w:id="48"/>
      <w:bookmarkEnd w:id="49"/>
      <w:bookmarkEnd w:id="50"/>
    </w:p>
    <w:p>
      <w:pPr>
        <w:spacing w:line="600" w:lineRule="exact"/>
        <w:ind w:firstLine="640" w:firstLineChars="200"/>
        <w:outlineLvl w:val="1"/>
        <w:rPr>
          <w:rStyle w:val="19"/>
          <w:rFonts w:ascii="黑体" w:eastAsia="黑体"/>
          <w:b w:val="0"/>
        </w:rPr>
      </w:pPr>
      <w:bookmarkStart w:id="51" w:name="_Toc32450"/>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177165</wp:posOffset>
            </wp:positionH>
            <wp:positionV relativeFrom="paragraph">
              <wp:posOffset>134620</wp:posOffset>
            </wp:positionV>
            <wp:extent cx="5373370" cy="2648585"/>
            <wp:effectExtent l="4445" t="4445" r="13335" b="1397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52" w:name="_Toc15377207"/>
      <w:r>
        <w:rPr>
          <w:rFonts w:hint="eastAsia" w:ascii="黑体" w:eastAsia="黑体"/>
          <w:color w:val="000000"/>
          <w:sz w:val="32"/>
          <w:szCs w:val="32"/>
        </w:rPr>
        <w:t>三、支出决</w:t>
      </w:r>
      <w:r>
        <w:rPr>
          <w:rStyle w:val="19"/>
          <w:rFonts w:hint="eastAsia" w:ascii="黑体" w:eastAsia="黑体"/>
          <w:b w:val="0"/>
        </w:rPr>
        <w:t>算情况说明</w:t>
      </w:r>
      <w:bookmarkEnd w:id="51"/>
      <w:bookmarkEnd w:id="52"/>
    </w:p>
    <w:p>
      <w:pPr>
        <w:spacing w:line="600" w:lineRule="exact"/>
        <w:ind w:firstLine="640"/>
        <w:rPr>
          <w:rFonts w:ascii="仿宋" w:eastAsia="仿宋"/>
          <w:color w:val="000000"/>
          <w:sz w:val="32"/>
          <w:szCs w:val="32"/>
          <w:shd w:val="pct10" w:color="auto" w:fill="FFFFFF"/>
        </w:rPr>
      </w:pPr>
      <w:r>
        <w:rPr>
          <w:rFonts w:ascii="仿宋" w:eastAsia="仿宋"/>
          <w:color w:val="000000"/>
          <w:sz w:val="32"/>
          <w:szCs w:val="32"/>
        </w:rPr>
        <w:t>2020</w:t>
      </w:r>
      <w:r>
        <w:rPr>
          <w:rFonts w:hint="eastAsia" w:ascii="仿宋" w:eastAsia="仿宋"/>
          <w:color w:val="000000"/>
          <w:sz w:val="32"/>
          <w:szCs w:val="32"/>
        </w:rPr>
        <w:t>年本年总支出1213.62万元，其中：基本支出719.3万元，占59.27%；项目支出494.32万元，占40.73%；上缴上级支出0万元，占0%；经营支出0万元，占0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64770</wp:posOffset>
            </wp:positionH>
            <wp:positionV relativeFrom="paragraph">
              <wp:posOffset>136525</wp:posOffset>
            </wp:positionV>
            <wp:extent cx="5061585" cy="1984375"/>
            <wp:effectExtent l="4445" t="4445" r="20320" b="1143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9"/>
          <w:rFonts w:ascii="黑体" w:eastAsia="黑体"/>
          <w:b w:val="0"/>
        </w:rPr>
      </w:pPr>
      <w:bookmarkStart w:id="53" w:name="_Toc15377208"/>
      <w:bookmarkStart w:id="54" w:name="_Toc27007"/>
      <w:r>
        <w:rPr>
          <w:rFonts w:hint="eastAsia" w:ascii="黑体" w:eastAsia="黑体"/>
          <w:color w:val="000000"/>
          <w:sz w:val="32"/>
          <w:szCs w:val="32"/>
        </w:rPr>
        <w:t>四、财</w:t>
      </w:r>
      <w:r>
        <w:rPr>
          <w:rStyle w:val="19"/>
          <w:rFonts w:hint="eastAsia" w:ascii="黑体" w:eastAsia="黑体"/>
          <w:b w:val="0"/>
        </w:rPr>
        <w:t>政拨款收入支出决算总体情况说明</w:t>
      </w:r>
      <w:bookmarkEnd w:id="53"/>
      <w:bookmarkEnd w:id="54"/>
    </w:p>
    <w:p>
      <w:pPr>
        <w:snapToGrid w:val="0"/>
        <w:spacing w:line="520" w:lineRule="exact"/>
        <w:ind w:firstLine="640" w:firstLineChars="200"/>
        <w:rPr>
          <w:rFonts w:ascii="仿宋" w:eastAsia="仿宋"/>
          <w:color w:val="FF0000"/>
          <w:sz w:val="32"/>
          <w:szCs w:val="32"/>
        </w:rPr>
      </w:pPr>
      <w:r>
        <w:rPr>
          <w:rFonts w:ascii="仿宋" w:eastAsia="仿宋"/>
          <w:color w:val="000000"/>
          <w:sz w:val="32"/>
          <w:szCs w:val="32"/>
        </w:rPr>
        <w:t>2020</w:t>
      </w:r>
      <w:r>
        <w:rPr>
          <w:rFonts w:hint="eastAsia" w:ascii="仿宋" w:eastAsia="仿宋"/>
          <w:color w:val="000000"/>
          <w:sz w:val="32"/>
          <w:szCs w:val="32"/>
        </w:rPr>
        <w:t>年财政拨款收入</w:t>
      </w:r>
      <w:r>
        <w:rPr>
          <w:rFonts w:hint="eastAsia" w:ascii="仿宋_GB2312" w:eastAsia="仿宋_GB2312"/>
          <w:color w:val="000000"/>
          <w:spacing w:val="-2"/>
          <w:sz w:val="32"/>
          <w:szCs w:val="32"/>
        </w:rPr>
        <w:t>1253.42</w:t>
      </w:r>
      <w:r>
        <w:rPr>
          <w:rFonts w:hint="eastAsia" w:ascii="仿宋" w:eastAsia="仿宋"/>
          <w:color w:val="000000"/>
          <w:sz w:val="32"/>
          <w:szCs w:val="32"/>
        </w:rPr>
        <w:t>万元。与2019年相比，一般公共预算财政拨款收入较上年增加493.24万元，增加64.88%。</w:t>
      </w:r>
      <w:r>
        <w:rPr>
          <w:rFonts w:hint="eastAsia" w:ascii="仿宋_GB2312" w:eastAsia="仿宋_GB2312"/>
          <w:color w:val="000000"/>
          <w:spacing w:val="-2"/>
          <w:sz w:val="32"/>
          <w:szCs w:val="32"/>
        </w:rPr>
        <w:t>增加的主要原因是撤乡并镇后</w:t>
      </w:r>
      <w:r>
        <w:rPr>
          <w:rFonts w:ascii="仿宋_GB2312" w:eastAsia="仿宋_GB2312"/>
          <w:color w:val="000000"/>
          <w:spacing w:val="-2"/>
          <w:sz w:val="32"/>
          <w:szCs w:val="32"/>
        </w:rPr>
        <w:t>2020</w:t>
      </w:r>
      <w:r>
        <w:rPr>
          <w:rFonts w:hint="eastAsia" w:ascii="仿宋_GB2312" w:eastAsia="仿宋_GB2312"/>
          <w:color w:val="000000"/>
          <w:spacing w:val="-2"/>
          <w:sz w:val="32"/>
          <w:szCs w:val="32"/>
        </w:rPr>
        <w:t>年人员增加，工资变动。</w:t>
      </w:r>
      <w:r>
        <w:rPr>
          <w:rFonts w:ascii="仿宋" w:eastAsia="仿宋"/>
          <w:color w:val="000000"/>
          <w:sz w:val="32"/>
          <w:szCs w:val="32"/>
        </w:rPr>
        <w:t>2020</w:t>
      </w:r>
      <w:r>
        <w:rPr>
          <w:rFonts w:hint="eastAsia" w:ascii="仿宋" w:eastAsia="仿宋"/>
          <w:color w:val="000000"/>
          <w:sz w:val="32"/>
          <w:szCs w:val="32"/>
        </w:rPr>
        <w:t>年财政拨款支出1213.62万元，</w:t>
      </w:r>
      <w:r>
        <w:rPr>
          <w:rFonts w:hint="eastAsia" w:ascii="仿宋" w:eastAsia="仿宋"/>
          <w:sz w:val="32"/>
          <w:szCs w:val="32"/>
        </w:rPr>
        <w:t>较上年支出增加647.86万元，增加114.51%</w:t>
      </w:r>
      <w:r>
        <w:rPr>
          <w:rFonts w:hint="eastAsia" w:ascii="仿宋_GB2312" w:eastAsia="仿宋_GB2312"/>
          <w:spacing w:val="-2"/>
          <w:sz w:val="32"/>
          <w:szCs w:val="32"/>
        </w:rPr>
        <w:t>。</w:t>
      </w:r>
    </w:p>
    <w:p>
      <w:pPr>
        <w:pStyle w:val="4"/>
        <w:spacing w:before="0" w:after="0" w:line="240" w:lineRule="auto"/>
        <w:ind w:left="640" w:hanging="640" w:hangingChars="200"/>
        <w:rPr>
          <w:rFonts w:ascii="黑体" w:eastAsia="黑体"/>
          <w:b w:val="0"/>
          <w:color w:val="000000"/>
        </w:rPr>
      </w:pPr>
      <w:bookmarkStart w:id="55" w:name="_Toc571"/>
      <w:r>
        <w:rPr>
          <w:rFonts w:hint="eastAsia" w:ascii="黑体" w:eastAsia="黑体"/>
          <w:b w:val="0"/>
          <w:color w:val="000000"/>
        </w:rPr>
        <w:drawing>
          <wp:anchor distT="0" distB="0" distL="114300" distR="114300" simplePos="0" relativeHeight="251661312" behindDoc="0" locked="0" layoutInCell="1" allowOverlap="1">
            <wp:simplePos x="0" y="0"/>
            <wp:positionH relativeFrom="column">
              <wp:posOffset>64770</wp:posOffset>
            </wp:positionH>
            <wp:positionV relativeFrom="paragraph">
              <wp:posOffset>241300</wp:posOffset>
            </wp:positionV>
            <wp:extent cx="5233035" cy="2971800"/>
            <wp:effectExtent l="4445" t="4445" r="20320" b="14605"/>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56" w:name="_Toc15377209"/>
      <w:r>
        <w:rPr>
          <w:rFonts w:hint="eastAsia" w:ascii="黑体" w:eastAsia="黑体"/>
          <w:b w:val="0"/>
          <w:color w:val="000000"/>
        </w:rPr>
        <w:t>五、一般公共预算财政拨款支出决算情况说明</w:t>
      </w:r>
      <w:bookmarkEnd w:id="55"/>
      <w:bookmarkEnd w:id="56"/>
    </w:p>
    <w:p>
      <w:pPr>
        <w:spacing w:line="600" w:lineRule="exact"/>
        <w:ind w:firstLine="643" w:firstLineChars="200"/>
        <w:outlineLvl w:val="2"/>
        <w:rPr>
          <w:rFonts w:ascii="仿宋" w:eastAsia="仿宋"/>
          <w:b/>
          <w:color w:val="000000"/>
          <w:sz w:val="32"/>
          <w:szCs w:val="32"/>
        </w:rPr>
      </w:pPr>
      <w:bookmarkStart w:id="57" w:name="_Toc15377210"/>
      <w:r>
        <w:rPr>
          <w:rFonts w:hint="eastAsia" w:ascii="仿宋" w:eastAsia="仿宋"/>
          <w:b/>
          <w:color w:val="000000"/>
          <w:sz w:val="32"/>
          <w:szCs w:val="32"/>
        </w:rPr>
        <w:t>（一）一般公共预算财政拨款支出决算总体情况</w:t>
      </w:r>
      <w:bookmarkEnd w:id="57"/>
    </w:p>
    <w:p>
      <w:pPr>
        <w:snapToGrid w:val="0"/>
        <w:spacing w:line="520" w:lineRule="exact"/>
        <w:ind w:firstLine="640" w:firstLineChars="200"/>
        <w:rPr>
          <w:rFonts w:ascii="仿宋_GB2312" w:eastAsia="仿宋_GB2312"/>
          <w:spacing w:val="-2"/>
          <w:sz w:val="32"/>
          <w:szCs w:val="32"/>
        </w:rPr>
      </w:pPr>
      <w:r>
        <w:rPr>
          <w:rFonts w:ascii="仿宋" w:eastAsia="仿宋"/>
          <w:color w:val="000000"/>
          <w:sz w:val="32"/>
          <w:szCs w:val="32"/>
        </w:rPr>
        <w:t>2020</w:t>
      </w:r>
      <w:r>
        <w:rPr>
          <w:rFonts w:hint="eastAsia" w:ascii="仿宋" w:eastAsia="仿宋"/>
          <w:color w:val="000000"/>
          <w:sz w:val="32"/>
          <w:szCs w:val="32"/>
        </w:rPr>
        <w:t>年</w:t>
      </w:r>
      <w:r>
        <w:rPr>
          <w:rFonts w:hint="eastAsia" w:ascii="仿宋_GB2312" w:eastAsia="仿宋_GB2312"/>
          <w:spacing w:val="-2"/>
          <w:sz w:val="32"/>
          <w:szCs w:val="32"/>
        </w:rPr>
        <w:t>一般公共预算财政拨款支出1213.62万元，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rPr>
        <w:t>9年相比，一般公共预算财政拨款</w:t>
      </w:r>
      <w:r>
        <w:rPr>
          <w:rFonts w:hint="eastAsia" w:ascii="仿宋_GB2312" w:eastAsia="仿宋_GB2312"/>
          <w:spacing w:val="-2"/>
          <w:sz w:val="32"/>
          <w:szCs w:val="32"/>
        </w:rPr>
        <w:t>支出增加647.86万元，增加114.51%。主要原因一是撤乡并镇后当年部门预算安排项目经费较上年有所增加；二是撤乡并镇后</w:t>
      </w:r>
      <w:r>
        <w:rPr>
          <w:rFonts w:ascii="仿宋_GB2312" w:eastAsia="仿宋_GB2312"/>
          <w:spacing w:val="-2"/>
          <w:sz w:val="32"/>
          <w:szCs w:val="32"/>
        </w:rPr>
        <w:t>2020</w:t>
      </w:r>
      <w:r>
        <w:rPr>
          <w:rFonts w:hint="eastAsia" w:ascii="仿宋_GB2312" w:eastAsia="仿宋_GB2312"/>
          <w:spacing w:val="-2"/>
          <w:sz w:val="32"/>
          <w:szCs w:val="32"/>
        </w:rPr>
        <w:t>年人员增加经费支出增加。</w:t>
      </w:r>
    </w:p>
    <w:p>
      <w:pPr>
        <w:snapToGrid w:val="0"/>
        <w:spacing w:line="520" w:lineRule="exact"/>
        <w:ind w:firstLine="321" w:firstLineChars="100"/>
        <w:rPr>
          <w:rFonts w:ascii="仿宋" w:eastAsia="仿宋"/>
          <w:b/>
          <w:color w:val="000000"/>
          <w:sz w:val="32"/>
          <w:szCs w:val="32"/>
        </w:rPr>
      </w:pPr>
      <w:bookmarkStart w:id="58" w:name="_Toc15377211"/>
      <w:r>
        <w:rPr>
          <w:rFonts w:hint="eastAsia" w:ascii="仿宋" w:eastAsia="仿宋"/>
          <w:b/>
          <w:color w:val="000000"/>
          <w:sz w:val="32"/>
          <w:szCs w:val="32"/>
        </w:rPr>
        <w:t>（二）一般公共预算财政拨款支出决算结构情况</w:t>
      </w:r>
      <w:bookmarkEnd w:id="58"/>
    </w:p>
    <w:p>
      <w:pPr>
        <w:spacing w:line="600" w:lineRule="exact"/>
        <w:ind w:firstLine="640"/>
        <w:rPr>
          <w:rFonts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年一般公共预算财政拨款支出1213.62万元，主要用于以下方面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支出446.96万元，占36.83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文化旅游体育与传媒支出</w:t>
      </w:r>
      <w:r>
        <w:rPr>
          <w:rFonts w:hint="eastAsia" w:ascii="仿宋" w:eastAsia="仿宋"/>
          <w:color w:val="000000"/>
          <w:sz w:val="32"/>
          <w:szCs w:val="32"/>
        </w:rPr>
        <w:t>3.53万元，占0.29%，</w:t>
      </w:r>
      <w:r>
        <w:rPr>
          <w:rFonts w:hint="eastAsia" w:ascii="仿宋" w:eastAsia="仿宋"/>
          <w:b/>
          <w:color w:val="000000"/>
          <w:sz w:val="32"/>
          <w:szCs w:val="32"/>
        </w:rPr>
        <w:t>社会保障和就业（类）</w:t>
      </w:r>
      <w:r>
        <w:rPr>
          <w:rFonts w:hint="eastAsia" w:ascii="仿宋" w:eastAsia="仿宋"/>
          <w:color w:val="000000"/>
          <w:sz w:val="32"/>
          <w:szCs w:val="32"/>
        </w:rPr>
        <w:t>支出135.47万元，占11.16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rPr>
        <w:t>45.69万元，占3.76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rPr>
        <w:t>54.5万元，占4.49</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其他支出</w:t>
      </w:r>
      <w:r>
        <w:rPr>
          <w:rFonts w:hint="eastAsia" w:ascii="仿宋" w:eastAsia="仿宋"/>
          <w:color w:val="000000"/>
          <w:sz w:val="32"/>
          <w:szCs w:val="32"/>
        </w:rPr>
        <w:t>224.08万元，占18.46%  ，</w:t>
      </w:r>
      <w:r>
        <w:rPr>
          <w:rFonts w:hint="eastAsia" w:ascii="仿宋" w:eastAsia="仿宋"/>
          <w:b/>
          <w:bCs/>
          <w:color w:val="000000"/>
          <w:sz w:val="32"/>
          <w:szCs w:val="32"/>
        </w:rPr>
        <w:t>农林水支出302.4</w:t>
      </w:r>
      <w:r>
        <w:rPr>
          <w:rFonts w:hint="eastAsia" w:ascii="仿宋" w:eastAsia="仿宋"/>
          <w:color w:val="000000"/>
          <w:sz w:val="32"/>
          <w:szCs w:val="32"/>
        </w:rPr>
        <w:t>万元，占24.02%。</w:t>
      </w:r>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2336" behindDoc="1" locked="0" layoutInCell="1" allowOverlap="1">
            <wp:simplePos x="0" y="0"/>
            <wp:positionH relativeFrom="column">
              <wp:posOffset>277495</wp:posOffset>
            </wp:positionH>
            <wp:positionV relativeFrom="paragraph">
              <wp:posOffset>321945</wp:posOffset>
            </wp:positionV>
            <wp:extent cx="3911600" cy="2546350"/>
            <wp:effectExtent l="4445" t="4445" r="8255" b="1460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rPr>
          <w:rFonts w:ascii="仿宋" w:eastAsia="仿宋"/>
          <w:color w:val="000000"/>
          <w:sz w:val="32"/>
          <w:szCs w:val="32"/>
        </w:rPr>
      </w:pPr>
    </w:p>
    <w:p>
      <w:pPr>
        <w:spacing w:line="600" w:lineRule="exact"/>
        <w:ind w:firstLine="8353" w:firstLineChars="2600"/>
        <w:outlineLvl w:val="2"/>
        <w:rPr>
          <w:rFonts w:ascii="仿宋" w:eastAsia="仿宋"/>
          <w:b/>
          <w:color w:val="000000"/>
          <w:sz w:val="32"/>
          <w:szCs w:val="32"/>
        </w:rPr>
      </w:pPr>
      <w:bookmarkStart w:id="59" w:name="_Toc15378460"/>
      <w:bookmarkStart w:id="60" w:name="_Toc15377213"/>
      <w:bookmarkStart w:id="61" w:name="_Toc15377444"/>
    </w:p>
    <w:p>
      <w:pPr>
        <w:spacing w:line="600" w:lineRule="exact"/>
        <w:ind w:firstLine="8353" w:firstLineChars="2600"/>
        <w:outlineLvl w:val="2"/>
        <w:rPr>
          <w:rFonts w:ascii="仿宋" w:eastAsia="仿宋"/>
          <w:b/>
          <w:color w:val="000000"/>
          <w:sz w:val="32"/>
          <w:szCs w:val="32"/>
        </w:rPr>
      </w:pPr>
    </w:p>
    <w:p>
      <w:pPr>
        <w:spacing w:line="600" w:lineRule="exact"/>
        <w:ind w:firstLine="8353" w:firstLineChars="26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bookmarkStart w:id="62" w:name="_Toc15377212"/>
    </w:p>
    <w:p>
      <w:pPr>
        <w:spacing w:line="600" w:lineRule="exact"/>
        <w:ind w:firstLine="643" w:firstLineChars="2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62"/>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w:t>
      </w:r>
      <w:r>
        <w:rPr>
          <w:rFonts w:ascii="仿宋" w:eastAsia="仿宋"/>
          <w:bCs/>
          <w:color w:val="000000"/>
          <w:sz w:val="32"/>
          <w:szCs w:val="32"/>
        </w:rPr>
        <w:t>2020</w:t>
      </w:r>
      <w:r>
        <w:rPr>
          <w:rFonts w:hint="eastAsia" w:ascii="仿宋" w:eastAsia="仿宋"/>
          <w:bCs/>
          <w:color w:val="000000"/>
          <w:sz w:val="32"/>
          <w:szCs w:val="32"/>
        </w:rPr>
        <w:t>年一般公共预算数为1253.42万元，支出决算数为1213.62万元，完</w:t>
      </w:r>
      <w:r>
        <w:rPr>
          <w:rStyle w:val="16"/>
          <w:rFonts w:hint="eastAsia" w:ascii="仿宋" w:eastAsia="仿宋"/>
          <w:b w:val="0"/>
          <w:bCs/>
          <w:color w:val="000000"/>
          <w:sz w:val="32"/>
          <w:szCs w:val="32"/>
        </w:rPr>
        <w:t>成预算96.83</w:t>
      </w:r>
      <w:r>
        <w:rPr>
          <w:rStyle w:val="16"/>
          <w:rFonts w:ascii="仿宋" w:eastAsia="仿宋"/>
          <w:b w:val="0"/>
          <w:bCs/>
          <w:color w:val="000000"/>
          <w:sz w:val="32"/>
          <w:szCs w:val="32"/>
        </w:rPr>
        <w:t>%</w:t>
      </w:r>
      <w:r>
        <w:rPr>
          <w:rStyle w:val="16"/>
          <w:rFonts w:hint="eastAsia" w:ascii="仿宋" w:eastAsia="仿宋"/>
          <w:b w:val="0"/>
          <w:bCs/>
          <w:color w:val="000000"/>
          <w:sz w:val="32"/>
          <w:szCs w:val="32"/>
        </w:rPr>
        <w:t>。结转下年39.8万元。其中：</w:t>
      </w:r>
      <w:bookmarkEnd w:id="59"/>
      <w:bookmarkEnd w:id="60"/>
      <w:bookmarkEnd w:id="61"/>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1.一般公共服务（类）人大事务（款）行政运行（项）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支出决算为14.64万元，完成预算100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Style w:val="16"/>
          <w:rFonts w:ascii="仿宋" w:eastAsia="仿宋"/>
          <w:b w:val="0"/>
          <w:bCs/>
          <w:color w:val="000000"/>
          <w:sz w:val="32"/>
          <w:szCs w:val="32"/>
        </w:rPr>
      </w:pPr>
      <w:r>
        <w:rPr>
          <w:rStyle w:val="16"/>
          <w:rFonts w:ascii="仿宋" w:eastAsia="仿宋"/>
          <w:bCs/>
          <w:color w:val="000000"/>
          <w:sz w:val="32"/>
          <w:szCs w:val="32"/>
        </w:rPr>
        <w:t>2.</w:t>
      </w:r>
      <w:r>
        <w:rPr>
          <w:rStyle w:val="16"/>
          <w:rFonts w:hint="eastAsia" w:ascii="仿宋" w:eastAsia="仿宋"/>
          <w:bCs/>
          <w:color w:val="000000"/>
          <w:sz w:val="32"/>
          <w:szCs w:val="32"/>
        </w:rPr>
        <w:t>一般公共服务（类）政府办公厅（室）及相关机构事务（款）一般行政管理事务（项）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支出决算为395.86万元，完成预算100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3.一般公共服务（类）财政事务（款）行政运行（项）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支出决算为10.13万元，完成预算100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0" w:firstLineChars="200"/>
        <w:rPr>
          <w:rStyle w:val="16"/>
          <w:rFonts w:ascii="仿宋" w:eastAsia="仿宋"/>
          <w:b w:val="0"/>
          <w:bCs/>
          <w:color w:val="000000"/>
          <w:sz w:val="32"/>
          <w:szCs w:val="32"/>
        </w:rPr>
      </w:pPr>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4.一般公共服务（类）党委办公厅（室）及相关机构事务（款）行政运行（项）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支出决算为26.33万元，完成预算100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6"/>
          <w:rFonts w:hint="eastAsia" w:ascii="仿宋" w:eastAsia="仿宋"/>
          <w:bCs/>
          <w:color w:val="000000"/>
          <w:sz w:val="32"/>
          <w:szCs w:val="32"/>
        </w:rPr>
        <w:t>5</w:t>
      </w:r>
      <w:r>
        <w:rPr>
          <w:rStyle w:val="16"/>
          <w:rFonts w:ascii="仿宋" w:eastAsia="仿宋"/>
          <w:b w:val="0"/>
          <w:bCs/>
          <w:color w:val="000000"/>
          <w:sz w:val="32"/>
          <w:szCs w:val="32"/>
        </w:rPr>
        <w:t xml:space="preserve"> </w:t>
      </w:r>
      <w:r>
        <w:rPr>
          <w:rStyle w:val="16"/>
          <w:rFonts w:hint="eastAsia" w:ascii="仿宋" w:eastAsia="仿宋"/>
          <w:bCs/>
          <w:color w:val="000000"/>
          <w:sz w:val="32"/>
          <w:szCs w:val="32"/>
        </w:rPr>
        <w:t>社会保障和就业（类）行政事业单位离退休（款）机关事业单位基本养老保险缴费支出（项）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支出决算为49.01万元，完成预算100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6"/>
          <w:rFonts w:hint="eastAsia" w:ascii="仿宋" w:eastAsia="仿宋"/>
          <w:bCs/>
          <w:color w:val="000000"/>
          <w:sz w:val="32"/>
          <w:szCs w:val="32"/>
        </w:rPr>
        <w:t>6社会保障和就业（类）行政事业单位离退休（款）机关事业单位基本职业年金缴费支出（项）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支出决算为24.46万元，完成预算100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6"/>
          <w:rFonts w:hint="eastAsia" w:ascii="仿宋" w:eastAsia="仿宋"/>
          <w:bCs/>
          <w:color w:val="000000"/>
          <w:sz w:val="32"/>
          <w:szCs w:val="32"/>
        </w:rPr>
        <w:t>7.卫生健康支出（类）行政事业单位医疗（款）行政单位医疗（项）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支出决算为25.75万元，完成预算100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8.卫生健康支出（类）行政事业单位医疗（款）公务员医疗补助（项）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支出决算为6.97万元，完成预算100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9.卫生健康支出（类）行政事业单位医疗（款）突发公共卫生事件应急处理（项）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支出决算为12.96万元，完成预算100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Style w:val="16"/>
          <w:rFonts w:ascii="仿宋" w:eastAsia="仿宋"/>
          <w:b w:val="0"/>
          <w:bCs/>
          <w:color w:val="000000"/>
          <w:sz w:val="32"/>
          <w:szCs w:val="32"/>
        </w:rPr>
      </w:pPr>
      <w:bookmarkStart w:id="63" w:name="_Toc15377214"/>
      <w:r>
        <w:rPr>
          <w:rStyle w:val="16"/>
          <w:rFonts w:hint="eastAsia" w:ascii="仿宋" w:eastAsia="仿宋"/>
          <w:bCs/>
          <w:color w:val="000000"/>
          <w:sz w:val="32"/>
          <w:szCs w:val="32"/>
        </w:rPr>
        <w:t>7.住房保障（类）住房改革支出（款）住房公积金（项）：</w:t>
      </w:r>
      <w:r>
        <w:rPr>
          <w:rStyle w:val="16"/>
          <w:rFonts w:hint="eastAsia" w:ascii="仿宋" w:eastAsia="仿宋"/>
          <w:b w:val="0"/>
          <w:bCs/>
          <w:color w:val="000000"/>
          <w:sz w:val="32"/>
          <w:szCs w:val="32"/>
        </w:rPr>
        <w:t>支出决算为54.5万元，完成预算100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tabs>
          <w:tab w:val="right" w:pos="7663"/>
        </w:tabs>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8.农林水支出(类)林业和草原（款）事业机构（项）</w:t>
      </w:r>
      <w:r>
        <w:rPr>
          <w:rStyle w:val="16"/>
          <w:rFonts w:hint="eastAsia" w:ascii="仿宋" w:eastAsia="仿宋"/>
          <w:bCs/>
          <w:color w:val="000000"/>
          <w:sz w:val="32"/>
          <w:szCs w:val="32"/>
        </w:rPr>
        <w:tab/>
      </w:r>
      <w:r>
        <w:rPr>
          <w:rStyle w:val="16"/>
          <w:rFonts w:hint="eastAsia" w:ascii="仿宋" w:eastAsia="仿宋"/>
          <w:bCs/>
          <w:color w:val="000000"/>
          <w:sz w:val="32"/>
          <w:szCs w:val="32"/>
        </w:rPr>
        <w:t>：</w:t>
      </w:r>
      <w:r>
        <w:rPr>
          <w:rStyle w:val="16"/>
          <w:rFonts w:hint="eastAsia" w:ascii="仿宋" w:eastAsia="仿宋"/>
          <w:b w:val="0"/>
          <w:bCs/>
          <w:color w:val="000000"/>
          <w:sz w:val="32"/>
          <w:szCs w:val="32"/>
        </w:rPr>
        <w:t>支出决算为31.6万元，完成预算100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tabs>
          <w:tab w:val="right" w:pos="7663"/>
        </w:tabs>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9.农林水支出(类)农业农村（款）事业运行（项）</w:t>
      </w:r>
      <w:r>
        <w:rPr>
          <w:rStyle w:val="16"/>
          <w:rFonts w:hint="eastAsia" w:ascii="仿宋" w:eastAsia="仿宋"/>
          <w:bCs/>
          <w:color w:val="000000"/>
          <w:sz w:val="32"/>
          <w:szCs w:val="32"/>
        </w:rPr>
        <w:tab/>
      </w:r>
      <w:r>
        <w:rPr>
          <w:rStyle w:val="16"/>
          <w:rFonts w:hint="eastAsia" w:ascii="仿宋" w:eastAsia="仿宋"/>
          <w:bCs/>
          <w:color w:val="000000"/>
          <w:sz w:val="32"/>
          <w:szCs w:val="32"/>
        </w:rPr>
        <w:t>：</w:t>
      </w:r>
      <w:r>
        <w:rPr>
          <w:rStyle w:val="16"/>
          <w:rFonts w:hint="eastAsia" w:ascii="仿宋" w:eastAsia="仿宋"/>
          <w:b w:val="0"/>
          <w:bCs/>
          <w:color w:val="000000"/>
          <w:sz w:val="32"/>
          <w:szCs w:val="32"/>
        </w:rPr>
        <w:t>支出决算为83.25万元，完成预算100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tabs>
          <w:tab w:val="right" w:pos="7663"/>
        </w:tabs>
        <w:spacing w:line="600" w:lineRule="exact"/>
        <w:ind w:firstLine="640" w:firstLineChars="200"/>
        <w:rPr>
          <w:rStyle w:val="16"/>
          <w:rFonts w:ascii="仿宋" w:eastAsia="仿宋"/>
          <w:b w:val="0"/>
          <w:bCs/>
          <w:color w:val="000000"/>
          <w:sz w:val="32"/>
          <w:szCs w:val="32"/>
        </w:rPr>
      </w:pPr>
    </w:p>
    <w:p>
      <w:pPr>
        <w:tabs>
          <w:tab w:val="right" w:pos="7663"/>
        </w:tabs>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10.农林水支出(类)农村综合改革（款）对村民委员会和村党支部的补助（项）：</w:t>
      </w:r>
      <w:r>
        <w:rPr>
          <w:rStyle w:val="16"/>
          <w:rFonts w:hint="eastAsia" w:ascii="仿宋" w:eastAsia="仿宋"/>
          <w:b w:val="0"/>
          <w:bCs/>
          <w:color w:val="000000"/>
          <w:sz w:val="32"/>
          <w:szCs w:val="32"/>
        </w:rPr>
        <w:t>支出决算为187.55万元，完成预算100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tabs>
          <w:tab w:val="right" w:pos="7663"/>
        </w:tabs>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11.其他支出（类）其他支出（款）其他支出（项）：</w:t>
      </w:r>
      <w:r>
        <w:rPr>
          <w:rStyle w:val="16"/>
          <w:rFonts w:hint="eastAsia" w:ascii="仿宋" w:eastAsia="仿宋"/>
          <w:b w:val="0"/>
          <w:bCs/>
          <w:color w:val="000000"/>
          <w:sz w:val="32"/>
          <w:szCs w:val="32"/>
        </w:rPr>
        <w:t>支出决算为224.08万元，完成预算100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tabs>
          <w:tab w:val="right" w:pos="7663"/>
        </w:tabs>
        <w:spacing w:line="600" w:lineRule="exact"/>
        <w:rPr>
          <w:rStyle w:val="16"/>
          <w:rFonts w:ascii="仿宋" w:eastAsia="仿宋"/>
          <w:b w:val="0"/>
          <w:bCs/>
          <w:color w:val="000000"/>
          <w:sz w:val="32"/>
          <w:szCs w:val="32"/>
        </w:rPr>
      </w:pPr>
    </w:p>
    <w:p>
      <w:pPr>
        <w:pStyle w:val="4"/>
        <w:spacing w:before="0" w:after="0" w:line="240" w:lineRule="auto"/>
        <w:ind w:left="640" w:hanging="640" w:hangingChars="200"/>
        <w:rPr>
          <w:rFonts w:ascii="黑体" w:eastAsia="黑体"/>
          <w:b w:val="0"/>
          <w:color w:val="000000"/>
        </w:rPr>
      </w:pPr>
      <w:bookmarkStart w:id="64" w:name="_Toc21339"/>
      <w:r>
        <w:rPr>
          <w:rFonts w:hint="eastAsia" w:ascii="黑体" w:eastAsia="黑体"/>
          <w:b w:val="0"/>
          <w:color w:val="000000"/>
        </w:rPr>
        <w:t>六、一般公共预算财政拨款基本支出决算情况说明</w:t>
      </w:r>
      <w:bookmarkEnd w:id="63"/>
      <w:bookmarkEnd w:id="64"/>
      <w:r>
        <w:rPr>
          <w:rFonts w:hint="eastAsia" w:ascii="黑体" w:eastAsia="黑体"/>
          <w:b w:val="0"/>
          <w:color w:val="000000"/>
        </w:rPr>
        <w:tab/>
      </w:r>
    </w:p>
    <w:p>
      <w:pPr>
        <w:spacing w:line="600" w:lineRule="exact"/>
        <w:ind w:firstLine="645"/>
        <w:rPr>
          <w:rFonts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年一般公共预算财政拨款基本支出719.3万元，其中：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543.76万元，主要包括：基本工资126.42万元、津贴补贴201.27万元、奖金11.11万元、绩效工资39.11万元、机关事业单位基本养老保险缴费49.01万元、职业年金缴费24.46万元、职工基本医疗保险缴费25.75万元、公务员医疗补助缴费6.97万元、其他社会保障缴费5.16万元、住房公积金54.5万等。</w:t>
      </w:r>
      <w:r>
        <w:rPr>
          <w:rFonts w:ascii="仿宋" w:eastAsia="仿宋"/>
          <w:color w:val="000000"/>
          <w:sz w:val="32"/>
          <w:szCs w:val="32"/>
        </w:rPr>
        <w:br w:type="textWrapping"/>
      </w:r>
      <w:r>
        <w:rPr>
          <w:rFonts w:hint="eastAsia" w:ascii="仿宋" w:eastAsia="仿宋"/>
          <w:color w:val="000000"/>
          <w:sz w:val="32"/>
          <w:szCs w:val="32"/>
        </w:rPr>
        <w:t>　　公用经费208.87万元，主要包括：办公费81.48万元、手续费0万元、电费2.5万元、邮电费3.61万元、取暖费1.5万元、差旅费11.93万元、维修（护）费83万元、租赁费0万元、会议费3.2万元、劳务0万元、印刷费3.49万元、委托业务费4万元、公务用车运行维护费6.16万元、其他商品和服务支出8万元等。</w:t>
      </w:r>
    </w:p>
    <w:p>
      <w:pPr>
        <w:spacing w:line="600" w:lineRule="exact"/>
        <w:ind w:firstLine="640" w:firstLineChars="200"/>
        <w:outlineLvl w:val="1"/>
        <w:rPr>
          <w:rStyle w:val="19"/>
          <w:rFonts w:ascii="黑体" w:eastAsia="黑体"/>
          <w:b w:val="0"/>
        </w:rPr>
      </w:pPr>
      <w:bookmarkStart w:id="65" w:name="_Toc15377215"/>
      <w:bookmarkStart w:id="66" w:name="_Toc23406"/>
      <w:r>
        <w:rPr>
          <w:rFonts w:hint="eastAsia" w:ascii="黑体" w:eastAsia="黑体"/>
          <w:color w:val="000000"/>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65"/>
      <w:bookmarkEnd w:id="66"/>
    </w:p>
    <w:p>
      <w:pPr>
        <w:spacing w:line="600" w:lineRule="exact"/>
        <w:ind w:firstLine="640"/>
        <w:outlineLvl w:val="2"/>
        <w:rPr>
          <w:rFonts w:ascii="仿宋" w:eastAsia="仿宋"/>
          <w:b/>
          <w:color w:val="000000"/>
          <w:sz w:val="32"/>
          <w:szCs w:val="32"/>
        </w:rPr>
      </w:pPr>
      <w:bookmarkStart w:id="67" w:name="_Toc15377216"/>
      <w:r>
        <w:rPr>
          <w:rFonts w:hint="eastAsia" w:ascii="仿宋" w:eastAsia="仿宋"/>
          <w:b/>
          <w:color w:val="000000"/>
          <w:sz w:val="32"/>
          <w:szCs w:val="32"/>
        </w:rPr>
        <w:t>（一）“三公”经费财政拨款支出决算总体情况说明</w:t>
      </w:r>
      <w:bookmarkEnd w:id="67"/>
    </w:p>
    <w:p>
      <w:pPr>
        <w:spacing w:line="600" w:lineRule="exact"/>
        <w:ind w:firstLine="640"/>
        <w:rPr>
          <w:rFonts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年“三公”经费财政拨款支出决算为6.16万元，完成预算100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68" w:name="_Toc15377217"/>
      <w:r>
        <w:rPr>
          <w:rFonts w:hint="eastAsia" w:ascii="仿宋" w:eastAsia="仿宋"/>
          <w:b/>
          <w:color w:val="000000"/>
          <w:sz w:val="32"/>
          <w:szCs w:val="32"/>
        </w:rPr>
        <w:t>（二）“三公”经费财政拨款支出决算具体情况说明</w:t>
      </w:r>
      <w:bookmarkEnd w:id="68"/>
    </w:p>
    <w:p>
      <w:pPr>
        <w:spacing w:line="600" w:lineRule="exact"/>
        <w:ind w:firstLine="640"/>
        <w:rPr>
          <w:rFonts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年“三公”经费财政拨款支出</w:t>
      </w:r>
      <w:r>
        <w:rPr>
          <w:rFonts w:hint="eastAsia" w:ascii="仿宋" w:eastAsia="仿宋"/>
          <w:sz w:val="32"/>
          <w:szCs w:val="32"/>
        </w:rPr>
        <w:t>决算6.16万元</w:t>
      </w:r>
      <w:r>
        <w:rPr>
          <w:rFonts w:hint="eastAsia" w:ascii="仿宋" w:eastAsia="仿宋"/>
          <w:color w:val="000000"/>
          <w:sz w:val="32"/>
          <w:szCs w:val="32"/>
        </w:rPr>
        <w:t>，其中：公务用车购置及运行维护费支出决算6.16万元，占100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rPr>
          <w:rFonts w:ascii="仿宋_GB2312" w:eastAsia="仿宋_GB2312"/>
          <w:b/>
          <w:sz w:val="32"/>
          <w:szCs w:val="32"/>
        </w:rPr>
      </w:pPr>
      <w:r>
        <w:rPr>
          <w:rFonts w:hint="eastAsia" w:ascii="仿宋_GB2312" w:eastAsia="仿宋_GB2312"/>
          <w:b/>
          <w:color w:val="000000"/>
          <w:sz w:val="32"/>
          <w:szCs w:val="32"/>
        </w:rPr>
        <w:t>1</w:t>
      </w:r>
      <w:r>
        <w:rPr>
          <w:rFonts w:ascii="仿宋_GB2312" w:eastAsia="仿宋_GB2312"/>
          <w:b/>
          <w:color w:val="000000"/>
          <w:sz w:val="32"/>
          <w:szCs w:val="32"/>
        </w:rPr>
        <w:t>.</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6.16万元,</w:t>
      </w:r>
      <w:r>
        <w:rPr>
          <w:rStyle w:val="16"/>
          <w:rFonts w:hint="eastAsia" w:ascii="仿宋" w:eastAsia="仿宋"/>
          <w:b w:val="0"/>
          <w:bCs/>
          <w:color w:val="000000"/>
          <w:sz w:val="32"/>
          <w:szCs w:val="32"/>
        </w:rPr>
        <w:t>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9年增加3.36万元，</w:t>
      </w:r>
      <w:r>
        <w:rPr>
          <w:rFonts w:hint="eastAsia" w:ascii="仿宋_GB2312" w:eastAsia="仿宋_GB2312"/>
          <w:sz w:val="32"/>
          <w:szCs w:val="32"/>
        </w:rPr>
        <w:t>上升120</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s="仿宋"/>
          <w:color w:val="000000"/>
          <w:sz w:val="32"/>
          <w:szCs w:val="32"/>
        </w:rPr>
        <w:t>增加原因一是机关公务用车保障任务重、保障路程长、保障半径宽，车辆过半老化，维修维护费用高。二是按照藏区提前一年实现基本“脱贫”的工作要求，脱贫攻坚任务繁重，开展脱贫攻坚一线调研和现场指导的次数增多。三是开展“两联一进”群众工作，保障需求持续增加。四是抗击突发自然灾害，处置和查灾救灾的次数增多。五是撤乡并镇后人员增加等。</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日，共有车辆4辆，其中：部级领导干部用车0辆、主要领导干部用车0辆、机要通信用车0辆、应急保障用车4辆、执法执勤用车0辆、特种专业技术用车0辆、离退休干部用车0辆、其他用车0辆；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rPr>
        <w:t>6.16万元。</w:t>
      </w:r>
      <w:r>
        <w:rPr>
          <w:rFonts w:hint="eastAsia" w:ascii="仿宋_GB2312" w:eastAsia="仿宋_GB2312"/>
          <w:color w:val="000000"/>
          <w:sz w:val="32"/>
          <w:szCs w:val="32"/>
        </w:rPr>
        <w:t>主要用我单位所需的公务用车燃料费、维修费、过路过桥费、保险费等支出。</w:t>
      </w:r>
    </w:p>
    <w:p>
      <w:pPr>
        <w:spacing w:line="600" w:lineRule="exact"/>
        <w:ind w:firstLine="640"/>
        <w:outlineLvl w:val="1"/>
        <w:rPr>
          <w:rStyle w:val="19"/>
          <w:rFonts w:ascii="黑体" w:eastAsia="黑体"/>
        </w:rPr>
      </w:pPr>
      <w:bookmarkStart w:id="69" w:name="_Toc10384"/>
      <w:bookmarkStart w:id="70" w:name="_Toc15377218"/>
      <w:r>
        <w:rPr>
          <w:rFonts w:hint="eastAsia" w:ascii="黑体" w:eastAsia="黑体"/>
          <w:color w:val="000000"/>
          <w:sz w:val="32"/>
          <w:szCs w:val="32"/>
        </w:rPr>
        <w:t>八、</w:t>
      </w:r>
      <w:r>
        <w:rPr>
          <w:rStyle w:val="19"/>
          <w:rFonts w:hint="eastAsia" w:ascii="黑体" w:eastAsia="黑体"/>
          <w:b w:val="0"/>
        </w:rPr>
        <w:t>政府性基金预算支出决算情况说明</w:t>
      </w:r>
      <w:bookmarkEnd w:id="69"/>
      <w:bookmarkEnd w:id="7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年政府性基金预算拨款支出0万元。</w:t>
      </w:r>
    </w:p>
    <w:p>
      <w:pPr>
        <w:numPr>
          <w:ilvl w:val="0"/>
          <w:numId w:val="2"/>
        </w:numPr>
        <w:spacing w:line="600" w:lineRule="exact"/>
        <w:ind w:firstLine="640"/>
        <w:outlineLvl w:val="1"/>
        <w:rPr>
          <w:rStyle w:val="19"/>
          <w:rFonts w:ascii="黑体" w:eastAsia="黑体"/>
          <w:b w:val="0"/>
        </w:rPr>
      </w:pPr>
      <w:bookmarkStart w:id="71" w:name="_Toc18955"/>
      <w:bookmarkStart w:id="72" w:name="_Toc15377219"/>
      <w:r>
        <w:rPr>
          <w:rStyle w:val="19"/>
          <w:rFonts w:hint="eastAsia" w:ascii="黑体" w:eastAsia="黑体"/>
          <w:b w:val="0"/>
        </w:rPr>
        <w:t>国有资本经营预算支出决算情况说明</w:t>
      </w:r>
      <w:bookmarkEnd w:id="71"/>
      <w:bookmarkEnd w:id="7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年国有资本经营预算拨款支出0万元。</w:t>
      </w:r>
    </w:p>
    <w:p>
      <w:pPr>
        <w:pStyle w:val="24"/>
        <w:numPr>
          <w:ilvl w:val="0"/>
          <w:numId w:val="3"/>
        </w:numPr>
        <w:spacing w:line="580" w:lineRule="exact"/>
        <w:ind w:firstLineChars="0"/>
        <w:rPr>
          <w:rStyle w:val="19"/>
          <w:rFonts w:ascii="黑体" w:eastAsia="黑体"/>
          <w:b w:val="0"/>
        </w:rPr>
      </w:pPr>
      <w:bookmarkStart w:id="73" w:name="_Toc24608"/>
      <w:r>
        <w:rPr>
          <w:rStyle w:val="19"/>
          <w:rFonts w:hint="eastAsia" w:ascii="黑体" w:eastAsia="黑体"/>
          <w:b w:val="0"/>
        </w:rPr>
        <w:t>预算绩效情况说明</w:t>
      </w:r>
    </w:p>
    <w:bookmarkEnd w:id="73"/>
    <w:p>
      <w:pPr>
        <w:numPr>
          <w:ilvl w:val="0"/>
          <w:numId w:val="4"/>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4个项目编制了绩效目标，预算执行过程中，选取4个项目开展绩效监控，年终执行完毕后，对4个项目开展了绩效目标完成情况梳理填报。</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2020</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经全面综合评价，我单位预算支出绩效自评得分94.7</w:t>
      </w:r>
      <w:r>
        <w:rPr>
          <w:rFonts w:hint="eastAsia" w:ascii="仿宋_GB2312" w:eastAsia="仿宋_GB2312"/>
          <w:color w:val="000000"/>
          <w:sz w:val="32"/>
          <w:szCs w:val="32"/>
        </w:rPr>
        <w:t>分</w:t>
      </w:r>
      <w:r>
        <w:rPr>
          <w:rFonts w:hint="eastAsia" w:ascii="仿宋_GB2312" w:eastAsia="仿宋_GB2312"/>
          <w:sz w:val="32"/>
          <w:szCs w:val="32"/>
        </w:rPr>
        <w:t>（扣除我单位不存在的评价指标分值,总分为96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。本单位还自行组织了4个项目绩效评价，从评价情况来看我单位年初预算项目基本按照绩效目标完成支付，有部分项目结转质保金在下年质保期后进行支付。</w:t>
      </w:r>
    </w:p>
    <w:p>
      <w:pPr>
        <w:numPr>
          <w:ilvl w:val="0"/>
          <w:numId w:val="4"/>
        </w:numPr>
        <w:spacing w:line="580" w:lineRule="exact"/>
        <w:ind w:firstLine="643" w:firstLineChars="200"/>
        <w:jc w:val="left"/>
        <w:rPr>
          <w:rFonts w:ascii="仿宋_GB2312" w:eastAsia="仿宋_GB2312" w:cs="仿宋_GB2312"/>
          <w:sz w:val="32"/>
          <w:szCs w:val="32"/>
        </w:rPr>
      </w:pPr>
      <w:r>
        <w:rPr>
          <w:rFonts w:hint="eastAsia" w:ascii="仿宋" w:eastAsia="仿宋" w:cs="楷体_GB2312"/>
          <w:b/>
          <w:bCs/>
          <w:sz w:val="32"/>
          <w:szCs w:val="32"/>
        </w:rPr>
        <w:t>项目绩效目标完成情况。</w:t>
      </w:r>
      <w:r>
        <w:rPr>
          <w:rFonts w:hint="eastAsia" w:ascii="楷体_GB2312" w:eastAsia="楷体_GB2312" w:cs="楷体_GB2312"/>
          <w:b/>
          <w:bCs/>
          <w:sz w:val="32"/>
          <w:szCs w:val="32"/>
        </w:rPr>
        <w:br w:type="textWrapping"/>
      </w:r>
      <w:r>
        <w:rPr>
          <w:rFonts w:hint="eastAsia" w:ascii="仿宋_GB2312" w:eastAsia="仿宋_GB2312" w:cs="仿宋_GB2312"/>
          <w:sz w:val="32"/>
          <w:szCs w:val="32"/>
        </w:rPr>
        <w:t xml:space="preserve">    本部门在</w:t>
      </w:r>
      <w:r>
        <w:rPr>
          <w:rFonts w:ascii="仿宋_GB2312" w:eastAsia="仿宋_GB2312" w:cs="仿宋_GB2312"/>
          <w:sz w:val="32"/>
          <w:szCs w:val="32"/>
        </w:rPr>
        <w:t>2020</w:t>
      </w:r>
      <w:r>
        <w:rPr>
          <w:rFonts w:hint="eastAsia" w:ascii="仿宋_GB2312" w:eastAsia="仿宋_GB2312" w:cs="仿宋_GB2312"/>
          <w:sz w:val="32"/>
          <w:szCs w:val="32"/>
        </w:rPr>
        <w:t>年度部门决算中反映“观音村修建防洪堡坎</w:t>
      </w:r>
      <w:r>
        <w:rPr>
          <w:rFonts w:ascii="仿宋_GB2312" w:eastAsia="仿宋_GB2312" w:cs="仿宋_GB2312"/>
          <w:sz w:val="32"/>
          <w:szCs w:val="32"/>
        </w:rPr>
        <w:t>”</w:t>
      </w:r>
      <w:r>
        <w:rPr>
          <w:rFonts w:hint="eastAsia" w:ascii="仿宋_GB2312" w:eastAsia="仿宋_GB2312" w:cs="仿宋_GB2312"/>
          <w:sz w:val="32"/>
          <w:szCs w:val="32"/>
        </w:rPr>
        <w:t>“观音桥斯玛都村乡村提升建设项目”“依生村寨子桥梁修建”“乡镇行政区划调整改革”等4个项目绩效目标实际完成情况。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1.“观音村修建防洪堡坎”项目绩效目标完成情况综述。项目全年预算数49万元，执行数为49万元，完成预算的100%。</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right w:w="15" w:type="dxa"/>
            </w:tcMar>
            <w:vAlign w:val="center"/>
          </w:tcPr>
          <w:p>
            <w:pPr>
              <w:pStyle w:val="24"/>
              <w:widowControl/>
              <w:ind w:left="4173" w:leftChars="1310" w:hanging="1422" w:hangingChars="395"/>
              <w:textAlignment w:val="center"/>
              <w:rPr>
                <w:rFonts w:ascii="宋体" w:cs="宋体"/>
                <w:color w:val="000000"/>
                <w:sz w:val="36"/>
                <w:szCs w:val="36"/>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2020</w:t>
            </w:r>
            <w:r>
              <w:rPr>
                <w:rFonts w:hint="eastAsia" w:asci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观音村修建防洪堡坎项目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阿坝州金川县观音桥镇人民政府办公室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49万元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49万元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49万元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49万元</w:t>
            </w:r>
          </w:p>
        </w:tc>
      </w:tr>
      <w:tr>
        <w:tblPrEx>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通过修建改造，进一步提升对外形象。</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基本实现</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新建防洪堡坎</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250米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250米</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防洪堡坎高度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2.7米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2.7米</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验收质量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大于等于99%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大于等于99%</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控制成本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材料、人工等费用控制在49万元以内</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49万元</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2.“观音桥斯玛都村乡村提升建设项目”项目绩效目标完成情况综述。项目全年预算数165万元，执行数为165万元，完成预算的100%。</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56"/>
        <w:gridCol w:w="2430"/>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pStyle w:val="24"/>
              <w:widowControl/>
              <w:ind w:left="4173" w:leftChars="1310" w:hanging="1422" w:hangingChars="395"/>
              <w:textAlignment w:val="center"/>
              <w:rPr>
                <w:rFonts w:ascii="宋体" w:cs="宋体"/>
                <w:color w:val="000000"/>
                <w:sz w:val="36"/>
                <w:szCs w:val="36"/>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2020</w:t>
            </w:r>
            <w:r>
              <w:rPr>
                <w:rFonts w:hint="eastAsia" w:asci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观音桥斯玛都村乡村提升建设项目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阿坝州金川县观音桥镇人民政府办公室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165万元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165万元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165万元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165万元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通过项目的实施，有效解决旅游基础设施不能满足游客需求的现状。</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修新进乡村旅游服务中心二期800平方米；室内物品采购1套。</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度量单位</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修新进乡村旅游服务中心二期800平方米；室内物品采购1套。</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保质保量</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保质保量完成大修工作，减少安全隐患</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b/>
                <w:bCs/>
                <w:color w:val="000000"/>
                <w:sz w:val="24"/>
              </w:rPr>
            </w:pPr>
            <w:r>
              <w:rPr>
                <w:rFonts w:hint="eastAsia" w:ascii="宋体" w:cs="宋体"/>
                <w:color w:val="000000"/>
                <w:sz w:val="24"/>
              </w:rPr>
              <w:t>修新进乡村旅游服务中心二期800平方米；室内物品采购1套。</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确保村民群众人生命财产安全</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确保村民群众人生命财产安全</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                                                                                                                                                                     </w:t>
      </w:r>
    </w:p>
    <w:p>
      <w:pPr>
        <w:numPr>
          <w:ilvl w:val="0"/>
          <w:numId w:val="5"/>
        </w:num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“依生村寨子桥梁修建”项目绩效目标完成情况综述。项目全年预算数45万元，完成预算的100%。</w:t>
      </w:r>
    </w:p>
    <w:p>
      <w:pPr>
        <w:spacing w:line="580" w:lineRule="exact"/>
        <w:rPr>
          <w:rFonts w:ascii="仿宋_GB2312" w:eastAsia="仿宋_GB2312" w:cs="仿宋_GB2312"/>
          <w:sz w:val="32"/>
          <w:szCs w:val="32"/>
        </w:rPr>
      </w:pP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2020</w:t>
            </w:r>
            <w:r>
              <w:rPr>
                <w:rFonts w:hint="eastAsia" w:asci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依生村寨子桥梁修建</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阿坝州金川县观音桥镇人民政府办公室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45万元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修建钢筋水泥结构桥梁长度16米，宽度4米，高度3米一座。</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修建钢筋水泥结构桥梁长度16米，宽度4米，高度3米一座。</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ascii="宋体" w:cs="宋体"/>
                <w:color w:val="000000"/>
                <w:kern w:val="0"/>
                <w:sz w:val="24"/>
              </w:rPr>
            </w:pPr>
          </w:p>
          <w:p>
            <w:pPr>
              <w:jc w:val="center"/>
            </w:pPr>
            <w:r>
              <w:rPr>
                <w:rFonts w:hint="eastAsia" w:ascii="宋体" w:cs="宋体"/>
                <w:color w:val="000000"/>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ind w:firstLine="480" w:firstLineChars="200"/>
              <w:jc w:val="center"/>
            </w:pPr>
            <w:r>
              <w:rPr>
                <w:rFonts w:hint="eastAsia" w:ascii="宋体" w:cs="宋体"/>
                <w:color w:val="000000"/>
                <w:sz w:val="24"/>
              </w:rPr>
              <w:t xml:space="preserve">              完成时限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202</w:t>
            </w:r>
            <w:r>
              <w:rPr>
                <w:rFonts w:hint="eastAsia" w:ascii="宋体" w:cs="宋体"/>
                <w:color w:val="000000"/>
                <w:sz w:val="24"/>
              </w:rPr>
              <w:t>0年12月31日前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202</w:t>
            </w:r>
            <w:r>
              <w:rPr>
                <w:rFonts w:hint="eastAsia" w:ascii="宋体" w:cs="宋体"/>
                <w:color w:val="000000"/>
                <w:sz w:val="24"/>
              </w:rPr>
              <w:t>0年12月31日前</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重大意义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sz w:val="24"/>
              </w:rPr>
              <w:t>有利于巩固该村脱贫成果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有利于巩固该村脱贫成果</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 .“乡镇行政区划调整改革”绩效目标完成情况综述。项目全年预算数47万元，执行数为47万元，完成预算的100%。</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2020</w:t>
            </w:r>
            <w:r>
              <w:rPr>
                <w:rFonts w:hint="eastAsia" w:asci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乡镇行政区划调整改革</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金川县观音桥镇人民政府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47</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47</w:t>
            </w:r>
            <w:r>
              <w:rPr>
                <w:rFonts w:hint="eastAsia" w:ascii="宋体" w:cs="宋体"/>
                <w:color w:val="000000"/>
                <w:sz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47</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47</w:t>
            </w:r>
            <w:r>
              <w:rPr>
                <w:rFonts w:hint="eastAsia" w:ascii="宋体" w:cs="宋体"/>
                <w:color w:val="000000"/>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sz w:val="24"/>
              </w:rPr>
              <w:t>落实乡镇行政区划调整改革，确保撤乡并镇改革的顺利实施。</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落实乡镇行政区划调整改革，确保撤乡并镇改革的顺利实施。</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办公及维修支出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s="宋体"/>
                <w:sz w:val="24"/>
              </w:rPr>
            </w:pPr>
            <w:r>
              <w:rPr>
                <w:rFonts w:hint="eastAsia" w:ascii="宋体" w:cs="宋体"/>
                <w:sz w:val="24"/>
              </w:rPr>
              <w:t>改革中的办公支出40万元。对于乡镇环境的维修整治支出7万元。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s="宋体"/>
                <w:sz w:val="24"/>
              </w:rPr>
            </w:pPr>
            <w:r>
              <w:rPr>
                <w:rFonts w:hint="eastAsia" w:ascii="宋体" w:cs="宋体"/>
                <w:sz w:val="24"/>
              </w:rPr>
              <w:t>改革中的办公支出40万元。对于乡镇环境的维修整治支出7万元。</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2020</w:t>
            </w:r>
            <w:r>
              <w:rPr>
                <w:rFonts w:hint="eastAsia" w:ascii="宋体" w:cs="宋体"/>
                <w:color w:val="000000"/>
                <w:sz w:val="24"/>
              </w:rPr>
              <w:t>年12月31日前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2020</w:t>
            </w:r>
            <w:r>
              <w:rPr>
                <w:rFonts w:hint="eastAsia" w:ascii="宋体" w:cs="宋体"/>
                <w:color w:val="000000"/>
                <w:sz w:val="24"/>
              </w:rPr>
              <w:t>年12月7日</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抢险完成率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numPr>
          <w:ilvl w:val="0"/>
          <w:numId w:val="4"/>
        </w:numPr>
        <w:spacing w:line="580" w:lineRule="exact"/>
        <w:ind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2020</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《阿坝州人民政府办公室</w:t>
      </w:r>
      <w:r>
        <w:rPr>
          <w:rFonts w:ascii="仿宋_GB2312" w:eastAsia="仿宋_GB2312"/>
          <w:sz w:val="32"/>
          <w:szCs w:val="32"/>
        </w:rPr>
        <w:t>2020</w:t>
      </w:r>
      <w:r>
        <w:rPr>
          <w:rFonts w:hint="eastAsia" w:ascii="仿宋_GB2312" w:eastAsia="仿宋_GB2312"/>
          <w:sz w:val="32"/>
          <w:szCs w:val="32"/>
        </w:rPr>
        <w:t>年部门预算整体支出绩效评价报告》</w:t>
      </w:r>
      <w:r>
        <w:rPr>
          <w:rFonts w:hint="eastAsia" w:ascii="仿宋_GB2312" w:eastAsia="仿宋_GB2312" w:cs="仿宋_GB2312"/>
          <w:sz w:val="32"/>
          <w:szCs w:val="32"/>
        </w:rPr>
        <w:t>见附件。</w:t>
      </w:r>
    </w:p>
    <w:p>
      <w:pPr>
        <w:spacing w:line="600" w:lineRule="exact"/>
        <w:ind w:firstLine="640" w:firstLineChars="200"/>
        <w:outlineLvl w:val="1"/>
        <w:rPr>
          <w:rStyle w:val="19"/>
          <w:rFonts w:ascii="黑体" w:eastAsia="黑体"/>
        </w:rPr>
      </w:pPr>
      <w:bookmarkStart w:id="74" w:name="_Toc15377221"/>
      <w:bookmarkStart w:id="75" w:name="_Toc11969"/>
      <w:r>
        <w:rPr>
          <w:rFonts w:hint="eastAsia" w:ascii="黑体" w:eastAsia="黑体"/>
          <w:color w:val="000000"/>
          <w:sz w:val="32"/>
          <w:szCs w:val="32"/>
        </w:rPr>
        <w:t>十</w:t>
      </w:r>
      <w:r>
        <w:rPr>
          <w:rStyle w:val="19"/>
          <w:rFonts w:hint="eastAsia" w:ascii="黑体" w:eastAsia="黑体"/>
        </w:rPr>
        <w:t>一、</w:t>
      </w:r>
      <w:r>
        <w:rPr>
          <w:rStyle w:val="19"/>
          <w:rFonts w:hint="eastAsia" w:ascii="黑体" w:eastAsia="黑体"/>
          <w:b w:val="0"/>
        </w:rPr>
        <w:t>其他重要事项的情况说明</w:t>
      </w:r>
      <w:bookmarkEnd w:id="74"/>
      <w:bookmarkEnd w:id="75"/>
    </w:p>
    <w:p>
      <w:pPr>
        <w:spacing w:line="600" w:lineRule="exact"/>
        <w:ind w:firstLine="643" w:firstLineChars="200"/>
        <w:outlineLvl w:val="2"/>
        <w:rPr>
          <w:rFonts w:ascii="仿宋" w:eastAsia="仿宋"/>
          <w:color w:val="000000"/>
          <w:sz w:val="32"/>
          <w:szCs w:val="32"/>
        </w:rPr>
      </w:pPr>
      <w:bookmarkStart w:id="76" w:name="_Toc15377222"/>
      <w:r>
        <w:rPr>
          <w:rFonts w:hint="eastAsia" w:ascii="仿宋" w:eastAsia="仿宋"/>
          <w:b/>
          <w:color w:val="000000"/>
          <w:sz w:val="32"/>
          <w:szCs w:val="32"/>
        </w:rPr>
        <w:t>（一）机关运行经费支出情况</w:t>
      </w:r>
      <w:bookmarkEnd w:id="76"/>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2020</w:t>
      </w:r>
      <w:r>
        <w:rPr>
          <w:rFonts w:hint="eastAsia" w:ascii="仿宋_GB2312" w:eastAsia="仿宋_GB2312"/>
          <w:color w:val="000000"/>
          <w:sz w:val="32"/>
          <w:szCs w:val="32"/>
        </w:rPr>
        <w:t>年，观音桥镇人民政府办公室运行经费支出0万元。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77" w:name="_Toc15377224"/>
      <w:r>
        <w:rPr>
          <w:rFonts w:hint="eastAsia" w:ascii="仿宋" w:eastAsia="仿宋"/>
          <w:b/>
          <w:color w:val="000000"/>
          <w:sz w:val="32"/>
          <w:szCs w:val="32"/>
        </w:rPr>
        <w:t>（二）国有资产占有使用情况</w:t>
      </w:r>
      <w:bookmarkEnd w:id="77"/>
    </w:p>
    <w:p>
      <w:pPr>
        <w:widowControl/>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日，共有车辆4辆，为日常工作及应急保障用车。</w:t>
      </w:r>
    </w:p>
    <w:p>
      <w:pPr>
        <w:widowControl/>
        <w:ind w:firstLine="643" w:firstLineChars="200"/>
        <w:jc w:val="left"/>
        <w:rPr>
          <w:rFonts w:hint="eastAsia" w:ascii="仿宋_GB2312" w:eastAsia="仿宋_GB2312"/>
          <w:b/>
          <w:color w:val="000000"/>
          <w:sz w:val="32"/>
          <w:szCs w:val="32"/>
        </w:rPr>
      </w:pPr>
      <w:r>
        <w:rPr>
          <w:rFonts w:hint="eastAsia" w:ascii="仿宋" w:eastAsia="仿宋"/>
          <w:b/>
          <w:color w:val="000000"/>
          <w:sz w:val="32"/>
          <w:szCs w:val="32"/>
          <w:lang w:eastAsia="zh-CN"/>
        </w:rPr>
        <w:t>（三）</w:t>
      </w:r>
      <w:r>
        <w:rPr>
          <w:rFonts w:hint="eastAsia" w:ascii="仿宋_GB2312" w:eastAsia="仿宋_GB2312"/>
          <w:b/>
          <w:color w:val="000000"/>
          <w:sz w:val="32"/>
          <w:szCs w:val="32"/>
        </w:rPr>
        <w:t>政府采购支出情况</w:t>
      </w:r>
    </w:p>
    <w:p>
      <w:pPr>
        <w:widowControl/>
        <w:ind w:firstLine="643" w:firstLineChars="200"/>
        <w:jc w:val="left"/>
        <w:rPr>
          <w:rFonts w:hint="eastAsia" w:ascii="仿宋_GB2312" w:eastAsia="仿宋_GB2312"/>
          <w:b/>
          <w:color w:val="000000"/>
          <w:sz w:val="32"/>
          <w:szCs w:val="32"/>
        </w:rPr>
      </w:pPr>
      <w:r>
        <w:rPr>
          <w:rFonts w:hint="eastAsia" w:ascii="仿宋_GB2312" w:eastAsia="仿宋_GB2312"/>
          <w:b/>
          <w:color w:val="000000"/>
          <w:sz w:val="32"/>
          <w:szCs w:val="32"/>
        </w:rPr>
        <w:t xml:space="preserve">2020年无采购  </w:t>
      </w:r>
    </w:p>
    <w:p>
      <w:pPr>
        <w:pStyle w:val="13"/>
        <w:widowControl/>
        <w:shd w:val="clear" w:color="auto" w:fill="FFFFFF"/>
        <w:spacing w:beforeAutospacing="0" w:afterAutospacing="0" w:line="576" w:lineRule="exact"/>
        <w:ind w:firstLine="643" w:firstLineChars="200"/>
        <w:rPr>
          <w:rFonts w:ascii="仿宋_GB2312" w:eastAsia="仿宋_GB2312"/>
          <w:b/>
          <w:color w:val="000000"/>
          <w:sz w:val="32"/>
          <w:szCs w:val="32"/>
        </w:rPr>
      </w:pPr>
    </w:p>
    <w:p>
      <w:pPr>
        <w:numPr>
          <w:ilvl w:val="0"/>
          <w:numId w:val="6"/>
        </w:numPr>
        <w:spacing w:line="600" w:lineRule="exact"/>
        <w:ind w:firstLine="663" w:firstLineChars="150"/>
        <w:jc w:val="center"/>
        <w:outlineLvl w:val="0"/>
        <w:rPr>
          <w:rStyle w:val="18"/>
          <w:rFonts w:ascii="黑体" w:eastAsia="黑体"/>
          <w:b w:val="0"/>
        </w:rPr>
      </w:pPr>
      <w:bookmarkStart w:id="78" w:name="_Toc15377225"/>
      <w:bookmarkStart w:id="79" w:name="_Toc20207"/>
      <w:r>
        <w:rPr>
          <w:rFonts w:hint="eastAsia" w:ascii="黑体" w:eastAsia="黑体"/>
          <w:b/>
          <w:color w:val="000000"/>
          <w:sz w:val="44"/>
          <w:szCs w:val="44"/>
        </w:rPr>
        <w:t>名</w:t>
      </w:r>
      <w:r>
        <w:rPr>
          <w:rStyle w:val="18"/>
          <w:rFonts w:hint="eastAsia" w:ascii="黑体" w:eastAsia="黑体"/>
          <w:b w:val="0"/>
        </w:rPr>
        <w:t>词解释</w:t>
      </w:r>
      <w:bookmarkEnd w:id="78"/>
      <w:bookmarkEnd w:id="79"/>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numPr>
          <w:ilvl w:val="0"/>
          <w:numId w:val="6"/>
        </w:numPr>
        <w:spacing w:line="600" w:lineRule="exact"/>
        <w:ind w:firstLine="663" w:firstLineChars="150"/>
        <w:jc w:val="center"/>
        <w:outlineLvl w:val="0"/>
        <w:rPr>
          <w:rFonts w:hint="eastAsia" w:ascii="黑体" w:eastAsia="黑体"/>
          <w:b/>
          <w:color w:val="000000"/>
          <w:sz w:val="44"/>
          <w:szCs w:val="44"/>
        </w:rPr>
      </w:pPr>
      <w:bookmarkStart w:id="80" w:name="_Toc20006"/>
      <w:r>
        <w:rPr>
          <w:rFonts w:hint="eastAsia" w:ascii="黑体" w:eastAsia="黑体"/>
          <w:b/>
          <w:color w:val="000000"/>
          <w:sz w:val="44"/>
          <w:szCs w:val="44"/>
          <w:lang w:val="en-US" w:eastAsia="zh-CN"/>
        </w:rPr>
        <w:t>2020年及</w:t>
      </w:r>
      <w:r>
        <w:rPr>
          <w:rFonts w:hint="eastAsia" w:ascii="黑体" w:eastAsia="黑体"/>
          <w:b/>
          <w:color w:val="000000"/>
          <w:sz w:val="44"/>
          <w:szCs w:val="44"/>
        </w:rPr>
        <w:t>20</w:t>
      </w:r>
      <w:r>
        <w:rPr>
          <w:rFonts w:hint="eastAsia" w:ascii="黑体" w:eastAsia="黑体"/>
          <w:b/>
          <w:color w:val="000000"/>
          <w:sz w:val="44"/>
          <w:szCs w:val="44"/>
          <w:lang w:val="en-US" w:eastAsia="zh-CN"/>
        </w:rPr>
        <w:t>21</w:t>
      </w:r>
      <w:r>
        <w:rPr>
          <w:rFonts w:hint="eastAsia" w:ascii="黑体" w:eastAsia="黑体"/>
          <w:b/>
          <w:color w:val="000000"/>
          <w:sz w:val="44"/>
          <w:szCs w:val="44"/>
        </w:rPr>
        <w:t>年</w:t>
      </w:r>
      <w:r>
        <w:rPr>
          <w:rFonts w:hint="eastAsia" w:ascii="黑体" w:eastAsia="黑体"/>
          <w:b/>
          <w:color w:val="000000"/>
          <w:sz w:val="44"/>
          <w:szCs w:val="44"/>
          <w:lang w:val="en-US" w:eastAsia="zh-CN"/>
        </w:rPr>
        <w:t>1-6月</w:t>
      </w:r>
      <w:r>
        <w:rPr>
          <w:rFonts w:hint="eastAsia" w:ascii="黑体" w:eastAsia="黑体"/>
          <w:b/>
          <w:color w:val="000000"/>
          <w:sz w:val="44"/>
          <w:szCs w:val="44"/>
        </w:rPr>
        <w:t>部门整体支出绩效评价报告</w:t>
      </w:r>
      <w:bookmarkEnd w:id="80"/>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keepNext w:val="0"/>
        <w:keepLines w:val="0"/>
        <w:pageBreakBefore w:val="0"/>
        <w:widowControl/>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zh-CN"/>
        </w:rPr>
        <w:t>（一）</w:t>
      </w:r>
      <w:r>
        <w:rPr>
          <w:rFonts w:hint="eastAsia" w:ascii="仿宋_GB2312" w:hAnsi="仿宋_GB2312" w:eastAsia="仿宋_GB2312" w:cs="仿宋_GB2312"/>
          <w:color w:val="000000"/>
          <w:sz w:val="32"/>
          <w:szCs w:val="32"/>
          <w:lang w:val="en-US" w:eastAsia="zh-CN"/>
        </w:rPr>
        <w:t>观音桥镇部门概况：我镇共有2个机构，行政单位1个，事业单位1个。</w:t>
      </w:r>
    </w:p>
    <w:p>
      <w:pPr>
        <w:keepNext w:val="0"/>
        <w:keepLines w:val="0"/>
        <w:pageBreakBefore w:val="0"/>
        <w:widowControl/>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zh-CN"/>
        </w:rPr>
        <w:t>（二）</w:t>
      </w:r>
      <w:r>
        <w:rPr>
          <w:rFonts w:hint="eastAsia" w:ascii="仿宋_GB2312" w:hAnsi="仿宋_GB2312" w:eastAsia="仿宋_GB2312" w:cs="仿宋_GB2312"/>
          <w:color w:val="000000"/>
          <w:sz w:val="32"/>
          <w:szCs w:val="32"/>
        </w:rPr>
        <w:t>一是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二是制定并组织实施村乡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w:t>
      </w:r>
      <w:r>
        <w:rPr>
          <w:rFonts w:hint="eastAsia" w:ascii="仿宋_GB2312" w:hAnsi="仿宋_GB2312" w:eastAsia="仿宋_GB2312" w:cs="仿宋_GB2312"/>
          <w:color w:val="000000"/>
          <w:sz w:val="32"/>
          <w:szCs w:val="32"/>
          <w:lang w:eastAsia="zh-CN"/>
        </w:rPr>
        <w:t>其他事项</w:t>
      </w:r>
      <w:r>
        <w:rPr>
          <w:rFonts w:hint="eastAsia" w:ascii="仿宋_GB2312" w:hAnsi="仿宋_GB2312" w:eastAsia="仿宋_GB2312" w:cs="仿宋_GB2312"/>
          <w:color w:val="000000"/>
          <w:sz w:val="32"/>
          <w:szCs w:val="32"/>
        </w:rPr>
        <w:t>。七、执行本级人民代表大会的决议和上级国家行政机关的决定和命令，发布决定和命令。 八、保护社会主义的全民所有的财产和劳动群众集体所有的财产，保护公民私人所有的合法财产，维护社会秩序，保障公民的人身权利、民主权利和其他权利。</w:t>
      </w:r>
    </w:p>
    <w:p>
      <w:pPr>
        <w:snapToGrid w:val="0"/>
        <w:spacing w:line="520" w:lineRule="exact"/>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color w:val="000000"/>
          <w:kern w:val="0"/>
          <w:sz w:val="32"/>
          <w:szCs w:val="32"/>
          <w:lang w:val="zh-CN"/>
        </w:rPr>
        <w:t>（三）</w:t>
      </w:r>
      <w:r>
        <w:rPr>
          <w:rFonts w:hint="eastAsia" w:ascii="仿宋_GB2312" w:hAnsi="仿宋_GB2312" w:eastAsia="仿宋_GB2312" w:cs="仿宋_GB2312"/>
          <w:color w:val="000000"/>
          <w:sz w:val="32"/>
          <w:szCs w:val="32"/>
          <w:lang w:val="en-US" w:eastAsia="zh-CN"/>
        </w:rPr>
        <w:t>观音桥镇</w:t>
      </w:r>
      <w:r>
        <w:rPr>
          <w:rFonts w:hint="eastAsia" w:ascii="仿宋_GB2312" w:hAnsi="仿宋_GB2312" w:eastAsia="仿宋_GB2312" w:cs="仿宋_GB2312"/>
          <w:color w:val="000000"/>
          <w:sz w:val="32"/>
          <w:szCs w:val="32"/>
        </w:rPr>
        <w:t>人民政府20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年年初在职</w:t>
      </w:r>
      <w:r>
        <w:rPr>
          <w:rFonts w:hint="eastAsia" w:ascii="仿宋_GB2312" w:hAnsi="仿宋_GB2312" w:eastAsia="仿宋_GB2312" w:cs="仿宋_GB2312"/>
          <w:color w:val="000000"/>
          <w:sz w:val="32"/>
          <w:szCs w:val="32"/>
          <w:lang w:val="en-US" w:eastAsia="zh-CN"/>
        </w:rPr>
        <w:t>29</w:t>
      </w:r>
      <w:r>
        <w:rPr>
          <w:rFonts w:hint="eastAsia" w:ascii="仿宋_GB2312" w:hAnsi="仿宋_GB2312" w:eastAsia="仿宋_GB2312" w:cs="仿宋_GB2312"/>
          <w:color w:val="000000"/>
          <w:sz w:val="32"/>
          <w:szCs w:val="32"/>
        </w:rPr>
        <w:t>人，其中行政人员</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人，行政工勤</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人，事业人员5人</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事业工勤1人</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年年末在职</w:t>
      </w:r>
      <w:r>
        <w:rPr>
          <w:rFonts w:hint="eastAsia" w:ascii="仿宋_GB2312" w:hAnsi="仿宋_GB2312" w:eastAsia="仿宋_GB2312" w:cs="仿宋_GB2312"/>
          <w:color w:val="000000"/>
          <w:sz w:val="32"/>
          <w:szCs w:val="32"/>
          <w:lang w:val="en-US" w:eastAsia="zh-CN"/>
        </w:rPr>
        <w:t>53</w:t>
      </w:r>
      <w:r>
        <w:rPr>
          <w:rFonts w:hint="eastAsia" w:ascii="仿宋_GB2312" w:hAnsi="仿宋_GB2312" w:eastAsia="仿宋_GB2312" w:cs="仿宋_GB2312"/>
          <w:color w:val="000000"/>
          <w:sz w:val="32"/>
          <w:szCs w:val="32"/>
        </w:rPr>
        <w:t>人，其中行政人员</w:t>
      </w:r>
      <w:r>
        <w:rPr>
          <w:rFonts w:hint="eastAsia" w:ascii="仿宋_GB2312" w:hAnsi="仿宋_GB2312" w:eastAsia="仿宋_GB2312" w:cs="仿宋_GB2312"/>
          <w:color w:val="000000"/>
          <w:sz w:val="32"/>
          <w:szCs w:val="32"/>
          <w:lang w:val="en-US" w:eastAsia="zh-CN"/>
        </w:rPr>
        <w:t>27</w:t>
      </w:r>
      <w:r>
        <w:rPr>
          <w:rFonts w:hint="eastAsia" w:ascii="仿宋_GB2312" w:hAnsi="仿宋_GB2312" w:eastAsia="仿宋_GB2312" w:cs="仿宋_GB2312"/>
          <w:color w:val="000000"/>
          <w:sz w:val="32"/>
          <w:szCs w:val="32"/>
        </w:rPr>
        <w:t>人，行政工勤</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人，事业人员</w:t>
      </w:r>
      <w:r>
        <w:rPr>
          <w:rFonts w:hint="eastAsia" w:ascii="仿宋_GB2312" w:hAnsi="仿宋_GB2312" w:eastAsia="仿宋_GB2312" w:cs="仿宋_GB2312"/>
          <w:color w:val="000000"/>
          <w:sz w:val="32"/>
          <w:szCs w:val="32"/>
          <w:lang w:val="en-US" w:eastAsia="zh-CN"/>
        </w:rPr>
        <w:t>24</w:t>
      </w:r>
      <w:r>
        <w:rPr>
          <w:rFonts w:hint="eastAsia" w:ascii="仿宋_GB2312" w:hAnsi="仿宋_GB2312" w:eastAsia="仿宋_GB2312" w:cs="仿宋_GB2312"/>
          <w:color w:val="000000"/>
          <w:sz w:val="32"/>
          <w:szCs w:val="32"/>
        </w:rPr>
        <w:t>人</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事业工勤1人</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年1-6月独立编制单位机构数为1个，财政供养人员编制为</w:t>
      </w:r>
      <w:r>
        <w:rPr>
          <w:rFonts w:hint="eastAsia" w:ascii="仿宋_GB2312" w:hAnsi="仿宋_GB2312" w:eastAsia="仿宋_GB2312" w:cs="仿宋_GB2312"/>
          <w:color w:val="000000"/>
          <w:sz w:val="32"/>
          <w:szCs w:val="32"/>
          <w:lang w:val="en-US" w:eastAsia="zh-CN"/>
        </w:rPr>
        <w:t>58</w:t>
      </w:r>
      <w:r>
        <w:rPr>
          <w:rFonts w:hint="eastAsia" w:ascii="仿宋_GB2312" w:hAnsi="仿宋_GB2312" w:eastAsia="仿宋_GB2312" w:cs="仿宋_GB2312"/>
          <w:color w:val="000000"/>
          <w:sz w:val="32"/>
          <w:szCs w:val="32"/>
        </w:rPr>
        <w:t>名，其中行政编制</w:t>
      </w:r>
      <w:r>
        <w:rPr>
          <w:rFonts w:hint="eastAsia" w:ascii="仿宋_GB2312" w:hAnsi="仿宋_GB2312" w:eastAsia="仿宋_GB2312" w:cs="仿宋_GB2312"/>
          <w:color w:val="000000"/>
          <w:sz w:val="32"/>
          <w:szCs w:val="32"/>
          <w:lang w:val="en-US" w:eastAsia="zh-CN"/>
        </w:rPr>
        <w:t>32</w:t>
      </w:r>
      <w:r>
        <w:rPr>
          <w:rFonts w:hint="eastAsia" w:ascii="仿宋_GB2312" w:hAnsi="仿宋_GB2312" w:eastAsia="仿宋_GB2312" w:cs="仿宋_GB2312"/>
          <w:color w:val="000000"/>
          <w:sz w:val="32"/>
          <w:szCs w:val="32"/>
        </w:rPr>
        <w:t>名，行政工勤编制</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名，事业编制</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名（其中参照公务员法管理人员编制0人）；20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 xml:space="preserve">年1-6月实际财政供养人员 </w:t>
      </w:r>
      <w:r>
        <w:rPr>
          <w:rFonts w:hint="eastAsia" w:ascii="仿宋_GB2312" w:hAnsi="仿宋_GB2312" w:eastAsia="仿宋_GB2312" w:cs="仿宋_GB2312"/>
          <w:color w:val="000000"/>
          <w:sz w:val="32"/>
          <w:szCs w:val="32"/>
          <w:lang w:val="en-US" w:eastAsia="zh-CN"/>
        </w:rPr>
        <w:t>53</w:t>
      </w:r>
      <w:r>
        <w:rPr>
          <w:rFonts w:hint="eastAsia" w:ascii="仿宋_GB2312" w:hAnsi="仿宋_GB2312" w:eastAsia="仿宋_GB2312" w:cs="仿宋_GB2312"/>
          <w:color w:val="000000"/>
          <w:sz w:val="32"/>
          <w:szCs w:val="32"/>
        </w:rPr>
        <w:t>人，</w:t>
      </w:r>
      <w:r>
        <w:rPr>
          <w:rFonts w:hint="eastAsia" w:ascii="仿宋_GB2312" w:hAnsi="仿宋_GB2312" w:eastAsia="仿宋_GB2312" w:cs="仿宋_GB2312"/>
          <w:b w:val="0"/>
          <w:bCs w:val="0"/>
          <w:color w:val="000000"/>
          <w:sz w:val="32"/>
          <w:szCs w:val="32"/>
        </w:rPr>
        <w:t>其中：行政</w:t>
      </w:r>
      <w:r>
        <w:rPr>
          <w:rFonts w:hint="eastAsia" w:ascii="仿宋_GB2312" w:hAnsi="仿宋_GB2312" w:eastAsia="仿宋_GB2312" w:cs="仿宋_GB2312"/>
          <w:b w:val="0"/>
          <w:bCs w:val="0"/>
          <w:color w:val="000000"/>
          <w:sz w:val="32"/>
          <w:szCs w:val="32"/>
          <w:lang w:val="en-US" w:eastAsia="zh-CN"/>
        </w:rPr>
        <w:t>26</w:t>
      </w:r>
      <w:r>
        <w:rPr>
          <w:rFonts w:hint="eastAsia" w:ascii="仿宋_GB2312" w:hAnsi="仿宋_GB2312" w:eastAsia="仿宋_GB2312" w:cs="仿宋_GB2312"/>
          <w:b w:val="0"/>
          <w:bCs w:val="0"/>
          <w:color w:val="000000"/>
          <w:sz w:val="32"/>
          <w:szCs w:val="32"/>
        </w:rPr>
        <w:t>人，行政工勤</w:t>
      </w:r>
      <w:r>
        <w:rPr>
          <w:rFonts w:hint="eastAsia"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rPr>
        <w:t>人， 事业</w:t>
      </w:r>
      <w:r>
        <w:rPr>
          <w:rFonts w:hint="eastAsia" w:ascii="仿宋_GB2312" w:hAnsi="仿宋_GB2312" w:eastAsia="仿宋_GB2312" w:cs="仿宋_GB2312"/>
          <w:b w:val="0"/>
          <w:bCs w:val="0"/>
          <w:color w:val="000000"/>
          <w:sz w:val="32"/>
          <w:szCs w:val="32"/>
          <w:lang w:val="en-US" w:eastAsia="zh-CN"/>
        </w:rPr>
        <w:t>24</w:t>
      </w:r>
      <w:r>
        <w:rPr>
          <w:rFonts w:hint="eastAsia" w:ascii="仿宋_GB2312" w:hAnsi="仿宋_GB2312" w:eastAsia="仿宋_GB2312" w:cs="仿宋_GB2312"/>
          <w:b w:val="0"/>
          <w:bCs w:val="0"/>
          <w:color w:val="000000"/>
          <w:sz w:val="32"/>
          <w:szCs w:val="32"/>
        </w:rPr>
        <w:t>人</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val="en-US" w:eastAsia="zh-CN"/>
        </w:rPr>
        <w:t>事业工勤1人。</w:t>
      </w:r>
      <w:r>
        <w:rPr>
          <w:rFonts w:hint="eastAsia" w:ascii="仿宋_GB2312" w:hAnsi="仿宋_GB2312" w:eastAsia="仿宋_GB2312" w:cs="仿宋_GB2312"/>
          <w:color w:val="000000"/>
          <w:sz w:val="32"/>
          <w:szCs w:val="32"/>
        </w:rPr>
        <w:t>较上年</w:t>
      </w:r>
      <w:r>
        <w:rPr>
          <w:rFonts w:hint="eastAsia" w:ascii="仿宋_GB2312" w:hAnsi="仿宋_GB2312" w:eastAsia="仿宋_GB2312" w:cs="仿宋_GB2312"/>
          <w:color w:val="000000"/>
          <w:sz w:val="32"/>
          <w:szCs w:val="32"/>
          <w:lang w:val="en-US" w:eastAsia="zh-CN"/>
        </w:rPr>
        <w:t>增加24</w:t>
      </w:r>
      <w:r>
        <w:rPr>
          <w:rFonts w:hint="eastAsia" w:ascii="仿宋_GB2312" w:hAnsi="仿宋_GB2312" w:eastAsia="仿宋_GB2312" w:cs="仿宋_GB2312"/>
          <w:color w:val="000000"/>
          <w:sz w:val="32"/>
          <w:szCs w:val="32"/>
        </w:rPr>
        <w:t>人</w:t>
      </w:r>
      <w:r>
        <w:rPr>
          <w:rFonts w:hint="eastAsia" w:ascii="仿宋_GB2312" w:hAnsi="仿宋_GB2312" w:eastAsia="仿宋_GB2312" w:cs="仿宋_GB2312"/>
          <w:b w:val="0"/>
          <w:bCs w:val="0"/>
          <w:color w:val="000000"/>
          <w:sz w:val="32"/>
          <w:szCs w:val="32"/>
        </w:rPr>
        <w:t xml:space="preserve">， </w:t>
      </w:r>
      <w:r>
        <w:rPr>
          <w:rFonts w:hint="eastAsia" w:ascii="仿宋_GB2312" w:hAnsi="仿宋" w:eastAsia="仿宋_GB2312"/>
          <w:sz w:val="32"/>
          <w:szCs w:val="32"/>
          <w:lang w:val="en-US" w:eastAsia="zh-CN"/>
        </w:rPr>
        <w:t>主要原因是机构改革，撤乡并镇，人员增加，三站人员编制下划给乡镇</w:t>
      </w:r>
      <w:r>
        <w:rPr>
          <w:rFonts w:hint="eastAsia" w:ascii="仿宋_GB2312" w:hAnsi="仿宋" w:eastAsia="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黑体" w:hAnsi="宋体" w:eastAsia="黑体" w:cs="宋体"/>
          <w:color w:val="000000"/>
          <w:kern w:val="0"/>
          <w:sz w:val="32"/>
        </w:rPr>
      </w:pPr>
      <w:r>
        <w:rPr>
          <w:rFonts w:hint="eastAsia" w:ascii="黑体" w:hAnsi="宋体" w:eastAsia="黑体" w:cs="宋体"/>
          <w:color w:val="000000"/>
          <w:kern w:val="0"/>
          <w:sz w:val="32"/>
        </w:rPr>
        <w:t>二、部门财政资金收支情况</w:t>
      </w:r>
    </w:p>
    <w:p>
      <w:pPr>
        <w:keepNext w:val="0"/>
        <w:keepLines w:val="0"/>
        <w:pageBreakBefore w:val="0"/>
        <w:kinsoku/>
        <w:wordWrap/>
        <w:overflowPunct/>
        <w:topLinePunct w:val="0"/>
        <w:autoSpaceDE/>
        <w:autoSpaceDN/>
        <w:bidi w:val="0"/>
        <w:snapToGrid w:val="0"/>
        <w:spacing w:line="54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color w:val="000000"/>
          <w:sz w:val="32"/>
          <w:szCs w:val="32"/>
          <w:lang w:val="zh-CN"/>
        </w:rPr>
        <w:t>（一）</w:t>
      </w:r>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20</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lang w:val="en-US" w:eastAsia="zh-CN"/>
        </w:rPr>
        <w:t>观音桥镇</w:t>
      </w:r>
      <w:r>
        <w:rPr>
          <w:rFonts w:hint="eastAsia" w:ascii="仿宋_GB2312" w:hAnsi="仿宋_GB2312" w:eastAsia="仿宋_GB2312" w:cs="仿宋_GB2312"/>
          <w:bCs/>
          <w:sz w:val="32"/>
          <w:szCs w:val="32"/>
        </w:rPr>
        <w:t>本年收入合计</w:t>
      </w:r>
      <w:r>
        <w:rPr>
          <w:rFonts w:hint="eastAsia" w:ascii="仿宋_GB2312" w:hAnsi="仿宋_GB2312" w:eastAsia="仿宋_GB2312" w:cs="仿宋_GB2312"/>
          <w:bCs/>
          <w:sz w:val="32"/>
          <w:szCs w:val="32"/>
          <w:lang w:val="en-US" w:eastAsia="zh-CN"/>
        </w:rPr>
        <w:t>1253.42</w:t>
      </w:r>
      <w:r>
        <w:rPr>
          <w:rFonts w:hint="eastAsia" w:ascii="仿宋_GB2312" w:hAnsi="仿宋_GB2312" w:eastAsia="仿宋_GB2312" w:cs="仿宋_GB2312"/>
          <w:bCs/>
          <w:sz w:val="32"/>
          <w:szCs w:val="32"/>
        </w:rPr>
        <w:t>万元，其中：一般公共预算财政拨款收入</w:t>
      </w:r>
      <w:r>
        <w:rPr>
          <w:rFonts w:hint="eastAsia" w:ascii="仿宋_GB2312" w:hAnsi="仿宋_GB2312" w:eastAsia="仿宋_GB2312" w:cs="仿宋_GB2312"/>
          <w:bCs/>
          <w:sz w:val="32"/>
          <w:szCs w:val="32"/>
          <w:lang w:val="en-US" w:eastAsia="zh-CN"/>
        </w:rPr>
        <w:t>1253.42</w:t>
      </w:r>
      <w:r>
        <w:rPr>
          <w:rFonts w:hint="eastAsia" w:ascii="仿宋_GB2312" w:hAnsi="仿宋_GB2312" w:eastAsia="仿宋_GB2312" w:cs="仿宋_GB2312"/>
          <w:bCs/>
          <w:sz w:val="32"/>
          <w:szCs w:val="32"/>
        </w:rPr>
        <w:t>万元，占100%；政府性基金预算财政拨款收入0元，占0%；国有资本经营预算财政拨款收入0万元，占0%；事业收入0万元，占0%；经营收入0万元，占0%；附属单位上缴收入0万元，占0%；其他</w:t>
      </w:r>
      <w:r>
        <w:rPr>
          <w:rFonts w:hint="eastAsia" w:ascii="仿宋_GB2312" w:hAnsi="仿宋_GB2312" w:eastAsia="仿宋_GB2312" w:cs="仿宋_GB2312"/>
          <w:bCs/>
          <w:color w:val="auto"/>
          <w:sz w:val="32"/>
          <w:szCs w:val="32"/>
        </w:rPr>
        <w:t>收入0万元，占0%。</w:t>
      </w:r>
    </w:p>
    <w:p>
      <w:pPr>
        <w:keepNext w:val="0"/>
        <w:keepLines w:val="0"/>
        <w:pageBreakBefore w:val="0"/>
        <w:kinsoku/>
        <w:wordWrap/>
        <w:overflowPunct/>
        <w:topLinePunct w:val="0"/>
        <w:autoSpaceDE/>
        <w:autoSpaceDN/>
        <w:bidi w:val="0"/>
        <w:snapToGrid w:val="0"/>
        <w:spacing w:line="540" w:lineRule="exact"/>
        <w:ind w:firstLine="640" w:firstLineChars="200"/>
        <w:textAlignment w:val="auto"/>
        <w:rPr>
          <w:rFonts w:hint="eastAsia"/>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年1-6月收入合计</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bCs/>
          <w:color w:val="auto"/>
          <w:sz w:val="32"/>
          <w:szCs w:val="32"/>
          <w:lang w:val="en-US" w:eastAsia="zh-CN"/>
        </w:rPr>
        <w:t>32.21</w:t>
      </w:r>
      <w:r>
        <w:rPr>
          <w:rFonts w:hint="eastAsia" w:ascii="仿宋_GB2312" w:hAnsi="仿宋_GB2312" w:eastAsia="仿宋_GB2312" w:cs="仿宋_GB2312"/>
          <w:bCs/>
          <w:color w:val="auto"/>
          <w:sz w:val="32"/>
          <w:szCs w:val="32"/>
        </w:rPr>
        <w:t>万元，其中：一般公共预算财政拨款收入</w:t>
      </w:r>
      <w:r>
        <w:rPr>
          <w:rFonts w:hint="eastAsia" w:ascii="仿宋_GB2312" w:hAnsi="仿宋_GB2312" w:eastAsia="仿宋_GB2312" w:cs="仿宋_GB2312"/>
          <w:bCs/>
          <w:color w:val="auto"/>
          <w:sz w:val="32"/>
          <w:szCs w:val="32"/>
          <w:lang w:val="en-US" w:eastAsia="zh-CN"/>
        </w:rPr>
        <w:t>832.21</w:t>
      </w:r>
      <w:r>
        <w:rPr>
          <w:rFonts w:hint="eastAsia" w:ascii="仿宋_GB2312" w:hAnsi="仿宋_GB2312" w:eastAsia="仿宋_GB2312" w:cs="仿宋_GB2312"/>
          <w:bCs/>
          <w:color w:val="auto"/>
          <w:sz w:val="32"/>
          <w:szCs w:val="32"/>
        </w:rPr>
        <w:t>万元。</w:t>
      </w:r>
    </w:p>
    <w:p>
      <w:pPr>
        <w:snapToGrid w:val="0"/>
        <w:spacing w:line="52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_GB2312" w:eastAsia="仿宋_GB2312" w:cs="仿宋_GB2312"/>
          <w:color w:val="000000"/>
          <w:sz w:val="32"/>
          <w:szCs w:val="32"/>
          <w:lang w:val="zh-CN"/>
        </w:rPr>
        <w:t>（二）</w:t>
      </w:r>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20</w:t>
      </w:r>
      <w:r>
        <w:rPr>
          <w:rFonts w:hint="eastAsia" w:ascii="仿宋_GB2312" w:hAnsi="仿宋_GB2312" w:eastAsia="仿宋_GB2312" w:cs="仿宋_GB2312"/>
          <w:bCs/>
          <w:sz w:val="32"/>
          <w:szCs w:val="32"/>
        </w:rPr>
        <w:t>年一般公共预算财政拨款支出</w:t>
      </w:r>
      <w:r>
        <w:rPr>
          <w:rFonts w:hint="eastAsia" w:ascii="仿宋_GB2312" w:hAnsi="仿宋_GB2312" w:eastAsia="仿宋_GB2312" w:cs="仿宋_GB2312"/>
          <w:color w:val="000000"/>
          <w:sz w:val="32"/>
          <w:szCs w:val="32"/>
          <w:lang w:val="en-US" w:eastAsia="zh-CN"/>
        </w:rPr>
        <w:t>1213.62</w:t>
      </w:r>
      <w:r>
        <w:rPr>
          <w:rFonts w:hint="eastAsia" w:ascii="仿宋_GB2312" w:hAnsi="仿宋_GB2312" w:eastAsia="仿宋_GB2312" w:cs="仿宋_GB2312"/>
          <w:bCs/>
          <w:sz w:val="32"/>
          <w:szCs w:val="32"/>
        </w:rPr>
        <w:t>万元，主要用于以下方面:</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其中</w:t>
      </w:r>
      <w:r>
        <w:rPr>
          <w:rFonts w:hint="eastAsia" w:ascii="仿宋_GB2312" w:hAnsi="仿宋" w:eastAsia="仿宋_GB2312"/>
          <w:color w:val="000000"/>
          <w:sz w:val="32"/>
          <w:szCs w:val="32"/>
          <w:lang w:val="en-US" w:eastAsia="zh-CN"/>
        </w:rPr>
        <w:t>一般公共服务支出为446.96万元，占36.83%；社会保障和就业支出为136.47万元，占11.24%；医疗卫生与计划生育支出为45.69万元，占3.76%；农林水支出为302.4万元，占24.92%；住房保障支出54.49万元，占4.49%；其他支出为224.08万元，占18.46%。</w:t>
      </w:r>
    </w:p>
    <w:p>
      <w:pPr>
        <w:keepNext w:val="0"/>
        <w:keepLines w:val="0"/>
        <w:pageBreakBefore w:val="0"/>
        <w:widowControl/>
        <w:kinsoku/>
        <w:wordWrap/>
        <w:overflowPunct/>
        <w:topLinePunct w:val="0"/>
        <w:autoSpaceDE/>
        <w:autoSpaceDN/>
        <w:bidi w:val="0"/>
        <w:adjustRightInd/>
        <w:snapToGrid w:val="0"/>
        <w:spacing w:line="40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color w:val="000000"/>
          <w:sz w:val="32"/>
          <w:szCs w:val="32"/>
        </w:rPr>
        <w:t>其中：</w:t>
      </w:r>
      <w:r>
        <w:rPr>
          <w:rFonts w:hint="eastAsia" w:ascii="仿宋_GB2312" w:hAnsi="仿宋" w:eastAsia="仿宋_GB2312" w:cs="Times New Roman"/>
          <w:color w:val="000000"/>
          <w:sz w:val="32"/>
          <w:szCs w:val="32"/>
          <w:lang w:val="en-US" w:eastAsia="zh-CN"/>
        </w:rPr>
        <w:t>人员经费支出543.75万元，主要包括：基本工资126.41万元、津贴补贴201.28万元、奖金11.11万元、绩效工资39.11万元、机关事业单位基本养老保险缴费49.01万元、职业年金缴费24.46万元、其他社会保障缴费5.16万元、职工基本医疗保险缴费25.75万元、公务员医疗补助缴费6.97万元、住房公积金54.5万元、生活补助4.19万元、奖励金124.66万元。</w:t>
      </w:r>
    </w:p>
    <w:p>
      <w:pPr>
        <w:keepNext w:val="0"/>
        <w:keepLines w:val="0"/>
        <w:pageBreakBefore w:val="0"/>
        <w:widowControl/>
        <w:kinsoku/>
        <w:wordWrap/>
        <w:overflowPunct/>
        <w:topLinePunct w:val="0"/>
        <w:autoSpaceDE/>
        <w:autoSpaceDN/>
        <w:bidi w:val="0"/>
        <w:adjustRightInd/>
        <w:snapToGrid w:val="0"/>
        <w:spacing w:line="400" w:lineRule="exact"/>
        <w:ind w:firstLine="640" w:firstLineChars="200"/>
        <w:jc w:val="left"/>
        <w:textAlignment w:val="auto"/>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val="en-US" w:eastAsia="zh-CN"/>
        </w:rPr>
        <w:t>日常公用经费支出36.69万元；主要包括：办公费7.5万元、印刷费3.49万元、电费2.5万元、邮电费3.61万元、取暖费1.5万元、差旅费11.93万元、劳务费0万元、公务用车运行维护费6.16万元。</w:t>
      </w:r>
    </w:p>
    <w:p>
      <w:pPr>
        <w:snapToGrid w:val="0"/>
        <w:spacing w:line="520" w:lineRule="exact"/>
        <w:ind w:firstLine="640" w:firstLineChars="200"/>
        <w:rPr>
          <w:rFonts w:hint="default" w:ascii="仿宋_GB2312" w:hAnsi="仿宋_GB2312" w:eastAsia="仿宋_GB2312" w:cs="仿宋_GB2312"/>
          <w:bCs/>
          <w:color w:val="000000"/>
          <w:sz w:val="32"/>
          <w:szCs w:val="32"/>
          <w:lang w:val="en-US" w:eastAsia="zh-CN"/>
        </w:rPr>
      </w:pPr>
      <w:r>
        <w:rPr>
          <w:rFonts w:hint="eastAsia" w:ascii="仿宋_GB2312" w:eastAsia="仿宋_GB2312" w:cs="Times New Roman"/>
          <w:color w:val="000000"/>
          <w:sz w:val="32"/>
          <w:szCs w:val="32"/>
          <w:lang w:val="en-US" w:eastAsia="zh-CN"/>
        </w:rPr>
        <w:t>项目支出494.31万元，</w:t>
      </w:r>
      <w:r>
        <w:rPr>
          <w:rFonts w:hint="eastAsia" w:ascii="仿宋_GB2312" w:eastAsia="仿宋_GB2312" w:cs="Times New Roman"/>
          <w:color w:val="000000"/>
          <w:sz w:val="32"/>
          <w:szCs w:val="32"/>
        </w:rPr>
        <w:t>主</w:t>
      </w:r>
      <w:r>
        <w:rPr>
          <w:rFonts w:hint="eastAsia" w:ascii="仿宋_GB2312" w:eastAsia="仿宋_GB2312"/>
          <w:color w:val="000000"/>
          <w:sz w:val="32"/>
          <w:szCs w:val="32"/>
        </w:rPr>
        <w:t>要包括：</w:t>
      </w:r>
      <w:r>
        <w:rPr>
          <w:rFonts w:hint="eastAsia" w:ascii="仿宋_GB2312" w:hAnsi="仿宋" w:eastAsia="仿宋_GB2312"/>
          <w:color w:val="000000"/>
          <w:sz w:val="32"/>
          <w:szCs w:val="32"/>
          <w:lang w:val="en-US" w:eastAsia="zh-CN"/>
        </w:rPr>
        <w:t>人大会议费1万元，人大代表工作经费2.2万元，防疫经费12.96万元，对村干部生活补助支出187.55万元，村级维护费办公费56.99万元，三老干部生活补助4.88万元，贫困人员补助经费4万元，老放映员生活补助经费3.53万元，金川县观音桥镇依生村老年活动室4万元，金川县卡拉脚乡二普鲁村乡村振兴示范打造建设项目194.59万元，</w:t>
      </w:r>
      <w:r>
        <w:rPr>
          <w:rFonts w:hint="eastAsia" w:ascii="仿宋_GB2312" w:hAnsi="仿宋_GB2312" w:eastAsia="仿宋_GB2312" w:cs="仿宋_GB2312"/>
          <w:bCs/>
          <w:sz w:val="32"/>
          <w:szCs w:val="32"/>
          <w:lang w:val="en-US" w:eastAsia="zh-CN"/>
        </w:rPr>
        <w:t xml:space="preserve"> 金川县观音桥镇斯玛都村、观音村、依生村建设项目219.2万元。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年1-6月财政总支出为</w:t>
      </w:r>
      <w:r>
        <w:rPr>
          <w:rFonts w:hint="eastAsia" w:ascii="仿宋_GB2312" w:hAnsi="仿宋_GB2312" w:eastAsia="仿宋_GB2312" w:cs="仿宋_GB2312"/>
          <w:color w:val="auto"/>
          <w:sz w:val="32"/>
          <w:szCs w:val="32"/>
          <w:lang w:val="en-US" w:eastAsia="zh-CN"/>
        </w:rPr>
        <w:t>832.39</w:t>
      </w:r>
      <w:r>
        <w:rPr>
          <w:rFonts w:hint="eastAsia" w:ascii="仿宋_GB2312" w:hAnsi="仿宋_GB2312" w:eastAsia="仿宋_GB2312" w:cs="仿宋_GB2312"/>
          <w:color w:val="auto"/>
          <w:sz w:val="32"/>
          <w:szCs w:val="32"/>
        </w:rPr>
        <w:t>万元，其中：</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人员经费</w:t>
      </w:r>
      <w:r>
        <w:rPr>
          <w:rFonts w:hint="eastAsia" w:ascii="仿宋_GB2312" w:hAnsi="仿宋_GB2312" w:eastAsia="仿宋_GB2312" w:cs="仿宋_GB2312"/>
          <w:color w:val="auto"/>
          <w:sz w:val="32"/>
          <w:szCs w:val="32"/>
          <w:lang w:val="en-US" w:eastAsia="zh-CN"/>
        </w:rPr>
        <w:t>502.78</w:t>
      </w:r>
      <w:r>
        <w:rPr>
          <w:rFonts w:hint="eastAsia" w:ascii="仿宋_GB2312" w:hAnsi="仿宋_GB2312" w:eastAsia="仿宋_GB2312" w:cs="仿宋_GB2312"/>
          <w:color w:val="auto"/>
          <w:sz w:val="32"/>
          <w:szCs w:val="32"/>
        </w:rPr>
        <w:t>万元，主要包括：基本工资</w:t>
      </w:r>
      <w:r>
        <w:rPr>
          <w:rFonts w:hint="eastAsia" w:ascii="仿宋_GB2312" w:hAnsi="仿宋_GB2312" w:eastAsia="仿宋_GB2312" w:cs="仿宋_GB2312"/>
          <w:color w:val="auto"/>
          <w:sz w:val="32"/>
          <w:szCs w:val="32"/>
          <w:lang w:val="en-US" w:eastAsia="zh-CN"/>
        </w:rPr>
        <w:t>84.62</w:t>
      </w:r>
      <w:r>
        <w:rPr>
          <w:rFonts w:hint="eastAsia" w:ascii="仿宋_GB2312" w:hAnsi="仿宋_GB2312" w:eastAsia="仿宋_GB2312" w:cs="仿宋_GB2312"/>
          <w:color w:val="auto"/>
          <w:sz w:val="32"/>
          <w:szCs w:val="32"/>
        </w:rPr>
        <w:t>万元、津贴补贴</w:t>
      </w:r>
      <w:r>
        <w:rPr>
          <w:rFonts w:hint="eastAsia" w:ascii="仿宋_GB2312" w:hAnsi="仿宋_GB2312" w:eastAsia="仿宋_GB2312" w:cs="仿宋_GB2312"/>
          <w:color w:val="auto"/>
          <w:sz w:val="32"/>
          <w:szCs w:val="32"/>
          <w:lang w:val="en-US" w:eastAsia="zh-CN"/>
        </w:rPr>
        <w:t>120.96</w:t>
      </w:r>
      <w:r>
        <w:rPr>
          <w:rFonts w:hint="eastAsia" w:ascii="仿宋_GB2312" w:hAnsi="仿宋_GB2312" w:eastAsia="仿宋_GB2312" w:cs="仿宋_GB2312"/>
          <w:color w:val="auto"/>
          <w:sz w:val="32"/>
          <w:szCs w:val="32"/>
        </w:rPr>
        <w:t>万元、绩效工资</w:t>
      </w:r>
      <w:r>
        <w:rPr>
          <w:rFonts w:hint="eastAsia" w:ascii="仿宋_GB2312" w:hAnsi="仿宋_GB2312" w:eastAsia="仿宋_GB2312" w:cs="仿宋_GB2312"/>
          <w:color w:val="auto"/>
          <w:sz w:val="32"/>
          <w:szCs w:val="32"/>
          <w:lang w:val="en-US" w:eastAsia="zh-CN"/>
        </w:rPr>
        <w:t>24.72</w:t>
      </w:r>
      <w:r>
        <w:rPr>
          <w:rFonts w:hint="eastAsia" w:ascii="仿宋_GB2312" w:hAnsi="仿宋_GB2312" w:eastAsia="仿宋_GB2312" w:cs="仿宋_GB2312"/>
          <w:color w:val="auto"/>
          <w:sz w:val="32"/>
          <w:szCs w:val="32"/>
        </w:rPr>
        <w:t>万元、机关事业单位基本养老保险缴费</w:t>
      </w:r>
      <w:r>
        <w:rPr>
          <w:rFonts w:hint="eastAsia" w:ascii="仿宋_GB2312" w:hAnsi="仿宋_GB2312" w:eastAsia="仿宋_GB2312" w:cs="仿宋_GB2312"/>
          <w:color w:val="auto"/>
          <w:sz w:val="32"/>
          <w:szCs w:val="32"/>
          <w:lang w:val="en-US" w:eastAsia="zh-CN"/>
        </w:rPr>
        <w:t>33.54</w:t>
      </w:r>
      <w:r>
        <w:rPr>
          <w:rFonts w:hint="eastAsia" w:ascii="仿宋_GB2312" w:hAnsi="仿宋_GB2312" w:eastAsia="仿宋_GB2312" w:cs="仿宋_GB2312"/>
          <w:color w:val="auto"/>
          <w:sz w:val="32"/>
          <w:szCs w:val="32"/>
        </w:rPr>
        <w:t>万元、职业年金缴费</w:t>
      </w:r>
      <w:r>
        <w:rPr>
          <w:rFonts w:hint="eastAsia" w:ascii="仿宋_GB2312" w:hAnsi="仿宋_GB2312" w:eastAsia="仿宋_GB2312" w:cs="仿宋_GB2312"/>
          <w:color w:val="auto"/>
          <w:sz w:val="32"/>
          <w:szCs w:val="32"/>
          <w:lang w:val="en-US" w:eastAsia="zh-CN"/>
        </w:rPr>
        <w:t>16.7</w:t>
      </w:r>
      <w:r>
        <w:rPr>
          <w:rFonts w:hint="eastAsia" w:ascii="仿宋_GB2312" w:hAnsi="仿宋_GB2312" w:eastAsia="仿宋_GB2312" w:cs="仿宋_GB2312"/>
          <w:color w:val="auto"/>
          <w:sz w:val="32"/>
          <w:szCs w:val="32"/>
        </w:rPr>
        <w:t>万元、职工基本医疗保险缴费</w:t>
      </w:r>
      <w:r>
        <w:rPr>
          <w:rFonts w:hint="eastAsia" w:ascii="仿宋_GB2312" w:hAnsi="仿宋_GB2312" w:eastAsia="仿宋_GB2312" w:cs="仿宋_GB2312"/>
          <w:color w:val="auto"/>
          <w:sz w:val="32"/>
          <w:szCs w:val="32"/>
          <w:lang w:val="en-US" w:eastAsia="zh-CN"/>
        </w:rPr>
        <w:t>16.7</w:t>
      </w:r>
      <w:r>
        <w:rPr>
          <w:rFonts w:hint="eastAsia" w:ascii="仿宋_GB2312" w:hAnsi="仿宋_GB2312" w:eastAsia="仿宋_GB2312" w:cs="仿宋_GB2312"/>
          <w:color w:val="auto"/>
          <w:sz w:val="32"/>
          <w:szCs w:val="32"/>
        </w:rPr>
        <w:t>万元、公务员医疗补助缴费</w:t>
      </w:r>
      <w:r>
        <w:rPr>
          <w:rFonts w:hint="eastAsia" w:ascii="仿宋_GB2312" w:hAnsi="仿宋_GB2312" w:eastAsia="仿宋_GB2312" w:cs="仿宋_GB2312"/>
          <w:color w:val="auto"/>
          <w:sz w:val="32"/>
          <w:szCs w:val="32"/>
          <w:lang w:val="en-US" w:eastAsia="zh-CN"/>
        </w:rPr>
        <w:t>5.41</w:t>
      </w:r>
      <w:r>
        <w:rPr>
          <w:rFonts w:hint="eastAsia" w:ascii="仿宋_GB2312" w:hAnsi="仿宋_GB2312" w:eastAsia="仿宋_GB2312" w:cs="仿宋_GB2312"/>
          <w:color w:val="auto"/>
          <w:sz w:val="32"/>
          <w:szCs w:val="32"/>
        </w:rPr>
        <w:t>万元、其他社会保障缴费</w:t>
      </w:r>
      <w:r>
        <w:rPr>
          <w:rFonts w:hint="eastAsia" w:ascii="仿宋_GB2312" w:hAnsi="仿宋_GB2312" w:eastAsia="仿宋_GB2312" w:cs="仿宋_GB2312"/>
          <w:color w:val="auto"/>
          <w:sz w:val="32"/>
          <w:szCs w:val="32"/>
          <w:lang w:val="en-US" w:eastAsia="zh-CN"/>
        </w:rPr>
        <w:t>1.17</w:t>
      </w:r>
      <w:r>
        <w:rPr>
          <w:rFonts w:hint="eastAsia" w:ascii="仿宋_GB2312" w:hAnsi="仿宋_GB2312" w:eastAsia="仿宋_GB2312" w:cs="仿宋_GB2312"/>
          <w:color w:val="auto"/>
          <w:sz w:val="32"/>
          <w:szCs w:val="32"/>
        </w:rPr>
        <w:t>万元、住房公积金</w:t>
      </w:r>
      <w:r>
        <w:rPr>
          <w:rFonts w:hint="eastAsia" w:ascii="仿宋_GB2312" w:hAnsi="仿宋_GB2312" w:eastAsia="仿宋_GB2312" w:cs="仿宋_GB2312"/>
          <w:color w:val="auto"/>
          <w:sz w:val="32"/>
          <w:szCs w:val="32"/>
          <w:lang w:val="en-US" w:eastAsia="zh-CN"/>
        </w:rPr>
        <w:t>35.51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、奖励金163.2万元、生活补助0.25万元。</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FF0000"/>
          <w:sz w:val="32"/>
          <w:szCs w:val="32"/>
        </w:rPr>
        <w:t>　　</w:t>
      </w:r>
      <w:r>
        <w:rPr>
          <w:rFonts w:hint="eastAsia" w:ascii="仿宋_GB2312" w:hAnsi="仿宋_GB2312" w:eastAsia="仿宋_GB2312" w:cs="仿宋_GB2312"/>
          <w:color w:val="auto"/>
          <w:sz w:val="32"/>
          <w:szCs w:val="32"/>
        </w:rPr>
        <w:t>公用经费</w:t>
      </w:r>
      <w:r>
        <w:rPr>
          <w:rFonts w:hint="eastAsia" w:ascii="仿宋_GB2312" w:hAnsi="仿宋_GB2312" w:eastAsia="仿宋_GB2312" w:cs="仿宋_GB2312"/>
          <w:color w:val="auto"/>
          <w:sz w:val="32"/>
          <w:szCs w:val="32"/>
          <w:lang w:val="en-US" w:eastAsia="zh-CN"/>
        </w:rPr>
        <w:t>33.02</w:t>
      </w:r>
      <w:r>
        <w:rPr>
          <w:rFonts w:hint="eastAsia" w:ascii="仿宋_GB2312" w:hAnsi="仿宋_GB2312" w:eastAsia="仿宋_GB2312" w:cs="仿宋_GB2312"/>
          <w:color w:val="auto"/>
          <w:sz w:val="32"/>
          <w:szCs w:val="32"/>
        </w:rPr>
        <w:t>万元，主要包括：办公费</w:t>
      </w:r>
      <w:r>
        <w:rPr>
          <w:rFonts w:hint="eastAsia" w:ascii="仿宋_GB2312" w:hAnsi="仿宋_GB2312" w:eastAsia="仿宋_GB2312" w:cs="仿宋_GB2312"/>
          <w:color w:val="auto"/>
          <w:sz w:val="32"/>
          <w:szCs w:val="32"/>
          <w:lang w:val="en-US" w:eastAsia="zh-CN"/>
        </w:rPr>
        <w:t>15.02</w:t>
      </w:r>
      <w:r>
        <w:rPr>
          <w:rFonts w:hint="eastAsia" w:ascii="仿宋_GB2312" w:hAnsi="仿宋_GB2312" w:eastAsia="仿宋_GB2312" w:cs="仿宋_GB2312"/>
          <w:color w:val="auto"/>
          <w:sz w:val="32"/>
          <w:szCs w:val="32"/>
        </w:rPr>
        <w:t>万元、差旅费</w:t>
      </w:r>
      <w:r>
        <w:rPr>
          <w:rFonts w:hint="eastAsia" w:ascii="仿宋_GB2312" w:hAnsi="仿宋_GB2312" w:eastAsia="仿宋_GB2312" w:cs="仿宋_GB2312"/>
          <w:color w:val="auto"/>
          <w:sz w:val="32"/>
          <w:szCs w:val="32"/>
          <w:lang w:val="en-US" w:eastAsia="zh-CN"/>
        </w:rPr>
        <w:t>6.86</w:t>
      </w:r>
      <w:r>
        <w:rPr>
          <w:rFonts w:hint="eastAsia" w:ascii="仿宋_GB2312" w:hAnsi="仿宋_GB2312" w:eastAsia="仿宋_GB2312" w:cs="仿宋_GB2312"/>
          <w:color w:val="auto"/>
          <w:sz w:val="32"/>
          <w:szCs w:val="32"/>
        </w:rPr>
        <w:t>万元、公务用车运行维护费</w:t>
      </w:r>
      <w:r>
        <w:rPr>
          <w:rFonts w:hint="eastAsia" w:ascii="仿宋_GB2312" w:hAnsi="仿宋_GB2312" w:eastAsia="仿宋_GB2312" w:cs="仿宋_GB2312"/>
          <w:color w:val="auto"/>
          <w:sz w:val="32"/>
          <w:szCs w:val="32"/>
          <w:lang w:val="en-US" w:eastAsia="zh-CN"/>
        </w:rPr>
        <w:t>3.34</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印刷费4.1万元、邮电费3.7万元</w:t>
      </w:r>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autoSpaceDE/>
        <w:autoSpaceDN/>
        <w:bidi w:val="0"/>
        <w:spacing w:line="540" w:lineRule="exact"/>
        <w:ind w:firstLine="640" w:firstLineChars="200"/>
        <w:textAlignment w:val="auto"/>
        <w:rPr>
          <w:rFonts w:hint="default" w:eastAsia="仿宋_GB2312"/>
          <w:color w:val="auto"/>
          <w:lang w:val="en-US" w:eastAsia="zh-CN"/>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年1-6月项目支出</w:t>
      </w:r>
      <w:r>
        <w:rPr>
          <w:rFonts w:hint="eastAsia" w:ascii="仿宋_GB2312" w:hAnsi="仿宋_GB2312" w:eastAsia="仿宋_GB2312" w:cs="仿宋_GB2312"/>
          <w:color w:val="auto"/>
          <w:sz w:val="32"/>
          <w:szCs w:val="32"/>
          <w:lang w:val="en-US" w:eastAsia="zh-CN"/>
        </w:rPr>
        <w:t>257.05</w:t>
      </w:r>
      <w:r>
        <w:rPr>
          <w:rFonts w:hint="eastAsia" w:ascii="仿宋_GB2312" w:hAnsi="仿宋_GB2312" w:eastAsia="仿宋_GB2312" w:cs="仿宋_GB2312"/>
          <w:color w:val="auto"/>
          <w:sz w:val="32"/>
          <w:szCs w:val="32"/>
        </w:rPr>
        <w:t>万元，主要包括:</w:t>
      </w:r>
      <w:r>
        <w:rPr>
          <w:rFonts w:hint="eastAsia" w:ascii="仿宋_GB2312" w:hAnsi="仿宋_GB2312" w:eastAsia="仿宋_GB2312" w:cs="仿宋_GB2312"/>
          <w:color w:val="auto"/>
          <w:sz w:val="32"/>
          <w:szCs w:val="32"/>
          <w:lang w:val="en-US" w:eastAsia="zh-CN"/>
        </w:rPr>
        <w:t>观音村、依生村、石旁村、斯滔村项目及村级换届审计费。</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黑体" w:hAnsi="宋体" w:eastAsia="黑体" w:cs="宋体"/>
          <w:color w:val="000000"/>
          <w:kern w:val="0"/>
          <w:sz w:val="32"/>
        </w:rPr>
      </w:pPr>
      <w:r>
        <w:rPr>
          <w:rFonts w:hint="eastAsia" w:ascii="黑体" w:hAnsi="宋体" w:eastAsia="黑体" w:cs="宋体"/>
          <w:color w:val="000000"/>
          <w:kern w:val="0"/>
          <w:sz w:val="32"/>
        </w:rPr>
        <w:t>三、部门财政支出管理情况</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（一）预算编制情况。</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(1)预算编制质量：</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年预算</w:t>
      </w:r>
      <w:r>
        <w:rPr>
          <w:rFonts w:hint="eastAsia" w:ascii="仿宋_GB2312" w:hAnsi="仿宋_GB2312" w:eastAsia="仿宋_GB2312" w:cs="仿宋_GB2312"/>
          <w:color w:val="auto"/>
          <w:sz w:val="32"/>
          <w:szCs w:val="32"/>
          <w:lang w:val="en-US" w:eastAsia="zh-CN"/>
        </w:rPr>
        <w:t>586.61</w:t>
      </w:r>
      <w:r>
        <w:rPr>
          <w:rFonts w:hint="eastAsia" w:ascii="仿宋_GB2312" w:hAnsi="仿宋_GB2312" w:eastAsia="仿宋_GB2312" w:cs="仿宋_GB2312"/>
          <w:color w:val="auto"/>
          <w:sz w:val="32"/>
          <w:szCs w:val="32"/>
        </w:rPr>
        <w:t>万元，其中人员经费</w:t>
      </w:r>
      <w:r>
        <w:rPr>
          <w:rFonts w:hint="eastAsia" w:ascii="仿宋_GB2312" w:hAnsi="仿宋_GB2312" w:eastAsia="仿宋_GB2312" w:cs="仿宋_GB2312"/>
          <w:color w:val="auto"/>
          <w:sz w:val="32"/>
          <w:szCs w:val="32"/>
          <w:lang w:val="en-US" w:eastAsia="zh-CN"/>
        </w:rPr>
        <w:t>489.66</w:t>
      </w:r>
      <w:r>
        <w:rPr>
          <w:rFonts w:hint="eastAsia" w:ascii="仿宋_GB2312" w:hAnsi="仿宋_GB2312" w:eastAsia="仿宋_GB2312" w:cs="仿宋_GB2312"/>
          <w:color w:val="auto"/>
          <w:sz w:val="32"/>
          <w:szCs w:val="32"/>
        </w:rPr>
        <w:t>万元，公用经费</w:t>
      </w:r>
      <w:r>
        <w:rPr>
          <w:rFonts w:hint="eastAsia" w:ascii="仿宋_GB2312" w:hAnsi="仿宋_GB2312" w:eastAsia="仿宋_GB2312" w:cs="仿宋_GB2312"/>
          <w:color w:val="auto"/>
          <w:sz w:val="32"/>
          <w:szCs w:val="32"/>
          <w:lang w:val="en-US" w:eastAsia="zh-CN"/>
        </w:rPr>
        <w:t>96.95</w:t>
      </w:r>
      <w:r>
        <w:rPr>
          <w:rFonts w:hint="eastAsia" w:ascii="仿宋_GB2312" w:hAnsi="仿宋_GB2312" w:eastAsia="仿宋_GB2312" w:cs="仿宋_GB2312"/>
          <w:color w:val="auto"/>
          <w:sz w:val="32"/>
          <w:szCs w:val="32"/>
        </w:rPr>
        <w:t>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年部门收入预算总额为</w:t>
      </w:r>
      <w:r>
        <w:rPr>
          <w:rFonts w:hint="eastAsia" w:ascii="仿宋_GB2312" w:hAnsi="仿宋_GB2312" w:eastAsia="仿宋_GB2312" w:cs="仿宋_GB2312"/>
          <w:color w:val="auto"/>
          <w:sz w:val="32"/>
          <w:szCs w:val="32"/>
          <w:lang w:val="en-US" w:eastAsia="zh-CN"/>
        </w:rPr>
        <w:t>989.7</w:t>
      </w:r>
      <w:r>
        <w:rPr>
          <w:rFonts w:hint="eastAsia" w:ascii="仿宋_GB2312" w:hAnsi="仿宋_GB2312" w:eastAsia="仿宋_GB2312" w:cs="仿宋_GB2312"/>
          <w:color w:val="auto"/>
          <w:sz w:val="32"/>
          <w:szCs w:val="32"/>
        </w:rPr>
        <w:t>元，较上年增加</w:t>
      </w:r>
      <w:r>
        <w:rPr>
          <w:rFonts w:hint="eastAsia" w:ascii="仿宋_GB2312" w:hAnsi="仿宋_GB2312" w:eastAsia="仿宋_GB2312" w:cs="仿宋_GB2312"/>
          <w:color w:val="auto"/>
          <w:sz w:val="32"/>
          <w:szCs w:val="32"/>
          <w:lang w:val="en-US" w:eastAsia="zh-CN"/>
        </w:rPr>
        <w:t>403.09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增加68.72</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主要是</w:t>
      </w:r>
      <w:r>
        <w:rPr>
          <w:rFonts w:hint="eastAsia" w:ascii="仿宋_GB2312" w:hAnsi="仿宋_GB2312" w:eastAsia="仿宋_GB2312" w:cs="仿宋_GB2312"/>
          <w:color w:val="auto"/>
          <w:sz w:val="32"/>
          <w:szCs w:val="32"/>
          <w:lang w:val="en-US" w:eastAsia="zh-CN"/>
        </w:rPr>
        <w:t>撤乡并镇、</w:t>
      </w:r>
      <w:r>
        <w:rPr>
          <w:rFonts w:hint="eastAsia" w:ascii="仿宋_GB2312" w:hAnsi="仿宋_GB2312" w:eastAsia="仿宋_GB2312" w:cs="仿宋_GB2312"/>
          <w:color w:val="auto"/>
          <w:sz w:val="32"/>
          <w:szCs w:val="32"/>
          <w:lang w:eastAsia="zh-CN"/>
        </w:rPr>
        <w:t>机构改革三站人员编制下划给乡镇、行政村个数增加、经费标准变更、财政信息化建设等需求增加。</w:t>
      </w:r>
      <w:r>
        <w:rPr>
          <w:rFonts w:hint="eastAsia" w:ascii="仿宋_GB2312" w:hAnsi="仿宋_GB2312" w:eastAsia="仿宋_GB2312" w:cs="仿宋_GB2312"/>
          <w:color w:val="auto"/>
          <w:sz w:val="32"/>
          <w:szCs w:val="32"/>
        </w:rPr>
        <w:t>其中：当年财政拨款收入</w:t>
      </w:r>
      <w:r>
        <w:rPr>
          <w:rFonts w:hint="eastAsia" w:ascii="仿宋_GB2312" w:hAnsi="仿宋_GB2312" w:eastAsia="仿宋_GB2312" w:cs="仿宋_GB2312"/>
          <w:color w:val="auto"/>
          <w:sz w:val="32"/>
          <w:szCs w:val="32"/>
          <w:lang w:val="en-US" w:eastAsia="zh-CN"/>
        </w:rPr>
        <w:t>989.7</w:t>
      </w:r>
      <w:r>
        <w:rPr>
          <w:rFonts w:hint="eastAsia" w:ascii="仿宋_GB2312" w:hAnsi="仿宋_GB2312" w:eastAsia="仿宋_GB2312" w:cs="仿宋_GB2312"/>
          <w:color w:val="auto"/>
          <w:sz w:val="32"/>
          <w:szCs w:val="32"/>
        </w:rPr>
        <w:t>万元，其他收入 0万元，上年结转收入0万元。相应安排支出预算</w:t>
      </w:r>
      <w:r>
        <w:rPr>
          <w:rFonts w:hint="eastAsia" w:ascii="仿宋_GB2312" w:hAnsi="仿宋_GB2312" w:eastAsia="仿宋_GB2312" w:cs="仿宋_GB2312"/>
          <w:color w:val="auto"/>
          <w:sz w:val="32"/>
          <w:szCs w:val="32"/>
          <w:lang w:val="en-US" w:eastAsia="zh-CN"/>
        </w:rPr>
        <w:t>989.7</w:t>
      </w:r>
      <w:r>
        <w:rPr>
          <w:rFonts w:hint="eastAsia" w:ascii="仿宋_GB2312" w:hAnsi="仿宋_GB2312" w:eastAsia="仿宋_GB2312" w:cs="仿宋_GB2312"/>
          <w:color w:val="auto"/>
          <w:sz w:val="32"/>
          <w:szCs w:val="32"/>
        </w:rPr>
        <w:t>万元，其中：基本支出预算</w:t>
      </w:r>
      <w:r>
        <w:rPr>
          <w:rFonts w:hint="eastAsia" w:ascii="仿宋_GB2312" w:hAnsi="仿宋_GB2312" w:eastAsia="仿宋_GB2312" w:cs="仿宋_GB2312"/>
          <w:color w:val="auto"/>
          <w:sz w:val="32"/>
          <w:szCs w:val="32"/>
          <w:lang w:val="en-US" w:eastAsia="zh-CN"/>
        </w:rPr>
        <w:t>989.7</w:t>
      </w:r>
      <w:r>
        <w:rPr>
          <w:rFonts w:hint="eastAsia" w:ascii="仿宋_GB2312" w:hAnsi="仿宋_GB2312" w:eastAsia="仿宋_GB2312" w:cs="仿宋_GB2312"/>
          <w:color w:val="auto"/>
          <w:sz w:val="32"/>
          <w:szCs w:val="32"/>
        </w:rPr>
        <w:t>万元，项目支出0万元。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（2）绩效目标填报：</w:t>
      </w:r>
      <w:r>
        <w:rPr>
          <w:rFonts w:hint="eastAsia" w:ascii="仿宋_GB2312" w:hAnsi="仿宋_GB2312" w:eastAsia="仿宋_GB2312" w:cs="仿宋_GB2312"/>
          <w:color w:val="000000"/>
          <w:sz w:val="32"/>
          <w:szCs w:val="32"/>
        </w:rPr>
        <w:t>项目申报严格按照上级要求，明确绩效目标，控制</w:t>
      </w:r>
      <w:r>
        <w:rPr>
          <w:rFonts w:hint="eastAsia" w:ascii="仿宋_GB2312" w:hAnsi="仿宋_GB2312" w:eastAsia="仿宋_GB2312" w:cs="仿宋_GB2312"/>
          <w:color w:val="000000"/>
          <w:sz w:val="32"/>
          <w:szCs w:val="32"/>
          <w:lang w:eastAsia="zh-CN"/>
        </w:rPr>
        <w:t>执行</w:t>
      </w:r>
      <w:bookmarkStart w:id="81" w:name="_GoBack"/>
      <w:bookmarkEnd w:id="81"/>
      <w:r>
        <w:rPr>
          <w:rFonts w:hint="eastAsia" w:ascii="仿宋_GB2312" w:hAnsi="仿宋_GB2312" w:eastAsia="仿宋_GB2312" w:cs="仿宋_GB2312"/>
          <w:color w:val="000000"/>
          <w:sz w:val="32"/>
          <w:szCs w:val="32"/>
        </w:rPr>
        <w:t>成本，提高项目发挥作用。并</w:t>
      </w:r>
      <w:r>
        <w:rPr>
          <w:rFonts w:hint="eastAsia" w:ascii="仿宋_GB2312" w:hAnsi="仿宋_GB2312" w:eastAsia="仿宋_GB2312" w:cs="仿宋_GB2312"/>
          <w:color w:val="000000"/>
          <w:sz w:val="32"/>
          <w:szCs w:val="32"/>
          <w:lang w:val="zh-CN"/>
        </w:rPr>
        <w:t>根据财政局统一要求编制了我</w:t>
      </w:r>
      <w:r>
        <w:rPr>
          <w:rFonts w:hint="eastAsia" w:ascii="仿宋_GB2312" w:hAnsi="仿宋_GB2312" w:eastAsia="仿宋_GB2312" w:cs="仿宋_GB2312"/>
          <w:color w:val="000000"/>
          <w:sz w:val="32"/>
          <w:szCs w:val="32"/>
          <w:lang w:val="en-US" w:eastAsia="zh-CN"/>
        </w:rPr>
        <w:t>镇</w:t>
      </w:r>
      <w:r>
        <w:rPr>
          <w:rFonts w:hint="eastAsia" w:ascii="仿宋_GB2312" w:hAnsi="仿宋_GB2312" w:eastAsia="仿宋_GB2312" w:cs="仿宋_GB2312"/>
          <w:color w:val="000000"/>
          <w:sz w:val="32"/>
          <w:szCs w:val="32"/>
          <w:lang w:val="zh-CN"/>
        </w:rPr>
        <w:t>整体绩效目标报告及项目整体绩效目标表，并报县财政局。</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（二）执行管理情况。</w:t>
      </w:r>
      <w:r>
        <w:rPr>
          <w:rFonts w:hint="eastAsia" w:ascii="仿宋_GB2312" w:hAnsi="仿宋_GB2312" w:eastAsia="仿宋_GB2312" w:cs="仿宋_GB2312"/>
          <w:color w:val="000000"/>
          <w:sz w:val="32"/>
          <w:szCs w:val="32"/>
          <w:lang w:val="zh-CN"/>
        </w:rPr>
        <w:tab/>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zh-CN"/>
        </w:rPr>
        <w:t>部门预算执行情况良好，但基本集中在下半年。支出情况中期评估不足，</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zh-CN"/>
        </w:rPr>
        <w:t>“三公”经费预算</w:t>
      </w:r>
      <w:r>
        <w:rPr>
          <w:rFonts w:hint="eastAsia" w:ascii="仿宋_GB2312" w:hAnsi="仿宋_GB2312" w:eastAsia="仿宋_GB2312" w:cs="仿宋_GB2312"/>
          <w:color w:val="000000"/>
          <w:sz w:val="32"/>
          <w:szCs w:val="32"/>
          <w:lang w:val="en-US" w:eastAsia="zh-CN"/>
        </w:rPr>
        <w:t>2.67</w:t>
      </w:r>
      <w:r>
        <w:rPr>
          <w:rFonts w:hint="eastAsia" w:ascii="仿宋_GB2312" w:hAnsi="仿宋_GB2312" w:eastAsia="仿宋_GB2312" w:cs="仿宋_GB2312"/>
          <w:color w:val="000000"/>
          <w:sz w:val="32"/>
          <w:szCs w:val="32"/>
        </w:rPr>
        <w:t>万元，其中公务接待费</w:t>
      </w:r>
      <w:r>
        <w:rPr>
          <w:rFonts w:hint="eastAsia" w:ascii="仿宋_GB2312" w:hAnsi="仿宋_GB2312" w:eastAsia="仿宋_GB2312" w:cs="仿宋_GB2312"/>
          <w:color w:val="000000"/>
          <w:sz w:val="32"/>
          <w:szCs w:val="32"/>
          <w:lang w:val="en-US" w:eastAsia="zh-CN"/>
        </w:rPr>
        <w:t>0.29</w:t>
      </w:r>
      <w:r>
        <w:rPr>
          <w:rFonts w:hint="eastAsia" w:ascii="仿宋_GB2312" w:hAnsi="仿宋_GB2312" w:eastAsia="仿宋_GB2312" w:cs="仿宋_GB2312"/>
          <w:color w:val="000000"/>
          <w:sz w:val="32"/>
          <w:szCs w:val="32"/>
        </w:rPr>
        <w:t>万元，公务用车运行维护费</w:t>
      </w:r>
      <w:r>
        <w:rPr>
          <w:rFonts w:hint="eastAsia" w:ascii="仿宋_GB2312" w:hAnsi="仿宋_GB2312" w:eastAsia="仿宋_GB2312" w:cs="仿宋_GB2312"/>
          <w:color w:val="000000"/>
          <w:sz w:val="32"/>
          <w:szCs w:val="32"/>
          <w:lang w:val="en-US" w:eastAsia="zh-CN"/>
        </w:rPr>
        <w:t>2.38</w:t>
      </w:r>
      <w:r>
        <w:rPr>
          <w:rFonts w:hint="eastAsia" w:ascii="仿宋_GB2312" w:hAnsi="仿宋_GB2312" w:eastAsia="仿宋_GB2312" w:cs="仿宋_GB2312"/>
          <w:color w:val="000000"/>
          <w:sz w:val="32"/>
          <w:szCs w:val="32"/>
        </w:rPr>
        <w:t>万元，实际支出</w:t>
      </w:r>
      <w:r>
        <w:rPr>
          <w:rFonts w:hint="eastAsia" w:ascii="仿宋_GB2312" w:hAnsi="仿宋_GB2312" w:eastAsia="仿宋_GB2312" w:cs="仿宋_GB2312"/>
          <w:color w:val="000000"/>
          <w:sz w:val="32"/>
          <w:szCs w:val="32"/>
          <w:lang w:val="en-US" w:eastAsia="zh-CN"/>
        </w:rPr>
        <w:t>2.67</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zh-CN"/>
        </w:rPr>
        <w:t>“三公”经费预算</w:t>
      </w:r>
      <w:r>
        <w:rPr>
          <w:rFonts w:hint="eastAsia" w:ascii="仿宋_GB2312" w:hAnsi="仿宋_GB2312" w:eastAsia="仿宋_GB2312" w:cs="仿宋_GB2312"/>
          <w:color w:val="auto"/>
          <w:sz w:val="32"/>
          <w:szCs w:val="32"/>
          <w:lang w:val="en-US" w:eastAsia="zh-CN"/>
        </w:rPr>
        <w:t>7.11</w:t>
      </w:r>
      <w:r>
        <w:rPr>
          <w:rFonts w:hint="eastAsia" w:ascii="仿宋_GB2312" w:hAnsi="仿宋_GB2312" w:eastAsia="仿宋_GB2312" w:cs="仿宋_GB2312"/>
          <w:color w:val="auto"/>
          <w:sz w:val="32"/>
          <w:szCs w:val="32"/>
        </w:rPr>
        <w:t>万元，其中公务接待费0万元，严格执行厉行节约的要求，认真贯彻落实中央八项规定及省委省政府十项规定要求，严格控制接待规模及接待标准。</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rPr>
        <w:t>公务用车运行维护费</w:t>
      </w:r>
      <w:r>
        <w:rPr>
          <w:rFonts w:hint="eastAsia" w:ascii="仿宋_GB2312" w:hAnsi="仿宋_GB2312" w:eastAsia="仿宋_GB2312" w:cs="仿宋_GB2312"/>
          <w:color w:val="auto"/>
          <w:sz w:val="32"/>
          <w:szCs w:val="32"/>
          <w:lang w:val="en-US" w:eastAsia="zh-CN"/>
        </w:rPr>
        <w:t>7.11</w:t>
      </w:r>
      <w:r>
        <w:rPr>
          <w:rFonts w:hint="eastAsia" w:ascii="仿宋_GB2312" w:hAnsi="仿宋_GB2312" w:eastAsia="仿宋_GB2312" w:cs="仿宋_GB2312"/>
          <w:color w:val="auto"/>
          <w:sz w:val="32"/>
          <w:szCs w:val="32"/>
        </w:rPr>
        <w:t>万元，1-6月实际支出公务接待费0万元，公务用车运行维护费</w:t>
      </w:r>
      <w:r>
        <w:rPr>
          <w:rFonts w:hint="eastAsia" w:ascii="仿宋_GB2312" w:hAnsi="仿宋_GB2312" w:eastAsia="仿宋_GB2312" w:cs="仿宋_GB2312"/>
          <w:color w:val="auto"/>
          <w:sz w:val="32"/>
          <w:szCs w:val="32"/>
          <w:lang w:val="en-US" w:eastAsia="zh-CN"/>
        </w:rPr>
        <w:t>3.34</w:t>
      </w:r>
      <w:r>
        <w:rPr>
          <w:rFonts w:hint="eastAsia" w:ascii="仿宋_GB2312" w:hAnsi="仿宋_GB2312" w:eastAsia="仿宋_GB2312" w:cs="仿宋_GB2312"/>
          <w:color w:val="auto"/>
          <w:sz w:val="32"/>
          <w:szCs w:val="32"/>
        </w:rPr>
        <w:t>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（三）综合管理情况。</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w:t>
      </w:r>
      <w:r>
        <w:rPr>
          <w:rFonts w:hint="eastAsia" w:ascii="仿宋_GB2312" w:hAnsi="仿宋_GB2312" w:eastAsia="仿宋_GB2312" w:cs="仿宋_GB2312"/>
          <w:color w:val="000000"/>
          <w:sz w:val="32"/>
          <w:szCs w:val="32"/>
          <w:lang w:val="en-US" w:eastAsia="zh-CN"/>
        </w:rPr>
        <w:t>镇</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年无预算、支出政府采购。所有国有资产纳入</w:t>
      </w:r>
      <w:r>
        <w:rPr>
          <w:rFonts w:hint="eastAsia" w:ascii="仿宋_GB2312" w:hAnsi="仿宋_GB2312" w:eastAsia="仿宋_GB2312" w:cs="仿宋_GB2312"/>
          <w:color w:val="000000"/>
          <w:sz w:val="32"/>
          <w:szCs w:val="32"/>
          <w:lang w:val="zh-CN"/>
        </w:rPr>
        <w:t>资产管理系统，及时准确上报并做好资产的管理工作。根据相关要求，单位使用预算资金基本符合相关的预算财务管理制度。我</w:t>
      </w:r>
      <w:r>
        <w:rPr>
          <w:rFonts w:hint="eastAsia" w:ascii="仿宋_GB2312" w:hAnsi="仿宋_GB2312" w:eastAsia="仿宋_GB2312" w:cs="仿宋_GB2312"/>
          <w:color w:val="000000"/>
          <w:sz w:val="32"/>
          <w:szCs w:val="32"/>
          <w:lang w:val="en-US" w:eastAsia="zh-CN"/>
        </w:rPr>
        <w:t>镇</w:t>
      </w:r>
      <w:r>
        <w:rPr>
          <w:rFonts w:hint="eastAsia" w:ascii="仿宋_GB2312" w:hAnsi="仿宋_GB2312" w:eastAsia="仿宋_GB2312" w:cs="仿宋_GB2312"/>
          <w:color w:val="000000"/>
          <w:sz w:val="32"/>
          <w:szCs w:val="32"/>
          <w:lang w:val="zh-CN"/>
        </w:rPr>
        <w:t>在财政批复后</w:t>
      </w:r>
      <w:r>
        <w:rPr>
          <w:rFonts w:hint="eastAsia" w:ascii="仿宋_GB2312" w:hAnsi="仿宋_GB2312" w:eastAsia="仿宋_GB2312" w:cs="仿宋_GB2312"/>
          <w:color w:val="000000"/>
          <w:sz w:val="32"/>
          <w:szCs w:val="32"/>
        </w:rPr>
        <w:t>20日内在指定网站公开预决算信息。按照相关要求进行绩效自我评价，按要求及时上报，对发现的问题提出整改措施，并整改落实到位。</w:t>
      </w:r>
      <w:r>
        <w:rPr>
          <w:rFonts w:hint="eastAsia" w:ascii="仿宋_GB2312" w:hAnsi="仿宋_GB2312" w:eastAsia="仿宋_GB2312" w:cs="仿宋_GB2312"/>
          <w:color w:val="000000"/>
          <w:sz w:val="32"/>
          <w:szCs w:val="32"/>
          <w:lang w:val="zh-CN"/>
        </w:rPr>
        <w:t>绩效评价及依法接受财政监督情况等。</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（四）整体绩效。</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w:t>
      </w:r>
      <w:r>
        <w:rPr>
          <w:rFonts w:hint="eastAsia" w:ascii="仿宋_GB2312" w:hAnsi="仿宋_GB2312" w:eastAsia="仿宋_GB2312" w:cs="仿宋_GB2312"/>
          <w:color w:val="000000"/>
          <w:sz w:val="32"/>
          <w:szCs w:val="32"/>
          <w:lang w:val="en-US" w:eastAsia="zh-CN"/>
        </w:rPr>
        <w:t>镇</w:t>
      </w:r>
      <w:r>
        <w:rPr>
          <w:rFonts w:hint="eastAsia" w:ascii="仿宋_GB2312" w:hAnsi="仿宋_GB2312" w:eastAsia="仿宋_GB2312" w:cs="仿宋_GB2312"/>
          <w:color w:val="000000"/>
          <w:sz w:val="32"/>
          <w:szCs w:val="32"/>
          <w:lang w:val="zh-CN"/>
        </w:rPr>
        <w:t>按照规定完全履行职责，整体评价良好，服务对象基本满意从预算执行来情况看，预算资金覆盖我</w:t>
      </w:r>
      <w:r>
        <w:rPr>
          <w:rFonts w:hint="eastAsia" w:ascii="仿宋_GB2312" w:hAnsi="仿宋_GB2312" w:eastAsia="仿宋_GB2312" w:cs="仿宋_GB2312"/>
          <w:color w:val="000000"/>
          <w:sz w:val="32"/>
          <w:szCs w:val="32"/>
          <w:lang w:val="en-US" w:eastAsia="zh-CN"/>
        </w:rPr>
        <w:t>镇</w:t>
      </w:r>
      <w:r>
        <w:rPr>
          <w:rFonts w:hint="eastAsia" w:ascii="仿宋_GB2312" w:hAnsi="仿宋_GB2312" w:eastAsia="仿宋_GB2312" w:cs="仿宋_GB2312"/>
          <w:color w:val="000000"/>
          <w:sz w:val="32"/>
          <w:szCs w:val="32"/>
          <w:lang w:val="zh-CN"/>
        </w:rPr>
        <w:t>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黑体" w:hAnsi="宋体" w:eastAsia="黑体" w:cs="宋体"/>
          <w:color w:val="000000"/>
          <w:kern w:val="0"/>
          <w:sz w:val="32"/>
        </w:rPr>
      </w:pPr>
      <w:r>
        <w:rPr>
          <w:rFonts w:hint="eastAsia" w:ascii="黑体" w:hAnsi="宋体" w:eastAsia="黑体" w:cs="宋体"/>
          <w:color w:val="000000"/>
          <w:kern w:val="0"/>
          <w:sz w:val="32"/>
        </w:rPr>
        <w:t>四、评价结论及建议</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（一）评价结论。</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kern w:val="0"/>
          <w:sz w:val="32"/>
          <w:szCs w:val="32"/>
          <w:shd w:val="clear" w:color="auto" w:fill="FFFFFF"/>
          <w:lang w:val="zh-CN"/>
        </w:rPr>
        <w:t>在自评过程发现问题，查找原因，及时纠正偏差，为下一步工作夯实基础。</w:t>
      </w:r>
      <w:r>
        <w:rPr>
          <w:rFonts w:hint="eastAsia" w:ascii="仿宋_GB2312" w:hAnsi="仿宋_GB2312" w:eastAsia="仿宋_GB2312" w:cs="仿宋_GB2312"/>
          <w:color w:val="000000"/>
          <w:sz w:val="32"/>
          <w:szCs w:val="32"/>
        </w:rPr>
        <w:t>整体评价良好，预算支出和决算支出情况相符。</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（二）存在问题。</w:t>
      </w:r>
    </w:p>
    <w:p>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b/>
          <w:bCs/>
          <w:color w:val="000000"/>
          <w:kern w:val="0"/>
          <w:sz w:val="32"/>
          <w:szCs w:val="32"/>
        </w:rPr>
        <w:t xml:space="preserve"> </w:t>
      </w:r>
      <w:r>
        <w:rPr>
          <w:rFonts w:hint="eastAsia" w:ascii="仿宋_GB2312" w:hAnsi="仿宋_GB2312" w:eastAsia="仿宋_GB2312" w:cs="仿宋_GB2312"/>
          <w:color w:val="000000"/>
          <w:sz w:val="32"/>
          <w:szCs w:val="32"/>
          <w:shd w:val="clear" w:color="auto" w:fill="FFFFFF"/>
        </w:rPr>
        <w:t>一是资金使用效益有待进一步提高。</w:t>
      </w:r>
      <w:r>
        <w:rPr>
          <w:rFonts w:hint="eastAsia" w:ascii="仿宋_GB2312" w:hAnsi="仿宋_GB2312" w:eastAsia="仿宋_GB2312" w:cs="仿宋_GB2312"/>
          <w:color w:val="000000"/>
          <w:kern w:val="0"/>
          <w:sz w:val="32"/>
          <w:szCs w:val="32"/>
        </w:rPr>
        <w:t>公用经费上半年拨付进度慢。</w:t>
      </w:r>
      <w:r>
        <w:rPr>
          <w:rFonts w:hint="eastAsia" w:ascii="仿宋_GB2312" w:hAnsi="仿宋_GB2312" w:eastAsia="仿宋_GB2312" w:cs="仿宋_GB2312"/>
          <w:color w:val="000000"/>
          <w:sz w:val="32"/>
          <w:szCs w:val="32"/>
          <w:shd w:val="clear" w:color="auto" w:fill="FFFFFF"/>
        </w:rPr>
        <w:t>二是绩效目标设立不够明确、细化和量化。虽然设立了项目资金绩效目标，但目标不够明确、细化和量化。</w:t>
      </w:r>
      <w:r>
        <w:rPr>
          <w:rFonts w:hint="eastAsia" w:ascii="仿宋_GB2312" w:hAnsi="仿宋_GB2312" w:eastAsia="仿宋_GB2312" w:cs="仿宋_GB2312"/>
          <w:color w:val="000000"/>
          <w:sz w:val="32"/>
          <w:szCs w:val="32"/>
          <w:shd w:val="clear" w:color="auto" w:fill="FFFFFF"/>
          <w:lang w:val="en-US" w:eastAsia="zh-CN"/>
        </w:rPr>
        <w:t xml:space="preserve">        </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（三）改进建议。</w:t>
      </w:r>
    </w:p>
    <w:p>
      <w:pPr>
        <w:pStyle w:val="13"/>
        <w:widowControl/>
        <w:shd w:val="clear" w:color="auto" w:fill="FFFFFF"/>
        <w:spacing w:beforeAutospacing="0" w:afterAutospacing="0"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一是加强资金拨付进度，更加合理规范使用财政预算资金。二是</w:t>
      </w:r>
      <w:r>
        <w:rPr>
          <w:rFonts w:hint="eastAsia" w:ascii="仿宋_GB2312" w:hAnsi="仿宋_GB2312" w:eastAsia="仿宋_GB2312" w:cs="仿宋_GB2312"/>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pStyle w:val="4"/>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20B0602030504020204"/>
    <w:charset w:val="01"/>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1135400"/>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18</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5">
    <w:nsid w:val="386D6DF3"/>
    <w:multiLevelType w:val="singleLevel"/>
    <w:tmpl w:val="386D6DF3"/>
    <w:lvl w:ilvl="0" w:tentative="0">
      <w:start w:val="3"/>
      <w:numFmt w:val="decimal"/>
      <w:lvlText w:val="%1."/>
      <w:lvlJc w:val="left"/>
      <w:pPr>
        <w:tabs>
          <w:tab w:val="left" w:pos="0"/>
        </w:tabs>
        <w:ind w:left="0" w:firstLine="0"/>
      </w:p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dit="readOnly"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AD070F"/>
    <w:rsid w:val="00053BC6"/>
    <w:rsid w:val="001C47CE"/>
    <w:rsid w:val="004505A6"/>
    <w:rsid w:val="0073645F"/>
    <w:rsid w:val="007C6F30"/>
    <w:rsid w:val="00A251A0"/>
    <w:rsid w:val="00AD070F"/>
    <w:rsid w:val="00BD3570"/>
    <w:rsid w:val="00E140A6"/>
    <w:rsid w:val="00E21554"/>
    <w:rsid w:val="00EC5E85"/>
    <w:rsid w:val="01042918"/>
    <w:rsid w:val="09CA08BB"/>
    <w:rsid w:val="09EF680A"/>
    <w:rsid w:val="0D976184"/>
    <w:rsid w:val="0E854E28"/>
    <w:rsid w:val="14FC5ECA"/>
    <w:rsid w:val="1A426979"/>
    <w:rsid w:val="1BC00CAD"/>
    <w:rsid w:val="1C0879ED"/>
    <w:rsid w:val="20921734"/>
    <w:rsid w:val="24E32864"/>
    <w:rsid w:val="24FF321F"/>
    <w:rsid w:val="261801C2"/>
    <w:rsid w:val="291D6A08"/>
    <w:rsid w:val="297E6C4B"/>
    <w:rsid w:val="2EDA0F99"/>
    <w:rsid w:val="2FD90F27"/>
    <w:rsid w:val="32696947"/>
    <w:rsid w:val="33511423"/>
    <w:rsid w:val="340E27D0"/>
    <w:rsid w:val="35094BFC"/>
    <w:rsid w:val="351020BC"/>
    <w:rsid w:val="3611054E"/>
    <w:rsid w:val="36445352"/>
    <w:rsid w:val="36B62A03"/>
    <w:rsid w:val="38541EFC"/>
    <w:rsid w:val="3A97603F"/>
    <w:rsid w:val="3BF00315"/>
    <w:rsid w:val="3D3F5B39"/>
    <w:rsid w:val="3E8A177D"/>
    <w:rsid w:val="3FCF08DC"/>
    <w:rsid w:val="40F30CBF"/>
    <w:rsid w:val="420A6509"/>
    <w:rsid w:val="47C65B96"/>
    <w:rsid w:val="483C50CD"/>
    <w:rsid w:val="4897008B"/>
    <w:rsid w:val="500E265C"/>
    <w:rsid w:val="54127E11"/>
    <w:rsid w:val="594679AA"/>
    <w:rsid w:val="5ADF0F4B"/>
    <w:rsid w:val="5B575649"/>
    <w:rsid w:val="5F394E14"/>
    <w:rsid w:val="66C27EFA"/>
    <w:rsid w:val="687B5FC4"/>
    <w:rsid w:val="6E4324C5"/>
    <w:rsid w:val="72380DC9"/>
    <w:rsid w:val="73287B90"/>
    <w:rsid w:val="75E5015C"/>
    <w:rsid w:val="768601F5"/>
    <w:rsid w:val="7EBA0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
    <w:uiPriority w:val="0"/>
    <w:pPr>
      <w:keepNext/>
      <w:keepLines/>
      <w:spacing w:before="340" w:after="330" w:line="578" w:lineRule="auto"/>
      <w:outlineLvl w:val="0"/>
    </w:pPr>
    <w:rPr>
      <w:b/>
      <w:bCs/>
      <w:kern w:val="44"/>
      <w:sz w:val="44"/>
      <w:szCs w:val="44"/>
    </w:rPr>
  </w:style>
  <w:style w:type="paragraph" w:styleId="4">
    <w:name w:val="heading 2"/>
    <w:basedOn w:val="1"/>
    <w:next w:val="1"/>
    <w:link w:val="19"/>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uiPriority w:val="0"/>
    <w:pPr>
      <w:keepNext/>
      <w:keepLines/>
      <w:spacing w:before="260" w:after="260" w:line="415" w:lineRule="auto"/>
      <w:outlineLvl w:val="2"/>
    </w:pPr>
    <w:rPr>
      <w:b/>
      <w:bCs/>
      <w:sz w:val="32"/>
      <w:szCs w:val="32"/>
    </w:rPr>
  </w:style>
  <w:style w:type="character" w:default="1" w:styleId="15">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table of figures"/>
    <w:basedOn w:val="1"/>
    <w:next w:val="1"/>
    <w:qFormat/>
    <w:uiPriority w:val="0"/>
    <w:pPr>
      <w:spacing w:before="100" w:beforeLines="0" w:beforeAutospacing="1" w:after="100" w:afterLines="0" w:afterAutospacing="1"/>
      <w:ind w:left="200" w:leftChars="200" w:hanging="200" w:hanging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semiHidden/>
    <w:unhideWhenUsed/>
    <w:qFormat/>
    <w:uiPriority w:val="99"/>
    <w:pPr>
      <w:widowControl/>
      <w:spacing w:beforeAutospacing="1" w:afterAutospacing="1"/>
      <w:jc w:val="left"/>
    </w:pPr>
    <w:rPr>
      <w:rFonts w:hint="eastAsia" w:ascii="宋体" w:hAnsi="宋体"/>
      <w:kern w:val="0"/>
      <w:sz w:val="24"/>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标题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19">
    <w:name w:val="标题 2 Char"/>
    <w:basedOn w:val="15"/>
    <w:link w:val="4"/>
    <w:qFormat/>
    <w:uiPriority w:val="0"/>
    <w:rPr>
      <w:rFonts w:ascii="Cambria" w:hAnsi="Cambria" w:eastAsia="宋体" w:cs="Times New Roman"/>
      <w:b/>
      <w:bCs/>
      <w:kern w:val="2"/>
      <w:sz w:val="32"/>
      <w:szCs w:val="32"/>
      <w:lang w:val="en-US" w:eastAsia="zh-CN" w:bidi="ar-SA"/>
    </w:rPr>
  </w:style>
  <w:style w:type="character" w:customStyle="1" w:styleId="20">
    <w:name w:val="Header Char"/>
    <w:basedOn w:val="15"/>
    <w:qFormat/>
    <w:uiPriority w:val="0"/>
    <w:rPr>
      <w:rFonts w:ascii="Times New Roman" w:hAnsi="Times New Roman"/>
      <w:sz w:val="18"/>
      <w:szCs w:val="18"/>
    </w:rPr>
  </w:style>
  <w:style w:type="character" w:customStyle="1" w:styleId="21">
    <w:name w:val="Footer Char"/>
    <w:basedOn w:val="15"/>
    <w:qFormat/>
    <w:uiPriority w:val="0"/>
    <w:rPr>
      <w:rFonts w:ascii="Times New Roman" w:hAnsi="Times New Roman"/>
      <w:sz w:val="18"/>
      <w:szCs w:val="18"/>
    </w:rPr>
  </w:style>
  <w:style w:type="character" w:customStyle="1" w:styleId="22">
    <w:name w:val="Body Text Char"/>
    <w:basedOn w:val="15"/>
    <w:qFormat/>
    <w:uiPriority w:val="0"/>
    <w:rPr>
      <w:rFonts w:ascii="Times New Roman" w:hAnsi="Times New Roman"/>
      <w:szCs w:val="24"/>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4">
    <w:name w:val="List Paragraph"/>
    <w:basedOn w:val="1"/>
    <w:qFormat/>
    <w:uiPriority w:val="0"/>
    <w:pPr>
      <w:ind w:firstLine="200" w:firstLineChars="200"/>
    </w:pPr>
  </w:style>
  <w:style w:type="paragraph" w:customStyle="1" w:styleId="25">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r>
              <a:t>收、支决算结构图</a:t>
            </a:r>
          </a:p>
        </c:rich>
      </c:tx>
      <c:layout/>
      <c:overlay val="0"/>
      <c:spPr>
        <a:noFill/>
        <a:ln>
          <a:noFill/>
        </a:ln>
        <a:effectLst/>
      </c:spPr>
    </c:title>
    <c:autoTitleDeleted val="0"/>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Sheet1!$A$2:$A$3</c:f>
              <c:strCache>
                <c:ptCount val="2"/>
                <c:pt idx="0">
                  <c:v>2019年 </c:v>
                </c:pt>
                <c:pt idx="1">
                  <c:v>2020年</c:v>
                </c:pt>
              </c:strCache>
            </c:strRef>
          </c:cat>
          <c:val>
            <c:numRef>
              <c:f>Sheet1!$B$2:$B$3</c:f>
              <c:numCache>
                <c:formatCode>General</c:formatCode>
                <c:ptCount val="2"/>
                <c:pt idx="0">
                  <c:v>760.18</c:v>
                </c:pt>
                <c:pt idx="1">
                  <c:v>1253.42</c:v>
                </c:pt>
              </c:numCache>
            </c:numRef>
          </c:val>
        </c:ser>
        <c:ser>
          <c:idx val="1"/>
          <c:order val="1"/>
          <c:tx>
            <c:strRef>
              <c:f>Sheet1!$C$1</c:f>
              <c:strCache>
                <c:ptCount val="1"/>
                <c:pt idx="0">
                  <c:v>总支出</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Sheet1!$A$2:$A$3</c:f>
              <c:strCache>
                <c:ptCount val="2"/>
                <c:pt idx="0">
                  <c:v>2019年 </c:v>
                </c:pt>
                <c:pt idx="1">
                  <c:v>2020年</c:v>
                </c:pt>
              </c:strCache>
            </c:strRef>
          </c:cat>
          <c:val>
            <c:numRef>
              <c:f>Sheet1!$C$2:$C$3</c:f>
              <c:numCache>
                <c:formatCode>General</c:formatCode>
                <c:ptCount val="2"/>
                <c:pt idx="0">
                  <c:v>565.76</c:v>
                </c:pt>
                <c:pt idx="1">
                  <c:v>1213.62</c:v>
                </c:pt>
              </c:numCache>
            </c:numRef>
          </c:val>
        </c:ser>
        <c:dLbls>
          <c:showLegendKey val="0"/>
          <c:showVal val="1"/>
          <c:showCatName val="0"/>
          <c:showSerName val="0"/>
          <c:showPercent val="0"/>
          <c:showBubbleSize val="0"/>
        </c:dLbls>
        <c:gapWidth val="65"/>
        <c:axId val="133339008"/>
        <c:axId val="133340544"/>
      </c:barChart>
      <c:catAx>
        <c:axId val="13333900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133340544"/>
        <c:crosses val="autoZero"/>
        <c:auto val="1"/>
        <c:lblAlgn val="ctr"/>
        <c:lblOffset val="100"/>
        <c:noMultiLvlLbl val="0"/>
      </c:catAx>
      <c:valAx>
        <c:axId val="133340544"/>
        <c:scaling>
          <c:orientation val="minMax"/>
          <c:max val="4500"/>
          <c:min val="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133339008"/>
        <c:crossesAt val="1"/>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10</a:t>
                    </a:r>
                    <a:r>
                      <a:t>0</a:t>
                    </a:r>
                    <a:r>
                      <a:rPr lang="en-US" altLang="zh-CN"/>
                      <a:t>%</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1253.42</c:v>
                </c:pt>
                <c:pt idx="1">
                  <c:v>0</c:v>
                </c:pt>
              </c:numCache>
            </c:numRef>
          </c:val>
        </c:ser>
        <c:dLbls>
          <c:showLegendKey val="0"/>
          <c:showVal val="1"/>
          <c:showCatName val="0"/>
          <c:showSerName val="0"/>
          <c:showPercent val="0"/>
          <c:showBubbleSize val="0"/>
          <c:showLeaderLines val="1"/>
        </c:dLbls>
        <c:firstSliceAng val="0"/>
      </c:pieChart>
      <c:spPr>
        <a:noFill/>
        <a:ln>
          <a:noFill/>
        </a:ln>
      </c:spPr>
    </c:plotArea>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719.3</c:v>
                </c:pt>
                <c:pt idx="1">
                  <c:v>494.32</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760.18</c:v>
                </c:pt>
                <c:pt idx="1">
                  <c:v>565.76</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1253.42</c:v>
                </c:pt>
                <c:pt idx="1">
                  <c:v>1213.62</c:v>
                </c:pt>
              </c:numCache>
            </c:numRef>
          </c:val>
        </c:ser>
        <c:dLbls>
          <c:showLegendKey val="0"/>
          <c:showVal val="1"/>
          <c:showCatName val="0"/>
          <c:showSerName val="0"/>
          <c:showPercent val="0"/>
          <c:showBubbleSize val="0"/>
        </c:dLbls>
        <c:gapWidth val="219"/>
        <c:overlap val="-27"/>
        <c:axId val="133814144"/>
        <c:axId val="133815680"/>
      </c:barChart>
      <c:catAx>
        <c:axId val="133814144"/>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33815680"/>
        <c:crosses val="autoZero"/>
        <c:auto val="1"/>
        <c:lblAlgn val="ctr"/>
        <c:lblOffset val="100"/>
        <c:noMultiLvlLbl val="0"/>
      </c:catAx>
      <c:valAx>
        <c:axId val="133815680"/>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33814144"/>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0" vertOverflow="ellipsis" vert="horz" wrap="square" anchor="ctr" anchorCtr="1"/>
          <a:lstStyle/>
          <a:p>
            <a:pPr defTabSz="914400">
              <a:defRPr lang="zh-CN" sz="1600" b="1" i="0" u="none" strike="noStrike" kern="1200" spc="0" normalizeH="0" baseline="0">
                <a:solidFill>
                  <a:schemeClr val="dk1">
                    <a:lumMod val="50000"/>
                    <a:lumOff val="50000"/>
                  </a:schemeClr>
                </a:solidFill>
                <a:latin typeface="+mj-lt"/>
                <a:ea typeface="+mj-ea"/>
                <a:cs typeface="+mj-cs"/>
              </a:defRPr>
            </a:pPr>
            <a:r>
              <a:t>图表标题</a:t>
            </a:r>
          </a:p>
        </c:rich>
      </c:tx>
      <c:layout>
        <c:manualLayout>
          <c:xMode val="edge"/>
          <c:yMode val="edge"/>
          <c:x val="0.0296296296296296"/>
          <c:y val="0.0264583333333333"/>
        </c:manualLayout>
      </c:layout>
      <c:overlay val="0"/>
      <c:spPr>
        <a:noFill/>
        <a:ln>
          <a:noFill/>
        </a:ln>
        <a:effectLst/>
      </c:spPr>
    </c:title>
    <c:autoTitleDeleted val="0"/>
    <c:plotArea>
      <c:layout>
        <c:manualLayout>
          <c:layoutTarget val="inner"/>
          <c:xMode val="edge"/>
          <c:yMode val="edge"/>
          <c:x val="0.273443004115226"/>
          <c:y val="0.166666666666667"/>
          <c:w val="0.463007407407407"/>
          <c:h val="0.781325"/>
        </c:manualLayout>
      </c:layout>
      <c:pieChart>
        <c:varyColors val="1"/>
        <c:ser>
          <c:idx val="0"/>
          <c:order val="0"/>
          <c:tx>
            <c:strRef>
              <c:f>Sheet1!$B$1</c:f>
              <c:strCache>
                <c:ptCount val="1"/>
                <c:pt idx="0">
                  <c:v>系列 1</c:v>
                </c:pt>
              </c:strCache>
            </c:strRef>
          </c:tx>
          <c:spPr/>
          <c:explosion val="0"/>
          <c:dPt>
            <c:idx val="0"/>
            <c:bubble3D val="0"/>
            <c:spPr>
              <a:gradFill>
                <a:gsLst>
                  <a:gs pos="100000">
                    <a:schemeClr val="accent5">
                      <a:shade val="47500"/>
                      <a:lumMod val="60000"/>
                      <a:lumOff val="40000"/>
                    </a:schemeClr>
                  </a:gs>
                  <a:gs pos="0">
                    <a:schemeClr val="accent5">
                      <a:shade val="47500"/>
                    </a:schemeClr>
                  </a:gs>
                </a:gsLst>
                <a:lin ang="5400000" scaled="0"/>
              </a:gradFill>
              <a:ln w="19050">
                <a:solidFill>
                  <a:schemeClr val="lt1"/>
                </a:solidFill>
              </a:ln>
              <a:effectLst/>
            </c:spPr>
          </c:dPt>
          <c:dPt>
            <c:idx val="1"/>
            <c:bubble3D val="0"/>
            <c:spPr>
              <a:gradFill>
                <a:gsLst>
                  <a:gs pos="100000">
                    <a:schemeClr val="accent5">
                      <a:shade val="65000"/>
                      <a:lumMod val="60000"/>
                      <a:lumOff val="40000"/>
                    </a:schemeClr>
                  </a:gs>
                  <a:gs pos="0">
                    <a:schemeClr val="accent5">
                      <a:shade val="65000"/>
                    </a:schemeClr>
                  </a:gs>
                </a:gsLst>
                <a:lin ang="5400000" scaled="0"/>
              </a:gradFill>
              <a:ln w="19050">
                <a:solidFill>
                  <a:schemeClr val="lt1"/>
                </a:solidFill>
              </a:ln>
              <a:effectLst/>
            </c:spPr>
          </c:dPt>
          <c:dPt>
            <c:idx val="2"/>
            <c:bubble3D val="0"/>
            <c:spPr>
              <a:gradFill>
                <a:gsLst>
                  <a:gs pos="100000">
                    <a:schemeClr val="accent5">
                      <a:shade val="82500"/>
                      <a:lumMod val="60000"/>
                      <a:lumOff val="40000"/>
                    </a:schemeClr>
                  </a:gs>
                  <a:gs pos="0">
                    <a:schemeClr val="accent5">
                      <a:shade val="82500"/>
                    </a:schemeClr>
                  </a:gs>
                </a:gsLst>
                <a:lin ang="5400000" scaled="0"/>
              </a:gradFill>
              <a:ln w="19050">
                <a:solidFill>
                  <a:schemeClr val="lt1"/>
                </a:solidFill>
              </a:ln>
              <a:effectLst/>
            </c:spPr>
          </c:dPt>
          <c:dPt>
            <c:idx val="3"/>
            <c:bubble3D val="0"/>
            <c:spPr>
              <a:gradFill>
                <a:gsLst>
                  <a:gs pos="100000">
                    <a:schemeClr val="accent5">
                      <a:lumMod val="60000"/>
                      <a:lumOff val="40000"/>
                    </a:schemeClr>
                  </a:gs>
                  <a:gs pos="0">
                    <a:schemeClr val="accent5"/>
                  </a:gs>
                </a:gsLst>
                <a:lin ang="5400000" scaled="0"/>
              </a:gradFill>
              <a:ln w="19050">
                <a:solidFill>
                  <a:schemeClr val="lt1"/>
                </a:solidFill>
              </a:ln>
              <a:effectLst/>
            </c:spPr>
          </c:dPt>
          <c:dPt>
            <c:idx val="4"/>
            <c:bubble3D val="0"/>
            <c:spPr>
              <a:gradFill>
                <a:gsLst>
                  <a:gs pos="100000">
                    <a:schemeClr val="accent5">
                      <a:tint val="82500"/>
                      <a:lumMod val="60000"/>
                      <a:lumOff val="40000"/>
                    </a:schemeClr>
                  </a:gs>
                  <a:gs pos="0">
                    <a:schemeClr val="accent5">
                      <a:tint val="82500"/>
                    </a:schemeClr>
                  </a:gs>
                </a:gsLst>
                <a:lin ang="5400000" scaled="0"/>
              </a:gradFill>
              <a:ln w="19050">
                <a:solidFill>
                  <a:schemeClr val="lt1"/>
                </a:solidFill>
              </a:ln>
              <a:effectLst/>
            </c:spPr>
          </c:dPt>
          <c:dPt>
            <c:idx val="5"/>
            <c:bubble3D val="0"/>
            <c:spPr>
              <a:gradFill>
                <a:gsLst>
                  <a:gs pos="100000">
                    <a:schemeClr val="accent5">
                      <a:tint val="65000"/>
                      <a:lumMod val="60000"/>
                      <a:lumOff val="40000"/>
                    </a:schemeClr>
                  </a:gs>
                  <a:gs pos="0">
                    <a:schemeClr val="accent5">
                      <a:tint val="65000"/>
                    </a:schemeClr>
                  </a:gs>
                </a:gsLst>
                <a:lin ang="5400000" scaled="0"/>
              </a:gradFill>
              <a:ln w="19050">
                <a:solidFill>
                  <a:schemeClr val="lt1"/>
                </a:solidFill>
              </a:ln>
              <a:effectLst/>
            </c:spPr>
          </c:dPt>
          <c:dPt>
            <c:idx val="6"/>
            <c:bubble3D val="0"/>
            <c:spPr>
              <a:gradFill>
                <a:gsLst>
                  <a:gs pos="100000">
                    <a:schemeClr val="accent5">
                      <a:tint val="47500"/>
                      <a:lumMod val="60000"/>
                      <a:lumOff val="40000"/>
                    </a:schemeClr>
                  </a:gs>
                  <a:gs pos="0">
                    <a:schemeClr val="accent5">
                      <a:tint val="47500"/>
                    </a:schemeClr>
                  </a:gs>
                </a:gsLst>
                <a:lin ang="5400000" scaled="0"/>
              </a:gradFill>
              <a:ln w="19050">
                <a:solidFill>
                  <a:schemeClr val="lt1"/>
                </a:solidFill>
              </a:ln>
              <a:effectLst/>
            </c:spPr>
          </c:dPt>
          <c:dLbls>
            <c:dLbl>
              <c:idx val="0"/>
              <c:layout/>
              <c:dLblPos val="ctr"/>
              <c:showLegendKey val="0"/>
              <c:showVal val="0"/>
              <c:showCatName val="0"/>
              <c:showSerName val="0"/>
              <c:showPercent val="1"/>
              <c:showBubbleSize val="0"/>
              <c:extLst>
                <c:ext xmlns:c15="http://schemas.microsoft.com/office/drawing/2012/chart" uri="{CE6537A1-D6FC-4f65-9D91-7224C49458BB}"/>
              </c:extLst>
            </c:dLbl>
            <c:dLbl>
              <c:idx val="1"/>
              <c:layout/>
              <c:dLblPos val="ctr"/>
              <c:showLegendKey val="0"/>
              <c:showVal val="0"/>
              <c:showCatName val="0"/>
              <c:showSerName val="0"/>
              <c:showPercent val="1"/>
              <c:showBubbleSize val="0"/>
              <c:extLst>
                <c:ext xmlns:c15="http://schemas.microsoft.com/office/drawing/2012/chart" uri="{CE6537A1-D6FC-4f65-9D91-7224C49458BB}"/>
              </c:extLst>
            </c:dLbl>
            <c:dLbl>
              <c:idx val="2"/>
              <c:layout/>
              <c:dLblPos val="ctr"/>
              <c:showLegendKey val="0"/>
              <c:showVal val="0"/>
              <c:showCatName val="0"/>
              <c:showSerName val="0"/>
              <c:showPercent val="1"/>
              <c:showBubbleSize val="0"/>
              <c:extLst>
                <c:ext xmlns:c15="http://schemas.microsoft.com/office/drawing/2012/chart" uri="{CE6537A1-D6FC-4f65-9D91-7224C49458BB}"/>
              </c:extLst>
            </c:dLbl>
            <c:dLbl>
              <c:idx val="3"/>
              <c:layout/>
              <c:dLblPos val="ctr"/>
              <c:showLegendKey val="0"/>
              <c:showVal val="0"/>
              <c:showCatName val="0"/>
              <c:showSerName val="0"/>
              <c:showPercent val="1"/>
              <c:showBubbleSize val="0"/>
              <c:extLst>
                <c:ext xmlns:c15="http://schemas.microsoft.com/office/drawing/2012/chart" uri="{CE6537A1-D6FC-4f65-9D91-7224C49458BB}"/>
              </c:extLst>
            </c:dLbl>
            <c:dLbl>
              <c:idx val="4"/>
              <c:layout/>
              <c:dLblPos val="ctr"/>
              <c:showLegendKey val="0"/>
              <c:showVal val="0"/>
              <c:showCatName val="0"/>
              <c:showSerName val="0"/>
              <c:showPercent val="1"/>
              <c:showBubbleSize val="0"/>
              <c:extLst>
                <c:ext xmlns:c15="http://schemas.microsoft.com/office/drawing/2012/chart" uri="{CE6537A1-D6FC-4f65-9D91-7224C49458BB}"/>
              </c:extLst>
            </c:dLbl>
            <c:dLbl>
              <c:idx val="5"/>
              <c:layout/>
              <c:dLblPos val="ctr"/>
              <c:showLegendKey val="0"/>
              <c:showVal val="0"/>
              <c:showCatName val="0"/>
              <c:showSerName val="0"/>
              <c:showPercent val="1"/>
              <c:showBubbleSize val="0"/>
              <c:extLst>
                <c:ext xmlns:c15="http://schemas.microsoft.com/office/drawing/2012/chart" uri="{CE6537A1-D6FC-4f65-9D91-7224C49458BB}"/>
              </c:extLst>
            </c:dLbl>
            <c:dLbl>
              <c:idx val="6"/>
              <c:layout/>
              <c:dLblPos val="ctr"/>
              <c:showLegendKey val="0"/>
              <c:showVal val="0"/>
              <c:showCatName val="0"/>
              <c:showSerName val="0"/>
              <c:showPercent val="1"/>
              <c:showBubbleSize val="0"/>
              <c:extLst>
                <c:ext xmlns:c15="http://schemas.microsoft.com/office/drawing/2012/chart" uri="{CE6537A1-D6FC-4f65-9D91-7224C49458BB}"/>
              </c:extLst>
            </c:dLbl>
            <c:spPr>
              <a:solidFill>
                <a:sysClr val="window" lastClr="CCE8CF"/>
              </a:solidFill>
              <a:ln>
                <a:solidFill>
                  <a:sysClr val="windowText" lastClr="000000">
                    <a:lumMod val="25000"/>
                    <a:lumOff val="75000"/>
                  </a:sysClr>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ctr"/>
            <c:showLegendKey val="0"/>
            <c:showVal val="0"/>
            <c:showCatName val="0"/>
            <c:showSerName val="0"/>
            <c:showPercent val="1"/>
            <c:showBubbleSize val="0"/>
            <c:separator>
</c:separator>
            <c:showLeaderLines val="0"/>
            <c:extLst>
              <c:ext xmlns:c15="http://schemas.microsoft.com/office/drawing/2012/chart" uri="{CE6537A1-D6FC-4f65-9D91-7224C49458BB}">
                <c15:spPr xmlns:c15="http://schemas.microsoft.com/office/drawing/2012/chart">
                  <a:prstGeom prst="roundRect">
                    <a:avLst/>
                  </a:prstGeom>
                  <a:noFill/>
                  <a:ln>
                    <a:noFill/>
                  </a:ln>
                </c15:spPr>
                <c15:layout/>
                <c15:showLeaderLines val="0"/>
                <c15:leaderLines>
                  <c:spPr>
                    <a:ln w="9525" cap="flat" cmpd="sng" algn="ctr">
                      <a:solidFill>
                        <a:schemeClr val="dk1">
                          <a:lumMod val="35000"/>
                          <a:lumOff val="65000"/>
                        </a:schemeClr>
                      </a:solidFill>
                      <a:round/>
                    </a:ln>
                    <a:effectLst/>
                  </c:spPr>
                </c15:leaderLines>
              </c:ext>
            </c:extLst>
          </c:dLbls>
          <c:cat>
            <c:strRef>
              <c:f>Sheet1!$A$2:$A$8</c:f>
              <c:strCache>
                <c:ptCount val="7"/>
                <c:pt idx="0">
                  <c:v>一般公共服务</c:v>
                </c:pt>
                <c:pt idx="1">
                  <c:v>文化旅游与传媒</c:v>
                </c:pt>
                <c:pt idx="2">
                  <c:v>社会保障和就业</c:v>
                </c:pt>
                <c:pt idx="3">
                  <c:v>卫生健康</c:v>
                </c:pt>
                <c:pt idx="4">
                  <c:v>住房保障</c:v>
                </c:pt>
                <c:pt idx="5">
                  <c:v>其他支出</c:v>
                </c:pt>
                <c:pt idx="6">
                  <c:v>农林水支出</c:v>
                </c:pt>
              </c:strCache>
            </c:strRef>
          </c:cat>
          <c:val>
            <c:numRef>
              <c:f>Sheet1!$B$2:$B$8</c:f>
              <c:numCache>
                <c:formatCode>0.00_ </c:formatCode>
                <c:ptCount val="7"/>
                <c:pt idx="0">
                  <c:v>36.83</c:v>
                </c:pt>
                <c:pt idx="1">
                  <c:v>0.29</c:v>
                </c:pt>
                <c:pt idx="2">
                  <c:v>11.16</c:v>
                </c:pt>
                <c:pt idx="3">
                  <c:v>3.76</c:v>
                </c:pt>
                <c:pt idx="4">
                  <c:v>4.49</c:v>
                </c:pt>
                <c:pt idx="5">
                  <c:v>18.46</c:v>
                </c:pt>
                <c:pt idx="6">
                  <c:v>24.02</c:v>
                </c:pt>
              </c:numCache>
            </c:numRef>
          </c:val>
        </c:ser>
        <c:ser>
          <c:idx val="1"/>
          <c:order val="1"/>
          <c:tx>
            <c:strRef>
              <c:f>Sheet1!#REF!</c:f>
              <c:strCache>
                <c:ptCount val="1"/>
                <c:pt idx="0">
                  <c:v/>
                </c:pt>
              </c:strCache>
            </c:strRef>
          </c:tx>
          <c:spPr/>
          <c:explosion val="0"/>
          <c:dPt>
            <c:idx val="0"/>
            <c:bubble3D val="0"/>
            <c:spPr>
              <a:gradFill>
                <a:gsLst>
                  <a:gs pos="100000">
                    <a:schemeClr val="accent5">
                      <a:lumMod val="60000"/>
                      <a:lumOff val="40000"/>
                    </a:schemeClr>
                  </a:gs>
                  <a:gs pos="0">
                    <a:schemeClr val="accent5"/>
                  </a:gs>
                </a:gsLst>
                <a:lin ang="5400000" scaled="0"/>
              </a:gra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ctr"/>
            <c:showLegendKey val="0"/>
            <c:showVal val="0"/>
            <c:showCatName val="0"/>
            <c:showSerName val="0"/>
            <c:showPercent val="1"/>
            <c:showBubbleSize val="0"/>
            <c:separator>
</c:separator>
            <c:showLeaderLines val="0"/>
            <c:extLst>
              <c:ext xmlns:c15="http://schemas.microsoft.com/office/drawing/2012/chart" uri="{CE6537A1-D6FC-4f65-9D91-7224C49458BB}">
                <c15:layout/>
                <c15:showLeaderLines val="0"/>
                <c15:leaderLines>
                  <c:spPr>
                    <a:ln w="9525" cap="flat" cmpd="sng" algn="ctr">
                      <a:solidFill>
                        <a:schemeClr val="dk1">
                          <a:lumMod val="35000"/>
                          <a:lumOff val="65000"/>
                        </a:schemeClr>
                      </a:solidFill>
                      <a:round/>
                    </a:ln>
                    <a:effectLst/>
                  </c:spPr>
                </c15:leaderLines>
              </c:ext>
            </c:extLst>
          </c:dLbls>
          <c:cat>
            <c:strRef>
              <c:f>Sheet1!$A$2:$A$8</c:f>
              <c:strCache>
                <c:ptCount val="7"/>
                <c:pt idx="0">
                  <c:v>一般公共服务</c:v>
                </c:pt>
                <c:pt idx="1">
                  <c:v>文化旅游与传媒</c:v>
                </c:pt>
                <c:pt idx="2">
                  <c:v>社会保障和就业</c:v>
                </c:pt>
                <c:pt idx="3">
                  <c:v>卫生健康</c:v>
                </c:pt>
                <c:pt idx="4">
                  <c:v>住房保障</c:v>
                </c:pt>
                <c:pt idx="5">
                  <c:v>其他支出</c:v>
                </c:pt>
                <c:pt idx="6">
                  <c:v>农林水支出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spPr/>
          <c:explosion val="0"/>
          <c:dPt>
            <c:idx val="0"/>
            <c:bubble3D val="0"/>
            <c:spPr>
              <a:gradFill>
                <a:gsLst>
                  <a:gs pos="100000">
                    <a:schemeClr val="accent5">
                      <a:lumMod val="60000"/>
                      <a:lumOff val="40000"/>
                    </a:schemeClr>
                  </a:gs>
                  <a:gs pos="0">
                    <a:schemeClr val="accent5"/>
                  </a:gs>
                </a:gsLst>
                <a:lin ang="5400000" scaled="0"/>
              </a:gra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ctr"/>
            <c:showLegendKey val="0"/>
            <c:showVal val="0"/>
            <c:showCatName val="0"/>
            <c:showSerName val="0"/>
            <c:showPercent val="1"/>
            <c:showBubbleSize val="0"/>
            <c:separator>
</c:separator>
            <c:showLeaderLines val="0"/>
            <c:extLst>
              <c:ext xmlns:c15="http://schemas.microsoft.com/office/drawing/2012/chart" uri="{CE6537A1-D6FC-4f65-9D91-7224C49458BB}">
                <c15:layout/>
                <c15:showLeaderLines val="0"/>
                <c15:leaderLines>
                  <c:spPr>
                    <a:ln w="9525" cap="flat" cmpd="sng" algn="ctr">
                      <a:solidFill>
                        <a:schemeClr val="dk1">
                          <a:lumMod val="35000"/>
                          <a:lumOff val="65000"/>
                        </a:schemeClr>
                      </a:solidFill>
                      <a:round/>
                    </a:ln>
                    <a:effectLst/>
                  </c:spPr>
                </c15:leaderLines>
              </c:ext>
            </c:extLst>
          </c:dLbls>
          <c:cat>
            <c:strRef>
              <c:f>Sheet1!$A$2:$A$8</c:f>
              <c:strCache>
                <c:ptCount val="7"/>
                <c:pt idx="0">
                  <c:v>一般公共服务</c:v>
                </c:pt>
                <c:pt idx="1">
                  <c:v>文化旅游与传媒</c:v>
                </c:pt>
                <c:pt idx="2">
                  <c:v>社会保障和就业</c:v>
                </c:pt>
                <c:pt idx="3">
                  <c:v>卫生健康</c:v>
                </c:pt>
                <c:pt idx="4">
                  <c:v>住房保障</c:v>
                </c:pt>
                <c:pt idx="5">
                  <c:v>其他支出</c:v>
                </c:pt>
                <c:pt idx="6">
                  <c:v>农林水支出</c:v>
                </c:pt>
              </c:strCache>
            </c:strRef>
          </c:cat>
          <c:val>
            <c:numRef>
              <c:f>Sheet1!#REF!</c:f>
              <c:numCache>
                <c:formatCode>General</c:formatCode>
                <c:ptCount val="1"/>
                <c:pt idx="0">
                  <c:v>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alpha val="50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zero"/>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21</Pages>
  <Words>7080</Words>
  <Characters>2275</Characters>
  <Lines>18</Lines>
  <Paragraphs>18</Paragraphs>
  <TotalTime>0</TotalTime>
  <ScaleCrop>false</ScaleCrop>
  <LinksUpToDate>false</LinksUpToDate>
  <CharactersWithSpaces>9337</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2021-09-17T08:38:00Z</dcterms:created>
  <dc:creator>张彬茜</dc:creator>
  <cp:lastModifiedBy>不改</cp:lastModifiedBy>
  <cp:lastPrinted>2020-09-29T10:36:00Z</cp:lastPrinted>
  <dcterms:modified xsi:type="dcterms:W3CDTF">2021-09-27T02:56:03Z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7446358C982B43FBBF5486ACE152A102</vt:lpwstr>
  </property>
</Properties>
</file>