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2026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年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毛日乡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部门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2026年，我单位部门预算875.68万元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完成了2026年本级部门预算整体绩效目标申报和0个项目预算绩效目标申报，并编报0个项目预算事前绩效评估报告。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docGrid w:type="lines" w:linePitch="312" w:charSpace="0"/>
        </w:sect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docGrid w:type="lines" w:linePitch="312" w:charSpace="0"/>
        </w:sectPr>
      </w:pPr>
      <w:r>
        <w:rPr>
          <w:rFonts w:ascii="黑体" w:eastAsia="黑体" w:cs="黑体" w:hint="eastAsia"/>
          <w:sz w:val="32"/>
          <w:szCs w:val="32"/>
          <w:lang w:val="en-US" w:eastAsia="zh-CN"/>
        </w:rPr>
        <w:drawing>
          <wp:inline distT="0" distB="0" distL="114300" distR="114300">
            <wp:extent cx="8846184" cy="4037330"/>
            <wp:effectExtent l="0" t="0" r="25" b="30"/>
            <wp:docPr id="1" name="图片 1" descr="302-毛日乡_2026 年度部门整体绩效目标-1_302-毛日乡_2026 年度部门整体绩效目标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46184" cy="403733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docGrid w:type="lines" w:linePitch="312" w:charSpace="0"/>
        </w:sect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黑体" w:eastAsia="黑体" w:cs="黑体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docGrid w:type="lines" w:linePitch="312" w:charSpace="0"/>
        </w:sectPr>
      </w:pP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重点项目1：单位申报项目名称1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重点项目2：单位申报项目名称2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......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docGrid w:type="lines" w:linePitch="312" w:charSpace="0"/>
        </w:sect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docGrid w:type="lines" w:linePitch="312" w:charSpace="0"/>
        </w:sect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MmJlNWY2MGE5NjMzNzNkNjMzOTQzOTA4ODcwYzY3NT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7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Yozo_Office27021597764231179</Application>
  <Pages>5</Pages>
  <Words>292</Words>
  <Characters>311</Characters>
  <Lines>70</Lines>
  <Paragraphs>14</Paragraphs>
  <CharactersWithSpaces>306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2026-03-19T07:30:26Z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40CE510904F14FAAA84901A301E4ECDC_12</vt:lpwstr>
  </property>
  <property fmtid="{D5CDD505-2E9C-101B-9397-08002B2CF9AE}" pid="4" name="KSOTemplateDocerSaveRecord">
    <vt:lpwstr>eyJoZGlkIjoiNDAwZGE5ZTdmMDgyOGI0ZTA3MTFiOWY1MDY1MWU0MGMiLCJ1c2VySWQiOiI1NzQ5NTYxNDQifQ==</vt:lpwstr>
  </property>
</Properties>
</file>