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8441"/>
      <w:bookmarkStart w:id="4" w:name="_Toc15377193"/>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426"/>
      <w:bookmarkStart w:id="8" w:name="_Toc15396476"/>
      <w:bookmarkStart w:id="9" w:name="_Toc15377194"/>
      <w:bookmarkStart w:id="10" w:name="_Toc15306268"/>
      <w:bookmarkStart w:id="11" w:name="_Toc15396598"/>
      <w:r>
        <w:rPr>
          <w:rFonts w:hint="eastAsia" w:ascii="方正小标宋简体" w:eastAsia="方正小标宋简体"/>
          <w:color w:val="000000"/>
          <w:sz w:val="72"/>
          <w:szCs w:val="72"/>
        </w:rPr>
        <w:t>金川县毛日乡人民政府</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rPr>
          <w:rStyle w:val="15"/>
          <w:rFonts w:hint="eastAsia" w:ascii="仿宋" w:eastAsia="仿宋"/>
          <w:bCs/>
          <w:sz w:val="28"/>
          <w:szCs w:val="28"/>
        </w:rPr>
        <w:t xml:space="preserve"> 十、预算绩效情况说明..................................15</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widowControl/>
        <w:spacing w:line="560" w:lineRule="exact"/>
        <w:ind w:firstLine="800" w:firstLineChars="250"/>
        <w:jc w:val="left"/>
        <w:rPr>
          <w:rFonts w:ascii="仿宋_GB2312" w:hAnsi="仿宋" w:eastAsia="仿宋_GB2312"/>
          <w:sz w:val="32"/>
          <w:szCs w:val="32"/>
        </w:rPr>
      </w:pPr>
      <w:r>
        <w:rPr>
          <w:rFonts w:hint="eastAsia" w:ascii="仿宋_GB2312" w:hAnsi="仿宋"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（1）、贯彻落实党和政府各项路线方针政策。深入贯彻党的十九大、十八届四中、五中全会精神，宣传和贯彻执行党的路线、方针、政策和国家的</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76" w:lineRule="exact"/>
        <w:ind w:firstLine="960" w:firstLineChars="300"/>
        <w:rPr>
          <w:rFonts w:ascii="仿宋_GB2312" w:eastAsia="仿宋_GB2312"/>
          <w:sz w:val="32"/>
          <w:szCs w:val="32"/>
        </w:rPr>
      </w:pPr>
      <w:bookmarkStart w:id="20" w:name="_Toc15396601"/>
      <w:bookmarkStart w:id="21" w:name="_Toc15377200"/>
      <w:r>
        <w:rPr>
          <w:rFonts w:hint="eastAsia" w:ascii="仿宋_GB2312" w:eastAsia="仿宋_GB2312"/>
          <w:sz w:val="32"/>
          <w:szCs w:val="32"/>
        </w:rPr>
        <w:t>2020年，我乡在县委、县政府的领导下，在乡党委的指导下，在</w:t>
      </w:r>
      <w:r>
        <w:rPr>
          <w:rFonts w:hint="eastAsia" w:ascii="仿宋_GB2312" w:eastAsia="仿宋_GB2312"/>
          <w:sz w:val="32"/>
          <w:szCs w:val="32"/>
          <w:lang w:eastAsia="zh-CN"/>
        </w:rPr>
        <w:t>乡镇</w:t>
      </w:r>
      <w:r>
        <w:rPr>
          <w:rFonts w:hint="eastAsia" w:ascii="仿宋_GB2312" w:eastAsia="仿宋_GB2312"/>
          <w:sz w:val="32"/>
          <w:szCs w:val="32"/>
        </w:rPr>
        <w:t>人大的监督支持下，在各村两委的密切配合下，紧紧团结依靠全乡人民，健全完善了相关管理制度，认真贯彻落实科学发展观、党的十八大及十八届四中、五中全会及</w:t>
      </w:r>
      <w:r>
        <w:rPr>
          <w:rFonts w:hint="eastAsia" w:ascii="仿宋_GB2312" w:hAnsi="仿宋_GB2312" w:eastAsia="仿宋_GB2312" w:cs="仿宋_GB2312"/>
          <w:sz w:val="32"/>
          <w:szCs w:val="32"/>
        </w:rPr>
        <w:t>十九大</w:t>
      </w:r>
      <w:r>
        <w:rPr>
          <w:rFonts w:hint="eastAsia" w:ascii="仿宋_GB2312" w:eastAsia="仿宋_GB2312"/>
          <w:sz w:val="32"/>
          <w:szCs w:val="32"/>
        </w:rPr>
        <w:t>精神和习近平总书记系列重要讲话精神。按照省委</w:t>
      </w:r>
      <w:r>
        <w:rPr>
          <w:rFonts w:ascii="仿宋_GB2312" w:eastAsia="仿宋_GB2312"/>
          <w:sz w:val="32"/>
          <w:szCs w:val="32"/>
        </w:rPr>
        <w:t>“</w:t>
      </w:r>
      <w:r>
        <w:rPr>
          <w:rFonts w:hint="eastAsia" w:ascii="仿宋_GB2312" w:eastAsia="仿宋_GB2312"/>
          <w:sz w:val="32"/>
          <w:szCs w:val="32"/>
        </w:rPr>
        <w:t>三大发展战略</w:t>
      </w:r>
      <w:r>
        <w:rPr>
          <w:rFonts w:ascii="仿宋_GB2312" w:eastAsia="仿宋_GB2312"/>
          <w:sz w:val="32"/>
          <w:szCs w:val="32"/>
        </w:rPr>
        <w:t>”</w:t>
      </w:r>
      <w:r>
        <w:rPr>
          <w:rFonts w:hint="eastAsia" w:ascii="仿宋_GB2312" w:eastAsia="仿宋_GB2312"/>
          <w:sz w:val="32"/>
          <w:szCs w:val="32"/>
        </w:rPr>
        <w:t>、州委</w:t>
      </w:r>
      <w:r>
        <w:rPr>
          <w:rFonts w:ascii="仿宋_GB2312" w:eastAsia="仿宋_GB2312"/>
          <w:sz w:val="32"/>
          <w:szCs w:val="32"/>
        </w:rPr>
        <w:t>“</w:t>
      </w:r>
      <w:r>
        <w:rPr>
          <w:rFonts w:hint="eastAsia" w:ascii="仿宋_GB2312" w:eastAsia="仿宋_GB2312"/>
          <w:sz w:val="32"/>
          <w:szCs w:val="32"/>
        </w:rPr>
        <w:t>五为</w:t>
      </w:r>
      <w:r>
        <w:rPr>
          <w:rFonts w:ascii="仿宋_GB2312" w:eastAsia="仿宋_GB2312"/>
          <w:sz w:val="32"/>
          <w:szCs w:val="32"/>
        </w:rPr>
        <w:t>”</w:t>
      </w:r>
      <w:r>
        <w:rPr>
          <w:rFonts w:hint="eastAsia" w:ascii="仿宋_GB2312" w:eastAsia="仿宋_GB2312"/>
          <w:sz w:val="32"/>
          <w:szCs w:val="32"/>
        </w:rPr>
        <w:t>总体工作要求，把握</w:t>
      </w:r>
      <w:r>
        <w:rPr>
          <w:rFonts w:ascii="仿宋_GB2312" w:eastAsia="仿宋_GB2312"/>
          <w:sz w:val="32"/>
          <w:szCs w:val="32"/>
        </w:rPr>
        <w:t>“</w:t>
      </w:r>
      <w:r>
        <w:rPr>
          <w:rFonts w:hint="eastAsia" w:ascii="仿宋_GB2312" w:eastAsia="仿宋_GB2312"/>
          <w:sz w:val="32"/>
          <w:szCs w:val="32"/>
        </w:rPr>
        <w:t>夯实基础、增量提质、跨越发展</w:t>
      </w:r>
      <w:r>
        <w:rPr>
          <w:rFonts w:ascii="仿宋_GB2312" w:eastAsia="仿宋_GB2312"/>
          <w:sz w:val="32"/>
          <w:szCs w:val="32"/>
        </w:rPr>
        <w:t>”</w:t>
      </w:r>
      <w:r>
        <w:rPr>
          <w:rFonts w:hint="eastAsia" w:ascii="仿宋_GB2312" w:eastAsia="仿宋_GB2312"/>
          <w:sz w:val="32"/>
          <w:szCs w:val="32"/>
        </w:rPr>
        <w:t>的工作基调，紧紧围绕县委县政府</w:t>
      </w:r>
      <w:r>
        <w:rPr>
          <w:rFonts w:ascii="仿宋_GB2312" w:eastAsia="仿宋_GB2312"/>
          <w:sz w:val="32"/>
          <w:szCs w:val="32"/>
        </w:rPr>
        <w:t>“</w:t>
      </w:r>
      <w:r>
        <w:rPr>
          <w:rFonts w:hint="eastAsia" w:ascii="仿宋_GB2312" w:eastAsia="仿宋_GB2312"/>
          <w:sz w:val="32"/>
          <w:szCs w:val="32"/>
        </w:rPr>
        <w:t>一二三四五</w:t>
      </w:r>
      <w:r>
        <w:rPr>
          <w:rFonts w:ascii="仿宋_GB2312" w:eastAsia="仿宋_GB2312"/>
          <w:sz w:val="32"/>
          <w:szCs w:val="32"/>
        </w:rPr>
        <w:t>”</w:t>
      </w:r>
      <w:r>
        <w:rPr>
          <w:rFonts w:hint="eastAsia" w:ascii="仿宋_GB2312" w:eastAsia="仿宋_GB2312"/>
          <w:sz w:val="32"/>
          <w:szCs w:val="32"/>
        </w:rPr>
        <w:t>发展战略、</w:t>
      </w:r>
      <w:r>
        <w:rPr>
          <w:rFonts w:ascii="仿宋_GB2312" w:eastAsia="仿宋_GB2312"/>
          <w:sz w:val="32"/>
          <w:szCs w:val="32"/>
        </w:rPr>
        <w:t>“</w:t>
      </w:r>
      <w:r>
        <w:rPr>
          <w:rFonts w:hint="eastAsia" w:ascii="仿宋_GB2312" w:eastAsia="仿宋_GB2312"/>
          <w:sz w:val="32"/>
          <w:szCs w:val="32"/>
        </w:rPr>
        <w:t>一四三四</w:t>
      </w:r>
      <w:r>
        <w:rPr>
          <w:rFonts w:ascii="仿宋_GB2312" w:eastAsia="仿宋_GB2312"/>
          <w:sz w:val="32"/>
          <w:szCs w:val="32"/>
        </w:rPr>
        <w:t>”</w:t>
      </w:r>
      <w:r>
        <w:rPr>
          <w:rFonts w:hint="eastAsia" w:ascii="仿宋_GB2312" w:eastAsia="仿宋_GB2312"/>
          <w:sz w:val="32"/>
          <w:szCs w:val="32"/>
        </w:rPr>
        <w:t>治县方略，为加快“四地三县”建设，牢牢抓住中央和省州支持民族地区跨越发展的大好机遇，攻坚克难、乘势而上，全面完成了年初既定确定的各项任务。</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2020年以来，班子成员以“四个全面”为主线、以脱贫攻坚为主战场，以“党建引领，和谐稳定，补齐短板，调整产业，脱贫奔康，发展旅游，凝心聚力”为思路，以“发展特色产业，拓宽致富渠道，建设生态小康毛日；发展公益事业，提升民生水平，建设民主和谐毛日；弘扬孝德文化，壮大旅游产业，建设孝德美丽毛日；依托资源优势，加快小康进程，建设幸福安康毛日”的工作目标，进一步理清工作思路，创新工作方式、振奋精神，抢抓机遇、攻坚破难，继续夯实基础设施，大力发展特色优势产业，积极培育壮大集体经济，奋力推进旅游强乡工作基调，带动群众增收致富。</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snapToGrid w:val="0"/>
        <w:spacing w:line="360" w:lineRule="auto"/>
        <w:ind w:firstLine="600" w:firstLineChars="200"/>
        <w:rPr>
          <w:rFonts w:ascii="仿宋_GB2312" w:eastAsia="仿宋_GB2312"/>
          <w:sz w:val="30"/>
          <w:szCs w:val="30"/>
        </w:rPr>
      </w:pPr>
      <w:bookmarkStart w:id="22" w:name="_Toc15396602"/>
      <w:bookmarkStart w:id="23" w:name="_Toc15377204"/>
      <w:r>
        <w:rPr>
          <w:rFonts w:hint="eastAsia" w:ascii="仿宋_GB2312" w:eastAsia="仿宋_GB2312"/>
          <w:sz w:val="30"/>
          <w:szCs w:val="30"/>
        </w:rPr>
        <w:t>1、机构情况：我乡只有一个行政核算机构。</w:t>
      </w:r>
    </w:p>
    <w:p>
      <w:pPr>
        <w:snapToGrid w:val="0"/>
        <w:spacing w:line="360" w:lineRule="auto"/>
        <w:rPr>
          <w:rFonts w:ascii="仿宋_GB2312" w:eastAsia="仿宋_GB2312"/>
          <w:bCs/>
          <w:sz w:val="30"/>
          <w:szCs w:val="30"/>
        </w:rPr>
      </w:pPr>
      <w:r>
        <w:rPr>
          <w:rFonts w:hint="eastAsia" w:ascii="仿宋_GB2312" w:eastAsia="仿宋_GB2312"/>
          <w:sz w:val="30"/>
          <w:szCs w:val="30"/>
        </w:rPr>
        <w:t>　　2.人员情况：</w:t>
      </w:r>
      <w:r>
        <w:rPr>
          <w:rFonts w:ascii="仿宋_GB2312" w:eastAsia="仿宋_GB2312"/>
          <w:bCs/>
          <w:sz w:val="32"/>
        </w:rPr>
        <w:t> </w:t>
      </w:r>
      <w:r>
        <w:rPr>
          <w:rFonts w:hint="eastAsia" w:ascii="仿宋_GB2312" w:hAnsi="宋体" w:eastAsia="仿宋_GB2312"/>
          <w:bCs/>
          <w:sz w:val="32"/>
        </w:rPr>
        <w:t>2020年年初在职20人（行政人员15人</w:t>
      </w:r>
      <w:r>
        <w:rPr>
          <w:rFonts w:hint="eastAsia" w:ascii="仿宋_GB2312" w:hAnsi="宋体" w:eastAsia="仿宋_GB2312"/>
          <w:bCs/>
          <w:sz w:val="32"/>
          <w:lang w:eastAsia="zh-CN"/>
        </w:rPr>
        <w:t>，</w:t>
      </w:r>
      <w:bookmarkStart w:id="58" w:name="_GoBack"/>
      <w:bookmarkEnd w:id="58"/>
      <w:r>
        <w:rPr>
          <w:rFonts w:hint="eastAsia" w:ascii="仿宋_GB2312" w:hAnsi="宋体" w:eastAsia="仿宋_GB2312"/>
          <w:bCs/>
          <w:sz w:val="32"/>
        </w:rPr>
        <w:t>行政工勤0人。事业管理3人，专业技术人员2人，事业工勤0人）。2019年年末在职20人（行政人员13人</w:t>
      </w:r>
      <w:r>
        <w:rPr>
          <w:rFonts w:hint="eastAsia" w:ascii="仿宋_GB2312" w:hAnsi="宋体" w:eastAsia="仿宋_GB2312"/>
          <w:bCs/>
          <w:sz w:val="32"/>
          <w:lang w:eastAsia="zh-CN"/>
        </w:rPr>
        <w:t>，</w:t>
      </w:r>
      <w:r>
        <w:rPr>
          <w:rFonts w:hint="eastAsia" w:ascii="仿宋_GB2312" w:hAnsi="宋体" w:eastAsia="仿宋_GB2312"/>
          <w:bCs/>
          <w:sz w:val="32"/>
        </w:rPr>
        <w:t>行政工勤</w:t>
      </w:r>
      <w:r>
        <w:rPr>
          <w:rFonts w:hint="eastAsia" w:ascii="仿宋_GB2312" w:eastAsia="仿宋_GB2312"/>
          <w:sz w:val="30"/>
          <w:szCs w:val="30"/>
        </w:rPr>
        <w:t>0人。事业管理3人，专业技术人员4人，事业工勤0人）。</w:t>
      </w: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2020年度总收入648.31万元，较上年收入增加10.08万元，增加1.58%。增加的主要原因是2020年项目较2019减少，财政应返还资金减少。</w:t>
      </w:r>
    </w:p>
    <w:p>
      <w:pPr>
        <w:snapToGrid w:val="0"/>
        <w:spacing w:line="52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2020年总支出664.12万元，较上年支出减少71.81万元，减少9.76%。主要原因一是当年部门预算安排项目经费较上年有所减少；二是2020年支出包含了上年结转项目较2019年有所减少。</w:t>
      </w:r>
    </w:p>
    <w:p>
      <w:pPr>
        <w:snapToGrid w:val="0"/>
        <w:spacing w:line="520" w:lineRule="exact"/>
        <w:ind w:firstLine="420" w:firstLineChars="200"/>
        <w:rPr>
          <w:rFonts w:ascii="仿宋_GB2312" w:eastAsia="仿宋_GB2312"/>
          <w:spacing w:val="-2"/>
          <w:sz w:val="32"/>
          <w:szCs w:val="32"/>
        </w:rPr>
      </w:pPr>
      <w:r>
        <w:drawing>
          <wp:anchor distT="0" distB="0" distL="114300" distR="114300" simplePos="0" relativeHeight="251664384" behindDoc="1" locked="0" layoutInCell="1" allowOverlap="1">
            <wp:simplePos x="0" y="0"/>
            <wp:positionH relativeFrom="column">
              <wp:posOffset>707390</wp:posOffset>
            </wp:positionH>
            <wp:positionV relativeFrom="paragraph">
              <wp:posOffset>70485</wp:posOffset>
            </wp:positionV>
            <wp:extent cx="4381500" cy="2742565"/>
            <wp:effectExtent l="4445" t="4445" r="14605" b="15240"/>
            <wp:wrapTight wrapText="bothSides">
              <wp:wrapPolygon>
                <wp:start x="-22" y="-35"/>
                <wp:lineTo x="-22" y="21420"/>
                <wp:lineTo x="21578" y="21420"/>
                <wp:lineTo x="21578" y="-35"/>
                <wp:lineTo x="-22" y="-35"/>
              </wp:wrapPolygon>
            </wp:wrapTight>
            <wp:docPr id="109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40" w:firstLineChars="200"/>
        <w:rPr>
          <w:rStyle w:val="17"/>
          <w:rFonts w:ascii="黑体" w:eastAsia="黑体"/>
          <w:b w:val="0"/>
        </w:rPr>
      </w:pPr>
      <w:bookmarkStart w:id="26" w:name="_Toc15396604"/>
      <w:bookmarkStart w:id="27" w:name="_Toc15377206"/>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20年总收入648.31万元，其中：一般公共预算财政拨款收入648.31万元，占100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185420</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2020年本年总支出664.12万元，其中：基本支出360.26万元，占54.25%；项目支出303.86万元，占45.75%；上缴上级支出0万元，占0%；经营支出0万元，占0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2020年财政拨款收入648.31万元。与2019年相比，一般公共预算财政拨款收入较上年增加10.08万元，增加1.58%。增加的主要原因</w:t>
      </w:r>
      <w:r>
        <w:rPr>
          <w:rFonts w:hint="eastAsia" w:ascii="仿宋_GB2312" w:eastAsia="仿宋_GB2312"/>
          <w:color w:val="000000"/>
          <w:spacing w:val="-2"/>
          <w:sz w:val="32"/>
          <w:szCs w:val="32"/>
        </w:rPr>
        <w:t>增加的主要原因是2020年项目较2019减少，财政应返还资金减少，</w:t>
      </w:r>
      <w:r>
        <w:rPr>
          <w:rFonts w:hint="eastAsia" w:ascii="仿宋" w:eastAsia="仿宋"/>
          <w:color w:val="000000"/>
          <w:sz w:val="32"/>
          <w:szCs w:val="32"/>
        </w:rPr>
        <w:t>2020年财政拨款支出664.12万元，</w:t>
      </w:r>
      <w:r>
        <w:rPr>
          <w:rFonts w:hint="eastAsia" w:ascii="仿宋" w:eastAsia="仿宋"/>
          <w:sz w:val="32"/>
          <w:szCs w:val="32"/>
        </w:rPr>
        <w:t>较上年支出减少71.81万元，减少9.76%</w:t>
      </w:r>
      <w:r>
        <w:rPr>
          <w:rFonts w:hint="eastAsia" w:ascii="仿宋_GB2312" w:eastAsia="仿宋_GB2312"/>
          <w:spacing w:val="-2"/>
          <w:sz w:val="32"/>
          <w:szCs w:val="32"/>
        </w:rPr>
        <w:t>。</w:t>
      </w:r>
    </w:p>
    <w:p>
      <w:pPr>
        <w:spacing w:line="600" w:lineRule="exact"/>
        <w:ind w:firstLine="640" w:firstLineChars="200"/>
        <w:rPr>
          <w:rStyle w:val="17"/>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一般公共预算财政拨款支出664.12万元，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支出减少71.81万元，减少9.76%。主要原因一是当年安排部门预算项目经费较上年有所减少；二是2020年支出包含了上年结转项目较2019年有所减少。</w:t>
      </w:r>
    </w:p>
    <w:p>
      <w:pPr>
        <w:snapToGrid w:val="0"/>
        <w:spacing w:line="520" w:lineRule="exact"/>
        <w:ind w:firstLine="632" w:firstLineChars="200"/>
        <w:rPr>
          <w:rFonts w:ascii="仿宋_GB2312" w:eastAsia="仿宋_GB2312"/>
          <w:color w:val="FF0000"/>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20年一般公共预算财政拨款支出664.12万元，主要用于以下方面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支出229.61万元，占34.57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支出46.26万元，占6.97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24.73万元，占3.72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238.19万元，占35.87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27.08万元，占4.08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98.25万元，占14.79</w:t>
      </w:r>
      <w:r>
        <w:rPr>
          <w:rFonts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8460"/>
      <w:bookmarkStart w:id="37" w:name="_Toc15377213"/>
      <w:bookmarkStart w:id="38" w:name="_Toc15377444"/>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540385</wp:posOffset>
            </wp:positionH>
            <wp:positionV relativeFrom="paragraph">
              <wp:posOffset>99695</wp:posOffset>
            </wp:positionV>
            <wp:extent cx="5161915" cy="2541270"/>
            <wp:effectExtent l="4445" t="4445" r="15240" b="698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2019年一般公共预算数为664.12万元，支出决算数为664.12万元，完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。结转下年81万元。其中：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1.一般公共服务（类）人大事务</w:t>
      </w:r>
      <w:r>
        <w:rPr>
          <w:rStyle w:val="14"/>
          <w:rFonts w:hint="eastAsia" w:ascii="仿宋" w:eastAsia="仿宋"/>
          <w:bCs/>
          <w:color w:val="000000"/>
          <w:sz w:val="32"/>
          <w:szCs w:val="32"/>
          <w:lang w:eastAsia="zh-CN"/>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支出决算为14.37万元，完成预算100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rPr>
        <w:t>一般公共服务（类）政府办公厅（室）及相关机构事务（款）一般行政管理事务（项）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支出决算为202.67万元，完成预算100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hint="eastAsia" w:ascii="仿宋" w:eastAsia="仿宋"/>
          <w:bCs/>
          <w:color w:val="000000"/>
          <w:sz w:val="32"/>
          <w:szCs w:val="32"/>
        </w:rPr>
        <w:t>一般公共服务（类）党委办公厅（室）及相关机构事务（款）一般行政管理事务（项）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支出决算为12.57万元，完成预算100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社会保障和就业（类）民政管理事务（款）基层政权建设和社区治理（项）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支出决算为10万元，完成预算100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5</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支出决算为24.17万元，完成预算100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6</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支出决算为12.08万元，完成预算100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7.卫生健康支出（类）公共卫生（款）突发公共卫生事件应急处理（项）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支出决算为7.26万元，完成预算100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8.卫生健康支出（类）行政事业单位医疗（款）行政单位医疗（项）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支出决算为13.15万元，完成预算100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9.卫生健康支出（类）行政事业单位医疗（款）公务员医疗补助（项）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支出决算为4.32万元，完成预算100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10.农林水支出（类）林业和草原（款）</w:t>
      </w:r>
      <w:r>
        <w:rPr>
          <w:rStyle w:val="17"/>
          <w:rFonts w:hint="eastAsia"/>
        </w:rPr>
        <w:t>事业机构（</w:t>
      </w:r>
      <w:r>
        <w:rPr>
          <w:rStyle w:val="14"/>
          <w:rFonts w:hint="eastAsia" w:ascii="仿宋" w:eastAsia="仿宋"/>
          <w:bCs/>
          <w:color w:val="000000"/>
          <w:sz w:val="32"/>
          <w:szCs w:val="32"/>
        </w:rPr>
        <w:t>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支出决算为52.02万元。</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11.农林水支出（类）农村综合事务改革（款）</w:t>
      </w:r>
      <w:r>
        <w:rPr>
          <w:rStyle w:val="17"/>
          <w:rFonts w:hint="eastAsia"/>
        </w:rPr>
        <w:t>对村民委员会和党支部的执行（</w:t>
      </w:r>
      <w:r>
        <w:rPr>
          <w:rStyle w:val="14"/>
          <w:rFonts w:hint="eastAsia" w:ascii="仿宋" w:eastAsia="仿宋"/>
          <w:bCs/>
          <w:color w:val="000000"/>
          <w:sz w:val="32"/>
          <w:szCs w:val="32"/>
        </w:rPr>
        <w:t>项）</w:t>
      </w:r>
      <w:r>
        <w:rPr>
          <w:rStyle w:val="14"/>
          <w:rFonts w:hint="eastAsia" w:ascii="仿宋" w:eastAsia="仿宋"/>
          <w:bCs/>
          <w:color w:val="000000"/>
          <w:sz w:val="32"/>
          <w:szCs w:val="32"/>
          <w:lang w:eastAsia="zh-CN"/>
        </w:rPr>
        <w:t>：</w:t>
      </w:r>
      <w:r>
        <w:rPr>
          <w:rStyle w:val="14"/>
          <w:rFonts w:hint="eastAsia" w:ascii="仿宋" w:eastAsia="仿宋"/>
          <w:b w:val="0"/>
          <w:bCs/>
          <w:color w:val="000000"/>
          <w:sz w:val="32"/>
          <w:szCs w:val="32"/>
        </w:rPr>
        <w:t>支出决算为186.18万元，完成预算100</w:t>
      </w:r>
      <w:r>
        <w:rPr>
          <w:rStyle w:val="14"/>
          <w:rFonts w:ascii="仿宋" w:eastAsia="仿宋"/>
          <w:b w:val="0"/>
          <w:bCs/>
          <w:color w:val="000000"/>
          <w:sz w:val="32"/>
          <w:szCs w:val="32"/>
        </w:rPr>
        <w:t>%</w:t>
      </w:r>
      <w:bookmarkStart w:id="40" w:name="_Toc15377214"/>
      <w:bookmarkStart w:id="41" w:name="_Toc15396608"/>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12.住房保障（类）住房改革支出（款）住房公积金（项）：</w:t>
      </w:r>
      <w:r>
        <w:rPr>
          <w:rStyle w:val="14"/>
          <w:rFonts w:hint="eastAsia" w:ascii="仿宋" w:eastAsia="仿宋"/>
          <w:b w:val="0"/>
          <w:bCs/>
          <w:color w:val="000000"/>
          <w:sz w:val="32"/>
          <w:szCs w:val="32"/>
        </w:rPr>
        <w:t>支出决算为27.08万元。</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13.其他支出（类）其他支出（款）其他支出（项）：</w:t>
      </w:r>
      <w:r>
        <w:rPr>
          <w:rStyle w:val="14"/>
          <w:rFonts w:hint="eastAsia" w:ascii="仿宋" w:eastAsia="仿宋"/>
          <w:b w:val="0"/>
          <w:bCs/>
          <w:color w:val="000000"/>
          <w:sz w:val="32"/>
          <w:szCs w:val="32"/>
        </w:rPr>
        <w:t>支出决算为98.25万元。</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20年一般公共预算财政拨款基本支出360.26万元，其中：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337.56万元，主要包括：基本工资61.43万元、津贴补贴109.82万元、奖金4.77万元、伙食补助费0万元、绩效工资16.37万元，机关事业单位基本养老保险缴费24.17万元、职业年金缴费12.08万元、职工基本医疗保险缴费13.15万元、公务员医疗补助缴费4.32万元、其他社会保障缴费0.71万元、其他工资福利支出0万元、生活补助8.31万元、抚恤金0万元、住房公积金27.08万元、其他对个人和家庭的补助支出0万元、奖励金55.35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22.7万元，主要包括：办公费2.57万元、印刷费2万元、手续费0万元、水费0万元、电费2.5万元、邮电费1.5万元、物业管理费0万元、差旅费2.63万元、因公出国（境）费用0万元、维修（护）费0万元、租赁费0万元、会议费0万元、培训费0万元、公务接待费0万元、劳务费4.5万元、福利费0万元、公务用车运行维护费6.5万元、其他商品和服务支出0.5万元、办公设备购置0万元、无形资产购置0万元等。</w:t>
      </w:r>
    </w:p>
    <w:p>
      <w:pPr>
        <w:spacing w:line="600" w:lineRule="exact"/>
        <w:ind w:firstLine="640" w:firstLineChars="200"/>
        <w:outlineLvl w:val="1"/>
        <w:rPr>
          <w:rStyle w:val="17"/>
          <w:rFonts w:asci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20年“三公”经费财政拨款支出决算为7万元，完成预算100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20年“三公”经费财政拨款支出</w:t>
      </w:r>
      <w:r>
        <w:rPr>
          <w:rFonts w:hint="eastAsia" w:ascii="仿宋" w:eastAsia="仿宋"/>
          <w:sz w:val="32"/>
          <w:szCs w:val="32"/>
        </w:rPr>
        <w:t>决算7万元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；公务用车购置及运行维护费支出决算7万元，占100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公出国（境）支出决算与</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持平。</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7万元</w:t>
      </w:r>
      <w:r>
        <w:rPr>
          <w:rFonts w:hint="eastAsia" w:ascii="仿宋_GB2312" w:eastAsia="仿宋_GB2312"/>
          <w:color w:val="000000"/>
          <w:sz w:val="32"/>
          <w:szCs w:val="32"/>
          <w:lang w:eastAsia="zh-CN"/>
        </w:rPr>
        <w:t>，</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9年增加减少1万元减少</w:t>
      </w:r>
      <w:r>
        <w:rPr>
          <w:rFonts w:hint="eastAsia" w:ascii="仿宋_GB2312" w:eastAsia="仿宋_GB2312"/>
          <w:sz w:val="32"/>
          <w:szCs w:val="32"/>
        </w:rPr>
        <w:t>13.33</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减少原因我乡2020年修理公务用车费用尚未支付。</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日，共有车辆2辆，其中：部级领导干部用车0辆、主要领导干部用车0辆、机要通信用车0辆、应急保障用车0辆、执法执勤用车0辆、特种专业技术用车0辆、离退休干部用车0辆、其他用车2辆；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7万元。</w:t>
      </w:r>
      <w:r>
        <w:rPr>
          <w:rFonts w:hint="eastAsia" w:ascii="仿宋_GB2312" w:eastAsia="仿宋_GB2312"/>
          <w:color w:val="000000"/>
          <w:sz w:val="32"/>
          <w:szCs w:val="32"/>
        </w:rPr>
        <w:t>主要用我乡所需的公务用车燃料费、维修费、过路过桥费、保险费等支出。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公务接待费0万元，与上年持平。</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4"/>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5"/>
        </w:numPr>
        <w:spacing w:line="580" w:lineRule="exact"/>
        <w:ind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按要求对2020年部门整体支出开展绩效自评，</w:t>
      </w:r>
      <w:r>
        <w:rPr>
          <w:rFonts w:hint="eastAsia" w:ascii="仿宋_GB2312" w:eastAsia="仿宋_GB2312"/>
          <w:sz w:val="32"/>
          <w:szCs w:val="32"/>
        </w:rPr>
        <w:t>经全面综合评价，我乡预算支出绩效自评得分85</w:t>
      </w:r>
      <w:r>
        <w:rPr>
          <w:rFonts w:hint="eastAsia" w:ascii="仿宋_GB2312" w:eastAsia="仿宋_GB2312"/>
          <w:color w:val="000000"/>
          <w:sz w:val="32"/>
          <w:szCs w:val="32"/>
        </w:rPr>
        <w:t>分</w:t>
      </w:r>
      <w:r>
        <w:rPr>
          <w:rFonts w:hint="eastAsia" w:ascii="仿宋_GB2312" w:eastAsia="仿宋_GB2312"/>
          <w:sz w:val="32"/>
          <w:szCs w:val="32"/>
        </w:rPr>
        <w:t>。我乡深入贯彻落实十九大关于“全面实施绩效管理”的要求，努力提升本单位绩效预算管理业务水平。主动公开绩效结果，加大资金使用效率，提升政府管理水平。</w:t>
      </w:r>
      <w:r>
        <w:rPr>
          <w:rFonts w:hint="eastAsia" w:ascii="仿宋_GB2312" w:eastAsia="仿宋_GB2312" w:cs="仿宋_GB2312"/>
          <w:sz w:val="32"/>
          <w:szCs w:val="32"/>
        </w:rPr>
        <w:t>还自行组织了4个项目绩效评价，从评价情况来看我乡年初预算项目基本按照绩效目标完成支付，有部分项目结转质保金在下年质保期后进行支付。</w:t>
      </w:r>
    </w:p>
    <w:p>
      <w:pPr>
        <w:numPr>
          <w:ilvl w:val="0"/>
          <w:numId w:val="5"/>
        </w:numPr>
        <w:spacing w:line="580" w:lineRule="exact"/>
        <w:ind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5"/>
        </w:numPr>
        <w:spacing w:line="580" w:lineRule="exact"/>
        <w:ind w:firstLine="640"/>
        <w:jc w:val="left"/>
        <w:rPr>
          <w:rFonts w:ascii="仿宋_GB2312" w:eastAsia="仿宋_GB2312" w:cs="仿宋_GB2312"/>
          <w:sz w:val="32"/>
          <w:szCs w:val="32"/>
        </w:rPr>
      </w:pPr>
      <w:r>
        <w:rPr>
          <w:rFonts w:hint="eastAsia" w:ascii="仿宋_GB2312" w:eastAsia="仿宋_GB2312" w:cs="仿宋_GB2312"/>
          <w:sz w:val="32"/>
          <w:szCs w:val="32"/>
        </w:rPr>
        <w:t>本部门在2020年度部门决算中反映“七一村七组通组桥</w:t>
      </w:r>
      <w:r>
        <w:rPr>
          <w:rFonts w:ascii="仿宋_GB2312" w:eastAsia="仿宋_GB2312" w:cs="仿宋_GB2312"/>
          <w:sz w:val="32"/>
          <w:szCs w:val="32"/>
        </w:rPr>
        <w:t>”</w:t>
      </w:r>
      <w:r>
        <w:rPr>
          <w:rFonts w:hint="eastAsia" w:ascii="仿宋_GB2312" w:eastAsia="仿宋_GB2312" w:cs="仿宋_GB2312"/>
          <w:sz w:val="32"/>
          <w:szCs w:val="32"/>
        </w:rPr>
        <w:t>“七一村八组通组桥</w:t>
      </w:r>
      <w:r>
        <w:rPr>
          <w:rFonts w:ascii="仿宋_GB2312" w:eastAsia="仿宋_GB2312" w:cs="仿宋_GB2312"/>
          <w:sz w:val="32"/>
          <w:szCs w:val="32"/>
        </w:rPr>
        <w:t>”</w:t>
      </w:r>
      <w:r>
        <w:rPr>
          <w:rFonts w:hint="eastAsia" w:ascii="仿宋_GB2312" w:eastAsia="仿宋_GB2312" w:cs="仿宋_GB2312"/>
          <w:sz w:val="32"/>
          <w:szCs w:val="32"/>
        </w:rPr>
        <w:t>等4个项目绩效目标实际完成情况。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1.“七一村七组通组桥”项目绩效目标完成情况综述。项目全年预算数29.56万元，执行数为29.56万元，完成预算的100%。</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院坝地面改造</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29.56万元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29.56万元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29.56万元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29.56万元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r>
              <w:rPr>
                <w:rFonts w:hint="eastAsia" w:ascii="仿宋_GB2312" w:eastAsia="仿宋_GB2312" w:cs="仿宋_GB2312"/>
                <w:sz w:val="32"/>
                <w:szCs w:val="32"/>
              </w:rPr>
              <w:t>七一村七组通组桥建设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七一村七组通组桥</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2019年7月31日前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2019年7月完成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材料、人工等费用控制在29.56万元以内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29.56万元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2.“七一村八组通组桥”项目绩效目标完成情况综述。项目全年预算数29.86万元，执行数为29.86万元，完成预算的100%。</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2"/>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(2019年度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车辆大修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29.86万元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29.86万元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29.86万元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29.86万元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保质保量完成大修工作，减少安全隐患。</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按计划保质保量完成七一村八组通组桥建设。</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七一村八组通组桥建设</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完成七一村八组通组桥建设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保质保量完成</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保质保量完成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受益人数大于等于58人</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受益人数大于等于58人</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rPr>
          <w:rFonts w:ascii="Calibri" w:hAnsi="Calibri"/>
        </w:rPr>
      </w:pPr>
    </w:p>
    <w:p>
      <w:pPr>
        <w:spacing w:line="600" w:lineRule="exact"/>
        <w:outlineLvl w:val="1"/>
        <w:rPr>
          <w:rStyle w:val="17"/>
          <w:rFonts w:ascii="黑体" w:eastAsia="黑体"/>
        </w:rPr>
      </w:pPr>
      <w:bookmarkStart w:id="50" w:name="_Toc15377221"/>
      <w:bookmarkStart w:id="51" w:name="_Toc15396612"/>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20年，我乡运行经费支出0万元与</w:t>
      </w:r>
      <w:r>
        <w:rPr>
          <w:rFonts w:ascii="仿宋_GB2312" w:eastAsia="仿宋_GB2312"/>
          <w:color w:val="000000"/>
          <w:sz w:val="32"/>
          <w:szCs w:val="32"/>
        </w:rPr>
        <w:t>201</w:t>
      </w:r>
      <w:r>
        <w:rPr>
          <w:rFonts w:hint="eastAsia" w:ascii="仿宋_GB2312" w:eastAsia="仿宋_GB2312"/>
          <w:color w:val="000000"/>
          <w:sz w:val="32"/>
          <w:szCs w:val="32"/>
        </w:rPr>
        <w:t>9年持平</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9年，政府采购支出总额0万元，其中：政府采购货物支出0万元、政府采购服务支出0万元。</w:t>
      </w:r>
      <w:r>
        <w:rPr>
          <w:rFonts w:hint="eastAsia" w:ascii="仿宋_GB2312" w:eastAsia="仿宋_GB2312"/>
          <w:sz w:val="32"/>
          <w:szCs w:val="32"/>
        </w:rPr>
        <w:t>主要用于办公设备购置、口岸物流办可研报告编制服务费。</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6"/>
          <w:rFonts w:ascii="黑体" w:eastAsia="黑体"/>
          <w:b w:val="0"/>
        </w:rPr>
      </w:pPr>
      <w:bookmarkStart w:id="55" w:name="_Toc15377225"/>
      <w:bookmarkStart w:id="56" w:name="_Toc15396613"/>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rPr>
          <w:rFonts w:ascii="仿宋" w:eastAsia="仿宋"/>
          <w:color w:val="000000"/>
        </w:rPr>
      </w:pPr>
    </w:p>
    <w:p>
      <w:pPr>
        <w:pStyle w:val="3"/>
        <w:rPr>
          <w:rStyle w:val="16"/>
          <w:rFonts w:ascii="仿宋" w:eastAsia="仿宋"/>
          <w:b w:val="0"/>
          <w:bCs w:val="0"/>
          <w:sz w:val="32"/>
          <w:szCs w:val="32"/>
        </w:rPr>
      </w:pPr>
      <w:bookmarkStart w:id="57" w:name="_Toc15396615"/>
      <w:r>
        <w:rPr>
          <w:rStyle w:val="16"/>
          <w:rFonts w:hint="eastAsia" w:ascii="仿宋" w:eastAsia="仿宋"/>
          <w:b w:val="0"/>
          <w:bCs w:val="0"/>
          <w:sz w:val="32"/>
          <w:szCs w:val="32"/>
        </w:rPr>
        <w:t>附件1</w:t>
      </w:r>
      <w:bookmarkEnd w:id="57"/>
    </w:p>
    <w:p>
      <w:pPr>
        <w:numPr>
          <w:ilvl w:val="0"/>
          <w:numId w:val="6"/>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p>
    <w:p>
      <w:pPr>
        <w:outlineLvl w:val="0"/>
        <w:rPr>
          <w:rStyle w:val="16"/>
          <w:rFonts w:ascii="黑体" w:eastAsia="黑体"/>
          <w:b w:val="0"/>
        </w:rPr>
      </w:pPr>
    </w:p>
    <w:p>
      <w:pPr>
        <w:widowControl/>
        <w:spacing w:line="480" w:lineRule="exact"/>
        <w:jc w:val="center"/>
        <w:rPr>
          <w:rFonts w:ascii="方正小标宋简体" w:hAnsi="宋体" w:eastAsia="方正小标宋简体" w:cs="方正小标宋简体"/>
          <w:sz w:val="44"/>
          <w:szCs w:val="44"/>
        </w:rPr>
      </w:pPr>
      <w:r>
        <w:rPr>
          <w:rFonts w:ascii="方正小标宋简体" w:hAnsi="宋体" w:eastAsia="方正小标宋简体" w:cs="方正小标宋简体"/>
          <w:sz w:val="44"/>
          <w:szCs w:val="44"/>
        </w:rPr>
        <w:t xml:space="preserve"> </w:t>
      </w:r>
      <w:r>
        <w:rPr>
          <w:rFonts w:hint="eastAsia" w:ascii="方正小标宋简体" w:hAnsi="宋体" w:eastAsia="方正小标宋简体" w:cs="方正小标宋简体"/>
          <w:sz w:val="44"/>
          <w:szCs w:val="44"/>
        </w:rPr>
        <w:t>金川县毛日乡人民政府2020年及</w:t>
      </w:r>
    </w:p>
    <w:p>
      <w:pPr>
        <w:widowControl/>
        <w:spacing w:line="480" w:lineRule="exact"/>
        <w:jc w:val="center"/>
        <w:rPr>
          <w:rFonts w:ascii="方正小标宋简体" w:hAnsi="宋体" w:eastAsia="方正小标宋简体" w:cs="方正小标宋简体"/>
          <w:sz w:val="44"/>
          <w:szCs w:val="44"/>
        </w:rPr>
      </w:pPr>
      <w:r>
        <w:rPr>
          <w:rFonts w:ascii="方正小标宋简体" w:hAnsi="宋体" w:eastAsia="方正小标宋简体" w:cs="方正小标宋简体"/>
          <w:sz w:val="44"/>
          <w:szCs w:val="44"/>
        </w:rPr>
        <w:t>20</w:t>
      </w:r>
      <w:r>
        <w:rPr>
          <w:rFonts w:hint="eastAsia" w:ascii="方正小标宋简体" w:hAnsi="宋体" w:eastAsia="方正小标宋简体" w:cs="方正小标宋简体"/>
          <w:sz w:val="44"/>
          <w:szCs w:val="44"/>
        </w:rPr>
        <w:t>21年</w:t>
      </w:r>
      <w:r>
        <w:rPr>
          <w:rFonts w:ascii="方正小标宋简体" w:hAnsi="宋体" w:eastAsia="方正小标宋简体" w:cs="方正小标宋简体"/>
          <w:sz w:val="44"/>
          <w:szCs w:val="44"/>
        </w:rPr>
        <w:t>1-6</w:t>
      </w:r>
      <w:r>
        <w:rPr>
          <w:rFonts w:hint="eastAsia" w:ascii="方正小标宋简体" w:hAnsi="宋体" w:eastAsia="方正小标宋简体" w:cs="方正小标宋简体"/>
          <w:sz w:val="44"/>
          <w:szCs w:val="44"/>
        </w:rPr>
        <w:t>月部门整体支出绩效报告</w:t>
      </w:r>
    </w:p>
    <w:p>
      <w:pPr>
        <w:widowControl/>
        <w:spacing w:line="480" w:lineRule="exact"/>
        <w:jc w:val="center"/>
        <w:rPr>
          <w:rFonts w:ascii="黑体" w:hAnsi="宋体" w:eastAsia="黑体" w:cs="宋体"/>
          <w:color w:val="000000"/>
          <w:kern w:val="0"/>
        </w:rPr>
      </w:pPr>
      <w:r>
        <w:rPr>
          <w:rFonts w:ascii="??_GB2312" w:hAnsi="宋体" w:eastAsia="Times New Roman" w:cs="??_GB2312"/>
          <w:sz w:val="32"/>
        </w:rPr>
        <w:t xml:space="preserve"> </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480" w:lineRule="exact"/>
        <w:ind w:firstLine="720"/>
        <w:jc w:val="left"/>
        <w:rPr>
          <w:rFonts w:ascii="??_GB2312" w:hAnsi="宋体" w:eastAsia="Times New Roman" w:cs="宋体"/>
          <w:kern w:val="0"/>
          <w:sz w:val="32"/>
          <w:szCs w:val="32"/>
        </w:rPr>
      </w:pPr>
      <w:r>
        <w:rPr>
          <w:rFonts w:ascii="??_GB2312" w:hAnsi="宋体" w:eastAsia="Times New Roman" w:cs="宋体"/>
          <w:color w:val="000000"/>
          <w:kern w:val="0"/>
          <w:sz w:val="32"/>
          <w:lang w:val="zh-CN"/>
        </w:rPr>
        <w:t>（</w:t>
      </w:r>
      <w:r>
        <w:rPr>
          <w:rFonts w:ascii="??_GB2312" w:hAnsi="宋体" w:eastAsia="Times New Roman" w:cs="宋体"/>
          <w:kern w:val="0"/>
          <w:sz w:val="32"/>
          <w:szCs w:val="32"/>
        </w:rPr>
        <w:t>一）机构组成。</w:t>
      </w:r>
    </w:p>
    <w:p>
      <w:pPr>
        <w:widowControl/>
        <w:adjustRightInd w:val="0"/>
        <w:snapToGrid w:val="0"/>
        <w:spacing w:line="480" w:lineRule="exact"/>
        <w:ind w:firstLine="720"/>
        <w:jc w:val="left"/>
        <w:rPr>
          <w:rFonts w:ascii="??_GB2312" w:hAnsi="宋体" w:eastAsia="Times New Roman" w:cs="宋体"/>
          <w:kern w:val="0"/>
          <w:sz w:val="32"/>
          <w:szCs w:val="32"/>
        </w:rPr>
      </w:pPr>
      <w:r>
        <w:rPr>
          <w:rFonts w:ascii="??_GB2312" w:hAnsi="宋体" w:eastAsia="Times New Roman" w:cs="宋体"/>
          <w:kern w:val="0"/>
          <w:sz w:val="32"/>
          <w:szCs w:val="32"/>
        </w:rPr>
        <w:t>我乡有2个机构，行政单位1个，事业单位1个。</w:t>
      </w:r>
    </w:p>
    <w:p>
      <w:pPr>
        <w:widowControl/>
        <w:adjustRightInd w:val="0"/>
        <w:snapToGrid w:val="0"/>
        <w:spacing w:line="480" w:lineRule="exact"/>
        <w:ind w:firstLine="720"/>
        <w:jc w:val="left"/>
        <w:rPr>
          <w:rFonts w:ascii="??_GB2312" w:hAnsi="宋体" w:eastAsia="Times New Roman" w:cs="宋体"/>
          <w:kern w:val="0"/>
          <w:sz w:val="32"/>
          <w:szCs w:val="32"/>
        </w:rPr>
      </w:pPr>
      <w:r>
        <w:rPr>
          <w:rFonts w:ascii="??_GB2312" w:hAnsi="宋体" w:eastAsia="Times New Roman" w:cs="宋体"/>
          <w:kern w:val="0"/>
          <w:sz w:val="32"/>
          <w:szCs w:val="32"/>
        </w:rPr>
        <w:t>（二）机构职能。</w:t>
      </w:r>
    </w:p>
    <w:p>
      <w:pPr>
        <w:widowControl/>
        <w:spacing w:line="560" w:lineRule="exact"/>
        <w:ind w:firstLine="800" w:firstLineChars="250"/>
        <w:jc w:val="left"/>
        <w:rPr>
          <w:rFonts w:ascii="仿宋_GB2312" w:hAnsi="仿宋" w:eastAsia="仿宋_GB2312"/>
          <w:sz w:val="32"/>
          <w:szCs w:val="32"/>
        </w:rPr>
      </w:pPr>
      <w:r>
        <w:rPr>
          <w:rFonts w:hint="eastAsia" w:ascii="仿宋_GB2312" w:hAnsi="仿宋"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（1）、贯彻落实党和政府各项路线方针政策。深入贯彻党的十九大、十八届四中、五中全会精神，宣传和贯彻执行党的路线、方针、政策和国家的</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（二）2020年重点工作完成情况。</w:t>
      </w:r>
    </w:p>
    <w:p>
      <w:pPr>
        <w:spacing w:line="576" w:lineRule="exact"/>
        <w:ind w:firstLine="960" w:firstLineChars="300"/>
        <w:rPr>
          <w:rFonts w:ascii="仿宋_GB2312" w:eastAsia="仿宋_GB2312"/>
          <w:sz w:val="32"/>
          <w:szCs w:val="32"/>
        </w:rPr>
      </w:pPr>
      <w:r>
        <w:rPr>
          <w:rFonts w:hint="eastAsia" w:ascii="仿宋_GB2312" w:eastAsia="仿宋_GB2312"/>
          <w:sz w:val="32"/>
          <w:szCs w:val="32"/>
        </w:rPr>
        <w:t>2020年，我乡在县委、县政府的正确领导下，在州双联单位、县级联系部门的关怀下，在乡党委的指导下，在</w:t>
      </w:r>
      <w:r>
        <w:rPr>
          <w:rFonts w:hint="eastAsia" w:ascii="仿宋_GB2312" w:eastAsia="仿宋_GB2312"/>
          <w:sz w:val="32"/>
          <w:szCs w:val="32"/>
          <w:lang w:eastAsia="zh-CN"/>
        </w:rPr>
        <w:t>乡镇</w:t>
      </w:r>
      <w:r>
        <w:rPr>
          <w:rFonts w:hint="eastAsia" w:ascii="仿宋_GB2312" w:eastAsia="仿宋_GB2312"/>
          <w:sz w:val="32"/>
          <w:szCs w:val="32"/>
        </w:rPr>
        <w:t>人大的监督支持下，在各村两委的密切配合下，紧紧团结依靠全乡人民，健全完善了相关管理制度，认真贯彻落实科学发展观和习近平总书记系列重要讲话精神。按照省委</w:t>
      </w:r>
      <w:r>
        <w:rPr>
          <w:rFonts w:ascii="仿宋_GB2312" w:eastAsia="仿宋_GB2312"/>
          <w:sz w:val="32"/>
          <w:szCs w:val="32"/>
        </w:rPr>
        <w:t>“</w:t>
      </w:r>
      <w:r>
        <w:rPr>
          <w:rFonts w:hint="eastAsia" w:ascii="仿宋_GB2312" w:eastAsia="仿宋_GB2312"/>
          <w:sz w:val="32"/>
          <w:szCs w:val="32"/>
        </w:rPr>
        <w:t>三大发展战略</w:t>
      </w:r>
      <w:r>
        <w:rPr>
          <w:rFonts w:ascii="仿宋_GB2312" w:eastAsia="仿宋_GB2312"/>
          <w:sz w:val="32"/>
          <w:szCs w:val="32"/>
        </w:rPr>
        <w:t>”</w:t>
      </w:r>
      <w:r>
        <w:rPr>
          <w:rFonts w:hint="eastAsia" w:ascii="仿宋_GB2312" w:eastAsia="仿宋_GB2312"/>
          <w:sz w:val="32"/>
          <w:szCs w:val="32"/>
        </w:rPr>
        <w:t>、州委</w:t>
      </w:r>
      <w:r>
        <w:rPr>
          <w:rFonts w:ascii="仿宋_GB2312" w:eastAsia="仿宋_GB2312"/>
          <w:sz w:val="32"/>
          <w:szCs w:val="32"/>
        </w:rPr>
        <w:t>“</w:t>
      </w:r>
      <w:r>
        <w:rPr>
          <w:rFonts w:hint="eastAsia" w:ascii="仿宋_GB2312" w:eastAsia="仿宋_GB2312"/>
          <w:sz w:val="32"/>
          <w:szCs w:val="32"/>
        </w:rPr>
        <w:t>五为</w:t>
      </w:r>
      <w:r>
        <w:rPr>
          <w:rFonts w:ascii="仿宋_GB2312" w:eastAsia="仿宋_GB2312"/>
          <w:sz w:val="32"/>
          <w:szCs w:val="32"/>
        </w:rPr>
        <w:t>”</w:t>
      </w:r>
      <w:r>
        <w:rPr>
          <w:rFonts w:hint="eastAsia" w:ascii="仿宋_GB2312" w:eastAsia="仿宋_GB2312"/>
          <w:sz w:val="32"/>
          <w:szCs w:val="32"/>
        </w:rPr>
        <w:t>总体工作要求，把握</w:t>
      </w:r>
      <w:r>
        <w:rPr>
          <w:rFonts w:ascii="仿宋_GB2312" w:eastAsia="仿宋_GB2312"/>
          <w:sz w:val="32"/>
          <w:szCs w:val="32"/>
        </w:rPr>
        <w:t>“</w:t>
      </w:r>
      <w:r>
        <w:rPr>
          <w:rFonts w:hint="eastAsia" w:ascii="仿宋_GB2312" w:eastAsia="仿宋_GB2312"/>
          <w:sz w:val="32"/>
          <w:szCs w:val="32"/>
        </w:rPr>
        <w:t>夯实基础、增量提质、跨越发展</w:t>
      </w:r>
      <w:r>
        <w:rPr>
          <w:rFonts w:ascii="仿宋_GB2312" w:eastAsia="仿宋_GB2312"/>
          <w:sz w:val="32"/>
          <w:szCs w:val="32"/>
        </w:rPr>
        <w:t>”</w:t>
      </w:r>
      <w:r>
        <w:rPr>
          <w:rFonts w:hint="eastAsia" w:ascii="仿宋_GB2312" w:eastAsia="仿宋_GB2312"/>
          <w:sz w:val="32"/>
          <w:szCs w:val="32"/>
        </w:rPr>
        <w:t>的工作基调，紧紧围绕县委县政府</w:t>
      </w:r>
      <w:r>
        <w:rPr>
          <w:rFonts w:ascii="仿宋_GB2312" w:eastAsia="仿宋_GB2312"/>
          <w:sz w:val="32"/>
          <w:szCs w:val="32"/>
        </w:rPr>
        <w:t>“</w:t>
      </w:r>
      <w:r>
        <w:rPr>
          <w:rFonts w:hint="eastAsia" w:ascii="仿宋_GB2312" w:eastAsia="仿宋_GB2312"/>
          <w:sz w:val="32"/>
          <w:szCs w:val="32"/>
        </w:rPr>
        <w:t>一二三四五</w:t>
      </w:r>
      <w:r>
        <w:rPr>
          <w:rFonts w:ascii="仿宋_GB2312" w:eastAsia="仿宋_GB2312"/>
          <w:sz w:val="32"/>
          <w:szCs w:val="32"/>
        </w:rPr>
        <w:t>”</w:t>
      </w:r>
      <w:r>
        <w:rPr>
          <w:rFonts w:hint="eastAsia" w:ascii="仿宋_GB2312" w:eastAsia="仿宋_GB2312"/>
          <w:sz w:val="32"/>
          <w:szCs w:val="32"/>
        </w:rPr>
        <w:t>发展战略、</w:t>
      </w:r>
      <w:r>
        <w:rPr>
          <w:rFonts w:ascii="仿宋_GB2312" w:eastAsia="仿宋_GB2312"/>
          <w:sz w:val="32"/>
          <w:szCs w:val="32"/>
        </w:rPr>
        <w:t>“</w:t>
      </w:r>
      <w:r>
        <w:rPr>
          <w:rFonts w:hint="eastAsia" w:ascii="仿宋_GB2312" w:eastAsia="仿宋_GB2312"/>
          <w:sz w:val="32"/>
          <w:szCs w:val="32"/>
        </w:rPr>
        <w:t>一四三四</w:t>
      </w:r>
      <w:r>
        <w:rPr>
          <w:rFonts w:ascii="仿宋_GB2312" w:eastAsia="仿宋_GB2312"/>
          <w:sz w:val="32"/>
          <w:szCs w:val="32"/>
        </w:rPr>
        <w:t>”</w:t>
      </w:r>
      <w:r>
        <w:rPr>
          <w:rFonts w:hint="eastAsia" w:ascii="仿宋_GB2312" w:eastAsia="仿宋_GB2312"/>
          <w:sz w:val="32"/>
          <w:szCs w:val="32"/>
        </w:rPr>
        <w:t>治县方略，为加快“四地三县”建设，牢牢抓住中央和省州支持民族地区跨越发展的大好机遇，攻坚克难、乘势而上，全面完成了年初既定确定的各项任务。</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2020年以来，班子成员以“四个全面”为主线、以脱贫攻坚为主战场，以“党建引领，和谐稳定，补齐短板，调整产业，脱贫奔康，发展旅游，凝心聚力”为思路，以“发展特色产业，拓宽致富渠道，建设生态小康毛日；发展公益事业，提升民生水平，建设民主和谐毛日；弘扬孝德文化，壮大旅游产业，建设孝德美丽毛日；依托资源优势，加快小康进程，建设幸福安康毛日”的工作目标，进一步理清工作思路，创新工作方式、振奋精神，抢抓机遇、攻坚破难，继续夯实基础设施，大力发展特色优势产业，积极培育壮大集体经济，奋力推进旅游强乡工作基调，带动群众增收致富。</w:t>
      </w:r>
    </w:p>
    <w:p>
      <w:pPr>
        <w:widowControl/>
        <w:numPr>
          <w:ilvl w:val="0"/>
          <w:numId w:val="7"/>
        </w:numPr>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人员概况。</w:t>
      </w:r>
    </w:p>
    <w:p>
      <w:pPr>
        <w:snapToGrid w:val="0"/>
        <w:rPr>
          <w:rFonts w:ascii="仿宋_GB2312" w:hAnsi="宋体" w:eastAsia="仿宋_GB2312"/>
          <w:bCs/>
          <w:sz w:val="32"/>
        </w:rPr>
      </w:pPr>
      <w:r>
        <w:rPr>
          <w:rFonts w:hint="eastAsia" w:ascii="仿宋_GB2312" w:eastAsia="仿宋_GB2312"/>
          <w:bCs/>
          <w:sz w:val="32"/>
        </w:rPr>
        <w:t xml:space="preserve">    </w:t>
      </w:r>
      <w:r>
        <w:rPr>
          <w:rFonts w:ascii="仿宋_GB2312" w:eastAsia="仿宋_GB2312"/>
          <w:bCs/>
          <w:sz w:val="32"/>
        </w:rPr>
        <w:t> </w:t>
      </w:r>
      <w:r>
        <w:rPr>
          <w:rFonts w:hint="eastAsia" w:ascii="仿宋_GB2312" w:hAnsi="宋体" w:eastAsia="仿宋_GB2312"/>
          <w:bCs/>
          <w:sz w:val="32"/>
        </w:rPr>
        <w:t>2020年年初在职20人（行政人员15人</w:t>
      </w:r>
      <w:r>
        <w:rPr>
          <w:rFonts w:hint="eastAsia" w:ascii="仿宋_GB2312" w:hAnsi="宋体" w:eastAsia="仿宋_GB2312"/>
          <w:bCs/>
          <w:sz w:val="32"/>
          <w:lang w:eastAsia="zh-CN"/>
        </w:rPr>
        <w:t>，</w:t>
      </w:r>
      <w:r>
        <w:rPr>
          <w:rFonts w:hint="eastAsia" w:ascii="仿宋_GB2312" w:hAnsi="宋体" w:eastAsia="仿宋_GB2312"/>
          <w:bCs/>
          <w:sz w:val="32"/>
        </w:rPr>
        <w:t>行政工勤0人。事业管理3人，专业技术人员2人，事业工勤0人）。</w:t>
      </w:r>
    </w:p>
    <w:p>
      <w:pPr>
        <w:snapToGrid w:val="0"/>
        <w:ind w:firstLine="640" w:firstLineChars="200"/>
        <w:rPr>
          <w:rFonts w:ascii="仿宋_GB2312" w:hAnsi="宋体" w:eastAsia="仿宋_GB2312"/>
          <w:bCs/>
          <w:sz w:val="32"/>
        </w:rPr>
      </w:pPr>
      <w:r>
        <w:rPr>
          <w:rFonts w:hint="eastAsia" w:ascii="仿宋_GB2312" w:hAnsi="宋体" w:eastAsia="仿宋_GB2312"/>
          <w:bCs/>
          <w:sz w:val="32"/>
        </w:rPr>
        <w:t>2020年年末在职20人（行政人员13人</w:t>
      </w:r>
      <w:r>
        <w:rPr>
          <w:rFonts w:hint="eastAsia" w:ascii="仿宋_GB2312" w:hAnsi="宋体" w:eastAsia="仿宋_GB2312"/>
          <w:bCs/>
          <w:sz w:val="32"/>
          <w:lang w:eastAsia="zh-CN"/>
        </w:rPr>
        <w:t>，</w:t>
      </w:r>
      <w:r>
        <w:rPr>
          <w:rFonts w:hint="eastAsia" w:ascii="仿宋_GB2312" w:hAnsi="宋体" w:eastAsia="仿宋_GB2312"/>
          <w:bCs/>
          <w:sz w:val="32"/>
        </w:rPr>
        <w:t>行政工勤0人。事业管理3人，专业技术人员4人，事业工勤0人）。</w:t>
      </w:r>
    </w:p>
    <w:p>
      <w:pPr>
        <w:snapToGrid w:val="0"/>
        <w:spacing w:line="520" w:lineRule="exact"/>
        <w:ind w:firstLine="640" w:firstLineChars="200"/>
        <w:rPr>
          <w:rFonts w:ascii="??_GB2312" w:hAnsi="宋体" w:eastAsia="Times New Roman" w:cs="宋体"/>
          <w:color w:val="000000"/>
          <w:kern w:val="0"/>
          <w:sz w:val="32"/>
          <w:lang w:val="zh-CN"/>
        </w:rPr>
      </w:pPr>
      <w:r>
        <w:rPr>
          <w:rFonts w:ascii="??_GB2312" w:hAnsi="仿宋" w:eastAsia="Times New Roman"/>
          <w:sz w:val="32"/>
          <w:szCs w:val="32"/>
        </w:rPr>
        <w:t>20</w:t>
      </w:r>
      <w:r>
        <w:rPr>
          <w:rFonts w:hint="eastAsia" w:ascii="??_GB2312" w:hAnsi="仿宋"/>
          <w:sz w:val="32"/>
          <w:szCs w:val="32"/>
        </w:rPr>
        <w:t>21</w:t>
      </w:r>
      <w:r>
        <w:rPr>
          <w:rFonts w:ascii="??_GB2312" w:hAnsi="仿宋" w:eastAsia="Times New Roman"/>
          <w:sz w:val="32"/>
          <w:szCs w:val="32"/>
        </w:rPr>
        <w:t>年6月底在职</w:t>
      </w:r>
      <w:r>
        <w:rPr>
          <w:rFonts w:hint="eastAsia" w:ascii="??_GB2312" w:hAnsi="仿宋"/>
          <w:sz w:val="32"/>
          <w:szCs w:val="32"/>
        </w:rPr>
        <w:t>24</w:t>
      </w:r>
      <w:r>
        <w:rPr>
          <w:rFonts w:ascii="??_GB2312" w:hAnsi="仿宋" w:eastAsia="Times New Roman"/>
          <w:sz w:val="32"/>
          <w:szCs w:val="32"/>
        </w:rPr>
        <w:t>人（行政人员14人，行政工勤0人，事业人员</w:t>
      </w:r>
      <w:r>
        <w:rPr>
          <w:rFonts w:hint="eastAsia" w:ascii="??_GB2312" w:hAnsi="仿宋"/>
          <w:sz w:val="32"/>
          <w:szCs w:val="32"/>
        </w:rPr>
        <w:t>10</w:t>
      </w:r>
      <w:r>
        <w:rPr>
          <w:rFonts w:ascii="??_GB2312" w:hAnsi="仿宋" w:eastAsia="Times New Roman"/>
          <w:sz w:val="32"/>
          <w:szCs w:val="32"/>
        </w:rPr>
        <w:t>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ind w:firstLine="640" w:firstLineChars="200"/>
        <w:rPr>
          <w:rFonts w:ascii="仿宋_GB2312" w:eastAsia="仿宋_GB2312"/>
          <w:color w:val="000000"/>
          <w:sz w:val="32"/>
          <w:szCs w:val="32"/>
        </w:rPr>
      </w:pPr>
      <w:r>
        <w:rPr>
          <w:rFonts w:ascii="??_GB2312" w:hAnsi="宋体" w:eastAsia="Times New Roman" w:cs="宋体"/>
          <w:color w:val="000000"/>
          <w:kern w:val="0"/>
          <w:sz w:val="32"/>
          <w:lang w:val="zh-CN"/>
        </w:rPr>
        <w:t>（一）部门财政资金</w:t>
      </w:r>
      <w:r>
        <w:rPr>
          <w:rFonts w:hint="eastAsia" w:ascii="??_GB2312" w:hAnsi="宋体" w:cs="宋体"/>
          <w:color w:val="000000"/>
          <w:kern w:val="0"/>
          <w:sz w:val="32"/>
        </w:rPr>
        <w:t>648.31</w:t>
      </w:r>
      <w:r>
        <w:rPr>
          <w:rFonts w:ascii="??_GB2312" w:hAnsi="宋体" w:eastAsia="Times New Roman" w:cs="宋体"/>
          <w:color w:val="000000"/>
          <w:kern w:val="0"/>
          <w:sz w:val="32"/>
        </w:rPr>
        <w:t>元，</w:t>
      </w:r>
      <w:r>
        <w:rPr>
          <w:rFonts w:ascii="??_GB2312" w:eastAsia="Times New Roman"/>
          <w:color w:val="000000"/>
          <w:sz w:val="32"/>
          <w:szCs w:val="32"/>
        </w:rPr>
        <w:t>其中：一般公共预算</w:t>
      </w:r>
      <w:r>
        <w:rPr>
          <w:rFonts w:hint="eastAsia" w:ascii="??_GB2312" w:hAnsi="??_GB2312" w:cs="??_GB2312"/>
          <w:color w:val="333333"/>
          <w:kern w:val="0"/>
          <w:sz w:val="32"/>
          <w:szCs w:val="32"/>
          <w:shd w:val="clear" w:color="auto" w:fill="FFFFFF"/>
        </w:rPr>
        <w:t>2020</w:t>
      </w:r>
      <w:r>
        <w:rPr>
          <w:rFonts w:hint="eastAsia" w:ascii="宋体" w:hAnsi="宋体" w:cs="宋体"/>
          <w:color w:val="333333"/>
          <w:kern w:val="0"/>
          <w:sz w:val="32"/>
          <w:szCs w:val="32"/>
          <w:shd w:val="clear" w:color="auto" w:fill="FFFFFF"/>
        </w:rPr>
        <w:t>年</w:t>
      </w:r>
      <w:r>
        <w:rPr>
          <w:rFonts w:ascii="??_GB2312" w:eastAsia="Times New Roman"/>
          <w:color w:val="000000"/>
          <w:sz w:val="32"/>
          <w:szCs w:val="32"/>
        </w:rPr>
        <w:t>财政拨款收入</w:t>
      </w:r>
      <w:r>
        <w:rPr>
          <w:rFonts w:hint="eastAsia" w:ascii="仿宋_GB2312" w:eastAsia="仿宋_GB2312"/>
          <w:color w:val="000000"/>
          <w:sz w:val="32"/>
          <w:szCs w:val="32"/>
        </w:rPr>
        <w:t>648.31</w:t>
      </w:r>
      <w:r>
        <w:rPr>
          <w:rFonts w:ascii="??_GB2312" w:eastAsia="Times New Roman"/>
          <w:color w:val="000000"/>
          <w:sz w:val="32"/>
          <w:szCs w:val="32"/>
        </w:rPr>
        <w:t>万元，</w:t>
      </w:r>
      <w:r>
        <w:rPr>
          <w:rFonts w:hint="eastAsia" w:ascii="仿宋_GB2312" w:eastAsia="仿宋_GB2312"/>
          <w:color w:val="000000"/>
          <w:sz w:val="32"/>
          <w:szCs w:val="32"/>
        </w:rPr>
        <w:t>人员经费337.56万元，主要包括：基本工资61.43万元，津贴补贴109.82万元，奖金4.77万元，绩效工资16.37万元，机关事业单位基本养老保险缴费24.17万元，职业年金缴费12.09万元，其他社会保障缴费0.71元，职工医疗保险13.15万元，公务员医疗补助4.32万元，其他工资福利支出0万元，离休费0万元，退休费0万元，抚恤金0万元，生活补助8.3万元，医疗费</w:t>
      </w:r>
      <w:r>
        <w:rPr>
          <w:rFonts w:hint="eastAsia" w:ascii="仿宋_GB2312" w:eastAsia="仿宋_GB2312"/>
          <w:color w:val="000000"/>
          <w:sz w:val="32"/>
          <w:szCs w:val="32"/>
          <w:lang w:eastAsia="zh-CN"/>
        </w:rPr>
        <w:t>，</w:t>
      </w:r>
      <w:r>
        <w:rPr>
          <w:rFonts w:hint="eastAsia" w:ascii="仿宋_GB2312" w:eastAsia="仿宋_GB2312"/>
          <w:color w:val="000000"/>
          <w:sz w:val="32"/>
          <w:szCs w:val="32"/>
        </w:rPr>
        <w:t>0万元，奖励金55.35住房公积金27.08，提租补贴0万元、购房补贴0万元、其他对个人和家庭的补助支出等。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公用经费22.7万元，主要包括：办公费2.57万元，印刷2.0万元，电费2.5万元，邮电费1.5万元，差旅费2.63万元，公务用车运行维护费6.5万元，劳务费4.5万元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其他商品和服务支出0.5万元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项目收入288.06万元，其中：人大会议费0.58万元，代表工作经费1.6万元，基层政权建设和社区治理费10万元，疫情防控经费7.26万元，壳它村一组通组路23.1万元，壳它村一组通组桥27.9万元，毛日村厕所20万元，毛日村一组通组桥10万元，村干部工资109.18万元，村办公费及维修维护费77万元，三老干部生活补助1.44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2021年1-6月财政本年收入208.28万元，其中：</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其中人员经费196.88万元，主要包括：基本工资9.14万元、津贴补贴64.03万元、奖励金74.11万元，绩效工资10.4万元、机关事业单位基本养老保险缴费15.12万元、职业年金缴费7.52万元、其他社会保障缴费0.49万元、职工基本医疗保险8.25万元、公务员医疗补助2.77万元，住房公积金16.32万元，生活补助3.85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公用经费11.4万元，主要包括：办公费1.67万元、差旅费1.04万元、电费0.6万元、邮电费1.05万元，公务用车运行维护费6.51万元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手续费0.05万元、劳务费0.48万元。</w:t>
      </w:r>
    </w:p>
    <w:p>
      <w:pPr>
        <w:widowControl/>
        <w:adjustRightInd w:val="0"/>
        <w:snapToGrid w:val="0"/>
        <w:spacing w:line="480" w:lineRule="exact"/>
        <w:ind w:firstLine="720"/>
        <w:jc w:val="left"/>
        <w:rPr>
          <w:rFonts w:ascii="??_GB2312" w:hAnsi="宋体" w:eastAsia="Times New Roman" w:cs="宋体"/>
          <w:color w:val="000000"/>
          <w:kern w:val="0"/>
          <w:lang w:val="zh-CN"/>
        </w:rPr>
      </w:pPr>
      <w:r>
        <w:rPr>
          <w:rFonts w:ascii="??_GB2312" w:hAnsi="宋体" w:eastAsia="Times New Roman" w:cs="宋体"/>
          <w:color w:val="000000"/>
          <w:kern w:val="0"/>
          <w:sz w:val="32"/>
          <w:lang w:val="zh-CN"/>
        </w:rPr>
        <w:t>（二）部门财政资金支出情况。</w:t>
      </w:r>
    </w:p>
    <w:p>
      <w:pPr>
        <w:spacing w:line="600" w:lineRule="exact"/>
        <w:ind w:firstLine="645"/>
        <w:rPr>
          <w:rFonts w:ascii="仿宋_GB2312" w:eastAsia="仿宋_GB2312"/>
          <w:color w:val="000000"/>
          <w:sz w:val="32"/>
          <w:szCs w:val="32"/>
        </w:rPr>
      </w:pPr>
      <w:r>
        <w:rPr>
          <w:rFonts w:hint="eastAsia" w:ascii="??_GB2312"/>
          <w:color w:val="000000"/>
          <w:sz w:val="32"/>
          <w:szCs w:val="32"/>
        </w:rPr>
        <w:t>2020</w:t>
      </w:r>
      <w:r>
        <w:rPr>
          <w:rFonts w:ascii="??_GB2312" w:eastAsia="Times New Roman"/>
          <w:color w:val="000000"/>
          <w:sz w:val="32"/>
          <w:szCs w:val="32"/>
        </w:rPr>
        <w:t>年财政总支出为</w:t>
      </w:r>
      <w:r>
        <w:rPr>
          <w:rFonts w:hint="eastAsia" w:ascii="??_GB2312" w:hAnsi="宋体"/>
          <w:bCs/>
          <w:sz w:val="32"/>
        </w:rPr>
        <w:t>664.12</w:t>
      </w:r>
      <w:r>
        <w:rPr>
          <w:rFonts w:ascii="??_GB2312" w:eastAsia="Times New Roman"/>
          <w:color w:val="000000"/>
          <w:sz w:val="32"/>
          <w:szCs w:val="32"/>
        </w:rPr>
        <w:t>万元，其中：</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人员经费337.56万元，主要包括：基本工资61.43万元，津贴补贴109.82万元，奖金4.77万元，绩效工资16.37万元，机关事业单位基本养老保险缴费24.17万元，职业年金缴费12.09万元，其他社会保障缴费0.71元，职工医疗保险13.15万元，公务员医疗补助4.32万元，其他工资福利支出0万元，离休费0万元，退休费0万元，抚恤金0万元，生活补助8.3万元，医疗费</w:t>
      </w:r>
      <w:r>
        <w:rPr>
          <w:rFonts w:hint="eastAsia" w:ascii="仿宋_GB2312" w:eastAsia="仿宋_GB2312"/>
          <w:color w:val="000000"/>
          <w:sz w:val="32"/>
          <w:szCs w:val="32"/>
          <w:lang w:eastAsia="zh-CN"/>
        </w:rPr>
        <w:t>，</w:t>
      </w:r>
      <w:r>
        <w:rPr>
          <w:rFonts w:hint="eastAsia" w:ascii="仿宋_GB2312" w:eastAsia="仿宋_GB2312"/>
          <w:color w:val="000000"/>
          <w:sz w:val="32"/>
          <w:szCs w:val="32"/>
        </w:rPr>
        <w:t>0万元，奖励金55.35住房公积金27.08，提租补贴0万元、购房补贴0万元、其他对个人和家庭的补助支出等。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公用经费22.7万元，主要包括：办公费2.57万元，印刷2.0万元，电费2.5万元，邮电费1.5万元，差旅费2.63万元，公务用车运行维护费6.5万元，劳务费4.5万元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其他商品和服务支出0.5万元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项目支出303.87万元，其中：人大会议费0.58万元，代表工作经费1.6万元，基层政权建设和社区治理费10万元，疫情防控经费7.26万元，甲克村桥梁资金19.87万元，毛日村桥梁17.52万元，七一村八组桥梁29.86万，七一村七组桥梁29.56万，村干部工资109.18万元，村办公费及维修维护费77万元，三老干部生活补助1.44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2021年1-6月财政本年支出208.28万元，其中：</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其中人员经费196.88万元，主要包括：基本工资9.14万元、津贴补贴64.03万元、奖励金74.11万元，绩效工资10.4万元、机关事业单位基本养老保险缴费15.12万元、职业年金缴费7.52万元、其他</w:t>
      </w:r>
      <w:r>
        <w:rPr>
          <w:rFonts w:hint="eastAsia" w:ascii="仿宋_GB2312" w:eastAsia="仿宋_GB2312"/>
          <w:sz w:val="32"/>
          <w:szCs w:val="32"/>
        </w:rPr>
        <w:t>社</w:t>
      </w:r>
      <w:r>
        <w:rPr>
          <w:rFonts w:hint="eastAsia" w:ascii="仿宋_GB2312" w:eastAsia="仿宋_GB2312"/>
          <w:color w:val="000000"/>
          <w:sz w:val="32"/>
          <w:szCs w:val="32"/>
        </w:rPr>
        <w:t>会保障缴费0.49万元、职工基本医疗保险8.25万元、公务员医疗补助2.77万元，住房公积金16.32万元，生活补助3.85万元。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公用经费11.4万元，主要包括：办公费1.67万元、差旅费1.04万元、电费0.6万元、邮电费1.05万元，公务用车运行维护费6.51万元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手续费0.05万元、劳务费0.48万元</w:t>
      </w:r>
      <w:r>
        <w:rPr>
          <w:rFonts w:hint="eastAsia" w:ascii="仿宋_GB2312" w:eastAsia="仿宋_GB2312"/>
          <w:color w:val="000000"/>
          <w:sz w:val="32"/>
          <w:szCs w:val="32"/>
          <w:lang w:eastAsia="zh-CN"/>
        </w:rPr>
        <w:t>，</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（一）预算编制情况。</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(1）预算编制质量：</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2020年预算总额为509.52万元，2021年预算总额为565.17万元，较2020年增加55.65万元，增加率为10.92%，主要原因是2021年三站</w:t>
      </w:r>
      <w:r>
        <w:rPr>
          <w:rFonts w:hint="eastAsia" w:ascii="仿宋_GB2312" w:eastAsia="仿宋_GB2312"/>
          <w:color w:val="000000"/>
          <w:sz w:val="32"/>
          <w:szCs w:val="32"/>
          <w:lang w:eastAsia="zh-CN"/>
        </w:rPr>
        <w:t>工作人员的</w:t>
      </w:r>
      <w:r>
        <w:rPr>
          <w:rFonts w:hint="eastAsia" w:ascii="仿宋_GB2312" w:eastAsia="仿宋_GB2312"/>
          <w:color w:val="000000"/>
          <w:sz w:val="32"/>
          <w:szCs w:val="32"/>
        </w:rPr>
        <w:t>工资预算在我乡造成我乡预算增加。</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（2）绩效目标填报：</w:t>
      </w:r>
      <w:r>
        <w:rPr>
          <w:rFonts w:hint="eastAsia" w:ascii="仿宋_GB2312" w:eastAsia="仿宋_GB2312"/>
          <w:color w:val="000000"/>
          <w:sz w:val="32"/>
          <w:szCs w:val="32"/>
        </w:rPr>
        <w:t>项目申报严格按照上级要求，明确绩效目标，控制</w:t>
      </w:r>
      <w:r>
        <w:rPr>
          <w:rFonts w:hint="eastAsia" w:ascii="仿宋_GB2312" w:eastAsia="仿宋_GB2312"/>
          <w:color w:val="000000"/>
          <w:sz w:val="32"/>
          <w:szCs w:val="32"/>
          <w:lang w:eastAsia="zh-CN"/>
        </w:rPr>
        <w:t>执行</w:t>
      </w:r>
      <w:r>
        <w:rPr>
          <w:rFonts w:hint="eastAsia" w:ascii="仿宋_GB2312" w:eastAsia="仿宋_GB2312"/>
          <w:color w:val="000000"/>
          <w:sz w:val="32"/>
          <w:szCs w:val="32"/>
        </w:rPr>
        <w:t>成本，提高项目发挥作用。并</w:t>
      </w:r>
      <w:r>
        <w:rPr>
          <w:rFonts w:hint="eastAsia" w:ascii="仿宋_GB2312" w:eastAsia="仿宋_GB2312"/>
          <w:color w:val="000000"/>
          <w:sz w:val="32"/>
          <w:szCs w:val="32"/>
          <w:lang w:val="zh-CN"/>
        </w:rPr>
        <w:t>根据财政局统一要求编制了我会整体绩效目标报告及项目整体绩效目标表，并报县财政局。</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（二）执行管理情况。</w:t>
      </w:r>
      <w:r>
        <w:rPr>
          <w:rFonts w:hint="eastAsia" w:ascii="仿宋_GB2312" w:eastAsia="仿宋_GB2312"/>
          <w:color w:val="000000"/>
          <w:sz w:val="32"/>
          <w:szCs w:val="32"/>
          <w:lang w:val="zh-CN"/>
        </w:rPr>
        <w:tab/>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rPr>
        <w:t>2018年中期评估编制了2019年到2021年三年滚动计划，2020年中期评估编制了2020年到2022年的三年滚动计划； 2020年</w:t>
      </w:r>
      <w:r>
        <w:rPr>
          <w:rFonts w:hint="eastAsia" w:ascii="仿宋_GB2312" w:eastAsia="仿宋_GB2312"/>
          <w:color w:val="000000"/>
          <w:sz w:val="32"/>
          <w:szCs w:val="32"/>
          <w:lang w:val="zh-CN"/>
        </w:rPr>
        <w:t>“三公”经费预算</w:t>
      </w:r>
      <w:r>
        <w:rPr>
          <w:rFonts w:hint="eastAsia" w:ascii="仿宋_GB2312" w:eastAsia="仿宋_GB2312"/>
          <w:color w:val="000000"/>
          <w:sz w:val="32"/>
          <w:szCs w:val="32"/>
        </w:rPr>
        <w:t>7万元，其中公务接待费0万元，公务用车运行维护费7万元，实际支出7万元，公务接待费0万元，公务用车运行维护费7万元</w:t>
      </w:r>
      <w:r>
        <w:rPr>
          <w:rFonts w:hint="eastAsia" w:ascii="仿宋_GB2312" w:eastAsia="仿宋_GB2312"/>
          <w:color w:val="000000"/>
          <w:sz w:val="32"/>
          <w:szCs w:val="32"/>
          <w:lang w:val="zh-CN"/>
        </w:rPr>
        <w:t>。部门预算执行情况良好，但基本集中在下半年。</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rPr>
        <w:t>2021年</w:t>
      </w:r>
      <w:r>
        <w:rPr>
          <w:rFonts w:hint="eastAsia" w:ascii="仿宋_GB2312" w:eastAsia="仿宋_GB2312"/>
          <w:color w:val="000000"/>
          <w:sz w:val="32"/>
          <w:szCs w:val="32"/>
          <w:lang w:val="zh-CN"/>
        </w:rPr>
        <w:t>“三公”经费预算</w:t>
      </w:r>
      <w:r>
        <w:rPr>
          <w:rFonts w:hint="eastAsia" w:ascii="仿宋_GB2312" w:eastAsia="仿宋_GB2312"/>
          <w:color w:val="000000"/>
          <w:sz w:val="32"/>
          <w:szCs w:val="32"/>
        </w:rPr>
        <w:t>10万元，其中公务接待费0万元，公务用车运行维护费10万元，1-6月实际支出公务接待费0万元，公务用车运行维护费6.51万元，拨付进度65.1%。资金支付进度较小是因为基本</w:t>
      </w:r>
      <w:r>
        <w:rPr>
          <w:rFonts w:hint="eastAsia" w:ascii="仿宋_GB2312" w:eastAsia="仿宋_GB2312"/>
          <w:color w:val="000000"/>
          <w:sz w:val="32"/>
          <w:szCs w:val="32"/>
          <w:lang w:val="zh-CN"/>
        </w:rPr>
        <w:t>集中在下半年支付。</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（三）综合管理情况。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1、2020年年初资产为317.28万元，2020年无政府采购计划，2021年6月底资产金额为317.28万元，所有国有资产纳入</w:t>
      </w:r>
      <w:r>
        <w:rPr>
          <w:rFonts w:hint="eastAsia" w:ascii="仿宋_GB2312" w:eastAsia="仿宋_GB2312"/>
          <w:color w:val="000000"/>
          <w:sz w:val="32"/>
          <w:szCs w:val="32"/>
          <w:lang w:val="zh-CN"/>
        </w:rPr>
        <w:t>资产管理系统，及时准确上报并做好资产的管理工作。2、内控制度管理：建立了收支管理制度、会计档案管理制度、资产管理制度、合同管理制度、决策管理制度及相关制度流程图。3、根据相关要求，单位使用预算资金基本符合相关的预算财务管理制度，我乡在财政局下达预决算批复后</w:t>
      </w:r>
      <w:r>
        <w:rPr>
          <w:rFonts w:hint="eastAsia" w:ascii="仿宋_GB2312" w:eastAsia="仿宋_GB2312"/>
          <w:color w:val="000000"/>
          <w:sz w:val="32"/>
          <w:szCs w:val="32"/>
        </w:rPr>
        <w:t>20日内在指定网站公开预决算信息。 4、</w:t>
      </w:r>
      <w:r>
        <w:rPr>
          <w:rFonts w:hint="eastAsia" w:ascii="仿宋_GB2312" w:eastAsia="仿宋_GB2312"/>
          <w:color w:val="000000"/>
          <w:sz w:val="32"/>
          <w:szCs w:val="32"/>
          <w:lang w:val="zh-CN"/>
        </w:rPr>
        <w:t>绩效评价：</w:t>
      </w:r>
      <w:r>
        <w:rPr>
          <w:rFonts w:hint="eastAsia" w:ascii="仿宋_GB2312" w:eastAsia="仿宋_GB2312"/>
          <w:color w:val="000000"/>
          <w:sz w:val="32"/>
          <w:szCs w:val="32"/>
        </w:rPr>
        <w:t>2020年根据相关文件要求，单位编制了2020年部门整体支出绩效目标并认真组织开展部门整体绩效文件工作并且按照相关要求进行绩效自我评价，按要求及时上报，</w:t>
      </w:r>
      <w:r>
        <w:rPr>
          <w:rFonts w:hint="eastAsia" w:ascii="仿宋_GB2312" w:eastAsia="仿宋_GB2312"/>
          <w:color w:val="000000"/>
          <w:sz w:val="32"/>
          <w:szCs w:val="32"/>
          <w:lang w:val="zh-CN"/>
        </w:rPr>
        <w:t>绩效评价及依法接受财政监督情况等。</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（四）整体绩效。</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四、评价结论及建议</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（一）评价结论。</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评价得分</w:t>
      </w:r>
      <w:r>
        <w:rPr>
          <w:rFonts w:hint="eastAsia" w:ascii="仿宋_GB2312" w:eastAsia="仿宋_GB2312"/>
          <w:color w:val="000000"/>
          <w:sz w:val="32"/>
          <w:szCs w:val="32"/>
        </w:rPr>
        <w:t>85分，整体评价良好，预算支出和决算支出情况相符。</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存在问题。</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我乡财政预算资金支付大部分集中在下半年，上半年资金支付力度较小。</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改进建议。</w:t>
      </w:r>
    </w:p>
    <w:p>
      <w:r>
        <w:rPr>
          <w:rFonts w:hint="eastAsia" w:ascii="仿宋_GB2312" w:eastAsia="仿宋_GB2312"/>
          <w:color w:val="000000"/>
          <w:sz w:val="32"/>
          <w:szCs w:val="32"/>
        </w:rPr>
        <w:t>加大上半年资金支付力度，加强会计核算的规范化。</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407"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5B74E20D"/>
    <w:multiLevelType w:val="singleLevel"/>
    <w:tmpl w:val="5B74E20D"/>
    <w:lvl w:ilvl="0" w:tentative="0">
      <w:start w:val="3"/>
      <w:numFmt w:val="chineseCounting"/>
      <w:suff w:val="nothing"/>
      <w:lvlText w:val="（%1）"/>
      <w:lvlJc w:val="left"/>
      <w:rPr>
        <w:rFonts w:cs="Times New Roman"/>
      </w:r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872C50"/>
    <w:rsid w:val="00872C50"/>
    <w:rsid w:val="00E40516"/>
    <w:rsid w:val="00F36ED3"/>
    <w:rsid w:val="02CB4B58"/>
    <w:rsid w:val="308A7671"/>
    <w:rsid w:val="330D3C26"/>
    <w:rsid w:val="344A017A"/>
    <w:rsid w:val="386D7423"/>
    <w:rsid w:val="3ECB46CA"/>
    <w:rsid w:val="437B4BFE"/>
    <w:rsid w:val="45A578C0"/>
    <w:rsid w:val="46AA33A5"/>
    <w:rsid w:val="4EF14D2C"/>
    <w:rsid w:val="5FEE141F"/>
    <w:rsid w:val="62960133"/>
    <w:rsid w:val="6AA77662"/>
    <w:rsid w:val="77A60286"/>
    <w:rsid w:val="79842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19&#24180;&#20915;&#31639;&#32534;&#21046;&#35828;&#26126;&#21450;&#20915;&#31639;&#34920;%20-%20&#21103;&#26412;\&#20915;&#31639;&#32534;&#21046;&#35828;&#26126;&#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rPr>
              <a:t>收、支决算结构图</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tx>
            <c:strRef>
              <c:f>"总收入"</c:f>
              <c:strCache>
                <c:ptCount val="1"/>
                <c:pt idx="0">
                  <c:v>总收入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[决算编制说明图标.xls]Sheet1!$A$2:$A$3</c:f>
              <c:numCache>
                <c:formatCode>General</c:formatCode>
                <c:ptCount val="2"/>
                <c:pt idx="0">
                  <c:v>2019</c:v>
                </c:pt>
                <c:pt idx="1">
                  <c:v>2020</c:v>
                </c:pt>
              </c:numCache>
            </c:numRef>
          </c:cat>
          <c:val>
            <c:numRef>
              <c:f>[决算编制说明图标.xls]Sheet1!$B$2:$B$3</c:f>
              <c:numCache>
                <c:formatCode>General</c:formatCode>
                <c:ptCount val="2"/>
                <c:pt idx="0">
                  <c:v>638.23</c:v>
                </c:pt>
                <c:pt idx="1">
                  <c:v>648.31</c:v>
                </c:pt>
              </c:numCache>
            </c:numRef>
          </c:val>
        </c:ser>
        <c:ser>
          <c:idx val="1"/>
          <c:order val="1"/>
          <c:tx>
            <c:strRef>
              <c:f>"总支出"</c:f>
              <c:strCache>
                <c:ptCount val="1"/>
                <c:pt idx="0">
                  <c:v>总支出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[决算编制说明图标.xls]Sheet1!$A$2:$A$3</c:f>
              <c:numCache>
                <c:formatCode>General</c:formatCode>
                <c:ptCount val="2"/>
                <c:pt idx="0">
                  <c:v>2019</c:v>
                </c:pt>
                <c:pt idx="1">
                  <c:v>2020</c:v>
                </c:pt>
              </c:numCache>
            </c:numRef>
          </c:cat>
          <c:val>
            <c:numRef>
              <c:f>[决算编制说明图标.xls]Sheet1!$C$2:$C$3</c:f>
              <c:numCache>
                <c:formatCode>General</c:formatCode>
                <c:ptCount val="2"/>
                <c:pt idx="0">
                  <c:v>735.93</c:v>
                </c:pt>
                <c:pt idx="1">
                  <c:v>664.12</c:v>
                </c:pt>
              </c:numCache>
            </c:numRef>
          </c:val>
        </c:ser>
        <c:dLbls>
          <c:showLegendKey val="0"/>
          <c:showVal val="1"/>
          <c:showCatName val="0"/>
          <c:showSerName val="0"/>
          <c:showPercent val="0"/>
          <c:showBubbleSize val="0"/>
        </c:dLbls>
        <c:gapWidth val="150"/>
        <c:axId val="98532352"/>
        <c:axId val="98542336"/>
      </c:barChart>
      <c:catAx>
        <c:axId val="98532352"/>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8542336"/>
        <c:crosses val="autoZero"/>
        <c:auto val="1"/>
        <c:lblAlgn val="ctr"/>
        <c:lblOffset val="100"/>
        <c:noMultiLvlLbl val="0"/>
      </c:catAx>
      <c:valAx>
        <c:axId val="98542336"/>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8532352"/>
        <c:crosses val="autoZero"/>
        <c:crossBetween val="between"/>
      </c:valAx>
      <c:spPr>
        <a:noFill/>
        <a:ln w="3175">
          <a:noFill/>
        </a:ln>
      </c:spPr>
    </c:plotArea>
    <c:legend>
      <c:legendPos val="b"/>
      <c:layout>
        <c:manualLayout>
          <c:xMode val="edge"/>
          <c:yMode val="edge"/>
          <c:x val="0.35"/>
          <c:y val="0.886316276915953"/>
          <c:w val="0.265217391304348"/>
          <c:h val="0.0858995137763371"/>
        </c:manualLayout>
      </c:layout>
      <c:overlay val="0"/>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648.31</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360.26</c:v>
                </c:pt>
                <c:pt idx="1">
                  <c:v>303.86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638.23</c:v>
                </c:pt>
                <c:pt idx="1">
                  <c:v>735.93</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648.31</c:v>
                </c:pt>
                <c:pt idx="1">
                  <c:v>664.12</c:v>
                </c:pt>
              </c:numCache>
            </c:numRef>
          </c:val>
        </c:ser>
        <c:dLbls>
          <c:showLegendKey val="0"/>
          <c:showVal val="1"/>
          <c:showCatName val="0"/>
          <c:showSerName val="0"/>
          <c:showPercent val="0"/>
          <c:showBubbleSize val="0"/>
        </c:dLbls>
        <c:gapWidth val="219"/>
        <c:overlap val="-27"/>
        <c:axId val="55433472"/>
        <c:axId val="149712896"/>
      </c:barChart>
      <c:catAx>
        <c:axId val="5543347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49712896"/>
        <c:crosses val="autoZero"/>
        <c:auto val="1"/>
        <c:lblAlgn val="ctr"/>
        <c:lblOffset val="100"/>
        <c:noMultiLvlLbl val="0"/>
      </c:catAx>
      <c:valAx>
        <c:axId val="149712896"/>
        <c:scaling>
          <c:orientation val="minMax"/>
          <c:max val="1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5543347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735.93</c:v>
                </c:pt>
                <c:pt idx="1">
                  <c:v>664.12</c:v>
                </c:pt>
              </c:numCache>
            </c:numRef>
          </c:val>
        </c:ser>
        <c:dLbls>
          <c:showLegendKey val="0"/>
          <c:showVal val="1"/>
          <c:showCatName val="0"/>
          <c:showSerName val="0"/>
          <c:showPercent val="0"/>
          <c:showBubbleSize val="0"/>
        </c:dLbls>
        <c:gapWidth val="219"/>
        <c:overlap val="-27"/>
        <c:axId val="98607104"/>
        <c:axId val="98608640"/>
      </c:barChart>
      <c:catAx>
        <c:axId val="98607104"/>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98608640"/>
        <c:crosses val="autoZero"/>
        <c:auto val="1"/>
        <c:lblAlgn val="ctr"/>
        <c:lblOffset val="100"/>
        <c:noMultiLvlLbl val="0"/>
      </c:catAx>
      <c:valAx>
        <c:axId val="98608640"/>
        <c:scaling>
          <c:orientation val="minMax"/>
          <c:max val="1000"/>
          <c:min val="0"/>
        </c:scaling>
        <c:delete val="0"/>
        <c:axPos val="l"/>
        <c:majorGridlines/>
        <c:numFmt formatCode="General" sourceLinked="1"/>
        <c:majorTickMark val="none"/>
        <c:minorTickMark val="none"/>
        <c:tickLblPos val="nextTo"/>
        <c:spPr>
          <a:solidFill>
            <a:srgbClr val="FFFFFF"/>
          </a:solidFill>
        </c:spPr>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98607104"/>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医疗卫生支出</c:v>
                </c:pt>
                <c:pt idx="3">
                  <c:v>住房保障支出</c:v>
                </c:pt>
                <c:pt idx="4">
                  <c:v>农林水</c:v>
                </c:pt>
                <c:pt idx="5">
                  <c:v>其他支出</c:v>
                </c:pt>
              </c:strCache>
            </c:strRef>
          </c:cat>
          <c:val>
            <c:numRef>
              <c:f>'Sheet1 (6)'!$B$2:$B$7</c:f>
              <c:numCache>
                <c:formatCode>General</c:formatCode>
                <c:ptCount val="6"/>
                <c:pt idx="0">
                  <c:v>229.61</c:v>
                </c:pt>
                <c:pt idx="1">
                  <c:v>46.26</c:v>
                </c:pt>
                <c:pt idx="2">
                  <c:v>24.73</c:v>
                </c:pt>
                <c:pt idx="3">
                  <c:v>27.08</c:v>
                </c:pt>
                <c:pt idx="4">
                  <c:v>238.19</c:v>
                </c:pt>
                <c:pt idx="5">
                  <c:v>98.25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6.5</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2018</Words>
  <Characters>11506</Characters>
  <Lines>95</Lines>
  <Paragraphs>26</Paragraphs>
  <TotalTime>2</TotalTime>
  <ScaleCrop>false</ScaleCrop>
  <LinksUpToDate>false</LinksUpToDate>
  <CharactersWithSpaces>13498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2021-09-18T02:25:00Z</cp:lastPrinted>
  <dcterms:modified xsi:type="dcterms:W3CDTF">2021-09-27T03:20:02Z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C386C3B325224AC8BB273BAE185A4389</vt:lpwstr>
  </property>
</Properties>
</file>